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2448D0C" w:rsidR="00AE3DA7" w:rsidRPr="00AF2E74" w:rsidRDefault="00AE3DA7" w:rsidP="00D765A9">
          <w:pPr>
            <w:pStyle w:val="TtulodeTDC"/>
            <w:spacing w:before="0" w:line="240" w:lineRule="auto"/>
            <w:rPr>
              <w:rFonts w:ascii="Palatino Linotype" w:hAnsi="Palatino Linotype"/>
              <w:color w:val="auto"/>
              <w:sz w:val="24"/>
              <w:szCs w:val="24"/>
              <w:lang w:val="es-ES"/>
            </w:rPr>
          </w:pPr>
          <w:r w:rsidRPr="00AF2E74">
            <w:rPr>
              <w:rFonts w:ascii="Palatino Linotype" w:hAnsi="Palatino Linotype"/>
              <w:color w:val="auto"/>
              <w:sz w:val="24"/>
              <w:szCs w:val="24"/>
              <w:lang w:val="es-ES"/>
            </w:rPr>
            <w:t>Contenido</w:t>
          </w:r>
        </w:p>
        <w:p w14:paraId="7AE3F796" w14:textId="77777777" w:rsidR="00D765A9" w:rsidRPr="00AF2E74" w:rsidRDefault="00D765A9" w:rsidP="00D765A9">
          <w:pPr>
            <w:rPr>
              <w:lang w:val="es-ES" w:eastAsia="es-MX"/>
            </w:rPr>
          </w:pPr>
        </w:p>
        <w:p w14:paraId="3EB312A7" w14:textId="77777777" w:rsidR="00AA6EA9" w:rsidRPr="00AF2E74" w:rsidRDefault="00AA6EA9" w:rsidP="00D765A9">
          <w:pPr>
            <w:spacing w:line="240" w:lineRule="auto"/>
            <w:rPr>
              <w:sz w:val="16"/>
              <w:szCs w:val="16"/>
              <w:lang w:val="es-ES" w:eastAsia="es-MX"/>
            </w:rPr>
          </w:pPr>
        </w:p>
        <w:p w14:paraId="19E27164" w14:textId="25C098E1" w:rsidR="00D765A9" w:rsidRPr="00AF2E74" w:rsidRDefault="00AE3DA7" w:rsidP="00D765A9">
          <w:pPr>
            <w:pStyle w:val="TDC1"/>
            <w:tabs>
              <w:tab w:val="right" w:leader="dot" w:pos="9034"/>
            </w:tabs>
            <w:rPr>
              <w:rFonts w:asciiTheme="minorHAnsi" w:eastAsiaTheme="minorEastAsia" w:hAnsiTheme="minorHAnsi" w:cstheme="minorBidi"/>
              <w:noProof/>
              <w:szCs w:val="22"/>
              <w:lang w:eastAsia="es-MX"/>
            </w:rPr>
          </w:pPr>
          <w:r w:rsidRPr="00AF2E74">
            <w:rPr>
              <w:sz w:val="16"/>
              <w:szCs w:val="16"/>
            </w:rPr>
            <w:fldChar w:fldCharType="begin"/>
          </w:r>
          <w:r w:rsidRPr="00AF2E74">
            <w:rPr>
              <w:sz w:val="16"/>
              <w:szCs w:val="16"/>
            </w:rPr>
            <w:instrText xml:space="preserve"> TOC \o "1-3" \h \z \u </w:instrText>
          </w:r>
          <w:r w:rsidRPr="00AF2E74">
            <w:rPr>
              <w:sz w:val="16"/>
              <w:szCs w:val="16"/>
            </w:rPr>
            <w:fldChar w:fldCharType="separate"/>
          </w:r>
          <w:hyperlink w:anchor="_Toc212100968" w:history="1">
            <w:r w:rsidR="00D765A9" w:rsidRPr="00AF2E74">
              <w:rPr>
                <w:rStyle w:val="Hipervnculo"/>
                <w:noProof/>
                <w:color w:val="auto"/>
              </w:rPr>
              <w:t>ANTECEDENTES</w:t>
            </w:r>
            <w:r w:rsidR="00D765A9" w:rsidRPr="00AF2E74">
              <w:rPr>
                <w:noProof/>
                <w:webHidden/>
              </w:rPr>
              <w:tab/>
            </w:r>
            <w:r w:rsidR="00D765A9" w:rsidRPr="00AF2E74">
              <w:rPr>
                <w:noProof/>
                <w:webHidden/>
              </w:rPr>
              <w:fldChar w:fldCharType="begin"/>
            </w:r>
            <w:r w:rsidR="00D765A9" w:rsidRPr="00AF2E74">
              <w:rPr>
                <w:noProof/>
                <w:webHidden/>
              </w:rPr>
              <w:instrText xml:space="preserve"> PAGEREF _Toc212100968 \h </w:instrText>
            </w:r>
            <w:r w:rsidR="00D765A9" w:rsidRPr="00AF2E74">
              <w:rPr>
                <w:noProof/>
                <w:webHidden/>
              </w:rPr>
            </w:r>
            <w:r w:rsidR="00D765A9" w:rsidRPr="00AF2E74">
              <w:rPr>
                <w:noProof/>
                <w:webHidden/>
              </w:rPr>
              <w:fldChar w:fldCharType="separate"/>
            </w:r>
            <w:r w:rsidR="00AF2E74">
              <w:rPr>
                <w:noProof/>
                <w:webHidden/>
              </w:rPr>
              <w:t>1</w:t>
            </w:r>
            <w:r w:rsidR="00D765A9" w:rsidRPr="00AF2E74">
              <w:rPr>
                <w:noProof/>
                <w:webHidden/>
              </w:rPr>
              <w:fldChar w:fldCharType="end"/>
            </w:r>
          </w:hyperlink>
        </w:p>
        <w:p w14:paraId="1F24D6A8" w14:textId="510CC546" w:rsidR="00D765A9" w:rsidRPr="00AF2E74" w:rsidRDefault="00EC373E" w:rsidP="00D765A9">
          <w:pPr>
            <w:pStyle w:val="TDC2"/>
            <w:rPr>
              <w:rFonts w:asciiTheme="minorHAnsi" w:eastAsiaTheme="minorEastAsia" w:hAnsiTheme="minorHAnsi" w:cstheme="minorBidi"/>
              <w:noProof/>
              <w:szCs w:val="22"/>
              <w:lang w:eastAsia="es-MX"/>
            </w:rPr>
          </w:pPr>
          <w:hyperlink w:anchor="_Toc212100969" w:history="1">
            <w:r w:rsidR="00D765A9" w:rsidRPr="00AF2E74">
              <w:rPr>
                <w:rStyle w:val="Hipervnculo"/>
                <w:noProof/>
                <w:color w:val="auto"/>
              </w:rPr>
              <w:t>DE LA SOLICITUD DE INFORMACIÓN</w:t>
            </w:r>
            <w:r w:rsidR="00D765A9" w:rsidRPr="00AF2E74">
              <w:rPr>
                <w:noProof/>
                <w:webHidden/>
              </w:rPr>
              <w:tab/>
            </w:r>
            <w:r w:rsidR="00D765A9" w:rsidRPr="00AF2E74">
              <w:rPr>
                <w:noProof/>
                <w:webHidden/>
              </w:rPr>
              <w:fldChar w:fldCharType="begin"/>
            </w:r>
            <w:r w:rsidR="00D765A9" w:rsidRPr="00AF2E74">
              <w:rPr>
                <w:noProof/>
                <w:webHidden/>
              </w:rPr>
              <w:instrText xml:space="preserve"> PAGEREF _Toc212100969 \h </w:instrText>
            </w:r>
            <w:r w:rsidR="00D765A9" w:rsidRPr="00AF2E74">
              <w:rPr>
                <w:noProof/>
                <w:webHidden/>
              </w:rPr>
            </w:r>
            <w:r w:rsidR="00D765A9" w:rsidRPr="00AF2E74">
              <w:rPr>
                <w:noProof/>
                <w:webHidden/>
              </w:rPr>
              <w:fldChar w:fldCharType="separate"/>
            </w:r>
            <w:r w:rsidR="00AF2E74">
              <w:rPr>
                <w:noProof/>
                <w:webHidden/>
              </w:rPr>
              <w:t>1</w:t>
            </w:r>
            <w:r w:rsidR="00D765A9" w:rsidRPr="00AF2E74">
              <w:rPr>
                <w:noProof/>
                <w:webHidden/>
              </w:rPr>
              <w:fldChar w:fldCharType="end"/>
            </w:r>
          </w:hyperlink>
        </w:p>
        <w:p w14:paraId="634BAFE3" w14:textId="38B054C9" w:rsidR="00D765A9" w:rsidRPr="00AF2E74" w:rsidRDefault="00EC373E" w:rsidP="00D765A9">
          <w:pPr>
            <w:pStyle w:val="TDC3"/>
            <w:rPr>
              <w:rFonts w:asciiTheme="minorHAnsi" w:eastAsiaTheme="minorEastAsia" w:hAnsiTheme="minorHAnsi" w:cstheme="minorBidi"/>
              <w:noProof/>
              <w:szCs w:val="22"/>
              <w:lang w:eastAsia="es-MX"/>
            </w:rPr>
          </w:pPr>
          <w:hyperlink w:anchor="_Toc212100970" w:history="1">
            <w:r w:rsidR="00D765A9" w:rsidRPr="00AF2E74">
              <w:rPr>
                <w:rStyle w:val="Hipervnculo"/>
                <w:noProof/>
                <w:color w:val="auto"/>
              </w:rPr>
              <w:t>a) Solicitud de información</w:t>
            </w:r>
            <w:r w:rsidR="00D765A9" w:rsidRPr="00AF2E74">
              <w:rPr>
                <w:noProof/>
                <w:webHidden/>
              </w:rPr>
              <w:tab/>
            </w:r>
            <w:r w:rsidR="00D765A9" w:rsidRPr="00AF2E74">
              <w:rPr>
                <w:noProof/>
                <w:webHidden/>
              </w:rPr>
              <w:fldChar w:fldCharType="begin"/>
            </w:r>
            <w:r w:rsidR="00D765A9" w:rsidRPr="00AF2E74">
              <w:rPr>
                <w:noProof/>
                <w:webHidden/>
              </w:rPr>
              <w:instrText xml:space="preserve"> PAGEREF _Toc212100970 \h </w:instrText>
            </w:r>
            <w:r w:rsidR="00D765A9" w:rsidRPr="00AF2E74">
              <w:rPr>
                <w:noProof/>
                <w:webHidden/>
              </w:rPr>
            </w:r>
            <w:r w:rsidR="00D765A9" w:rsidRPr="00AF2E74">
              <w:rPr>
                <w:noProof/>
                <w:webHidden/>
              </w:rPr>
              <w:fldChar w:fldCharType="separate"/>
            </w:r>
            <w:r w:rsidR="00AF2E74">
              <w:rPr>
                <w:noProof/>
                <w:webHidden/>
              </w:rPr>
              <w:t>1</w:t>
            </w:r>
            <w:r w:rsidR="00D765A9" w:rsidRPr="00AF2E74">
              <w:rPr>
                <w:noProof/>
                <w:webHidden/>
              </w:rPr>
              <w:fldChar w:fldCharType="end"/>
            </w:r>
          </w:hyperlink>
        </w:p>
        <w:p w14:paraId="69A794E5" w14:textId="02FCDE7B" w:rsidR="00D765A9" w:rsidRPr="00AF2E74" w:rsidRDefault="00EC373E" w:rsidP="00D765A9">
          <w:pPr>
            <w:pStyle w:val="TDC3"/>
            <w:rPr>
              <w:rFonts w:asciiTheme="minorHAnsi" w:eastAsiaTheme="minorEastAsia" w:hAnsiTheme="minorHAnsi" w:cstheme="minorBidi"/>
              <w:noProof/>
              <w:szCs w:val="22"/>
              <w:lang w:eastAsia="es-MX"/>
            </w:rPr>
          </w:pPr>
          <w:hyperlink w:anchor="_Toc212100971" w:history="1">
            <w:r w:rsidR="00D765A9" w:rsidRPr="00AF2E74">
              <w:rPr>
                <w:rStyle w:val="Hipervnculo"/>
                <w:noProof/>
                <w:color w:val="auto"/>
              </w:rPr>
              <w:t>b) Turno de la solicitud de información</w:t>
            </w:r>
            <w:r w:rsidR="00D765A9" w:rsidRPr="00AF2E74">
              <w:rPr>
                <w:noProof/>
                <w:webHidden/>
              </w:rPr>
              <w:tab/>
            </w:r>
            <w:r w:rsidR="00D765A9" w:rsidRPr="00AF2E74">
              <w:rPr>
                <w:noProof/>
                <w:webHidden/>
              </w:rPr>
              <w:fldChar w:fldCharType="begin"/>
            </w:r>
            <w:r w:rsidR="00D765A9" w:rsidRPr="00AF2E74">
              <w:rPr>
                <w:noProof/>
                <w:webHidden/>
              </w:rPr>
              <w:instrText xml:space="preserve"> PAGEREF _Toc212100971 \h </w:instrText>
            </w:r>
            <w:r w:rsidR="00D765A9" w:rsidRPr="00AF2E74">
              <w:rPr>
                <w:noProof/>
                <w:webHidden/>
              </w:rPr>
            </w:r>
            <w:r w:rsidR="00D765A9" w:rsidRPr="00AF2E74">
              <w:rPr>
                <w:noProof/>
                <w:webHidden/>
              </w:rPr>
              <w:fldChar w:fldCharType="separate"/>
            </w:r>
            <w:r w:rsidR="00AF2E74">
              <w:rPr>
                <w:noProof/>
                <w:webHidden/>
              </w:rPr>
              <w:t>2</w:t>
            </w:r>
            <w:r w:rsidR="00D765A9" w:rsidRPr="00AF2E74">
              <w:rPr>
                <w:noProof/>
                <w:webHidden/>
              </w:rPr>
              <w:fldChar w:fldCharType="end"/>
            </w:r>
          </w:hyperlink>
        </w:p>
        <w:p w14:paraId="5D07F194" w14:textId="38B5FF41" w:rsidR="00D765A9" w:rsidRPr="00AF2E74" w:rsidRDefault="00EC373E" w:rsidP="00D765A9">
          <w:pPr>
            <w:pStyle w:val="TDC3"/>
            <w:rPr>
              <w:rFonts w:asciiTheme="minorHAnsi" w:eastAsiaTheme="minorEastAsia" w:hAnsiTheme="minorHAnsi" w:cstheme="minorBidi"/>
              <w:noProof/>
              <w:szCs w:val="22"/>
              <w:lang w:eastAsia="es-MX"/>
            </w:rPr>
          </w:pPr>
          <w:hyperlink w:anchor="_Toc212100972" w:history="1">
            <w:r w:rsidR="00D765A9" w:rsidRPr="00AF2E74">
              <w:rPr>
                <w:rStyle w:val="Hipervnculo"/>
                <w:noProof/>
                <w:color w:val="auto"/>
              </w:rPr>
              <w:t xml:space="preserve">c) </w:t>
            </w:r>
            <w:r w:rsidR="00D765A9" w:rsidRPr="00AF2E74">
              <w:rPr>
                <w:rStyle w:val="Hipervnculo"/>
                <w:noProof/>
                <w:color w:val="auto"/>
                <w:lang w:val="es-ES"/>
              </w:rPr>
              <w:t xml:space="preserve">Respuesta </w:t>
            </w:r>
            <w:r w:rsidR="00D765A9" w:rsidRPr="00AF2E74">
              <w:rPr>
                <w:rStyle w:val="Hipervnculo"/>
                <w:rFonts w:eastAsia="Calibri"/>
                <w:noProof/>
                <w:color w:val="auto"/>
                <w:lang w:eastAsia="en-US"/>
              </w:rPr>
              <w:t>del Sujeto Obligado</w:t>
            </w:r>
            <w:r w:rsidR="00D765A9" w:rsidRPr="00AF2E74">
              <w:rPr>
                <w:noProof/>
                <w:webHidden/>
              </w:rPr>
              <w:tab/>
            </w:r>
            <w:r w:rsidR="00D765A9" w:rsidRPr="00AF2E74">
              <w:rPr>
                <w:noProof/>
                <w:webHidden/>
              </w:rPr>
              <w:fldChar w:fldCharType="begin"/>
            </w:r>
            <w:r w:rsidR="00D765A9" w:rsidRPr="00AF2E74">
              <w:rPr>
                <w:noProof/>
                <w:webHidden/>
              </w:rPr>
              <w:instrText xml:space="preserve"> PAGEREF _Toc212100972 \h </w:instrText>
            </w:r>
            <w:r w:rsidR="00D765A9" w:rsidRPr="00AF2E74">
              <w:rPr>
                <w:noProof/>
                <w:webHidden/>
              </w:rPr>
            </w:r>
            <w:r w:rsidR="00D765A9" w:rsidRPr="00AF2E74">
              <w:rPr>
                <w:noProof/>
                <w:webHidden/>
              </w:rPr>
              <w:fldChar w:fldCharType="separate"/>
            </w:r>
            <w:r w:rsidR="00AF2E74">
              <w:rPr>
                <w:noProof/>
                <w:webHidden/>
              </w:rPr>
              <w:t>2</w:t>
            </w:r>
            <w:r w:rsidR="00D765A9" w:rsidRPr="00AF2E74">
              <w:rPr>
                <w:noProof/>
                <w:webHidden/>
              </w:rPr>
              <w:fldChar w:fldCharType="end"/>
            </w:r>
          </w:hyperlink>
        </w:p>
        <w:p w14:paraId="14CB932F" w14:textId="273E6D9D" w:rsidR="00D765A9" w:rsidRPr="00AF2E74" w:rsidRDefault="00EC373E" w:rsidP="00D765A9">
          <w:pPr>
            <w:pStyle w:val="TDC2"/>
            <w:rPr>
              <w:rFonts w:asciiTheme="minorHAnsi" w:eastAsiaTheme="minorEastAsia" w:hAnsiTheme="minorHAnsi" w:cstheme="minorBidi"/>
              <w:noProof/>
              <w:szCs w:val="22"/>
              <w:lang w:eastAsia="es-MX"/>
            </w:rPr>
          </w:pPr>
          <w:hyperlink w:anchor="_Toc212100973" w:history="1">
            <w:r w:rsidR="00D765A9" w:rsidRPr="00AF2E74">
              <w:rPr>
                <w:rStyle w:val="Hipervnculo"/>
                <w:noProof/>
                <w:color w:val="auto"/>
              </w:rPr>
              <w:t>DEL RECURSO DE REVISIÓN</w:t>
            </w:r>
            <w:r w:rsidR="00D765A9" w:rsidRPr="00AF2E74">
              <w:rPr>
                <w:noProof/>
                <w:webHidden/>
              </w:rPr>
              <w:tab/>
            </w:r>
            <w:r w:rsidR="00D765A9" w:rsidRPr="00AF2E74">
              <w:rPr>
                <w:noProof/>
                <w:webHidden/>
              </w:rPr>
              <w:fldChar w:fldCharType="begin"/>
            </w:r>
            <w:r w:rsidR="00D765A9" w:rsidRPr="00AF2E74">
              <w:rPr>
                <w:noProof/>
                <w:webHidden/>
              </w:rPr>
              <w:instrText xml:space="preserve"> PAGEREF _Toc212100973 \h </w:instrText>
            </w:r>
            <w:r w:rsidR="00D765A9" w:rsidRPr="00AF2E74">
              <w:rPr>
                <w:noProof/>
                <w:webHidden/>
              </w:rPr>
            </w:r>
            <w:r w:rsidR="00D765A9" w:rsidRPr="00AF2E74">
              <w:rPr>
                <w:noProof/>
                <w:webHidden/>
              </w:rPr>
              <w:fldChar w:fldCharType="separate"/>
            </w:r>
            <w:r w:rsidR="00AF2E74">
              <w:rPr>
                <w:noProof/>
                <w:webHidden/>
              </w:rPr>
              <w:t>3</w:t>
            </w:r>
            <w:r w:rsidR="00D765A9" w:rsidRPr="00AF2E74">
              <w:rPr>
                <w:noProof/>
                <w:webHidden/>
              </w:rPr>
              <w:fldChar w:fldCharType="end"/>
            </w:r>
          </w:hyperlink>
        </w:p>
        <w:p w14:paraId="60DA3270" w14:textId="505A2D44" w:rsidR="00D765A9" w:rsidRPr="00AF2E74" w:rsidRDefault="00EC373E" w:rsidP="00D765A9">
          <w:pPr>
            <w:pStyle w:val="TDC3"/>
            <w:rPr>
              <w:rFonts w:asciiTheme="minorHAnsi" w:eastAsiaTheme="minorEastAsia" w:hAnsiTheme="minorHAnsi" w:cstheme="minorBidi"/>
              <w:noProof/>
              <w:szCs w:val="22"/>
              <w:lang w:eastAsia="es-MX"/>
            </w:rPr>
          </w:pPr>
          <w:hyperlink w:anchor="_Toc212100974" w:history="1">
            <w:r w:rsidR="00D765A9" w:rsidRPr="00AF2E74">
              <w:rPr>
                <w:rStyle w:val="Hipervnculo"/>
                <w:noProof/>
                <w:color w:val="auto"/>
              </w:rPr>
              <w:t>a) Interposición del Recurso de Revisión</w:t>
            </w:r>
            <w:r w:rsidR="00D765A9" w:rsidRPr="00AF2E74">
              <w:rPr>
                <w:noProof/>
                <w:webHidden/>
              </w:rPr>
              <w:tab/>
            </w:r>
            <w:r w:rsidR="00D765A9" w:rsidRPr="00AF2E74">
              <w:rPr>
                <w:noProof/>
                <w:webHidden/>
              </w:rPr>
              <w:fldChar w:fldCharType="begin"/>
            </w:r>
            <w:r w:rsidR="00D765A9" w:rsidRPr="00AF2E74">
              <w:rPr>
                <w:noProof/>
                <w:webHidden/>
              </w:rPr>
              <w:instrText xml:space="preserve"> PAGEREF _Toc212100974 \h </w:instrText>
            </w:r>
            <w:r w:rsidR="00D765A9" w:rsidRPr="00AF2E74">
              <w:rPr>
                <w:noProof/>
                <w:webHidden/>
              </w:rPr>
            </w:r>
            <w:r w:rsidR="00D765A9" w:rsidRPr="00AF2E74">
              <w:rPr>
                <w:noProof/>
                <w:webHidden/>
              </w:rPr>
              <w:fldChar w:fldCharType="separate"/>
            </w:r>
            <w:r w:rsidR="00AF2E74">
              <w:rPr>
                <w:noProof/>
                <w:webHidden/>
              </w:rPr>
              <w:t>3</w:t>
            </w:r>
            <w:r w:rsidR="00D765A9" w:rsidRPr="00AF2E74">
              <w:rPr>
                <w:noProof/>
                <w:webHidden/>
              </w:rPr>
              <w:fldChar w:fldCharType="end"/>
            </w:r>
          </w:hyperlink>
        </w:p>
        <w:p w14:paraId="2DCDCDA7" w14:textId="7530133D" w:rsidR="00D765A9" w:rsidRPr="00AF2E74" w:rsidRDefault="00EC373E" w:rsidP="00D765A9">
          <w:pPr>
            <w:pStyle w:val="TDC3"/>
            <w:rPr>
              <w:rFonts w:asciiTheme="minorHAnsi" w:eastAsiaTheme="minorEastAsia" w:hAnsiTheme="minorHAnsi" w:cstheme="minorBidi"/>
              <w:noProof/>
              <w:szCs w:val="22"/>
              <w:lang w:eastAsia="es-MX"/>
            </w:rPr>
          </w:pPr>
          <w:hyperlink w:anchor="_Toc212100975" w:history="1">
            <w:r w:rsidR="00D765A9" w:rsidRPr="00AF2E74">
              <w:rPr>
                <w:rStyle w:val="Hipervnculo"/>
                <w:noProof/>
                <w:color w:val="auto"/>
              </w:rPr>
              <w:t>b) Turno del Recurso de Revisión</w:t>
            </w:r>
            <w:r w:rsidR="00D765A9" w:rsidRPr="00AF2E74">
              <w:rPr>
                <w:noProof/>
                <w:webHidden/>
              </w:rPr>
              <w:tab/>
            </w:r>
            <w:r w:rsidR="00D765A9" w:rsidRPr="00AF2E74">
              <w:rPr>
                <w:noProof/>
                <w:webHidden/>
              </w:rPr>
              <w:fldChar w:fldCharType="begin"/>
            </w:r>
            <w:r w:rsidR="00D765A9" w:rsidRPr="00AF2E74">
              <w:rPr>
                <w:noProof/>
                <w:webHidden/>
              </w:rPr>
              <w:instrText xml:space="preserve"> PAGEREF _Toc212100975 \h </w:instrText>
            </w:r>
            <w:r w:rsidR="00D765A9" w:rsidRPr="00AF2E74">
              <w:rPr>
                <w:noProof/>
                <w:webHidden/>
              </w:rPr>
            </w:r>
            <w:r w:rsidR="00D765A9" w:rsidRPr="00AF2E74">
              <w:rPr>
                <w:noProof/>
                <w:webHidden/>
              </w:rPr>
              <w:fldChar w:fldCharType="separate"/>
            </w:r>
            <w:r w:rsidR="00AF2E74">
              <w:rPr>
                <w:noProof/>
                <w:webHidden/>
              </w:rPr>
              <w:t>3</w:t>
            </w:r>
            <w:r w:rsidR="00D765A9" w:rsidRPr="00AF2E74">
              <w:rPr>
                <w:noProof/>
                <w:webHidden/>
              </w:rPr>
              <w:fldChar w:fldCharType="end"/>
            </w:r>
          </w:hyperlink>
        </w:p>
        <w:p w14:paraId="4B5746C6" w14:textId="678D9DAD" w:rsidR="00D765A9" w:rsidRPr="00AF2E74" w:rsidRDefault="00EC373E" w:rsidP="00D765A9">
          <w:pPr>
            <w:pStyle w:val="TDC3"/>
            <w:rPr>
              <w:rFonts w:asciiTheme="minorHAnsi" w:eastAsiaTheme="minorEastAsia" w:hAnsiTheme="minorHAnsi" w:cstheme="minorBidi"/>
              <w:noProof/>
              <w:szCs w:val="22"/>
              <w:lang w:eastAsia="es-MX"/>
            </w:rPr>
          </w:pPr>
          <w:hyperlink w:anchor="_Toc212100976" w:history="1">
            <w:r w:rsidR="00D765A9" w:rsidRPr="00AF2E74">
              <w:rPr>
                <w:rStyle w:val="Hipervnculo"/>
                <w:noProof/>
                <w:color w:val="auto"/>
              </w:rPr>
              <w:t>c) Admisión del Recurso de Revisión</w:t>
            </w:r>
            <w:r w:rsidR="00D765A9" w:rsidRPr="00AF2E74">
              <w:rPr>
                <w:noProof/>
                <w:webHidden/>
              </w:rPr>
              <w:tab/>
            </w:r>
            <w:r w:rsidR="00D765A9" w:rsidRPr="00AF2E74">
              <w:rPr>
                <w:noProof/>
                <w:webHidden/>
              </w:rPr>
              <w:fldChar w:fldCharType="begin"/>
            </w:r>
            <w:r w:rsidR="00D765A9" w:rsidRPr="00AF2E74">
              <w:rPr>
                <w:noProof/>
                <w:webHidden/>
              </w:rPr>
              <w:instrText xml:space="preserve"> PAGEREF _Toc212100976 \h </w:instrText>
            </w:r>
            <w:r w:rsidR="00D765A9" w:rsidRPr="00AF2E74">
              <w:rPr>
                <w:noProof/>
                <w:webHidden/>
              </w:rPr>
            </w:r>
            <w:r w:rsidR="00D765A9" w:rsidRPr="00AF2E74">
              <w:rPr>
                <w:noProof/>
                <w:webHidden/>
              </w:rPr>
              <w:fldChar w:fldCharType="separate"/>
            </w:r>
            <w:r w:rsidR="00AF2E74">
              <w:rPr>
                <w:noProof/>
                <w:webHidden/>
              </w:rPr>
              <w:t>4</w:t>
            </w:r>
            <w:r w:rsidR="00D765A9" w:rsidRPr="00AF2E74">
              <w:rPr>
                <w:noProof/>
                <w:webHidden/>
              </w:rPr>
              <w:fldChar w:fldCharType="end"/>
            </w:r>
          </w:hyperlink>
        </w:p>
        <w:p w14:paraId="6E43023A" w14:textId="3A5A2883" w:rsidR="00D765A9" w:rsidRPr="00AF2E74" w:rsidRDefault="00EC373E" w:rsidP="00D765A9">
          <w:pPr>
            <w:pStyle w:val="TDC3"/>
            <w:rPr>
              <w:rFonts w:asciiTheme="minorHAnsi" w:eastAsiaTheme="minorEastAsia" w:hAnsiTheme="minorHAnsi" w:cstheme="minorBidi"/>
              <w:noProof/>
              <w:szCs w:val="22"/>
              <w:lang w:eastAsia="es-MX"/>
            </w:rPr>
          </w:pPr>
          <w:hyperlink w:anchor="_Toc212100977" w:history="1">
            <w:r w:rsidR="00D765A9" w:rsidRPr="00AF2E74">
              <w:rPr>
                <w:rStyle w:val="Hipervnculo"/>
                <w:noProof/>
                <w:color w:val="auto"/>
              </w:rPr>
              <w:t>d) Informe Justificado del Sujeto Obligado</w:t>
            </w:r>
            <w:r w:rsidR="00D765A9" w:rsidRPr="00AF2E74">
              <w:rPr>
                <w:noProof/>
                <w:webHidden/>
              </w:rPr>
              <w:tab/>
            </w:r>
            <w:r w:rsidR="00D765A9" w:rsidRPr="00AF2E74">
              <w:rPr>
                <w:noProof/>
                <w:webHidden/>
              </w:rPr>
              <w:fldChar w:fldCharType="begin"/>
            </w:r>
            <w:r w:rsidR="00D765A9" w:rsidRPr="00AF2E74">
              <w:rPr>
                <w:noProof/>
                <w:webHidden/>
              </w:rPr>
              <w:instrText xml:space="preserve"> PAGEREF _Toc212100977 \h </w:instrText>
            </w:r>
            <w:r w:rsidR="00D765A9" w:rsidRPr="00AF2E74">
              <w:rPr>
                <w:noProof/>
                <w:webHidden/>
              </w:rPr>
            </w:r>
            <w:r w:rsidR="00D765A9" w:rsidRPr="00AF2E74">
              <w:rPr>
                <w:noProof/>
                <w:webHidden/>
              </w:rPr>
              <w:fldChar w:fldCharType="separate"/>
            </w:r>
            <w:r w:rsidR="00AF2E74">
              <w:rPr>
                <w:noProof/>
                <w:webHidden/>
              </w:rPr>
              <w:t>4</w:t>
            </w:r>
            <w:r w:rsidR="00D765A9" w:rsidRPr="00AF2E74">
              <w:rPr>
                <w:noProof/>
                <w:webHidden/>
              </w:rPr>
              <w:fldChar w:fldCharType="end"/>
            </w:r>
          </w:hyperlink>
        </w:p>
        <w:p w14:paraId="1BB96548" w14:textId="04937D69" w:rsidR="00D765A9" w:rsidRPr="00AF2E74" w:rsidRDefault="00EC373E" w:rsidP="00D765A9">
          <w:pPr>
            <w:pStyle w:val="TDC3"/>
            <w:rPr>
              <w:rFonts w:asciiTheme="minorHAnsi" w:eastAsiaTheme="minorEastAsia" w:hAnsiTheme="minorHAnsi" w:cstheme="minorBidi"/>
              <w:noProof/>
              <w:szCs w:val="22"/>
              <w:lang w:eastAsia="es-MX"/>
            </w:rPr>
          </w:pPr>
          <w:hyperlink w:anchor="_Toc212100978" w:history="1">
            <w:r w:rsidR="00D765A9" w:rsidRPr="00AF2E74">
              <w:rPr>
                <w:rStyle w:val="Hipervnculo"/>
                <w:rFonts w:eastAsia="Calibri"/>
                <w:bCs/>
                <w:noProof/>
                <w:color w:val="auto"/>
                <w:lang w:eastAsia="en-US"/>
              </w:rPr>
              <w:t>e)</w:t>
            </w:r>
            <w:r w:rsidR="00D765A9" w:rsidRPr="00AF2E74">
              <w:rPr>
                <w:rStyle w:val="Hipervnculo"/>
                <w:noProof/>
                <w:color w:val="auto"/>
              </w:rPr>
              <w:t xml:space="preserve"> </w:t>
            </w:r>
            <w:r w:rsidR="00D765A9" w:rsidRPr="00AF2E74">
              <w:rPr>
                <w:rStyle w:val="Hipervnculo"/>
                <w:noProof/>
                <w:color w:val="auto"/>
                <w:lang w:val="es-ES"/>
              </w:rPr>
              <w:t>Manifestaciones de la Parte Recurrente</w:t>
            </w:r>
            <w:r w:rsidR="00D765A9" w:rsidRPr="00AF2E74">
              <w:rPr>
                <w:noProof/>
                <w:webHidden/>
              </w:rPr>
              <w:tab/>
            </w:r>
            <w:r w:rsidR="00D765A9" w:rsidRPr="00AF2E74">
              <w:rPr>
                <w:noProof/>
                <w:webHidden/>
              </w:rPr>
              <w:fldChar w:fldCharType="begin"/>
            </w:r>
            <w:r w:rsidR="00D765A9" w:rsidRPr="00AF2E74">
              <w:rPr>
                <w:noProof/>
                <w:webHidden/>
              </w:rPr>
              <w:instrText xml:space="preserve"> PAGEREF _Toc212100978 \h </w:instrText>
            </w:r>
            <w:r w:rsidR="00D765A9" w:rsidRPr="00AF2E74">
              <w:rPr>
                <w:noProof/>
                <w:webHidden/>
              </w:rPr>
            </w:r>
            <w:r w:rsidR="00D765A9" w:rsidRPr="00AF2E74">
              <w:rPr>
                <w:noProof/>
                <w:webHidden/>
              </w:rPr>
              <w:fldChar w:fldCharType="separate"/>
            </w:r>
            <w:r w:rsidR="00AF2E74">
              <w:rPr>
                <w:noProof/>
                <w:webHidden/>
              </w:rPr>
              <w:t>6</w:t>
            </w:r>
            <w:r w:rsidR="00D765A9" w:rsidRPr="00AF2E74">
              <w:rPr>
                <w:noProof/>
                <w:webHidden/>
              </w:rPr>
              <w:fldChar w:fldCharType="end"/>
            </w:r>
          </w:hyperlink>
        </w:p>
        <w:p w14:paraId="326F3886" w14:textId="7ACCE82D" w:rsidR="00D765A9" w:rsidRPr="00AF2E74" w:rsidRDefault="00EC373E" w:rsidP="00D765A9">
          <w:pPr>
            <w:pStyle w:val="TDC3"/>
            <w:rPr>
              <w:rFonts w:asciiTheme="minorHAnsi" w:eastAsiaTheme="minorEastAsia" w:hAnsiTheme="minorHAnsi" w:cstheme="minorBidi"/>
              <w:noProof/>
              <w:szCs w:val="22"/>
              <w:lang w:eastAsia="es-MX"/>
            </w:rPr>
          </w:pPr>
          <w:hyperlink w:anchor="_Toc212100979" w:history="1">
            <w:r w:rsidR="00D765A9" w:rsidRPr="00AF2E74">
              <w:rPr>
                <w:rStyle w:val="Hipervnculo"/>
                <w:noProof/>
                <w:color w:val="auto"/>
                <w:lang w:val="es-ES"/>
              </w:rPr>
              <w:t xml:space="preserve">f) </w:t>
            </w:r>
            <w:r w:rsidR="00D765A9" w:rsidRPr="00AF2E74">
              <w:rPr>
                <w:rStyle w:val="Hipervnculo"/>
                <w:noProof/>
                <w:color w:val="auto"/>
              </w:rPr>
              <w:t>Cierre de instrucción</w:t>
            </w:r>
            <w:r w:rsidR="00D765A9" w:rsidRPr="00AF2E74">
              <w:rPr>
                <w:noProof/>
                <w:webHidden/>
              </w:rPr>
              <w:tab/>
            </w:r>
            <w:r w:rsidR="00D765A9" w:rsidRPr="00AF2E74">
              <w:rPr>
                <w:noProof/>
                <w:webHidden/>
              </w:rPr>
              <w:fldChar w:fldCharType="begin"/>
            </w:r>
            <w:r w:rsidR="00D765A9" w:rsidRPr="00AF2E74">
              <w:rPr>
                <w:noProof/>
                <w:webHidden/>
              </w:rPr>
              <w:instrText xml:space="preserve"> PAGEREF _Toc212100979 \h </w:instrText>
            </w:r>
            <w:r w:rsidR="00D765A9" w:rsidRPr="00AF2E74">
              <w:rPr>
                <w:noProof/>
                <w:webHidden/>
              </w:rPr>
            </w:r>
            <w:r w:rsidR="00D765A9" w:rsidRPr="00AF2E74">
              <w:rPr>
                <w:noProof/>
                <w:webHidden/>
              </w:rPr>
              <w:fldChar w:fldCharType="separate"/>
            </w:r>
            <w:r w:rsidR="00AF2E74">
              <w:rPr>
                <w:noProof/>
                <w:webHidden/>
              </w:rPr>
              <w:t>6</w:t>
            </w:r>
            <w:r w:rsidR="00D765A9" w:rsidRPr="00AF2E74">
              <w:rPr>
                <w:noProof/>
                <w:webHidden/>
              </w:rPr>
              <w:fldChar w:fldCharType="end"/>
            </w:r>
          </w:hyperlink>
        </w:p>
        <w:p w14:paraId="6FD83D73" w14:textId="25F0AD79" w:rsidR="00D765A9" w:rsidRPr="00AF2E74" w:rsidRDefault="00EC373E" w:rsidP="00D765A9">
          <w:pPr>
            <w:pStyle w:val="TDC3"/>
            <w:rPr>
              <w:rFonts w:asciiTheme="minorHAnsi" w:eastAsiaTheme="minorEastAsia" w:hAnsiTheme="minorHAnsi" w:cstheme="minorBidi"/>
              <w:noProof/>
              <w:szCs w:val="22"/>
              <w:lang w:eastAsia="es-MX"/>
            </w:rPr>
          </w:pPr>
          <w:hyperlink w:anchor="_Toc212100980" w:history="1">
            <w:r w:rsidR="00D765A9" w:rsidRPr="00AF2E74">
              <w:rPr>
                <w:rStyle w:val="Hipervnculo"/>
                <w:noProof/>
                <w:color w:val="auto"/>
              </w:rPr>
              <w:t>g) Ampliación de Plazo para Resolver</w:t>
            </w:r>
            <w:r w:rsidR="00D765A9" w:rsidRPr="00AF2E74">
              <w:rPr>
                <w:noProof/>
                <w:webHidden/>
              </w:rPr>
              <w:tab/>
            </w:r>
            <w:r w:rsidR="00D765A9" w:rsidRPr="00AF2E74">
              <w:rPr>
                <w:noProof/>
                <w:webHidden/>
              </w:rPr>
              <w:fldChar w:fldCharType="begin"/>
            </w:r>
            <w:r w:rsidR="00D765A9" w:rsidRPr="00AF2E74">
              <w:rPr>
                <w:noProof/>
                <w:webHidden/>
              </w:rPr>
              <w:instrText xml:space="preserve"> PAGEREF _Toc212100980 \h </w:instrText>
            </w:r>
            <w:r w:rsidR="00D765A9" w:rsidRPr="00AF2E74">
              <w:rPr>
                <w:noProof/>
                <w:webHidden/>
              </w:rPr>
            </w:r>
            <w:r w:rsidR="00D765A9" w:rsidRPr="00AF2E74">
              <w:rPr>
                <w:noProof/>
                <w:webHidden/>
              </w:rPr>
              <w:fldChar w:fldCharType="separate"/>
            </w:r>
            <w:r w:rsidR="00AF2E74">
              <w:rPr>
                <w:noProof/>
                <w:webHidden/>
              </w:rPr>
              <w:t>6</w:t>
            </w:r>
            <w:r w:rsidR="00D765A9" w:rsidRPr="00AF2E74">
              <w:rPr>
                <w:noProof/>
                <w:webHidden/>
              </w:rPr>
              <w:fldChar w:fldCharType="end"/>
            </w:r>
          </w:hyperlink>
        </w:p>
        <w:p w14:paraId="55BA5DA3" w14:textId="388B2D34" w:rsidR="00D765A9" w:rsidRPr="00AF2E74" w:rsidRDefault="00EC373E" w:rsidP="00D765A9">
          <w:pPr>
            <w:pStyle w:val="TDC1"/>
            <w:tabs>
              <w:tab w:val="right" w:leader="dot" w:pos="9034"/>
            </w:tabs>
            <w:rPr>
              <w:rFonts w:asciiTheme="minorHAnsi" w:eastAsiaTheme="minorEastAsia" w:hAnsiTheme="minorHAnsi" w:cstheme="minorBidi"/>
              <w:noProof/>
              <w:szCs w:val="22"/>
              <w:lang w:eastAsia="es-MX"/>
            </w:rPr>
          </w:pPr>
          <w:hyperlink w:anchor="_Toc212100981" w:history="1">
            <w:r w:rsidR="00D765A9" w:rsidRPr="00AF2E74">
              <w:rPr>
                <w:rStyle w:val="Hipervnculo"/>
                <w:rFonts w:eastAsiaTheme="minorHAnsi"/>
                <w:noProof/>
                <w:color w:val="auto"/>
                <w:lang w:eastAsia="en-US"/>
              </w:rPr>
              <w:t>CONSIDERANDOS</w:t>
            </w:r>
            <w:r w:rsidR="00D765A9" w:rsidRPr="00AF2E74">
              <w:rPr>
                <w:noProof/>
                <w:webHidden/>
              </w:rPr>
              <w:tab/>
            </w:r>
            <w:r w:rsidR="00D765A9" w:rsidRPr="00AF2E74">
              <w:rPr>
                <w:noProof/>
                <w:webHidden/>
              </w:rPr>
              <w:fldChar w:fldCharType="begin"/>
            </w:r>
            <w:r w:rsidR="00D765A9" w:rsidRPr="00AF2E74">
              <w:rPr>
                <w:noProof/>
                <w:webHidden/>
              </w:rPr>
              <w:instrText xml:space="preserve"> PAGEREF _Toc212100981 \h </w:instrText>
            </w:r>
            <w:r w:rsidR="00D765A9" w:rsidRPr="00AF2E74">
              <w:rPr>
                <w:noProof/>
                <w:webHidden/>
              </w:rPr>
            </w:r>
            <w:r w:rsidR="00D765A9" w:rsidRPr="00AF2E74">
              <w:rPr>
                <w:noProof/>
                <w:webHidden/>
              </w:rPr>
              <w:fldChar w:fldCharType="separate"/>
            </w:r>
            <w:r w:rsidR="00AF2E74">
              <w:rPr>
                <w:noProof/>
                <w:webHidden/>
              </w:rPr>
              <w:t>7</w:t>
            </w:r>
            <w:r w:rsidR="00D765A9" w:rsidRPr="00AF2E74">
              <w:rPr>
                <w:noProof/>
                <w:webHidden/>
              </w:rPr>
              <w:fldChar w:fldCharType="end"/>
            </w:r>
          </w:hyperlink>
        </w:p>
        <w:p w14:paraId="69A70F9A" w14:textId="7F31A83A" w:rsidR="00D765A9" w:rsidRPr="00AF2E74" w:rsidRDefault="00EC373E" w:rsidP="00D765A9">
          <w:pPr>
            <w:pStyle w:val="TDC2"/>
            <w:rPr>
              <w:rFonts w:asciiTheme="minorHAnsi" w:eastAsiaTheme="minorEastAsia" w:hAnsiTheme="minorHAnsi" w:cstheme="minorBidi"/>
              <w:noProof/>
              <w:szCs w:val="22"/>
              <w:lang w:eastAsia="es-MX"/>
            </w:rPr>
          </w:pPr>
          <w:hyperlink w:anchor="_Toc212100982" w:history="1">
            <w:r w:rsidR="00D765A9" w:rsidRPr="00AF2E74">
              <w:rPr>
                <w:rStyle w:val="Hipervnculo"/>
                <w:rFonts w:eastAsia="Batang"/>
                <w:noProof/>
                <w:color w:val="auto"/>
              </w:rPr>
              <w:t>PRIMERO. Procedibilidad</w:t>
            </w:r>
            <w:r w:rsidR="00D765A9" w:rsidRPr="00AF2E74">
              <w:rPr>
                <w:noProof/>
                <w:webHidden/>
              </w:rPr>
              <w:tab/>
            </w:r>
            <w:r w:rsidR="00D765A9" w:rsidRPr="00AF2E74">
              <w:rPr>
                <w:noProof/>
                <w:webHidden/>
              </w:rPr>
              <w:fldChar w:fldCharType="begin"/>
            </w:r>
            <w:r w:rsidR="00D765A9" w:rsidRPr="00AF2E74">
              <w:rPr>
                <w:noProof/>
                <w:webHidden/>
              </w:rPr>
              <w:instrText xml:space="preserve"> PAGEREF _Toc212100982 \h </w:instrText>
            </w:r>
            <w:r w:rsidR="00D765A9" w:rsidRPr="00AF2E74">
              <w:rPr>
                <w:noProof/>
                <w:webHidden/>
              </w:rPr>
            </w:r>
            <w:r w:rsidR="00D765A9" w:rsidRPr="00AF2E74">
              <w:rPr>
                <w:noProof/>
                <w:webHidden/>
              </w:rPr>
              <w:fldChar w:fldCharType="separate"/>
            </w:r>
            <w:r w:rsidR="00AF2E74">
              <w:rPr>
                <w:noProof/>
                <w:webHidden/>
              </w:rPr>
              <w:t>7</w:t>
            </w:r>
            <w:r w:rsidR="00D765A9" w:rsidRPr="00AF2E74">
              <w:rPr>
                <w:noProof/>
                <w:webHidden/>
              </w:rPr>
              <w:fldChar w:fldCharType="end"/>
            </w:r>
          </w:hyperlink>
        </w:p>
        <w:p w14:paraId="490E7B89" w14:textId="7341E49B" w:rsidR="00D765A9" w:rsidRPr="00AF2E74" w:rsidRDefault="00EC373E" w:rsidP="00D765A9">
          <w:pPr>
            <w:pStyle w:val="TDC3"/>
            <w:rPr>
              <w:rFonts w:asciiTheme="minorHAnsi" w:eastAsiaTheme="minorEastAsia" w:hAnsiTheme="minorHAnsi" w:cstheme="minorBidi"/>
              <w:noProof/>
              <w:szCs w:val="22"/>
              <w:lang w:eastAsia="es-MX"/>
            </w:rPr>
          </w:pPr>
          <w:hyperlink w:anchor="_Toc212100983" w:history="1">
            <w:r w:rsidR="00D765A9" w:rsidRPr="00AF2E74">
              <w:rPr>
                <w:rStyle w:val="Hipervnculo"/>
                <w:noProof/>
                <w:color w:val="auto"/>
              </w:rPr>
              <w:t>a) Competencia del Instituto</w:t>
            </w:r>
            <w:r w:rsidR="00D765A9" w:rsidRPr="00AF2E74">
              <w:rPr>
                <w:noProof/>
                <w:webHidden/>
              </w:rPr>
              <w:tab/>
            </w:r>
            <w:r w:rsidR="00D765A9" w:rsidRPr="00AF2E74">
              <w:rPr>
                <w:noProof/>
                <w:webHidden/>
              </w:rPr>
              <w:fldChar w:fldCharType="begin"/>
            </w:r>
            <w:r w:rsidR="00D765A9" w:rsidRPr="00AF2E74">
              <w:rPr>
                <w:noProof/>
                <w:webHidden/>
              </w:rPr>
              <w:instrText xml:space="preserve"> PAGEREF _Toc212100983 \h </w:instrText>
            </w:r>
            <w:r w:rsidR="00D765A9" w:rsidRPr="00AF2E74">
              <w:rPr>
                <w:noProof/>
                <w:webHidden/>
              </w:rPr>
            </w:r>
            <w:r w:rsidR="00D765A9" w:rsidRPr="00AF2E74">
              <w:rPr>
                <w:noProof/>
                <w:webHidden/>
              </w:rPr>
              <w:fldChar w:fldCharType="separate"/>
            </w:r>
            <w:r w:rsidR="00AF2E74">
              <w:rPr>
                <w:noProof/>
                <w:webHidden/>
              </w:rPr>
              <w:t>7</w:t>
            </w:r>
            <w:r w:rsidR="00D765A9" w:rsidRPr="00AF2E74">
              <w:rPr>
                <w:noProof/>
                <w:webHidden/>
              </w:rPr>
              <w:fldChar w:fldCharType="end"/>
            </w:r>
          </w:hyperlink>
        </w:p>
        <w:p w14:paraId="4BA60286" w14:textId="7C52BA31" w:rsidR="00D765A9" w:rsidRPr="00AF2E74" w:rsidRDefault="00EC373E" w:rsidP="00D765A9">
          <w:pPr>
            <w:pStyle w:val="TDC3"/>
            <w:rPr>
              <w:rFonts w:asciiTheme="minorHAnsi" w:eastAsiaTheme="minorEastAsia" w:hAnsiTheme="minorHAnsi" w:cstheme="minorBidi"/>
              <w:noProof/>
              <w:szCs w:val="22"/>
              <w:lang w:eastAsia="es-MX"/>
            </w:rPr>
          </w:pPr>
          <w:hyperlink w:anchor="_Toc212100984" w:history="1">
            <w:r w:rsidR="00D765A9" w:rsidRPr="00AF2E74">
              <w:rPr>
                <w:rStyle w:val="Hipervnculo"/>
                <w:noProof/>
                <w:color w:val="auto"/>
              </w:rPr>
              <w:t>b) Legitimidad de la parte recurrente</w:t>
            </w:r>
            <w:r w:rsidR="00D765A9" w:rsidRPr="00AF2E74">
              <w:rPr>
                <w:noProof/>
                <w:webHidden/>
              </w:rPr>
              <w:tab/>
            </w:r>
            <w:r w:rsidR="00D765A9" w:rsidRPr="00AF2E74">
              <w:rPr>
                <w:noProof/>
                <w:webHidden/>
              </w:rPr>
              <w:fldChar w:fldCharType="begin"/>
            </w:r>
            <w:r w:rsidR="00D765A9" w:rsidRPr="00AF2E74">
              <w:rPr>
                <w:noProof/>
                <w:webHidden/>
              </w:rPr>
              <w:instrText xml:space="preserve"> PAGEREF _Toc212100984 \h </w:instrText>
            </w:r>
            <w:r w:rsidR="00D765A9" w:rsidRPr="00AF2E74">
              <w:rPr>
                <w:noProof/>
                <w:webHidden/>
              </w:rPr>
            </w:r>
            <w:r w:rsidR="00D765A9" w:rsidRPr="00AF2E74">
              <w:rPr>
                <w:noProof/>
                <w:webHidden/>
              </w:rPr>
              <w:fldChar w:fldCharType="separate"/>
            </w:r>
            <w:r w:rsidR="00AF2E74">
              <w:rPr>
                <w:noProof/>
                <w:webHidden/>
              </w:rPr>
              <w:t>7</w:t>
            </w:r>
            <w:r w:rsidR="00D765A9" w:rsidRPr="00AF2E74">
              <w:rPr>
                <w:noProof/>
                <w:webHidden/>
              </w:rPr>
              <w:fldChar w:fldCharType="end"/>
            </w:r>
          </w:hyperlink>
        </w:p>
        <w:p w14:paraId="3ABB9AA8" w14:textId="6F3C3DE3" w:rsidR="00D765A9" w:rsidRPr="00AF2E74" w:rsidRDefault="00EC373E" w:rsidP="00D765A9">
          <w:pPr>
            <w:pStyle w:val="TDC3"/>
            <w:rPr>
              <w:rFonts w:asciiTheme="minorHAnsi" w:eastAsiaTheme="minorEastAsia" w:hAnsiTheme="minorHAnsi" w:cstheme="minorBidi"/>
              <w:noProof/>
              <w:szCs w:val="22"/>
              <w:lang w:eastAsia="es-MX"/>
            </w:rPr>
          </w:pPr>
          <w:hyperlink w:anchor="_Toc212100985" w:history="1">
            <w:r w:rsidR="00D765A9" w:rsidRPr="00AF2E74">
              <w:rPr>
                <w:rStyle w:val="Hipervnculo"/>
                <w:rFonts w:eastAsia="Calibri"/>
                <w:noProof/>
                <w:color w:val="auto"/>
                <w:lang w:eastAsia="es-ES_tradnl"/>
              </w:rPr>
              <w:t>c) Plazo para interponer el recurso</w:t>
            </w:r>
            <w:r w:rsidR="00D765A9" w:rsidRPr="00AF2E74">
              <w:rPr>
                <w:noProof/>
                <w:webHidden/>
              </w:rPr>
              <w:tab/>
            </w:r>
            <w:r w:rsidR="00D765A9" w:rsidRPr="00AF2E74">
              <w:rPr>
                <w:noProof/>
                <w:webHidden/>
              </w:rPr>
              <w:fldChar w:fldCharType="begin"/>
            </w:r>
            <w:r w:rsidR="00D765A9" w:rsidRPr="00AF2E74">
              <w:rPr>
                <w:noProof/>
                <w:webHidden/>
              </w:rPr>
              <w:instrText xml:space="preserve"> PAGEREF _Toc212100985 \h </w:instrText>
            </w:r>
            <w:r w:rsidR="00D765A9" w:rsidRPr="00AF2E74">
              <w:rPr>
                <w:noProof/>
                <w:webHidden/>
              </w:rPr>
            </w:r>
            <w:r w:rsidR="00D765A9" w:rsidRPr="00AF2E74">
              <w:rPr>
                <w:noProof/>
                <w:webHidden/>
              </w:rPr>
              <w:fldChar w:fldCharType="separate"/>
            </w:r>
            <w:r w:rsidR="00AF2E74">
              <w:rPr>
                <w:noProof/>
                <w:webHidden/>
              </w:rPr>
              <w:t>7</w:t>
            </w:r>
            <w:r w:rsidR="00D765A9" w:rsidRPr="00AF2E74">
              <w:rPr>
                <w:noProof/>
                <w:webHidden/>
              </w:rPr>
              <w:fldChar w:fldCharType="end"/>
            </w:r>
          </w:hyperlink>
        </w:p>
        <w:p w14:paraId="4A28FFEA" w14:textId="5BDCCD22" w:rsidR="00D765A9" w:rsidRPr="00AF2E74" w:rsidRDefault="00EC373E" w:rsidP="00D765A9">
          <w:pPr>
            <w:pStyle w:val="TDC3"/>
            <w:rPr>
              <w:rFonts w:asciiTheme="minorHAnsi" w:eastAsiaTheme="minorEastAsia" w:hAnsiTheme="minorHAnsi" w:cstheme="minorBidi"/>
              <w:noProof/>
              <w:szCs w:val="22"/>
              <w:lang w:eastAsia="es-MX"/>
            </w:rPr>
          </w:pPr>
          <w:hyperlink w:anchor="_Toc212100986" w:history="1">
            <w:r w:rsidR="00D765A9" w:rsidRPr="00AF2E74">
              <w:rPr>
                <w:rStyle w:val="Hipervnculo"/>
                <w:rFonts w:eastAsia="Calibri"/>
                <w:noProof/>
                <w:color w:val="auto"/>
                <w:lang w:eastAsia="es-ES_tradnl"/>
              </w:rPr>
              <w:t>d) Causal de procedencia</w:t>
            </w:r>
            <w:r w:rsidR="00D765A9" w:rsidRPr="00AF2E74">
              <w:rPr>
                <w:noProof/>
                <w:webHidden/>
              </w:rPr>
              <w:tab/>
            </w:r>
            <w:r w:rsidR="00D765A9" w:rsidRPr="00AF2E74">
              <w:rPr>
                <w:noProof/>
                <w:webHidden/>
              </w:rPr>
              <w:fldChar w:fldCharType="begin"/>
            </w:r>
            <w:r w:rsidR="00D765A9" w:rsidRPr="00AF2E74">
              <w:rPr>
                <w:noProof/>
                <w:webHidden/>
              </w:rPr>
              <w:instrText xml:space="preserve"> PAGEREF _Toc212100986 \h </w:instrText>
            </w:r>
            <w:r w:rsidR="00D765A9" w:rsidRPr="00AF2E74">
              <w:rPr>
                <w:noProof/>
                <w:webHidden/>
              </w:rPr>
            </w:r>
            <w:r w:rsidR="00D765A9" w:rsidRPr="00AF2E74">
              <w:rPr>
                <w:noProof/>
                <w:webHidden/>
              </w:rPr>
              <w:fldChar w:fldCharType="separate"/>
            </w:r>
            <w:r w:rsidR="00AF2E74">
              <w:rPr>
                <w:noProof/>
                <w:webHidden/>
              </w:rPr>
              <w:t>8</w:t>
            </w:r>
            <w:r w:rsidR="00D765A9" w:rsidRPr="00AF2E74">
              <w:rPr>
                <w:noProof/>
                <w:webHidden/>
              </w:rPr>
              <w:fldChar w:fldCharType="end"/>
            </w:r>
          </w:hyperlink>
        </w:p>
        <w:p w14:paraId="21EE8887" w14:textId="563254D8" w:rsidR="00D765A9" w:rsidRPr="00AF2E74" w:rsidRDefault="00EC373E" w:rsidP="00D765A9">
          <w:pPr>
            <w:pStyle w:val="TDC3"/>
            <w:rPr>
              <w:rFonts w:asciiTheme="minorHAnsi" w:eastAsiaTheme="minorEastAsia" w:hAnsiTheme="minorHAnsi" w:cstheme="minorBidi"/>
              <w:noProof/>
              <w:szCs w:val="22"/>
              <w:lang w:eastAsia="es-MX"/>
            </w:rPr>
          </w:pPr>
          <w:hyperlink w:anchor="_Toc212100987" w:history="1">
            <w:r w:rsidR="00D765A9" w:rsidRPr="00AF2E74">
              <w:rPr>
                <w:rStyle w:val="Hipervnculo"/>
                <w:noProof/>
                <w:color w:val="auto"/>
              </w:rPr>
              <w:t>e) Requisitos formales para la interposición del recurso</w:t>
            </w:r>
            <w:r w:rsidR="00D765A9" w:rsidRPr="00AF2E74">
              <w:rPr>
                <w:noProof/>
                <w:webHidden/>
              </w:rPr>
              <w:tab/>
            </w:r>
            <w:r w:rsidR="00D765A9" w:rsidRPr="00AF2E74">
              <w:rPr>
                <w:noProof/>
                <w:webHidden/>
              </w:rPr>
              <w:fldChar w:fldCharType="begin"/>
            </w:r>
            <w:r w:rsidR="00D765A9" w:rsidRPr="00AF2E74">
              <w:rPr>
                <w:noProof/>
                <w:webHidden/>
              </w:rPr>
              <w:instrText xml:space="preserve"> PAGEREF _Toc212100987 \h </w:instrText>
            </w:r>
            <w:r w:rsidR="00D765A9" w:rsidRPr="00AF2E74">
              <w:rPr>
                <w:noProof/>
                <w:webHidden/>
              </w:rPr>
            </w:r>
            <w:r w:rsidR="00D765A9" w:rsidRPr="00AF2E74">
              <w:rPr>
                <w:noProof/>
                <w:webHidden/>
              </w:rPr>
              <w:fldChar w:fldCharType="separate"/>
            </w:r>
            <w:r w:rsidR="00AF2E74">
              <w:rPr>
                <w:noProof/>
                <w:webHidden/>
              </w:rPr>
              <w:t>8</w:t>
            </w:r>
            <w:r w:rsidR="00D765A9" w:rsidRPr="00AF2E74">
              <w:rPr>
                <w:noProof/>
                <w:webHidden/>
              </w:rPr>
              <w:fldChar w:fldCharType="end"/>
            </w:r>
          </w:hyperlink>
        </w:p>
        <w:p w14:paraId="56F878AF" w14:textId="2604BBC5" w:rsidR="00D765A9" w:rsidRPr="00AF2E74" w:rsidRDefault="00EC373E" w:rsidP="00D765A9">
          <w:pPr>
            <w:pStyle w:val="TDC2"/>
            <w:rPr>
              <w:rFonts w:asciiTheme="minorHAnsi" w:eastAsiaTheme="minorEastAsia" w:hAnsiTheme="minorHAnsi" w:cstheme="minorBidi"/>
              <w:noProof/>
              <w:szCs w:val="22"/>
              <w:lang w:eastAsia="es-MX"/>
            </w:rPr>
          </w:pPr>
          <w:hyperlink w:anchor="_Toc212100988" w:history="1">
            <w:r w:rsidR="00D765A9" w:rsidRPr="00AF2E74">
              <w:rPr>
                <w:rStyle w:val="Hipervnculo"/>
                <w:noProof/>
                <w:color w:val="auto"/>
              </w:rPr>
              <w:t>SEGUNDO. Estudio de Fondo</w:t>
            </w:r>
            <w:r w:rsidR="00D765A9" w:rsidRPr="00AF2E74">
              <w:rPr>
                <w:noProof/>
                <w:webHidden/>
              </w:rPr>
              <w:tab/>
            </w:r>
            <w:r w:rsidR="00D765A9" w:rsidRPr="00AF2E74">
              <w:rPr>
                <w:noProof/>
                <w:webHidden/>
              </w:rPr>
              <w:fldChar w:fldCharType="begin"/>
            </w:r>
            <w:r w:rsidR="00D765A9" w:rsidRPr="00AF2E74">
              <w:rPr>
                <w:noProof/>
                <w:webHidden/>
              </w:rPr>
              <w:instrText xml:space="preserve"> PAGEREF _Toc212100988 \h </w:instrText>
            </w:r>
            <w:r w:rsidR="00D765A9" w:rsidRPr="00AF2E74">
              <w:rPr>
                <w:noProof/>
                <w:webHidden/>
              </w:rPr>
            </w:r>
            <w:r w:rsidR="00D765A9" w:rsidRPr="00AF2E74">
              <w:rPr>
                <w:noProof/>
                <w:webHidden/>
              </w:rPr>
              <w:fldChar w:fldCharType="separate"/>
            </w:r>
            <w:r w:rsidR="00AF2E74">
              <w:rPr>
                <w:noProof/>
                <w:webHidden/>
              </w:rPr>
              <w:t>9</w:t>
            </w:r>
            <w:r w:rsidR="00D765A9" w:rsidRPr="00AF2E74">
              <w:rPr>
                <w:noProof/>
                <w:webHidden/>
              </w:rPr>
              <w:fldChar w:fldCharType="end"/>
            </w:r>
          </w:hyperlink>
        </w:p>
        <w:p w14:paraId="153AC305" w14:textId="5C59998B" w:rsidR="00D765A9" w:rsidRPr="00AF2E74" w:rsidRDefault="00EC373E" w:rsidP="00D765A9">
          <w:pPr>
            <w:pStyle w:val="TDC3"/>
            <w:rPr>
              <w:rFonts w:asciiTheme="minorHAnsi" w:eastAsiaTheme="minorEastAsia" w:hAnsiTheme="minorHAnsi" w:cstheme="minorBidi"/>
              <w:noProof/>
              <w:szCs w:val="22"/>
              <w:lang w:eastAsia="es-MX"/>
            </w:rPr>
          </w:pPr>
          <w:hyperlink w:anchor="_Toc212100989" w:history="1">
            <w:r w:rsidR="00D765A9" w:rsidRPr="00AF2E74">
              <w:rPr>
                <w:rStyle w:val="Hipervnculo"/>
                <w:noProof/>
                <w:color w:val="auto"/>
              </w:rPr>
              <w:t>a) Mandato de transparencia y responsabilidad del Sujeto Obligado</w:t>
            </w:r>
            <w:r w:rsidR="00D765A9" w:rsidRPr="00AF2E74">
              <w:rPr>
                <w:noProof/>
                <w:webHidden/>
              </w:rPr>
              <w:tab/>
            </w:r>
            <w:r w:rsidR="00D765A9" w:rsidRPr="00AF2E74">
              <w:rPr>
                <w:noProof/>
                <w:webHidden/>
              </w:rPr>
              <w:fldChar w:fldCharType="begin"/>
            </w:r>
            <w:r w:rsidR="00D765A9" w:rsidRPr="00AF2E74">
              <w:rPr>
                <w:noProof/>
                <w:webHidden/>
              </w:rPr>
              <w:instrText xml:space="preserve"> PAGEREF _Toc212100989 \h </w:instrText>
            </w:r>
            <w:r w:rsidR="00D765A9" w:rsidRPr="00AF2E74">
              <w:rPr>
                <w:noProof/>
                <w:webHidden/>
              </w:rPr>
            </w:r>
            <w:r w:rsidR="00D765A9" w:rsidRPr="00AF2E74">
              <w:rPr>
                <w:noProof/>
                <w:webHidden/>
              </w:rPr>
              <w:fldChar w:fldCharType="separate"/>
            </w:r>
            <w:r w:rsidR="00AF2E74">
              <w:rPr>
                <w:noProof/>
                <w:webHidden/>
              </w:rPr>
              <w:t>9</w:t>
            </w:r>
            <w:r w:rsidR="00D765A9" w:rsidRPr="00AF2E74">
              <w:rPr>
                <w:noProof/>
                <w:webHidden/>
              </w:rPr>
              <w:fldChar w:fldCharType="end"/>
            </w:r>
          </w:hyperlink>
        </w:p>
        <w:p w14:paraId="0A584A72" w14:textId="55B0C27D" w:rsidR="00D765A9" w:rsidRPr="00AF2E74" w:rsidRDefault="00EC373E" w:rsidP="00D765A9">
          <w:pPr>
            <w:pStyle w:val="TDC3"/>
            <w:rPr>
              <w:rFonts w:asciiTheme="minorHAnsi" w:eastAsiaTheme="minorEastAsia" w:hAnsiTheme="minorHAnsi" w:cstheme="minorBidi"/>
              <w:noProof/>
              <w:szCs w:val="22"/>
              <w:lang w:eastAsia="es-MX"/>
            </w:rPr>
          </w:pPr>
          <w:hyperlink w:anchor="_Toc212100990" w:history="1">
            <w:r w:rsidR="00D765A9" w:rsidRPr="00AF2E74">
              <w:rPr>
                <w:rStyle w:val="Hipervnculo"/>
                <w:rFonts w:eastAsia="Calibri"/>
                <w:noProof/>
                <w:color w:val="auto"/>
                <w:lang w:eastAsia="es-ES_tradnl"/>
              </w:rPr>
              <w:t>b) Controversia a resolver</w:t>
            </w:r>
            <w:r w:rsidR="00D765A9" w:rsidRPr="00AF2E74">
              <w:rPr>
                <w:noProof/>
                <w:webHidden/>
              </w:rPr>
              <w:tab/>
            </w:r>
            <w:r w:rsidR="00D765A9" w:rsidRPr="00AF2E74">
              <w:rPr>
                <w:noProof/>
                <w:webHidden/>
              </w:rPr>
              <w:fldChar w:fldCharType="begin"/>
            </w:r>
            <w:r w:rsidR="00D765A9" w:rsidRPr="00AF2E74">
              <w:rPr>
                <w:noProof/>
                <w:webHidden/>
              </w:rPr>
              <w:instrText xml:space="preserve"> PAGEREF _Toc212100990 \h </w:instrText>
            </w:r>
            <w:r w:rsidR="00D765A9" w:rsidRPr="00AF2E74">
              <w:rPr>
                <w:noProof/>
                <w:webHidden/>
              </w:rPr>
            </w:r>
            <w:r w:rsidR="00D765A9" w:rsidRPr="00AF2E74">
              <w:rPr>
                <w:noProof/>
                <w:webHidden/>
              </w:rPr>
              <w:fldChar w:fldCharType="separate"/>
            </w:r>
            <w:r w:rsidR="00AF2E74">
              <w:rPr>
                <w:noProof/>
                <w:webHidden/>
              </w:rPr>
              <w:t>11</w:t>
            </w:r>
            <w:r w:rsidR="00D765A9" w:rsidRPr="00AF2E74">
              <w:rPr>
                <w:noProof/>
                <w:webHidden/>
              </w:rPr>
              <w:fldChar w:fldCharType="end"/>
            </w:r>
          </w:hyperlink>
        </w:p>
        <w:p w14:paraId="782CB0A8" w14:textId="7536BBB8" w:rsidR="00D765A9" w:rsidRPr="00AF2E74" w:rsidRDefault="00EC373E" w:rsidP="00D765A9">
          <w:pPr>
            <w:pStyle w:val="TDC3"/>
            <w:rPr>
              <w:rFonts w:asciiTheme="minorHAnsi" w:eastAsiaTheme="minorEastAsia" w:hAnsiTheme="minorHAnsi" w:cstheme="minorBidi"/>
              <w:noProof/>
              <w:szCs w:val="22"/>
              <w:lang w:eastAsia="es-MX"/>
            </w:rPr>
          </w:pPr>
          <w:hyperlink w:anchor="_Toc212100991" w:history="1">
            <w:r w:rsidR="00D765A9" w:rsidRPr="00AF2E74">
              <w:rPr>
                <w:rStyle w:val="Hipervnculo"/>
                <w:noProof/>
                <w:color w:val="auto"/>
              </w:rPr>
              <w:t>c) Estudio de la controversia</w:t>
            </w:r>
            <w:r w:rsidR="00D765A9" w:rsidRPr="00AF2E74">
              <w:rPr>
                <w:noProof/>
                <w:webHidden/>
              </w:rPr>
              <w:tab/>
            </w:r>
            <w:r w:rsidR="00D765A9" w:rsidRPr="00AF2E74">
              <w:rPr>
                <w:noProof/>
                <w:webHidden/>
              </w:rPr>
              <w:fldChar w:fldCharType="begin"/>
            </w:r>
            <w:r w:rsidR="00D765A9" w:rsidRPr="00AF2E74">
              <w:rPr>
                <w:noProof/>
                <w:webHidden/>
              </w:rPr>
              <w:instrText xml:space="preserve"> PAGEREF _Toc212100991 \h </w:instrText>
            </w:r>
            <w:r w:rsidR="00D765A9" w:rsidRPr="00AF2E74">
              <w:rPr>
                <w:noProof/>
                <w:webHidden/>
              </w:rPr>
            </w:r>
            <w:r w:rsidR="00D765A9" w:rsidRPr="00AF2E74">
              <w:rPr>
                <w:noProof/>
                <w:webHidden/>
              </w:rPr>
              <w:fldChar w:fldCharType="separate"/>
            </w:r>
            <w:r w:rsidR="00AF2E74">
              <w:rPr>
                <w:noProof/>
                <w:webHidden/>
              </w:rPr>
              <w:t>12</w:t>
            </w:r>
            <w:r w:rsidR="00D765A9" w:rsidRPr="00AF2E74">
              <w:rPr>
                <w:noProof/>
                <w:webHidden/>
              </w:rPr>
              <w:fldChar w:fldCharType="end"/>
            </w:r>
          </w:hyperlink>
        </w:p>
        <w:p w14:paraId="6582148A" w14:textId="441E7C7C" w:rsidR="00D765A9" w:rsidRPr="00AF2E74" w:rsidRDefault="00EC373E" w:rsidP="00D765A9">
          <w:pPr>
            <w:pStyle w:val="TDC3"/>
            <w:rPr>
              <w:rFonts w:asciiTheme="minorHAnsi" w:eastAsiaTheme="minorEastAsia" w:hAnsiTheme="minorHAnsi" w:cstheme="minorBidi"/>
              <w:noProof/>
              <w:szCs w:val="22"/>
              <w:lang w:eastAsia="es-MX"/>
            </w:rPr>
          </w:pPr>
          <w:hyperlink w:anchor="_Toc212100992" w:history="1">
            <w:r w:rsidR="00D765A9" w:rsidRPr="00AF2E74">
              <w:rPr>
                <w:rStyle w:val="Hipervnculo"/>
                <w:noProof/>
                <w:color w:val="auto"/>
              </w:rPr>
              <w:t>d) Versión pública</w:t>
            </w:r>
            <w:r w:rsidR="00D765A9" w:rsidRPr="00AF2E74">
              <w:rPr>
                <w:noProof/>
                <w:webHidden/>
              </w:rPr>
              <w:tab/>
            </w:r>
            <w:r w:rsidR="00D765A9" w:rsidRPr="00AF2E74">
              <w:rPr>
                <w:noProof/>
                <w:webHidden/>
              </w:rPr>
              <w:fldChar w:fldCharType="begin"/>
            </w:r>
            <w:r w:rsidR="00D765A9" w:rsidRPr="00AF2E74">
              <w:rPr>
                <w:noProof/>
                <w:webHidden/>
              </w:rPr>
              <w:instrText xml:space="preserve"> PAGEREF _Toc212100992 \h </w:instrText>
            </w:r>
            <w:r w:rsidR="00D765A9" w:rsidRPr="00AF2E74">
              <w:rPr>
                <w:noProof/>
                <w:webHidden/>
              </w:rPr>
            </w:r>
            <w:r w:rsidR="00D765A9" w:rsidRPr="00AF2E74">
              <w:rPr>
                <w:noProof/>
                <w:webHidden/>
              </w:rPr>
              <w:fldChar w:fldCharType="separate"/>
            </w:r>
            <w:r w:rsidR="00AF2E74">
              <w:rPr>
                <w:noProof/>
                <w:webHidden/>
              </w:rPr>
              <w:t>20</w:t>
            </w:r>
            <w:r w:rsidR="00D765A9" w:rsidRPr="00AF2E74">
              <w:rPr>
                <w:noProof/>
                <w:webHidden/>
              </w:rPr>
              <w:fldChar w:fldCharType="end"/>
            </w:r>
          </w:hyperlink>
        </w:p>
        <w:p w14:paraId="4A5AE78C" w14:textId="75CC50C1" w:rsidR="00D765A9" w:rsidRPr="00AF2E74" w:rsidRDefault="00EC373E" w:rsidP="00D765A9">
          <w:pPr>
            <w:pStyle w:val="TDC3"/>
            <w:rPr>
              <w:rFonts w:asciiTheme="minorHAnsi" w:eastAsiaTheme="minorEastAsia" w:hAnsiTheme="minorHAnsi" w:cstheme="minorBidi"/>
              <w:noProof/>
              <w:szCs w:val="22"/>
              <w:lang w:eastAsia="es-MX"/>
            </w:rPr>
          </w:pPr>
          <w:hyperlink w:anchor="_Toc212100993" w:history="1">
            <w:r w:rsidR="00D765A9" w:rsidRPr="00AF2E74">
              <w:rPr>
                <w:rStyle w:val="Hipervnculo"/>
                <w:noProof/>
                <w:color w:val="auto"/>
              </w:rPr>
              <w:t>e) Conclusión</w:t>
            </w:r>
            <w:r w:rsidR="00D765A9" w:rsidRPr="00AF2E74">
              <w:rPr>
                <w:noProof/>
                <w:webHidden/>
              </w:rPr>
              <w:tab/>
            </w:r>
            <w:r w:rsidR="00D765A9" w:rsidRPr="00AF2E74">
              <w:rPr>
                <w:noProof/>
                <w:webHidden/>
              </w:rPr>
              <w:fldChar w:fldCharType="begin"/>
            </w:r>
            <w:r w:rsidR="00D765A9" w:rsidRPr="00AF2E74">
              <w:rPr>
                <w:noProof/>
                <w:webHidden/>
              </w:rPr>
              <w:instrText xml:space="preserve"> PAGEREF _Toc212100993 \h </w:instrText>
            </w:r>
            <w:r w:rsidR="00D765A9" w:rsidRPr="00AF2E74">
              <w:rPr>
                <w:noProof/>
                <w:webHidden/>
              </w:rPr>
            </w:r>
            <w:r w:rsidR="00D765A9" w:rsidRPr="00AF2E74">
              <w:rPr>
                <w:noProof/>
                <w:webHidden/>
              </w:rPr>
              <w:fldChar w:fldCharType="separate"/>
            </w:r>
            <w:r w:rsidR="00AF2E74">
              <w:rPr>
                <w:noProof/>
                <w:webHidden/>
              </w:rPr>
              <w:t>32</w:t>
            </w:r>
            <w:r w:rsidR="00D765A9" w:rsidRPr="00AF2E74">
              <w:rPr>
                <w:noProof/>
                <w:webHidden/>
              </w:rPr>
              <w:fldChar w:fldCharType="end"/>
            </w:r>
          </w:hyperlink>
        </w:p>
        <w:p w14:paraId="1C71B18A" w14:textId="2547F5FA" w:rsidR="00D765A9" w:rsidRPr="00AF2E74" w:rsidRDefault="00EC373E" w:rsidP="00D765A9">
          <w:pPr>
            <w:pStyle w:val="TDC1"/>
            <w:tabs>
              <w:tab w:val="right" w:leader="dot" w:pos="9034"/>
            </w:tabs>
            <w:rPr>
              <w:rFonts w:asciiTheme="minorHAnsi" w:eastAsiaTheme="minorEastAsia" w:hAnsiTheme="minorHAnsi" w:cstheme="minorBidi"/>
              <w:noProof/>
              <w:szCs w:val="22"/>
              <w:lang w:eastAsia="es-MX"/>
            </w:rPr>
          </w:pPr>
          <w:hyperlink w:anchor="_Toc212100994" w:history="1">
            <w:r w:rsidR="00D765A9" w:rsidRPr="00AF2E74">
              <w:rPr>
                <w:rStyle w:val="Hipervnculo"/>
                <w:noProof/>
                <w:color w:val="auto"/>
              </w:rPr>
              <w:t>RESUELVE</w:t>
            </w:r>
            <w:r w:rsidR="00D765A9" w:rsidRPr="00AF2E74">
              <w:rPr>
                <w:noProof/>
                <w:webHidden/>
              </w:rPr>
              <w:tab/>
            </w:r>
            <w:r w:rsidR="00D765A9" w:rsidRPr="00AF2E74">
              <w:rPr>
                <w:noProof/>
                <w:webHidden/>
              </w:rPr>
              <w:fldChar w:fldCharType="begin"/>
            </w:r>
            <w:r w:rsidR="00D765A9" w:rsidRPr="00AF2E74">
              <w:rPr>
                <w:noProof/>
                <w:webHidden/>
              </w:rPr>
              <w:instrText xml:space="preserve"> PAGEREF _Toc212100994 \h </w:instrText>
            </w:r>
            <w:r w:rsidR="00D765A9" w:rsidRPr="00AF2E74">
              <w:rPr>
                <w:noProof/>
                <w:webHidden/>
              </w:rPr>
            </w:r>
            <w:r w:rsidR="00D765A9" w:rsidRPr="00AF2E74">
              <w:rPr>
                <w:noProof/>
                <w:webHidden/>
              </w:rPr>
              <w:fldChar w:fldCharType="separate"/>
            </w:r>
            <w:r w:rsidR="00AF2E74">
              <w:rPr>
                <w:noProof/>
                <w:webHidden/>
              </w:rPr>
              <w:t>32</w:t>
            </w:r>
            <w:r w:rsidR="00D765A9" w:rsidRPr="00AF2E74">
              <w:rPr>
                <w:noProof/>
                <w:webHidden/>
              </w:rPr>
              <w:fldChar w:fldCharType="end"/>
            </w:r>
          </w:hyperlink>
        </w:p>
        <w:p w14:paraId="0C82FD7A" w14:textId="38AB2CCC" w:rsidR="009B2945" w:rsidRPr="00AF2E74" w:rsidRDefault="00AE3DA7" w:rsidP="00D765A9">
          <w:pPr>
            <w:spacing w:line="240" w:lineRule="auto"/>
            <w:rPr>
              <w:b/>
              <w:bCs/>
              <w:lang w:val="es-ES"/>
            </w:rPr>
          </w:pPr>
          <w:r w:rsidRPr="00AF2E74">
            <w:rPr>
              <w:b/>
              <w:bCs/>
              <w:sz w:val="16"/>
              <w:szCs w:val="16"/>
              <w:lang w:val="es-ES"/>
            </w:rPr>
            <w:fldChar w:fldCharType="end"/>
          </w:r>
        </w:p>
      </w:sdtContent>
    </w:sdt>
    <w:p w14:paraId="603A07E2" w14:textId="77777777" w:rsidR="00646436" w:rsidRPr="00AF2E74" w:rsidRDefault="00646436" w:rsidP="00D765A9">
      <w:pPr>
        <w:rPr>
          <w:rFonts w:cs="Tahoma"/>
          <w:szCs w:val="22"/>
        </w:rPr>
        <w:sectPr w:rsidR="00646436" w:rsidRPr="00AF2E74"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193560C2" w:rsidR="00775BFC" w:rsidRPr="00AF2E74" w:rsidRDefault="00775BFC" w:rsidP="00D765A9">
      <w:r w:rsidRPr="00AF2E74">
        <w:lastRenderedPageBreak/>
        <w:t>Resolución del Pleno del Instituto de Transparencia, Acceso a la Información Pública y Protección de Datos Personales del Estado de México y Municipios, con domicilio e</w:t>
      </w:r>
      <w:r w:rsidR="004D0573" w:rsidRPr="00AF2E74">
        <w:t>n Metepec, Estado de México, de</w:t>
      </w:r>
      <w:r w:rsidR="00D765A9" w:rsidRPr="00AF2E74">
        <w:t>l</w:t>
      </w:r>
      <w:r w:rsidR="004D0573" w:rsidRPr="00AF2E74">
        <w:t xml:space="preserve"> </w:t>
      </w:r>
      <w:r w:rsidR="001135AC" w:rsidRPr="00AF2E74">
        <w:rPr>
          <w:b/>
        </w:rPr>
        <w:t xml:space="preserve">veintidós </w:t>
      </w:r>
      <w:r w:rsidR="00DA3CF6" w:rsidRPr="00AF2E74">
        <w:rPr>
          <w:b/>
        </w:rPr>
        <w:t xml:space="preserve">de octubre </w:t>
      </w:r>
      <w:r w:rsidR="006E7E69" w:rsidRPr="00AF2E74">
        <w:rPr>
          <w:b/>
        </w:rPr>
        <w:t>de dos mil veinticinco</w:t>
      </w:r>
      <w:r w:rsidRPr="00AF2E74">
        <w:t>.</w:t>
      </w:r>
    </w:p>
    <w:p w14:paraId="0AF3AAC4" w14:textId="77777777" w:rsidR="00775BFC" w:rsidRPr="00AF2E74" w:rsidRDefault="00775BFC" w:rsidP="00D765A9"/>
    <w:p w14:paraId="40EAE038" w14:textId="1E593B1C" w:rsidR="00775BFC" w:rsidRPr="00AF2E74" w:rsidRDefault="00775BFC" w:rsidP="00D765A9">
      <w:r w:rsidRPr="00AF2E74">
        <w:rPr>
          <w:b/>
        </w:rPr>
        <w:t xml:space="preserve">VISTO </w:t>
      </w:r>
      <w:r w:rsidRPr="00AF2E74">
        <w:t xml:space="preserve">el expediente formado con motivo del Recurso de Revisión </w:t>
      </w:r>
      <w:r w:rsidR="000E0258" w:rsidRPr="00AF2E74">
        <w:rPr>
          <w:rFonts w:eastAsia="Calibri"/>
          <w:b/>
          <w:lang w:eastAsia="en-US"/>
        </w:rPr>
        <w:t>10</w:t>
      </w:r>
      <w:r w:rsidR="001135AC" w:rsidRPr="00AF2E74">
        <w:rPr>
          <w:rFonts w:eastAsia="Calibri"/>
          <w:b/>
          <w:lang w:eastAsia="en-US"/>
        </w:rPr>
        <w:t>312</w:t>
      </w:r>
      <w:r w:rsidR="006E7E69" w:rsidRPr="00AF2E74">
        <w:rPr>
          <w:rFonts w:eastAsia="Calibri"/>
          <w:b/>
          <w:lang w:eastAsia="en-US"/>
        </w:rPr>
        <w:t>/INFOEM/IP/RR/2025</w:t>
      </w:r>
      <w:r w:rsidRPr="00AF2E74">
        <w:rPr>
          <w:rFonts w:eastAsia="Calibri"/>
          <w:lang w:eastAsia="en-US"/>
        </w:rPr>
        <w:t xml:space="preserve"> </w:t>
      </w:r>
      <w:r w:rsidRPr="00AF2E74">
        <w:t xml:space="preserve">interpuesto por </w:t>
      </w:r>
      <w:r w:rsidR="001135AC" w:rsidRPr="00AF2E74">
        <w:rPr>
          <w:rFonts w:eastAsia="Calibri"/>
          <w:b/>
          <w:lang w:eastAsia="en-US"/>
        </w:rPr>
        <w:t>una persona de manera anónima</w:t>
      </w:r>
      <w:r w:rsidRPr="00AF2E74">
        <w:rPr>
          <w:rFonts w:eastAsia="Calibri"/>
          <w:b/>
          <w:lang w:eastAsia="en-US"/>
        </w:rPr>
        <w:t>,</w:t>
      </w:r>
      <w:r w:rsidRPr="00AF2E74">
        <w:t xml:space="preserve"> a quien en lo subsecuente se le denominará </w:t>
      </w:r>
      <w:r w:rsidRPr="00AF2E74">
        <w:rPr>
          <w:b/>
          <w:bCs/>
        </w:rPr>
        <w:t>LA PARTE RECURRENTE</w:t>
      </w:r>
      <w:r w:rsidRPr="00AF2E74">
        <w:t xml:space="preserve">, en contra de la </w:t>
      </w:r>
      <w:r w:rsidR="00773DD6" w:rsidRPr="00AF2E74">
        <w:t xml:space="preserve">respuesta </w:t>
      </w:r>
      <w:r w:rsidR="00BA1AB6" w:rsidRPr="00AF2E74">
        <w:t>de</w:t>
      </w:r>
      <w:r w:rsidR="005A5BF2" w:rsidRPr="00AF2E74">
        <w:t>l</w:t>
      </w:r>
      <w:r w:rsidR="00773DD6" w:rsidRPr="00AF2E74">
        <w:t xml:space="preserve"> </w:t>
      </w:r>
      <w:r w:rsidR="001135AC" w:rsidRPr="00AF2E74">
        <w:rPr>
          <w:rFonts w:eastAsia="Calibri"/>
          <w:b/>
          <w:bCs/>
          <w:lang w:eastAsia="en-US"/>
        </w:rPr>
        <w:t xml:space="preserve">Sistema </w:t>
      </w:r>
      <w:r w:rsidR="009D3DCA" w:rsidRPr="00AF2E74">
        <w:rPr>
          <w:rFonts w:eastAsia="Calibri"/>
          <w:b/>
          <w:bCs/>
          <w:lang w:eastAsia="en-US"/>
        </w:rPr>
        <w:t xml:space="preserve">para </w:t>
      </w:r>
      <w:r w:rsidR="001135AC" w:rsidRPr="00AF2E74">
        <w:rPr>
          <w:rFonts w:eastAsia="Calibri"/>
          <w:b/>
          <w:bCs/>
          <w:lang w:eastAsia="en-US"/>
        </w:rPr>
        <w:t>el Desarrollo Integral de la Familia del Municipio de Atizapán de Zaragoza</w:t>
      </w:r>
      <w:r w:rsidRPr="00AF2E74">
        <w:rPr>
          <w:rFonts w:eastAsia="Calibri"/>
          <w:b/>
          <w:lang w:eastAsia="en-US"/>
        </w:rPr>
        <w:t>,</w:t>
      </w:r>
      <w:r w:rsidRPr="00AF2E74">
        <w:t xml:space="preserve"> en adelante </w:t>
      </w:r>
      <w:r w:rsidRPr="00AF2E74">
        <w:rPr>
          <w:b/>
          <w:bCs/>
        </w:rPr>
        <w:t>EL SUJETO OBLIGADO</w:t>
      </w:r>
      <w:r w:rsidRPr="00AF2E74">
        <w:rPr>
          <w:rFonts w:eastAsia="Calibri"/>
          <w:lang w:eastAsia="en-US"/>
        </w:rPr>
        <w:t xml:space="preserve">, </w:t>
      </w:r>
      <w:r w:rsidRPr="00AF2E74">
        <w:t>se emite la presente Resolución con base en los Antecedentes y Considerandos que se exponen a continuación:</w:t>
      </w:r>
    </w:p>
    <w:p w14:paraId="2116968C" w14:textId="77777777" w:rsidR="00775BFC" w:rsidRPr="00AF2E74" w:rsidRDefault="00775BFC" w:rsidP="00D765A9"/>
    <w:p w14:paraId="5A444FB6" w14:textId="639D3567" w:rsidR="00664420" w:rsidRPr="00AF2E74" w:rsidRDefault="00664420" w:rsidP="00D765A9">
      <w:pPr>
        <w:pStyle w:val="Ttulo1"/>
      </w:pPr>
      <w:bookmarkStart w:id="2" w:name="_Toc212100968"/>
      <w:r w:rsidRPr="00AF2E74">
        <w:t>ANTECEDENTES</w:t>
      </w:r>
      <w:bookmarkEnd w:id="2"/>
    </w:p>
    <w:p w14:paraId="5CB5034E" w14:textId="77777777" w:rsidR="00AC2DB8" w:rsidRPr="00AF2E74" w:rsidRDefault="00AC2DB8" w:rsidP="00D765A9"/>
    <w:p w14:paraId="09B2D38F" w14:textId="6E49D146" w:rsidR="00664420" w:rsidRPr="00AF2E74" w:rsidRDefault="00E37A3F" w:rsidP="00D765A9">
      <w:pPr>
        <w:pStyle w:val="Ttulo2"/>
      </w:pPr>
      <w:bookmarkStart w:id="3" w:name="_Toc212100969"/>
      <w:r w:rsidRPr="00AF2E74">
        <w:t>DE LA SOLICITUD DE INFORMACIÓN</w:t>
      </w:r>
      <w:bookmarkEnd w:id="3"/>
    </w:p>
    <w:p w14:paraId="2C6AD1A5" w14:textId="0405B3CD" w:rsidR="00664420" w:rsidRPr="00AF2E74" w:rsidRDefault="00E37A3F" w:rsidP="00D765A9">
      <w:pPr>
        <w:pStyle w:val="Ttulo3"/>
      </w:pPr>
      <w:bookmarkStart w:id="4" w:name="_Toc212100970"/>
      <w:r w:rsidRPr="00AF2E74">
        <w:t xml:space="preserve">a) </w:t>
      </w:r>
      <w:r w:rsidR="006B10B0" w:rsidRPr="00AF2E74">
        <w:t>S</w:t>
      </w:r>
      <w:r w:rsidR="00664420" w:rsidRPr="00AF2E74">
        <w:t xml:space="preserve">olicitud de </w:t>
      </w:r>
      <w:r w:rsidR="006B10B0" w:rsidRPr="00AF2E74">
        <w:t>i</w:t>
      </w:r>
      <w:r w:rsidR="00664420" w:rsidRPr="00AF2E74">
        <w:t>nformación</w:t>
      </w:r>
      <w:bookmarkEnd w:id="4"/>
    </w:p>
    <w:p w14:paraId="6F73510B" w14:textId="0DA3EFE4" w:rsidR="000F32E8" w:rsidRPr="00AF2E74" w:rsidRDefault="00B169A2" w:rsidP="00D765A9">
      <w:pPr>
        <w:pStyle w:val="Prrafodelista"/>
        <w:tabs>
          <w:tab w:val="left" w:pos="0"/>
        </w:tabs>
        <w:ind w:left="0"/>
        <w:contextualSpacing w:val="0"/>
        <w:rPr>
          <w:rFonts w:cs="Tahoma"/>
        </w:rPr>
      </w:pPr>
      <w:r w:rsidRPr="00AF2E74">
        <w:rPr>
          <w:rFonts w:cs="Tahoma"/>
        </w:rPr>
        <w:t xml:space="preserve">El </w:t>
      </w:r>
      <w:r w:rsidR="001135AC" w:rsidRPr="00AF2E74">
        <w:rPr>
          <w:rFonts w:cs="Tahoma"/>
          <w:b/>
          <w:bCs/>
        </w:rPr>
        <w:t>cuatro</w:t>
      </w:r>
      <w:r w:rsidR="000E0258" w:rsidRPr="00AF2E74">
        <w:rPr>
          <w:rFonts w:cs="Tahoma"/>
          <w:b/>
          <w:bCs/>
        </w:rPr>
        <w:t xml:space="preserve"> de agosto </w:t>
      </w:r>
      <w:r w:rsidR="006E7E69" w:rsidRPr="00AF2E74">
        <w:rPr>
          <w:rFonts w:cs="Tahoma"/>
          <w:b/>
          <w:bCs/>
        </w:rPr>
        <w:t>de dos mil veinticinco</w:t>
      </w:r>
      <w:r w:rsidR="001135AC" w:rsidRPr="00AF2E74">
        <w:rPr>
          <w:rStyle w:val="Refdenotaalpie"/>
          <w:rFonts w:cs="Tahoma"/>
          <w:b/>
          <w:bCs/>
        </w:rPr>
        <w:footnoteReference w:id="1"/>
      </w:r>
      <w:r w:rsidRPr="00AF2E74">
        <w:rPr>
          <w:rFonts w:cs="Tahoma"/>
        </w:rPr>
        <w:t xml:space="preserve">, </w:t>
      </w:r>
      <w:r w:rsidRPr="00AF2E74">
        <w:rPr>
          <w:b/>
          <w:bCs/>
        </w:rPr>
        <w:t>LA PARTE RECURRENTE</w:t>
      </w:r>
      <w:r w:rsidRPr="00AF2E74">
        <w:rPr>
          <w:rFonts w:cs="Tahoma"/>
        </w:rPr>
        <w:t xml:space="preserve"> presentó una solicitud de acceso a la información pública ante el </w:t>
      </w:r>
      <w:r w:rsidRPr="00AF2E74">
        <w:rPr>
          <w:rFonts w:cs="Tahoma"/>
          <w:b/>
          <w:bCs/>
        </w:rPr>
        <w:t>SUJETO OBLIGADO</w:t>
      </w:r>
      <w:r w:rsidRPr="00AF2E74">
        <w:rPr>
          <w:rFonts w:cs="Tahoma"/>
        </w:rPr>
        <w:t xml:space="preserve">, a través </w:t>
      </w:r>
      <w:r w:rsidR="00B56734" w:rsidRPr="00AF2E74">
        <w:rPr>
          <w:rFonts w:cs="Tahoma"/>
        </w:rPr>
        <w:t xml:space="preserve">del </w:t>
      </w:r>
      <w:r w:rsidR="000F32E8" w:rsidRPr="00AF2E74">
        <w:rPr>
          <w:rFonts w:cs="Tahoma"/>
        </w:rPr>
        <w:t>Sistema de Acceso a la Información Mexiquense (</w:t>
      </w:r>
      <w:r w:rsidR="000F32E8" w:rsidRPr="00AF2E74">
        <w:rPr>
          <w:rFonts w:cs="Tahoma"/>
          <w:b/>
        </w:rPr>
        <w:t>SAIMEX</w:t>
      </w:r>
      <w:r w:rsidR="000F32E8" w:rsidRPr="00AF2E74">
        <w:rPr>
          <w:rFonts w:cs="Tahoma"/>
        </w:rPr>
        <w:t xml:space="preserve">). </w:t>
      </w:r>
      <w:r w:rsidRPr="00AF2E74">
        <w:rPr>
          <w:rFonts w:cs="Tahoma"/>
        </w:rPr>
        <w:t>Dicha solicitud quedó registrada con el número de folio</w:t>
      </w:r>
      <w:r w:rsidRPr="00AF2E74">
        <w:rPr>
          <w:rFonts w:cs="Tahoma"/>
          <w:b/>
          <w:bCs/>
        </w:rPr>
        <w:t xml:space="preserve"> </w:t>
      </w:r>
      <w:r w:rsidR="001135AC" w:rsidRPr="00AF2E74">
        <w:rPr>
          <w:rFonts w:cs="Tahoma"/>
          <w:b/>
          <w:bCs/>
        </w:rPr>
        <w:t>00020/DIFATIZARA/IP/2025</w:t>
      </w:r>
      <w:r w:rsidR="001135AC" w:rsidRPr="00AF2E74">
        <w:rPr>
          <w:rFonts w:cs="Tahoma"/>
          <w:b/>
        </w:rPr>
        <w:t xml:space="preserve"> </w:t>
      </w:r>
      <w:r w:rsidRPr="00AF2E74">
        <w:rPr>
          <w:rFonts w:cs="Tahoma"/>
        </w:rPr>
        <w:t>y en ella se requirió la siguiente información:</w:t>
      </w:r>
    </w:p>
    <w:p w14:paraId="0459D6AC" w14:textId="77777777" w:rsidR="00664420" w:rsidRPr="00AF2E74" w:rsidRDefault="00664420" w:rsidP="00D765A9">
      <w:pPr>
        <w:tabs>
          <w:tab w:val="left" w:pos="4667"/>
        </w:tabs>
        <w:ind w:left="567" w:right="567"/>
        <w:rPr>
          <w:rFonts w:cs="Tahoma"/>
          <w:b/>
          <w:bCs/>
        </w:rPr>
      </w:pPr>
    </w:p>
    <w:p w14:paraId="64B27DE3" w14:textId="5E36D5BA" w:rsidR="00664420" w:rsidRPr="00AF2E74" w:rsidRDefault="002B1D44" w:rsidP="00D765A9">
      <w:pPr>
        <w:pStyle w:val="Puesto"/>
      </w:pPr>
      <w:r w:rsidRPr="00AF2E74">
        <w:t>“</w:t>
      </w:r>
      <w:r w:rsidR="001135AC" w:rsidRPr="00AF2E74">
        <w:t>Solicito la dispersión de nomina y conciliación de nomina de enero 2025 a la fecha de la solicitud</w:t>
      </w:r>
      <w:r w:rsidRPr="00AF2E74">
        <w:t>”</w:t>
      </w:r>
      <w:r w:rsidR="00BA1AB6" w:rsidRPr="00AF2E74">
        <w:t xml:space="preserve"> (sic)</w:t>
      </w:r>
    </w:p>
    <w:p w14:paraId="07B1E1B5" w14:textId="77777777" w:rsidR="004D0573" w:rsidRPr="00AF2E74" w:rsidRDefault="004D0573" w:rsidP="00D765A9">
      <w:pPr>
        <w:pStyle w:val="Puesto"/>
      </w:pPr>
    </w:p>
    <w:p w14:paraId="04E0B884" w14:textId="3C135FCB" w:rsidR="00221455" w:rsidRPr="00AF2E74" w:rsidRDefault="00221455" w:rsidP="00D765A9">
      <w:pPr>
        <w:tabs>
          <w:tab w:val="left" w:pos="4667"/>
        </w:tabs>
        <w:ind w:right="567"/>
        <w:rPr>
          <w:rFonts w:cs="Tahoma"/>
          <w:bCs/>
          <w:szCs w:val="22"/>
        </w:rPr>
      </w:pPr>
      <w:r w:rsidRPr="00AF2E74">
        <w:rPr>
          <w:rFonts w:cs="Tahoma"/>
          <w:b/>
          <w:bCs/>
          <w:szCs w:val="22"/>
        </w:rPr>
        <w:lastRenderedPageBreak/>
        <w:t>Modalidad de entrega</w:t>
      </w:r>
      <w:r w:rsidRPr="00AF2E74">
        <w:rPr>
          <w:rFonts w:cs="Tahoma"/>
          <w:bCs/>
          <w:szCs w:val="22"/>
        </w:rPr>
        <w:t>: a</w:t>
      </w:r>
      <w:r w:rsidRPr="00AF2E74">
        <w:rPr>
          <w:rFonts w:cs="Tahoma"/>
          <w:bCs/>
          <w:i/>
          <w:szCs w:val="22"/>
        </w:rPr>
        <w:t xml:space="preserve"> través del </w:t>
      </w:r>
      <w:r w:rsidRPr="00AF2E74">
        <w:rPr>
          <w:rFonts w:cs="Tahoma"/>
          <w:b/>
          <w:bCs/>
          <w:i/>
          <w:szCs w:val="22"/>
        </w:rPr>
        <w:t>SAIMEX</w:t>
      </w:r>
      <w:r w:rsidRPr="00AF2E74">
        <w:rPr>
          <w:rFonts w:cs="Tahoma"/>
          <w:bCs/>
          <w:i/>
          <w:szCs w:val="22"/>
        </w:rPr>
        <w:t>.</w:t>
      </w:r>
    </w:p>
    <w:p w14:paraId="02BC941E" w14:textId="77777777" w:rsidR="00221455" w:rsidRPr="00AF2E74" w:rsidRDefault="00221455" w:rsidP="00D765A9">
      <w:pPr>
        <w:autoSpaceDE w:val="0"/>
        <w:autoSpaceDN w:val="0"/>
        <w:adjustRightInd w:val="0"/>
        <w:ind w:right="-28"/>
        <w:rPr>
          <w:rFonts w:cs="Tahoma"/>
          <w:bCs/>
          <w:i/>
          <w:iCs/>
          <w:szCs w:val="22"/>
        </w:rPr>
      </w:pPr>
    </w:p>
    <w:p w14:paraId="1A34107C" w14:textId="77777777" w:rsidR="001135AC" w:rsidRPr="00AF2E74" w:rsidRDefault="001135AC" w:rsidP="00D765A9">
      <w:pPr>
        <w:keepNext/>
        <w:keepLines/>
        <w:spacing w:line="480" w:lineRule="auto"/>
        <w:jc w:val="left"/>
        <w:outlineLvl w:val="2"/>
        <w:rPr>
          <w:b/>
          <w:szCs w:val="28"/>
        </w:rPr>
      </w:pPr>
      <w:bookmarkStart w:id="5" w:name="_Toc202367056"/>
      <w:bookmarkStart w:id="6" w:name="_Toc210301240"/>
      <w:bookmarkStart w:id="7" w:name="_Toc212100971"/>
      <w:r w:rsidRPr="00AF2E74">
        <w:rPr>
          <w:b/>
          <w:szCs w:val="28"/>
        </w:rPr>
        <w:t>b) Turno de la solicitud de información</w:t>
      </w:r>
      <w:bookmarkEnd w:id="5"/>
      <w:bookmarkEnd w:id="6"/>
      <w:bookmarkEnd w:id="7"/>
    </w:p>
    <w:p w14:paraId="5A6929FB" w14:textId="18B87B6D" w:rsidR="001135AC" w:rsidRPr="00AF2E74" w:rsidRDefault="001135AC" w:rsidP="00D765A9">
      <w:r w:rsidRPr="00AF2E74">
        <w:t xml:space="preserve">En cumplimiento al artículo 162 de la Ley de Transparencia y Acceso a la Información Pública del Estado de México y Municipios, el </w:t>
      </w:r>
      <w:r w:rsidRPr="00AF2E74">
        <w:rPr>
          <w:b/>
        </w:rPr>
        <w:t>siete de agosto de dos mil veinticinco</w:t>
      </w:r>
      <w:r w:rsidRPr="00AF2E74">
        <w:t xml:space="preserve">, el Titular de la Unidad de Transparencia del </w:t>
      </w:r>
      <w:r w:rsidRPr="00AF2E74">
        <w:rPr>
          <w:b/>
        </w:rPr>
        <w:t>SUJETO OBLIGADO</w:t>
      </w:r>
      <w:r w:rsidRPr="00AF2E74">
        <w:t xml:space="preserve"> turnó la solicitud de información al servidor público habilitado que estimó pertinente.</w:t>
      </w:r>
    </w:p>
    <w:p w14:paraId="1175CFA3" w14:textId="77777777" w:rsidR="000E0258" w:rsidRPr="00AF2E74" w:rsidRDefault="000E0258" w:rsidP="00D765A9">
      <w:pPr>
        <w:autoSpaceDE w:val="0"/>
        <w:autoSpaceDN w:val="0"/>
        <w:adjustRightInd w:val="0"/>
        <w:ind w:right="-28"/>
        <w:rPr>
          <w:rFonts w:cs="Tahoma"/>
          <w:bCs/>
          <w:i/>
          <w:szCs w:val="22"/>
        </w:rPr>
      </w:pPr>
    </w:p>
    <w:p w14:paraId="6FAB527D" w14:textId="17574B42" w:rsidR="000E0258" w:rsidRPr="00AF2E74" w:rsidRDefault="00D765A9" w:rsidP="00D765A9">
      <w:pPr>
        <w:pStyle w:val="Ttulo3"/>
      </w:pPr>
      <w:bookmarkStart w:id="8" w:name="_Toc192675139"/>
      <w:bookmarkStart w:id="9" w:name="_Toc196232680"/>
      <w:bookmarkStart w:id="10" w:name="_Toc212100972"/>
      <w:r w:rsidRPr="00AF2E74">
        <w:t>c</w:t>
      </w:r>
      <w:r w:rsidR="000E0258" w:rsidRPr="00AF2E74">
        <w:t xml:space="preserve">) </w:t>
      </w:r>
      <w:bookmarkEnd w:id="8"/>
      <w:r w:rsidR="000E0258" w:rsidRPr="00AF2E74">
        <w:rPr>
          <w:lang w:val="es-ES"/>
        </w:rPr>
        <w:t xml:space="preserve">Respuesta </w:t>
      </w:r>
      <w:r w:rsidR="000E0258" w:rsidRPr="00AF2E74">
        <w:rPr>
          <w:rFonts w:eastAsia="Calibri"/>
          <w:lang w:eastAsia="en-US"/>
        </w:rPr>
        <w:t>del Sujeto Obligado</w:t>
      </w:r>
      <w:bookmarkEnd w:id="9"/>
      <w:bookmarkEnd w:id="10"/>
    </w:p>
    <w:p w14:paraId="1A88810B" w14:textId="7DA32D83" w:rsidR="000E0258" w:rsidRPr="00AF2E74" w:rsidRDefault="000E0258" w:rsidP="00D765A9">
      <w:pPr>
        <w:rPr>
          <w:lang w:val="es-ES"/>
        </w:rPr>
      </w:pPr>
      <w:r w:rsidRPr="00AF2E74">
        <w:rPr>
          <w:lang w:val="es-ES"/>
        </w:rPr>
        <w:t xml:space="preserve">El </w:t>
      </w:r>
      <w:r w:rsidR="001135AC" w:rsidRPr="00AF2E74">
        <w:rPr>
          <w:b/>
          <w:bCs/>
          <w:lang w:val="es-ES"/>
        </w:rPr>
        <w:t xml:space="preserve">quince de agosto </w:t>
      </w:r>
      <w:r w:rsidRPr="00AF2E74">
        <w:rPr>
          <w:b/>
          <w:bCs/>
          <w:lang w:val="es-ES"/>
        </w:rPr>
        <w:t>de dos mil veinticinco</w:t>
      </w:r>
      <w:r w:rsidRPr="00AF2E74">
        <w:rPr>
          <w:lang w:val="es-ES"/>
        </w:rPr>
        <w:t xml:space="preserve">, el Titular de la Unidad de Transparencia del </w:t>
      </w:r>
      <w:r w:rsidRPr="00AF2E74">
        <w:rPr>
          <w:b/>
          <w:lang w:val="es-ES"/>
        </w:rPr>
        <w:t>SUJETO OBLIGADO</w:t>
      </w:r>
      <w:r w:rsidRPr="00AF2E74">
        <w:rPr>
          <w:lang w:val="es-ES"/>
        </w:rPr>
        <w:t xml:space="preserve"> notificó la siguiente respuesta a través del </w:t>
      </w:r>
      <w:r w:rsidRPr="00AF2E74">
        <w:rPr>
          <w:b/>
          <w:lang w:val="es-ES"/>
        </w:rPr>
        <w:t>SAIMEX</w:t>
      </w:r>
      <w:r w:rsidRPr="00AF2E74">
        <w:rPr>
          <w:lang w:val="es-ES"/>
        </w:rPr>
        <w:t>:</w:t>
      </w:r>
    </w:p>
    <w:p w14:paraId="01CB51C0" w14:textId="77777777" w:rsidR="000E0258" w:rsidRPr="00AF2E74" w:rsidRDefault="000E0258" w:rsidP="00D765A9"/>
    <w:p w14:paraId="633DC1EF" w14:textId="77777777" w:rsidR="001135AC" w:rsidRPr="00AF2E74" w:rsidRDefault="000E0258" w:rsidP="00D765A9">
      <w:pPr>
        <w:pStyle w:val="Puesto"/>
      </w:pPr>
      <w:r w:rsidRPr="00AF2E74">
        <w:t>“</w:t>
      </w:r>
      <w:r w:rsidR="001135AC" w:rsidRPr="00AF2E74">
        <w:t>En respuesta a la solicitud recibida, nos permitimos hacer de su conocimiento que con fundamento en el artículo 53, Fracciones: II, V y VI de la Ley de Transparencia y Acceso a la Información Pública del Estado de México y Municipios, le contestamos que:</w:t>
      </w:r>
    </w:p>
    <w:p w14:paraId="7024D748" w14:textId="77777777" w:rsidR="001135AC" w:rsidRPr="00AF2E74" w:rsidRDefault="001135AC" w:rsidP="00D765A9"/>
    <w:p w14:paraId="5345E735" w14:textId="77777777" w:rsidR="001135AC" w:rsidRPr="00AF2E74" w:rsidRDefault="001135AC" w:rsidP="00D765A9">
      <w:pPr>
        <w:pStyle w:val="Puesto"/>
      </w:pPr>
      <w:r w:rsidRPr="00AF2E74">
        <w:t>Derivado del contenido su solicitud de información en la que requiere "Solicito la dispersión de nomina y conciliación de nomina de enero 2025 a la fecha de la solicitud " sic. Se adjuntan en Excel y en archivo PDF los documentos para dar respuesta a su solicitud, asimismo Acta de la Decimo Séptima Sesión Extraordinaria del Comité de Transparencia que contiene acuerdo donde se clasifican los datos personales que obran en los archivos solicitados por ser información confidencial, y se aprueban las versiones públicas. Por lo anterior hago de su conocimiento que ante cualquier inconformidad relacionada con la presente respuesta como lo establece el Artículo 178 de la Ley de referencia podrá interponer recurso de revisión dentro de los siguientes 15 días hábiles a través del mismo Sistema SAIMEX y/o directamente en las oficinas que ocupa esta Unidad de Transparencia ubicadas en Av. Ruiz Cortínes s/n, esquina Acambay, col. Lomas de Atizapán, Atizapán de Zaragoza Estado de México. C.P 52977, de lunes a viernes de 9:00 a 18:00 horas.</w:t>
      </w:r>
    </w:p>
    <w:p w14:paraId="234EAD00" w14:textId="77777777" w:rsidR="001135AC" w:rsidRPr="00AF2E74" w:rsidRDefault="001135AC" w:rsidP="00D765A9"/>
    <w:p w14:paraId="001722A1" w14:textId="3BC3BFFC" w:rsidR="000E0258" w:rsidRPr="00AF2E74" w:rsidRDefault="001135AC" w:rsidP="00D765A9">
      <w:pPr>
        <w:pStyle w:val="Puesto"/>
      </w:pPr>
      <w:r w:rsidRPr="00AF2E74">
        <w:t>ATENTAMENTE</w:t>
      </w:r>
      <w:r w:rsidR="000E0258" w:rsidRPr="00AF2E74">
        <w:t>” (sic)</w:t>
      </w:r>
    </w:p>
    <w:p w14:paraId="12981936" w14:textId="77777777" w:rsidR="000E0258" w:rsidRPr="00AF2E74" w:rsidRDefault="000E0258" w:rsidP="00D765A9"/>
    <w:p w14:paraId="2D51C258" w14:textId="20EA76FE" w:rsidR="000E0258" w:rsidRPr="00AF2E74" w:rsidRDefault="000E0258" w:rsidP="00D765A9">
      <w:pPr>
        <w:ind w:right="-28"/>
      </w:pPr>
      <w:r w:rsidRPr="00AF2E74">
        <w:t xml:space="preserve">Asimismo, </w:t>
      </w:r>
      <w:r w:rsidRPr="00AF2E74">
        <w:rPr>
          <w:b/>
        </w:rPr>
        <w:t xml:space="preserve">EL SUJETO OBLIGADO </w:t>
      </w:r>
      <w:r w:rsidRPr="00AF2E74">
        <w:t xml:space="preserve">adjuntó a su respuesta el archivo electrónico denominado </w:t>
      </w:r>
      <w:r w:rsidR="001135AC" w:rsidRPr="00AF2E74">
        <w:rPr>
          <w:b/>
          <w:i/>
        </w:rPr>
        <w:t>CONCILIACION ENERO 2025.xlsx</w:t>
      </w:r>
      <w:r w:rsidRPr="00AF2E74">
        <w:rPr>
          <w:b/>
          <w:i/>
        </w:rPr>
        <w:t xml:space="preserve">, </w:t>
      </w:r>
      <w:r w:rsidRPr="00AF2E74">
        <w:t xml:space="preserve">el cual contiene </w:t>
      </w:r>
      <w:r w:rsidR="001135AC" w:rsidRPr="00AF2E74">
        <w:t xml:space="preserve">la </w:t>
      </w:r>
      <w:r w:rsidR="008D3145" w:rsidRPr="00AF2E74">
        <w:t xml:space="preserve">conciliación de </w:t>
      </w:r>
      <w:r w:rsidR="001135AC" w:rsidRPr="00AF2E74">
        <w:t xml:space="preserve">nómina </w:t>
      </w:r>
      <w:r w:rsidR="008D3145" w:rsidRPr="00AF2E74">
        <w:t xml:space="preserve">correspondiente a </w:t>
      </w:r>
      <w:r w:rsidR="001135AC" w:rsidRPr="00AF2E74">
        <w:t>la primera y segunda quincena de enero de dos mil veinticinco</w:t>
      </w:r>
      <w:r w:rsidR="00FF30FD" w:rsidRPr="00AF2E74">
        <w:t xml:space="preserve">. </w:t>
      </w:r>
    </w:p>
    <w:p w14:paraId="677E6B3D" w14:textId="77777777" w:rsidR="000E0258" w:rsidRPr="00AF2E74" w:rsidRDefault="000E0258" w:rsidP="00D765A9">
      <w:pPr>
        <w:autoSpaceDE w:val="0"/>
        <w:autoSpaceDN w:val="0"/>
        <w:adjustRightInd w:val="0"/>
        <w:ind w:right="-28"/>
        <w:rPr>
          <w:rFonts w:cs="Tahoma"/>
          <w:bCs/>
          <w:i/>
          <w:iCs/>
          <w:szCs w:val="22"/>
        </w:rPr>
      </w:pPr>
    </w:p>
    <w:p w14:paraId="0F24A322" w14:textId="7F9E5F9A" w:rsidR="00B137E8" w:rsidRPr="00AF2E74" w:rsidRDefault="00B137E8" w:rsidP="00D765A9">
      <w:pPr>
        <w:pStyle w:val="Ttulo2"/>
        <w:jc w:val="left"/>
      </w:pPr>
      <w:bookmarkStart w:id="11" w:name="_Toc171527280"/>
      <w:bookmarkStart w:id="12" w:name="_Toc212100973"/>
      <w:r w:rsidRPr="00AF2E74">
        <w:t>DEL RECURSO DE REVISIÓN</w:t>
      </w:r>
      <w:bookmarkEnd w:id="11"/>
      <w:bookmarkEnd w:id="12"/>
    </w:p>
    <w:p w14:paraId="2B216813" w14:textId="61ADBB2B" w:rsidR="00664420" w:rsidRPr="00AF2E74" w:rsidRDefault="006E25BC" w:rsidP="00D765A9">
      <w:pPr>
        <w:pStyle w:val="Ttulo3"/>
      </w:pPr>
      <w:bookmarkStart w:id="13" w:name="_Toc212100974"/>
      <w:r w:rsidRPr="00AF2E74">
        <w:rPr>
          <w:szCs w:val="32"/>
        </w:rPr>
        <w:t>a)</w:t>
      </w:r>
      <w:r w:rsidRPr="00AF2E74">
        <w:t xml:space="preserve"> </w:t>
      </w:r>
      <w:r w:rsidR="00664420" w:rsidRPr="00AF2E74">
        <w:t>Interposición del Recurso de Revisión</w:t>
      </w:r>
      <w:bookmarkEnd w:id="13"/>
    </w:p>
    <w:p w14:paraId="6279C622" w14:textId="0260AAB1" w:rsidR="00664420" w:rsidRPr="00AF2E74" w:rsidRDefault="00664420" w:rsidP="00D765A9">
      <w:pPr>
        <w:autoSpaceDE w:val="0"/>
        <w:autoSpaceDN w:val="0"/>
        <w:adjustRightInd w:val="0"/>
        <w:ind w:right="-28"/>
        <w:rPr>
          <w:rFonts w:cs="Tahoma"/>
          <w:szCs w:val="22"/>
        </w:rPr>
      </w:pPr>
      <w:r w:rsidRPr="00AF2E74">
        <w:rPr>
          <w:rFonts w:cs="Tahoma"/>
          <w:szCs w:val="22"/>
        </w:rPr>
        <w:t xml:space="preserve">El </w:t>
      </w:r>
      <w:r w:rsidR="001135AC" w:rsidRPr="00AF2E74">
        <w:rPr>
          <w:rFonts w:cs="Tahoma"/>
          <w:b/>
          <w:bCs/>
          <w:szCs w:val="22"/>
        </w:rPr>
        <w:t>uno</w:t>
      </w:r>
      <w:r w:rsidR="00FF30FD" w:rsidRPr="00AF2E74">
        <w:rPr>
          <w:rFonts w:cs="Tahoma"/>
          <w:b/>
          <w:bCs/>
          <w:szCs w:val="22"/>
        </w:rPr>
        <w:t xml:space="preserve"> de septiembre </w:t>
      </w:r>
      <w:r w:rsidR="00475FF6" w:rsidRPr="00AF2E74">
        <w:rPr>
          <w:rFonts w:cs="Tahoma"/>
          <w:b/>
          <w:bCs/>
          <w:szCs w:val="22"/>
        </w:rPr>
        <w:t xml:space="preserve">de </w:t>
      </w:r>
      <w:r w:rsidRPr="00AF2E74">
        <w:rPr>
          <w:rFonts w:cs="Tahoma"/>
          <w:b/>
          <w:bCs/>
          <w:szCs w:val="22"/>
        </w:rPr>
        <w:t>dos mil</w:t>
      </w:r>
      <w:r w:rsidR="00F45902" w:rsidRPr="00AF2E74">
        <w:rPr>
          <w:rFonts w:cs="Tahoma"/>
          <w:b/>
          <w:bCs/>
          <w:szCs w:val="22"/>
        </w:rPr>
        <w:t xml:space="preserve"> veintic</w:t>
      </w:r>
      <w:r w:rsidR="006E7E69" w:rsidRPr="00AF2E74">
        <w:rPr>
          <w:rFonts w:cs="Tahoma"/>
          <w:b/>
          <w:bCs/>
          <w:szCs w:val="22"/>
        </w:rPr>
        <w:t>inco</w:t>
      </w:r>
      <w:r w:rsidRPr="00AF2E74">
        <w:rPr>
          <w:rFonts w:cs="Tahoma"/>
          <w:szCs w:val="22"/>
        </w:rPr>
        <w:t xml:space="preserve"> </w:t>
      </w:r>
      <w:r w:rsidR="00F75D23" w:rsidRPr="00AF2E74">
        <w:rPr>
          <w:rFonts w:cs="Tahoma"/>
          <w:b/>
          <w:bCs/>
          <w:szCs w:val="22"/>
        </w:rPr>
        <w:t>LA PARTE RECURRENTE</w:t>
      </w:r>
      <w:r w:rsidR="00F75D23" w:rsidRPr="00AF2E74">
        <w:rPr>
          <w:rFonts w:cs="Tahoma"/>
          <w:szCs w:val="22"/>
        </w:rPr>
        <w:t xml:space="preserve"> interpuso el recurso de revisión en contra de la respuesta emitida por el </w:t>
      </w:r>
      <w:r w:rsidR="00F75D23" w:rsidRPr="00AF2E74">
        <w:rPr>
          <w:rFonts w:cs="Tahoma"/>
          <w:b/>
          <w:bCs/>
          <w:szCs w:val="22"/>
        </w:rPr>
        <w:t>SUJETO OBLIGADO</w:t>
      </w:r>
      <w:r w:rsidR="00953430" w:rsidRPr="00AF2E74">
        <w:rPr>
          <w:rFonts w:cs="Tahoma"/>
          <w:szCs w:val="22"/>
        </w:rPr>
        <w:t xml:space="preserve">, mismo que fue registrado en el </w:t>
      </w:r>
      <w:r w:rsidR="00953430" w:rsidRPr="00AF2E74">
        <w:rPr>
          <w:rFonts w:cs="Tahoma"/>
          <w:b/>
          <w:szCs w:val="22"/>
        </w:rPr>
        <w:t>SAIMEX</w:t>
      </w:r>
      <w:r w:rsidR="00953430" w:rsidRPr="00AF2E74">
        <w:rPr>
          <w:rFonts w:cs="Tahoma"/>
          <w:szCs w:val="22"/>
        </w:rPr>
        <w:t xml:space="preserve"> con el número de expediente </w:t>
      </w:r>
      <w:r w:rsidR="00FF30FD" w:rsidRPr="00AF2E74">
        <w:rPr>
          <w:rFonts w:cs="Tahoma"/>
          <w:b/>
          <w:bCs/>
          <w:szCs w:val="22"/>
        </w:rPr>
        <w:t>1</w:t>
      </w:r>
      <w:r w:rsidR="001135AC" w:rsidRPr="00AF2E74">
        <w:rPr>
          <w:rFonts w:cs="Tahoma"/>
          <w:b/>
          <w:bCs/>
          <w:szCs w:val="22"/>
        </w:rPr>
        <w:t>0312</w:t>
      </w:r>
      <w:r w:rsidR="006E7E69" w:rsidRPr="00AF2E74">
        <w:rPr>
          <w:rFonts w:cs="Tahoma"/>
          <w:b/>
          <w:bCs/>
          <w:szCs w:val="22"/>
        </w:rPr>
        <w:t>/INFOEM/IP/RR/2025</w:t>
      </w:r>
      <w:r w:rsidR="00953430" w:rsidRPr="00AF2E74">
        <w:rPr>
          <w:rFonts w:cs="Tahoma"/>
          <w:szCs w:val="22"/>
        </w:rPr>
        <w:t>, y en el cual manifiesta lo siguiente</w:t>
      </w:r>
      <w:r w:rsidRPr="00AF2E74">
        <w:rPr>
          <w:rFonts w:cs="Tahoma"/>
          <w:szCs w:val="22"/>
        </w:rPr>
        <w:t>:</w:t>
      </w:r>
    </w:p>
    <w:p w14:paraId="74B30008" w14:textId="77777777" w:rsidR="00664420" w:rsidRPr="00AF2E74" w:rsidRDefault="00664420" w:rsidP="00D765A9">
      <w:pPr>
        <w:tabs>
          <w:tab w:val="left" w:pos="4667"/>
        </w:tabs>
        <w:ind w:right="539"/>
        <w:rPr>
          <w:rFonts w:cs="Tahoma"/>
          <w:szCs w:val="22"/>
        </w:rPr>
      </w:pPr>
    </w:p>
    <w:p w14:paraId="3A3988B0" w14:textId="77777777" w:rsidR="001544A1" w:rsidRPr="00AF2E74" w:rsidRDefault="00664420" w:rsidP="00D765A9">
      <w:pPr>
        <w:tabs>
          <w:tab w:val="left" w:pos="4667"/>
        </w:tabs>
        <w:ind w:right="539"/>
        <w:rPr>
          <w:rFonts w:cs="Tahoma"/>
          <w:b/>
          <w:iCs/>
        </w:rPr>
      </w:pPr>
      <w:r w:rsidRPr="00AF2E74">
        <w:rPr>
          <w:rFonts w:cs="Tahoma"/>
          <w:b/>
          <w:iCs/>
        </w:rPr>
        <w:t>ACTO IMPUGNADO</w:t>
      </w:r>
      <w:r w:rsidR="001544A1" w:rsidRPr="00AF2E74">
        <w:rPr>
          <w:rFonts w:cs="Tahoma"/>
          <w:b/>
          <w:iCs/>
        </w:rPr>
        <w:t xml:space="preserve">: </w:t>
      </w:r>
    </w:p>
    <w:p w14:paraId="74BBD238" w14:textId="77777777" w:rsidR="001544A1" w:rsidRPr="00AF2E74" w:rsidRDefault="001544A1" w:rsidP="00D765A9">
      <w:pPr>
        <w:pStyle w:val="Puesto"/>
      </w:pPr>
    </w:p>
    <w:p w14:paraId="327EED5D" w14:textId="1A7921F1" w:rsidR="001544A1" w:rsidRPr="00AF2E74" w:rsidRDefault="001544A1" w:rsidP="00D765A9">
      <w:pPr>
        <w:pStyle w:val="Puesto"/>
      </w:pPr>
      <w:r w:rsidRPr="00AF2E74">
        <w:t>“</w:t>
      </w:r>
      <w:r w:rsidR="001135AC" w:rsidRPr="00AF2E74">
        <w:t>Oficio</w:t>
      </w:r>
      <w:r w:rsidRPr="00AF2E74">
        <w:t xml:space="preserve">” (sic) </w:t>
      </w:r>
    </w:p>
    <w:p w14:paraId="1F180CCD" w14:textId="77777777" w:rsidR="001544A1" w:rsidRPr="00AF2E74" w:rsidRDefault="001544A1" w:rsidP="00D765A9">
      <w:pPr>
        <w:pStyle w:val="Puesto"/>
      </w:pPr>
    </w:p>
    <w:p w14:paraId="093C3F85" w14:textId="65D81CDC" w:rsidR="00CE3DBD" w:rsidRPr="00AF2E74" w:rsidRDefault="00CE3DBD" w:rsidP="00D765A9">
      <w:pPr>
        <w:tabs>
          <w:tab w:val="left" w:pos="4667"/>
        </w:tabs>
        <w:ind w:right="539"/>
        <w:rPr>
          <w:rFonts w:cs="Tahoma"/>
          <w:b/>
          <w:iCs/>
        </w:rPr>
      </w:pPr>
      <w:r w:rsidRPr="00AF2E74">
        <w:rPr>
          <w:rFonts w:cs="Tahoma"/>
          <w:b/>
          <w:iCs/>
        </w:rPr>
        <w:t xml:space="preserve">RAZONES O MOTIVOS DE INCONFORMIDAD </w:t>
      </w:r>
    </w:p>
    <w:p w14:paraId="177EE3D5" w14:textId="77777777" w:rsidR="00F45902" w:rsidRPr="00AF2E74" w:rsidRDefault="00F45902" w:rsidP="00D765A9">
      <w:pPr>
        <w:pStyle w:val="Puesto"/>
      </w:pPr>
    </w:p>
    <w:p w14:paraId="2F63422F" w14:textId="65CDBCB8" w:rsidR="004F165A" w:rsidRPr="00AF2E74" w:rsidRDefault="004F165A" w:rsidP="00D765A9">
      <w:pPr>
        <w:pStyle w:val="Puesto"/>
      </w:pPr>
      <w:r w:rsidRPr="00AF2E74">
        <w:t>“</w:t>
      </w:r>
      <w:r w:rsidR="001135AC" w:rsidRPr="00AF2E74">
        <w:t>No remiten lo solicitado</w:t>
      </w:r>
      <w:r w:rsidRPr="00AF2E74">
        <w:t xml:space="preserve">” (sic) </w:t>
      </w:r>
    </w:p>
    <w:p w14:paraId="6AE8EA9A" w14:textId="77777777" w:rsidR="00664420" w:rsidRPr="00AF2E74" w:rsidRDefault="00664420" w:rsidP="00D765A9">
      <w:pPr>
        <w:pStyle w:val="Puesto"/>
      </w:pPr>
    </w:p>
    <w:p w14:paraId="6804DEF1" w14:textId="1FD3227A" w:rsidR="00664420" w:rsidRPr="00AF2E74" w:rsidRDefault="006E25BC" w:rsidP="00D765A9">
      <w:pPr>
        <w:pStyle w:val="Ttulo3"/>
      </w:pPr>
      <w:bookmarkStart w:id="14" w:name="_Toc212100975"/>
      <w:r w:rsidRPr="00AF2E74">
        <w:t>b</w:t>
      </w:r>
      <w:r w:rsidR="00664420" w:rsidRPr="00AF2E74">
        <w:t>) Turno del Recurso de Revisión</w:t>
      </w:r>
      <w:bookmarkEnd w:id="14"/>
    </w:p>
    <w:p w14:paraId="1173671B" w14:textId="30171C48" w:rsidR="00C72DAA" w:rsidRPr="00AF2E74" w:rsidRDefault="00C72DAA" w:rsidP="00D765A9">
      <w:r w:rsidRPr="00AF2E74">
        <w:t>Con fundamento en el artículo 185, fracción I de la Ley de Transparencia y Acceso a la Información Pública del Estado de México y Municipios, el</w:t>
      </w:r>
      <w:r w:rsidRPr="00AF2E74">
        <w:rPr>
          <w:b/>
          <w:bCs/>
        </w:rPr>
        <w:t xml:space="preserve"> </w:t>
      </w:r>
      <w:r w:rsidR="001135AC" w:rsidRPr="00AF2E74">
        <w:rPr>
          <w:rFonts w:eastAsia="Palatino Linotype" w:cs="Palatino Linotype"/>
          <w:b/>
        </w:rPr>
        <w:t xml:space="preserve">uno de </w:t>
      </w:r>
      <w:r w:rsidR="00FF30FD" w:rsidRPr="00AF2E74">
        <w:rPr>
          <w:rFonts w:eastAsia="Palatino Linotype" w:cs="Palatino Linotype"/>
          <w:b/>
        </w:rPr>
        <w:t xml:space="preserve">septiembre </w:t>
      </w:r>
      <w:r w:rsidR="009A1340" w:rsidRPr="00AF2E74">
        <w:rPr>
          <w:rFonts w:eastAsia="Palatino Linotype" w:cs="Palatino Linotype"/>
          <w:b/>
        </w:rPr>
        <w:t xml:space="preserve">de dos mil veinticinco, </w:t>
      </w:r>
      <w:r w:rsidRPr="00AF2E74">
        <w:t>se turnó el recurso de revisión a través del</w:t>
      </w:r>
      <w:r w:rsidRPr="00AF2E74">
        <w:rPr>
          <w:rFonts w:eastAsia="Arial Unicode MS"/>
        </w:rPr>
        <w:t xml:space="preserve"> </w:t>
      </w:r>
      <w:r w:rsidRPr="00AF2E74">
        <w:rPr>
          <w:rFonts w:eastAsia="Arial Unicode MS"/>
          <w:b/>
          <w:bCs/>
        </w:rPr>
        <w:t>SAIMEX</w:t>
      </w:r>
      <w:r w:rsidRPr="00AF2E74">
        <w:t xml:space="preserve"> a la </w:t>
      </w:r>
      <w:r w:rsidRPr="00AF2E74">
        <w:rPr>
          <w:b/>
        </w:rPr>
        <w:t>Comisionada Sharon Cristina Morales Martínez</w:t>
      </w:r>
      <w:r w:rsidRPr="00AF2E74">
        <w:rPr>
          <w:bCs/>
        </w:rPr>
        <w:t xml:space="preserve">, </w:t>
      </w:r>
      <w:r w:rsidRPr="00AF2E74">
        <w:t xml:space="preserve">a efecto de decretar su admisión o desechamiento. </w:t>
      </w:r>
    </w:p>
    <w:p w14:paraId="18F305CB" w14:textId="77777777" w:rsidR="00664420" w:rsidRPr="00AF2E74" w:rsidRDefault="00664420" w:rsidP="00D765A9">
      <w:pPr>
        <w:rPr>
          <w:rFonts w:eastAsia="Batang" w:cs="Tahoma"/>
          <w:bCs/>
          <w:szCs w:val="22"/>
        </w:rPr>
      </w:pPr>
    </w:p>
    <w:p w14:paraId="3E31EC2D" w14:textId="295256A1" w:rsidR="00664420" w:rsidRPr="00AF2E74" w:rsidRDefault="006E25BC" w:rsidP="00D765A9">
      <w:pPr>
        <w:pStyle w:val="Ttulo3"/>
      </w:pPr>
      <w:bookmarkStart w:id="15" w:name="_Toc212100976"/>
      <w:r w:rsidRPr="00AF2E74">
        <w:lastRenderedPageBreak/>
        <w:t>c</w:t>
      </w:r>
      <w:r w:rsidR="00664420" w:rsidRPr="00AF2E74">
        <w:t>) Admisión del Recurso de Revisión</w:t>
      </w:r>
      <w:bookmarkEnd w:id="15"/>
    </w:p>
    <w:p w14:paraId="240447D5" w14:textId="39A8A4C5" w:rsidR="000E09C4" w:rsidRPr="00AF2E74" w:rsidRDefault="000E09C4" w:rsidP="00D765A9">
      <w:pPr>
        <w:rPr>
          <w:rFonts w:cs="Arial"/>
        </w:rPr>
      </w:pPr>
      <w:r w:rsidRPr="00AF2E74">
        <w:rPr>
          <w:rFonts w:cs="Arial"/>
        </w:rPr>
        <w:t xml:space="preserve">El </w:t>
      </w:r>
      <w:r w:rsidR="001135AC" w:rsidRPr="00AF2E74">
        <w:rPr>
          <w:rFonts w:eastAsia="Palatino Linotype" w:cs="Palatino Linotype"/>
          <w:b/>
        </w:rPr>
        <w:t>tres</w:t>
      </w:r>
      <w:r w:rsidR="00FF30FD" w:rsidRPr="00AF2E74">
        <w:rPr>
          <w:rFonts w:eastAsia="Palatino Linotype" w:cs="Palatino Linotype"/>
          <w:b/>
        </w:rPr>
        <w:t xml:space="preserve"> de septiembre </w:t>
      </w:r>
      <w:r w:rsidR="00DA3CF6" w:rsidRPr="00AF2E74">
        <w:rPr>
          <w:rFonts w:eastAsia="Palatino Linotype" w:cs="Palatino Linotype"/>
          <w:b/>
        </w:rPr>
        <w:t>d</w:t>
      </w:r>
      <w:r w:rsidR="00657603" w:rsidRPr="00AF2E74">
        <w:rPr>
          <w:rFonts w:eastAsia="Palatino Linotype" w:cs="Palatino Linotype"/>
          <w:b/>
        </w:rPr>
        <w:t>e dos mil veintic</w:t>
      </w:r>
      <w:r w:rsidR="009A1340" w:rsidRPr="00AF2E74">
        <w:rPr>
          <w:rFonts w:eastAsia="Palatino Linotype" w:cs="Palatino Linotype"/>
          <w:b/>
        </w:rPr>
        <w:t>inco</w:t>
      </w:r>
      <w:r w:rsidRPr="00AF2E74">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AF2E74">
        <w:rPr>
          <w:rFonts w:cs="Arial"/>
        </w:rPr>
        <w:t>, fracción II</w:t>
      </w:r>
      <w:r w:rsidRPr="00AF2E74">
        <w:rPr>
          <w:rFonts w:cs="Arial"/>
        </w:rPr>
        <w:t xml:space="preserve"> de la Ley de Transparencia y Acceso a la Información Pública del Estado de México y Municipios.</w:t>
      </w:r>
    </w:p>
    <w:p w14:paraId="34EC3F86" w14:textId="77777777" w:rsidR="00D2790D" w:rsidRPr="00AF2E74" w:rsidRDefault="00D2790D" w:rsidP="00D765A9">
      <w:pPr>
        <w:rPr>
          <w:rFonts w:cs="Arial"/>
        </w:rPr>
      </w:pPr>
    </w:p>
    <w:p w14:paraId="305F9725" w14:textId="77777777" w:rsidR="00FF30FD" w:rsidRPr="00AF2E74" w:rsidRDefault="00FF30FD" w:rsidP="00D765A9">
      <w:pPr>
        <w:pStyle w:val="Ttulo3"/>
      </w:pPr>
      <w:bookmarkStart w:id="16" w:name="_Toc198720108"/>
      <w:bookmarkStart w:id="17" w:name="_Toc212100977"/>
      <w:r w:rsidRPr="00AF2E74">
        <w:t>d) Informe Justificado del Sujeto Obligado</w:t>
      </w:r>
      <w:bookmarkEnd w:id="16"/>
      <w:bookmarkEnd w:id="17"/>
    </w:p>
    <w:p w14:paraId="394DC810" w14:textId="7DA0524E" w:rsidR="001135AC" w:rsidRPr="00AF2E74" w:rsidRDefault="001135AC" w:rsidP="00D765A9">
      <w:pPr>
        <w:rPr>
          <w:rFonts w:cs="Tahoma"/>
          <w:bCs/>
          <w:szCs w:val="24"/>
        </w:rPr>
      </w:pPr>
      <w:r w:rsidRPr="00AF2E74">
        <w:rPr>
          <w:rFonts w:cs="Tahoma"/>
          <w:bCs/>
          <w:szCs w:val="24"/>
        </w:rPr>
        <w:t xml:space="preserve">El </w:t>
      </w:r>
      <w:r w:rsidRPr="00AF2E74">
        <w:rPr>
          <w:rFonts w:cs="Tahoma"/>
          <w:b/>
          <w:szCs w:val="24"/>
        </w:rPr>
        <w:t>cuatro de septiembre de dos mil veinticinco EL SUJETO OBLIGADO</w:t>
      </w:r>
      <w:r w:rsidRPr="00AF2E74">
        <w:rPr>
          <w:rFonts w:cs="Tahoma"/>
          <w:bCs/>
          <w:szCs w:val="24"/>
        </w:rPr>
        <w:t xml:space="preserve"> rindió su informe justificado a través del </w:t>
      </w:r>
      <w:r w:rsidRPr="00AF2E74">
        <w:rPr>
          <w:rFonts w:cs="Tahoma"/>
          <w:b/>
          <w:bCs/>
          <w:szCs w:val="24"/>
        </w:rPr>
        <w:t>SAIMEX</w:t>
      </w:r>
      <w:r w:rsidRPr="00AF2E74">
        <w:rPr>
          <w:rFonts w:cs="Tahoma"/>
          <w:bCs/>
          <w:szCs w:val="24"/>
        </w:rPr>
        <w:t xml:space="preserve">, </w:t>
      </w:r>
      <w:bookmarkStart w:id="18" w:name="_Hlk165379932"/>
      <w:r w:rsidRPr="00AF2E74">
        <w:rPr>
          <w:rFonts w:cs="Tahoma"/>
          <w:bCs/>
          <w:szCs w:val="24"/>
        </w:rPr>
        <w:t xml:space="preserve">adjuntando para ello los archivos electrónicos que a continuación se describen: </w:t>
      </w:r>
    </w:p>
    <w:p w14:paraId="7800EC98" w14:textId="77777777" w:rsidR="001135AC" w:rsidRPr="00AF2E74" w:rsidRDefault="001135AC" w:rsidP="00D765A9">
      <w:pPr>
        <w:rPr>
          <w:rFonts w:cs="Tahoma"/>
          <w:bCs/>
          <w:szCs w:val="24"/>
        </w:rPr>
      </w:pPr>
    </w:p>
    <w:p w14:paraId="72703282" w14:textId="36E5413C" w:rsidR="001135AC" w:rsidRPr="00AF2E74" w:rsidRDefault="001135AC" w:rsidP="00D765A9">
      <w:pPr>
        <w:numPr>
          <w:ilvl w:val="0"/>
          <w:numId w:val="32"/>
        </w:numPr>
        <w:contextualSpacing/>
        <w:rPr>
          <w:rFonts w:cs="Tahoma"/>
          <w:b/>
          <w:bCs/>
          <w:i/>
          <w:szCs w:val="24"/>
        </w:rPr>
      </w:pPr>
      <w:r w:rsidRPr="00AF2E74">
        <w:rPr>
          <w:rFonts w:cs="Tahoma"/>
          <w:b/>
          <w:bCs/>
          <w:i/>
          <w:szCs w:val="24"/>
        </w:rPr>
        <w:t xml:space="preserve">INFORME JUSTIFICADO PARA RECURSO DE REVISION 10312.pdf, </w:t>
      </w:r>
      <w:r w:rsidRPr="00AF2E74">
        <w:rPr>
          <w:rFonts w:cs="Tahoma"/>
          <w:iCs/>
          <w:szCs w:val="24"/>
        </w:rPr>
        <w:t xml:space="preserve">el cual contiene el oficio DIF/SGE,TyMR/0128/2025 del cuatro de septiembre de dos mil veinticinco, por medio del cual el Subdirector de Gestión Estratégica, Transparencia y Mejora Regulatoria, </w:t>
      </w:r>
      <w:r w:rsidR="009C501B" w:rsidRPr="00AF2E74">
        <w:rPr>
          <w:rFonts w:cs="Tahoma"/>
          <w:iCs/>
          <w:szCs w:val="24"/>
        </w:rPr>
        <w:t xml:space="preserve">refiere adjuntar la información solicitada y acta que sustenta la versión pública de los documentos entregados. </w:t>
      </w:r>
    </w:p>
    <w:p w14:paraId="23C5C774" w14:textId="12FF0701" w:rsidR="009C501B" w:rsidRPr="00AF2E74" w:rsidRDefault="009C501B" w:rsidP="00D765A9">
      <w:pPr>
        <w:numPr>
          <w:ilvl w:val="0"/>
          <w:numId w:val="32"/>
        </w:numPr>
        <w:contextualSpacing/>
        <w:rPr>
          <w:rFonts w:cs="Tahoma"/>
          <w:b/>
          <w:bCs/>
          <w:i/>
          <w:szCs w:val="24"/>
        </w:rPr>
      </w:pPr>
      <w:r w:rsidRPr="00AF2E74">
        <w:rPr>
          <w:rFonts w:cs="Tahoma"/>
          <w:b/>
          <w:bCs/>
          <w:i/>
          <w:szCs w:val="24"/>
        </w:rPr>
        <w:t xml:space="preserve">17 SE 2025 PDF.pdf, </w:t>
      </w:r>
      <w:r w:rsidRPr="00AF2E74">
        <w:rPr>
          <w:rFonts w:cs="Tahoma"/>
          <w:iCs/>
          <w:szCs w:val="24"/>
        </w:rPr>
        <w:t xml:space="preserve">el cual contiene el Acta de la Décimo Séptima Sesión Extraordinaria, por medio del cual el Comité de Transparencia, aprueba la clasificación de la información </w:t>
      </w:r>
      <w:r w:rsidR="008D3145" w:rsidRPr="00AF2E74">
        <w:rPr>
          <w:rFonts w:cs="Tahoma"/>
          <w:iCs/>
          <w:szCs w:val="24"/>
        </w:rPr>
        <w:t xml:space="preserve">confidencial </w:t>
      </w:r>
      <w:r w:rsidRPr="00AF2E74">
        <w:rPr>
          <w:rFonts w:cs="Tahoma"/>
          <w:iCs/>
          <w:szCs w:val="24"/>
        </w:rPr>
        <w:t xml:space="preserve">de manera parcial </w:t>
      </w:r>
      <w:r w:rsidR="008D3145" w:rsidRPr="00AF2E74">
        <w:rPr>
          <w:rFonts w:cs="Tahoma"/>
          <w:iCs/>
          <w:szCs w:val="24"/>
        </w:rPr>
        <w:t xml:space="preserve">de los datos contenidos en la conciliación de nómina y dispersión bancaria. </w:t>
      </w:r>
    </w:p>
    <w:p w14:paraId="788AB986" w14:textId="6B3DC0AA" w:rsidR="008D3145" w:rsidRPr="00AF2E74" w:rsidRDefault="008D3145" w:rsidP="00D765A9">
      <w:pPr>
        <w:numPr>
          <w:ilvl w:val="0"/>
          <w:numId w:val="32"/>
        </w:numPr>
        <w:contextualSpacing/>
        <w:rPr>
          <w:rFonts w:cs="Tahoma"/>
          <w:b/>
          <w:bCs/>
          <w:i/>
          <w:szCs w:val="24"/>
        </w:rPr>
      </w:pPr>
      <w:r w:rsidRPr="00AF2E74">
        <w:rPr>
          <w:rFonts w:cs="Tahoma"/>
          <w:b/>
          <w:bCs/>
          <w:i/>
          <w:szCs w:val="24"/>
        </w:rPr>
        <w:t xml:space="preserve">CONCILIACION ENERO 2025.xlsx, </w:t>
      </w:r>
      <w:r w:rsidRPr="00AF2E74">
        <w:t>el cual contiene la conciliación de nómina correspondiente a la primera y segunda quincena de enero de dos mil veinticinco.</w:t>
      </w:r>
    </w:p>
    <w:p w14:paraId="51280A4B" w14:textId="4A9F990A" w:rsidR="00FC1CB6" w:rsidRPr="00AF2E74" w:rsidRDefault="00FC1CB6" w:rsidP="00D765A9">
      <w:pPr>
        <w:numPr>
          <w:ilvl w:val="0"/>
          <w:numId w:val="32"/>
        </w:numPr>
        <w:contextualSpacing/>
        <w:rPr>
          <w:rFonts w:cs="Tahoma"/>
          <w:b/>
          <w:bCs/>
          <w:i/>
          <w:szCs w:val="24"/>
        </w:rPr>
      </w:pPr>
      <w:r w:rsidRPr="00AF2E74">
        <w:rPr>
          <w:rFonts w:cs="Tahoma"/>
          <w:b/>
          <w:bCs/>
          <w:i/>
          <w:szCs w:val="24"/>
        </w:rPr>
        <w:t>CONCILIACION FEBRERO 2025.xlsx,</w:t>
      </w:r>
      <w:r w:rsidRPr="00AF2E74">
        <w:t xml:space="preserve"> el cual contiene la conciliación de nómina correspondiente a la primera y segunda quincena de febrero de dos mil veinticinco.</w:t>
      </w:r>
    </w:p>
    <w:p w14:paraId="23FBE125" w14:textId="0E98D994" w:rsidR="00567FEF" w:rsidRPr="00AF2E74" w:rsidRDefault="00FC1CB6" w:rsidP="00D765A9">
      <w:pPr>
        <w:numPr>
          <w:ilvl w:val="0"/>
          <w:numId w:val="32"/>
        </w:numPr>
        <w:rPr>
          <w:b/>
          <w:i/>
        </w:rPr>
      </w:pPr>
      <w:r w:rsidRPr="00AF2E74">
        <w:rPr>
          <w:rFonts w:cs="Tahoma"/>
          <w:b/>
          <w:bCs/>
          <w:i/>
          <w:szCs w:val="24"/>
        </w:rPr>
        <w:lastRenderedPageBreak/>
        <w:t xml:space="preserve">CONCILIACION MARZO 2025.xlsx, </w:t>
      </w:r>
      <w:r w:rsidRPr="00AF2E74">
        <w:t>el cual contiene la conciliación de nómina correspondiente a la primera y segunda quincena de marzo de dos mil veinticinco</w:t>
      </w:r>
      <w:r w:rsidR="00567FEF" w:rsidRPr="00AF2E74">
        <w:t xml:space="preserve">, </w:t>
      </w:r>
      <w:r w:rsidR="00567FEF" w:rsidRPr="00AF2E74">
        <w:rPr>
          <w:bCs/>
        </w:rPr>
        <w:t xml:space="preserve">en el que </w:t>
      </w:r>
      <w:r w:rsidR="00567FEF" w:rsidRPr="00AF2E74">
        <w:t xml:space="preserve">se dejó visible información susceptible de ser clasificada como confidencial, motivo por el cual, este Órgano a fin de garantizar la protección de los datos personales, consideró no ponerlo a la vista del particular. </w:t>
      </w:r>
    </w:p>
    <w:p w14:paraId="0F3B8E11" w14:textId="59048A1F" w:rsidR="00FC1CB6" w:rsidRPr="00AF2E74" w:rsidRDefault="00FC1CB6" w:rsidP="00D765A9">
      <w:pPr>
        <w:numPr>
          <w:ilvl w:val="0"/>
          <w:numId w:val="32"/>
        </w:numPr>
        <w:contextualSpacing/>
        <w:rPr>
          <w:rFonts w:cs="Tahoma"/>
          <w:b/>
          <w:bCs/>
          <w:i/>
          <w:szCs w:val="24"/>
        </w:rPr>
      </w:pPr>
      <w:r w:rsidRPr="00AF2E74">
        <w:rPr>
          <w:rFonts w:cs="Tahoma"/>
          <w:b/>
          <w:bCs/>
          <w:i/>
          <w:szCs w:val="24"/>
        </w:rPr>
        <w:t xml:space="preserve">CONCILIACION ABRIL 2025.xlsx, </w:t>
      </w:r>
      <w:r w:rsidRPr="00AF2E74">
        <w:t>el cual contiene la conciliación de nómina correspondiente a la primera y segunda quincena de abril de dos mil veinticinco.</w:t>
      </w:r>
    </w:p>
    <w:p w14:paraId="45CC2DF5" w14:textId="55757423" w:rsidR="00FC1CB6" w:rsidRPr="00AF2E74" w:rsidRDefault="00FC1CB6" w:rsidP="00D765A9">
      <w:pPr>
        <w:numPr>
          <w:ilvl w:val="0"/>
          <w:numId w:val="32"/>
        </w:numPr>
        <w:contextualSpacing/>
        <w:rPr>
          <w:rFonts w:cs="Tahoma"/>
          <w:b/>
          <w:bCs/>
          <w:i/>
          <w:szCs w:val="24"/>
        </w:rPr>
      </w:pPr>
      <w:r w:rsidRPr="00AF2E74">
        <w:rPr>
          <w:rFonts w:cs="Tahoma"/>
          <w:b/>
          <w:bCs/>
          <w:i/>
          <w:szCs w:val="24"/>
        </w:rPr>
        <w:t xml:space="preserve">CONCILIACION MAYO 2025.xlsx, </w:t>
      </w:r>
      <w:r w:rsidR="00C5605C" w:rsidRPr="00AF2E74">
        <w:t>el cual contiene la conciliación de nómina correspondiente a la primera y segunda quincena de mayo de dos mil veinticinco.</w:t>
      </w:r>
    </w:p>
    <w:p w14:paraId="61685B50" w14:textId="14CC1E3C" w:rsidR="00C5605C" w:rsidRPr="00AF2E74" w:rsidRDefault="00C5605C" w:rsidP="00D765A9">
      <w:pPr>
        <w:numPr>
          <w:ilvl w:val="0"/>
          <w:numId w:val="32"/>
        </w:numPr>
        <w:contextualSpacing/>
        <w:rPr>
          <w:rFonts w:cs="Tahoma"/>
          <w:b/>
          <w:bCs/>
          <w:i/>
          <w:szCs w:val="24"/>
        </w:rPr>
      </w:pPr>
      <w:r w:rsidRPr="00AF2E74">
        <w:rPr>
          <w:rFonts w:cs="Tahoma"/>
          <w:b/>
          <w:bCs/>
          <w:i/>
          <w:szCs w:val="24"/>
        </w:rPr>
        <w:t xml:space="preserve">CONCILIACION JUNIO 2025 .xlsx, </w:t>
      </w:r>
      <w:r w:rsidRPr="00AF2E74">
        <w:t>el cual contiene la conciliación de nómina correspondiente a la primera y segunda quincena de junio de dos mil veinticinco.</w:t>
      </w:r>
    </w:p>
    <w:p w14:paraId="0204D6DE" w14:textId="77777777" w:rsidR="00567FEF" w:rsidRPr="00AF2E74" w:rsidRDefault="001135AC" w:rsidP="00D765A9">
      <w:pPr>
        <w:numPr>
          <w:ilvl w:val="0"/>
          <w:numId w:val="32"/>
        </w:numPr>
        <w:rPr>
          <w:b/>
          <w:i/>
        </w:rPr>
      </w:pPr>
      <w:r w:rsidRPr="00AF2E74">
        <w:rPr>
          <w:rFonts w:cs="Tahoma"/>
          <w:b/>
          <w:bCs/>
          <w:i/>
          <w:szCs w:val="24"/>
        </w:rPr>
        <w:t>CONCILIACION JULIO 2025xlsx.xlsx</w:t>
      </w:r>
      <w:r w:rsidR="008D3145" w:rsidRPr="00AF2E74">
        <w:rPr>
          <w:rFonts w:cs="Tahoma"/>
          <w:b/>
          <w:bCs/>
          <w:i/>
          <w:szCs w:val="24"/>
        </w:rPr>
        <w:t xml:space="preserve">, </w:t>
      </w:r>
      <w:r w:rsidR="00C5605C" w:rsidRPr="00AF2E74">
        <w:t>el cual contiene la conciliación de nómina correspondiente a la primera y segunda quincena de julio de dos mil veinticinco</w:t>
      </w:r>
      <w:r w:rsidR="00567FEF" w:rsidRPr="00AF2E74">
        <w:t xml:space="preserve">, </w:t>
      </w:r>
      <w:r w:rsidR="00567FEF" w:rsidRPr="00AF2E74">
        <w:rPr>
          <w:bCs/>
        </w:rPr>
        <w:t xml:space="preserve">en el que </w:t>
      </w:r>
      <w:r w:rsidR="00567FEF" w:rsidRPr="00AF2E74">
        <w:t xml:space="preserve">se dejó visible información susceptible de ser clasificada como confidencial, motivo por el cual, este Órgano a fin de garantizar la protección de los datos personales, consideró no ponerlo a la vista del particular. </w:t>
      </w:r>
    </w:p>
    <w:p w14:paraId="215666FC" w14:textId="07DD78D3" w:rsidR="00567FEF" w:rsidRPr="00AF2E74" w:rsidRDefault="001135AC" w:rsidP="00D765A9">
      <w:pPr>
        <w:numPr>
          <w:ilvl w:val="0"/>
          <w:numId w:val="32"/>
        </w:numPr>
        <w:rPr>
          <w:b/>
          <w:i/>
        </w:rPr>
      </w:pPr>
      <w:r w:rsidRPr="00AF2E74">
        <w:rPr>
          <w:rFonts w:cs="Tahoma"/>
          <w:b/>
          <w:bCs/>
          <w:i/>
          <w:szCs w:val="24"/>
        </w:rPr>
        <w:t>DISPERSIÓN DE NOMINAS, SOLICITUD 20.pdf</w:t>
      </w:r>
      <w:r w:rsidR="00C5605C" w:rsidRPr="00AF2E74">
        <w:rPr>
          <w:rFonts w:cs="Tahoma"/>
          <w:b/>
          <w:bCs/>
          <w:i/>
          <w:szCs w:val="24"/>
        </w:rPr>
        <w:t xml:space="preserve">, </w:t>
      </w:r>
      <w:r w:rsidR="00C5605C" w:rsidRPr="00AF2E74">
        <w:rPr>
          <w:rFonts w:cs="Tahoma"/>
          <w:iCs/>
          <w:szCs w:val="24"/>
        </w:rPr>
        <w:t>el cual contiene el comprobante bancario de dispersión de nómina correspondiente a los meses de enero, febrero, marzo, abril, mayo, junio y julio de dos mil veinticinco</w:t>
      </w:r>
      <w:r w:rsidR="00567FEF" w:rsidRPr="00AF2E74">
        <w:rPr>
          <w:rFonts w:cs="Tahoma"/>
          <w:iCs/>
          <w:szCs w:val="24"/>
        </w:rPr>
        <w:t xml:space="preserve">, </w:t>
      </w:r>
      <w:r w:rsidR="00567FEF" w:rsidRPr="00AF2E74">
        <w:rPr>
          <w:bCs/>
        </w:rPr>
        <w:t xml:space="preserve">en el que </w:t>
      </w:r>
      <w:r w:rsidR="00567FEF" w:rsidRPr="00AF2E74">
        <w:t xml:space="preserve">se dejó visible información susceptible de ser clasificada como confidencial; asimismo, se omitió testar de manera permanente la información, motivo por el cual, este Órgano a fin de garantizar la protección de los datos personales, consideró no ponerlo a la vista del particular. </w:t>
      </w:r>
    </w:p>
    <w:bookmarkEnd w:id="18"/>
    <w:p w14:paraId="7F7DE73E" w14:textId="77777777" w:rsidR="001135AC" w:rsidRPr="00AF2E74" w:rsidRDefault="001135AC" w:rsidP="00D765A9">
      <w:pPr>
        <w:rPr>
          <w:rFonts w:cs="Tahoma"/>
          <w:bCs/>
          <w:szCs w:val="24"/>
        </w:rPr>
      </w:pPr>
    </w:p>
    <w:p w14:paraId="081FF820" w14:textId="5FAEE0F3" w:rsidR="00C5605C" w:rsidRPr="00AF2E74" w:rsidRDefault="00C5605C" w:rsidP="00D765A9">
      <w:pPr>
        <w:rPr>
          <w:rFonts w:cs="Tahoma"/>
          <w:bCs/>
          <w:szCs w:val="24"/>
        </w:rPr>
      </w:pPr>
      <w:r w:rsidRPr="00AF2E74">
        <w:rPr>
          <w:rFonts w:cs="Tahoma"/>
          <w:bCs/>
          <w:szCs w:val="24"/>
        </w:rPr>
        <w:t xml:space="preserve">Cabe destacar que los archivos electrónicos denominados </w:t>
      </w:r>
      <w:r w:rsidRPr="00AF2E74">
        <w:rPr>
          <w:rFonts w:cs="Tahoma"/>
          <w:b/>
          <w:bCs/>
          <w:i/>
          <w:szCs w:val="24"/>
        </w:rPr>
        <w:t xml:space="preserve">INFORME JUSTIFICADO PARA RECURSO DE REVISION 10312.pdf, 17 SE 2025 PDF.pdf, CONCILIACION ENERO </w:t>
      </w:r>
      <w:r w:rsidRPr="00AF2E74">
        <w:rPr>
          <w:rFonts w:cs="Tahoma"/>
          <w:b/>
          <w:bCs/>
          <w:i/>
          <w:szCs w:val="24"/>
        </w:rPr>
        <w:lastRenderedPageBreak/>
        <w:t>2025.xlsx, CONCILIACION FEBRERO 2025.xlsx,</w:t>
      </w:r>
      <w:r w:rsidRPr="00AF2E74">
        <w:t xml:space="preserve"> </w:t>
      </w:r>
      <w:r w:rsidRPr="00AF2E74">
        <w:rPr>
          <w:rFonts w:cs="Tahoma"/>
          <w:b/>
          <w:bCs/>
          <w:i/>
          <w:szCs w:val="24"/>
        </w:rPr>
        <w:t xml:space="preserve">CONCILIACION ABRIL 2025.xlsx, CONCILIACION MAYO 2025.xlsx, CONCILIACION JUNIO 2025 .xlsx, </w:t>
      </w:r>
      <w:r w:rsidRPr="00AF2E74">
        <w:rPr>
          <w:rFonts w:cs="Tahoma"/>
          <w:bCs/>
          <w:szCs w:val="24"/>
        </w:rPr>
        <w:t xml:space="preserve">fueron puestos a la vista de </w:t>
      </w:r>
      <w:r w:rsidRPr="00AF2E74">
        <w:rPr>
          <w:rFonts w:cs="Tahoma"/>
          <w:b/>
          <w:szCs w:val="24"/>
        </w:rPr>
        <w:t xml:space="preserve">LA PARTE </w:t>
      </w:r>
      <w:r w:rsidRPr="00AF2E74">
        <w:rPr>
          <w:rFonts w:cs="Tahoma"/>
          <w:b/>
          <w:bCs/>
          <w:szCs w:val="24"/>
        </w:rPr>
        <w:t>RECURRENTE</w:t>
      </w:r>
      <w:r w:rsidRPr="00AF2E74">
        <w:rPr>
          <w:rFonts w:cs="Tahoma"/>
          <w:bCs/>
          <w:szCs w:val="24"/>
        </w:rPr>
        <w:t xml:space="preserve"> el </w:t>
      </w:r>
      <w:r w:rsidRPr="00AF2E74">
        <w:rPr>
          <w:rFonts w:cs="Tahoma"/>
          <w:b/>
          <w:bCs/>
          <w:szCs w:val="24"/>
        </w:rPr>
        <w:t>quince de octubre de dos mil veinticinco</w:t>
      </w:r>
      <w:r w:rsidRPr="00AF2E74">
        <w:rPr>
          <w:rFonts w:cs="Tahoma"/>
          <w:bCs/>
          <w:szCs w:val="24"/>
        </w:rPr>
        <w:t>, para que, en un plazo de tres días hábiles, manifestara lo que a su derecho conviniera, de conformidad con lo establecido en el artículo 185, fracción III de la Ley de Transparencia y Acceso a la Información Pública del Estado de México y Municipios.</w:t>
      </w:r>
    </w:p>
    <w:p w14:paraId="4BD8E42E" w14:textId="77777777" w:rsidR="00C5605C" w:rsidRPr="00AF2E74" w:rsidRDefault="00C5605C" w:rsidP="00D765A9">
      <w:pPr>
        <w:rPr>
          <w:rFonts w:cs="Tahoma"/>
          <w:bCs/>
          <w:szCs w:val="24"/>
        </w:rPr>
      </w:pPr>
    </w:p>
    <w:p w14:paraId="6AF9279A" w14:textId="77777777" w:rsidR="00FF30FD" w:rsidRPr="00AF2E74" w:rsidRDefault="00FF30FD" w:rsidP="00D765A9">
      <w:pPr>
        <w:pStyle w:val="Ttulo3"/>
        <w:rPr>
          <w:lang w:val="es-ES"/>
        </w:rPr>
      </w:pPr>
      <w:bookmarkStart w:id="19" w:name="_Toc198720109"/>
      <w:bookmarkStart w:id="20" w:name="_Toc212100978"/>
      <w:r w:rsidRPr="00AF2E74">
        <w:rPr>
          <w:rFonts w:eastAsia="Calibri"/>
          <w:bCs/>
          <w:lang w:eastAsia="en-US"/>
        </w:rPr>
        <w:t>e)</w:t>
      </w:r>
      <w:r w:rsidRPr="00AF2E74">
        <w:t xml:space="preserve"> </w:t>
      </w:r>
      <w:r w:rsidRPr="00AF2E74">
        <w:rPr>
          <w:lang w:val="es-ES"/>
        </w:rPr>
        <w:t>Manifestaciones de la Parte Recurrente</w:t>
      </w:r>
      <w:bookmarkEnd w:id="19"/>
      <w:bookmarkEnd w:id="20"/>
    </w:p>
    <w:p w14:paraId="06D3FAA3" w14:textId="07D75BBC" w:rsidR="00967D34" w:rsidRPr="00AF2E74" w:rsidRDefault="00FF30FD" w:rsidP="00D765A9">
      <w:pPr>
        <w:rPr>
          <w:rFonts w:eastAsia="Arial Unicode MS" w:cs="Arial"/>
        </w:rPr>
      </w:pPr>
      <w:r w:rsidRPr="00AF2E74">
        <w:rPr>
          <w:rFonts w:cs="Tahoma"/>
          <w:b/>
          <w:szCs w:val="24"/>
        </w:rPr>
        <w:t xml:space="preserve">LA PARTE RECURRENTE </w:t>
      </w:r>
      <w:r w:rsidRPr="00AF2E74">
        <w:rPr>
          <w:rFonts w:eastAsia="Arial Unicode MS" w:cs="Arial"/>
        </w:rPr>
        <w:t>no realizó manifestación alguna dentro del término legalmente concedido para tal efecto, ni presentó pruebas o alegatos.</w:t>
      </w:r>
    </w:p>
    <w:p w14:paraId="2CBB8164" w14:textId="77777777" w:rsidR="00FF30FD" w:rsidRPr="00AF2E74" w:rsidRDefault="00FF30FD" w:rsidP="00D765A9">
      <w:pPr>
        <w:rPr>
          <w:rFonts w:cs="Arial"/>
        </w:rPr>
      </w:pPr>
    </w:p>
    <w:p w14:paraId="0E651988" w14:textId="76499ED3" w:rsidR="00664420" w:rsidRPr="00AF2E74" w:rsidRDefault="00FF30FD" w:rsidP="00D765A9">
      <w:pPr>
        <w:pStyle w:val="Ttulo3"/>
      </w:pPr>
      <w:bookmarkStart w:id="21" w:name="_Toc172051809"/>
      <w:bookmarkStart w:id="22" w:name="_Toc178101309"/>
      <w:bookmarkStart w:id="23" w:name="_Toc212100979"/>
      <w:r w:rsidRPr="00AF2E74">
        <w:rPr>
          <w:lang w:val="es-ES"/>
        </w:rPr>
        <w:t>f</w:t>
      </w:r>
      <w:r w:rsidR="003F3B84" w:rsidRPr="00AF2E74">
        <w:rPr>
          <w:lang w:val="es-ES"/>
        </w:rPr>
        <w:t xml:space="preserve">) </w:t>
      </w:r>
      <w:bookmarkEnd w:id="21"/>
      <w:bookmarkEnd w:id="22"/>
      <w:r w:rsidR="00664420" w:rsidRPr="00AF2E74">
        <w:t>Cierre de instrucción</w:t>
      </w:r>
      <w:bookmarkEnd w:id="23"/>
    </w:p>
    <w:p w14:paraId="79AF95DC" w14:textId="6BE6F357" w:rsidR="00664420" w:rsidRPr="00AF2E74" w:rsidRDefault="00BF091A" w:rsidP="00D765A9">
      <w:pPr>
        <w:rPr>
          <w:rFonts w:cs="Tahoma"/>
          <w:szCs w:val="22"/>
        </w:rPr>
      </w:pPr>
      <w:r w:rsidRPr="00AF2E74">
        <w:rPr>
          <w:rFonts w:cs="Tahoma"/>
          <w:szCs w:val="22"/>
        </w:rPr>
        <w:t>Al no existir diligencias pendientes por desahogar</w:t>
      </w:r>
      <w:r w:rsidRPr="00AF2E74">
        <w:rPr>
          <w:rFonts w:cs="Arial"/>
        </w:rPr>
        <w:t xml:space="preserve">, el </w:t>
      </w:r>
      <w:bookmarkStart w:id="24" w:name="_Hlk104892386"/>
      <w:r w:rsidR="00397A36" w:rsidRPr="00AF2E74">
        <w:rPr>
          <w:rFonts w:cs="Arial"/>
          <w:b/>
        </w:rPr>
        <w:t xml:space="preserve">veintiuno </w:t>
      </w:r>
      <w:r w:rsidR="00331106" w:rsidRPr="00AF2E74">
        <w:rPr>
          <w:rFonts w:cs="Arial"/>
          <w:b/>
        </w:rPr>
        <w:t xml:space="preserve">de octubre </w:t>
      </w:r>
      <w:r w:rsidR="009A1340" w:rsidRPr="00AF2E74">
        <w:rPr>
          <w:rFonts w:cs="Arial"/>
          <w:b/>
        </w:rPr>
        <w:t xml:space="preserve">de dos mil veinticinco </w:t>
      </w:r>
      <w:bookmarkEnd w:id="24"/>
      <w:r w:rsidRPr="00AF2E74">
        <w:rPr>
          <w:rFonts w:cs="Arial"/>
        </w:rPr>
        <w:t xml:space="preserve">la </w:t>
      </w:r>
      <w:r w:rsidRPr="00AF2E74">
        <w:rPr>
          <w:rFonts w:cs="Arial"/>
          <w:b/>
          <w:bCs/>
        </w:rPr>
        <w:t xml:space="preserve">Comisionada </w:t>
      </w:r>
      <w:r w:rsidRPr="00AF2E74">
        <w:rPr>
          <w:b/>
        </w:rPr>
        <w:t xml:space="preserve">Sharon Cristina Morales Martínez </w:t>
      </w:r>
      <w:r w:rsidRPr="00AF2E74">
        <w:rPr>
          <w:rFonts w:cs="Arial"/>
        </w:rPr>
        <w:t>acordó el cierre de instrucción</w:t>
      </w:r>
      <w:r w:rsidR="0011350D" w:rsidRPr="00AF2E74">
        <w:rPr>
          <w:rFonts w:cs="Arial"/>
        </w:rPr>
        <w:t xml:space="preserve"> y</w:t>
      </w:r>
      <w:r w:rsidRPr="00AF2E74">
        <w:rPr>
          <w:rFonts w:cs="Arial"/>
        </w:rPr>
        <w:t xml:space="preserve"> </w:t>
      </w:r>
      <w:r w:rsidR="0011350D" w:rsidRPr="00AF2E74">
        <w:rPr>
          <w:rFonts w:cs="Arial"/>
        </w:rPr>
        <w:t xml:space="preserve">la </w:t>
      </w:r>
      <w:r w:rsidRPr="00AF2E74">
        <w:rPr>
          <w:rFonts w:cs="Arial"/>
        </w:rPr>
        <w:t>remisión del expediente a efecto de ser resuelto, de conformidad con lo establecido en el artículo 185 fracciones VI y VIII de la Ley de Transparencia y Acceso a la Información Pública del Estado de México y Municipios</w:t>
      </w:r>
      <w:r w:rsidRPr="00AF2E74">
        <w:t>.</w:t>
      </w:r>
      <w:r w:rsidR="0011350D" w:rsidRPr="00AF2E74">
        <w:t xml:space="preserve"> Dicho acuerdo </w:t>
      </w:r>
      <w:r w:rsidR="00664420" w:rsidRPr="00AF2E74">
        <w:rPr>
          <w:rFonts w:cs="Tahoma"/>
          <w:szCs w:val="22"/>
        </w:rPr>
        <w:t xml:space="preserve">fue notificado a las partes el mismo día a través del </w:t>
      </w:r>
      <w:r w:rsidR="00664420" w:rsidRPr="00AF2E74">
        <w:rPr>
          <w:rFonts w:cs="Tahoma"/>
          <w:szCs w:val="22"/>
          <w:lang w:val="es-ES"/>
        </w:rPr>
        <w:t>SAIMEX</w:t>
      </w:r>
      <w:r w:rsidR="00664420" w:rsidRPr="00AF2E74">
        <w:rPr>
          <w:rFonts w:cs="Tahoma"/>
          <w:szCs w:val="22"/>
        </w:rPr>
        <w:t>.</w:t>
      </w:r>
    </w:p>
    <w:p w14:paraId="16124BB7" w14:textId="56EF6FBD" w:rsidR="00967D34" w:rsidRPr="00AF2E74" w:rsidRDefault="00967D34" w:rsidP="00D765A9"/>
    <w:p w14:paraId="7048A3BE" w14:textId="1F018728" w:rsidR="00967D34" w:rsidRPr="00AF2E74" w:rsidRDefault="00967D34" w:rsidP="00D765A9">
      <w:pPr>
        <w:pStyle w:val="Ttulo3"/>
      </w:pPr>
      <w:bookmarkStart w:id="25" w:name="_Toc212100980"/>
      <w:r w:rsidRPr="00AF2E74">
        <w:t>g) Ampliación de Plazo para Resolver</w:t>
      </w:r>
      <w:bookmarkEnd w:id="25"/>
      <w:r w:rsidRPr="00AF2E74">
        <w:t xml:space="preserve"> </w:t>
      </w:r>
    </w:p>
    <w:p w14:paraId="2DBEABCE" w14:textId="133BA195" w:rsidR="00967D34" w:rsidRPr="00AF2E74" w:rsidRDefault="00967D34" w:rsidP="00D765A9">
      <w:pPr>
        <w:rPr>
          <w:rFonts w:cs="Tahoma"/>
          <w:bCs/>
          <w:szCs w:val="24"/>
        </w:rPr>
      </w:pPr>
      <w:r w:rsidRPr="00AF2E74">
        <w:rPr>
          <w:rFonts w:cs="Tahoma"/>
          <w:bCs/>
          <w:szCs w:val="24"/>
        </w:rPr>
        <w:t xml:space="preserve">El </w:t>
      </w:r>
      <w:r w:rsidRPr="00AF2E74">
        <w:rPr>
          <w:rFonts w:cs="Arial"/>
          <w:b/>
        </w:rPr>
        <w:t>veintiuno de octubre de dos mil veinticinco</w:t>
      </w:r>
      <w:r w:rsidRPr="00AF2E74">
        <w:rPr>
          <w:rFonts w:cs="Tahoma"/>
          <w:bCs/>
          <w:szCs w:val="24"/>
        </w:rPr>
        <w:t>, se notificó el acuerdo de ampliación de plazo para resolver el presente Recurso de Revisión, previsto en el artículo 181, tercer párrafo de la Ley de Transparencia y Acceso a la Información Pública del Estado de México y Municipios.</w:t>
      </w:r>
    </w:p>
    <w:p w14:paraId="06D1DA60" w14:textId="77777777" w:rsidR="00967D34" w:rsidRPr="00AF2E74" w:rsidRDefault="00967D34" w:rsidP="00D765A9">
      <w:pPr>
        <w:rPr>
          <w:rFonts w:cs="Tahoma"/>
          <w:bCs/>
          <w:szCs w:val="24"/>
        </w:rPr>
      </w:pPr>
    </w:p>
    <w:p w14:paraId="3A9E91B5" w14:textId="77777777" w:rsidR="00967D34" w:rsidRPr="00AF2E74" w:rsidRDefault="00967D34" w:rsidP="00D765A9"/>
    <w:p w14:paraId="741683E3" w14:textId="77777777" w:rsidR="0011350D" w:rsidRPr="00AF2E74" w:rsidRDefault="0011350D" w:rsidP="00D765A9">
      <w:pPr>
        <w:rPr>
          <w:rFonts w:cs="Tahoma"/>
          <w:szCs w:val="22"/>
        </w:rPr>
      </w:pPr>
    </w:p>
    <w:p w14:paraId="7A9629DE" w14:textId="77777777" w:rsidR="00664420" w:rsidRPr="00AF2E74" w:rsidRDefault="00664420" w:rsidP="00D765A9">
      <w:pPr>
        <w:pStyle w:val="Ttulo1"/>
        <w:rPr>
          <w:rFonts w:eastAsiaTheme="minorHAnsi"/>
          <w:lang w:eastAsia="en-US"/>
        </w:rPr>
      </w:pPr>
      <w:bookmarkStart w:id="26" w:name="_Toc212100981"/>
      <w:r w:rsidRPr="00AF2E74">
        <w:rPr>
          <w:rFonts w:eastAsiaTheme="minorHAnsi"/>
          <w:lang w:eastAsia="en-US"/>
        </w:rPr>
        <w:t>CONSIDERANDOS</w:t>
      </w:r>
      <w:bookmarkEnd w:id="26"/>
    </w:p>
    <w:p w14:paraId="6DD1243B" w14:textId="77777777" w:rsidR="00664420" w:rsidRPr="00AF2E74" w:rsidRDefault="00664420" w:rsidP="00D765A9">
      <w:pPr>
        <w:contextualSpacing/>
        <w:jc w:val="center"/>
        <w:rPr>
          <w:rFonts w:eastAsiaTheme="minorHAnsi" w:cs="Tahoma"/>
          <w:b/>
          <w:szCs w:val="22"/>
          <w:lang w:eastAsia="en-US"/>
        </w:rPr>
      </w:pPr>
    </w:p>
    <w:p w14:paraId="0B67CB92" w14:textId="2E307D3B" w:rsidR="00664420" w:rsidRPr="00AF2E74" w:rsidRDefault="00664420" w:rsidP="00D765A9">
      <w:pPr>
        <w:pStyle w:val="Ttulo2"/>
        <w:rPr>
          <w:rFonts w:eastAsia="Batang"/>
        </w:rPr>
      </w:pPr>
      <w:bookmarkStart w:id="27" w:name="_Toc212100982"/>
      <w:r w:rsidRPr="00AF2E74">
        <w:rPr>
          <w:rFonts w:eastAsia="Batang"/>
        </w:rPr>
        <w:t xml:space="preserve">PRIMERO. </w:t>
      </w:r>
      <w:r w:rsidR="00BA55A8" w:rsidRPr="00AF2E74">
        <w:rPr>
          <w:rFonts w:eastAsia="Batang"/>
        </w:rPr>
        <w:t>Procedibilidad</w:t>
      </w:r>
      <w:bookmarkEnd w:id="27"/>
    </w:p>
    <w:p w14:paraId="39C52BC1" w14:textId="56FCC20D" w:rsidR="00BA55A8" w:rsidRPr="00AF2E74" w:rsidRDefault="00BA55A8" w:rsidP="00D765A9">
      <w:pPr>
        <w:pStyle w:val="Ttulo3"/>
      </w:pPr>
      <w:bookmarkStart w:id="28" w:name="_Toc212100983"/>
      <w:r w:rsidRPr="00AF2E74">
        <w:t>a) Competencia</w:t>
      </w:r>
      <w:r w:rsidR="00150C49" w:rsidRPr="00AF2E74">
        <w:t xml:space="preserve"> del Instituto</w:t>
      </w:r>
      <w:bookmarkEnd w:id="28"/>
    </w:p>
    <w:p w14:paraId="56E64942" w14:textId="13ACDD75" w:rsidR="0011350D" w:rsidRPr="00AF2E74" w:rsidRDefault="0011350D" w:rsidP="00D765A9">
      <w:pPr>
        <w:rPr>
          <w:rFonts w:cs="Arial"/>
        </w:rPr>
      </w:pPr>
      <w:r w:rsidRPr="00AF2E74">
        <w:t xml:space="preserve">Este Instituto de Transparencia, Acceso a la Información Pública y Protección de Datos Personales del Estado de México y Municipios es competente para conocer y resolver </w:t>
      </w:r>
      <w:r w:rsidR="005F65B7" w:rsidRPr="00AF2E74">
        <w:t xml:space="preserve">el </w:t>
      </w:r>
      <w:r w:rsidRPr="00AF2E74">
        <w:t xml:space="preserve">presente Recurso de Revisión, conforme a lo dispuesto en los artículos 6, Apartado A de la Constitución Política de los Estados Unidos Mexicanos; 5, </w:t>
      </w:r>
      <w:r w:rsidR="00674AB3" w:rsidRPr="00AF2E74">
        <w:rPr>
          <w:bCs/>
        </w:rPr>
        <w:t xml:space="preserve">párrafos trigésimo noveno, cuadragésimo y cuadragésimo primero, fracciones IV y V, </w:t>
      </w:r>
      <w:r w:rsidRPr="00AF2E74">
        <w:t>de la Constitución Política del Estado Libre y Soberano de México; ordinal 2, fracción II, 13, 29, 36, fracciones I y II, 176, 178, 179, 181 párrafo tercero y 185 de la Ley de Transparencia y Acceso a la Información Pública del Estado de México y Municipios</w:t>
      </w:r>
      <w:r w:rsidRPr="00AF2E74">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AF2E74" w:rsidRDefault="00DB1C09" w:rsidP="00D765A9">
      <w:pPr>
        <w:rPr>
          <w:rFonts w:cs="Arial"/>
        </w:rPr>
      </w:pPr>
    </w:p>
    <w:p w14:paraId="517A2DD6" w14:textId="4169BE4D" w:rsidR="00664420" w:rsidRPr="00AF2E74" w:rsidRDefault="00BA55A8" w:rsidP="00D765A9">
      <w:pPr>
        <w:pStyle w:val="Ttulo3"/>
      </w:pPr>
      <w:bookmarkStart w:id="29" w:name="_Toc212100984"/>
      <w:r w:rsidRPr="00AF2E74">
        <w:t>b)</w:t>
      </w:r>
      <w:r w:rsidR="00664420" w:rsidRPr="00AF2E74">
        <w:t xml:space="preserve"> </w:t>
      </w:r>
      <w:r w:rsidR="00D91CB4" w:rsidRPr="00AF2E74">
        <w:t>Legitimidad</w:t>
      </w:r>
      <w:r w:rsidRPr="00AF2E74">
        <w:t xml:space="preserve"> de la parte recurrente</w:t>
      </w:r>
      <w:bookmarkEnd w:id="29"/>
    </w:p>
    <w:p w14:paraId="26FEA382" w14:textId="0B06695C" w:rsidR="00D91CB4" w:rsidRPr="00AF2E74" w:rsidRDefault="00D91CB4" w:rsidP="00D765A9">
      <w:pPr>
        <w:rPr>
          <w:rFonts w:cs="Arial"/>
          <w:bCs/>
        </w:rPr>
      </w:pPr>
      <w:r w:rsidRPr="00AF2E74">
        <w:rPr>
          <w:rFonts w:cs="Arial"/>
          <w:bCs/>
        </w:rPr>
        <w:t>El recurso de revisión fue interpuesto por parte legítima, ya que se presentó por la misma persona que formuló la solicitud de acceso a la Información Pública,</w:t>
      </w:r>
      <w:r w:rsidRPr="00AF2E74">
        <w:rPr>
          <w:rFonts w:cs="Arial"/>
          <w:b/>
          <w:bCs/>
        </w:rPr>
        <w:t xml:space="preserve"> </w:t>
      </w:r>
      <w:r w:rsidRPr="00AF2E74">
        <w:rPr>
          <w:rFonts w:cs="Arial"/>
        </w:rPr>
        <w:t>debido a que los datos de acceso</w:t>
      </w:r>
      <w:r w:rsidRPr="00AF2E74">
        <w:rPr>
          <w:rFonts w:cs="Arial"/>
          <w:b/>
          <w:bCs/>
        </w:rPr>
        <w:t xml:space="preserve"> </w:t>
      </w:r>
      <w:r w:rsidRPr="00AF2E74">
        <w:rPr>
          <w:rFonts w:cs="Arial"/>
          <w:b/>
        </w:rPr>
        <w:t>SAIMEX</w:t>
      </w:r>
      <w:r w:rsidRPr="00AF2E74">
        <w:rPr>
          <w:rFonts w:eastAsia="Calibri" w:cs="Arial"/>
          <w:lang w:eastAsia="en-US"/>
        </w:rPr>
        <w:t xml:space="preserve"> son personales e irrepetibles.</w:t>
      </w:r>
    </w:p>
    <w:p w14:paraId="2C367810" w14:textId="77777777" w:rsidR="00D91CB4" w:rsidRPr="00AF2E74" w:rsidRDefault="00D91CB4" w:rsidP="00D765A9"/>
    <w:p w14:paraId="5C5FA5A8" w14:textId="77777777" w:rsidR="004565C2" w:rsidRPr="00AF2E74" w:rsidRDefault="004565C2" w:rsidP="00D765A9">
      <w:pPr>
        <w:pStyle w:val="Ttulo3"/>
        <w:rPr>
          <w:rFonts w:eastAsia="Calibri"/>
          <w:lang w:eastAsia="es-ES_tradnl"/>
        </w:rPr>
      </w:pPr>
      <w:bookmarkStart w:id="30" w:name="_Toc170932820"/>
      <w:bookmarkStart w:id="31" w:name="_Toc212100985"/>
      <w:r w:rsidRPr="00AF2E74">
        <w:rPr>
          <w:rFonts w:eastAsia="Calibri"/>
          <w:lang w:eastAsia="es-ES_tradnl"/>
        </w:rPr>
        <w:t>c) Plazo para interponer el recurso</w:t>
      </w:r>
      <w:bookmarkEnd w:id="30"/>
      <w:bookmarkEnd w:id="31"/>
    </w:p>
    <w:p w14:paraId="5C63152A" w14:textId="17510984" w:rsidR="004565C2" w:rsidRPr="00AF2E74" w:rsidRDefault="004565C2" w:rsidP="00D765A9">
      <w:pPr>
        <w:rPr>
          <w:rFonts w:eastAsiaTheme="minorEastAsia" w:cs="Arial"/>
          <w:lang w:val="es-ES_tradnl"/>
        </w:rPr>
      </w:pPr>
      <w:r w:rsidRPr="00AF2E74">
        <w:rPr>
          <w:rFonts w:cs="Arial"/>
          <w:b/>
        </w:rPr>
        <w:t>EL SUJETO OBLIGADO</w:t>
      </w:r>
      <w:r w:rsidRPr="00AF2E74">
        <w:rPr>
          <w:rFonts w:cs="Arial"/>
        </w:rPr>
        <w:t xml:space="preserve"> notificó la respuesta a la solicitud de acceso a la Información Pública el </w:t>
      </w:r>
      <w:r w:rsidR="00397A36" w:rsidRPr="00AF2E74">
        <w:rPr>
          <w:rFonts w:eastAsia="Palatino Linotype" w:cs="Palatino Linotype"/>
          <w:b/>
        </w:rPr>
        <w:t xml:space="preserve">quince de agosto </w:t>
      </w:r>
      <w:r w:rsidR="00433C6C" w:rsidRPr="00AF2E74">
        <w:rPr>
          <w:rFonts w:eastAsia="Palatino Linotype" w:cs="Palatino Linotype"/>
          <w:b/>
        </w:rPr>
        <w:t>d</w:t>
      </w:r>
      <w:r w:rsidR="009A1340" w:rsidRPr="00AF2E74">
        <w:rPr>
          <w:rFonts w:eastAsia="Palatino Linotype" w:cs="Palatino Linotype"/>
          <w:b/>
        </w:rPr>
        <w:t xml:space="preserve">e dos mil veinticinco </w:t>
      </w:r>
      <w:r w:rsidRPr="00AF2E74">
        <w:rPr>
          <w:rFonts w:cs="Arial"/>
        </w:rPr>
        <w:t xml:space="preserve">y el recurso </w:t>
      </w:r>
      <w:r w:rsidRPr="00AF2E74">
        <w:rPr>
          <w:rFonts w:eastAsia="Palatino Linotype" w:cs="Palatino Linotype"/>
        </w:rPr>
        <w:t xml:space="preserve">que nos ocupa se </w:t>
      </w:r>
      <w:r w:rsidR="00E27023" w:rsidRPr="00AF2E74">
        <w:rPr>
          <w:rFonts w:eastAsia="Palatino Linotype" w:cs="Palatino Linotype"/>
        </w:rPr>
        <w:t xml:space="preserve">tuvo por </w:t>
      </w:r>
      <w:r w:rsidRPr="00AF2E74">
        <w:rPr>
          <w:rFonts w:eastAsia="Palatino Linotype" w:cs="Palatino Linotype"/>
        </w:rPr>
        <w:t>interpu</w:t>
      </w:r>
      <w:r w:rsidR="00E27023" w:rsidRPr="00AF2E74">
        <w:rPr>
          <w:rFonts w:eastAsia="Palatino Linotype" w:cs="Palatino Linotype"/>
        </w:rPr>
        <w:t>esto</w:t>
      </w:r>
      <w:r w:rsidRPr="00AF2E74">
        <w:rPr>
          <w:rFonts w:eastAsia="Palatino Linotype" w:cs="Palatino Linotype"/>
        </w:rPr>
        <w:t xml:space="preserve"> el </w:t>
      </w:r>
      <w:r w:rsidR="00397A36" w:rsidRPr="00AF2E74">
        <w:rPr>
          <w:rFonts w:eastAsia="Palatino Linotype" w:cs="Palatino Linotype"/>
          <w:b/>
        </w:rPr>
        <w:t>uno</w:t>
      </w:r>
      <w:r w:rsidR="00FF30FD" w:rsidRPr="00AF2E74">
        <w:rPr>
          <w:rFonts w:eastAsia="Palatino Linotype" w:cs="Palatino Linotype"/>
          <w:b/>
        </w:rPr>
        <w:t xml:space="preserve"> de septiembre </w:t>
      </w:r>
      <w:r w:rsidR="009A1340" w:rsidRPr="00AF2E74">
        <w:rPr>
          <w:rFonts w:eastAsia="Palatino Linotype" w:cs="Palatino Linotype"/>
          <w:b/>
        </w:rPr>
        <w:t>de dos mil veinticinco</w:t>
      </w:r>
      <w:r w:rsidRPr="00AF2E74">
        <w:rPr>
          <w:rFonts w:eastAsia="Palatino Linotype" w:cs="Palatino Linotype"/>
          <w:bCs/>
        </w:rPr>
        <w:t>;</w:t>
      </w:r>
      <w:r w:rsidRPr="00AF2E74">
        <w:rPr>
          <w:rFonts w:eastAsia="Palatino Linotype" w:cs="Palatino Linotype"/>
        </w:rPr>
        <w:t xml:space="preserve"> por lo tanto, éste se encuentra dentro del margen </w:t>
      </w:r>
      <w:r w:rsidRPr="00AF2E74">
        <w:rPr>
          <w:rFonts w:eastAsia="Palatino Linotype" w:cs="Palatino Linotype"/>
        </w:rPr>
        <w:lastRenderedPageBreak/>
        <w:t xml:space="preserve">temporal previsto en el artículo 178 de la </w:t>
      </w:r>
      <w:r w:rsidRPr="00AF2E74">
        <w:rPr>
          <w:rFonts w:cs="Arial"/>
        </w:rPr>
        <w:t>Ley de Transparencia y Acceso a la Información Pública del Estado de México y Municipios</w:t>
      </w:r>
      <w:r w:rsidRPr="00AF2E74">
        <w:rPr>
          <w:rFonts w:eastAsiaTheme="minorEastAsia" w:cs="Arial"/>
          <w:lang w:val="es-ES_tradnl"/>
        </w:rPr>
        <w:t>.</w:t>
      </w:r>
    </w:p>
    <w:p w14:paraId="41262D82" w14:textId="77777777" w:rsidR="00813497" w:rsidRPr="00AF2E74" w:rsidRDefault="00813497" w:rsidP="00D765A9"/>
    <w:p w14:paraId="46C0EB3A" w14:textId="5A92AF42" w:rsidR="00A53315" w:rsidRPr="00AF2E74" w:rsidRDefault="00BA55A8" w:rsidP="00D765A9">
      <w:pPr>
        <w:pStyle w:val="Ttulo3"/>
        <w:rPr>
          <w:rFonts w:eastAsia="Calibri"/>
          <w:lang w:eastAsia="es-ES_tradnl"/>
        </w:rPr>
      </w:pPr>
      <w:bookmarkStart w:id="32" w:name="_Toc212100986"/>
      <w:r w:rsidRPr="00AF2E74">
        <w:rPr>
          <w:rFonts w:eastAsia="Calibri"/>
          <w:lang w:eastAsia="es-ES_tradnl"/>
        </w:rPr>
        <w:t>d)</w:t>
      </w:r>
      <w:r w:rsidR="00D91CB4" w:rsidRPr="00AF2E74">
        <w:rPr>
          <w:rFonts w:eastAsia="Calibri"/>
          <w:lang w:eastAsia="es-ES_tradnl"/>
        </w:rPr>
        <w:t xml:space="preserve"> </w:t>
      </w:r>
      <w:r w:rsidR="004565C2" w:rsidRPr="00AF2E74">
        <w:rPr>
          <w:rFonts w:eastAsia="Calibri"/>
          <w:lang w:eastAsia="es-ES_tradnl"/>
        </w:rPr>
        <w:t>Causal de procedencia</w:t>
      </w:r>
      <w:bookmarkEnd w:id="32"/>
    </w:p>
    <w:p w14:paraId="190404A6" w14:textId="31A38757" w:rsidR="00BA55A8" w:rsidRPr="00AF2E74" w:rsidRDefault="00BA55A8" w:rsidP="00D765A9">
      <w:r w:rsidRPr="00AF2E74">
        <w:rPr>
          <w:rFonts w:cs="Arial"/>
        </w:rPr>
        <w:t xml:space="preserve">Resulta procedente la interposición del recurso de revisión, ya que </w:t>
      </w:r>
      <w:r w:rsidRPr="00AF2E74">
        <w:rPr>
          <w:rFonts w:eastAsia="Calibri" w:cs="Tahoma"/>
          <w:szCs w:val="22"/>
          <w:lang w:eastAsia="es-MX"/>
        </w:rPr>
        <w:t>se actualiza la causal de procedencia señalada en el artículo 179, fracci</w:t>
      </w:r>
      <w:r w:rsidR="00FF30FD" w:rsidRPr="00AF2E74">
        <w:rPr>
          <w:rFonts w:eastAsia="Calibri" w:cs="Tahoma"/>
          <w:szCs w:val="22"/>
          <w:lang w:eastAsia="es-MX"/>
        </w:rPr>
        <w:t>ón VI</w:t>
      </w:r>
      <w:r w:rsidRPr="00AF2E74">
        <w:rPr>
          <w:rFonts w:cs="Arial"/>
        </w:rPr>
        <w:t xml:space="preserve"> de la </w:t>
      </w:r>
      <w:r w:rsidRPr="00AF2E74">
        <w:t>Ley de Transparencia y Acceso a la Información Pública del Estado de México y Municipios.</w:t>
      </w:r>
    </w:p>
    <w:p w14:paraId="0EFF7141" w14:textId="77777777" w:rsidR="00362A11" w:rsidRPr="00AF2E74" w:rsidRDefault="00362A11" w:rsidP="00D765A9"/>
    <w:p w14:paraId="2284D7EB" w14:textId="3EE1D036" w:rsidR="00BA55A8" w:rsidRPr="00AF2E74" w:rsidRDefault="00362A11" w:rsidP="00D765A9">
      <w:pPr>
        <w:pStyle w:val="Ttulo3"/>
      </w:pPr>
      <w:bookmarkStart w:id="33" w:name="_Toc212100987"/>
      <w:r w:rsidRPr="00AF2E74">
        <w:t>e) Requisitos formales para la interposición del recurso</w:t>
      </w:r>
      <w:bookmarkEnd w:id="33"/>
    </w:p>
    <w:p w14:paraId="677C7009" w14:textId="77777777" w:rsidR="00185C7C" w:rsidRPr="00AF2E74" w:rsidRDefault="00185C7C" w:rsidP="00D765A9">
      <w:pPr>
        <w:rPr>
          <w:rFonts w:cs="Arial"/>
        </w:rPr>
      </w:pPr>
      <w:r w:rsidRPr="00AF2E74">
        <w:rPr>
          <w:rFonts w:cs="Arial"/>
          <w:b/>
          <w:bCs/>
        </w:rPr>
        <w:t xml:space="preserve">LA PARTE RECURRENTE </w:t>
      </w:r>
      <w:r w:rsidRPr="00AF2E74">
        <w:rPr>
          <w:rFonts w:cs="Arial"/>
        </w:rPr>
        <w:t>acreditó todos y cada uno de los elementos formales exigidos por el artículo 180 de la misma normatividad.</w:t>
      </w:r>
    </w:p>
    <w:p w14:paraId="2BE2EBCD" w14:textId="77777777" w:rsidR="00185C7C" w:rsidRPr="00AF2E74" w:rsidRDefault="00185C7C" w:rsidP="00D765A9">
      <w:pPr>
        <w:rPr>
          <w:rFonts w:cs="Arial"/>
        </w:rPr>
      </w:pPr>
    </w:p>
    <w:p w14:paraId="73D94D76" w14:textId="77777777" w:rsidR="00397A36" w:rsidRPr="00AF2E74" w:rsidRDefault="00397A36" w:rsidP="00D765A9">
      <w:pPr>
        <w:rPr>
          <w:rFonts w:cs="Arial"/>
          <w:lang w:val="es-ES"/>
        </w:rPr>
      </w:pPr>
      <w:r w:rsidRPr="00AF2E74">
        <w:rPr>
          <w:rFonts w:cs="Arial"/>
          <w:lang w:val="es-ES"/>
        </w:rPr>
        <w:t xml:space="preserve">Sin embargo, es importante mencionar que, de la revisión de los expedientes electrónicos del </w:t>
      </w:r>
      <w:r w:rsidRPr="00AF2E74">
        <w:rPr>
          <w:rFonts w:cs="Arial"/>
          <w:b/>
          <w:bCs/>
          <w:lang w:val="es-ES"/>
        </w:rPr>
        <w:t>SAIMEX</w:t>
      </w:r>
      <w:r w:rsidRPr="00AF2E74">
        <w:rPr>
          <w:rFonts w:cs="Arial"/>
          <w:bCs/>
          <w:lang w:val="es-ES"/>
        </w:rPr>
        <w:t>,</w:t>
      </w:r>
      <w:r w:rsidRPr="00AF2E74">
        <w:rPr>
          <w:rFonts w:cs="Arial"/>
          <w:lang w:val="es-ES"/>
        </w:rPr>
        <w:t xml:space="preserve"> se observa que </w:t>
      </w:r>
      <w:r w:rsidRPr="00AF2E74">
        <w:rPr>
          <w:rFonts w:cs="Arial"/>
          <w:b/>
          <w:bCs/>
          <w:lang w:val="es-ES"/>
        </w:rPr>
        <w:t>LA PARTE RECURRENTE</w:t>
      </w:r>
      <w:r w:rsidRPr="00AF2E74">
        <w:rPr>
          <w:rFonts w:cs="Arial"/>
          <w:lang w:val="es-ES"/>
        </w:rPr>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w:t>
      </w:r>
      <w:r w:rsidRPr="00AF2E74">
        <w:rPr>
          <w:rFonts w:cs="Arial"/>
          <w:iCs/>
          <w:lang w:val="es-ES"/>
        </w:rPr>
        <w:t xml:space="preserve">prevé que </w:t>
      </w:r>
      <w:r w:rsidRPr="00AF2E74">
        <w:rPr>
          <w:rFonts w:cs="Arial"/>
          <w:lang w:val="es-ES"/>
        </w:rPr>
        <w:t xml:space="preserve">toda persona tendrá acceso a la información sin necesidad de acreditar interés alguno o justificar su utilización, de lo que se infiere que </w:t>
      </w:r>
      <w:r w:rsidRPr="00AF2E74">
        <w:rPr>
          <w:rFonts w:cs="Arial"/>
          <w:b/>
          <w:u w:val="single"/>
          <w:lang w:val="es-ES"/>
        </w:rPr>
        <w:t xml:space="preserve">el nombre no es un requisito </w:t>
      </w:r>
      <w:r w:rsidRPr="00AF2E74">
        <w:rPr>
          <w:rFonts w:cs="Arial"/>
          <w:b/>
          <w:iCs/>
          <w:u w:val="single"/>
          <w:lang w:val="es-ES"/>
        </w:rPr>
        <w:t>indispensable</w:t>
      </w:r>
      <w:r w:rsidRPr="00AF2E74">
        <w:rPr>
          <w:rFonts w:cs="Arial"/>
          <w:lang w:val="es-ES"/>
        </w:rPr>
        <w:t xml:space="preserve"> para que las y los ciudadanos ejerzan el derecho de acceso a la información pública. </w:t>
      </w:r>
    </w:p>
    <w:p w14:paraId="727DA5AB" w14:textId="77777777" w:rsidR="00397A36" w:rsidRPr="00AF2E74" w:rsidRDefault="00397A36" w:rsidP="00D765A9">
      <w:pPr>
        <w:rPr>
          <w:rFonts w:cs="Arial"/>
          <w:lang w:val="es-ES"/>
        </w:rPr>
      </w:pPr>
    </w:p>
    <w:p w14:paraId="5949906C" w14:textId="77777777" w:rsidR="00397A36" w:rsidRPr="00AF2E74" w:rsidRDefault="00397A36" w:rsidP="00D765A9">
      <w:pPr>
        <w:rPr>
          <w:rFonts w:cs="Arial"/>
          <w:lang w:val="es-ES"/>
        </w:rPr>
      </w:pPr>
      <w:r w:rsidRPr="00AF2E74">
        <w:rPr>
          <w:rFonts w:cs="Arial"/>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w:t>
      </w:r>
      <w:r w:rsidRPr="00AF2E74">
        <w:rPr>
          <w:rFonts w:cs="Arial"/>
          <w:lang w:val="es-ES"/>
        </w:rPr>
        <w:lastRenderedPageBreak/>
        <w:t xml:space="preserve">indispensable que contenga algunos requisitos, entre ellos, el nombre de </w:t>
      </w:r>
      <w:r w:rsidRPr="00AF2E74">
        <w:rPr>
          <w:rFonts w:cs="Arial"/>
          <w:b/>
          <w:bCs/>
          <w:lang w:val="es-ES"/>
        </w:rPr>
        <w:t>LA PARTE RECURRENTE</w:t>
      </w:r>
      <w:r w:rsidRPr="00AF2E74">
        <w:rPr>
          <w:rFonts w:cs="Arial"/>
          <w:b/>
          <w:lang w:val="es-ES"/>
        </w:rPr>
        <w:t>;</w:t>
      </w:r>
      <w:r w:rsidRPr="00AF2E74">
        <w:rPr>
          <w:rFonts w:cs="Arial"/>
          <w:lang w:val="es-ES"/>
        </w:rPr>
        <w:t xml:space="preserve"> por lo que, en el presente caso, al haber sido presentado el recurso de revisión vía </w:t>
      </w:r>
      <w:r w:rsidRPr="00AF2E74">
        <w:rPr>
          <w:rFonts w:cs="Arial"/>
          <w:b/>
          <w:bCs/>
          <w:lang w:val="es-ES"/>
        </w:rPr>
        <w:t>SAIMEX</w:t>
      </w:r>
      <w:r w:rsidRPr="00AF2E74">
        <w:rPr>
          <w:rFonts w:cs="Arial"/>
          <w:lang w:val="es-ES"/>
        </w:rPr>
        <w:t>, dicho requisito resulta innecesario.</w:t>
      </w:r>
    </w:p>
    <w:p w14:paraId="227981BD" w14:textId="77777777" w:rsidR="00397A36" w:rsidRPr="00AF2E74" w:rsidRDefault="00397A36" w:rsidP="00D765A9">
      <w:pPr>
        <w:rPr>
          <w:rFonts w:cs="Arial"/>
          <w:lang w:val="es-ES"/>
        </w:rPr>
      </w:pPr>
    </w:p>
    <w:p w14:paraId="457548E9" w14:textId="3F7AF03B" w:rsidR="00C71CEF" w:rsidRPr="00AF2E74" w:rsidRDefault="00C71CEF" w:rsidP="00D765A9">
      <w:pPr>
        <w:pStyle w:val="Ttulo2"/>
      </w:pPr>
      <w:bookmarkStart w:id="34" w:name="_Toc212100988"/>
      <w:r w:rsidRPr="00AF2E74">
        <w:t>SEGUNDO. Estudio de Fondo</w:t>
      </w:r>
      <w:bookmarkEnd w:id="34"/>
    </w:p>
    <w:p w14:paraId="2A308F59" w14:textId="0FF373F0" w:rsidR="00C049E2" w:rsidRPr="00AF2E74" w:rsidRDefault="00C71CEF" w:rsidP="00D765A9">
      <w:pPr>
        <w:pStyle w:val="Ttulo3"/>
      </w:pPr>
      <w:bookmarkStart w:id="35" w:name="_Toc212100989"/>
      <w:r w:rsidRPr="00AF2E74">
        <w:t>a</w:t>
      </w:r>
      <w:r w:rsidR="00C049E2" w:rsidRPr="00AF2E74">
        <w:t>) Mandato de transparencia y responsabilidad del Sujeto Obligado</w:t>
      </w:r>
      <w:bookmarkEnd w:id="35"/>
    </w:p>
    <w:p w14:paraId="6901A889" w14:textId="59EEDAE1" w:rsidR="00C049E2" w:rsidRPr="00AF2E74" w:rsidRDefault="00C049E2" w:rsidP="00D765A9">
      <w:pPr>
        <w:rPr>
          <w:rFonts w:eastAsia="Palatino Linotype"/>
        </w:rPr>
      </w:pPr>
      <w:r w:rsidRPr="00AF2E74">
        <w:rPr>
          <w:rFonts w:eastAsia="Palatino Linotype"/>
        </w:rPr>
        <w:t xml:space="preserve">El </w:t>
      </w:r>
      <w:r w:rsidR="00717E59" w:rsidRPr="00AF2E74">
        <w:rPr>
          <w:rFonts w:eastAsia="Palatino Linotype"/>
        </w:rPr>
        <w:t>d</w:t>
      </w:r>
      <w:r w:rsidRPr="00AF2E74">
        <w:rPr>
          <w:rFonts w:eastAsia="Palatino Linotype"/>
        </w:rPr>
        <w:t xml:space="preserve">erecho de </w:t>
      </w:r>
      <w:r w:rsidR="00717E59" w:rsidRPr="00AF2E74">
        <w:rPr>
          <w:rFonts w:eastAsia="Palatino Linotype"/>
        </w:rPr>
        <w:t>a</w:t>
      </w:r>
      <w:r w:rsidRPr="00AF2E74">
        <w:rPr>
          <w:rFonts w:eastAsia="Palatino Linotype"/>
        </w:rPr>
        <w:t xml:space="preserve">cceso a la </w:t>
      </w:r>
      <w:r w:rsidR="00717E59" w:rsidRPr="00AF2E74">
        <w:rPr>
          <w:rFonts w:eastAsia="Palatino Linotype"/>
        </w:rPr>
        <w:t>i</w:t>
      </w:r>
      <w:r w:rsidRPr="00AF2E74">
        <w:rPr>
          <w:rFonts w:eastAsia="Palatino Linotype"/>
        </w:rPr>
        <w:t xml:space="preserve">nformación </w:t>
      </w:r>
      <w:r w:rsidR="00717E59" w:rsidRPr="00AF2E74">
        <w:rPr>
          <w:rFonts w:eastAsia="Palatino Linotype"/>
        </w:rPr>
        <w:t>p</w:t>
      </w:r>
      <w:r w:rsidRPr="00AF2E74">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AF2E74">
        <w:rPr>
          <w:rFonts w:eastAsia="Palatino Linotype"/>
        </w:rPr>
        <w:t>:</w:t>
      </w:r>
    </w:p>
    <w:p w14:paraId="7FAB8D32" w14:textId="77777777" w:rsidR="00C049E2" w:rsidRPr="00AF2E74" w:rsidRDefault="00C049E2" w:rsidP="00D765A9">
      <w:pPr>
        <w:rPr>
          <w:rFonts w:eastAsia="Palatino Linotype"/>
        </w:rPr>
      </w:pPr>
    </w:p>
    <w:p w14:paraId="05320813" w14:textId="77777777" w:rsidR="00C049E2" w:rsidRPr="00AF2E74" w:rsidRDefault="00C049E2" w:rsidP="00D765A9">
      <w:pPr>
        <w:pStyle w:val="Puesto"/>
        <w:rPr>
          <w:rFonts w:eastAsia="Palatino Linotype"/>
          <w:b/>
        </w:rPr>
      </w:pPr>
      <w:r w:rsidRPr="00AF2E74">
        <w:rPr>
          <w:rFonts w:eastAsia="Palatino Linotype"/>
          <w:b/>
        </w:rPr>
        <w:t>Constitución Política de los Estados Unidos Mexicanos</w:t>
      </w:r>
    </w:p>
    <w:p w14:paraId="6B6C67B6" w14:textId="77777777" w:rsidR="00C049E2" w:rsidRPr="00AF2E74" w:rsidRDefault="00C049E2" w:rsidP="00D765A9">
      <w:pPr>
        <w:pStyle w:val="Puesto"/>
        <w:rPr>
          <w:rFonts w:eastAsia="Palatino Linotype"/>
          <w:b/>
        </w:rPr>
      </w:pPr>
      <w:r w:rsidRPr="00AF2E74">
        <w:rPr>
          <w:rFonts w:eastAsia="Palatino Linotype"/>
        </w:rPr>
        <w:t>“</w:t>
      </w:r>
      <w:r w:rsidRPr="00AF2E74">
        <w:rPr>
          <w:rFonts w:eastAsia="Palatino Linotype"/>
          <w:b/>
        </w:rPr>
        <w:t>Artículo 6.</w:t>
      </w:r>
    </w:p>
    <w:p w14:paraId="38D3B4C4" w14:textId="77777777" w:rsidR="00C049E2" w:rsidRPr="00AF2E74" w:rsidRDefault="00C049E2" w:rsidP="00D765A9">
      <w:pPr>
        <w:pStyle w:val="Puesto"/>
        <w:rPr>
          <w:rFonts w:eastAsia="Palatino Linotype"/>
        </w:rPr>
      </w:pPr>
      <w:r w:rsidRPr="00AF2E74">
        <w:rPr>
          <w:rFonts w:eastAsia="Palatino Linotype"/>
        </w:rPr>
        <w:t>(…)</w:t>
      </w:r>
    </w:p>
    <w:p w14:paraId="2CCAA297" w14:textId="6602827B" w:rsidR="00C049E2" w:rsidRPr="00AF2E74" w:rsidRDefault="00C049E2" w:rsidP="00D765A9">
      <w:pPr>
        <w:pStyle w:val="Puesto"/>
        <w:rPr>
          <w:rFonts w:eastAsia="Palatino Linotype"/>
        </w:rPr>
      </w:pPr>
      <w:r w:rsidRPr="00AF2E74">
        <w:rPr>
          <w:rFonts w:eastAsia="Palatino Linotype"/>
        </w:rPr>
        <w:t>Para efectos de lo dispuesto en el presente artículo se observará lo siguiente:</w:t>
      </w:r>
    </w:p>
    <w:p w14:paraId="74CC3718" w14:textId="77777777" w:rsidR="00C049E2" w:rsidRPr="00AF2E74" w:rsidRDefault="00C049E2" w:rsidP="00D765A9">
      <w:pPr>
        <w:pStyle w:val="Puesto"/>
        <w:rPr>
          <w:rFonts w:eastAsia="Palatino Linotype"/>
        </w:rPr>
      </w:pPr>
      <w:r w:rsidRPr="00AF2E74">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AF2E74" w:rsidRDefault="00C049E2" w:rsidP="00D765A9">
      <w:pPr>
        <w:pStyle w:val="Puesto"/>
        <w:rPr>
          <w:rFonts w:eastAsia="Palatino Linotype"/>
        </w:rPr>
      </w:pPr>
      <w:r w:rsidRPr="00AF2E74">
        <w:rPr>
          <w:rFonts w:eastAsia="Palatino Linotype"/>
        </w:rPr>
        <w:t xml:space="preserve">I. </w:t>
      </w:r>
      <w:r w:rsidRPr="00AF2E74">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AF2E74" w:rsidRDefault="00C049E2" w:rsidP="00D765A9">
      <w:pPr>
        <w:pStyle w:val="Puesto"/>
        <w:rPr>
          <w:rFonts w:eastAsia="Palatino Linotype"/>
        </w:rPr>
      </w:pPr>
    </w:p>
    <w:p w14:paraId="504F12DB" w14:textId="77777777" w:rsidR="00C049E2" w:rsidRPr="00AF2E74" w:rsidRDefault="00C049E2" w:rsidP="00D765A9">
      <w:pPr>
        <w:pStyle w:val="Puesto"/>
        <w:rPr>
          <w:rFonts w:eastAsia="Palatino Linotype"/>
          <w:b/>
        </w:rPr>
      </w:pPr>
      <w:r w:rsidRPr="00AF2E74">
        <w:rPr>
          <w:rFonts w:eastAsia="Palatino Linotype"/>
          <w:b/>
        </w:rPr>
        <w:t>Constitución Política del Estado Libre y Soberano de México</w:t>
      </w:r>
    </w:p>
    <w:p w14:paraId="04932D29" w14:textId="77777777" w:rsidR="00C049E2" w:rsidRPr="00AF2E74" w:rsidRDefault="00C049E2" w:rsidP="00D765A9">
      <w:pPr>
        <w:pStyle w:val="Puesto"/>
        <w:rPr>
          <w:rFonts w:eastAsia="Palatino Linotype"/>
          <w:b/>
        </w:rPr>
      </w:pPr>
      <w:r w:rsidRPr="00AF2E74">
        <w:rPr>
          <w:rFonts w:eastAsia="Palatino Linotype"/>
        </w:rPr>
        <w:t>“</w:t>
      </w:r>
      <w:r w:rsidRPr="00AF2E74">
        <w:rPr>
          <w:rFonts w:eastAsia="Palatino Linotype"/>
          <w:b/>
        </w:rPr>
        <w:t xml:space="preserve">Artículo 5.- </w:t>
      </w:r>
    </w:p>
    <w:p w14:paraId="1D3829F4" w14:textId="77777777" w:rsidR="00C049E2" w:rsidRPr="00AF2E74" w:rsidRDefault="00C049E2" w:rsidP="00D765A9">
      <w:pPr>
        <w:pStyle w:val="Puesto"/>
        <w:rPr>
          <w:rFonts w:eastAsia="Palatino Linotype"/>
        </w:rPr>
      </w:pPr>
      <w:r w:rsidRPr="00AF2E74">
        <w:rPr>
          <w:rFonts w:eastAsia="Palatino Linotype"/>
        </w:rPr>
        <w:t>(…)</w:t>
      </w:r>
    </w:p>
    <w:p w14:paraId="0EAE47FD" w14:textId="77777777" w:rsidR="00C049E2" w:rsidRPr="00AF2E74" w:rsidRDefault="00C049E2" w:rsidP="00D765A9">
      <w:pPr>
        <w:pStyle w:val="Puesto"/>
        <w:rPr>
          <w:rFonts w:eastAsia="Palatino Linotype"/>
        </w:rPr>
      </w:pPr>
      <w:r w:rsidRPr="00AF2E74">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AF2E74" w:rsidRDefault="00C049E2" w:rsidP="00D765A9">
      <w:pPr>
        <w:pStyle w:val="Puesto"/>
        <w:rPr>
          <w:rFonts w:eastAsia="Palatino Linotype"/>
        </w:rPr>
      </w:pPr>
      <w:r w:rsidRPr="00AF2E74">
        <w:rPr>
          <w:rFonts w:eastAsia="Palatino Linotype"/>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AF2E74" w:rsidRDefault="00C049E2" w:rsidP="00D765A9">
      <w:pPr>
        <w:pStyle w:val="Puesto"/>
        <w:rPr>
          <w:rFonts w:eastAsia="Palatino Linotype"/>
        </w:rPr>
      </w:pPr>
      <w:r w:rsidRPr="00AF2E74">
        <w:rPr>
          <w:rFonts w:eastAsia="Palatino Linotype"/>
        </w:rPr>
        <w:t>Este derecho se regirá por los principios y bases siguientes:</w:t>
      </w:r>
    </w:p>
    <w:p w14:paraId="4A3E8CBA" w14:textId="77777777" w:rsidR="00C049E2" w:rsidRPr="00AF2E74" w:rsidRDefault="00C049E2" w:rsidP="00D765A9">
      <w:pPr>
        <w:pStyle w:val="Puesto"/>
        <w:rPr>
          <w:rFonts w:eastAsia="Palatino Linotype"/>
        </w:rPr>
      </w:pPr>
      <w:r w:rsidRPr="00AF2E74">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AF2E74" w:rsidRDefault="00C049E2" w:rsidP="00D765A9">
      <w:pPr>
        <w:rPr>
          <w:rFonts w:eastAsia="Palatino Linotype"/>
          <w:b/>
          <w:i/>
        </w:rPr>
      </w:pPr>
    </w:p>
    <w:p w14:paraId="6FC1BB3B" w14:textId="3BF4A33D" w:rsidR="00C049E2" w:rsidRPr="00AF2E74" w:rsidRDefault="00717E59" w:rsidP="00D765A9">
      <w:pPr>
        <w:rPr>
          <w:rFonts w:eastAsia="Palatino Linotype"/>
          <w:i/>
        </w:rPr>
      </w:pPr>
      <w:r w:rsidRPr="00AF2E74">
        <w:rPr>
          <w:rFonts w:eastAsia="Palatino Linotype"/>
        </w:rPr>
        <w:t xml:space="preserve">Asimismo, </w:t>
      </w:r>
      <w:r w:rsidR="00C049E2" w:rsidRPr="00AF2E74">
        <w:rPr>
          <w:rFonts w:eastAsia="Palatino Linotype"/>
        </w:rPr>
        <w:t>el artículo 150 de la Ley de Transparencia y Acceso a la Información Pública del Estado de México y Municipios</w:t>
      </w:r>
      <w:r w:rsidR="00057B2D" w:rsidRPr="00AF2E74">
        <w:rPr>
          <w:rFonts w:eastAsia="Palatino Linotype"/>
        </w:rPr>
        <w:t xml:space="preserve"> </w:t>
      </w:r>
      <w:r w:rsidR="00E9335C" w:rsidRPr="00AF2E74">
        <w:rPr>
          <w:rFonts w:eastAsia="Palatino Linotype"/>
        </w:rPr>
        <w:t xml:space="preserve">indica </w:t>
      </w:r>
      <w:r w:rsidR="00057B2D" w:rsidRPr="00AF2E74">
        <w:rPr>
          <w:rFonts w:eastAsia="Palatino Linotype"/>
        </w:rPr>
        <w:t>que</w:t>
      </w:r>
      <w:r w:rsidR="00C049E2" w:rsidRPr="00AF2E74">
        <w:rPr>
          <w:rFonts w:eastAsia="Palatino Linotype"/>
        </w:rPr>
        <w:t xml:space="preserve"> la solicitud es la garantía primaria del Derecho de Acceso a la Información, además, establece que se regirá </w:t>
      </w:r>
      <w:r w:rsidR="00C049E2" w:rsidRPr="00AF2E74">
        <w:rPr>
          <w:rFonts w:eastAsia="Palatino Linotype"/>
          <w:i/>
        </w:rPr>
        <w:t>por los principios de simplicidad, rapidez</w:t>
      </w:r>
      <w:r w:rsidR="005F65B7" w:rsidRPr="00AF2E74">
        <w:rPr>
          <w:rFonts w:eastAsia="Palatino Linotype"/>
          <w:i/>
        </w:rPr>
        <w:t>,</w:t>
      </w:r>
      <w:r w:rsidR="00C049E2" w:rsidRPr="00AF2E74">
        <w:rPr>
          <w:rFonts w:eastAsia="Palatino Linotype"/>
          <w:i/>
        </w:rPr>
        <w:t xml:space="preserve"> gratuidad del procedimiento, auxilio y orientación a los particulare</w:t>
      </w:r>
      <w:r w:rsidR="001A58B3" w:rsidRPr="00AF2E74">
        <w:rPr>
          <w:rFonts w:eastAsia="Palatino Linotype"/>
          <w:i/>
        </w:rPr>
        <w:t>s.</w:t>
      </w:r>
    </w:p>
    <w:p w14:paraId="033466A6" w14:textId="77777777" w:rsidR="001A58B3" w:rsidRPr="00AF2E74" w:rsidRDefault="001A58B3" w:rsidP="00D765A9">
      <w:pPr>
        <w:rPr>
          <w:rFonts w:eastAsia="Palatino Linotype"/>
          <w:i/>
        </w:rPr>
      </w:pPr>
    </w:p>
    <w:p w14:paraId="04ADA10B" w14:textId="574A944A" w:rsidR="001A58B3" w:rsidRPr="00AF2E74" w:rsidRDefault="00233F17" w:rsidP="00D765A9">
      <w:pPr>
        <w:rPr>
          <w:rFonts w:eastAsia="Palatino Linotype" w:cs="Palatino Linotype"/>
          <w:i/>
          <w:szCs w:val="22"/>
        </w:rPr>
      </w:pPr>
      <w:r w:rsidRPr="00AF2E74">
        <w:rPr>
          <w:rFonts w:eastAsia="Palatino Linotype" w:cs="Palatino Linotype"/>
        </w:rPr>
        <w:t xml:space="preserve">Por su parte, el artículo 4 de </w:t>
      </w:r>
      <w:r w:rsidR="001A58B3" w:rsidRPr="00AF2E74">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AF2E74">
        <w:rPr>
          <w:rFonts w:eastAsia="Palatino Linotype" w:cs="Palatino Linotype"/>
        </w:rPr>
        <w:t>.</w:t>
      </w:r>
    </w:p>
    <w:p w14:paraId="1407DBB8" w14:textId="77777777" w:rsidR="001A58B3" w:rsidRPr="00AF2E74" w:rsidRDefault="001A58B3" w:rsidP="00D765A9">
      <w:pPr>
        <w:rPr>
          <w:rFonts w:eastAsia="Palatino Linotype" w:cs="Palatino Linotype"/>
        </w:rPr>
      </w:pPr>
    </w:p>
    <w:p w14:paraId="7552AA79" w14:textId="5C52E4A4" w:rsidR="001A58B3" w:rsidRPr="00AF2E74" w:rsidRDefault="001A58B3" w:rsidP="00D765A9">
      <w:pPr>
        <w:rPr>
          <w:rFonts w:eastAsia="Palatino Linotype" w:cs="Palatino Linotype"/>
        </w:rPr>
      </w:pPr>
      <w:r w:rsidRPr="00AF2E74">
        <w:rPr>
          <w:rFonts w:eastAsia="Palatino Linotype" w:cs="Palatino Linotype"/>
        </w:rPr>
        <w:t xml:space="preserve">Esto es, que los Sujetos Obligados </w:t>
      </w:r>
      <w:r w:rsidR="00FA5957" w:rsidRPr="00AF2E74">
        <w:rPr>
          <w:rFonts w:eastAsia="Palatino Linotype" w:cs="Palatino Linotype"/>
        </w:rPr>
        <w:t>deben</w:t>
      </w:r>
      <w:r w:rsidRPr="00AF2E74">
        <w:rPr>
          <w:rFonts w:eastAsia="Palatino Linotype" w:cs="Palatino Linotype"/>
        </w:rPr>
        <w:t xml:space="preserve"> atender las solicitudes de acceso a la información pública que se les </w:t>
      </w:r>
      <w:r w:rsidR="00FA5957" w:rsidRPr="00AF2E74">
        <w:rPr>
          <w:rFonts w:eastAsia="Palatino Linotype" w:cs="Palatino Linotype"/>
        </w:rPr>
        <w:t>sean realizadas,</w:t>
      </w:r>
      <w:r w:rsidRPr="00AF2E74">
        <w:rPr>
          <w:rFonts w:eastAsia="Palatino Linotype" w:cs="Palatino Linotype"/>
        </w:rPr>
        <w:t xml:space="preserve"> y proporcionar la información pública que obre en su poder</w:t>
      </w:r>
      <w:r w:rsidR="00FA5957" w:rsidRPr="00AF2E74">
        <w:rPr>
          <w:rFonts w:eastAsia="Palatino Linotype" w:cs="Palatino Linotype"/>
        </w:rPr>
        <w:t>,</w:t>
      </w:r>
      <w:r w:rsidRPr="00AF2E74">
        <w:rPr>
          <w:rFonts w:eastAsia="Palatino Linotype" w:cs="Palatino Linotype"/>
        </w:rPr>
        <w:t xml:space="preserve"> conforme </w:t>
      </w:r>
      <w:r w:rsidR="00FA5957" w:rsidRPr="00AF2E74">
        <w:rPr>
          <w:rFonts w:eastAsia="Palatino Linotype" w:cs="Palatino Linotype"/>
        </w:rPr>
        <w:t>a</w:t>
      </w:r>
      <w:r w:rsidRPr="00AF2E74">
        <w:rPr>
          <w:rFonts w:eastAsia="Palatino Linotype" w:cs="Palatino Linotype"/>
        </w:rPr>
        <w:t xml:space="preserve">l estado </w:t>
      </w:r>
      <w:r w:rsidR="00FA5957" w:rsidRPr="00AF2E74">
        <w:rPr>
          <w:rFonts w:eastAsia="Palatino Linotype" w:cs="Palatino Linotype"/>
        </w:rPr>
        <w:t xml:space="preserve">en </w:t>
      </w:r>
      <w:r w:rsidRPr="00AF2E74">
        <w:rPr>
          <w:rFonts w:eastAsia="Palatino Linotype" w:cs="Palatino Linotype"/>
        </w:rPr>
        <w:t>que se encuentr</w:t>
      </w:r>
      <w:r w:rsidR="00FA5957" w:rsidRPr="00AF2E74">
        <w:rPr>
          <w:rFonts w:eastAsia="Palatino Linotype" w:cs="Palatino Linotype"/>
        </w:rPr>
        <w:t>e, sin que sea necesario</w:t>
      </w:r>
      <w:r w:rsidRPr="00AF2E74">
        <w:rPr>
          <w:rFonts w:eastAsia="Palatino Linotype" w:cs="Palatino Linotype"/>
        </w:rPr>
        <w:t xml:space="preserve"> </w:t>
      </w:r>
      <w:r w:rsidR="00FA5957" w:rsidRPr="00AF2E74">
        <w:rPr>
          <w:rFonts w:eastAsia="Palatino Linotype" w:cs="Palatino Linotype"/>
        </w:rPr>
        <w:t>procesar</w:t>
      </w:r>
      <w:r w:rsidRPr="00AF2E74">
        <w:rPr>
          <w:rFonts w:eastAsia="Palatino Linotype" w:cs="Palatino Linotype"/>
        </w:rPr>
        <w:t xml:space="preserve"> la misma, ni presentarla </w:t>
      </w:r>
      <w:r w:rsidRPr="00AF2E74">
        <w:rPr>
          <w:rFonts w:eastAsia="Palatino Linotype" w:cs="Palatino Linotype"/>
        </w:rPr>
        <w:lastRenderedPageBreak/>
        <w:t xml:space="preserve">conforme al interés del solicitante; </w:t>
      </w:r>
      <w:r w:rsidR="00FA5957" w:rsidRPr="00AF2E74">
        <w:rPr>
          <w:rFonts w:eastAsia="Palatino Linotype" w:cs="Palatino Linotype"/>
        </w:rPr>
        <w:t>tal y como</w:t>
      </w:r>
      <w:r w:rsidRPr="00AF2E74">
        <w:rPr>
          <w:rFonts w:eastAsia="Palatino Linotype" w:cs="Palatino Linotype"/>
        </w:rPr>
        <w:t xml:space="preserve"> lo establece el artículo 12 de la Ley de Transparencia y Acceso a la Información Pública del Estado de México y Municipios</w:t>
      </w:r>
      <w:r w:rsidR="00970EB3" w:rsidRPr="00AF2E74">
        <w:rPr>
          <w:rFonts w:eastAsia="Palatino Linotype" w:cs="Palatino Linotype"/>
        </w:rPr>
        <w:t>.</w:t>
      </w:r>
    </w:p>
    <w:p w14:paraId="73245195" w14:textId="77777777" w:rsidR="00970EB3" w:rsidRPr="00AF2E74" w:rsidRDefault="00970EB3" w:rsidP="00D765A9">
      <w:pPr>
        <w:rPr>
          <w:rFonts w:eastAsia="Palatino Linotype" w:cs="Palatino Linotype"/>
        </w:rPr>
      </w:pPr>
    </w:p>
    <w:p w14:paraId="7F62D4DF" w14:textId="775730E1" w:rsidR="001A58B3" w:rsidRPr="00AF2E74" w:rsidRDefault="001A58B3" w:rsidP="00D765A9">
      <w:pPr>
        <w:rPr>
          <w:rFonts w:eastAsia="Palatino Linotype" w:cs="Palatino Linotype"/>
        </w:rPr>
      </w:pPr>
      <w:r w:rsidRPr="00AF2E74">
        <w:rPr>
          <w:rFonts w:eastAsia="Palatino Linotype" w:cs="Palatino Linotype"/>
        </w:rPr>
        <w:t>Es decir, que todo sujeto obligado que genere, recopile, administre, procese, archive, posea o conserven, son responsables de la misma</w:t>
      </w:r>
      <w:r w:rsidR="00970EB3" w:rsidRPr="00AF2E74">
        <w:rPr>
          <w:rFonts w:eastAsia="Palatino Linotype" w:cs="Palatino Linotype"/>
        </w:rPr>
        <w:t>,</w:t>
      </w:r>
      <w:r w:rsidRPr="00AF2E74">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AF2E74">
        <w:rPr>
          <w:rFonts w:eastAsia="Palatino Linotype" w:cs="Palatino Linotype"/>
        </w:rPr>
        <w:t>o</w:t>
      </w:r>
      <w:r w:rsidRPr="00AF2E74">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AF2E74" w:rsidRDefault="001A58B3" w:rsidP="00D765A9">
      <w:pPr>
        <w:rPr>
          <w:rFonts w:eastAsia="Palatino Linotype" w:cs="Palatino Linotype"/>
        </w:rPr>
      </w:pPr>
    </w:p>
    <w:p w14:paraId="04E42DFE" w14:textId="573F1198" w:rsidR="001A58B3" w:rsidRPr="00AF2E74" w:rsidRDefault="001A58B3" w:rsidP="00D765A9">
      <w:pPr>
        <w:rPr>
          <w:rFonts w:eastAsia="Palatino Linotype" w:cs="Palatino Linotype"/>
        </w:rPr>
      </w:pPr>
      <w:r w:rsidRPr="00AF2E74">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AF2E74">
        <w:rPr>
          <w:rFonts w:eastAsia="Palatino Linotype" w:cs="Palatino Linotype"/>
        </w:rPr>
        <w:t>, s</w:t>
      </w:r>
      <w:r w:rsidRPr="00AF2E74">
        <w:rPr>
          <w:rFonts w:eastAsia="Palatino Linotype" w:cs="Palatino Linotype"/>
        </w:rPr>
        <w:t xml:space="preserve">iempre y cuando no se trate de información reservada o </w:t>
      </w:r>
      <w:r w:rsidR="00331F35" w:rsidRPr="00AF2E74">
        <w:rPr>
          <w:rFonts w:eastAsia="Palatino Linotype" w:cs="Palatino Linotype"/>
        </w:rPr>
        <w:t>confidencial.</w:t>
      </w:r>
    </w:p>
    <w:p w14:paraId="40C5219F" w14:textId="77777777" w:rsidR="001A58B3" w:rsidRPr="00AF2E74" w:rsidRDefault="001A58B3" w:rsidP="00D765A9">
      <w:pPr>
        <w:rPr>
          <w:rFonts w:eastAsia="Palatino Linotype" w:cs="Palatino Linotype"/>
        </w:rPr>
      </w:pPr>
    </w:p>
    <w:p w14:paraId="2E629608" w14:textId="01727E15" w:rsidR="00C049E2" w:rsidRPr="00AF2E74" w:rsidRDefault="006067C7" w:rsidP="00D765A9">
      <w:pPr>
        <w:rPr>
          <w:rFonts w:eastAsia="Palatino Linotype"/>
        </w:rPr>
      </w:pPr>
      <w:bookmarkStart w:id="36" w:name="_heading=h.2s8eyo1" w:colFirst="0" w:colLast="0"/>
      <w:bookmarkEnd w:id="36"/>
      <w:r w:rsidRPr="00AF2E74">
        <w:rPr>
          <w:rFonts w:eastAsia="Palatino Linotype"/>
        </w:rPr>
        <w:t>Con base en lo anterior</w:t>
      </w:r>
      <w:r w:rsidR="00B22A80" w:rsidRPr="00AF2E74">
        <w:rPr>
          <w:rFonts w:eastAsia="Palatino Linotype"/>
        </w:rPr>
        <w:t>, se considera que</w:t>
      </w:r>
      <w:r w:rsidR="00C049E2" w:rsidRPr="00AF2E74">
        <w:rPr>
          <w:rFonts w:eastAsia="Palatino Linotype"/>
        </w:rPr>
        <w:t xml:space="preserve"> </w:t>
      </w:r>
      <w:r w:rsidR="00B22A80" w:rsidRPr="00AF2E74">
        <w:rPr>
          <w:rFonts w:eastAsia="Palatino Linotype"/>
          <w:b/>
          <w:bCs/>
        </w:rPr>
        <w:t>EL</w:t>
      </w:r>
      <w:r w:rsidR="00C049E2" w:rsidRPr="00AF2E74">
        <w:rPr>
          <w:rFonts w:eastAsia="Palatino Linotype"/>
        </w:rPr>
        <w:t xml:space="preserve"> </w:t>
      </w:r>
      <w:r w:rsidR="00C049E2" w:rsidRPr="00AF2E74">
        <w:rPr>
          <w:rFonts w:eastAsia="Palatino Linotype"/>
          <w:b/>
        </w:rPr>
        <w:t>SUJETO OBLIGADO</w:t>
      </w:r>
      <w:r w:rsidR="00C049E2" w:rsidRPr="00AF2E74">
        <w:rPr>
          <w:rFonts w:eastAsia="Palatino Linotype"/>
        </w:rPr>
        <w:t xml:space="preserve"> </w:t>
      </w:r>
      <w:r w:rsidR="00B22A80" w:rsidRPr="00AF2E74">
        <w:rPr>
          <w:rFonts w:eastAsia="Palatino Linotype"/>
        </w:rPr>
        <w:t xml:space="preserve">se </w:t>
      </w:r>
      <w:r w:rsidR="00717E59" w:rsidRPr="00AF2E74">
        <w:rPr>
          <w:rFonts w:eastAsia="Palatino Linotype"/>
        </w:rPr>
        <w:t>encontraba</w:t>
      </w:r>
      <w:r w:rsidR="00B22A80" w:rsidRPr="00AF2E74">
        <w:rPr>
          <w:rFonts w:eastAsia="Palatino Linotype"/>
        </w:rPr>
        <w:t xml:space="preserve"> compelido a</w:t>
      </w:r>
      <w:r w:rsidR="00C049E2" w:rsidRPr="00AF2E74">
        <w:rPr>
          <w:rFonts w:eastAsia="Palatino Linotype"/>
        </w:rPr>
        <w:t xml:space="preserve"> atender la solicitud de acceso a la información </w:t>
      </w:r>
      <w:r w:rsidR="00B22A80" w:rsidRPr="00AF2E74">
        <w:rPr>
          <w:rFonts w:eastAsia="Palatino Linotype"/>
        </w:rPr>
        <w:t xml:space="preserve">realizada por </w:t>
      </w:r>
      <w:r w:rsidR="00B22A80" w:rsidRPr="00AF2E74">
        <w:rPr>
          <w:rFonts w:eastAsia="Palatino Linotype"/>
          <w:b/>
          <w:bCs/>
        </w:rPr>
        <w:t>LA PARTE RECURRENTE</w:t>
      </w:r>
      <w:r w:rsidR="00331F35" w:rsidRPr="00AF2E74">
        <w:rPr>
          <w:rFonts w:eastAsia="Palatino Linotype"/>
        </w:rPr>
        <w:t>.</w:t>
      </w:r>
    </w:p>
    <w:p w14:paraId="1611F147" w14:textId="77777777" w:rsidR="00BD5A7C" w:rsidRPr="00AF2E74" w:rsidRDefault="00BD5A7C" w:rsidP="00D765A9">
      <w:pPr>
        <w:rPr>
          <w:rFonts w:eastAsia="Palatino Linotype"/>
        </w:rPr>
      </w:pPr>
    </w:p>
    <w:p w14:paraId="51A0E8B4" w14:textId="676DCA47" w:rsidR="00664420" w:rsidRPr="00AF2E74" w:rsidRDefault="00C71CEF" w:rsidP="00D765A9">
      <w:pPr>
        <w:pStyle w:val="Ttulo3"/>
        <w:rPr>
          <w:rFonts w:eastAsia="Calibri"/>
          <w:lang w:eastAsia="es-ES_tradnl"/>
        </w:rPr>
      </w:pPr>
      <w:bookmarkStart w:id="37" w:name="_Toc212100990"/>
      <w:r w:rsidRPr="00AF2E74">
        <w:rPr>
          <w:rFonts w:eastAsia="Calibri"/>
          <w:lang w:eastAsia="es-ES_tradnl"/>
        </w:rPr>
        <w:t>b)</w:t>
      </w:r>
      <w:r w:rsidR="00A53315" w:rsidRPr="00AF2E74">
        <w:rPr>
          <w:rFonts w:eastAsia="Calibri"/>
          <w:lang w:eastAsia="es-ES_tradnl"/>
        </w:rPr>
        <w:t xml:space="preserve"> </w:t>
      </w:r>
      <w:r w:rsidR="00A21A20" w:rsidRPr="00AF2E74">
        <w:rPr>
          <w:rFonts w:eastAsia="Calibri"/>
          <w:lang w:eastAsia="es-ES_tradnl"/>
        </w:rPr>
        <w:t>Controversia a resolver</w:t>
      </w:r>
      <w:bookmarkEnd w:id="37"/>
    </w:p>
    <w:p w14:paraId="52B567E3" w14:textId="77777777" w:rsidR="00397A36" w:rsidRPr="00AF2E74" w:rsidRDefault="00664420" w:rsidP="00D765A9">
      <w:pPr>
        <w:rPr>
          <w:rFonts w:eastAsia="Calibri"/>
          <w:lang w:eastAsia="es-ES_tradnl"/>
        </w:rPr>
      </w:pPr>
      <w:r w:rsidRPr="00AF2E74">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AF2E74">
        <w:rPr>
          <w:rFonts w:eastAsia="Calibri"/>
          <w:b/>
          <w:bCs/>
          <w:lang w:eastAsia="es-ES_tradnl"/>
        </w:rPr>
        <w:t>LA PARTE RECURRENTE</w:t>
      </w:r>
      <w:r w:rsidR="004565C2" w:rsidRPr="00AF2E74">
        <w:rPr>
          <w:rFonts w:eastAsia="Calibri"/>
          <w:lang w:eastAsia="es-ES_tradnl"/>
        </w:rPr>
        <w:t xml:space="preserve"> solicitó</w:t>
      </w:r>
      <w:r w:rsidR="00CA0628" w:rsidRPr="00AF2E74">
        <w:rPr>
          <w:rFonts w:eastAsia="Calibri"/>
          <w:lang w:eastAsia="es-ES_tradnl"/>
        </w:rPr>
        <w:t xml:space="preserve"> </w:t>
      </w:r>
      <w:r w:rsidR="008A790F" w:rsidRPr="00AF2E74">
        <w:rPr>
          <w:rFonts w:eastAsia="Calibri"/>
          <w:lang w:eastAsia="es-ES_tradnl"/>
        </w:rPr>
        <w:t xml:space="preserve">la </w:t>
      </w:r>
      <w:r w:rsidR="00397A36" w:rsidRPr="00AF2E74">
        <w:rPr>
          <w:rFonts w:eastAsia="Calibri"/>
          <w:lang w:eastAsia="es-ES_tradnl"/>
        </w:rPr>
        <w:t xml:space="preserve">dispersión de nómina y conciliación de nómina de </w:t>
      </w:r>
      <w:r w:rsidR="00397A36" w:rsidRPr="00AF2E74">
        <w:rPr>
          <w:rFonts w:eastAsia="Calibri"/>
          <w:lang w:eastAsia="es-ES_tradnl"/>
        </w:rPr>
        <w:lastRenderedPageBreak/>
        <w:t xml:space="preserve">del mes de enero al cuatro de agosto de dos mil veinticinco, fecha en que fue presentada la solicitud. </w:t>
      </w:r>
    </w:p>
    <w:p w14:paraId="17A1FC68" w14:textId="77777777" w:rsidR="00221455" w:rsidRPr="00AF2E74" w:rsidRDefault="00221455" w:rsidP="00D765A9">
      <w:pPr>
        <w:rPr>
          <w:rFonts w:eastAsia="Calibri"/>
          <w:lang w:eastAsia="es-ES_tradnl"/>
        </w:rPr>
      </w:pPr>
    </w:p>
    <w:p w14:paraId="7A8446D2" w14:textId="4B26B220" w:rsidR="008A790F" w:rsidRPr="00AF2E74" w:rsidRDefault="008A790F" w:rsidP="00D765A9">
      <w:pPr>
        <w:rPr>
          <w:rFonts w:eastAsia="Calibri"/>
          <w:lang w:eastAsia="es-ES_tradnl"/>
        </w:rPr>
      </w:pPr>
      <w:r w:rsidRPr="00AF2E74">
        <w:rPr>
          <w:rFonts w:eastAsia="Calibri"/>
          <w:lang w:eastAsia="es-ES_tradnl"/>
        </w:rPr>
        <w:t xml:space="preserve">Al respecto, </w:t>
      </w:r>
      <w:r w:rsidRPr="00AF2E74">
        <w:rPr>
          <w:rFonts w:eastAsia="Calibri"/>
          <w:b/>
          <w:lang w:eastAsia="es-ES_tradnl"/>
        </w:rPr>
        <w:t>EL SUJETO OBLIGADO</w:t>
      </w:r>
      <w:r w:rsidRPr="00AF2E74">
        <w:rPr>
          <w:rFonts w:ascii="Verdana" w:hAnsi="Verdana"/>
          <w:sz w:val="18"/>
          <w:szCs w:val="18"/>
        </w:rPr>
        <w:t xml:space="preserve"> </w:t>
      </w:r>
      <w:r w:rsidR="00397A36" w:rsidRPr="00AF2E74">
        <w:rPr>
          <w:rFonts w:eastAsia="Calibri"/>
          <w:lang w:eastAsia="es-ES_tradnl"/>
        </w:rPr>
        <w:t xml:space="preserve">adjuntó la conciliación de nómina correspondiente a la primera y segunda quincena de enero de dos mil veinticinco. </w:t>
      </w:r>
    </w:p>
    <w:p w14:paraId="3F9DD230" w14:textId="77777777" w:rsidR="008A790F" w:rsidRPr="00AF2E74" w:rsidRDefault="008A790F" w:rsidP="00D765A9">
      <w:pPr>
        <w:autoSpaceDE w:val="0"/>
        <w:autoSpaceDN w:val="0"/>
        <w:adjustRightInd w:val="0"/>
        <w:ind w:right="-28"/>
        <w:rPr>
          <w:rFonts w:eastAsiaTheme="minorHAnsi" w:cs="Tahoma"/>
          <w:bCs/>
          <w:iCs/>
          <w:szCs w:val="22"/>
          <w:lang w:eastAsia="en-US"/>
        </w:rPr>
      </w:pPr>
    </w:p>
    <w:p w14:paraId="7975E17D" w14:textId="41146323" w:rsidR="008530DB" w:rsidRPr="00AF2E74" w:rsidRDefault="00CF7586" w:rsidP="00D765A9">
      <w:pPr>
        <w:tabs>
          <w:tab w:val="left" w:pos="4962"/>
        </w:tabs>
        <w:contextualSpacing/>
        <w:rPr>
          <w:rFonts w:eastAsiaTheme="minorHAnsi" w:cs="Tahoma"/>
          <w:bCs/>
          <w:iCs/>
          <w:szCs w:val="22"/>
          <w:lang w:eastAsia="en-US"/>
        </w:rPr>
      </w:pPr>
      <w:r w:rsidRPr="00AF2E74">
        <w:rPr>
          <w:rFonts w:eastAsiaTheme="minorHAnsi" w:cs="Tahoma"/>
          <w:bCs/>
          <w:iCs/>
          <w:szCs w:val="22"/>
          <w:lang w:eastAsia="en-US"/>
        </w:rPr>
        <w:t xml:space="preserve">Ahora bien, en la interposición del presente recurso </w:t>
      </w:r>
      <w:r w:rsidRPr="00AF2E74">
        <w:rPr>
          <w:rFonts w:eastAsiaTheme="minorHAnsi" w:cs="Tahoma"/>
          <w:b/>
          <w:iCs/>
          <w:szCs w:val="22"/>
          <w:lang w:eastAsia="en-US"/>
        </w:rPr>
        <w:t>LA PARTE RECURRENTE</w:t>
      </w:r>
      <w:r w:rsidR="00237120" w:rsidRPr="00AF2E74">
        <w:rPr>
          <w:rFonts w:eastAsiaTheme="minorHAnsi" w:cs="Tahoma"/>
          <w:bCs/>
          <w:iCs/>
          <w:szCs w:val="22"/>
          <w:lang w:eastAsia="en-US"/>
        </w:rPr>
        <w:t xml:space="preserve"> s</w:t>
      </w:r>
      <w:r w:rsidR="00E11AA0" w:rsidRPr="00AF2E74">
        <w:rPr>
          <w:rFonts w:eastAsiaTheme="minorHAnsi" w:cs="Tahoma"/>
          <w:bCs/>
          <w:iCs/>
          <w:szCs w:val="22"/>
          <w:lang w:eastAsia="en-US"/>
        </w:rPr>
        <w:t xml:space="preserve">e inconformó medularmente </w:t>
      </w:r>
      <w:r w:rsidR="00473225" w:rsidRPr="00AF2E74">
        <w:rPr>
          <w:rFonts w:eastAsiaTheme="minorHAnsi" w:cs="Tahoma"/>
          <w:bCs/>
          <w:iCs/>
          <w:szCs w:val="22"/>
          <w:lang w:eastAsia="en-US"/>
        </w:rPr>
        <w:t>por</w:t>
      </w:r>
      <w:r w:rsidR="00C80359" w:rsidRPr="00AF2E74">
        <w:rPr>
          <w:rFonts w:eastAsiaTheme="minorHAnsi" w:cs="Tahoma"/>
          <w:bCs/>
          <w:iCs/>
          <w:szCs w:val="22"/>
          <w:lang w:eastAsia="en-US"/>
        </w:rPr>
        <w:t xml:space="preserve"> </w:t>
      </w:r>
      <w:r w:rsidR="008A790F" w:rsidRPr="00AF2E74">
        <w:rPr>
          <w:rFonts w:eastAsiaTheme="minorHAnsi" w:cs="Tahoma"/>
          <w:bCs/>
          <w:iCs/>
          <w:szCs w:val="22"/>
          <w:lang w:eastAsia="en-US"/>
        </w:rPr>
        <w:t xml:space="preserve">considerar que la información </w:t>
      </w:r>
      <w:r w:rsidR="00397A36" w:rsidRPr="00AF2E74">
        <w:rPr>
          <w:rFonts w:eastAsiaTheme="minorHAnsi" w:cs="Tahoma"/>
          <w:bCs/>
          <w:iCs/>
          <w:szCs w:val="22"/>
          <w:lang w:eastAsia="en-US"/>
        </w:rPr>
        <w:t xml:space="preserve">no correspondía a lo solicitado. </w:t>
      </w:r>
    </w:p>
    <w:p w14:paraId="62D736AD" w14:textId="77777777" w:rsidR="00DA54C1" w:rsidRPr="00AF2E74" w:rsidRDefault="00DA54C1" w:rsidP="00D765A9">
      <w:pPr>
        <w:tabs>
          <w:tab w:val="left" w:pos="4962"/>
        </w:tabs>
        <w:contextualSpacing/>
        <w:rPr>
          <w:rFonts w:eastAsiaTheme="minorHAnsi" w:cs="Tahoma"/>
          <w:bCs/>
          <w:iCs/>
          <w:szCs w:val="22"/>
          <w:lang w:eastAsia="en-US"/>
        </w:rPr>
      </w:pPr>
    </w:p>
    <w:p w14:paraId="46FA3127" w14:textId="0D2AF94E" w:rsidR="008A790F" w:rsidRPr="00AF2E74" w:rsidRDefault="008A790F" w:rsidP="00D765A9">
      <w:pPr>
        <w:pStyle w:val="Prrafodelista"/>
        <w:widowControl w:val="0"/>
        <w:autoSpaceDE w:val="0"/>
        <w:autoSpaceDN w:val="0"/>
        <w:adjustRightInd w:val="0"/>
        <w:ind w:left="0"/>
      </w:pPr>
      <w:r w:rsidRPr="00AF2E74">
        <w:rPr>
          <w:rFonts w:eastAsiaTheme="minorHAnsi" w:cs="Tahoma"/>
          <w:bCs/>
          <w:iCs/>
          <w:szCs w:val="22"/>
          <w:lang w:eastAsia="en-US"/>
        </w:rPr>
        <w:t>Asimismo</w:t>
      </w:r>
      <w:r w:rsidRPr="00AF2E74">
        <w:t xml:space="preserve">, es importante señalar que </w:t>
      </w:r>
      <w:r w:rsidRPr="00AF2E74">
        <w:rPr>
          <w:b/>
          <w:iCs/>
        </w:rPr>
        <w:t>LA PARTE RECURRENTE</w:t>
      </w:r>
      <w:r w:rsidRPr="00AF2E74">
        <w:rPr>
          <w:bCs/>
          <w:iCs/>
        </w:rPr>
        <w:t xml:space="preserve"> </w:t>
      </w:r>
      <w:r w:rsidRPr="00AF2E74">
        <w:t xml:space="preserve">no realizó manifestaciones, alegatos o pruebas y por su parte </w:t>
      </w:r>
      <w:r w:rsidRPr="00AF2E74">
        <w:rPr>
          <w:b/>
        </w:rPr>
        <w:t>EL SUJETO OBLIGADO</w:t>
      </w:r>
      <w:r w:rsidRPr="00AF2E74">
        <w:rPr>
          <w:rFonts w:cs="Arial"/>
        </w:rPr>
        <w:t xml:space="preserve"> </w:t>
      </w:r>
      <w:r w:rsidR="00397A36" w:rsidRPr="00AF2E74">
        <w:rPr>
          <w:rFonts w:cs="Arial"/>
        </w:rPr>
        <w:t xml:space="preserve">mediante informe justificado adjuntó la conciliación de nómina </w:t>
      </w:r>
      <w:r w:rsidR="0048386A" w:rsidRPr="00AF2E74">
        <w:rPr>
          <w:rFonts w:cs="Arial"/>
        </w:rPr>
        <w:t xml:space="preserve">y </w:t>
      </w:r>
      <w:r w:rsidR="0048386A" w:rsidRPr="00AF2E74">
        <w:rPr>
          <w:rFonts w:cs="Tahoma"/>
          <w:iCs/>
          <w:szCs w:val="24"/>
        </w:rPr>
        <w:t xml:space="preserve">el comprobante bancario de dispersión de nómina </w:t>
      </w:r>
      <w:r w:rsidR="00397A36" w:rsidRPr="00AF2E74">
        <w:rPr>
          <w:rFonts w:cs="Arial"/>
        </w:rPr>
        <w:t xml:space="preserve">correspondiente a los meses de enero, febrero, marzo, abril, mayo, junio y julio; </w:t>
      </w:r>
      <w:r w:rsidR="0048386A" w:rsidRPr="00AF2E74">
        <w:rPr>
          <w:rFonts w:cs="Arial"/>
        </w:rPr>
        <w:t xml:space="preserve">sin embargo, </w:t>
      </w:r>
      <w:r w:rsidR="0048386A" w:rsidRPr="00AF2E74">
        <w:t>este Órgano a fin de garantizar la protección de los datos personales, consideró no ponerlo a la vista del particular</w:t>
      </w:r>
      <w:r w:rsidR="0048386A" w:rsidRPr="00AF2E74">
        <w:rPr>
          <w:rFonts w:cs="Arial"/>
        </w:rPr>
        <w:t xml:space="preserve"> la conciliación de nómina del mes de marzo y julio; así como, la conciliación de nómina, al haberse dejado </w:t>
      </w:r>
      <w:r w:rsidR="0048386A" w:rsidRPr="00AF2E74">
        <w:t xml:space="preserve">visible información susceptible de ser clasificada como confidencial. </w:t>
      </w:r>
    </w:p>
    <w:p w14:paraId="7527E765" w14:textId="77777777" w:rsidR="008530DB" w:rsidRPr="00AF2E74" w:rsidRDefault="008530DB" w:rsidP="00D765A9">
      <w:pPr>
        <w:pStyle w:val="Prrafodelista"/>
        <w:widowControl w:val="0"/>
        <w:autoSpaceDE w:val="0"/>
        <w:autoSpaceDN w:val="0"/>
        <w:adjustRightInd w:val="0"/>
        <w:ind w:left="0"/>
      </w:pPr>
    </w:p>
    <w:p w14:paraId="22A6AC1B" w14:textId="3B960F55" w:rsidR="008A790F" w:rsidRPr="00AF2E74" w:rsidRDefault="008A790F" w:rsidP="00D765A9">
      <w:pPr>
        <w:tabs>
          <w:tab w:val="left" w:pos="4962"/>
        </w:tabs>
      </w:pPr>
      <w:r w:rsidRPr="00AF2E74">
        <w:t>Derivado de lo anterior, el estudio se centrará en determinar si</w:t>
      </w:r>
      <w:r w:rsidR="0048386A" w:rsidRPr="00AF2E74">
        <w:t xml:space="preserve"> la información remitida tanto en respuesta como informe justificado por </w:t>
      </w:r>
      <w:r w:rsidR="0048386A" w:rsidRPr="00AF2E74">
        <w:rPr>
          <w:b/>
          <w:bCs/>
        </w:rPr>
        <w:t xml:space="preserve">EL SUJETO OBLIGADO </w:t>
      </w:r>
      <w:r w:rsidRPr="00AF2E74">
        <w:t xml:space="preserve">colma el derecho de acceso a la información ejercido por </w:t>
      </w:r>
      <w:r w:rsidRPr="00AF2E74">
        <w:rPr>
          <w:b/>
        </w:rPr>
        <w:t>LA PARTE RECURRENTE</w:t>
      </w:r>
      <w:r w:rsidRPr="00AF2E74">
        <w:t>.</w:t>
      </w:r>
    </w:p>
    <w:p w14:paraId="6F255D86" w14:textId="77777777" w:rsidR="008A790F" w:rsidRPr="00AF2E74" w:rsidRDefault="008A790F" w:rsidP="00D765A9">
      <w:pPr>
        <w:tabs>
          <w:tab w:val="left" w:pos="4962"/>
        </w:tabs>
      </w:pPr>
    </w:p>
    <w:p w14:paraId="414FD2D5" w14:textId="4408E416" w:rsidR="00664420" w:rsidRPr="00AF2E74" w:rsidRDefault="00A21A20" w:rsidP="00D765A9">
      <w:pPr>
        <w:pStyle w:val="Ttulo3"/>
      </w:pPr>
      <w:bookmarkStart w:id="38" w:name="_Toc212100991"/>
      <w:r w:rsidRPr="00AF2E74">
        <w:t>c)</w:t>
      </w:r>
      <w:r w:rsidR="00664420" w:rsidRPr="00AF2E74">
        <w:t xml:space="preserve"> </w:t>
      </w:r>
      <w:r w:rsidRPr="00AF2E74">
        <w:t>Estudio de la controversia</w:t>
      </w:r>
      <w:bookmarkEnd w:id="38"/>
    </w:p>
    <w:p w14:paraId="63FAE272" w14:textId="27AB2102" w:rsidR="00811AFE" w:rsidRPr="00AF2E74" w:rsidRDefault="00811AFE" w:rsidP="00D765A9">
      <w:pPr>
        <w:rPr>
          <w:rFonts w:eastAsia="Palatino Linotype" w:cs="Palatino Linotype"/>
        </w:rPr>
      </w:pPr>
      <w:bookmarkStart w:id="39" w:name="_Hlk210209806"/>
      <w:bookmarkStart w:id="40" w:name="_Toc195007310"/>
      <w:r w:rsidRPr="00AF2E74">
        <w:rPr>
          <w:rFonts w:cs="Arial"/>
        </w:rPr>
        <w:t xml:space="preserve">Primero, se considera necesario </w:t>
      </w:r>
      <w:r w:rsidRPr="00AF2E74">
        <w:rPr>
          <w:rFonts w:eastAsia="Palatino Linotype" w:cs="Palatino Linotype"/>
        </w:rPr>
        <w:t xml:space="preserve">traer a colación el contenido del artículo 147 de la Constitución Política del Estado Libre y Soberano de México, el cual establece lo siguiente: </w:t>
      </w:r>
    </w:p>
    <w:p w14:paraId="2ACE214F" w14:textId="77777777" w:rsidR="00811AFE" w:rsidRPr="00AF2E74" w:rsidRDefault="00811AFE" w:rsidP="00D765A9"/>
    <w:p w14:paraId="40E08AC6" w14:textId="77777777" w:rsidR="00811AFE" w:rsidRPr="00AF2E74" w:rsidRDefault="00811AFE" w:rsidP="00D765A9">
      <w:pPr>
        <w:spacing w:line="240" w:lineRule="auto"/>
        <w:ind w:left="567" w:right="567"/>
        <w:contextualSpacing/>
        <w:rPr>
          <w:rFonts w:eastAsia="Palatino Linotype"/>
          <w:b/>
          <w:i/>
          <w:kern w:val="28"/>
          <w:szCs w:val="56"/>
        </w:rPr>
      </w:pPr>
      <w:r w:rsidRPr="00AF2E74">
        <w:rPr>
          <w:i/>
          <w:kern w:val="28"/>
          <w:szCs w:val="56"/>
        </w:rPr>
        <w:lastRenderedPageBreak/>
        <w:t>“</w:t>
      </w:r>
      <w:r w:rsidRPr="00AF2E74">
        <w:rPr>
          <w:b/>
          <w:i/>
          <w:kern w:val="28"/>
          <w:szCs w:val="56"/>
        </w:rPr>
        <w:t>Artículo 147.-</w:t>
      </w:r>
      <w:r w:rsidRPr="00AF2E74">
        <w:rPr>
          <w:i/>
          <w:kern w:val="28"/>
          <w:szCs w:val="56"/>
        </w:rPr>
        <w:t xml:space="preserve"> El Gobernador o Gobernadora, los Diputados o Diputadas, y los Magistrados o Magistradas de los Tribunales Superior de Justicia y de Justicia Administrativa del Estado de México, los miembros del Consejo de la Judicatura, los trabajadores y trabajadoras al servicio del Estado, las y los integrantes, y las y los servidores de los organismos constitucionalmente autónomos, </w:t>
      </w:r>
      <w:r w:rsidRPr="00AF2E74">
        <w:rPr>
          <w:b/>
          <w:i/>
          <w:kern w:val="28"/>
          <w:szCs w:val="56"/>
        </w:rPr>
        <w:t>así como los miembros de los ayuntamientos</w:t>
      </w:r>
      <w:r w:rsidRPr="00AF2E74">
        <w:rPr>
          <w:i/>
          <w:kern w:val="28"/>
          <w:szCs w:val="56"/>
        </w:rPr>
        <w:t xml:space="preserve"> y demás servidores públicos municipales </w:t>
      </w:r>
      <w:r w:rsidRPr="00AF2E74">
        <w:rPr>
          <w:b/>
          <w:i/>
          <w:kern w:val="28"/>
          <w:szCs w:val="56"/>
        </w:rPr>
        <w:t xml:space="preserve">recibirán una retribución adecuada e irrenunciable por el desempeño de su empleo, cargo o comisión, que será determinada en el presupuesto de egresos que corresponda. </w:t>
      </w:r>
    </w:p>
    <w:p w14:paraId="013894D1" w14:textId="77777777" w:rsidR="00811AFE" w:rsidRPr="00AF2E74" w:rsidRDefault="00811AFE" w:rsidP="00D765A9">
      <w:pPr>
        <w:spacing w:line="240" w:lineRule="auto"/>
        <w:ind w:left="567" w:right="567"/>
        <w:contextualSpacing/>
        <w:rPr>
          <w:rFonts w:eastAsia="Palatino Linotype"/>
          <w:i/>
          <w:kern w:val="28"/>
          <w:szCs w:val="56"/>
        </w:rPr>
      </w:pPr>
      <w:r w:rsidRPr="00AF2E74">
        <w:rPr>
          <w:rFonts w:eastAsia="Palatino Linotype"/>
          <w:i/>
          <w:kern w:val="28"/>
          <w:szCs w:val="56"/>
        </w:rPr>
        <w:t xml:space="preserve">Las remuneraciones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p>
    <w:p w14:paraId="72B1C2F4" w14:textId="77777777" w:rsidR="00811AFE" w:rsidRPr="00AF2E74" w:rsidRDefault="00811AFE" w:rsidP="00D765A9">
      <w:pPr>
        <w:spacing w:line="240" w:lineRule="auto"/>
        <w:ind w:left="567" w:right="567"/>
        <w:contextualSpacing/>
        <w:rPr>
          <w:rFonts w:eastAsia="Palatino Linotype"/>
          <w:i/>
          <w:kern w:val="28"/>
          <w:szCs w:val="56"/>
        </w:rPr>
      </w:pPr>
      <w:r w:rsidRPr="00AF2E74">
        <w:rPr>
          <w:rFonts w:eastAsia="Palatino Linotype"/>
          <w:i/>
          <w:kern w:val="28"/>
          <w:szCs w:val="56"/>
        </w:rPr>
        <w:t>La remuneración será determinada anual y equitativamente en el Presupuesto de Egresos correspondiente bajo las bases siguientes:</w:t>
      </w:r>
    </w:p>
    <w:p w14:paraId="28911137" w14:textId="77777777" w:rsidR="00811AFE" w:rsidRPr="00AF2E74" w:rsidRDefault="00811AFE" w:rsidP="00D765A9">
      <w:pPr>
        <w:spacing w:line="240" w:lineRule="auto"/>
        <w:ind w:left="567" w:right="567"/>
        <w:contextualSpacing/>
        <w:rPr>
          <w:rFonts w:eastAsia="Palatino Linotype"/>
          <w:i/>
          <w:kern w:val="28"/>
          <w:szCs w:val="56"/>
        </w:rPr>
      </w:pPr>
      <w:r w:rsidRPr="00AF2E74">
        <w:rPr>
          <w:rFonts w:eastAsia="Palatino Linotype"/>
          <w:i/>
          <w:kern w:val="28"/>
          <w:szCs w:val="56"/>
        </w:rPr>
        <w:t xml:space="preserve">I. Se considera remuneración o retribución toda percepción en efectivo o en especie, con excepción de los apoyos y los gastos sujetos a comprobación que sean propios del desarrollo del trabajo y los gastos de viaje en actividades oficiales; </w:t>
      </w:r>
    </w:p>
    <w:p w14:paraId="604E32AF" w14:textId="77777777" w:rsidR="00811AFE" w:rsidRPr="00AF2E74" w:rsidRDefault="00811AFE" w:rsidP="00D765A9">
      <w:pPr>
        <w:spacing w:line="240" w:lineRule="auto"/>
        <w:ind w:left="567" w:right="567"/>
        <w:contextualSpacing/>
        <w:rPr>
          <w:rFonts w:eastAsia="Palatino Linotype"/>
          <w:i/>
          <w:kern w:val="28"/>
          <w:szCs w:val="56"/>
        </w:rPr>
      </w:pPr>
      <w:r w:rsidRPr="00AF2E74">
        <w:rPr>
          <w:rFonts w:eastAsia="Palatino Linotype"/>
          <w:i/>
          <w:kern w:val="28"/>
          <w:szCs w:val="56"/>
        </w:rPr>
        <w:t xml:space="preserve">II. Ningún servidor público podrá recibir remuneración, en términos de la fracción anterior, por el desempeño de su función, empleo, cargo o comisión, mayor a la establecida; </w:t>
      </w:r>
    </w:p>
    <w:p w14:paraId="32FB5D42" w14:textId="77777777" w:rsidR="00811AFE" w:rsidRPr="00AF2E74" w:rsidRDefault="00811AFE" w:rsidP="00D765A9">
      <w:pPr>
        <w:spacing w:line="240" w:lineRule="auto"/>
        <w:ind w:left="567" w:right="567"/>
        <w:contextualSpacing/>
        <w:rPr>
          <w:rFonts w:eastAsia="Palatino Linotype"/>
          <w:i/>
          <w:kern w:val="28"/>
          <w:szCs w:val="56"/>
        </w:rPr>
      </w:pPr>
      <w:r w:rsidRPr="00AF2E74">
        <w:rPr>
          <w:rFonts w:eastAsia="Palatino Linotype"/>
          <w:i/>
          <w:kern w:val="28"/>
          <w:szCs w:val="56"/>
        </w:rPr>
        <w:t xml:space="preserve">III. Ninguna servidora pública o servidor público podrá tener una remuneración igual o mayor que su superior jerárquico;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exceder la mitad de la remuneración establecida para el Presidente de la República y la remuneración establecida para la Gobernadora o Gobernador del Estado en el presupuesto correspondiente; </w:t>
      </w:r>
    </w:p>
    <w:p w14:paraId="70358637" w14:textId="77777777" w:rsidR="00811AFE" w:rsidRPr="00AF2E74" w:rsidRDefault="00811AFE" w:rsidP="00D765A9">
      <w:pPr>
        <w:spacing w:line="240" w:lineRule="auto"/>
        <w:ind w:left="567" w:right="567"/>
        <w:contextualSpacing/>
        <w:rPr>
          <w:rFonts w:eastAsia="Palatino Linotype"/>
          <w:i/>
          <w:kern w:val="28"/>
          <w:szCs w:val="56"/>
        </w:rPr>
      </w:pPr>
      <w:r w:rsidRPr="00AF2E74">
        <w:rPr>
          <w:rFonts w:eastAsia="Palatino Linotype"/>
          <w:i/>
          <w:kern w:val="28"/>
          <w:szCs w:val="56"/>
        </w:rPr>
        <w:t xml:space="preserve">IV. 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 </w:t>
      </w:r>
    </w:p>
    <w:p w14:paraId="506AD2A2" w14:textId="77777777" w:rsidR="00811AFE" w:rsidRPr="00AF2E74" w:rsidRDefault="00811AFE" w:rsidP="00D765A9">
      <w:pPr>
        <w:spacing w:line="240" w:lineRule="auto"/>
        <w:ind w:left="567" w:right="567"/>
        <w:contextualSpacing/>
        <w:rPr>
          <w:rFonts w:eastAsia="Palatino Linotype"/>
          <w:i/>
          <w:kern w:val="28"/>
          <w:szCs w:val="56"/>
        </w:rPr>
      </w:pPr>
      <w:r w:rsidRPr="00AF2E74">
        <w:rPr>
          <w:rFonts w:eastAsia="Palatino Linotype"/>
          <w:i/>
          <w:kern w:val="28"/>
          <w:szCs w:val="56"/>
        </w:rPr>
        <w:t>V. Las remuneraciones y sus tabuladores serán públicos, y deberán especificar y diferenciar la totalidad de sus elementos fijos y variables tanto en efectivo como en especie”</w:t>
      </w:r>
    </w:p>
    <w:p w14:paraId="2D1F64FF" w14:textId="77777777" w:rsidR="00811AFE" w:rsidRPr="00AF2E74" w:rsidRDefault="00811AFE" w:rsidP="00D765A9">
      <w:pPr>
        <w:spacing w:line="240" w:lineRule="auto"/>
        <w:ind w:left="567" w:right="567"/>
        <w:contextualSpacing/>
        <w:rPr>
          <w:rFonts w:eastAsia="Palatino Linotype"/>
          <w:i/>
          <w:kern w:val="28"/>
          <w:szCs w:val="56"/>
        </w:rPr>
      </w:pPr>
      <w:r w:rsidRPr="00AF2E74">
        <w:rPr>
          <w:rFonts w:eastAsia="Palatino Linotype"/>
          <w:i/>
          <w:kern w:val="28"/>
          <w:szCs w:val="56"/>
        </w:rPr>
        <w:t>(Énfasis añadido)</w:t>
      </w:r>
    </w:p>
    <w:p w14:paraId="287263CE" w14:textId="77777777" w:rsidR="00811AFE" w:rsidRPr="00AF2E74" w:rsidRDefault="00811AFE" w:rsidP="00D765A9">
      <w:pPr>
        <w:ind w:left="851" w:right="899"/>
        <w:rPr>
          <w:rFonts w:eastAsia="Palatino Linotype" w:cs="Palatino Linotype"/>
          <w:i/>
          <w:szCs w:val="22"/>
        </w:rPr>
      </w:pPr>
    </w:p>
    <w:p w14:paraId="5A5CDAA9" w14:textId="77777777" w:rsidR="00811AFE" w:rsidRPr="00AF2E74" w:rsidRDefault="00811AFE" w:rsidP="00D765A9">
      <w:pPr>
        <w:rPr>
          <w:rFonts w:eastAsia="Palatino Linotype" w:cs="Palatino Linotype"/>
        </w:rPr>
      </w:pPr>
      <w:r w:rsidRPr="00AF2E74">
        <w:rPr>
          <w:rFonts w:eastAsia="Palatino Linotype" w:cs="Palatino Linotype"/>
        </w:rPr>
        <w:lastRenderedPageBreak/>
        <w:t>En este orden de ideas, el artículo 3°, fracción XXXII, del Código Financiero del Estado de México y Municipios</w:t>
      </w:r>
      <w:r w:rsidRPr="00AF2E74">
        <w:rPr>
          <w:rFonts w:eastAsia="Palatino Linotype" w:cs="Palatino Linotype"/>
          <w:vertAlign w:val="superscript"/>
        </w:rPr>
        <w:footnoteReference w:id="2"/>
      </w:r>
      <w:r w:rsidRPr="00AF2E74">
        <w:rPr>
          <w:rFonts w:eastAsia="Palatino Linotype" w:cs="Palatino Linotype"/>
        </w:rPr>
        <w:t>, establece que la remuneración consiste en los pagos hechos por concepto de sueldo, compensaciones, gratificaciones, habitación, primas, comisiones, prestaciones, en especie y cualquier otra percepción o prestación que se entregue al servidor por su trabajo.</w:t>
      </w:r>
    </w:p>
    <w:p w14:paraId="373D7603" w14:textId="77777777" w:rsidR="00811AFE" w:rsidRPr="00AF2E74" w:rsidRDefault="00811AFE" w:rsidP="00D765A9">
      <w:pPr>
        <w:rPr>
          <w:rFonts w:eastAsia="Palatino Linotype" w:cs="Palatino Linotype"/>
        </w:rPr>
      </w:pPr>
    </w:p>
    <w:p w14:paraId="4BE52B27" w14:textId="77777777" w:rsidR="00811AFE" w:rsidRPr="00AF2E74" w:rsidRDefault="00811AFE" w:rsidP="00D765A9">
      <w:pPr>
        <w:ind w:right="49"/>
        <w:rPr>
          <w:rFonts w:eastAsia="Palatino Linotype" w:cs="Palatino Linotype"/>
        </w:rPr>
      </w:pPr>
      <w:r w:rsidRPr="00AF2E74">
        <w:rPr>
          <w:rFonts w:eastAsia="Palatino Linotype" w:cs="Palatino Linotype"/>
        </w:rPr>
        <w:t xml:space="preserve">Resulta importante señalar que por cuanto hace a las percepciones, la Ley Federal del Trabajo que en su artículo 84 establece lo siguiente: </w:t>
      </w:r>
    </w:p>
    <w:p w14:paraId="31B55DBF" w14:textId="77777777" w:rsidR="00811AFE" w:rsidRPr="00AF2E74" w:rsidRDefault="00811AFE" w:rsidP="00D765A9">
      <w:pPr>
        <w:ind w:right="49"/>
        <w:rPr>
          <w:rFonts w:eastAsia="Palatino Linotype" w:cs="Palatino Linotype"/>
        </w:rPr>
      </w:pPr>
    </w:p>
    <w:p w14:paraId="15DA356A" w14:textId="77777777" w:rsidR="00811AFE" w:rsidRPr="00AF2E74" w:rsidRDefault="00811AFE" w:rsidP="00D765A9">
      <w:pPr>
        <w:pStyle w:val="Puesto"/>
      </w:pPr>
      <w:bookmarkStart w:id="41" w:name="bookmark=id.gjdgxs"/>
      <w:bookmarkEnd w:id="41"/>
      <w:r w:rsidRPr="00AF2E74">
        <w:t>“</w:t>
      </w:r>
      <w:r w:rsidRPr="00AF2E74">
        <w:rPr>
          <w:b/>
          <w:bCs/>
        </w:rPr>
        <w:t>Artículo 84.-</w:t>
      </w:r>
      <w:r w:rsidRPr="00AF2E74">
        <w:t xml:space="preserve"> El salario se integra con los pagos hechos en efectivo por cuota diaria, gratificaciones, percepciones, habitación, primas, comisiones, prestaciones en especie y cualquiera otra cantidad o prestación que se entregue al trabajador por su trabajo.”</w:t>
      </w:r>
    </w:p>
    <w:p w14:paraId="6F3FF2DB" w14:textId="77777777" w:rsidR="00811AFE" w:rsidRPr="00AF2E74" w:rsidRDefault="00811AFE" w:rsidP="00D765A9">
      <w:pPr>
        <w:ind w:left="567" w:right="900"/>
        <w:rPr>
          <w:rFonts w:eastAsia="Palatino Linotype" w:cs="Palatino Linotype"/>
          <w:i/>
          <w:szCs w:val="22"/>
        </w:rPr>
      </w:pPr>
    </w:p>
    <w:p w14:paraId="0354A31D" w14:textId="77777777" w:rsidR="00811AFE" w:rsidRPr="00AF2E74" w:rsidRDefault="00811AFE" w:rsidP="00D765A9">
      <w:pPr>
        <w:pStyle w:val="NormalWeb"/>
        <w:spacing w:before="0" w:beforeAutospacing="0" w:after="0" w:afterAutospacing="0" w:line="360" w:lineRule="auto"/>
        <w:jc w:val="both"/>
        <w:rPr>
          <w:sz w:val="22"/>
          <w:szCs w:val="22"/>
        </w:rPr>
      </w:pPr>
      <w:bookmarkStart w:id="42" w:name="_heading=h.gjdgxs"/>
      <w:bookmarkEnd w:id="42"/>
      <w:r w:rsidRPr="00AF2E74">
        <w:rPr>
          <w:rFonts w:ascii="Palatino Linotype" w:hAnsi="Palatino Linotype"/>
          <w:sz w:val="22"/>
          <w:szCs w:val="22"/>
        </w:rPr>
        <w:t>Por su parte el artículo 804, fracción II de la Ley Federal del Trabajo prevé lo siguiente:</w:t>
      </w:r>
    </w:p>
    <w:p w14:paraId="61024435" w14:textId="77777777" w:rsidR="00811AFE" w:rsidRPr="00AF2E74" w:rsidRDefault="00811AFE" w:rsidP="00D765A9">
      <w:pPr>
        <w:pStyle w:val="Puesto"/>
      </w:pPr>
    </w:p>
    <w:p w14:paraId="2EFF99B2" w14:textId="77777777" w:rsidR="00811AFE" w:rsidRPr="00AF2E74" w:rsidRDefault="00811AFE" w:rsidP="00D765A9">
      <w:pPr>
        <w:pStyle w:val="Puesto"/>
      </w:pPr>
      <w:r w:rsidRPr="00AF2E74">
        <w:rPr>
          <w:iCs/>
        </w:rPr>
        <w:t>“</w:t>
      </w:r>
      <w:r w:rsidRPr="00AF2E74">
        <w:rPr>
          <w:b/>
          <w:bCs/>
          <w:iCs/>
        </w:rPr>
        <w:t>Artículo 804.- El patrón tiene obligación de conservar y exhibir en juicio los documentos que a continuación se precisan:</w:t>
      </w:r>
    </w:p>
    <w:p w14:paraId="1EB8167C" w14:textId="77777777" w:rsidR="00811AFE" w:rsidRPr="00AF2E74" w:rsidRDefault="00811AFE" w:rsidP="00D765A9">
      <w:pPr>
        <w:pStyle w:val="Puesto"/>
      </w:pPr>
      <w:r w:rsidRPr="00AF2E74">
        <w:rPr>
          <w:iCs/>
        </w:rPr>
        <w:t>(…)</w:t>
      </w:r>
    </w:p>
    <w:p w14:paraId="17435E34" w14:textId="77777777" w:rsidR="00811AFE" w:rsidRPr="00AF2E74" w:rsidRDefault="00811AFE" w:rsidP="00D765A9">
      <w:pPr>
        <w:pStyle w:val="Puesto"/>
      </w:pPr>
      <w:r w:rsidRPr="00AF2E74">
        <w:rPr>
          <w:b/>
          <w:bCs/>
          <w:iCs/>
        </w:rPr>
        <w:t>II. Listas de raya o nómina de personal, cuando se lleven en el centro de trabajo; o recibos de pagos de salarios;”</w:t>
      </w:r>
    </w:p>
    <w:p w14:paraId="0E81AB7D" w14:textId="77777777" w:rsidR="00811AFE" w:rsidRPr="00AF2E74" w:rsidRDefault="00811AFE" w:rsidP="00D765A9">
      <w:pPr>
        <w:pStyle w:val="Prrafodelista"/>
        <w:widowControl w:val="0"/>
        <w:autoSpaceDE w:val="0"/>
        <w:autoSpaceDN w:val="0"/>
        <w:adjustRightInd w:val="0"/>
        <w:ind w:left="0"/>
        <w:rPr>
          <w:rFonts w:eastAsia="MS Mincho" w:cs="Tahoma"/>
        </w:rPr>
      </w:pPr>
    </w:p>
    <w:p w14:paraId="1F9C8F89" w14:textId="77777777" w:rsidR="00811AFE" w:rsidRPr="00AF2E74" w:rsidRDefault="00811AFE" w:rsidP="00D765A9">
      <w:pPr>
        <w:widowControl w:val="0"/>
        <w:pBdr>
          <w:top w:val="nil"/>
          <w:left w:val="nil"/>
          <w:bottom w:val="nil"/>
          <w:right w:val="nil"/>
          <w:between w:val="nil"/>
        </w:pBdr>
      </w:pPr>
      <w:r w:rsidRPr="00AF2E74">
        <w:t xml:space="preserve">Asimismo, es necesario destacar que el Órgano Superior de Fiscalización del Estado de México, (OSFEM) emite cada año diversas disposiciones de carácter general para el ejercicio de fiscalización de las cuentas públicas, así como los informes trimestrales, en términos de la fracción XI, del artículo 8, de la Ley de Fiscalización Superior del Estado de México, que señala: </w:t>
      </w:r>
    </w:p>
    <w:p w14:paraId="543B4C4A" w14:textId="77777777" w:rsidR="00811AFE" w:rsidRPr="00AF2E74" w:rsidRDefault="00811AFE" w:rsidP="00D765A9">
      <w:pPr>
        <w:tabs>
          <w:tab w:val="right" w:pos="8505"/>
        </w:tabs>
      </w:pPr>
    </w:p>
    <w:p w14:paraId="01EAA4B4" w14:textId="77777777" w:rsidR="00811AFE" w:rsidRPr="00AF2E74" w:rsidRDefault="00811AFE" w:rsidP="00D765A9">
      <w:pPr>
        <w:pStyle w:val="Puesto"/>
      </w:pPr>
      <w:r w:rsidRPr="00AF2E74">
        <w:rPr>
          <w:b/>
        </w:rPr>
        <w:t xml:space="preserve">“Artículo 8. </w:t>
      </w:r>
      <w:r w:rsidRPr="00AF2E74">
        <w:t>El Órgano Superior tendrá las siguientes atribuciones:</w:t>
      </w:r>
    </w:p>
    <w:p w14:paraId="21BD3D7F" w14:textId="77777777" w:rsidR="00811AFE" w:rsidRPr="00AF2E74" w:rsidRDefault="00811AFE" w:rsidP="00D765A9">
      <w:pPr>
        <w:pStyle w:val="Puesto"/>
      </w:pPr>
      <w:r w:rsidRPr="00AF2E74">
        <w:t>…</w:t>
      </w:r>
    </w:p>
    <w:p w14:paraId="73ECFC24" w14:textId="77777777" w:rsidR="00811AFE" w:rsidRPr="00AF2E74" w:rsidRDefault="00811AFE" w:rsidP="00D765A9">
      <w:pPr>
        <w:pStyle w:val="Puesto"/>
      </w:pPr>
      <w:r w:rsidRPr="00AF2E74">
        <w:rPr>
          <w:b/>
        </w:rPr>
        <w:lastRenderedPageBreak/>
        <w:t xml:space="preserve">XI. </w:t>
      </w:r>
      <w:r w:rsidRPr="00AF2E74">
        <w:t>Establecer los lineamientos, criterios, procedimientos, métodos y sistemas para las acciones de control y evaluación, necesarios para la fiscalización de las cuentas públicas y los informes trimestrales;” (Sic)</w:t>
      </w:r>
    </w:p>
    <w:p w14:paraId="6591DB1A" w14:textId="77777777" w:rsidR="00811AFE" w:rsidRPr="00AF2E74" w:rsidRDefault="00811AFE" w:rsidP="00D765A9"/>
    <w:p w14:paraId="278F4F2F" w14:textId="78A63B30" w:rsidR="00811AFE" w:rsidRPr="00AF2E74" w:rsidRDefault="00811AFE" w:rsidP="00D765A9">
      <w:r w:rsidRPr="00AF2E74">
        <w:t>De esta forma, el OSFEM emite documentos de apoyo entre los cuales se encuentra el denominado Instructivo Módulo 4</w:t>
      </w:r>
      <w:r w:rsidRPr="00AF2E74">
        <w:rPr>
          <w:rStyle w:val="Refdenotaalpie"/>
        </w:rPr>
        <w:footnoteReference w:id="3"/>
      </w:r>
      <w:r w:rsidRPr="00AF2E74">
        <w:t xml:space="preserve"> el cual contiene el correspondiente a la Conciliación de Nómina</w:t>
      </w:r>
      <w:r w:rsidR="0048386A" w:rsidRPr="00AF2E74">
        <w:t xml:space="preserve"> y comprobante bancario de la Dispersión de nómina</w:t>
      </w:r>
      <w:r w:rsidRPr="00AF2E74">
        <w:t xml:space="preserve">, para mayor referencia se insertan las siguientes imágenes: </w:t>
      </w:r>
    </w:p>
    <w:p w14:paraId="3FDD96A4" w14:textId="77777777" w:rsidR="00811AFE" w:rsidRPr="00AF2E74" w:rsidRDefault="00811AFE" w:rsidP="00D765A9">
      <w:pPr>
        <w:jc w:val="center"/>
      </w:pPr>
      <w:r w:rsidRPr="00AF2E74">
        <w:rPr>
          <w:noProof/>
          <w:lang w:eastAsia="es-MX"/>
        </w:rPr>
        <w:drawing>
          <wp:inline distT="0" distB="0" distL="0" distR="0" wp14:anchorId="7C0C1A7E" wp14:editId="64A8518E">
            <wp:extent cx="5390515" cy="491490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05268" cy="4928351"/>
                    </a:xfrm>
                    <a:prstGeom prst="rect">
                      <a:avLst/>
                    </a:prstGeom>
                  </pic:spPr>
                </pic:pic>
              </a:graphicData>
            </a:graphic>
          </wp:inline>
        </w:drawing>
      </w:r>
    </w:p>
    <w:p w14:paraId="32E8DFE1" w14:textId="77777777" w:rsidR="00811AFE" w:rsidRPr="00AF2E74" w:rsidRDefault="00811AFE" w:rsidP="00D765A9">
      <w:pPr>
        <w:jc w:val="center"/>
      </w:pPr>
      <w:r w:rsidRPr="00AF2E74">
        <w:rPr>
          <w:noProof/>
          <w:lang w:eastAsia="es-MX"/>
        </w:rPr>
        <w:lastRenderedPageBreak/>
        <w:drawing>
          <wp:inline distT="0" distB="0" distL="0" distR="0" wp14:anchorId="69334E58" wp14:editId="70517C21">
            <wp:extent cx="5363091" cy="7210425"/>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371586" cy="7221846"/>
                    </a:xfrm>
                    <a:prstGeom prst="rect">
                      <a:avLst/>
                    </a:prstGeom>
                  </pic:spPr>
                </pic:pic>
              </a:graphicData>
            </a:graphic>
          </wp:inline>
        </w:drawing>
      </w:r>
    </w:p>
    <w:p w14:paraId="2AE18D76" w14:textId="77777777" w:rsidR="00811AFE" w:rsidRPr="00AF2E74" w:rsidRDefault="00811AFE" w:rsidP="00D765A9">
      <w:pPr>
        <w:jc w:val="center"/>
      </w:pPr>
      <w:r w:rsidRPr="00AF2E74">
        <w:rPr>
          <w:noProof/>
          <w:lang w:eastAsia="es-MX"/>
        </w:rPr>
        <w:lastRenderedPageBreak/>
        <w:drawing>
          <wp:inline distT="0" distB="0" distL="0" distR="0" wp14:anchorId="0113E8FD" wp14:editId="73DDF412">
            <wp:extent cx="5410200" cy="54197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37108" cy="5446680"/>
                    </a:xfrm>
                    <a:prstGeom prst="rect">
                      <a:avLst/>
                    </a:prstGeom>
                  </pic:spPr>
                </pic:pic>
              </a:graphicData>
            </a:graphic>
          </wp:inline>
        </w:drawing>
      </w:r>
    </w:p>
    <w:p w14:paraId="29FCAFBA" w14:textId="77777777" w:rsidR="00811AFE" w:rsidRPr="00AF2E74" w:rsidRDefault="00811AFE" w:rsidP="00D765A9">
      <w:pPr>
        <w:jc w:val="center"/>
      </w:pPr>
      <w:r w:rsidRPr="00AF2E74">
        <w:rPr>
          <w:noProof/>
          <w:lang w:eastAsia="es-MX"/>
        </w:rPr>
        <w:drawing>
          <wp:inline distT="0" distB="0" distL="0" distR="0" wp14:anchorId="24E93F4B" wp14:editId="232DDCB7">
            <wp:extent cx="5343525" cy="16002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344293" cy="1600430"/>
                    </a:xfrm>
                    <a:prstGeom prst="rect">
                      <a:avLst/>
                    </a:prstGeom>
                  </pic:spPr>
                </pic:pic>
              </a:graphicData>
            </a:graphic>
          </wp:inline>
        </w:drawing>
      </w:r>
    </w:p>
    <w:p w14:paraId="7F490879" w14:textId="6ACE0289" w:rsidR="0048386A" w:rsidRPr="00AF2E74" w:rsidRDefault="0048386A" w:rsidP="00D765A9">
      <w:pPr>
        <w:jc w:val="center"/>
      </w:pPr>
      <w:r w:rsidRPr="00AF2E74">
        <w:rPr>
          <w:noProof/>
          <w:lang w:eastAsia="es-MX"/>
        </w:rPr>
        <w:lastRenderedPageBreak/>
        <w:drawing>
          <wp:inline distT="0" distB="0" distL="0" distR="0" wp14:anchorId="7C443ED2" wp14:editId="14145D81">
            <wp:extent cx="5742940" cy="3138170"/>
            <wp:effectExtent l="0" t="0" r="0" b="5080"/>
            <wp:docPr id="964879846" name="Imagen 1" descr="Interfaz de usuario gráfica, Texto, Aplicación,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879846" name="Imagen 1" descr="Interfaz de usuario gráfica, Texto, Aplicación, Correo electrónico&#10;&#10;El contenido generado por IA puede ser incorrecto."/>
                    <pic:cNvPicPr/>
                  </pic:nvPicPr>
                  <pic:blipFill>
                    <a:blip r:embed="rId18"/>
                    <a:stretch>
                      <a:fillRect/>
                    </a:stretch>
                  </pic:blipFill>
                  <pic:spPr>
                    <a:xfrm>
                      <a:off x="0" y="0"/>
                      <a:ext cx="5742940" cy="3138170"/>
                    </a:xfrm>
                    <a:prstGeom prst="rect">
                      <a:avLst/>
                    </a:prstGeom>
                  </pic:spPr>
                </pic:pic>
              </a:graphicData>
            </a:graphic>
          </wp:inline>
        </w:drawing>
      </w:r>
    </w:p>
    <w:p w14:paraId="467F8DAD" w14:textId="77777777" w:rsidR="0048386A" w:rsidRPr="00AF2E74" w:rsidRDefault="0048386A" w:rsidP="00D765A9">
      <w:pPr>
        <w:spacing w:before="280"/>
      </w:pPr>
    </w:p>
    <w:p w14:paraId="202FDA0D" w14:textId="70CE0F0A" w:rsidR="0048386A" w:rsidRPr="00AF2E74" w:rsidRDefault="00811AFE" w:rsidP="00D765A9">
      <w:r w:rsidRPr="00AF2E74">
        <w:t>A</w:t>
      </w:r>
      <w:r w:rsidR="0048386A" w:rsidRPr="00AF2E74">
        <w:t xml:space="preserve">hora bien, del análisis realizado a las documentales remitidas por </w:t>
      </w:r>
      <w:r w:rsidR="0048386A" w:rsidRPr="00AF2E74">
        <w:rPr>
          <w:b/>
          <w:bCs/>
        </w:rPr>
        <w:t xml:space="preserve">EL SUJETO OBLIGADO </w:t>
      </w:r>
      <w:r w:rsidR="0048386A" w:rsidRPr="00AF2E74">
        <w:t xml:space="preserve">se puede advertir que dichos documentos coinciden con dichos documentos; sin embargo, no se puede tener por colmado el derecho de acceso a la información, derivado que en las conciliaciones de nómina se testó información que no es susceptible de ser clasificada como confidencial como lo es el nombre de la institución bancaria donde se realiza el depósito de la nómina; aunado a que en, el comprobante bancario de dispersión de nómina se omitió testar de manera permanente la información considerada como confidencial. </w:t>
      </w:r>
    </w:p>
    <w:p w14:paraId="533E3674" w14:textId="77777777" w:rsidR="00933895" w:rsidRPr="00AF2E74" w:rsidRDefault="00933895" w:rsidP="00D765A9"/>
    <w:p w14:paraId="736AB639" w14:textId="77777777" w:rsidR="00933895" w:rsidRPr="00AF2E74" w:rsidRDefault="00EB36C2" w:rsidP="00D765A9">
      <w:r w:rsidRPr="00AF2E74">
        <w:t xml:space="preserve">Es así, que respecto al </w:t>
      </w:r>
      <w:r w:rsidRPr="00AF2E74">
        <w:rPr>
          <w:b/>
          <w:bCs/>
        </w:rPr>
        <w:t>nombre de institución bancaria utilizada por el servidor público</w:t>
      </w:r>
      <w:r w:rsidRPr="00AF2E74">
        <w:t>,</w:t>
      </w:r>
      <w:r w:rsidR="00933895" w:rsidRPr="00AF2E74">
        <w:t xml:space="preserve"> es necesario señalar que conforme al artículo 2°, fracción IV  de la Ley de Protección y Defensa al Usuario de Servicios Financieros, establece que una institución financiera, se le denomina a las sociedades controladoras, instituciones de crédito, sociedades financieras de objeto múltiple, sociedades de información crediticia, casas de bolsa, especialistas bursátiles,  fondos </w:t>
      </w:r>
      <w:r w:rsidR="00933895" w:rsidRPr="00AF2E74">
        <w:lastRenderedPageBreak/>
        <w:t>de inversión, almacenes generales de depósito, uniones de crédito, casas de cambio, instituciones de seguros, sociedades mutualistas de seguros, instituciones de fianzas, administradoras de fondos para el retiro, PENSIONISSSTE, empresas operadoras de la base de datos nacional del sistema de ahorro para el retiro, Instituto del Fondo Nacional para el Consumo de los Trabajadores, sociedades cooperativas de ahorro y préstamo, sociedades financieras populares, sociedades financieras comunitarias, y cualquiera otra sociedad que requiera de la autorización de la Secretaría de Hacienda y Crédito Público o de cualesquiera de las Comisiones Nacionales para constituirse y funcionar como tales y ofrecer un producto o servicio financiero a los usuarios. </w:t>
      </w:r>
    </w:p>
    <w:p w14:paraId="56077FFE" w14:textId="77777777" w:rsidR="00933895" w:rsidRPr="00AF2E74" w:rsidRDefault="00933895" w:rsidP="00D765A9"/>
    <w:p w14:paraId="14B8646C" w14:textId="5FDDAB75" w:rsidR="00933895" w:rsidRPr="00AF2E74" w:rsidRDefault="00933895" w:rsidP="00D765A9">
      <w:r w:rsidRPr="00AF2E74">
        <w:t>En ese orden de ideas, en el portal de la Comisión Nacional para la Protección y Defensa de los Usuarios de Servicios Financieros</w:t>
      </w:r>
      <w:r w:rsidRPr="00AF2E74">
        <w:rPr>
          <w:rStyle w:val="Refdenotaalpie"/>
        </w:rPr>
        <w:footnoteReference w:id="4"/>
      </w:r>
      <w:r w:rsidRPr="00AF2E74">
        <w:t>, se establece que los bancos son instituciones financieras; conforme a lo anterior, se puede advertir que las instituciones bancarias, son personas morales.</w:t>
      </w:r>
    </w:p>
    <w:p w14:paraId="63EBA0EF" w14:textId="77777777" w:rsidR="00933895" w:rsidRPr="00AF2E74" w:rsidRDefault="00933895" w:rsidP="00D765A9"/>
    <w:p w14:paraId="4111B2AF" w14:textId="77777777" w:rsidR="00933895" w:rsidRPr="00AF2E74" w:rsidRDefault="00933895" w:rsidP="00D765A9">
      <w:r w:rsidRPr="00AF2E74">
        <w:t>En ese orden de ideas, se considera que la denominación o razón social de una persona moral, es pública, pues dichos datos se encuentran inscritos en el Registro Público del Comercio; lo anterior, toma sustento en el Criterio Orientador, de la Segunda Época, con número de registro SO/008/2019, emitido por el entonces Instituto Nacional de Transparencia, Acceso a la Información y Protección de Datos Personales, previamente referido.</w:t>
      </w:r>
    </w:p>
    <w:p w14:paraId="5F00CD26" w14:textId="77777777" w:rsidR="00933895" w:rsidRPr="00AF2E74" w:rsidRDefault="00933895" w:rsidP="00D765A9"/>
    <w:p w14:paraId="3CCB0D7C" w14:textId="700DB5F4" w:rsidR="00933895" w:rsidRPr="00AF2E74" w:rsidRDefault="00933895" w:rsidP="00D765A9">
      <w:r w:rsidRPr="00AF2E74">
        <w:t>Lo anterior, se robustece con el hecho de que existe el Sistema de Registro de Prestadores de Servicios Financieros</w:t>
      </w:r>
      <w:r w:rsidRPr="00AF2E74">
        <w:rPr>
          <w:rStyle w:val="Refdenotaalpie"/>
        </w:rPr>
        <w:footnoteReference w:id="5"/>
      </w:r>
      <w:r w:rsidRPr="00AF2E74">
        <w:t xml:space="preserve">, que es un registro de </w:t>
      </w:r>
      <w:r w:rsidRPr="00AF2E74">
        <w:rPr>
          <w:b/>
        </w:rPr>
        <w:t xml:space="preserve">carácter público, </w:t>
      </w:r>
      <w:r w:rsidRPr="00AF2E74">
        <w:t>cuyo objetivo principal, consiste en proporcionar información corporativa y general de las instituciones financieras</w:t>
      </w:r>
      <w:r w:rsidRPr="00AF2E74">
        <w:rPr>
          <w:b/>
        </w:rPr>
        <w:t xml:space="preserve">; además, </w:t>
      </w:r>
      <w:r w:rsidRPr="00AF2E74">
        <w:rPr>
          <w:b/>
        </w:rPr>
        <w:lastRenderedPageBreak/>
        <w:t xml:space="preserve">que permite conocer al público general, información de dichos entes, </w:t>
      </w:r>
      <w:r w:rsidRPr="00AF2E74">
        <w:t xml:space="preserve">se muestra un ejemplo a continuación: </w:t>
      </w:r>
    </w:p>
    <w:p w14:paraId="7838D285" w14:textId="2082CB47" w:rsidR="00933895" w:rsidRPr="00AF2E74" w:rsidRDefault="00933895" w:rsidP="00D765A9">
      <w:pPr>
        <w:spacing w:before="280"/>
        <w:jc w:val="center"/>
      </w:pPr>
      <w:r w:rsidRPr="00AF2E74">
        <w:rPr>
          <w:noProof/>
          <w:lang w:eastAsia="es-MX"/>
        </w:rPr>
        <w:drawing>
          <wp:inline distT="0" distB="0" distL="0" distR="0" wp14:anchorId="6505CDF7" wp14:editId="49C4DDEE">
            <wp:extent cx="4772025" cy="2476500"/>
            <wp:effectExtent l="0" t="0" r="9525" b="0"/>
            <wp:docPr id="1714501798" name="Imagen 2" descr="Imagen que contiene 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Imagen que contiene Escala de tiempo&#10;&#10;Descripción generada automáticamente"/>
                    <pic:cNvPicPr>
                      <a:picLocks noChangeAspect="1" noChangeArrowheads="1"/>
                    </pic:cNvPicPr>
                  </pic:nvPicPr>
                  <pic:blipFill>
                    <a:blip r:embed="rId19">
                      <a:extLst>
                        <a:ext uri="{28A0092B-C50C-407E-A947-70E740481C1C}">
                          <a14:useLocalDpi xmlns:a14="http://schemas.microsoft.com/office/drawing/2010/main" val="0"/>
                        </a:ext>
                      </a:extLst>
                    </a:blip>
                    <a:srcRect t="2" b="378"/>
                    <a:stretch>
                      <a:fillRect/>
                    </a:stretch>
                  </pic:blipFill>
                  <pic:spPr bwMode="auto">
                    <a:xfrm>
                      <a:off x="0" y="0"/>
                      <a:ext cx="4772025" cy="2476500"/>
                    </a:xfrm>
                    <a:prstGeom prst="rect">
                      <a:avLst/>
                    </a:prstGeom>
                    <a:noFill/>
                    <a:ln>
                      <a:noFill/>
                    </a:ln>
                  </pic:spPr>
                </pic:pic>
              </a:graphicData>
            </a:graphic>
          </wp:inline>
        </w:drawing>
      </w:r>
    </w:p>
    <w:p w14:paraId="12AD99C9" w14:textId="77777777" w:rsidR="00EB36C2" w:rsidRPr="00AF2E74" w:rsidRDefault="00EB36C2" w:rsidP="00D765A9"/>
    <w:p w14:paraId="6EC6CB85" w14:textId="77777777" w:rsidR="00EB36C2" w:rsidRPr="00AF2E74" w:rsidRDefault="00EB36C2" w:rsidP="00D765A9">
      <w:pPr>
        <w:ind w:right="-28"/>
      </w:pPr>
      <w:r w:rsidRPr="00AF2E74">
        <w:t>Conforme a lo anterior, se logra vislumbrar que el nombre de las instituciones bancarias es de naturaleza pública.</w:t>
      </w:r>
    </w:p>
    <w:p w14:paraId="444571A5" w14:textId="7AFE0650" w:rsidR="0048386A" w:rsidRPr="00AF2E74" w:rsidRDefault="00933895" w:rsidP="00D765A9">
      <w:pPr>
        <w:spacing w:before="280"/>
      </w:pPr>
      <w:r w:rsidRPr="00AF2E74">
        <w:t xml:space="preserve">Es así, que derivado que </w:t>
      </w:r>
      <w:r w:rsidRPr="00AF2E74">
        <w:rPr>
          <w:b/>
          <w:bCs/>
        </w:rPr>
        <w:t xml:space="preserve">EL SUJETO OBLIGADO </w:t>
      </w:r>
      <w:r w:rsidRPr="00AF2E74">
        <w:t xml:space="preserve">testó el nombre de la institución bancaria y dejó en algunos conciliaciones y comprobantes bancarios de dispersión de nómina información susceptibles de ser clasificada como confidencial, </w:t>
      </w:r>
      <w:r w:rsidR="0048386A" w:rsidRPr="00AF2E74">
        <w:t xml:space="preserve">este Órgano Garante determina ordenar en </w:t>
      </w:r>
      <w:r w:rsidR="0048386A" w:rsidRPr="00AF2E74">
        <w:rPr>
          <w:b/>
          <w:bCs/>
        </w:rPr>
        <w:t>correcta versión pública</w:t>
      </w:r>
      <w:r w:rsidR="0048386A" w:rsidRPr="00AF2E74">
        <w:t xml:space="preserve"> la conciliación de nómina y comprobante bancario de dispersión de nómina de los meses de enero a julio de dos mil veinticinco. </w:t>
      </w:r>
    </w:p>
    <w:p w14:paraId="72082303" w14:textId="77777777" w:rsidR="00DE5AD6" w:rsidRPr="00AF2E74" w:rsidRDefault="00DE5AD6" w:rsidP="00D765A9">
      <w:pPr>
        <w:spacing w:before="280"/>
      </w:pPr>
    </w:p>
    <w:p w14:paraId="74958C3E" w14:textId="77777777" w:rsidR="00204C5A" w:rsidRPr="00AF2E74" w:rsidRDefault="00204C5A" w:rsidP="00D765A9">
      <w:pPr>
        <w:keepNext/>
        <w:keepLines/>
        <w:spacing w:line="480" w:lineRule="auto"/>
        <w:jc w:val="left"/>
        <w:outlineLvl w:val="2"/>
        <w:rPr>
          <w:b/>
          <w:szCs w:val="28"/>
        </w:rPr>
      </w:pPr>
      <w:bookmarkStart w:id="43" w:name="_Toc170898812"/>
      <w:bookmarkStart w:id="44" w:name="_Toc172051201"/>
      <w:bookmarkStart w:id="45" w:name="_Toc174466654"/>
      <w:bookmarkStart w:id="46" w:name="_Toc212100992"/>
      <w:bookmarkEnd w:id="39"/>
      <w:r w:rsidRPr="00AF2E74">
        <w:rPr>
          <w:b/>
          <w:szCs w:val="28"/>
        </w:rPr>
        <w:t>d) Versión pública</w:t>
      </w:r>
      <w:bookmarkEnd w:id="43"/>
      <w:bookmarkEnd w:id="44"/>
      <w:bookmarkEnd w:id="45"/>
      <w:bookmarkEnd w:id="46"/>
    </w:p>
    <w:p w14:paraId="28321E30" w14:textId="67B8DC6C" w:rsidR="00204C5A" w:rsidRPr="00AF2E74" w:rsidRDefault="00DE5AD6" w:rsidP="00D765A9">
      <w:pPr>
        <w:rPr>
          <w:bCs/>
        </w:rPr>
      </w:pPr>
      <w:r w:rsidRPr="00AF2E74">
        <w:t>L</w:t>
      </w:r>
      <w:r w:rsidR="00204C5A" w:rsidRPr="00AF2E74">
        <w:t>os documentos de los cuales se ordena su entrega deberán ser entregados en</w:t>
      </w:r>
      <w:r w:rsidRPr="00AF2E74">
        <w:t xml:space="preserve"> </w:t>
      </w:r>
      <w:r w:rsidRPr="00AF2E74">
        <w:rPr>
          <w:b/>
          <w:bCs/>
        </w:rPr>
        <w:t xml:space="preserve">correcta </w:t>
      </w:r>
      <w:r w:rsidR="00204C5A" w:rsidRPr="00AF2E74">
        <w:rPr>
          <w:b/>
        </w:rPr>
        <w:t>versión pública</w:t>
      </w:r>
      <w:r w:rsidR="00204C5A" w:rsidRPr="00AF2E74">
        <w:t>, pues el</w:t>
      </w:r>
      <w:r w:rsidR="00204C5A" w:rsidRPr="00AF2E74">
        <w:rPr>
          <w:bCs/>
        </w:rPr>
        <w:t xml:space="preserve"> derecho de acceso a la información tiene como limitante el respeto a la intimidad y a la vida privada de las personas, es por ello que este Instituto debe cuidar que </w:t>
      </w:r>
      <w:r w:rsidR="00204C5A" w:rsidRPr="00AF2E74">
        <w:rPr>
          <w:bCs/>
        </w:rPr>
        <w:lastRenderedPageBreak/>
        <w:t>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5BCCE10" w14:textId="77777777" w:rsidR="00204C5A" w:rsidRPr="00AF2E74" w:rsidRDefault="00204C5A" w:rsidP="00D765A9">
      <w:pPr>
        <w:rPr>
          <w:rFonts w:eastAsia="Calibri"/>
          <w:bCs/>
          <w:lang w:eastAsia="en-US"/>
        </w:rPr>
      </w:pPr>
    </w:p>
    <w:p w14:paraId="5739FF3F" w14:textId="77777777" w:rsidR="00204C5A" w:rsidRPr="00AF2E74" w:rsidRDefault="00204C5A" w:rsidP="00D765A9">
      <w:pPr>
        <w:rPr>
          <w:bCs/>
        </w:rPr>
      </w:pPr>
      <w:r w:rsidRPr="00AF2E74">
        <w:rPr>
          <w:bCs/>
        </w:rPr>
        <w:t>A este respecto, los artículos 3, fracciones IX, XX, XXI y XLV; 51 y 52 de la Ley de Transparencia y Acceso a la Información Pública del Estado de México y Municipios establecen:</w:t>
      </w:r>
    </w:p>
    <w:p w14:paraId="67020002" w14:textId="77777777" w:rsidR="00204C5A" w:rsidRPr="00AF2E74" w:rsidRDefault="00204C5A" w:rsidP="00D765A9"/>
    <w:p w14:paraId="52C72AB0" w14:textId="77777777" w:rsidR="00204C5A" w:rsidRPr="00AF2E74" w:rsidRDefault="00204C5A" w:rsidP="00D765A9">
      <w:pPr>
        <w:spacing w:line="240" w:lineRule="auto"/>
        <w:ind w:left="567" w:right="567"/>
        <w:contextualSpacing/>
        <w:rPr>
          <w:i/>
          <w:kern w:val="28"/>
          <w:szCs w:val="56"/>
          <w14:ligatures w14:val="standardContextual"/>
        </w:rPr>
      </w:pPr>
      <w:r w:rsidRPr="00AF2E74">
        <w:rPr>
          <w:b/>
          <w:bCs/>
          <w:i/>
          <w:noProof/>
          <w:kern w:val="28"/>
          <w:szCs w:val="56"/>
          <w14:ligatures w14:val="standardContextual"/>
        </w:rPr>
        <w:t>“</w:t>
      </w:r>
      <w:r w:rsidRPr="00AF2E74">
        <w:rPr>
          <w:b/>
          <w:bCs/>
          <w:i/>
          <w:kern w:val="28"/>
          <w:szCs w:val="56"/>
          <w14:ligatures w14:val="standardContextual"/>
        </w:rPr>
        <w:t xml:space="preserve">Artículo 3. </w:t>
      </w:r>
      <w:r w:rsidRPr="00AF2E74">
        <w:rPr>
          <w:i/>
          <w:kern w:val="28"/>
          <w:szCs w:val="56"/>
          <w14:ligatures w14:val="standardContextual"/>
        </w:rPr>
        <w:t xml:space="preserve">Para los efectos de la presente Ley se entenderá por: </w:t>
      </w:r>
    </w:p>
    <w:p w14:paraId="3DBD733C" w14:textId="77777777" w:rsidR="00204C5A" w:rsidRPr="00AF2E74" w:rsidRDefault="00204C5A" w:rsidP="00D765A9">
      <w:pPr>
        <w:spacing w:line="240" w:lineRule="auto"/>
        <w:ind w:left="567" w:right="567"/>
        <w:contextualSpacing/>
        <w:rPr>
          <w:i/>
          <w:kern w:val="28"/>
          <w:szCs w:val="56"/>
          <w14:ligatures w14:val="standardContextual"/>
        </w:rPr>
      </w:pPr>
      <w:r w:rsidRPr="00AF2E74">
        <w:rPr>
          <w:b/>
          <w:i/>
          <w:kern w:val="28"/>
          <w:szCs w:val="56"/>
          <w14:ligatures w14:val="standardContextual"/>
        </w:rPr>
        <w:t>IX.</w:t>
      </w:r>
      <w:r w:rsidRPr="00AF2E74">
        <w:rPr>
          <w:i/>
          <w:kern w:val="28"/>
          <w:szCs w:val="56"/>
          <w14:ligatures w14:val="standardContextual"/>
        </w:rPr>
        <w:t xml:space="preserve"> </w:t>
      </w:r>
      <w:r w:rsidRPr="00AF2E74">
        <w:rPr>
          <w:b/>
          <w:i/>
          <w:kern w:val="28"/>
          <w:szCs w:val="56"/>
          <w14:ligatures w14:val="standardContextual"/>
        </w:rPr>
        <w:t xml:space="preserve">Datos personales: </w:t>
      </w:r>
      <w:r w:rsidRPr="00AF2E74">
        <w:rPr>
          <w:i/>
          <w:kern w:val="28"/>
          <w:szCs w:val="56"/>
          <w14:ligatures w14:val="standardContextual"/>
        </w:rPr>
        <w:t xml:space="preserve">La información concerniente a una persona, identificada o identificable según lo dispuesto por la Ley de Protección de Datos Personales del Estado de México; </w:t>
      </w:r>
    </w:p>
    <w:p w14:paraId="27FAA1B6" w14:textId="77777777" w:rsidR="00204C5A" w:rsidRPr="00AF2E74" w:rsidRDefault="00204C5A" w:rsidP="00D765A9"/>
    <w:p w14:paraId="551A7F95" w14:textId="77777777" w:rsidR="00204C5A" w:rsidRPr="00AF2E74" w:rsidRDefault="00204C5A" w:rsidP="00D765A9">
      <w:pPr>
        <w:spacing w:line="240" w:lineRule="auto"/>
        <w:ind w:left="567" w:right="567"/>
        <w:contextualSpacing/>
        <w:rPr>
          <w:i/>
          <w:kern w:val="28"/>
          <w:szCs w:val="56"/>
          <w14:ligatures w14:val="standardContextual"/>
        </w:rPr>
      </w:pPr>
      <w:r w:rsidRPr="00AF2E74">
        <w:rPr>
          <w:b/>
          <w:i/>
          <w:kern w:val="28"/>
          <w:szCs w:val="56"/>
          <w14:ligatures w14:val="standardContextual"/>
        </w:rPr>
        <w:t>XX.</w:t>
      </w:r>
      <w:r w:rsidRPr="00AF2E74">
        <w:rPr>
          <w:i/>
          <w:kern w:val="28"/>
          <w:szCs w:val="56"/>
          <w14:ligatures w14:val="standardContextual"/>
        </w:rPr>
        <w:t xml:space="preserve"> </w:t>
      </w:r>
      <w:r w:rsidRPr="00AF2E74">
        <w:rPr>
          <w:b/>
          <w:i/>
          <w:kern w:val="28"/>
          <w:szCs w:val="56"/>
          <w14:ligatures w14:val="standardContextual"/>
        </w:rPr>
        <w:t>Información clasificada:</w:t>
      </w:r>
      <w:r w:rsidRPr="00AF2E74">
        <w:rPr>
          <w:i/>
          <w:kern w:val="28"/>
          <w:szCs w:val="56"/>
          <w14:ligatures w14:val="standardContextual"/>
        </w:rPr>
        <w:t xml:space="preserve"> Aquella considerada por la presente Ley como reservada o confidencial; </w:t>
      </w:r>
    </w:p>
    <w:p w14:paraId="749D675E" w14:textId="77777777" w:rsidR="00204C5A" w:rsidRPr="00AF2E74" w:rsidRDefault="00204C5A" w:rsidP="00D765A9"/>
    <w:p w14:paraId="55938519" w14:textId="77777777" w:rsidR="00204C5A" w:rsidRPr="00AF2E74" w:rsidRDefault="00204C5A" w:rsidP="00D765A9">
      <w:pPr>
        <w:spacing w:line="240" w:lineRule="auto"/>
        <w:ind w:left="567" w:right="567"/>
        <w:contextualSpacing/>
        <w:rPr>
          <w:i/>
          <w:kern w:val="28"/>
          <w:szCs w:val="56"/>
          <w14:ligatures w14:val="standardContextual"/>
        </w:rPr>
      </w:pPr>
      <w:r w:rsidRPr="00AF2E74">
        <w:rPr>
          <w:b/>
          <w:i/>
          <w:kern w:val="28"/>
          <w:szCs w:val="56"/>
          <w14:ligatures w14:val="standardContextual"/>
        </w:rPr>
        <w:t>XXI.</w:t>
      </w:r>
      <w:r w:rsidRPr="00AF2E74">
        <w:rPr>
          <w:i/>
          <w:kern w:val="28"/>
          <w:szCs w:val="56"/>
          <w14:ligatures w14:val="standardContextual"/>
        </w:rPr>
        <w:t xml:space="preserve"> </w:t>
      </w:r>
      <w:r w:rsidRPr="00AF2E74">
        <w:rPr>
          <w:b/>
          <w:i/>
          <w:kern w:val="28"/>
          <w:szCs w:val="56"/>
          <w14:ligatures w14:val="standardContextual"/>
        </w:rPr>
        <w:t>Información confidencial</w:t>
      </w:r>
      <w:r w:rsidRPr="00AF2E74">
        <w:rPr>
          <w:i/>
          <w:kern w:val="28"/>
          <w:szCs w:val="56"/>
          <w14:ligatures w14:val="standardContextual"/>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765E4FB" w14:textId="77777777" w:rsidR="00204C5A" w:rsidRPr="00AF2E74" w:rsidRDefault="00204C5A" w:rsidP="00D765A9"/>
    <w:p w14:paraId="3B0E1CF1" w14:textId="77777777" w:rsidR="00204C5A" w:rsidRPr="00AF2E74" w:rsidRDefault="00204C5A" w:rsidP="00D765A9">
      <w:pPr>
        <w:spacing w:line="240" w:lineRule="auto"/>
        <w:ind w:left="567" w:right="567"/>
        <w:contextualSpacing/>
        <w:rPr>
          <w:i/>
          <w:kern w:val="28"/>
          <w:szCs w:val="56"/>
          <w14:ligatures w14:val="standardContextual"/>
        </w:rPr>
      </w:pPr>
      <w:r w:rsidRPr="00AF2E74">
        <w:rPr>
          <w:b/>
          <w:i/>
          <w:kern w:val="28"/>
          <w:szCs w:val="56"/>
          <w14:ligatures w14:val="standardContextual"/>
        </w:rPr>
        <w:t>XLV. Versión pública:</w:t>
      </w:r>
      <w:r w:rsidRPr="00AF2E74">
        <w:rPr>
          <w:i/>
          <w:kern w:val="28"/>
          <w:szCs w:val="56"/>
          <w14:ligatures w14:val="standardContextual"/>
        </w:rPr>
        <w:t xml:space="preserve"> Documento en el que se elimine, suprime o borra la información clasificada como reservada o confidencial para permitir su acceso. </w:t>
      </w:r>
    </w:p>
    <w:p w14:paraId="27792664" w14:textId="77777777" w:rsidR="00204C5A" w:rsidRPr="00AF2E74" w:rsidRDefault="00204C5A" w:rsidP="00D765A9"/>
    <w:p w14:paraId="6DC27FD3" w14:textId="77777777" w:rsidR="00204C5A" w:rsidRPr="00AF2E74" w:rsidRDefault="00204C5A" w:rsidP="00D765A9">
      <w:pPr>
        <w:spacing w:line="240" w:lineRule="auto"/>
        <w:ind w:left="567" w:right="567"/>
        <w:contextualSpacing/>
        <w:rPr>
          <w:i/>
          <w:kern w:val="28"/>
          <w:szCs w:val="56"/>
          <w14:ligatures w14:val="standardContextual"/>
        </w:rPr>
      </w:pPr>
      <w:r w:rsidRPr="00AF2E74">
        <w:rPr>
          <w:b/>
          <w:i/>
          <w:kern w:val="28"/>
          <w:szCs w:val="56"/>
          <w14:ligatures w14:val="standardContextual"/>
        </w:rPr>
        <w:t>Artículo 51.</w:t>
      </w:r>
      <w:r w:rsidRPr="00AF2E74">
        <w:rPr>
          <w:i/>
          <w:kern w:val="28"/>
          <w:szCs w:val="56"/>
          <w14:ligatures w14:val="standardContextual"/>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AF2E74">
        <w:rPr>
          <w:b/>
          <w:i/>
          <w:kern w:val="28"/>
          <w:szCs w:val="56"/>
          <w14:ligatures w14:val="standardContextual"/>
        </w:rPr>
        <w:t xml:space="preserve">y tendrá la responsabilidad de verificar en cada caso que la misma no sea confidencial o reservada. </w:t>
      </w:r>
      <w:r w:rsidRPr="00AF2E74">
        <w:rPr>
          <w:i/>
          <w:kern w:val="28"/>
          <w:szCs w:val="56"/>
          <w14:ligatures w14:val="standardContextual"/>
        </w:rPr>
        <w:t xml:space="preserve">Dicha Unidad contará con las facultades internas necesarias para gestionar la </w:t>
      </w:r>
      <w:r w:rsidRPr="00AF2E74">
        <w:rPr>
          <w:i/>
          <w:kern w:val="28"/>
          <w:szCs w:val="56"/>
          <w14:ligatures w14:val="standardContextual"/>
        </w:rPr>
        <w:lastRenderedPageBreak/>
        <w:t>atención a las solicitudes de información en los términos de la Ley General y la presente Ley.</w:t>
      </w:r>
    </w:p>
    <w:p w14:paraId="59AEB604" w14:textId="77777777" w:rsidR="00204C5A" w:rsidRPr="00AF2E74" w:rsidRDefault="00204C5A" w:rsidP="00D765A9"/>
    <w:p w14:paraId="1E8994BE" w14:textId="77777777" w:rsidR="00204C5A" w:rsidRPr="00AF2E74" w:rsidRDefault="00204C5A" w:rsidP="00D765A9">
      <w:pPr>
        <w:spacing w:line="240" w:lineRule="auto"/>
        <w:ind w:left="567" w:right="567"/>
        <w:contextualSpacing/>
        <w:rPr>
          <w:i/>
          <w:kern w:val="28"/>
          <w:szCs w:val="56"/>
          <w14:ligatures w14:val="standardContextual"/>
        </w:rPr>
      </w:pPr>
      <w:r w:rsidRPr="00AF2E74">
        <w:rPr>
          <w:b/>
          <w:i/>
          <w:kern w:val="28"/>
          <w:szCs w:val="56"/>
          <w14:ligatures w14:val="standardContextual"/>
        </w:rPr>
        <w:t>Artículo 52.</w:t>
      </w:r>
      <w:r w:rsidRPr="00AF2E74">
        <w:rPr>
          <w:i/>
          <w:kern w:val="28"/>
          <w:szCs w:val="56"/>
          <w14:ligatures w14:val="standardContextual"/>
        </w:rPr>
        <w:t xml:space="preserve"> Las solicitudes de acceso a la información y las respuestas que se les dé, incluyendo, en su caso, </w:t>
      </w:r>
      <w:r w:rsidRPr="00AF2E74">
        <w:rPr>
          <w:i/>
          <w:kern w:val="28"/>
          <w:szCs w:val="56"/>
          <w:u w:val="single"/>
          <w14:ligatures w14:val="standardContextual"/>
        </w:rPr>
        <w:t>la información entregada, así como las resoluciones a los recursos que en su caso se promuevan serán públicas, y de ser el caso que contenga datos personales que deban ser protegidos se podrá dar su acceso en su versión pública</w:t>
      </w:r>
      <w:r w:rsidRPr="00AF2E74">
        <w:rPr>
          <w:i/>
          <w:kern w:val="28"/>
          <w:szCs w:val="56"/>
          <w14:ligatures w14:val="standardContextual"/>
        </w:rPr>
        <w:t>, siempre y cuando la resolución de referencia se someta a un proceso de disociación, es decir, no haga identificable al titular de tales datos personales.</w:t>
      </w:r>
      <w:r w:rsidRPr="00AF2E74">
        <w:rPr>
          <w:bCs/>
          <w:i/>
          <w:noProof/>
          <w:kern w:val="28"/>
          <w:szCs w:val="56"/>
          <w14:ligatures w14:val="standardContextual"/>
        </w:rPr>
        <w:t xml:space="preserve">” </w:t>
      </w:r>
      <w:r w:rsidRPr="00AF2E74">
        <w:rPr>
          <w:iCs/>
          <w:kern w:val="28"/>
          <w:szCs w:val="22"/>
          <w14:ligatures w14:val="standardContextual"/>
        </w:rPr>
        <w:t>(Énfasis añadido)</w:t>
      </w:r>
    </w:p>
    <w:p w14:paraId="1F1BF5F9" w14:textId="77777777" w:rsidR="00204C5A" w:rsidRPr="00AF2E74" w:rsidRDefault="00204C5A" w:rsidP="00D765A9"/>
    <w:p w14:paraId="0EB806BC" w14:textId="77777777" w:rsidR="00204C5A" w:rsidRPr="00AF2E74" w:rsidRDefault="00204C5A" w:rsidP="00D765A9">
      <w:r w:rsidRPr="00AF2E74">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44E71364" w14:textId="77777777" w:rsidR="00204C5A" w:rsidRPr="00AF2E74" w:rsidRDefault="00204C5A" w:rsidP="00D765A9"/>
    <w:p w14:paraId="6FDFCCE6" w14:textId="77777777" w:rsidR="00204C5A" w:rsidRPr="00AF2E74" w:rsidRDefault="00204C5A" w:rsidP="00D765A9">
      <w:pPr>
        <w:spacing w:line="240" w:lineRule="auto"/>
        <w:ind w:left="567" w:right="567"/>
        <w:contextualSpacing/>
        <w:rPr>
          <w:rFonts w:eastAsia="Arial Unicode MS"/>
          <w:i/>
          <w:kern w:val="28"/>
          <w:szCs w:val="56"/>
          <w14:ligatures w14:val="standardContextual"/>
        </w:rPr>
      </w:pPr>
      <w:r w:rsidRPr="00AF2E74">
        <w:rPr>
          <w:rFonts w:eastAsia="Arial Unicode MS"/>
          <w:b/>
          <w:i/>
          <w:kern w:val="28"/>
          <w:szCs w:val="56"/>
          <w14:ligatures w14:val="standardContextual"/>
        </w:rPr>
        <w:t>“Artículo 22.</w:t>
      </w:r>
      <w:r w:rsidRPr="00AF2E74">
        <w:rPr>
          <w:rFonts w:eastAsia="Arial Unicode MS"/>
          <w:i/>
          <w:kern w:val="28"/>
          <w:szCs w:val="56"/>
          <w14:ligatures w14:val="standardContextual"/>
        </w:rPr>
        <w:t xml:space="preserve"> Todo tratamiento de datos personales que efectúe el responsable deberá estar justificado por finalidades concretas, lícitas, explícitas y legítimas, relacionadas con las atribuciones que la normatividad aplicable les confiera. </w:t>
      </w:r>
    </w:p>
    <w:p w14:paraId="77C49122" w14:textId="77777777" w:rsidR="00204C5A" w:rsidRPr="00AF2E74" w:rsidRDefault="00204C5A" w:rsidP="00D765A9">
      <w:pPr>
        <w:rPr>
          <w:rFonts w:eastAsia="Arial Unicode MS"/>
        </w:rPr>
      </w:pPr>
    </w:p>
    <w:p w14:paraId="4B00AFAD" w14:textId="77777777" w:rsidR="00204C5A" w:rsidRPr="00AF2E74" w:rsidRDefault="00204C5A" w:rsidP="00D765A9">
      <w:pPr>
        <w:spacing w:line="240" w:lineRule="auto"/>
        <w:ind w:left="567" w:right="567"/>
        <w:contextualSpacing/>
        <w:rPr>
          <w:rFonts w:eastAsia="Arial Unicode MS"/>
          <w:i/>
          <w:kern w:val="28"/>
          <w:szCs w:val="56"/>
          <w14:ligatures w14:val="standardContextual"/>
        </w:rPr>
      </w:pPr>
      <w:r w:rsidRPr="00AF2E74">
        <w:rPr>
          <w:rFonts w:eastAsia="Arial Unicode MS"/>
          <w:b/>
          <w:i/>
          <w:kern w:val="28"/>
          <w:szCs w:val="56"/>
          <w14:ligatures w14:val="standardContextual"/>
        </w:rPr>
        <w:t>Artículo 38.</w:t>
      </w:r>
      <w:r w:rsidRPr="00AF2E74">
        <w:rPr>
          <w:rFonts w:eastAsia="Arial Unicode MS"/>
          <w:i/>
          <w:kern w:val="28"/>
          <w:szCs w:val="56"/>
          <w14:ligatures w14:val="standardContextual"/>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AF2E74">
        <w:rPr>
          <w:rFonts w:eastAsia="Arial Unicode MS"/>
          <w:b/>
          <w:i/>
          <w:kern w:val="28"/>
          <w:szCs w:val="56"/>
          <w14:ligatures w14:val="standardContextual"/>
        </w:rPr>
        <w:t>”</w:t>
      </w:r>
      <w:r w:rsidRPr="00AF2E74">
        <w:rPr>
          <w:rFonts w:eastAsia="Arial Unicode MS"/>
          <w:i/>
          <w:kern w:val="28"/>
          <w:szCs w:val="56"/>
          <w14:ligatures w14:val="standardContextual"/>
        </w:rPr>
        <w:t xml:space="preserve"> </w:t>
      </w:r>
    </w:p>
    <w:p w14:paraId="74605018" w14:textId="77777777" w:rsidR="00204C5A" w:rsidRPr="00AF2E74" w:rsidRDefault="00204C5A" w:rsidP="00D765A9">
      <w:pPr>
        <w:rPr>
          <w:rFonts w:eastAsia="Arial Unicode MS"/>
          <w:i/>
          <w:szCs w:val="22"/>
        </w:rPr>
      </w:pPr>
    </w:p>
    <w:p w14:paraId="2DED972A" w14:textId="77777777" w:rsidR="00204C5A" w:rsidRPr="00AF2E74" w:rsidRDefault="00204C5A" w:rsidP="00D765A9">
      <w:r w:rsidRPr="00AF2E74">
        <w:lastRenderedPageBreak/>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0ECCF636" w14:textId="77777777" w:rsidR="00204C5A" w:rsidRPr="00AF2E74" w:rsidRDefault="00204C5A" w:rsidP="00D765A9"/>
    <w:p w14:paraId="680E21D3" w14:textId="77777777" w:rsidR="00204C5A" w:rsidRPr="00AF2E74" w:rsidRDefault="00204C5A" w:rsidP="00D765A9">
      <w:r w:rsidRPr="00AF2E74">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AF2E74">
        <w:rPr>
          <w:rFonts w:eastAsia="Arial Unicode MS"/>
        </w:rPr>
        <w:t xml:space="preserve"> que debe ser protegida por </w:t>
      </w:r>
      <w:r w:rsidRPr="00AF2E74">
        <w:rPr>
          <w:rFonts w:eastAsia="Arial Unicode MS"/>
          <w:b/>
        </w:rPr>
        <w:t>EL SUJETO OBLIGADO,</w:t>
      </w:r>
      <w:r w:rsidRPr="00AF2E74">
        <w:rPr>
          <w:rFonts w:eastAsia="Arial Unicode MS"/>
        </w:rPr>
        <w:t xml:space="preserve"> por lo </w:t>
      </w:r>
      <w:r w:rsidRPr="00AF2E74">
        <w:t>que, todo dato personal susceptible de clasificación debe ser protegido.</w:t>
      </w:r>
    </w:p>
    <w:p w14:paraId="01347BF0" w14:textId="77777777" w:rsidR="00204C5A" w:rsidRPr="00AF2E74" w:rsidRDefault="00204C5A" w:rsidP="00D765A9"/>
    <w:p w14:paraId="55836952" w14:textId="77777777" w:rsidR="00204C5A" w:rsidRPr="00AF2E74" w:rsidRDefault="00204C5A" w:rsidP="00D765A9">
      <w:r w:rsidRPr="00AF2E74">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2D6C6567" w14:textId="77777777" w:rsidR="00204C5A" w:rsidRPr="00AF2E74" w:rsidRDefault="00204C5A" w:rsidP="00D765A9"/>
    <w:p w14:paraId="327AF3F7" w14:textId="77777777" w:rsidR="00204C5A" w:rsidRPr="00AF2E74" w:rsidRDefault="00204C5A" w:rsidP="00D765A9">
      <w:r w:rsidRPr="00AF2E74">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1EE1283" w14:textId="77777777" w:rsidR="00204C5A" w:rsidRPr="00AF2E74" w:rsidRDefault="00204C5A" w:rsidP="00D765A9"/>
    <w:p w14:paraId="154905E2" w14:textId="77777777" w:rsidR="00204C5A" w:rsidRPr="00AF2E74" w:rsidRDefault="00204C5A" w:rsidP="00D765A9">
      <w:pPr>
        <w:jc w:val="center"/>
        <w:rPr>
          <w:b/>
          <w:i/>
          <w:szCs w:val="22"/>
        </w:rPr>
      </w:pPr>
      <w:r w:rsidRPr="00AF2E74">
        <w:rPr>
          <w:b/>
          <w:i/>
          <w:szCs w:val="22"/>
          <w:lang w:val="es-ES_tradnl"/>
        </w:rPr>
        <w:t>Ley de Transparencia y Acceso a la Información Pública del Estado de México y Municipios</w:t>
      </w:r>
    </w:p>
    <w:p w14:paraId="2D735DDC" w14:textId="77777777" w:rsidR="00204C5A" w:rsidRPr="00AF2E74" w:rsidRDefault="00204C5A" w:rsidP="00D765A9"/>
    <w:p w14:paraId="3DE48196" w14:textId="77777777" w:rsidR="00204C5A" w:rsidRPr="00AF2E74" w:rsidRDefault="00204C5A" w:rsidP="00D765A9">
      <w:pPr>
        <w:spacing w:line="240" w:lineRule="auto"/>
        <w:ind w:left="567" w:right="567"/>
        <w:contextualSpacing/>
        <w:rPr>
          <w:i/>
          <w:kern w:val="28"/>
          <w:szCs w:val="56"/>
          <w14:ligatures w14:val="standardContextual"/>
        </w:rPr>
      </w:pPr>
      <w:r w:rsidRPr="00AF2E74">
        <w:rPr>
          <w:b/>
          <w:i/>
          <w:kern w:val="28"/>
          <w:szCs w:val="56"/>
          <w14:ligatures w14:val="standardContextual"/>
        </w:rPr>
        <w:t xml:space="preserve">“Artículo 49. </w:t>
      </w:r>
      <w:r w:rsidRPr="00AF2E74">
        <w:rPr>
          <w:i/>
          <w:kern w:val="28"/>
          <w:szCs w:val="56"/>
          <w14:ligatures w14:val="standardContextual"/>
        </w:rPr>
        <w:t>Los Comités de Transparencia tendrán las siguientes atribuciones:</w:t>
      </w:r>
    </w:p>
    <w:p w14:paraId="024C27F8" w14:textId="77777777" w:rsidR="00204C5A" w:rsidRPr="00AF2E74" w:rsidRDefault="00204C5A" w:rsidP="00D765A9">
      <w:pPr>
        <w:spacing w:line="240" w:lineRule="auto"/>
        <w:ind w:left="567" w:right="567"/>
        <w:contextualSpacing/>
        <w:rPr>
          <w:i/>
          <w:kern w:val="28"/>
          <w:szCs w:val="56"/>
          <w14:ligatures w14:val="standardContextual"/>
        </w:rPr>
      </w:pPr>
      <w:r w:rsidRPr="00AF2E74">
        <w:rPr>
          <w:b/>
          <w:i/>
          <w:kern w:val="28"/>
          <w:szCs w:val="56"/>
          <w14:ligatures w14:val="standardContextual"/>
        </w:rPr>
        <w:t>VIII.</w:t>
      </w:r>
      <w:r w:rsidRPr="00AF2E74">
        <w:rPr>
          <w:i/>
          <w:kern w:val="28"/>
          <w:szCs w:val="56"/>
          <w14:ligatures w14:val="standardContextual"/>
        </w:rPr>
        <w:t xml:space="preserve"> Aprobar, modificar o revocar la clasificación de la información;</w:t>
      </w:r>
    </w:p>
    <w:p w14:paraId="3EA60BB8" w14:textId="77777777" w:rsidR="00204C5A" w:rsidRPr="00AF2E74" w:rsidRDefault="00204C5A" w:rsidP="00D765A9"/>
    <w:p w14:paraId="031C5549" w14:textId="77777777" w:rsidR="00204C5A" w:rsidRPr="00AF2E74" w:rsidRDefault="00204C5A" w:rsidP="00D765A9">
      <w:pPr>
        <w:spacing w:line="240" w:lineRule="auto"/>
        <w:ind w:left="567" w:right="567"/>
        <w:contextualSpacing/>
        <w:rPr>
          <w:i/>
          <w:kern w:val="28"/>
          <w:szCs w:val="56"/>
          <w14:ligatures w14:val="standardContextual"/>
        </w:rPr>
      </w:pPr>
      <w:r w:rsidRPr="00AF2E74">
        <w:rPr>
          <w:b/>
          <w:i/>
          <w:kern w:val="28"/>
          <w:szCs w:val="56"/>
          <w14:ligatures w14:val="standardContextual"/>
        </w:rPr>
        <w:t>Artículo 132.</w:t>
      </w:r>
      <w:r w:rsidRPr="00AF2E74">
        <w:rPr>
          <w:i/>
          <w:kern w:val="28"/>
          <w:szCs w:val="56"/>
          <w14:ligatures w14:val="standardContextual"/>
        </w:rPr>
        <w:t xml:space="preserve"> La clasificación de la información se llevará a cabo en el momento en que:</w:t>
      </w:r>
    </w:p>
    <w:p w14:paraId="710087EA" w14:textId="77777777" w:rsidR="00204C5A" w:rsidRPr="00AF2E74" w:rsidRDefault="00204C5A" w:rsidP="00D765A9">
      <w:pPr>
        <w:spacing w:line="240" w:lineRule="auto"/>
        <w:ind w:left="567" w:right="567"/>
        <w:contextualSpacing/>
        <w:rPr>
          <w:i/>
          <w:kern w:val="28"/>
          <w:szCs w:val="56"/>
          <w14:ligatures w14:val="standardContextual"/>
        </w:rPr>
      </w:pPr>
      <w:r w:rsidRPr="00AF2E74">
        <w:rPr>
          <w:b/>
          <w:i/>
          <w:kern w:val="28"/>
          <w:szCs w:val="56"/>
          <w14:ligatures w14:val="standardContextual"/>
        </w:rPr>
        <w:t>I.</w:t>
      </w:r>
      <w:r w:rsidRPr="00AF2E74">
        <w:rPr>
          <w:i/>
          <w:kern w:val="28"/>
          <w:szCs w:val="56"/>
          <w14:ligatures w14:val="standardContextual"/>
        </w:rPr>
        <w:t xml:space="preserve"> Se reciba una solicitud de acceso a la información;</w:t>
      </w:r>
    </w:p>
    <w:p w14:paraId="3C6B1745" w14:textId="77777777" w:rsidR="00204C5A" w:rsidRPr="00AF2E74" w:rsidRDefault="00204C5A" w:rsidP="00D765A9">
      <w:pPr>
        <w:spacing w:line="240" w:lineRule="auto"/>
        <w:ind w:left="567" w:right="567"/>
        <w:contextualSpacing/>
        <w:rPr>
          <w:i/>
          <w:kern w:val="28"/>
          <w:szCs w:val="56"/>
          <w14:ligatures w14:val="standardContextual"/>
        </w:rPr>
      </w:pPr>
      <w:r w:rsidRPr="00AF2E74">
        <w:rPr>
          <w:b/>
          <w:i/>
          <w:kern w:val="28"/>
          <w:szCs w:val="56"/>
          <w14:ligatures w14:val="standardContextual"/>
        </w:rPr>
        <w:t>II.</w:t>
      </w:r>
      <w:r w:rsidRPr="00AF2E74">
        <w:rPr>
          <w:i/>
          <w:kern w:val="28"/>
          <w:szCs w:val="56"/>
          <w14:ligatures w14:val="standardContextual"/>
        </w:rPr>
        <w:t xml:space="preserve"> Se determine mediante resolución de autoridad competente; o</w:t>
      </w:r>
    </w:p>
    <w:p w14:paraId="736874D3" w14:textId="77777777" w:rsidR="00204C5A" w:rsidRPr="00AF2E74" w:rsidRDefault="00204C5A" w:rsidP="00D765A9">
      <w:pPr>
        <w:spacing w:line="240" w:lineRule="auto"/>
        <w:ind w:left="567" w:right="567"/>
        <w:contextualSpacing/>
        <w:rPr>
          <w:b/>
          <w:i/>
          <w:kern w:val="28"/>
          <w:szCs w:val="56"/>
          <w14:ligatures w14:val="standardContextual"/>
        </w:rPr>
      </w:pPr>
      <w:r w:rsidRPr="00AF2E74">
        <w:rPr>
          <w:b/>
          <w:bCs/>
          <w:i/>
          <w:kern w:val="28"/>
          <w:szCs w:val="56"/>
          <w14:ligatures w14:val="standardContextual"/>
        </w:rPr>
        <w:t>III.</w:t>
      </w:r>
      <w:r w:rsidRPr="00AF2E74">
        <w:rPr>
          <w:i/>
          <w:kern w:val="28"/>
          <w:szCs w:val="56"/>
          <w14:ligatures w14:val="standardContextual"/>
        </w:rPr>
        <w:t xml:space="preserve"> Se generen versiones públicas para dar cumplimiento a las obligaciones de transparencia previstas en esta Ley.</w:t>
      </w:r>
      <w:r w:rsidRPr="00AF2E74">
        <w:rPr>
          <w:b/>
          <w:i/>
          <w:kern w:val="28"/>
          <w:szCs w:val="56"/>
          <w14:ligatures w14:val="standardContextual"/>
        </w:rPr>
        <w:t>”</w:t>
      </w:r>
    </w:p>
    <w:p w14:paraId="0956BCCA" w14:textId="77777777" w:rsidR="00204C5A" w:rsidRPr="00AF2E74" w:rsidRDefault="00204C5A" w:rsidP="00D765A9"/>
    <w:p w14:paraId="5F9547DB" w14:textId="77777777" w:rsidR="00204C5A" w:rsidRPr="00AF2E74" w:rsidRDefault="00204C5A" w:rsidP="00D765A9">
      <w:pPr>
        <w:spacing w:line="240" w:lineRule="auto"/>
        <w:ind w:left="567" w:right="567"/>
        <w:contextualSpacing/>
        <w:rPr>
          <w:i/>
          <w:kern w:val="28"/>
          <w:szCs w:val="56"/>
          <w14:ligatures w14:val="standardContextual"/>
        </w:rPr>
      </w:pPr>
      <w:r w:rsidRPr="00AF2E74">
        <w:rPr>
          <w:b/>
          <w:i/>
          <w:kern w:val="28"/>
          <w:szCs w:val="56"/>
          <w14:ligatures w14:val="standardContextual"/>
        </w:rPr>
        <w:t>“Segundo. -</w:t>
      </w:r>
      <w:r w:rsidRPr="00AF2E74">
        <w:rPr>
          <w:i/>
          <w:kern w:val="28"/>
          <w:szCs w:val="56"/>
          <w14:ligatures w14:val="standardContextual"/>
        </w:rPr>
        <w:t xml:space="preserve"> Para efectos de los presentes Lineamientos Generales, se entenderá por:</w:t>
      </w:r>
    </w:p>
    <w:p w14:paraId="7CF2786B" w14:textId="77777777" w:rsidR="00204C5A" w:rsidRPr="00AF2E74" w:rsidRDefault="00204C5A" w:rsidP="00D765A9">
      <w:pPr>
        <w:spacing w:line="240" w:lineRule="auto"/>
        <w:ind w:left="567" w:right="567"/>
        <w:contextualSpacing/>
        <w:rPr>
          <w:i/>
          <w:kern w:val="28"/>
          <w:szCs w:val="56"/>
          <w14:ligatures w14:val="standardContextual"/>
        </w:rPr>
      </w:pPr>
      <w:r w:rsidRPr="00AF2E74">
        <w:rPr>
          <w:b/>
          <w:i/>
          <w:kern w:val="28"/>
          <w:szCs w:val="56"/>
          <w14:ligatures w14:val="standardContextual"/>
        </w:rPr>
        <w:t>XVIII.</w:t>
      </w:r>
      <w:r w:rsidRPr="00AF2E74">
        <w:rPr>
          <w:i/>
          <w:kern w:val="28"/>
          <w:szCs w:val="56"/>
          <w14:ligatures w14:val="standardContextual"/>
        </w:rPr>
        <w:t xml:space="preserve">  </w:t>
      </w:r>
      <w:r w:rsidRPr="00AF2E74">
        <w:rPr>
          <w:b/>
          <w:i/>
          <w:kern w:val="28"/>
          <w:szCs w:val="56"/>
          <w14:ligatures w14:val="standardContextual"/>
        </w:rPr>
        <w:t>Versión pública:</w:t>
      </w:r>
      <w:r w:rsidRPr="00AF2E74">
        <w:rPr>
          <w:i/>
          <w:kern w:val="28"/>
          <w:szCs w:val="56"/>
          <w14:ligatures w14:val="standardContextual"/>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D02953B" w14:textId="77777777" w:rsidR="00204C5A" w:rsidRPr="00AF2E74" w:rsidRDefault="00204C5A" w:rsidP="00D765A9">
      <w:pPr>
        <w:spacing w:line="240" w:lineRule="auto"/>
        <w:ind w:left="567" w:right="567"/>
        <w:contextualSpacing/>
        <w:rPr>
          <w:i/>
          <w:kern w:val="28"/>
          <w:szCs w:val="56"/>
          <w14:ligatures w14:val="standardContextual"/>
        </w:rPr>
      </w:pPr>
    </w:p>
    <w:p w14:paraId="6723FC15" w14:textId="77777777" w:rsidR="00204C5A" w:rsidRPr="00AF2E74" w:rsidRDefault="00204C5A" w:rsidP="00D765A9">
      <w:pPr>
        <w:spacing w:line="240" w:lineRule="auto"/>
        <w:ind w:left="567" w:right="567"/>
        <w:contextualSpacing/>
        <w:rPr>
          <w:b/>
          <w:i/>
          <w:kern w:val="28"/>
          <w:szCs w:val="56"/>
          <w:lang w:val="es-ES_tradnl" w:eastAsia="es-MX"/>
          <w14:ligatures w14:val="standardContextual"/>
        </w:rPr>
      </w:pPr>
      <w:r w:rsidRPr="00AF2E74">
        <w:rPr>
          <w:b/>
          <w:i/>
          <w:kern w:val="28"/>
          <w:szCs w:val="56"/>
          <w:lang w:val="es-ES_tradnl" w:eastAsia="es-MX"/>
          <w14:ligatures w14:val="standardContextual"/>
        </w:rPr>
        <w:t xml:space="preserve">Lineamientos Generales en materia de Clasificación y Desclasificación de la </w:t>
      </w:r>
      <w:r w:rsidRPr="00AF2E74">
        <w:rPr>
          <w:b/>
          <w:i/>
          <w:kern w:val="28"/>
          <w:szCs w:val="56"/>
          <w:lang w:val="es-ES_tradnl"/>
          <w14:ligatures w14:val="standardContextual"/>
        </w:rPr>
        <w:t>Información</w:t>
      </w:r>
    </w:p>
    <w:p w14:paraId="6A8A9103" w14:textId="77777777" w:rsidR="00204C5A" w:rsidRPr="00AF2E74" w:rsidRDefault="00204C5A" w:rsidP="00D765A9">
      <w:pPr>
        <w:spacing w:line="240" w:lineRule="auto"/>
        <w:ind w:left="567" w:right="567"/>
        <w:contextualSpacing/>
        <w:rPr>
          <w:i/>
          <w:kern w:val="28"/>
          <w:szCs w:val="56"/>
          <w14:ligatures w14:val="standardContextual"/>
        </w:rPr>
      </w:pPr>
    </w:p>
    <w:p w14:paraId="60EA02B2" w14:textId="77777777" w:rsidR="00204C5A" w:rsidRPr="00AF2E74" w:rsidRDefault="00204C5A" w:rsidP="00D765A9">
      <w:pPr>
        <w:spacing w:line="240" w:lineRule="auto"/>
        <w:ind w:left="567" w:right="567"/>
        <w:contextualSpacing/>
        <w:rPr>
          <w:i/>
          <w:kern w:val="28"/>
          <w:szCs w:val="56"/>
          <w14:ligatures w14:val="standardContextual"/>
        </w:rPr>
      </w:pPr>
      <w:r w:rsidRPr="00AF2E74">
        <w:rPr>
          <w:b/>
          <w:i/>
          <w:kern w:val="28"/>
          <w:szCs w:val="56"/>
          <w14:ligatures w14:val="standardContextual"/>
        </w:rPr>
        <w:t>Cuarto.</w:t>
      </w:r>
      <w:r w:rsidRPr="00AF2E74">
        <w:rPr>
          <w:i/>
          <w:kern w:val="28"/>
          <w:szCs w:val="56"/>
          <w14:ligatures w14:val="standardContextual"/>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C764201" w14:textId="77777777" w:rsidR="00204C5A" w:rsidRPr="00AF2E74" w:rsidRDefault="00204C5A" w:rsidP="00D765A9">
      <w:pPr>
        <w:spacing w:line="240" w:lineRule="auto"/>
        <w:ind w:left="567" w:right="567"/>
        <w:contextualSpacing/>
        <w:rPr>
          <w:i/>
          <w:kern w:val="28"/>
          <w:szCs w:val="56"/>
          <w14:ligatures w14:val="standardContextual"/>
        </w:rPr>
      </w:pPr>
      <w:r w:rsidRPr="00AF2E74">
        <w:rPr>
          <w:i/>
          <w:kern w:val="28"/>
          <w:szCs w:val="56"/>
          <w14:ligatures w14:val="standardContextual"/>
        </w:rPr>
        <w:t>Los sujetos obligados deberán aplicar, de manera estricta, las excepciones al derecho de acceso a la información y sólo podrán invocarlas cuando acrediten su procedencia.</w:t>
      </w:r>
    </w:p>
    <w:p w14:paraId="2FCEE3F3" w14:textId="77777777" w:rsidR="00204C5A" w:rsidRPr="00AF2E74" w:rsidRDefault="00204C5A" w:rsidP="00D765A9"/>
    <w:p w14:paraId="2F0BB4F9" w14:textId="77777777" w:rsidR="00204C5A" w:rsidRPr="00AF2E74" w:rsidRDefault="00204C5A" w:rsidP="00D765A9">
      <w:pPr>
        <w:spacing w:line="240" w:lineRule="auto"/>
        <w:ind w:left="567" w:right="567"/>
        <w:contextualSpacing/>
        <w:rPr>
          <w:i/>
          <w:kern w:val="28"/>
          <w:szCs w:val="56"/>
          <w14:ligatures w14:val="standardContextual"/>
        </w:rPr>
      </w:pPr>
      <w:r w:rsidRPr="00AF2E74">
        <w:rPr>
          <w:b/>
          <w:i/>
          <w:kern w:val="28"/>
          <w:szCs w:val="56"/>
          <w14:ligatures w14:val="standardContextual"/>
        </w:rPr>
        <w:t>Quinto.</w:t>
      </w:r>
      <w:r w:rsidRPr="00AF2E74">
        <w:rPr>
          <w:i/>
          <w:kern w:val="28"/>
          <w:szCs w:val="56"/>
          <w14:ligatures w14:val="standardContextual"/>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w:t>
      </w:r>
      <w:r w:rsidRPr="00AF2E74">
        <w:rPr>
          <w:i/>
          <w:kern w:val="28"/>
          <w:szCs w:val="56"/>
          <w14:ligatures w14:val="standardContextual"/>
        </w:rPr>
        <w:lastRenderedPageBreak/>
        <w:t>transparencia, observando lo dispuesto en la Ley General y las demás disposiciones aplicables en la materia.</w:t>
      </w:r>
    </w:p>
    <w:p w14:paraId="6F2A8A2C" w14:textId="77777777" w:rsidR="00204C5A" w:rsidRPr="00AF2E74" w:rsidRDefault="00204C5A" w:rsidP="00D765A9"/>
    <w:p w14:paraId="4E03B265" w14:textId="77777777" w:rsidR="00204C5A" w:rsidRPr="00AF2E74" w:rsidRDefault="00204C5A" w:rsidP="00D765A9">
      <w:pPr>
        <w:spacing w:line="240" w:lineRule="auto"/>
        <w:ind w:left="567" w:right="567"/>
        <w:contextualSpacing/>
        <w:rPr>
          <w:i/>
          <w:kern w:val="28"/>
          <w:szCs w:val="56"/>
          <w14:ligatures w14:val="standardContextual"/>
        </w:rPr>
      </w:pPr>
      <w:r w:rsidRPr="00AF2E74">
        <w:rPr>
          <w:b/>
          <w:i/>
          <w:kern w:val="28"/>
          <w:szCs w:val="56"/>
          <w14:ligatures w14:val="standardContextual"/>
        </w:rPr>
        <w:t>Sexto.</w:t>
      </w:r>
      <w:r w:rsidRPr="00AF2E74">
        <w:rPr>
          <w:i/>
          <w:kern w:val="28"/>
          <w:szCs w:val="56"/>
          <w14:ligatures w14:val="standardContextual"/>
        </w:rPr>
        <w:t xml:space="preserve"> Se deroga.</w:t>
      </w:r>
    </w:p>
    <w:p w14:paraId="7EDFA2A1" w14:textId="77777777" w:rsidR="00204C5A" w:rsidRPr="00AF2E74" w:rsidRDefault="00204C5A" w:rsidP="00D765A9"/>
    <w:p w14:paraId="646F07CD" w14:textId="77777777" w:rsidR="00204C5A" w:rsidRPr="00AF2E74" w:rsidRDefault="00204C5A" w:rsidP="00D765A9">
      <w:pPr>
        <w:spacing w:line="240" w:lineRule="auto"/>
        <w:ind w:left="567" w:right="567"/>
        <w:contextualSpacing/>
        <w:rPr>
          <w:i/>
          <w:kern w:val="28"/>
          <w:szCs w:val="56"/>
          <w14:ligatures w14:val="standardContextual"/>
        </w:rPr>
      </w:pPr>
      <w:r w:rsidRPr="00AF2E74">
        <w:rPr>
          <w:b/>
          <w:i/>
          <w:kern w:val="28"/>
          <w:szCs w:val="56"/>
          <w14:ligatures w14:val="standardContextual"/>
        </w:rPr>
        <w:t>Séptimo.</w:t>
      </w:r>
      <w:r w:rsidRPr="00AF2E74">
        <w:rPr>
          <w:i/>
          <w:kern w:val="28"/>
          <w:szCs w:val="56"/>
          <w14:ligatures w14:val="standardContextual"/>
        </w:rPr>
        <w:t xml:space="preserve"> La clasificación de la información se llevará a cabo en el momento en que:</w:t>
      </w:r>
    </w:p>
    <w:p w14:paraId="128B337E" w14:textId="77777777" w:rsidR="00204C5A" w:rsidRPr="00AF2E74" w:rsidRDefault="00204C5A" w:rsidP="00D765A9">
      <w:pPr>
        <w:spacing w:line="240" w:lineRule="auto"/>
        <w:ind w:left="567" w:right="567"/>
        <w:contextualSpacing/>
        <w:rPr>
          <w:i/>
          <w:kern w:val="28"/>
          <w:szCs w:val="56"/>
          <w14:ligatures w14:val="standardContextual"/>
        </w:rPr>
      </w:pPr>
      <w:r w:rsidRPr="00AF2E74">
        <w:rPr>
          <w:b/>
          <w:i/>
          <w:kern w:val="28"/>
          <w:szCs w:val="56"/>
          <w14:ligatures w14:val="standardContextual"/>
        </w:rPr>
        <w:t>I.</w:t>
      </w:r>
      <w:r w:rsidRPr="00AF2E74">
        <w:rPr>
          <w:i/>
          <w:kern w:val="28"/>
          <w:szCs w:val="56"/>
          <w14:ligatures w14:val="standardContextual"/>
        </w:rPr>
        <w:t xml:space="preserve">        Se reciba una solicitud de acceso a la información;</w:t>
      </w:r>
    </w:p>
    <w:p w14:paraId="01433175" w14:textId="77777777" w:rsidR="00204C5A" w:rsidRPr="00AF2E74" w:rsidRDefault="00204C5A" w:rsidP="00D765A9">
      <w:pPr>
        <w:spacing w:line="240" w:lineRule="auto"/>
        <w:ind w:left="567" w:right="567"/>
        <w:contextualSpacing/>
        <w:rPr>
          <w:i/>
          <w:kern w:val="28"/>
          <w:szCs w:val="56"/>
          <w14:ligatures w14:val="standardContextual"/>
        </w:rPr>
      </w:pPr>
      <w:r w:rsidRPr="00AF2E74">
        <w:rPr>
          <w:b/>
          <w:i/>
          <w:kern w:val="28"/>
          <w:szCs w:val="56"/>
          <w14:ligatures w14:val="standardContextual"/>
        </w:rPr>
        <w:t>II.</w:t>
      </w:r>
      <w:r w:rsidRPr="00AF2E74">
        <w:rPr>
          <w:i/>
          <w:kern w:val="28"/>
          <w:szCs w:val="56"/>
          <w14:ligatures w14:val="standardContextual"/>
        </w:rPr>
        <w:t xml:space="preserve">       Se determine mediante resolución del Comité de Transparencia, el órgano garante competente, o en cumplimiento a una sentencia del Poder Judicial; o</w:t>
      </w:r>
    </w:p>
    <w:p w14:paraId="09CD1054" w14:textId="77777777" w:rsidR="00204C5A" w:rsidRPr="00AF2E74" w:rsidRDefault="00204C5A" w:rsidP="00D765A9">
      <w:pPr>
        <w:spacing w:line="240" w:lineRule="auto"/>
        <w:ind w:left="567" w:right="567"/>
        <w:contextualSpacing/>
        <w:rPr>
          <w:i/>
          <w:kern w:val="28"/>
          <w:szCs w:val="56"/>
          <w14:ligatures w14:val="standardContextual"/>
        </w:rPr>
      </w:pPr>
      <w:r w:rsidRPr="00AF2E74">
        <w:rPr>
          <w:b/>
          <w:i/>
          <w:kern w:val="28"/>
          <w:szCs w:val="56"/>
          <w14:ligatures w14:val="standardContextual"/>
        </w:rPr>
        <w:t>III.</w:t>
      </w:r>
      <w:r w:rsidRPr="00AF2E74">
        <w:rPr>
          <w:i/>
          <w:kern w:val="28"/>
          <w:szCs w:val="56"/>
          <w14:ligatures w14:val="standardContextual"/>
        </w:rPr>
        <w:t xml:space="preserve">      Se generen versiones públicas para dar cumplimiento a las obligaciones de transparencia previstas en la Ley General, la Ley Federal y las correspondientes de las entidades federativas.</w:t>
      </w:r>
    </w:p>
    <w:p w14:paraId="1AF80A2F" w14:textId="77777777" w:rsidR="00204C5A" w:rsidRPr="00AF2E74" w:rsidRDefault="00204C5A" w:rsidP="00D765A9">
      <w:pPr>
        <w:spacing w:line="240" w:lineRule="auto"/>
        <w:ind w:left="567" w:right="567"/>
        <w:contextualSpacing/>
        <w:rPr>
          <w:i/>
          <w:kern w:val="28"/>
          <w:szCs w:val="56"/>
          <w14:ligatures w14:val="standardContextual"/>
        </w:rPr>
      </w:pPr>
      <w:r w:rsidRPr="00AF2E74">
        <w:rPr>
          <w:i/>
          <w:kern w:val="28"/>
          <w:szCs w:val="56"/>
          <w14:ligatures w14:val="standardContextual"/>
        </w:rPr>
        <w:t xml:space="preserve">Los titulares de las áreas deberán revisar la información requerida al momento de la recepción de una solicitud de acceso, para verificar, conforme a su naturaleza, si encuadra en una causal de reserva o de confidencialidad. </w:t>
      </w:r>
    </w:p>
    <w:p w14:paraId="38AB7DBC" w14:textId="77777777" w:rsidR="00204C5A" w:rsidRPr="00AF2E74" w:rsidRDefault="00204C5A" w:rsidP="00D765A9"/>
    <w:p w14:paraId="26037086" w14:textId="77777777" w:rsidR="00204C5A" w:rsidRPr="00AF2E74" w:rsidRDefault="00204C5A" w:rsidP="00D765A9">
      <w:pPr>
        <w:spacing w:line="240" w:lineRule="auto"/>
        <w:ind w:left="567" w:right="567"/>
        <w:contextualSpacing/>
        <w:rPr>
          <w:i/>
          <w:kern w:val="28"/>
          <w:szCs w:val="56"/>
          <w14:ligatures w14:val="standardContextual"/>
        </w:rPr>
      </w:pPr>
      <w:r w:rsidRPr="00AF2E74">
        <w:rPr>
          <w:b/>
          <w:i/>
          <w:kern w:val="28"/>
          <w:szCs w:val="56"/>
          <w14:ligatures w14:val="standardContextual"/>
        </w:rPr>
        <w:t>Octavo.</w:t>
      </w:r>
      <w:r w:rsidRPr="00AF2E74">
        <w:rPr>
          <w:i/>
          <w:kern w:val="28"/>
          <w:szCs w:val="56"/>
          <w14:ligatures w14:val="standardContextual"/>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D0090F4" w14:textId="77777777" w:rsidR="00204C5A" w:rsidRPr="00AF2E74" w:rsidRDefault="00204C5A" w:rsidP="00D765A9">
      <w:pPr>
        <w:spacing w:line="240" w:lineRule="auto"/>
        <w:ind w:left="567" w:right="567"/>
        <w:contextualSpacing/>
        <w:rPr>
          <w:i/>
          <w:kern w:val="28"/>
          <w:szCs w:val="56"/>
          <w14:ligatures w14:val="standardContextual"/>
        </w:rPr>
      </w:pPr>
      <w:r w:rsidRPr="00AF2E74">
        <w:rPr>
          <w:i/>
          <w:kern w:val="28"/>
          <w:szCs w:val="56"/>
          <w14:ligatures w14:val="standardContextual"/>
        </w:rPr>
        <w:t>Para motivar la clasificación se deberán señalar las razones o circunstancias especiales que lo llevaron a concluir que el caso particular se ajusta al supuesto previsto por la norma legal invocada como fundamento.</w:t>
      </w:r>
    </w:p>
    <w:p w14:paraId="49C5DD65" w14:textId="77777777" w:rsidR="00204C5A" w:rsidRPr="00AF2E74" w:rsidRDefault="00204C5A" w:rsidP="00D765A9">
      <w:pPr>
        <w:spacing w:line="240" w:lineRule="auto"/>
        <w:ind w:left="567" w:right="567"/>
        <w:contextualSpacing/>
        <w:rPr>
          <w:i/>
          <w:kern w:val="28"/>
          <w:szCs w:val="56"/>
          <w14:ligatures w14:val="standardContextual"/>
        </w:rPr>
      </w:pPr>
      <w:r w:rsidRPr="00AF2E74">
        <w:rPr>
          <w:i/>
          <w:kern w:val="28"/>
          <w:szCs w:val="56"/>
          <w14:ligatures w14:val="standardContextual"/>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46CB562A" w14:textId="77777777" w:rsidR="00204C5A" w:rsidRPr="00AF2E74" w:rsidRDefault="00204C5A" w:rsidP="00D765A9"/>
    <w:p w14:paraId="01B5675F" w14:textId="77777777" w:rsidR="00204C5A" w:rsidRPr="00AF2E74" w:rsidRDefault="00204C5A" w:rsidP="00D765A9">
      <w:pPr>
        <w:spacing w:line="240" w:lineRule="auto"/>
        <w:ind w:left="567" w:right="567"/>
        <w:contextualSpacing/>
        <w:rPr>
          <w:i/>
          <w:kern w:val="28"/>
          <w:szCs w:val="56"/>
          <w14:ligatures w14:val="standardContextual"/>
        </w:rPr>
      </w:pPr>
      <w:r w:rsidRPr="00AF2E74">
        <w:rPr>
          <w:b/>
          <w:i/>
          <w:kern w:val="28"/>
          <w:szCs w:val="56"/>
          <w14:ligatures w14:val="standardContextual"/>
        </w:rPr>
        <w:t>Noveno.</w:t>
      </w:r>
      <w:r w:rsidRPr="00AF2E74">
        <w:rPr>
          <w:i/>
          <w:kern w:val="28"/>
          <w:szCs w:val="56"/>
          <w14:ligatures w14:val="standardContextual"/>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74B6062" w14:textId="77777777" w:rsidR="00204C5A" w:rsidRPr="00AF2E74" w:rsidRDefault="00204C5A" w:rsidP="00D765A9"/>
    <w:p w14:paraId="11BD6447" w14:textId="77777777" w:rsidR="00204C5A" w:rsidRPr="00AF2E74" w:rsidRDefault="00204C5A" w:rsidP="00D765A9">
      <w:pPr>
        <w:spacing w:line="240" w:lineRule="auto"/>
        <w:ind w:left="567" w:right="567"/>
        <w:contextualSpacing/>
        <w:rPr>
          <w:i/>
          <w:kern w:val="28"/>
          <w:szCs w:val="56"/>
          <w14:ligatures w14:val="standardContextual"/>
        </w:rPr>
      </w:pPr>
      <w:r w:rsidRPr="00AF2E74">
        <w:rPr>
          <w:b/>
          <w:i/>
          <w:kern w:val="28"/>
          <w:szCs w:val="56"/>
          <w14:ligatures w14:val="standardContextual"/>
        </w:rPr>
        <w:t>Décimo.</w:t>
      </w:r>
      <w:r w:rsidRPr="00AF2E74">
        <w:rPr>
          <w:i/>
          <w:kern w:val="28"/>
          <w:szCs w:val="56"/>
          <w14:ligatures w14:val="standardContextual"/>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w:t>
      </w:r>
      <w:r w:rsidRPr="00AF2E74">
        <w:rPr>
          <w:i/>
          <w:kern w:val="28"/>
          <w:szCs w:val="56"/>
          <w14:ligatures w14:val="standardContextual"/>
        </w:rPr>
        <w:lastRenderedPageBreak/>
        <w:t>clasificada, en los términos de la Ley General de Archivo, Lineamientos para la Organización y Conservación de Archivos y demás normatividad aplicable.</w:t>
      </w:r>
    </w:p>
    <w:p w14:paraId="29BCA5A7" w14:textId="77777777" w:rsidR="00204C5A" w:rsidRPr="00AF2E74" w:rsidRDefault="00204C5A" w:rsidP="00D765A9">
      <w:pPr>
        <w:spacing w:line="240" w:lineRule="auto"/>
        <w:ind w:left="567" w:right="567"/>
        <w:contextualSpacing/>
        <w:rPr>
          <w:i/>
          <w:kern w:val="28"/>
          <w:szCs w:val="56"/>
          <w14:ligatures w14:val="standardContextual"/>
        </w:rPr>
      </w:pPr>
      <w:r w:rsidRPr="00AF2E74">
        <w:rPr>
          <w:i/>
          <w:kern w:val="28"/>
          <w:szCs w:val="56"/>
          <w14:ligatures w14:val="standardContextual"/>
        </w:rPr>
        <w:t>En ausencia de los titulares de las áreas, la información será clasificada o desclasificada por la persona que lo supla, en términos de la normativa que rija la actuación del sujeto obligado.</w:t>
      </w:r>
    </w:p>
    <w:p w14:paraId="452BB170" w14:textId="77777777" w:rsidR="00204C5A" w:rsidRPr="00AF2E74" w:rsidRDefault="00204C5A" w:rsidP="00D765A9">
      <w:pPr>
        <w:spacing w:line="240" w:lineRule="auto"/>
        <w:ind w:left="567" w:right="567"/>
        <w:contextualSpacing/>
        <w:rPr>
          <w:b/>
          <w:i/>
          <w:kern w:val="28"/>
          <w:szCs w:val="56"/>
          <w14:ligatures w14:val="standardContextual"/>
        </w:rPr>
      </w:pPr>
      <w:r w:rsidRPr="00AF2E74">
        <w:rPr>
          <w:b/>
          <w:i/>
          <w:kern w:val="28"/>
          <w:szCs w:val="56"/>
          <w14:ligatures w14:val="standardContextual"/>
        </w:rPr>
        <w:t>Décimo primero.</w:t>
      </w:r>
      <w:r w:rsidRPr="00AF2E74">
        <w:rPr>
          <w:i/>
          <w:kern w:val="28"/>
          <w:szCs w:val="56"/>
          <w14:ligatures w14:val="standardContextual"/>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AF2E74">
        <w:rPr>
          <w:b/>
          <w:i/>
          <w:kern w:val="28"/>
          <w:szCs w:val="56"/>
          <w14:ligatures w14:val="standardContextual"/>
        </w:rPr>
        <w:t>”</w:t>
      </w:r>
    </w:p>
    <w:p w14:paraId="3842F140" w14:textId="77777777" w:rsidR="00204C5A" w:rsidRPr="00AF2E74" w:rsidRDefault="00204C5A" w:rsidP="00D765A9"/>
    <w:p w14:paraId="7B2DFCBD" w14:textId="77777777" w:rsidR="00204C5A" w:rsidRPr="00AF2E74" w:rsidRDefault="00204C5A" w:rsidP="00D765A9">
      <w:pPr>
        <w:rPr>
          <w:lang w:eastAsia="es-CO"/>
        </w:rPr>
      </w:pPr>
      <w:r w:rsidRPr="00AF2E74">
        <w:t xml:space="preserve">Consecuentemente, se destaca que la versión pública que elabore </w:t>
      </w:r>
      <w:r w:rsidRPr="00AF2E74">
        <w:rPr>
          <w:b/>
        </w:rPr>
        <w:t>EL SUJETO OBLIGADO</w:t>
      </w:r>
      <w:r w:rsidRPr="00AF2E74">
        <w:t xml:space="preserve"> debe cumplir con las formalidades exigidas en la Ley, por lo que para tal efecto emitirá el </w:t>
      </w:r>
      <w:r w:rsidRPr="00AF2E74">
        <w:rPr>
          <w:b/>
        </w:rPr>
        <w:t>Acuerdo del Comité de Transparencia</w:t>
      </w:r>
      <w:r w:rsidRPr="00AF2E74">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AF2E74">
        <w:rPr>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2E45CC5B" w14:textId="77777777" w:rsidR="00204C5A" w:rsidRPr="00AF2E74" w:rsidRDefault="00204C5A" w:rsidP="00D765A9"/>
    <w:p w14:paraId="46BD95E7" w14:textId="77777777" w:rsidR="00204C5A" w:rsidRPr="00AF2E74" w:rsidRDefault="00204C5A" w:rsidP="00D765A9">
      <w:r w:rsidRPr="00AF2E74">
        <w:t>Es importante señalar que, para el caso en concreto, se deben tomar en consideración los siguientes datos que de manera enunciativa más no limitativa se pudieran clasificar como confidenciales:</w:t>
      </w:r>
    </w:p>
    <w:p w14:paraId="722C8666" w14:textId="77777777" w:rsidR="00204C5A" w:rsidRPr="00AF2E74" w:rsidRDefault="00204C5A" w:rsidP="00D765A9"/>
    <w:p w14:paraId="312CDBD6" w14:textId="77777777" w:rsidR="00204C5A" w:rsidRPr="00AF2E74" w:rsidRDefault="00204C5A" w:rsidP="00D765A9">
      <w:pPr>
        <w:numPr>
          <w:ilvl w:val="0"/>
          <w:numId w:val="30"/>
        </w:numPr>
        <w:spacing w:after="160" w:line="256" w:lineRule="auto"/>
        <w:jc w:val="left"/>
      </w:pPr>
      <w:r w:rsidRPr="00AF2E74">
        <w:rPr>
          <w:rFonts w:eastAsia="Palatino Linotype" w:cs="Palatino Linotype"/>
          <w:b/>
          <w:szCs w:val="22"/>
        </w:rPr>
        <w:t>Registro Federal de Contribuyentes</w:t>
      </w:r>
      <w:r w:rsidRPr="00AF2E74">
        <w:rPr>
          <w:rFonts w:eastAsia="Palatino Linotype" w:cs="Palatino Linotype"/>
          <w:szCs w:val="22"/>
        </w:rPr>
        <w:t xml:space="preserve"> </w:t>
      </w:r>
      <w:r w:rsidRPr="00AF2E74">
        <w:rPr>
          <w:rFonts w:eastAsia="Palatino Linotype" w:cs="Palatino Linotype"/>
          <w:b/>
          <w:szCs w:val="22"/>
        </w:rPr>
        <w:t>de las personas físicas</w:t>
      </w:r>
    </w:p>
    <w:p w14:paraId="20FA600F" w14:textId="77777777" w:rsidR="00204C5A" w:rsidRPr="00AF2E74" w:rsidRDefault="00204C5A" w:rsidP="00D765A9">
      <w:pPr>
        <w:ind w:left="720"/>
        <w:rPr>
          <w:rFonts w:eastAsia="Palatino Linotype" w:cs="Palatino Linotype"/>
          <w:szCs w:val="22"/>
        </w:rPr>
      </w:pPr>
    </w:p>
    <w:p w14:paraId="4043E595" w14:textId="77777777" w:rsidR="00204C5A" w:rsidRPr="00AF2E74" w:rsidRDefault="00204C5A" w:rsidP="00D765A9">
      <w:r w:rsidRPr="00AF2E74">
        <w:lastRenderedPageBreak/>
        <w:t>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07CB5F92" w14:textId="77777777" w:rsidR="00204C5A" w:rsidRPr="00AF2E74" w:rsidRDefault="00204C5A" w:rsidP="00D765A9"/>
    <w:p w14:paraId="201E20BC" w14:textId="77777777" w:rsidR="00204C5A" w:rsidRPr="00AF2E74" w:rsidRDefault="00204C5A" w:rsidP="00D765A9">
      <w:pPr>
        <w:rPr>
          <w:b/>
        </w:rPr>
      </w:pPr>
      <w:r w:rsidRPr="00AF2E74">
        <w:t>Al respecto, es aplicable el Criterio 19/17 de la Segunda Época, emitido por el Instituto Nacional de Transparencia, Acceso a la Información y Protección de Datos Personales, que dice:</w:t>
      </w:r>
      <w:r w:rsidRPr="00AF2E74">
        <w:rPr>
          <w:b/>
        </w:rPr>
        <w:t xml:space="preserve"> </w:t>
      </w:r>
    </w:p>
    <w:p w14:paraId="3EDA84B8" w14:textId="77777777" w:rsidR="00204C5A" w:rsidRPr="00AF2E74" w:rsidRDefault="00204C5A" w:rsidP="00D765A9">
      <w:pPr>
        <w:rPr>
          <w:b/>
        </w:rPr>
      </w:pPr>
    </w:p>
    <w:p w14:paraId="60225810" w14:textId="77777777" w:rsidR="00204C5A" w:rsidRPr="00AF2E74" w:rsidRDefault="00204C5A" w:rsidP="00D765A9">
      <w:pPr>
        <w:spacing w:line="240" w:lineRule="auto"/>
        <w:ind w:left="567" w:right="567"/>
        <w:contextualSpacing/>
        <w:rPr>
          <w:i/>
          <w:kern w:val="28"/>
          <w:szCs w:val="56"/>
        </w:rPr>
      </w:pPr>
      <w:r w:rsidRPr="00AF2E74">
        <w:rPr>
          <w:i/>
          <w:kern w:val="28"/>
          <w:szCs w:val="56"/>
        </w:rPr>
        <w:t>“</w:t>
      </w:r>
      <w:r w:rsidRPr="00AF2E74">
        <w:rPr>
          <w:b/>
          <w:i/>
          <w:kern w:val="28"/>
          <w:szCs w:val="56"/>
        </w:rPr>
        <w:t>Registro Federal de Contribuyentes (RFC) de personas físicas.</w:t>
      </w:r>
      <w:r w:rsidRPr="00AF2E74">
        <w:rPr>
          <w:i/>
          <w:kern w:val="28"/>
          <w:szCs w:val="56"/>
        </w:rPr>
        <w:t xml:space="preserve"> El RFC es una clave de carácter fiscal, </w:t>
      </w:r>
      <w:proofErr w:type="gramStart"/>
      <w:r w:rsidRPr="00AF2E74">
        <w:rPr>
          <w:i/>
          <w:kern w:val="28"/>
          <w:szCs w:val="56"/>
        </w:rPr>
        <w:t>única</w:t>
      </w:r>
      <w:proofErr w:type="gramEnd"/>
      <w:r w:rsidRPr="00AF2E74">
        <w:rPr>
          <w:i/>
          <w:kern w:val="28"/>
          <w:szCs w:val="56"/>
        </w:rPr>
        <w:t xml:space="preserve"> e irrepetible, que permite identificar al titular, su edad y fecha de nacimiento, por lo que es un dato personal de carácter confidencial.</w:t>
      </w:r>
    </w:p>
    <w:p w14:paraId="20995A1F" w14:textId="77777777" w:rsidR="00204C5A" w:rsidRPr="00AF2E74" w:rsidRDefault="00204C5A" w:rsidP="00D765A9">
      <w:pPr>
        <w:spacing w:line="240" w:lineRule="auto"/>
        <w:ind w:left="567" w:right="567"/>
        <w:contextualSpacing/>
        <w:rPr>
          <w:i/>
          <w:kern w:val="28"/>
          <w:szCs w:val="56"/>
        </w:rPr>
      </w:pPr>
      <w:r w:rsidRPr="00AF2E74">
        <w:rPr>
          <w:i/>
          <w:kern w:val="28"/>
          <w:szCs w:val="56"/>
        </w:rPr>
        <w:t xml:space="preserve"> (Énfasis añadido)</w:t>
      </w:r>
    </w:p>
    <w:p w14:paraId="362317DA" w14:textId="77777777" w:rsidR="00204C5A" w:rsidRPr="00AF2E74" w:rsidRDefault="00204C5A" w:rsidP="00D765A9">
      <w:pPr>
        <w:ind w:left="851" w:right="899"/>
      </w:pPr>
    </w:p>
    <w:p w14:paraId="7B56CFB2" w14:textId="77777777" w:rsidR="00204C5A" w:rsidRPr="00AF2E74" w:rsidRDefault="00204C5A" w:rsidP="00D765A9">
      <w:r w:rsidRPr="00AF2E74">
        <w:t>De lo anterior, se desprende que el Registro Federal de Contribuyentes se vincula al nombre de su titular,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4C6AE722" w14:textId="77777777" w:rsidR="00204C5A" w:rsidRPr="00AF2E74" w:rsidRDefault="00204C5A" w:rsidP="00D765A9"/>
    <w:p w14:paraId="3C31ECC7" w14:textId="77777777" w:rsidR="00204C5A" w:rsidRPr="00AF2E74" w:rsidRDefault="00204C5A" w:rsidP="00D765A9">
      <w:pPr>
        <w:numPr>
          <w:ilvl w:val="0"/>
          <w:numId w:val="30"/>
        </w:numPr>
        <w:spacing w:after="160" w:line="256" w:lineRule="auto"/>
        <w:jc w:val="left"/>
        <w:rPr>
          <w:rFonts w:eastAsia="Palatino Linotype" w:cs="Palatino Linotype"/>
          <w:szCs w:val="22"/>
        </w:rPr>
      </w:pPr>
      <w:r w:rsidRPr="00AF2E74">
        <w:rPr>
          <w:rFonts w:eastAsia="Palatino Linotype" w:cs="Palatino Linotype"/>
          <w:b/>
          <w:szCs w:val="22"/>
        </w:rPr>
        <w:t>Clave Única de Registro de Población</w:t>
      </w:r>
    </w:p>
    <w:p w14:paraId="62555792" w14:textId="77777777" w:rsidR="00204C5A" w:rsidRPr="00AF2E74" w:rsidRDefault="00204C5A" w:rsidP="00D765A9">
      <w:pPr>
        <w:ind w:left="720"/>
        <w:rPr>
          <w:rFonts w:eastAsia="Palatino Linotype" w:cs="Palatino Linotype"/>
          <w:szCs w:val="22"/>
        </w:rPr>
      </w:pPr>
    </w:p>
    <w:p w14:paraId="7F0D6E9A" w14:textId="77777777" w:rsidR="00204C5A" w:rsidRPr="00AF2E74" w:rsidRDefault="00204C5A" w:rsidP="00D765A9">
      <w:r w:rsidRPr="00AF2E74">
        <w:lastRenderedPageBreak/>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4158FFBC" w14:textId="77777777" w:rsidR="00204C5A" w:rsidRPr="00AF2E74" w:rsidRDefault="00204C5A" w:rsidP="00D765A9"/>
    <w:p w14:paraId="0E579775" w14:textId="77777777" w:rsidR="00204C5A" w:rsidRPr="00AF2E74" w:rsidRDefault="00204C5A" w:rsidP="00D765A9">
      <w:r w:rsidRPr="00AF2E74">
        <w:t>Lo anterior, tiene sustento en los artículos 86 y 91 de la Ley General de Población, la cual señala lo siguiente:</w:t>
      </w:r>
    </w:p>
    <w:p w14:paraId="515A13E8" w14:textId="77777777" w:rsidR="00204C5A" w:rsidRPr="00AF2E74" w:rsidRDefault="00204C5A" w:rsidP="00D765A9"/>
    <w:p w14:paraId="07BA9229" w14:textId="77777777" w:rsidR="00204C5A" w:rsidRPr="00AF2E74" w:rsidRDefault="00204C5A" w:rsidP="00D765A9">
      <w:pPr>
        <w:spacing w:line="240" w:lineRule="auto"/>
        <w:ind w:left="567" w:right="567"/>
        <w:contextualSpacing/>
        <w:rPr>
          <w:i/>
          <w:kern w:val="28"/>
          <w:szCs w:val="56"/>
        </w:rPr>
      </w:pPr>
      <w:r w:rsidRPr="00AF2E74">
        <w:rPr>
          <w:i/>
          <w:kern w:val="28"/>
          <w:szCs w:val="56"/>
        </w:rPr>
        <w:t>“</w:t>
      </w:r>
      <w:r w:rsidRPr="00AF2E74">
        <w:rPr>
          <w:b/>
          <w:i/>
          <w:kern w:val="28"/>
          <w:szCs w:val="56"/>
        </w:rPr>
        <w:t xml:space="preserve">Artículo 86. </w:t>
      </w:r>
      <w:r w:rsidRPr="00AF2E74">
        <w:rPr>
          <w:i/>
          <w:kern w:val="28"/>
          <w:szCs w:val="56"/>
        </w:rPr>
        <w:t>El Registro Nacional de Población tiene como finalidad registrar a cada una de las personas que integran la población del país, con los datos que permitan certificar y acreditar fehacientemente su identidad.</w:t>
      </w:r>
    </w:p>
    <w:p w14:paraId="1B85F16F" w14:textId="77777777" w:rsidR="00204C5A" w:rsidRPr="00AF2E74" w:rsidRDefault="00204C5A" w:rsidP="00D765A9">
      <w:pPr>
        <w:spacing w:line="240" w:lineRule="auto"/>
        <w:ind w:left="567" w:right="567"/>
        <w:contextualSpacing/>
        <w:rPr>
          <w:i/>
          <w:kern w:val="28"/>
          <w:szCs w:val="56"/>
        </w:rPr>
      </w:pPr>
      <w:r w:rsidRPr="00AF2E74">
        <w:rPr>
          <w:b/>
          <w:i/>
          <w:kern w:val="28"/>
          <w:szCs w:val="56"/>
        </w:rPr>
        <w:t xml:space="preserve">Artículo 91. </w:t>
      </w:r>
      <w:r w:rsidRPr="00AF2E74">
        <w:rPr>
          <w:b/>
          <w:i/>
          <w:kern w:val="28"/>
          <w:szCs w:val="56"/>
          <w:u w:val="single"/>
        </w:rPr>
        <w:t>Al incorporar a una persona en el Registro Nacional de Población</w:t>
      </w:r>
      <w:r w:rsidRPr="00AF2E74">
        <w:rPr>
          <w:i/>
          <w:kern w:val="28"/>
          <w:szCs w:val="56"/>
        </w:rPr>
        <w:t xml:space="preserve">, se le asignará una clave </w:t>
      </w:r>
      <w:r w:rsidRPr="00AF2E74">
        <w:rPr>
          <w:b/>
          <w:i/>
          <w:kern w:val="28"/>
          <w:szCs w:val="56"/>
          <w:u w:val="single"/>
        </w:rPr>
        <w:t>que se denominará Clave Única de Registro de Población</w:t>
      </w:r>
      <w:r w:rsidRPr="00AF2E74">
        <w:rPr>
          <w:i/>
          <w:kern w:val="28"/>
          <w:szCs w:val="56"/>
        </w:rPr>
        <w:t xml:space="preserve">. </w:t>
      </w:r>
      <w:r w:rsidRPr="00AF2E74">
        <w:rPr>
          <w:b/>
          <w:i/>
          <w:kern w:val="28"/>
          <w:szCs w:val="56"/>
          <w:u w:val="single"/>
        </w:rPr>
        <w:t>Esta servirá para</w:t>
      </w:r>
      <w:r w:rsidRPr="00AF2E74">
        <w:rPr>
          <w:i/>
          <w:kern w:val="28"/>
          <w:szCs w:val="56"/>
        </w:rPr>
        <w:t xml:space="preserve"> registrarla e </w:t>
      </w:r>
      <w:r w:rsidRPr="00AF2E74">
        <w:rPr>
          <w:b/>
          <w:i/>
          <w:kern w:val="28"/>
          <w:szCs w:val="56"/>
          <w:u w:val="single"/>
        </w:rPr>
        <w:t>identificarla en forma individual</w:t>
      </w:r>
      <w:r w:rsidRPr="00AF2E74">
        <w:rPr>
          <w:i/>
          <w:kern w:val="28"/>
          <w:szCs w:val="56"/>
        </w:rPr>
        <w:t xml:space="preserve">.” </w:t>
      </w:r>
    </w:p>
    <w:p w14:paraId="7C8BEE30" w14:textId="77777777" w:rsidR="00204C5A" w:rsidRPr="00AF2E74" w:rsidRDefault="00204C5A" w:rsidP="00D765A9">
      <w:pPr>
        <w:spacing w:line="240" w:lineRule="auto"/>
        <w:ind w:left="567" w:right="567"/>
        <w:contextualSpacing/>
        <w:rPr>
          <w:i/>
          <w:kern w:val="28"/>
          <w:szCs w:val="56"/>
        </w:rPr>
      </w:pPr>
      <w:r w:rsidRPr="00AF2E74">
        <w:rPr>
          <w:i/>
          <w:kern w:val="28"/>
          <w:szCs w:val="56"/>
        </w:rPr>
        <w:t>(Énfasis añadido)</w:t>
      </w:r>
    </w:p>
    <w:p w14:paraId="1F3D907D" w14:textId="77777777" w:rsidR="00204C5A" w:rsidRPr="00AF2E74" w:rsidRDefault="00204C5A" w:rsidP="00D765A9"/>
    <w:p w14:paraId="17DCD85D" w14:textId="77777777" w:rsidR="00204C5A" w:rsidRPr="00AF2E74" w:rsidRDefault="00204C5A" w:rsidP="00D765A9">
      <w:r w:rsidRPr="00AF2E74">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de nacimiento; consonantes internas del nombre y apellidos; un diferenciador de homonimia y siglo; y un digito verificador, que garantizan la correcta integración. </w:t>
      </w:r>
    </w:p>
    <w:p w14:paraId="0E65302B" w14:textId="77777777" w:rsidR="00204C5A" w:rsidRPr="00AF2E74" w:rsidRDefault="00204C5A" w:rsidP="00D765A9"/>
    <w:p w14:paraId="5AF5A6EE" w14:textId="77777777" w:rsidR="00204C5A" w:rsidRPr="00AF2E74" w:rsidRDefault="00204C5A" w:rsidP="00D765A9">
      <w:r w:rsidRPr="00AF2E74">
        <w:t>Al respecto, el Instituto Nacional de Transparencia, Acceso a la Información y Protección de Datos Personales (INAI), a través del Criterio 18/17 de la Segunda Época, señala literalmente lo siguiente:</w:t>
      </w:r>
    </w:p>
    <w:p w14:paraId="1D11D2FA" w14:textId="77777777" w:rsidR="00204C5A" w:rsidRPr="00AF2E74" w:rsidRDefault="00204C5A" w:rsidP="00D765A9"/>
    <w:p w14:paraId="4FD7847B" w14:textId="77777777" w:rsidR="00204C5A" w:rsidRPr="00AF2E74" w:rsidRDefault="00204C5A" w:rsidP="00D765A9">
      <w:pPr>
        <w:spacing w:line="240" w:lineRule="auto"/>
        <w:ind w:left="567" w:right="567"/>
        <w:contextualSpacing/>
        <w:rPr>
          <w:i/>
          <w:kern w:val="28"/>
          <w:szCs w:val="56"/>
        </w:rPr>
      </w:pPr>
      <w:r w:rsidRPr="00AF2E74">
        <w:rPr>
          <w:i/>
          <w:kern w:val="28"/>
          <w:szCs w:val="56"/>
        </w:rPr>
        <w:lastRenderedPageBreak/>
        <w:t>“</w:t>
      </w:r>
      <w:r w:rsidRPr="00AF2E74">
        <w:rPr>
          <w:b/>
          <w:i/>
          <w:kern w:val="28"/>
          <w:szCs w:val="56"/>
        </w:rPr>
        <w:t>Clave Única de Registro de Población (CURP). La Clave Única de Registro de Población</w:t>
      </w:r>
      <w:r w:rsidRPr="00AF2E74">
        <w:rPr>
          <w:i/>
          <w:kern w:val="28"/>
          <w:szCs w:val="56"/>
        </w:rPr>
        <w:t xml:space="preserve">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A023D59" w14:textId="77777777" w:rsidR="00204C5A" w:rsidRPr="00AF2E74" w:rsidRDefault="00204C5A" w:rsidP="00D765A9">
      <w:pPr>
        <w:spacing w:line="240" w:lineRule="auto"/>
        <w:ind w:left="567" w:right="567"/>
        <w:contextualSpacing/>
        <w:rPr>
          <w:i/>
          <w:kern w:val="28"/>
          <w:szCs w:val="56"/>
        </w:rPr>
      </w:pPr>
      <w:r w:rsidRPr="00AF2E74">
        <w:rPr>
          <w:i/>
          <w:kern w:val="28"/>
          <w:szCs w:val="56"/>
        </w:rPr>
        <w:t xml:space="preserve"> (Énfasis añadido)</w:t>
      </w:r>
    </w:p>
    <w:p w14:paraId="62F850ED" w14:textId="77777777" w:rsidR="00204C5A" w:rsidRPr="00AF2E74" w:rsidRDefault="00204C5A" w:rsidP="00D765A9">
      <w:pPr>
        <w:ind w:left="851" w:right="902"/>
      </w:pPr>
    </w:p>
    <w:p w14:paraId="6B458CE1" w14:textId="77777777" w:rsidR="00204C5A" w:rsidRPr="00AF2E74" w:rsidRDefault="00204C5A" w:rsidP="00D765A9">
      <w:r w:rsidRPr="00AF2E74">
        <w:t>De lo anterior, se desprende que la Clave Única de Registro de Población, se encuentra vinculada al nombre y apellidos de la persona, permitiendo identificar fecha y lugar de nacimiento, así como el sexo; datos que únicamente le atañen a su titular,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63A8C72" w14:textId="77777777" w:rsidR="00204C5A" w:rsidRPr="00AF2E74" w:rsidRDefault="00204C5A" w:rsidP="00D765A9"/>
    <w:p w14:paraId="6F2AE33A" w14:textId="77777777" w:rsidR="00204C5A" w:rsidRPr="00AF2E74" w:rsidRDefault="00204C5A" w:rsidP="00D765A9">
      <w:pPr>
        <w:numPr>
          <w:ilvl w:val="0"/>
          <w:numId w:val="30"/>
        </w:numPr>
        <w:spacing w:after="160" w:line="256" w:lineRule="auto"/>
        <w:jc w:val="left"/>
        <w:rPr>
          <w:rFonts w:eastAsia="Palatino Linotype" w:cs="Palatino Linotype"/>
          <w:b/>
          <w:szCs w:val="22"/>
        </w:rPr>
      </w:pPr>
      <w:r w:rsidRPr="00AF2E74">
        <w:rPr>
          <w:rFonts w:eastAsia="Palatino Linotype" w:cs="Palatino Linotype"/>
          <w:b/>
          <w:szCs w:val="22"/>
        </w:rPr>
        <w:t>Clave de cualquier tipo de seguridad social</w:t>
      </w:r>
    </w:p>
    <w:p w14:paraId="5B5C24E6" w14:textId="77777777" w:rsidR="00204C5A" w:rsidRPr="00AF2E74" w:rsidRDefault="00204C5A" w:rsidP="00D765A9"/>
    <w:p w14:paraId="79007D11" w14:textId="77777777" w:rsidR="00204C5A" w:rsidRPr="00AF2E74" w:rsidRDefault="00204C5A" w:rsidP="00D765A9">
      <w:r w:rsidRPr="00AF2E74">
        <w:t xml:space="preserve">Por cuanto hace a la </w:t>
      </w:r>
      <w:r w:rsidRPr="00AF2E74">
        <w:rPr>
          <w:b/>
        </w:rPr>
        <w:t>Clave de cualquier tipo de seguridad social</w:t>
      </w:r>
      <w:r w:rsidRPr="00AF2E74">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22CAFC80" w14:textId="77777777" w:rsidR="00204C5A" w:rsidRPr="00AF2E74" w:rsidRDefault="00204C5A" w:rsidP="00D765A9"/>
    <w:p w14:paraId="60456FC6" w14:textId="77777777" w:rsidR="00204C5A" w:rsidRPr="00AF2E74" w:rsidRDefault="00204C5A" w:rsidP="00D765A9">
      <w:pPr>
        <w:numPr>
          <w:ilvl w:val="0"/>
          <w:numId w:val="30"/>
        </w:numPr>
        <w:spacing w:after="160" w:line="256" w:lineRule="auto"/>
        <w:jc w:val="left"/>
        <w:rPr>
          <w:rFonts w:eastAsia="Palatino Linotype" w:cs="Palatino Linotype"/>
          <w:b/>
          <w:szCs w:val="22"/>
        </w:rPr>
      </w:pPr>
      <w:r w:rsidRPr="00AF2E74">
        <w:rPr>
          <w:rFonts w:eastAsia="Palatino Linotype" w:cs="Palatino Linotype"/>
          <w:b/>
          <w:szCs w:val="22"/>
        </w:rPr>
        <w:lastRenderedPageBreak/>
        <w:t>Número de cuenta bancaria de los particulares</w:t>
      </w:r>
    </w:p>
    <w:p w14:paraId="62DDDE63" w14:textId="77777777" w:rsidR="00204C5A" w:rsidRPr="00AF2E74" w:rsidRDefault="00204C5A" w:rsidP="00D765A9">
      <w:pPr>
        <w:ind w:left="720"/>
        <w:rPr>
          <w:rFonts w:eastAsia="Palatino Linotype" w:cs="Palatino Linotype"/>
          <w:b/>
          <w:szCs w:val="22"/>
        </w:rPr>
      </w:pPr>
    </w:p>
    <w:p w14:paraId="74A96589" w14:textId="77777777" w:rsidR="00204C5A" w:rsidRPr="00AF2E74" w:rsidRDefault="00204C5A" w:rsidP="00D765A9">
      <w:r w:rsidRPr="00AF2E74">
        <w:t>Por otro lado, es importante señalar que por cuanto hace al el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21A9365A" w14:textId="77777777" w:rsidR="00204C5A" w:rsidRPr="00AF2E74" w:rsidRDefault="00204C5A" w:rsidP="00D765A9">
      <w:pPr>
        <w:ind w:right="50"/>
      </w:pPr>
    </w:p>
    <w:p w14:paraId="7396DEA7" w14:textId="77777777" w:rsidR="00204C5A" w:rsidRPr="00AF2E74" w:rsidRDefault="00204C5A" w:rsidP="00D765A9">
      <w:pPr>
        <w:ind w:right="51"/>
      </w:pPr>
      <w:r w:rsidRPr="00AF2E74">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7DE8A333" w14:textId="77777777" w:rsidR="00204C5A" w:rsidRPr="00AF2E74" w:rsidRDefault="00204C5A" w:rsidP="00D765A9">
      <w:pPr>
        <w:ind w:right="51"/>
      </w:pPr>
    </w:p>
    <w:p w14:paraId="60C9E984" w14:textId="77777777" w:rsidR="00204C5A" w:rsidRPr="00AF2E74" w:rsidRDefault="00204C5A" w:rsidP="00D765A9">
      <w:pPr>
        <w:ind w:right="50"/>
      </w:pPr>
      <w:r w:rsidRPr="00AF2E74">
        <w:t>Lo anterior encuentra sustento en el criterio 10/17 emitido por el Instituto Nacional de Transparencia y Acceso a la Información Pública del Estado de México y Municipios, que a la letra dicen:</w:t>
      </w:r>
    </w:p>
    <w:p w14:paraId="3D104EE3" w14:textId="77777777" w:rsidR="00204C5A" w:rsidRPr="00AF2E74" w:rsidRDefault="00204C5A" w:rsidP="00D765A9">
      <w:pPr>
        <w:ind w:right="50"/>
      </w:pPr>
    </w:p>
    <w:p w14:paraId="35AF1D74" w14:textId="77777777" w:rsidR="00204C5A" w:rsidRPr="00AF2E74" w:rsidRDefault="00204C5A" w:rsidP="00D765A9">
      <w:pPr>
        <w:spacing w:line="240" w:lineRule="auto"/>
        <w:ind w:left="567" w:right="567"/>
        <w:contextualSpacing/>
        <w:rPr>
          <w:i/>
          <w:kern w:val="28"/>
          <w:szCs w:val="56"/>
        </w:rPr>
      </w:pPr>
      <w:r w:rsidRPr="00AF2E74">
        <w:rPr>
          <w:b/>
          <w:i/>
          <w:kern w:val="28"/>
          <w:szCs w:val="56"/>
        </w:rPr>
        <w:t>“Cuentas bancarias y/o CLABE interbancaria de personas físicas y morales privadas.</w:t>
      </w:r>
      <w:r w:rsidRPr="00AF2E74">
        <w:rPr>
          <w:i/>
          <w:kern w:val="28"/>
          <w:szCs w:val="56"/>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1A09AD74" w14:textId="77777777" w:rsidR="00204C5A" w:rsidRPr="00AF2E74" w:rsidRDefault="00204C5A" w:rsidP="00D765A9">
      <w:pPr>
        <w:ind w:left="851" w:right="1134"/>
        <w:jc w:val="center"/>
        <w:rPr>
          <w:b/>
          <w:i/>
        </w:rPr>
      </w:pPr>
    </w:p>
    <w:p w14:paraId="00500B78" w14:textId="77777777" w:rsidR="00204C5A" w:rsidRPr="00AF2E74" w:rsidRDefault="00204C5A" w:rsidP="00D765A9">
      <w:pPr>
        <w:numPr>
          <w:ilvl w:val="0"/>
          <w:numId w:val="30"/>
        </w:numPr>
        <w:spacing w:after="160" w:line="256" w:lineRule="auto"/>
        <w:jc w:val="left"/>
        <w:rPr>
          <w:rFonts w:eastAsia="Palatino Linotype" w:cs="Palatino Linotype"/>
          <w:b/>
          <w:szCs w:val="22"/>
        </w:rPr>
      </w:pPr>
      <w:r w:rsidRPr="00AF2E74">
        <w:rPr>
          <w:rFonts w:eastAsia="Palatino Linotype" w:cs="Palatino Linotype"/>
          <w:b/>
          <w:szCs w:val="22"/>
        </w:rPr>
        <w:lastRenderedPageBreak/>
        <w:t>Número de empleado de servidores públicos o su equivalente</w:t>
      </w:r>
    </w:p>
    <w:p w14:paraId="19D4A348" w14:textId="77777777" w:rsidR="00204C5A" w:rsidRPr="00AF2E74" w:rsidRDefault="00204C5A" w:rsidP="00D765A9"/>
    <w:p w14:paraId="0D88CCD7" w14:textId="77777777" w:rsidR="00204C5A" w:rsidRPr="00AF2E74" w:rsidRDefault="00204C5A" w:rsidP="00D765A9">
      <w:r w:rsidRPr="00AF2E74">
        <w:t xml:space="preserve">Por otro lado, es necesario precisar que el </w:t>
      </w:r>
      <w:r w:rsidRPr="00AF2E74">
        <w:rPr>
          <w:b/>
        </w:rPr>
        <w:t>número de empleado de servidores públicos o su equivalente</w:t>
      </w:r>
      <w:r w:rsidRPr="00AF2E74">
        <w:t xml:space="preserve">, con independencia del nombre que reciba, constituye un instrumento de control interno que permite a las dependencias y entidades identificar a sus trabajadores y a estos les facilita la realización de gestiones en su carácter de empleado. </w:t>
      </w:r>
    </w:p>
    <w:p w14:paraId="5427011E" w14:textId="77777777" w:rsidR="00204C5A" w:rsidRPr="00AF2E74" w:rsidRDefault="00204C5A" w:rsidP="00D765A9">
      <w:pPr>
        <w:spacing w:before="240" w:after="240"/>
        <w:ind w:right="49"/>
      </w:pPr>
      <w:r w:rsidRPr="00AF2E74">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7762C3F4" w14:textId="77777777" w:rsidR="00204C5A" w:rsidRPr="00AF2E74" w:rsidRDefault="00204C5A" w:rsidP="00D765A9">
      <w:pPr>
        <w:spacing w:before="240" w:after="240"/>
        <w:ind w:right="49"/>
      </w:pPr>
      <w:r w:rsidRPr="00AF2E74">
        <w:t xml:space="preserve">Lo anterior, toma sustento en el Criterio de Interpretación, de la Segunda Época, con número de registro SO/006/2019, emitido por el Instituto Nacional de Transparencia, Acceso a la Información y Protección de Datos Personales, que establece lo siguiente: </w:t>
      </w:r>
    </w:p>
    <w:p w14:paraId="230454D0" w14:textId="77777777" w:rsidR="00204C5A" w:rsidRPr="00AF2E74" w:rsidRDefault="00204C5A" w:rsidP="00D765A9">
      <w:pPr>
        <w:spacing w:line="240" w:lineRule="auto"/>
        <w:ind w:left="567" w:right="567"/>
        <w:contextualSpacing/>
        <w:rPr>
          <w:i/>
          <w:kern w:val="28"/>
          <w:szCs w:val="56"/>
        </w:rPr>
      </w:pPr>
      <w:r w:rsidRPr="00AF2E74">
        <w:rPr>
          <w:i/>
          <w:kern w:val="28"/>
          <w:szCs w:val="56"/>
        </w:rPr>
        <w:t>“</w:t>
      </w:r>
      <w:r w:rsidRPr="00AF2E74">
        <w:rPr>
          <w:b/>
          <w:i/>
          <w:kern w:val="28"/>
          <w:szCs w:val="56"/>
        </w:rPr>
        <w:t>Número de empleado.</w:t>
      </w:r>
      <w:r w:rsidRPr="00AF2E74">
        <w:rPr>
          <w:i/>
          <w:kern w:val="28"/>
          <w:szCs w:val="56"/>
        </w:rPr>
        <w:t xml:space="preserve">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 </w:t>
      </w:r>
    </w:p>
    <w:p w14:paraId="78367C10" w14:textId="77777777" w:rsidR="00204C5A" w:rsidRPr="00AF2E74" w:rsidRDefault="00204C5A" w:rsidP="00D765A9">
      <w:pPr>
        <w:spacing w:line="240" w:lineRule="auto"/>
        <w:ind w:left="567" w:right="567"/>
        <w:contextualSpacing/>
        <w:rPr>
          <w:i/>
          <w:kern w:val="28"/>
          <w:szCs w:val="56"/>
        </w:rPr>
      </w:pPr>
    </w:p>
    <w:p w14:paraId="5D425D1C" w14:textId="77777777" w:rsidR="00204C5A" w:rsidRPr="00AF2E74" w:rsidRDefault="00204C5A" w:rsidP="00D765A9">
      <w:pPr>
        <w:ind w:right="49"/>
      </w:pPr>
      <w:r w:rsidRPr="00AF2E74">
        <w:t xml:space="preserve">Así, se colige que solamente procederá la clasificación del número de empleado, cuando se integre con datos personales de los servidores públicos o funcione como clave de acceso que no requiera una contraseña para ingresar a sistemas o bases de datos. De tales circunstancias, se considera que el Ente Recurrido deberá proporcionar dicho dato, en el caso, de que este se conforme únicamente de números, símbolos o dígitos, que de ninguna manera puedan revelar datos personales o de acceso a sistemas con información de los trabajadores; en el caso </w:t>
      </w:r>
      <w:r w:rsidRPr="00AF2E74">
        <w:lastRenderedPageBreak/>
        <w:t>contrario, procederá su clasificación, en términos del artículo 143, fracción I, de la Ley de la materia.</w:t>
      </w:r>
    </w:p>
    <w:p w14:paraId="55FAD935" w14:textId="77777777" w:rsidR="00204C5A" w:rsidRPr="00AF2E74" w:rsidRDefault="00204C5A" w:rsidP="00D765A9"/>
    <w:p w14:paraId="1315D668" w14:textId="2BCC0FE0" w:rsidR="00BD67FB" w:rsidRPr="00AF2E74" w:rsidRDefault="00D765A9" w:rsidP="00D765A9">
      <w:pPr>
        <w:pStyle w:val="Ttulo3"/>
      </w:pPr>
      <w:bookmarkStart w:id="47" w:name="_Toc170932829"/>
      <w:bookmarkStart w:id="48" w:name="_Toc212100993"/>
      <w:r w:rsidRPr="00AF2E74">
        <w:t>e</w:t>
      </w:r>
      <w:r w:rsidR="00BD67FB" w:rsidRPr="00AF2E74">
        <w:t>) Conclusión</w:t>
      </w:r>
      <w:bookmarkEnd w:id="47"/>
      <w:bookmarkEnd w:id="48"/>
    </w:p>
    <w:p w14:paraId="47CF17D1" w14:textId="4809952A" w:rsidR="00BD67FB" w:rsidRPr="00AF2E74" w:rsidRDefault="000E3AC8" w:rsidP="00D765A9">
      <w:pPr>
        <w:widowControl w:val="0"/>
        <w:tabs>
          <w:tab w:val="left" w:pos="1701"/>
          <w:tab w:val="left" w:pos="1843"/>
        </w:tabs>
        <w:rPr>
          <w:rFonts w:eastAsia="Palatino Linotype" w:cs="Palatino Linotype"/>
        </w:rPr>
      </w:pPr>
      <w:r w:rsidRPr="00AF2E74">
        <w:rPr>
          <w:rFonts w:eastAsia="Palatino Linotype" w:cs="Palatino Linotype"/>
        </w:rPr>
        <w:t>Debido a</w:t>
      </w:r>
      <w:r w:rsidR="00BD67FB" w:rsidRPr="00AF2E74">
        <w:rPr>
          <w:rFonts w:eastAsia="Palatino Linotype" w:cs="Palatino Linotype"/>
        </w:rPr>
        <w:t xml:space="preserve"> lo anteriormente expuesto, este Instituto estima que las razones o motivos de inconformidad hechos valer por </w:t>
      </w:r>
      <w:r w:rsidR="00BD67FB" w:rsidRPr="00AF2E74">
        <w:rPr>
          <w:rFonts w:eastAsia="Aptos" w:cs="Tahoma"/>
          <w:b/>
          <w:iCs/>
          <w:szCs w:val="22"/>
          <w:lang w:eastAsia="en-US"/>
        </w:rPr>
        <w:t>LA PARTE RECURRENTE</w:t>
      </w:r>
      <w:r w:rsidR="00BD67FB" w:rsidRPr="00AF2E74">
        <w:rPr>
          <w:rFonts w:eastAsia="Aptos" w:cs="Tahoma"/>
          <w:bCs/>
          <w:iCs/>
          <w:szCs w:val="22"/>
          <w:lang w:eastAsia="en-US"/>
        </w:rPr>
        <w:t xml:space="preserve"> </w:t>
      </w:r>
      <w:r w:rsidR="00BD67FB" w:rsidRPr="00AF2E74">
        <w:rPr>
          <w:rFonts w:eastAsia="Palatino Linotype" w:cs="Palatino Linotype"/>
        </w:rPr>
        <w:t xml:space="preserve">devienen </w:t>
      </w:r>
      <w:r w:rsidR="00BD67FB" w:rsidRPr="00AF2E74">
        <w:rPr>
          <w:rFonts w:eastAsia="Palatino Linotype" w:cs="Palatino Linotype"/>
          <w:b/>
        </w:rPr>
        <w:t>fundadas</w:t>
      </w:r>
      <w:r w:rsidR="00BD67FB" w:rsidRPr="00AF2E74">
        <w:rPr>
          <w:rFonts w:eastAsia="Palatino Linotype" w:cs="Palatino Linotype"/>
        </w:rPr>
        <w:t xml:space="preserve"> y suficientes para </w:t>
      </w:r>
      <w:r w:rsidR="00DE5AD6" w:rsidRPr="00AF2E74">
        <w:rPr>
          <w:rFonts w:eastAsia="Palatino Linotype" w:cs="Palatino Linotype"/>
          <w:b/>
        </w:rPr>
        <w:t>MODIFICA</w:t>
      </w:r>
      <w:r w:rsidR="00BD67FB" w:rsidRPr="00AF2E74">
        <w:rPr>
          <w:rFonts w:eastAsia="Palatino Linotype" w:cs="Palatino Linotype"/>
        </w:rPr>
        <w:t xml:space="preserve"> la respuesta del </w:t>
      </w:r>
      <w:r w:rsidR="00BD67FB" w:rsidRPr="00AF2E74">
        <w:rPr>
          <w:rFonts w:eastAsia="Palatino Linotype" w:cs="Palatino Linotype"/>
          <w:b/>
        </w:rPr>
        <w:t>SUJETO OBLIGADO</w:t>
      </w:r>
      <w:r w:rsidR="00BD67FB" w:rsidRPr="00AF2E74">
        <w:rPr>
          <w:rFonts w:eastAsia="Palatino Linotype" w:cs="Palatino Linotype"/>
        </w:rPr>
        <w:t xml:space="preserve"> y ordenarle haga entrega de la información descrita en el presente Considerando.</w:t>
      </w:r>
    </w:p>
    <w:p w14:paraId="1A7E2143" w14:textId="77777777" w:rsidR="00BD67FB" w:rsidRPr="00AF2E74" w:rsidRDefault="00BD67FB" w:rsidP="00D765A9">
      <w:pPr>
        <w:rPr>
          <w:rFonts w:cs="Tahoma"/>
          <w:szCs w:val="24"/>
        </w:rPr>
      </w:pPr>
    </w:p>
    <w:bookmarkEnd w:id="40"/>
    <w:p w14:paraId="66C269F2" w14:textId="0619A70E" w:rsidR="002207C2" w:rsidRPr="00AF2E74" w:rsidRDefault="002207C2" w:rsidP="00D765A9">
      <w:pPr>
        <w:ind w:right="-93"/>
        <w:rPr>
          <w:rFonts w:cs="Tahoma"/>
          <w:bCs/>
          <w:szCs w:val="22"/>
        </w:rPr>
      </w:pPr>
      <w:r w:rsidRPr="00AF2E74">
        <w:rPr>
          <w:rFonts w:cs="Tahoma"/>
          <w:bCs/>
          <w:szCs w:val="22"/>
        </w:rPr>
        <w:t xml:space="preserve">Así, con fundamento en lo establecido en los artículos 5, </w:t>
      </w:r>
      <w:r w:rsidR="00674AB3" w:rsidRPr="00AF2E74">
        <w:rPr>
          <w:rFonts w:cs="Tahoma"/>
          <w:bCs/>
          <w:szCs w:val="22"/>
        </w:rPr>
        <w:t xml:space="preserve">párrafos trigésimo noveno, cuadragésimo y cuadragésimo primero, fracciones IV y V, </w:t>
      </w:r>
      <w:r w:rsidRPr="00AF2E74">
        <w:rPr>
          <w:rFonts w:cs="Tahoma"/>
          <w:bCs/>
          <w:szCs w:val="22"/>
        </w:rPr>
        <w:t>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212A84AD" w14:textId="58652F94" w:rsidR="00D765A9" w:rsidRPr="00AF2E74" w:rsidRDefault="00D765A9" w:rsidP="00D765A9">
      <w:pPr>
        <w:ind w:right="-93"/>
        <w:rPr>
          <w:rFonts w:cs="Tahoma"/>
          <w:bCs/>
          <w:szCs w:val="22"/>
        </w:rPr>
      </w:pPr>
    </w:p>
    <w:p w14:paraId="3CDF2BEA" w14:textId="22B8A4C2" w:rsidR="00D765A9" w:rsidRPr="00AF2E74" w:rsidRDefault="00D765A9" w:rsidP="00D765A9">
      <w:pPr>
        <w:ind w:right="-93"/>
        <w:rPr>
          <w:rFonts w:cs="Tahoma"/>
          <w:bCs/>
          <w:szCs w:val="22"/>
        </w:rPr>
      </w:pPr>
    </w:p>
    <w:p w14:paraId="20957262" w14:textId="37004A9C" w:rsidR="00D765A9" w:rsidRPr="00AF2E74" w:rsidRDefault="00D765A9" w:rsidP="00D765A9">
      <w:pPr>
        <w:ind w:right="-93"/>
        <w:rPr>
          <w:rFonts w:cs="Tahoma"/>
          <w:bCs/>
          <w:szCs w:val="22"/>
        </w:rPr>
      </w:pPr>
    </w:p>
    <w:p w14:paraId="213B0FA0" w14:textId="77777777" w:rsidR="00D765A9" w:rsidRPr="00AF2E74" w:rsidRDefault="00D765A9" w:rsidP="00D765A9">
      <w:pPr>
        <w:ind w:right="-93"/>
        <w:rPr>
          <w:rFonts w:cs="Tahoma"/>
          <w:bCs/>
          <w:szCs w:val="22"/>
        </w:rPr>
      </w:pPr>
    </w:p>
    <w:p w14:paraId="4B675FAD" w14:textId="77777777" w:rsidR="002207C2" w:rsidRPr="00AF2E74" w:rsidRDefault="002207C2" w:rsidP="00D765A9"/>
    <w:p w14:paraId="57CE45DD" w14:textId="77777777" w:rsidR="002207C2" w:rsidRPr="00AF2E74" w:rsidRDefault="002207C2" w:rsidP="00D765A9">
      <w:pPr>
        <w:pStyle w:val="Ttulo1"/>
      </w:pPr>
      <w:bookmarkStart w:id="49" w:name="_Toc204205573"/>
      <w:bookmarkStart w:id="50" w:name="_Toc212100994"/>
      <w:r w:rsidRPr="00AF2E74">
        <w:t>RESUELVE</w:t>
      </w:r>
      <w:bookmarkEnd w:id="49"/>
      <w:bookmarkEnd w:id="50"/>
    </w:p>
    <w:p w14:paraId="1F5B1D35" w14:textId="77777777" w:rsidR="002207C2" w:rsidRPr="00AF2E74" w:rsidRDefault="002207C2" w:rsidP="00D765A9">
      <w:pPr>
        <w:ind w:right="113"/>
        <w:rPr>
          <w:rFonts w:cs="Arial"/>
          <w:b/>
          <w:szCs w:val="22"/>
        </w:rPr>
      </w:pPr>
    </w:p>
    <w:p w14:paraId="057C3FA4" w14:textId="760DA943" w:rsidR="002207C2" w:rsidRPr="00AF2E74" w:rsidRDefault="002207C2" w:rsidP="00D765A9">
      <w:pPr>
        <w:widowControl w:val="0"/>
        <w:rPr>
          <w:rFonts w:eastAsia="Calibri" w:cs="Tahoma"/>
          <w:bCs/>
          <w:szCs w:val="22"/>
          <w:lang w:eastAsia="en-US"/>
        </w:rPr>
      </w:pPr>
      <w:r w:rsidRPr="00AF2E74">
        <w:rPr>
          <w:b/>
          <w:bCs/>
        </w:rPr>
        <w:t>PRIMERO.</w:t>
      </w:r>
      <w:r w:rsidRPr="00AF2E74">
        <w:t xml:space="preserve"> </w:t>
      </w:r>
      <w:r w:rsidRPr="00AF2E74">
        <w:rPr>
          <w:rFonts w:cs="Tahoma"/>
          <w:szCs w:val="22"/>
        </w:rPr>
        <w:t xml:space="preserve">Se </w:t>
      </w:r>
      <w:r w:rsidR="00DE5AD6" w:rsidRPr="00AF2E74">
        <w:rPr>
          <w:rFonts w:cs="Tahoma"/>
          <w:b/>
          <w:bCs/>
          <w:szCs w:val="22"/>
        </w:rPr>
        <w:t>MODIFICA</w:t>
      </w:r>
      <w:r w:rsidRPr="00AF2E74">
        <w:rPr>
          <w:rFonts w:cs="Tahoma"/>
          <w:szCs w:val="22"/>
        </w:rPr>
        <w:t xml:space="preserve"> la respuesta entregada por el </w:t>
      </w:r>
      <w:r w:rsidRPr="00AF2E74">
        <w:rPr>
          <w:rFonts w:cs="Tahoma"/>
          <w:b/>
          <w:bCs/>
          <w:szCs w:val="22"/>
        </w:rPr>
        <w:t>SUJETO OBLIGADO</w:t>
      </w:r>
      <w:r w:rsidRPr="00AF2E74">
        <w:rPr>
          <w:rFonts w:cs="Tahoma"/>
          <w:szCs w:val="22"/>
        </w:rPr>
        <w:t xml:space="preserve"> en la solicitud de información </w:t>
      </w:r>
      <w:r w:rsidR="00EB36C2" w:rsidRPr="00AF2E74">
        <w:rPr>
          <w:rFonts w:eastAsia="Calibri"/>
          <w:b/>
          <w:bCs/>
          <w:lang w:eastAsia="en-US"/>
        </w:rPr>
        <w:t>00020/DIFATIZARA/IP/2025</w:t>
      </w:r>
      <w:r w:rsidRPr="00AF2E74">
        <w:rPr>
          <w:rFonts w:eastAsia="Palatino Linotype"/>
          <w:b/>
          <w:szCs w:val="22"/>
        </w:rPr>
        <w:t>,</w:t>
      </w:r>
      <w:r w:rsidRPr="00AF2E74">
        <w:rPr>
          <w:rFonts w:cs="Tahoma"/>
          <w:bCs/>
          <w:szCs w:val="22"/>
        </w:rPr>
        <w:t xml:space="preserve"> </w:t>
      </w:r>
      <w:r w:rsidRPr="00AF2E74">
        <w:rPr>
          <w:rFonts w:eastAsia="Calibri" w:cs="Tahoma"/>
          <w:bCs/>
          <w:szCs w:val="22"/>
          <w:lang w:eastAsia="en-US"/>
        </w:rPr>
        <w:t xml:space="preserve">por resultar </w:t>
      </w:r>
      <w:r w:rsidRPr="00AF2E74">
        <w:rPr>
          <w:rFonts w:eastAsia="Calibri" w:cs="Tahoma"/>
          <w:b/>
          <w:bCs/>
          <w:szCs w:val="22"/>
          <w:lang w:eastAsia="en-US"/>
        </w:rPr>
        <w:t>FUNDADAS</w:t>
      </w:r>
      <w:r w:rsidRPr="00AF2E74">
        <w:rPr>
          <w:rFonts w:eastAsia="Calibri" w:cs="Tahoma"/>
          <w:bCs/>
          <w:szCs w:val="22"/>
          <w:lang w:eastAsia="en-US"/>
        </w:rPr>
        <w:t xml:space="preserve"> las razones o motivos de inconformidad hechos valer por </w:t>
      </w:r>
      <w:r w:rsidRPr="00AF2E74">
        <w:rPr>
          <w:rFonts w:eastAsia="Calibri" w:cs="Tahoma"/>
          <w:b/>
          <w:szCs w:val="22"/>
          <w:lang w:eastAsia="en-US"/>
        </w:rPr>
        <w:t>LA PARTE RECURRENTE</w:t>
      </w:r>
      <w:r w:rsidRPr="00AF2E74">
        <w:rPr>
          <w:rFonts w:eastAsia="Calibri" w:cs="Tahoma"/>
          <w:bCs/>
          <w:szCs w:val="22"/>
          <w:lang w:eastAsia="en-US"/>
        </w:rPr>
        <w:t xml:space="preserve"> en el Recurso de Revisión </w:t>
      </w:r>
      <w:r w:rsidR="00933895" w:rsidRPr="00AF2E74">
        <w:rPr>
          <w:rFonts w:eastAsia="Calibri"/>
          <w:b/>
          <w:lang w:eastAsia="en-US"/>
        </w:rPr>
        <w:t>10312</w:t>
      </w:r>
      <w:r w:rsidRPr="00AF2E74">
        <w:rPr>
          <w:rFonts w:eastAsia="Calibri"/>
          <w:b/>
          <w:lang w:eastAsia="en-US"/>
        </w:rPr>
        <w:t>/INFOEM/IP/RR/2025</w:t>
      </w:r>
      <w:r w:rsidRPr="00AF2E74">
        <w:rPr>
          <w:rFonts w:eastAsiaTheme="minorHAnsi" w:cstheme="minorBidi"/>
          <w:szCs w:val="22"/>
          <w:lang w:eastAsia="en-US"/>
        </w:rPr>
        <w:t>,</w:t>
      </w:r>
      <w:r w:rsidRPr="00AF2E74">
        <w:rPr>
          <w:rFonts w:cs="Tahoma"/>
          <w:b/>
          <w:szCs w:val="22"/>
        </w:rPr>
        <w:t xml:space="preserve"> </w:t>
      </w:r>
      <w:r w:rsidRPr="00AF2E74">
        <w:rPr>
          <w:rFonts w:eastAsia="Calibri" w:cs="Tahoma"/>
          <w:bCs/>
          <w:szCs w:val="22"/>
          <w:lang w:eastAsia="en-US"/>
        </w:rPr>
        <w:t xml:space="preserve">en términos del considerando </w:t>
      </w:r>
      <w:r w:rsidRPr="00AF2E74">
        <w:rPr>
          <w:rFonts w:eastAsia="Calibri" w:cs="Tahoma"/>
          <w:b/>
          <w:szCs w:val="22"/>
          <w:lang w:eastAsia="en-US"/>
        </w:rPr>
        <w:t>SEGUNDO</w:t>
      </w:r>
      <w:r w:rsidRPr="00AF2E74">
        <w:rPr>
          <w:rFonts w:eastAsia="Calibri" w:cs="Tahoma"/>
          <w:bCs/>
          <w:szCs w:val="22"/>
          <w:lang w:eastAsia="en-US"/>
        </w:rPr>
        <w:t xml:space="preserve"> de la presente Resolución.</w:t>
      </w:r>
    </w:p>
    <w:p w14:paraId="0B595F92" w14:textId="4FB6EFE5" w:rsidR="002207C2" w:rsidRPr="00AF2E74" w:rsidRDefault="002207C2" w:rsidP="00D765A9">
      <w:pPr>
        <w:ind w:right="-93"/>
        <w:rPr>
          <w:rFonts w:eastAsia="Calibri" w:cs="Tahoma"/>
          <w:bCs/>
          <w:szCs w:val="22"/>
          <w:lang w:eastAsia="en-US"/>
        </w:rPr>
      </w:pPr>
      <w:r w:rsidRPr="00AF2E74">
        <w:rPr>
          <w:rFonts w:eastAsia="Calibri" w:cs="Tahoma"/>
          <w:b/>
          <w:bCs/>
          <w:szCs w:val="22"/>
          <w:lang w:eastAsia="en-US"/>
        </w:rPr>
        <w:lastRenderedPageBreak/>
        <w:t>SEGUNDO.</w:t>
      </w:r>
      <w:r w:rsidRPr="00AF2E74">
        <w:rPr>
          <w:rFonts w:eastAsia="Calibri" w:cs="Tahoma"/>
          <w:szCs w:val="22"/>
          <w:lang w:eastAsia="es-MX"/>
        </w:rPr>
        <w:t xml:space="preserve"> Se </w:t>
      </w:r>
      <w:r w:rsidRPr="00AF2E74">
        <w:rPr>
          <w:rFonts w:eastAsia="Calibri" w:cs="Tahoma"/>
          <w:b/>
          <w:szCs w:val="22"/>
          <w:lang w:eastAsia="es-MX"/>
        </w:rPr>
        <w:t xml:space="preserve">ORDENA </w:t>
      </w:r>
      <w:r w:rsidRPr="00AF2E74">
        <w:rPr>
          <w:rFonts w:eastAsia="Calibri" w:cs="Tahoma"/>
          <w:szCs w:val="22"/>
          <w:lang w:eastAsia="es-MX"/>
        </w:rPr>
        <w:t xml:space="preserve">al </w:t>
      </w:r>
      <w:r w:rsidRPr="00AF2E74">
        <w:rPr>
          <w:rFonts w:eastAsia="Calibri" w:cs="Tahoma"/>
          <w:b/>
          <w:bCs/>
          <w:szCs w:val="22"/>
          <w:lang w:eastAsia="es-MX"/>
        </w:rPr>
        <w:t>SUJETO OBLIGADO</w:t>
      </w:r>
      <w:r w:rsidRPr="00AF2E74">
        <w:rPr>
          <w:rFonts w:eastAsia="Calibri" w:cs="Tahoma"/>
          <w:szCs w:val="22"/>
          <w:lang w:eastAsia="es-MX"/>
        </w:rPr>
        <w:t xml:space="preserve">, </w:t>
      </w:r>
      <w:r w:rsidRPr="00AF2E74">
        <w:rPr>
          <w:rFonts w:eastAsia="Calibri" w:cs="Tahoma"/>
          <w:bCs/>
          <w:szCs w:val="22"/>
          <w:lang w:eastAsia="en-US"/>
        </w:rPr>
        <w:t xml:space="preserve">a efecto de que entregue </w:t>
      </w:r>
      <w:r w:rsidR="004B216A" w:rsidRPr="00AF2E74">
        <w:rPr>
          <w:rFonts w:eastAsia="Calibri"/>
        </w:rPr>
        <w:t>en</w:t>
      </w:r>
      <w:r w:rsidR="000B6D9A" w:rsidRPr="00AF2E74">
        <w:rPr>
          <w:rFonts w:eastAsia="Calibri"/>
        </w:rPr>
        <w:t xml:space="preserve"> </w:t>
      </w:r>
      <w:r w:rsidR="000B6D9A" w:rsidRPr="00AF2E74">
        <w:rPr>
          <w:rFonts w:eastAsia="Calibri"/>
          <w:b/>
          <w:bCs/>
        </w:rPr>
        <w:t xml:space="preserve">correcta </w:t>
      </w:r>
      <w:r w:rsidR="004B216A" w:rsidRPr="00AF2E74">
        <w:rPr>
          <w:rFonts w:eastAsia="Calibri"/>
          <w:b/>
        </w:rPr>
        <w:t xml:space="preserve">versión pública </w:t>
      </w:r>
      <w:r w:rsidRPr="00AF2E74">
        <w:rPr>
          <w:rFonts w:eastAsia="Calibri" w:cs="Tahoma"/>
          <w:bCs/>
          <w:szCs w:val="22"/>
          <w:lang w:eastAsia="en-US"/>
        </w:rPr>
        <w:t>lo siguiente:</w:t>
      </w:r>
    </w:p>
    <w:p w14:paraId="7E58A8E1" w14:textId="77777777" w:rsidR="004B216A" w:rsidRPr="00AF2E74" w:rsidRDefault="004B216A" w:rsidP="00D765A9">
      <w:pPr>
        <w:ind w:right="-93"/>
        <w:rPr>
          <w:rFonts w:eastAsia="Calibri" w:cs="Tahoma"/>
          <w:bCs/>
          <w:szCs w:val="22"/>
          <w:lang w:eastAsia="en-US"/>
        </w:rPr>
      </w:pPr>
    </w:p>
    <w:p w14:paraId="6DF54B36" w14:textId="6B75F786" w:rsidR="004B216A" w:rsidRPr="00AF2E74" w:rsidRDefault="007B745A" w:rsidP="00D765A9">
      <w:pPr>
        <w:pStyle w:val="Puesto"/>
        <w:rPr>
          <w:b/>
        </w:rPr>
      </w:pPr>
      <w:r w:rsidRPr="00AF2E74">
        <w:rPr>
          <w:b/>
        </w:rPr>
        <w:t>La conciliación de nómina</w:t>
      </w:r>
      <w:r w:rsidR="00933895" w:rsidRPr="00AF2E74">
        <w:rPr>
          <w:b/>
        </w:rPr>
        <w:t xml:space="preserve"> y comprante bancario de dispersión de nómina, </w:t>
      </w:r>
      <w:r w:rsidRPr="00AF2E74">
        <w:rPr>
          <w:b/>
        </w:rPr>
        <w:t xml:space="preserve">correspondiente a la </w:t>
      </w:r>
      <w:r w:rsidR="00933895" w:rsidRPr="00AF2E74">
        <w:rPr>
          <w:b/>
        </w:rPr>
        <w:t xml:space="preserve">primera y </w:t>
      </w:r>
      <w:r w:rsidRPr="00AF2E74">
        <w:rPr>
          <w:b/>
        </w:rPr>
        <w:t xml:space="preserve">segunda quincena de </w:t>
      </w:r>
      <w:r w:rsidR="00933895" w:rsidRPr="00AF2E74">
        <w:rPr>
          <w:b/>
        </w:rPr>
        <w:t xml:space="preserve">enero, febrero, marzo, abril, mayo, </w:t>
      </w:r>
      <w:r w:rsidRPr="00AF2E74">
        <w:rPr>
          <w:b/>
        </w:rPr>
        <w:t>junio</w:t>
      </w:r>
      <w:r w:rsidR="00933895" w:rsidRPr="00AF2E74">
        <w:rPr>
          <w:b/>
        </w:rPr>
        <w:t xml:space="preserve"> y julio </w:t>
      </w:r>
      <w:r w:rsidRPr="00AF2E74">
        <w:rPr>
          <w:b/>
        </w:rPr>
        <w:t>de 2025</w:t>
      </w:r>
      <w:r w:rsidR="000B6D9A" w:rsidRPr="00AF2E74">
        <w:rPr>
          <w:b/>
        </w:rPr>
        <w:t xml:space="preserve"> remitidos en Informe Justificado</w:t>
      </w:r>
      <w:r w:rsidRPr="00AF2E74">
        <w:rPr>
          <w:b/>
        </w:rPr>
        <w:t xml:space="preserve">. </w:t>
      </w:r>
    </w:p>
    <w:p w14:paraId="078C15ED" w14:textId="77777777" w:rsidR="007B745A" w:rsidRPr="00AF2E74" w:rsidRDefault="007B745A" w:rsidP="00D765A9"/>
    <w:p w14:paraId="73DDFCE0" w14:textId="5E4BA1ED" w:rsidR="004B216A" w:rsidRPr="00AF2E74" w:rsidRDefault="007B745A" w:rsidP="00D765A9">
      <w:pPr>
        <w:rPr>
          <w:bCs/>
        </w:rPr>
      </w:pPr>
      <w:r w:rsidRPr="00AF2E74">
        <w:rPr>
          <w:rFonts w:eastAsia="Calibri" w:cs="Tahoma"/>
          <w:bCs/>
          <w:szCs w:val="22"/>
          <w:lang w:eastAsia="en-US"/>
        </w:rPr>
        <w:t>Para</w:t>
      </w:r>
      <w:r w:rsidR="004B216A" w:rsidRPr="00AF2E74">
        <w:rPr>
          <w:rFonts w:eastAsia="Calibri" w:cs="Tahoma"/>
          <w:bCs/>
          <w:szCs w:val="22"/>
          <w:lang w:eastAsia="en-US"/>
        </w:rPr>
        <w:t xml:space="preserve"> las </w:t>
      </w:r>
      <w:r w:rsidR="004B216A" w:rsidRPr="00AF2E74">
        <w:rPr>
          <w:rFonts w:eastAsia="Palatino Linotype" w:cs="Palatino Linotype"/>
          <w:szCs w:val="22"/>
        </w:rPr>
        <w:t>versiones</w:t>
      </w:r>
      <w:r w:rsidR="004B216A" w:rsidRPr="00AF2E74">
        <w:rPr>
          <w:rFonts w:eastAsia="Calibri" w:cs="Tahoma"/>
          <w:bCs/>
          <w:szCs w:val="22"/>
          <w:lang w:eastAsia="en-US"/>
        </w:rPr>
        <w:t xml:space="preserve"> públicas</w:t>
      </w:r>
      <w:r w:rsidR="004B216A" w:rsidRPr="00AF2E74">
        <w:rPr>
          <w:bCs/>
        </w:rPr>
        <w:t>,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168FDA0A" w14:textId="77777777" w:rsidR="007B745A" w:rsidRPr="00AF2E74" w:rsidRDefault="007B745A" w:rsidP="00D765A9">
      <w:pPr>
        <w:rPr>
          <w:b/>
          <w:bCs/>
        </w:rPr>
      </w:pPr>
    </w:p>
    <w:p w14:paraId="780F791D" w14:textId="77777777" w:rsidR="002207C2" w:rsidRPr="00AF2E74" w:rsidRDefault="002207C2" w:rsidP="00D765A9">
      <w:r w:rsidRPr="00AF2E74">
        <w:rPr>
          <w:b/>
          <w:bCs/>
        </w:rPr>
        <w:t>TERCERO.</w:t>
      </w:r>
      <w:r w:rsidRPr="00AF2E74">
        <w:t xml:space="preserve"> </w:t>
      </w:r>
      <w:r w:rsidRPr="00AF2E74">
        <w:rPr>
          <w:rFonts w:eastAsia="Palatino Linotype" w:cs="Palatino Linotype"/>
          <w:b/>
          <w:lang w:eastAsia="es-MX"/>
        </w:rPr>
        <w:t xml:space="preserve">Notifíquese </w:t>
      </w:r>
      <w:r w:rsidRPr="00AF2E74">
        <w:rPr>
          <w:szCs w:val="17"/>
          <w:lang w:eastAsia="es-ES_tradnl"/>
        </w:rPr>
        <w:t xml:space="preserve">vía </w:t>
      </w:r>
      <w:r w:rsidRPr="00AF2E74">
        <w:rPr>
          <w:rFonts w:cs="Arial"/>
        </w:rPr>
        <w:t>Sistema de Acceso a la Información Mexiquense (</w:t>
      </w:r>
      <w:r w:rsidRPr="00AF2E74">
        <w:rPr>
          <w:rFonts w:cs="Arial"/>
          <w:b/>
          <w:bCs/>
        </w:rPr>
        <w:t>SAIMEX)</w:t>
      </w:r>
      <w:r w:rsidRPr="00AF2E74">
        <w:rPr>
          <w:shd w:val="clear" w:color="auto" w:fill="FFFFFF"/>
        </w:rPr>
        <w:t xml:space="preserve"> la presente resolución al Titular de la Unidad de Transparencia del Sujeto Obligado</w:t>
      </w:r>
      <w:r w:rsidRPr="00AF2E74">
        <w:t xml:space="preserve">, para que conforme al artículo 186 último párrafo, 189 segundo párrafo y 194 de la Ley de Transparencia y Acceso a la Información Pública del Estado de México y Municipios, dé cumplimiento a lo ordenado dentro del plazo de </w:t>
      </w:r>
      <w:r w:rsidRPr="00AF2E74">
        <w:rPr>
          <w:b/>
          <w:bCs/>
        </w:rPr>
        <w:t>diez días hábiles</w:t>
      </w:r>
      <w:r w:rsidRPr="00AF2E74">
        <w:t xml:space="preserve">, e informe a este Instituto en un plazo de </w:t>
      </w:r>
      <w:r w:rsidRPr="00AF2E74">
        <w:rPr>
          <w:b/>
          <w:bCs/>
        </w:rPr>
        <w:t>tres días hábiles</w:t>
      </w:r>
      <w:r w:rsidRPr="00AF2E74">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4A64559" w14:textId="77777777" w:rsidR="002207C2" w:rsidRPr="00AF2E74" w:rsidRDefault="002207C2" w:rsidP="00D765A9"/>
    <w:p w14:paraId="79BF2BE3" w14:textId="77777777" w:rsidR="002207C2" w:rsidRPr="00AF2E74" w:rsidRDefault="002207C2" w:rsidP="00D765A9">
      <w:r w:rsidRPr="00AF2E74">
        <w:rPr>
          <w:b/>
          <w:bCs/>
        </w:rPr>
        <w:t>CUARTO.</w:t>
      </w:r>
      <w:r w:rsidRPr="00AF2E74">
        <w:t xml:space="preserve"> Notifíquese a </w:t>
      </w:r>
      <w:r w:rsidRPr="00AF2E74">
        <w:rPr>
          <w:b/>
          <w:bCs/>
        </w:rPr>
        <w:t>LA PARTE RECURRENTE</w:t>
      </w:r>
      <w:r w:rsidRPr="00AF2E74">
        <w:t xml:space="preserve"> la presente resolución vía Sistema de Acceso a la Información Mexiquense (SAIMEX).</w:t>
      </w:r>
    </w:p>
    <w:p w14:paraId="3603AB63" w14:textId="77777777" w:rsidR="002207C2" w:rsidRPr="00AF2E74" w:rsidRDefault="002207C2" w:rsidP="00D765A9"/>
    <w:p w14:paraId="45D2BB9F" w14:textId="7B7759BA" w:rsidR="002207C2" w:rsidRPr="00AF2E74" w:rsidRDefault="002207C2" w:rsidP="00D765A9">
      <w:r w:rsidRPr="00AF2E74">
        <w:rPr>
          <w:b/>
          <w:bCs/>
        </w:rPr>
        <w:lastRenderedPageBreak/>
        <w:t>QUINTO</w:t>
      </w:r>
      <w:r w:rsidRPr="00AF2E74">
        <w:t xml:space="preserve">. Hágase del conocimiento a </w:t>
      </w:r>
      <w:r w:rsidRPr="00AF2E74">
        <w:rPr>
          <w:b/>
          <w:bCs/>
        </w:rPr>
        <w:t>LA PARTE RECURRENTE</w:t>
      </w:r>
      <w:r w:rsidRPr="00AF2E74">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2CBA3347" w14:textId="77777777" w:rsidR="00D765A9" w:rsidRPr="00AF2E74" w:rsidRDefault="00D765A9" w:rsidP="00D765A9"/>
    <w:p w14:paraId="564F1E9B" w14:textId="77777777" w:rsidR="002207C2" w:rsidRPr="00AF2E74" w:rsidRDefault="002207C2" w:rsidP="00D765A9">
      <w:r w:rsidRPr="00AF2E74">
        <w:rPr>
          <w:b/>
          <w:bCs/>
        </w:rPr>
        <w:t>SEXTO.</w:t>
      </w:r>
      <w:r w:rsidRPr="00AF2E74">
        <w:t xml:space="preserve"> De conformidad con el artículo 198 de la Ley de Transparencia y Acceso a la Información Pública del Estado de México y Municipios, el </w:t>
      </w:r>
      <w:r w:rsidRPr="00AF2E74">
        <w:rPr>
          <w:b/>
          <w:bCs/>
        </w:rPr>
        <w:t>SUJETO OBLIGADO</w:t>
      </w:r>
      <w:r w:rsidRPr="00AF2E74">
        <w:t xml:space="preserve"> podrá solicitar una ampliación de plazo de manera fundada y motivada, para el cumplimiento de la presente resolución.</w:t>
      </w:r>
    </w:p>
    <w:p w14:paraId="345601B7" w14:textId="77777777" w:rsidR="002207C2" w:rsidRPr="00AF2E74" w:rsidRDefault="002207C2" w:rsidP="00D765A9">
      <w:pPr>
        <w:pStyle w:val="Prrafodelista"/>
        <w:widowControl w:val="0"/>
        <w:autoSpaceDE w:val="0"/>
        <w:autoSpaceDN w:val="0"/>
        <w:adjustRightInd w:val="0"/>
        <w:ind w:left="0"/>
      </w:pPr>
    </w:p>
    <w:p w14:paraId="2227B68C" w14:textId="77777777" w:rsidR="000B6D9A" w:rsidRPr="00AF2E74" w:rsidRDefault="000B6D9A" w:rsidP="00D765A9">
      <w:pPr>
        <w:ind w:right="-93"/>
      </w:pPr>
      <w:r w:rsidRPr="00AF2E74">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VEINTIDÓS DE OCTUBRE DE DOS MIL VEINTICINCO ANTE EL SECRETARIO TÉCNICO DEL PLENO, ALEXIS TAPIA RAMÍREZ.</w:t>
      </w:r>
    </w:p>
    <w:p w14:paraId="4925C9AB" w14:textId="77777777" w:rsidR="002207C2" w:rsidRPr="00D765A9" w:rsidRDefault="002207C2" w:rsidP="00D765A9">
      <w:pPr>
        <w:ind w:right="-93"/>
        <w:rPr>
          <w:rFonts w:eastAsia="Palatino Linotype" w:cs="Palatino Linotype"/>
          <w:sz w:val="20"/>
        </w:rPr>
      </w:pPr>
      <w:r w:rsidRPr="00AF2E74">
        <w:rPr>
          <w:rFonts w:eastAsia="Palatino Linotype" w:cs="Palatino Linotype"/>
          <w:sz w:val="20"/>
        </w:rPr>
        <w:t>SCMM/AGZ/DEMF/RPG</w:t>
      </w:r>
      <w:bookmarkStart w:id="51" w:name="_GoBack"/>
      <w:bookmarkEnd w:id="51"/>
    </w:p>
    <w:p w14:paraId="5BF3172C" w14:textId="77777777" w:rsidR="00B822AE" w:rsidRPr="00D765A9" w:rsidRDefault="00B822AE" w:rsidP="00D765A9">
      <w:pPr>
        <w:spacing w:after="160" w:line="259" w:lineRule="auto"/>
        <w:jc w:val="left"/>
        <w:rPr>
          <w:rFonts w:eastAsia="Palatino Linotype" w:cs="Palatino Linotype"/>
          <w:sz w:val="20"/>
        </w:rPr>
      </w:pPr>
      <w:r w:rsidRPr="00D765A9">
        <w:rPr>
          <w:rFonts w:eastAsia="Palatino Linotype" w:cs="Palatino Linotype"/>
          <w:sz w:val="20"/>
        </w:rPr>
        <w:br w:type="page"/>
      </w:r>
    </w:p>
    <w:p w14:paraId="1A2522A6" w14:textId="77777777" w:rsidR="009C04A8" w:rsidRPr="00D765A9" w:rsidRDefault="009C04A8" w:rsidP="00D765A9">
      <w:pPr>
        <w:ind w:right="-93"/>
        <w:rPr>
          <w:rFonts w:eastAsia="Calibri" w:cs="Tahoma"/>
          <w:szCs w:val="22"/>
          <w:lang w:val="es-ES"/>
        </w:rPr>
      </w:pPr>
    </w:p>
    <w:p w14:paraId="696BC976" w14:textId="77777777" w:rsidR="00664420" w:rsidRPr="00D765A9" w:rsidRDefault="00664420" w:rsidP="00D765A9">
      <w:pPr>
        <w:ind w:right="-93"/>
        <w:rPr>
          <w:rFonts w:eastAsia="Calibri" w:cs="Tahoma"/>
          <w:bCs/>
          <w:szCs w:val="22"/>
          <w:lang w:val="es-ES" w:eastAsia="en-US"/>
        </w:rPr>
      </w:pPr>
    </w:p>
    <w:p w14:paraId="671CB0C5" w14:textId="77777777" w:rsidR="00664420" w:rsidRPr="00D765A9" w:rsidRDefault="00664420" w:rsidP="00D765A9">
      <w:pPr>
        <w:ind w:right="-93"/>
        <w:rPr>
          <w:rFonts w:eastAsia="Calibri" w:cs="Tahoma"/>
          <w:bCs/>
          <w:szCs w:val="22"/>
          <w:lang w:val="es-ES_tradnl" w:eastAsia="en-US"/>
        </w:rPr>
      </w:pPr>
    </w:p>
    <w:p w14:paraId="6FDF3D7E" w14:textId="77777777" w:rsidR="00664420" w:rsidRPr="00D765A9" w:rsidRDefault="00664420" w:rsidP="00D765A9">
      <w:pPr>
        <w:tabs>
          <w:tab w:val="center" w:pos="4568"/>
        </w:tabs>
        <w:ind w:right="-93"/>
        <w:rPr>
          <w:rFonts w:eastAsia="Calibri" w:cs="Tahoma"/>
          <w:bCs/>
          <w:szCs w:val="22"/>
          <w:lang w:eastAsia="en-US"/>
        </w:rPr>
      </w:pPr>
    </w:p>
    <w:p w14:paraId="6246F818" w14:textId="77777777" w:rsidR="00664420" w:rsidRPr="00D765A9" w:rsidRDefault="00664420" w:rsidP="00D765A9">
      <w:pPr>
        <w:tabs>
          <w:tab w:val="center" w:pos="4568"/>
        </w:tabs>
        <w:ind w:right="-93"/>
        <w:rPr>
          <w:rFonts w:eastAsia="Calibri" w:cs="Tahoma"/>
          <w:bCs/>
          <w:szCs w:val="22"/>
          <w:lang w:eastAsia="en-US"/>
        </w:rPr>
      </w:pPr>
    </w:p>
    <w:p w14:paraId="57A88B28" w14:textId="77777777" w:rsidR="00664420" w:rsidRPr="00D765A9" w:rsidRDefault="00664420" w:rsidP="00D765A9">
      <w:pPr>
        <w:tabs>
          <w:tab w:val="center" w:pos="4568"/>
        </w:tabs>
        <w:ind w:right="-93"/>
        <w:rPr>
          <w:rFonts w:eastAsia="Calibri" w:cs="Tahoma"/>
          <w:bCs/>
          <w:szCs w:val="22"/>
          <w:lang w:eastAsia="en-US"/>
        </w:rPr>
      </w:pPr>
    </w:p>
    <w:p w14:paraId="77EF6095" w14:textId="77777777" w:rsidR="00664420" w:rsidRPr="00D765A9" w:rsidRDefault="00664420" w:rsidP="00D765A9">
      <w:pPr>
        <w:tabs>
          <w:tab w:val="center" w:pos="4568"/>
        </w:tabs>
        <w:ind w:right="-93"/>
        <w:rPr>
          <w:rFonts w:eastAsia="Calibri" w:cs="Tahoma"/>
          <w:bCs/>
          <w:szCs w:val="22"/>
          <w:lang w:eastAsia="en-US"/>
        </w:rPr>
      </w:pPr>
    </w:p>
    <w:p w14:paraId="35593947" w14:textId="77777777" w:rsidR="00664420" w:rsidRPr="00D765A9" w:rsidRDefault="00664420" w:rsidP="00D765A9">
      <w:pPr>
        <w:tabs>
          <w:tab w:val="center" w:pos="4568"/>
        </w:tabs>
        <w:ind w:right="-93"/>
        <w:rPr>
          <w:rFonts w:eastAsia="Calibri" w:cs="Tahoma"/>
          <w:bCs/>
          <w:szCs w:val="22"/>
          <w:lang w:eastAsia="en-US"/>
        </w:rPr>
      </w:pPr>
    </w:p>
    <w:p w14:paraId="3AF72A17" w14:textId="77777777" w:rsidR="00664420" w:rsidRPr="00D765A9" w:rsidRDefault="00664420" w:rsidP="00D765A9">
      <w:pPr>
        <w:tabs>
          <w:tab w:val="center" w:pos="4568"/>
        </w:tabs>
        <w:ind w:right="-93"/>
        <w:rPr>
          <w:rFonts w:eastAsia="Calibri" w:cs="Tahoma"/>
          <w:bCs/>
          <w:szCs w:val="22"/>
          <w:lang w:eastAsia="en-US"/>
        </w:rPr>
      </w:pPr>
    </w:p>
    <w:p w14:paraId="37169144" w14:textId="77777777" w:rsidR="00664420" w:rsidRPr="00D765A9" w:rsidRDefault="00664420" w:rsidP="00D765A9">
      <w:pPr>
        <w:tabs>
          <w:tab w:val="center" w:pos="4568"/>
        </w:tabs>
        <w:ind w:right="-93"/>
        <w:rPr>
          <w:rFonts w:eastAsia="Calibri" w:cs="Tahoma"/>
          <w:bCs/>
          <w:szCs w:val="22"/>
          <w:lang w:eastAsia="en-US"/>
        </w:rPr>
      </w:pPr>
    </w:p>
    <w:p w14:paraId="77CFC088" w14:textId="77777777" w:rsidR="00664420" w:rsidRPr="00D765A9" w:rsidRDefault="00664420" w:rsidP="00D765A9">
      <w:pPr>
        <w:tabs>
          <w:tab w:val="center" w:pos="4568"/>
        </w:tabs>
        <w:ind w:right="-93"/>
        <w:rPr>
          <w:rFonts w:eastAsia="Calibri" w:cs="Tahoma"/>
          <w:bCs/>
          <w:szCs w:val="22"/>
          <w:lang w:eastAsia="en-US"/>
        </w:rPr>
      </w:pPr>
    </w:p>
    <w:p w14:paraId="781A11A5" w14:textId="77777777" w:rsidR="00664420" w:rsidRPr="00D765A9" w:rsidRDefault="00664420" w:rsidP="00D765A9">
      <w:pPr>
        <w:tabs>
          <w:tab w:val="center" w:pos="4568"/>
        </w:tabs>
        <w:ind w:right="-93"/>
        <w:rPr>
          <w:rFonts w:eastAsia="Calibri" w:cs="Tahoma"/>
          <w:bCs/>
          <w:szCs w:val="22"/>
          <w:lang w:eastAsia="en-US"/>
        </w:rPr>
      </w:pPr>
    </w:p>
    <w:p w14:paraId="5B4ADFF3" w14:textId="77777777" w:rsidR="00A131AC" w:rsidRPr="00D765A9" w:rsidRDefault="00A131AC" w:rsidP="00D765A9"/>
    <w:sectPr w:rsidR="00A131AC" w:rsidRPr="00D765A9" w:rsidSect="00EE2AF2">
      <w:footerReference w:type="default" r:id="rId20"/>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4DF017" w14:textId="77777777" w:rsidR="00EC373E" w:rsidRDefault="00EC373E" w:rsidP="00664420">
      <w:pPr>
        <w:spacing w:line="240" w:lineRule="auto"/>
      </w:pPr>
      <w:r>
        <w:separator/>
      </w:r>
    </w:p>
  </w:endnote>
  <w:endnote w:type="continuationSeparator" w:id="0">
    <w:p w14:paraId="07A39C19" w14:textId="77777777" w:rsidR="00EC373E" w:rsidRDefault="00EC373E"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204C5A" w:rsidRDefault="00204C5A">
    <w:pPr>
      <w:tabs>
        <w:tab w:val="center" w:pos="4550"/>
        <w:tab w:val="left" w:pos="5818"/>
      </w:tabs>
      <w:ind w:right="260"/>
      <w:jc w:val="right"/>
      <w:rPr>
        <w:color w:val="071320" w:themeColor="text2" w:themeShade="80"/>
        <w:sz w:val="24"/>
        <w:szCs w:val="24"/>
      </w:rPr>
    </w:pPr>
  </w:p>
  <w:p w14:paraId="1BCA7F23" w14:textId="77777777" w:rsidR="00204C5A" w:rsidRDefault="00204C5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69225E1A" w:rsidR="00204C5A" w:rsidRDefault="00204C5A">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AF2E74" w:rsidRPr="00AF2E74">
      <w:rPr>
        <w:noProof/>
        <w:color w:val="0A1D30" w:themeColor="text2" w:themeShade="BF"/>
        <w:sz w:val="24"/>
        <w:szCs w:val="24"/>
        <w:lang w:val="es-ES"/>
      </w:rPr>
      <w:t>33</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AF2E74" w:rsidRPr="00AF2E74">
      <w:rPr>
        <w:noProof/>
        <w:color w:val="0A1D30" w:themeColor="text2" w:themeShade="BF"/>
        <w:sz w:val="24"/>
        <w:szCs w:val="24"/>
        <w:lang w:val="es-ES"/>
      </w:rPr>
      <w:t>37</w:t>
    </w:r>
    <w:r>
      <w:rPr>
        <w:color w:val="0A1D30" w:themeColor="text2" w:themeShade="BF"/>
        <w:sz w:val="24"/>
        <w:szCs w:val="24"/>
      </w:rPr>
      <w:fldChar w:fldCharType="end"/>
    </w:r>
  </w:p>
  <w:p w14:paraId="310E15C0" w14:textId="77777777" w:rsidR="00204C5A" w:rsidRDefault="00204C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29C854" w14:textId="77777777" w:rsidR="00EC373E" w:rsidRDefault="00EC373E" w:rsidP="00664420">
      <w:pPr>
        <w:spacing w:line="240" w:lineRule="auto"/>
      </w:pPr>
      <w:r>
        <w:separator/>
      </w:r>
    </w:p>
  </w:footnote>
  <w:footnote w:type="continuationSeparator" w:id="0">
    <w:p w14:paraId="27EC24A9" w14:textId="77777777" w:rsidR="00EC373E" w:rsidRDefault="00EC373E" w:rsidP="00664420">
      <w:pPr>
        <w:spacing w:line="240" w:lineRule="auto"/>
      </w:pPr>
      <w:r>
        <w:continuationSeparator/>
      </w:r>
    </w:p>
  </w:footnote>
  <w:footnote w:id="1">
    <w:p w14:paraId="50418C5D" w14:textId="0CEB72B4" w:rsidR="001135AC" w:rsidRPr="001135AC" w:rsidRDefault="001135AC">
      <w:pPr>
        <w:pStyle w:val="Textonotapie"/>
        <w:rPr>
          <w:i/>
          <w:lang w:val="es-ES"/>
        </w:rPr>
      </w:pPr>
      <w:r>
        <w:rPr>
          <w:rStyle w:val="Refdenotaalpie"/>
        </w:rPr>
        <w:footnoteRef/>
      </w:r>
      <w:r>
        <w:t xml:space="preserve"> </w:t>
      </w:r>
      <w:r w:rsidRPr="001135AC">
        <w:rPr>
          <w:i/>
          <w:lang w:val="es-ES"/>
        </w:rPr>
        <w:t xml:space="preserve">Si bien, se registró el </w:t>
      </w:r>
      <w:r>
        <w:rPr>
          <w:i/>
          <w:lang w:val="es-ES"/>
        </w:rPr>
        <w:t xml:space="preserve">veinte de </w:t>
      </w:r>
      <w:r w:rsidR="00967D34">
        <w:rPr>
          <w:i/>
          <w:lang w:val="es-ES"/>
        </w:rPr>
        <w:t>julio</w:t>
      </w:r>
      <w:r>
        <w:rPr>
          <w:i/>
          <w:lang w:val="es-ES"/>
        </w:rPr>
        <w:t xml:space="preserve"> de dos mil veinticinco</w:t>
      </w:r>
      <w:r w:rsidRPr="001135AC">
        <w:rPr>
          <w:i/>
          <w:lang w:val="es-ES"/>
        </w:rPr>
        <w:t>, a través de dicho portal, también lo es, que fue inhábil, de conformidad con el Calendario Oficial en Materia de Transparencia, Acceso a la Información Pública y Protección de Datos Personales del Estado de México y Municipios, así como de labores del Instituto, por lo que, se tuvo por recibido, el día hábil subsecuente.</w:t>
      </w:r>
    </w:p>
  </w:footnote>
  <w:footnote w:id="2">
    <w:p w14:paraId="3179225C" w14:textId="77777777" w:rsidR="00204C5A" w:rsidRDefault="00204C5A" w:rsidP="00811AFE">
      <w:pPr>
        <w:pStyle w:val="Textonotapie"/>
        <w:rPr>
          <w:i/>
          <w:sz w:val="18"/>
          <w:szCs w:val="18"/>
        </w:rPr>
      </w:pPr>
      <w:r>
        <w:rPr>
          <w:rStyle w:val="Refdenotaalpie"/>
          <w:rFonts w:eastAsiaTheme="majorEastAsia"/>
        </w:rPr>
        <w:footnoteRef/>
      </w:r>
      <w:r>
        <w:t xml:space="preserve"> </w:t>
      </w:r>
      <w:r>
        <w:rPr>
          <w:i/>
          <w:sz w:val="18"/>
          <w:szCs w:val="18"/>
        </w:rPr>
        <w:t>https://legislacion.edomex.gob.mx/sites/legislacion.edomex.gob.mx/files/files/pdf/cod/vig/codvig007.pdf</w:t>
      </w:r>
    </w:p>
  </w:footnote>
  <w:footnote w:id="3">
    <w:p w14:paraId="0F280103" w14:textId="77777777" w:rsidR="00204C5A" w:rsidRDefault="00204C5A" w:rsidP="00811AFE">
      <w:pPr>
        <w:pStyle w:val="Textonotapie"/>
      </w:pPr>
      <w:r>
        <w:rPr>
          <w:rStyle w:val="Refdenotaalpie"/>
        </w:rPr>
        <w:footnoteRef/>
      </w:r>
      <w:r>
        <w:t xml:space="preserve"> </w:t>
      </w:r>
      <w:r w:rsidRPr="003617B6">
        <w:rPr>
          <w:i/>
          <w:sz w:val="18"/>
        </w:rPr>
        <w:t>https://www.osfem.gob.mx/assets/entidades/documentos_apoyo/2025/info_trim/mpal/modulo4.pdf</w:t>
      </w:r>
    </w:p>
  </w:footnote>
  <w:footnote w:id="4">
    <w:p w14:paraId="4481EFA6" w14:textId="2F21940B" w:rsidR="00933895" w:rsidRPr="00933895" w:rsidRDefault="00933895">
      <w:pPr>
        <w:pStyle w:val="Textonotapie"/>
        <w:rPr>
          <w:i/>
          <w:iCs/>
          <w:sz w:val="18"/>
          <w:szCs w:val="18"/>
        </w:rPr>
      </w:pPr>
      <w:r>
        <w:rPr>
          <w:rStyle w:val="Refdenotaalpie"/>
        </w:rPr>
        <w:footnoteRef/>
      </w:r>
      <w:r>
        <w:t xml:space="preserve"> </w:t>
      </w:r>
      <w:hyperlink r:id="rId1" w:history="1">
        <w:r w:rsidRPr="00933895">
          <w:rPr>
            <w:rStyle w:val="Hipervnculo"/>
            <w:i/>
            <w:iCs/>
            <w:color w:val="auto"/>
            <w:sz w:val="18"/>
            <w:szCs w:val="18"/>
            <w:u w:val="none"/>
          </w:rPr>
          <w:t>https://www.condusef.gob.mx/Revista/index.php/usuario-inteligente/condusef-responde/777-la-condusef-te-puede-ayudar</w:t>
        </w:r>
      </w:hyperlink>
    </w:p>
  </w:footnote>
  <w:footnote w:id="5">
    <w:p w14:paraId="3CFEABE1" w14:textId="749696CF" w:rsidR="00933895" w:rsidRPr="00933895" w:rsidRDefault="00933895">
      <w:pPr>
        <w:pStyle w:val="Textonotapie"/>
        <w:rPr>
          <w:rStyle w:val="Hipervnculo"/>
          <w:i/>
          <w:iCs/>
          <w:color w:val="auto"/>
          <w:sz w:val="18"/>
          <w:szCs w:val="18"/>
          <w:u w:val="none"/>
        </w:rPr>
      </w:pPr>
      <w:r>
        <w:rPr>
          <w:rStyle w:val="Refdenotaalpie"/>
        </w:rPr>
        <w:footnoteRef/>
      </w:r>
      <w:r>
        <w:t xml:space="preserve"> </w:t>
      </w:r>
      <w:hyperlink r:id="rId2" w:history="1">
        <w:r w:rsidRPr="00933895">
          <w:rPr>
            <w:rStyle w:val="Hipervnculo"/>
            <w:i/>
            <w:iCs/>
            <w:color w:val="auto"/>
            <w:sz w:val="18"/>
            <w:szCs w:val="18"/>
            <w:u w:val="none"/>
          </w:rPr>
          <w:t>https://webapps.condusef.gob.mx/SIPRES/jsp/pub/index.jsp</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204C5A" w:rsidRPr="00330DA7" w14:paraId="070A4B18" w14:textId="77777777" w:rsidTr="003F35FD">
      <w:trPr>
        <w:trHeight w:val="144"/>
        <w:jc w:val="right"/>
      </w:trPr>
      <w:tc>
        <w:tcPr>
          <w:tcW w:w="2727" w:type="dxa"/>
        </w:tcPr>
        <w:p w14:paraId="62B7493A" w14:textId="77777777" w:rsidR="00204C5A" w:rsidRPr="00330DA7" w:rsidRDefault="00204C5A"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4A6398A9" w:rsidR="00204C5A" w:rsidRPr="00A90C72" w:rsidRDefault="00204C5A" w:rsidP="0058317C">
          <w:pPr>
            <w:tabs>
              <w:tab w:val="right" w:pos="8838"/>
            </w:tabs>
            <w:spacing w:line="240" w:lineRule="auto"/>
            <w:ind w:left="-74" w:right="-105"/>
            <w:rPr>
              <w:rFonts w:eastAsia="Calibri" w:cs="Tahoma"/>
              <w:szCs w:val="22"/>
              <w:lang w:eastAsia="en-US"/>
            </w:rPr>
          </w:pPr>
          <w:r>
            <w:rPr>
              <w:rFonts w:eastAsia="Calibri" w:cs="Tahoma"/>
              <w:szCs w:val="22"/>
              <w:lang w:eastAsia="en-US"/>
            </w:rPr>
            <w:t>10</w:t>
          </w:r>
          <w:r w:rsidR="001135AC">
            <w:rPr>
              <w:rFonts w:eastAsia="Calibri" w:cs="Tahoma"/>
              <w:szCs w:val="22"/>
              <w:lang w:eastAsia="en-US"/>
            </w:rPr>
            <w:t>312</w:t>
          </w:r>
          <w:r w:rsidRPr="006E7E69">
            <w:rPr>
              <w:rFonts w:eastAsia="Calibri" w:cs="Tahoma"/>
              <w:szCs w:val="22"/>
              <w:lang w:eastAsia="en-US"/>
            </w:rPr>
            <w:t>/INFOEM/IP/RR/2025</w:t>
          </w:r>
        </w:p>
      </w:tc>
    </w:tr>
    <w:tr w:rsidR="00204C5A" w:rsidRPr="00330DA7" w14:paraId="4521E058" w14:textId="77777777" w:rsidTr="003F35FD">
      <w:trPr>
        <w:trHeight w:val="283"/>
        <w:jc w:val="right"/>
      </w:trPr>
      <w:tc>
        <w:tcPr>
          <w:tcW w:w="2727" w:type="dxa"/>
        </w:tcPr>
        <w:p w14:paraId="0B68C086" w14:textId="77777777" w:rsidR="00204C5A" w:rsidRPr="00330DA7" w:rsidRDefault="00204C5A"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03E0AB86" w:rsidR="00204C5A" w:rsidRPr="009233A1" w:rsidRDefault="001135AC" w:rsidP="004F6D6C">
          <w:pPr>
            <w:tabs>
              <w:tab w:val="right" w:pos="8838"/>
            </w:tabs>
            <w:spacing w:line="240" w:lineRule="auto"/>
            <w:ind w:left="-74" w:right="-105"/>
            <w:rPr>
              <w:rFonts w:eastAsia="Calibri" w:cs="Tahoma"/>
              <w:szCs w:val="22"/>
              <w:lang w:val="es-MX" w:eastAsia="en-US"/>
            </w:rPr>
          </w:pPr>
          <w:r w:rsidRPr="001135AC">
            <w:rPr>
              <w:rFonts w:eastAsia="Calibri" w:cs="Tahoma"/>
              <w:szCs w:val="22"/>
              <w:lang w:eastAsia="en-US"/>
            </w:rPr>
            <w:t>Sistema Para el Desarrollo Integral de la Familia del Municipio de Atizapán de Zaragoza</w:t>
          </w:r>
        </w:p>
      </w:tc>
    </w:tr>
    <w:tr w:rsidR="00204C5A" w:rsidRPr="00330DA7" w14:paraId="6331D9B6" w14:textId="77777777" w:rsidTr="003F35FD">
      <w:trPr>
        <w:trHeight w:val="283"/>
        <w:jc w:val="right"/>
      </w:trPr>
      <w:tc>
        <w:tcPr>
          <w:tcW w:w="2727" w:type="dxa"/>
        </w:tcPr>
        <w:p w14:paraId="3FA86BAE" w14:textId="6568823B" w:rsidR="00204C5A" w:rsidRPr="00330DA7" w:rsidRDefault="00204C5A"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204C5A" w:rsidRPr="00EA66FC" w:rsidRDefault="00204C5A"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204C5A" w:rsidRPr="00443C6B" w:rsidRDefault="00204C5A"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204C5A" w:rsidRPr="00330DA7" w14:paraId="29CFF901" w14:textId="77777777" w:rsidTr="004D0573">
      <w:trPr>
        <w:trHeight w:val="1435"/>
      </w:trPr>
      <w:tc>
        <w:tcPr>
          <w:tcW w:w="283" w:type="dxa"/>
        </w:tcPr>
        <w:p w14:paraId="046B9F8F" w14:textId="77777777" w:rsidR="00204C5A" w:rsidRPr="00330DA7" w:rsidRDefault="00204C5A" w:rsidP="004D0573">
          <w:pPr>
            <w:tabs>
              <w:tab w:val="right" w:pos="4273"/>
            </w:tabs>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204C5A" w:rsidRPr="00330DA7" w14:paraId="04F272D2" w14:textId="77777777" w:rsidTr="004D0573">
            <w:trPr>
              <w:trHeight w:val="144"/>
            </w:trPr>
            <w:tc>
              <w:tcPr>
                <w:tcW w:w="2727" w:type="dxa"/>
              </w:tcPr>
              <w:p w14:paraId="2FD4DBF6" w14:textId="77777777" w:rsidR="00204C5A" w:rsidRPr="00330DA7" w:rsidRDefault="00204C5A" w:rsidP="004D0573">
                <w:pPr>
                  <w:tabs>
                    <w:tab w:val="right" w:pos="8838"/>
                  </w:tabs>
                  <w:spacing w:line="240"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380907D0" w:rsidR="00204C5A" w:rsidRPr="004D0573" w:rsidRDefault="00204C5A" w:rsidP="001F6830">
                <w:pPr>
                  <w:tabs>
                    <w:tab w:val="right" w:pos="8838"/>
                  </w:tabs>
                  <w:spacing w:line="240" w:lineRule="auto"/>
                  <w:ind w:left="-74" w:right="-105"/>
                  <w:rPr>
                    <w:rFonts w:eastAsia="Calibri" w:cs="Tahoma"/>
                    <w:szCs w:val="22"/>
                    <w:lang w:eastAsia="en-US"/>
                  </w:rPr>
                </w:pPr>
                <w:r>
                  <w:rPr>
                    <w:rFonts w:eastAsia="Calibri" w:cs="Tahoma"/>
                    <w:szCs w:val="22"/>
                    <w:lang w:eastAsia="en-US"/>
                  </w:rPr>
                  <w:t>10</w:t>
                </w:r>
                <w:r w:rsidR="001135AC">
                  <w:rPr>
                    <w:rFonts w:eastAsia="Calibri" w:cs="Tahoma"/>
                    <w:szCs w:val="22"/>
                    <w:lang w:eastAsia="en-US"/>
                  </w:rPr>
                  <w:t>312</w:t>
                </w:r>
                <w:r w:rsidRPr="006E7E69">
                  <w:rPr>
                    <w:rFonts w:eastAsia="Calibri" w:cs="Tahoma"/>
                    <w:szCs w:val="22"/>
                    <w:lang w:eastAsia="en-US"/>
                  </w:rPr>
                  <w:t>/INFOEM/IP/RR/2025</w:t>
                </w:r>
              </w:p>
            </w:tc>
            <w:tc>
              <w:tcPr>
                <w:tcW w:w="3402" w:type="dxa"/>
              </w:tcPr>
              <w:p w14:paraId="71DEA1CF" w14:textId="77777777" w:rsidR="00204C5A" w:rsidRDefault="00204C5A" w:rsidP="004D0573">
                <w:pPr>
                  <w:tabs>
                    <w:tab w:val="right" w:pos="8838"/>
                  </w:tabs>
                  <w:spacing w:line="240" w:lineRule="auto"/>
                  <w:ind w:left="-74" w:right="-105"/>
                  <w:rPr>
                    <w:rFonts w:eastAsia="Calibri" w:cs="Tahoma"/>
                    <w:szCs w:val="22"/>
                    <w:lang w:eastAsia="en-US"/>
                  </w:rPr>
                </w:pPr>
              </w:p>
            </w:tc>
          </w:tr>
          <w:tr w:rsidR="00204C5A" w:rsidRPr="00330DA7" w14:paraId="05C58951" w14:textId="77777777" w:rsidTr="004D0573">
            <w:trPr>
              <w:trHeight w:val="144"/>
            </w:trPr>
            <w:tc>
              <w:tcPr>
                <w:tcW w:w="2727" w:type="dxa"/>
              </w:tcPr>
              <w:p w14:paraId="642B9610" w14:textId="77777777" w:rsidR="00204C5A" w:rsidRPr="00330DA7" w:rsidRDefault="00204C5A" w:rsidP="004D0573">
                <w:pPr>
                  <w:tabs>
                    <w:tab w:val="right" w:pos="8838"/>
                  </w:tabs>
                  <w:spacing w:line="240"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711C05C3" w:rsidR="00204C5A" w:rsidRPr="004D0573" w:rsidRDefault="00204C5A" w:rsidP="00F8365A">
                <w:pPr>
                  <w:tabs>
                    <w:tab w:val="right" w:pos="8838"/>
                  </w:tabs>
                  <w:spacing w:line="240" w:lineRule="auto"/>
                  <w:ind w:left="-74" w:right="-105"/>
                  <w:rPr>
                    <w:rFonts w:eastAsia="Calibri" w:cs="Tahoma"/>
                    <w:szCs w:val="22"/>
                    <w:lang w:eastAsia="en-US"/>
                  </w:rPr>
                </w:pPr>
              </w:p>
            </w:tc>
            <w:tc>
              <w:tcPr>
                <w:tcW w:w="3402" w:type="dxa"/>
              </w:tcPr>
              <w:p w14:paraId="73F47F53" w14:textId="77777777" w:rsidR="00204C5A" w:rsidRPr="005F19B1" w:rsidRDefault="00204C5A" w:rsidP="004D0573">
                <w:pPr>
                  <w:tabs>
                    <w:tab w:val="left" w:pos="3122"/>
                    <w:tab w:val="right" w:pos="8838"/>
                  </w:tabs>
                  <w:spacing w:line="240" w:lineRule="auto"/>
                  <w:ind w:left="-105" w:right="-105"/>
                  <w:rPr>
                    <w:rFonts w:eastAsia="Calibri" w:cs="Tahoma"/>
                    <w:szCs w:val="22"/>
                    <w:lang w:eastAsia="en-US"/>
                  </w:rPr>
                </w:pPr>
              </w:p>
            </w:tc>
          </w:tr>
          <w:bookmarkEnd w:id="1"/>
          <w:tr w:rsidR="00204C5A" w:rsidRPr="00330DA7" w14:paraId="00E6CDC1" w14:textId="77777777" w:rsidTr="004D0573">
            <w:trPr>
              <w:trHeight w:val="283"/>
            </w:trPr>
            <w:tc>
              <w:tcPr>
                <w:tcW w:w="2727" w:type="dxa"/>
              </w:tcPr>
              <w:p w14:paraId="0631AD24" w14:textId="77777777" w:rsidR="00204C5A" w:rsidRPr="00330DA7" w:rsidRDefault="00204C5A"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38286F74" w:rsidR="00204C5A" w:rsidRPr="004D0573" w:rsidRDefault="001135AC" w:rsidP="004F6D6C">
                <w:pPr>
                  <w:tabs>
                    <w:tab w:val="right" w:pos="8838"/>
                  </w:tabs>
                  <w:spacing w:line="240" w:lineRule="auto"/>
                  <w:ind w:left="-74" w:right="-105"/>
                  <w:rPr>
                    <w:rFonts w:eastAsia="Calibri" w:cs="Tahoma"/>
                    <w:szCs w:val="22"/>
                    <w:lang w:eastAsia="en-US"/>
                  </w:rPr>
                </w:pPr>
                <w:r w:rsidRPr="001135AC">
                  <w:rPr>
                    <w:rFonts w:eastAsia="Calibri" w:cs="Tahoma"/>
                    <w:szCs w:val="22"/>
                    <w:lang w:eastAsia="en-US"/>
                  </w:rPr>
                  <w:t>Sistema Para el Desarrollo Integral de la Familia del Municipio de Atizapán de Zaragoza</w:t>
                </w:r>
              </w:p>
            </w:tc>
            <w:tc>
              <w:tcPr>
                <w:tcW w:w="3402" w:type="dxa"/>
              </w:tcPr>
              <w:p w14:paraId="3A7DA319" w14:textId="77777777" w:rsidR="00204C5A" w:rsidRPr="00A90C72" w:rsidRDefault="00204C5A" w:rsidP="004D0573">
                <w:pPr>
                  <w:tabs>
                    <w:tab w:val="left" w:pos="2834"/>
                    <w:tab w:val="right" w:pos="8838"/>
                  </w:tabs>
                  <w:spacing w:line="240" w:lineRule="auto"/>
                  <w:ind w:left="-108" w:right="-105"/>
                  <w:rPr>
                    <w:rFonts w:eastAsia="Calibri" w:cs="Tahoma"/>
                    <w:szCs w:val="22"/>
                    <w:lang w:eastAsia="en-US"/>
                  </w:rPr>
                </w:pPr>
              </w:p>
            </w:tc>
          </w:tr>
          <w:tr w:rsidR="00204C5A" w:rsidRPr="00330DA7" w14:paraId="0F6CD8D2" w14:textId="77777777" w:rsidTr="004D0573">
            <w:trPr>
              <w:trHeight w:val="283"/>
            </w:trPr>
            <w:tc>
              <w:tcPr>
                <w:tcW w:w="2727" w:type="dxa"/>
              </w:tcPr>
              <w:p w14:paraId="31700628" w14:textId="0565A62A" w:rsidR="00204C5A" w:rsidRPr="00330DA7" w:rsidRDefault="00204C5A"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204C5A" w:rsidRPr="00EA66FC" w:rsidRDefault="00204C5A"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204C5A" w:rsidRPr="00330DA7" w:rsidRDefault="00204C5A" w:rsidP="004D0573">
                <w:pPr>
                  <w:tabs>
                    <w:tab w:val="right" w:pos="8838"/>
                  </w:tabs>
                  <w:spacing w:line="240" w:lineRule="auto"/>
                  <w:ind w:left="-108" w:right="-105"/>
                  <w:rPr>
                    <w:rFonts w:eastAsia="Calibri" w:cs="Tahoma"/>
                    <w:szCs w:val="22"/>
                    <w:lang w:eastAsia="en-US"/>
                  </w:rPr>
                </w:pPr>
              </w:p>
            </w:tc>
          </w:tr>
        </w:tbl>
        <w:p w14:paraId="5DC6AC61" w14:textId="77777777" w:rsidR="00204C5A" w:rsidRPr="00330DA7" w:rsidRDefault="00204C5A" w:rsidP="004D0573">
          <w:pPr>
            <w:tabs>
              <w:tab w:val="right" w:pos="8838"/>
            </w:tabs>
            <w:ind w:left="-28"/>
            <w:rPr>
              <w:rFonts w:ascii="Arial" w:eastAsia="Calibri" w:hAnsi="Arial" w:cs="Arial"/>
              <w:b/>
              <w:szCs w:val="22"/>
              <w:lang w:eastAsia="en-US"/>
            </w:rPr>
          </w:pPr>
        </w:p>
      </w:tc>
    </w:tr>
  </w:tbl>
  <w:p w14:paraId="2A906731" w14:textId="77777777" w:rsidR="00204C5A" w:rsidRPr="00765661" w:rsidRDefault="00EC373E"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63.65pt;margin-top:-120.1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E4511CC"/>
    <w:multiLevelType w:val="hybridMultilevel"/>
    <w:tmpl w:val="B9B0E01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F47DB95"/>
    <w:multiLevelType w:val="hybridMultilevel"/>
    <w:tmpl w:val="1B7EC933"/>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334932"/>
    <w:multiLevelType w:val="hybridMultilevel"/>
    <w:tmpl w:val="B31E2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0E7539D"/>
    <w:multiLevelType w:val="hybridMultilevel"/>
    <w:tmpl w:val="101EA558"/>
    <w:lvl w:ilvl="0" w:tplc="695A061E">
      <w:start w:val="1198"/>
      <w:numFmt w:val="bullet"/>
      <w:lvlText w:val="•"/>
      <w:lvlJc w:val="left"/>
      <w:pPr>
        <w:ind w:left="644" w:hanging="360"/>
      </w:pPr>
      <w:rPr>
        <w:rFonts w:ascii="Palatino Linotype" w:eastAsia="Palatino Linotype" w:hAnsi="Palatino Linotype" w:cs="Palatino Linotype" w:hint="default"/>
      </w:rPr>
    </w:lvl>
    <w:lvl w:ilvl="1" w:tplc="080A0003">
      <w:start w:val="1"/>
      <w:numFmt w:val="bullet"/>
      <w:lvlText w:val="o"/>
      <w:lvlJc w:val="left"/>
      <w:pPr>
        <w:ind w:left="1364" w:hanging="360"/>
      </w:pPr>
      <w:rPr>
        <w:rFonts w:ascii="Courier New" w:hAnsi="Courier New" w:cs="Courier New" w:hint="default"/>
      </w:rPr>
    </w:lvl>
    <w:lvl w:ilvl="2" w:tplc="080A0005">
      <w:start w:val="1"/>
      <w:numFmt w:val="bullet"/>
      <w:lvlText w:val=""/>
      <w:lvlJc w:val="left"/>
      <w:pPr>
        <w:ind w:left="2084" w:hanging="360"/>
      </w:pPr>
      <w:rPr>
        <w:rFonts w:ascii="Wingdings" w:hAnsi="Wingdings" w:hint="default"/>
      </w:rPr>
    </w:lvl>
    <w:lvl w:ilvl="3" w:tplc="080A0001">
      <w:start w:val="1"/>
      <w:numFmt w:val="bullet"/>
      <w:lvlText w:val=""/>
      <w:lvlJc w:val="left"/>
      <w:pPr>
        <w:ind w:left="2804" w:hanging="360"/>
      </w:pPr>
      <w:rPr>
        <w:rFonts w:ascii="Symbol" w:hAnsi="Symbol" w:hint="default"/>
      </w:rPr>
    </w:lvl>
    <w:lvl w:ilvl="4" w:tplc="080A0003">
      <w:start w:val="1"/>
      <w:numFmt w:val="bullet"/>
      <w:lvlText w:val="o"/>
      <w:lvlJc w:val="left"/>
      <w:pPr>
        <w:ind w:left="3524" w:hanging="360"/>
      </w:pPr>
      <w:rPr>
        <w:rFonts w:ascii="Courier New" w:hAnsi="Courier New" w:cs="Courier New" w:hint="default"/>
      </w:rPr>
    </w:lvl>
    <w:lvl w:ilvl="5" w:tplc="080A0005">
      <w:start w:val="1"/>
      <w:numFmt w:val="bullet"/>
      <w:lvlText w:val=""/>
      <w:lvlJc w:val="left"/>
      <w:pPr>
        <w:ind w:left="4244" w:hanging="360"/>
      </w:pPr>
      <w:rPr>
        <w:rFonts w:ascii="Wingdings" w:hAnsi="Wingdings" w:hint="default"/>
      </w:rPr>
    </w:lvl>
    <w:lvl w:ilvl="6" w:tplc="080A0001">
      <w:start w:val="1"/>
      <w:numFmt w:val="bullet"/>
      <w:lvlText w:val=""/>
      <w:lvlJc w:val="left"/>
      <w:pPr>
        <w:ind w:left="4964" w:hanging="360"/>
      </w:pPr>
      <w:rPr>
        <w:rFonts w:ascii="Symbol" w:hAnsi="Symbol" w:hint="default"/>
      </w:rPr>
    </w:lvl>
    <w:lvl w:ilvl="7" w:tplc="080A0003">
      <w:start w:val="1"/>
      <w:numFmt w:val="bullet"/>
      <w:lvlText w:val="o"/>
      <w:lvlJc w:val="left"/>
      <w:pPr>
        <w:ind w:left="5684" w:hanging="360"/>
      </w:pPr>
      <w:rPr>
        <w:rFonts w:ascii="Courier New" w:hAnsi="Courier New" w:cs="Courier New" w:hint="default"/>
      </w:rPr>
    </w:lvl>
    <w:lvl w:ilvl="8" w:tplc="080A0005">
      <w:start w:val="1"/>
      <w:numFmt w:val="bullet"/>
      <w:lvlText w:val=""/>
      <w:lvlJc w:val="left"/>
      <w:pPr>
        <w:ind w:left="6404" w:hanging="360"/>
      </w:pPr>
      <w:rPr>
        <w:rFonts w:ascii="Wingdings" w:hAnsi="Wingdings" w:hint="default"/>
      </w:rPr>
    </w:lvl>
  </w:abstractNum>
  <w:abstractNum w:abstractNumId="4" w15:restartNumberingAfterBreak="0">
    <w:nsid w:val="06B9299F"/>
    <w:multiLevelType w:val="hybridMultilevel"/>
    <w:tmpl w:val="E7FAF2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0CC35331"/>
    <w:multiLevelType w:val="hybridMultilevel"/>
    <w:tmpl w:val="B0121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AC3B65"/>
    <w:multiLevelType w:val="hybridMultilevel"/>
    <w:tmpl w:val="C0FE64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07563A2"/>
    <w:multiLevelType w:val="hybridMultilevel"/>
    <w:tmpl w:val="0D2C9532"/>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2076071C"/>
    <w:multiLevelType w:val="hybridMultilevel"/>
    <w:tmpl w:val="A44468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302FC9"/>
    <w:multiLevelType w:val="multilevel"/>
    <w:tmpl w:val="F7D2DB9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62973FB"/>
    <w:multiLevelType w:val="multilevel"/>
    <w:tmpl w:val="5788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0569E0"/>
    <w:multiLevelType w:val="hybridMultilevel"/>
    <w:tmpl w:val="87B00F72"/>
    <w:lvl w:ilvl="0" w:tplc="4EC8B572">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BAD2964"/>
    <w:multiLevelType w:val="hybridMultilevel"/>
    <w:tmpl w:val="5150DC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41D664C1"/>
    <w:multiLevelType w:val="hybridMultilevel"/>
    <w:tmpl w:val="073250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1D95FED"/>
    <w:multiLevelType w:val="hybridMultilevel"/>
    <w:tmpl w:val="A44468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2C30711"/>
    <w:multiLevelType w:val="hybridMultilevel"/>
    <w:tmpl w:val="34286D2C"/>
    <w:lvl w:ilvl="0" w:tplc="76366F6E">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45B72DB8"/>
    <w:multiLevelType w:val="hybridMultilevel"/>
    <w:tmpl w:val="43DE1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3E7094D"/>
    <w:multiLevelType w:val="hybridMultilevel"/>
    <w:tmpl w:val="16925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6C9B1D2"/>
    <w:multiLevelType w:val="hybridMultilevel"/>
    <w:tmpl w:val="22AB6A05"/>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E785BEF"/>
    <w:multiLevelType w:val="hybridMultilevel"/>
    <w:tmpl w:val="6CCEAD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5927132"/>
    <w:multiLevelType w:val="hybridMultilevel"/>
    <w:tmpl w:val="5D0AC7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77241F6"/>
    <w:multiLevelType w:val="hybridMultilevel"/>
    <w:tmpl w:val="53DEBE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8D17284"/>
    <w:multiLevelType w:val="multilevel"/>
    <w:tmpl w:val="FBD013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B6C6709"/>
    <w:multiLevelType w:val="hybridMultilevel"/>
    <w:tmpl w:val="5538A9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D203D18"/>
    <w:multiLevelType w:val="hybridMultilevel"/>
    <w:tmpl w:val="1DBAB488"/>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6DD72CCA"/>
    <w:multiLevelType w:val="hybridMultilevel"/>
    <w:tmpl w:val="0F883F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9114F78"/>
    <w:multiLevelType w:val="hybridMultilevel"/>
    <w:tmpl w:val="67C0B582"/>
    <w:lvl w:ilvl="0" w:tplc="6F12A6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FF7420"/>
    <w:multiLevelType w:val="hybridMultilevel"/>
    <w:tmpl w:val="6C1AC1B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2"/>
  </w:num>
  <w:num w:numId="2">
    <w:abstractNumId w:val="26"/>
  </w:num>
  <w:num w:numId="3">
    <w:abstractNumId w:val="8"/>
  </w:num>
  <w:num w:numId="4">
    <w:abstractNumId w:val="20"/>
  </w:num>
  <w:num w:numId="5">
    <w:abstractNumId w:val="30"/>
  </w:num>
  <w:num w:numId="6">
    <w:abstractNumId w:val="22"/>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5"/>
  </w:num>
  <w:num w:numId="10">
    <w:abstractNumId w:val="28"/>
  </w:num>
  <w:num w:numId="11">
    <w:abstractNumId w:val="19"/>
  </w:num>
  <w:num w:numId="12">
    <w:abstractNumId w:val="4"/>
  </w:num>
  <w:num w:numId="13">
    <w:abstractNumId w:val="14"/>
  </w:num>
  <w:num w:numId="14">
    <w:abstractNumId w:val="9"/>
  </w:num>
  <w:num w:numId="15">
    <w:abstractNumId w:val="29"/>
  </w:num>
  <w:num w:numId="16">
    <w:abstractNumId w:val="24"/>
  </w:num>
  <w:num w:numId="17">
    <w:abstractNumId w:val="6"/>
  </w:num>
  <w:num w:numId="18">
    <w:abstractNumId w:val="23"/>
  </w:num>
  <w:num w:numId="19">
    <w:abstractNumId w:val="27"/>
  </w:num>
  <w:num w:numId="20">
    <w:abstractNumId w:val="12"/>
  </w:num>
  <w:num w:numId="21">
    <w:abstractNumId w:val="17"/>
  </w:num>
  <w:num w:numId="22">
    <w:abstractNumId w:val="3"/>
  </w:num>
  <w:num w:numId="23">
    <w:abstractNumId w:val="0"/>
  </w:num>
  <w:num w:numId="24">
    <w:abstractNumId w:val="1"/>
  </w:num>
  <w:num w:numId="25">
    <w:abstractNumId w:val="21"/>
  </w:num>
  <w:num w:numId="26">
    <w:abstractNumId w:val="10"/>
  </w:num>
  <w:num w:numId="27">
    <w:abstractNumId w:val="13"/>
  </w:num>
  <w:num w:numId="28">
    <w:abstractNumId w:val="18"/>
  </w:num>
  <w:num w:numId="29">
    <w:abstractNumId w:val="16"/>
  </w:num>
  <w:num w:numId="30">
    <w:abstractNumId w:val="25"/>
  </w:num>
  <w:num w:numId="31">
    <w:abstractNumId w:val="31"/>
  </w:num>
  <w:num w:numId="32">
    <w:abstractNumId w:val="14"/>
  </w:num>
  <w:num w:numId="33">
    <w:abstractNumId w:val="7"/>
  </w:num>
  <w:num w:numId="34">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E4A"/>
    <w:rsid w:val="0000629A"/>
    <w:rsid w:val="00011232"/>
    <w:rsid w:val="0001744F"/>
    <w:rsid w:val="0002630F"/>
    <w:rsid w:val="000318BC"/>
    <w:rsid w:val="00033156"/>
    <w:rsid w:val="0003632A"/>
    <w:rsid w:val="0004144F"/>
    <w:rsid w:val="00042FBB"/>
    <w:rsid w:val="00050AC3"/>
    <w:rsid w:val="0005470C"/>
    <w:rsid w:val="00057B2D"/>
    <w:rsid w:val="00065518"/>
    <w:rsid w:val="000727A6"/>
    <w:rsid w:val="000777E2"/>
    <w:rsid w:val="00080071"/>
    <w:rsid w:val="000954C3"/>
    <w:rsid w:val="000A0798"/>
    <w:rsid w:val="000A509B"/>
    <w:rsid w:val="000B6D9A"/>
    <w:rsid w:val="000C2D03"/>
    <w:rsid w:val="000C3BBA"/>
    <w:rsid w:val="000C79B2"/>
    <w:rsid w:val="000D0D67"/>
    <w:rsid w:val="000E0131"/>
    <w:rsid w:val="000E0258"/>
    <w:rsid w:val="000E09C4"/>
    <w:rsid w:val="000E1C40"/>
    <w:rsid w:val="000E23B9"/>
    <w:rsid w:val="000E3AC8"/>
    <w:rsid w:val="000F32E8"/>
    <w:rsid w:val="000F361A"/>
    <w:rsid w:val="000F46F7"/>
    <w:rsid w:val="00103C8A"/>
    <w:rsid w:val="00107F71"/>
    <w:rsid w:val="0011350D"/>
    <w:rsid w:val="001135AC"/>
    <w:rsid w:val="001144FB"/>
    <w:rsid w:val="00117DDB"/>
    <w:rsid w:val="00127130"/>
    <w:rsid w:val="00135056"/>
    <w:rsid w:val="00141876"/>
    <w:rsid w:val="0014207B"/>
    <w:rsid w:val="00150C49"/>
    <w:rsid w:val="00151112"/>
    <w:rsid w:val="0015374C"/>
    <w:rsid w:val="001544A1"/>
    <w:rsid w:val="00160605"/>
    <w:rsid w:val="001734D5"/>
    <w:rsid w:val="001803A1"/>
    <w:rsid w:val="00185C7C"/>
    <w:rsid w:val="001878E5"/>
    <w:rsid w:val="001A2CB5"/>
    <w:rsid w:val="001A58B3"/>
    <w:rsid w:val="001A6A2C"/>
    <w:rsid w:val="001C0B54"/>
    <w:rsid w:val="001C555C"/>
    <w:rsid w:val="001C6BE2"/>
    <w:rsid w:val="001C7688"/>
    <w:rsid w:val="001D0E93"/>
    <w:rsid w:val="001D2464"/>
    <w:rsid w:val="001D5BAD"/>
    <w:rsid w:val="001D7192"/>
    <w:rsid w:val="001E0CFD"/>
    <w:rsid w:val="001E7615"/>
    <w:rsid w:val="001F0118"/>
    <w:rsid w:val="001F329F"/>
    <w:rsid w:val="001F3515"/>
    <w:rsid w:val="001F6830"/>
    <w:rsid w:val="002015AE"/>
    <w:rsid w:val="00204C5A"/>
    <w:rsid w:val="00211F42"/>
    <w:rsid w:val="002207C2"/>
    <w:rsid w:val="00221455"/>
    <w:rsid w:val="00232E0B"/>
    <w:rsid w:val="00233005"/>
    <w:rsid w:val="00233F17"/>
    <w:rsid w:val="00237120"/>
    <w:rsid w:val="00240234"/>
    <w:rsid w:val="00240EF0"/>
    <w:rsid w:val="00245D19"/>
    <w:rsid w:val="002546A3"/>
    <w:rsid w:val="002553CD"/>
    <w:rsid w:val="00293D29"/>
    <w:rsid w:val="002958FA"/>
    <w:rsid w:val="002961A6"/>
    <w:rsid w:val="002961B5"/>
    <w:rsid w:val="0029641C"/>
    <w:rsid w:val="002A3601"/>
    <w:rsid w:val="002B0493"/>
    <w:rsid w:val="002B1D44"/>
    <w:rsid w:val="002B3715"/>
    <w:rsid w:val="002B4ED6"/>
    <w:rsid w:val="002B7C6F"/>
    <w:rsid w:val="002C0029"/>
    <w:rsid w:val="002C7BF8"/>
    <w:rsid w:val="002D111C"/>
    <w:rsid w:val="002D5D71"/>
    <w:rsid w:val="002E18F0"/>
    <w:rsid w:val="002E3E00"/>
    <w:rsid w:val="002F6393"/>
    <w:rsid w:val="002F676B"/>
    <w:rsid w:val="00302476"/>
    <w:rsid w:val="00303004"/>
    <w:rsid w:val="00304C8C"/>
    <w:rsid w:val="00306752"/>
    <w:rsid w:val="00306C07"/>
    <w:rsid w:val="00327203"/>
    <w:rsid w:val="00331106"/>
    <w:rsid w:val="00331F35"/>
    <w:rsid w:val="00335CDF"/>
    <w:rsid w:val="00341E94"/>
    <w:rsid w:val="00346BC2"/>
    <w:rsid w:val="00353A30"/>
    <w:rsid w:val="00362A11"/>
    <w:rsid w:val="00365F09"/>
    <w:rsid w:val="00386CD1"/>
    <w:rsid w:val="00386DD1"/>
    <w:rsid w:val="00397A36"/>
    <w:rsid w:val="003A3A7E"/>
    <w:rsid w:val="003A40C1"/>
    <w:rsid w:val="003A67CC"/>
    <w:rsid w:val="003A6E31"/>
    <w:rsid w:val="003B0255"/>
    <w:rsid w:val="003B0AEC"/>
    <w:rsid w:val="003B2486"/>
    <w:rsid w:val="003B5D3E"/>
    <w:rsid w:val="003B66AA"/>
    <w:rsid w:val="003E1D16"/>
    <w:rsid w:val="003E51E0"/>
    <w:rsid w:val="003E78B4"/>
    <w:rsid w:val="003F28CD"/>
    <w:rsid w:val="003F35FD"/>
    <w:rsid w:val="003F3B84"/>
    <w:rsid w:val="0041385B"/>
    <w:rsid w:val="00416357"/>
    <w:rsid w:val="00430170"/>
    <w:rsid w:val="00433C6C"/>
    <w:rsid w:val="004419D4"/>
    <w:rsid w:val="00441BFA"/>
    <w:rsid w:val="00454FBD"/>
    <w:rsid w:val="004565C2"/>
    <w:rsid w:val="00473225"/>
    <w:rsid w:val="00475FF6"/>
    <w:rsid w:val="00481B94"/>
    <w:rsid w:val="004832E4"/>
    <w:rsid w:val="004836B2"/>
    <w:rsid w:val="0048386A"/>
    <w:rsid w:val="004922FB"/>
    <w:rsid w:val="004A4241"/>
    <w:rsid w:val="004B001B"/>
    <w:rsid w:val="004B216A"/>
    <w:rsid w:val="004B287B"/>
    <w:rsid w:val="004C1963"/>
    <w:rsid w:val="004C43D3"/>
    <w:rsid w:val="004C6172"/>
    <w:rsid w:val="004D0573"/>
    <w:rsid w:val="004D7CD8"/>
    <w:rsid w:val="004E2939"/>
    <w:rsid w:val="004E5068"/>
    <w:rsid w:val="004F165A"/>
    <w:rsid w:val="004F6D6C"/>
    <w:rsid w:val="004F7A00"/>
    <w:rsid w:val="005122DD"/>
    <w:rsid w:val="00522385"/>
    <w:rsid w:val="00523E60"/>
    <w:rsid w:val="00523F48"/>
    <w:rsid w:val="00530C93"/>
    <w:rsid w:val="00531C64"/>
    <w:rsid w:val="005365FA"/>
    <w:rsid w:val="00536C50"/>
    <w:rsid w:val="005432B1"/>
    <w:rsid w:val="00550AB5"/>
    <w:rsid w:val="0055624C"/>
    <w:rsid w:val="0056448D"/>
    <w:rsid w:val="00567FEF"/>
    <w:rsid w:val="005708AD"/>
    <w:rsid w:val="005723CB"/>
    <w:rsid w:val="0057419A"/>
    <w:rsid w:val="00575400"/>
    <w:rsid w:val="0058317C"/>
    <w:rsid w:val="005855FC"/>
    <w:rsid w:val="0058676B"/>
    <w:rsid w:val="00590E23"/>
    <w:rsid w:val="00591A20"/>
    <w:rsid w:val="005957E6"/>
    <w:rsid w:val="005A468E"/>
    <w:rsid w:val="005A5BF2"/>
    <w:rsid w:val="005B18AF"/>
    <w:rsid w:val="005B45A1"/>
    <w:rsid w:val="005B551A"/>
    <w:rsid w:val="005D5A50"/>
    <w:rsid w:val="005D7913"/>
    <w:rsid w:val="005F5301"/>
    <w:rsid w:val="005F65B7"/>
    <w:rsid w:val="006067C7"/>
    <w:rsid w:val="006159AD"/>
    <w:rsid w:val="006237BC"/>
    <w:rsid w:val="00646436"/>
    <w:rsid w:val="00657603"/>
    <w:rsid w:val="00664420"/>
    <w:rsid w:val="00674AB3"/>
    <w:rsid w:val="006830BA"/>
    <w:rsid w:val="00683B21"/>
    <w:rsid w:val="006A21FC"/>
    <w:rsid w:val="006A646A"/>
    <w:rsid w:val="006B10B0"/>
    <w:rsid w:val="006C4362"/>
    <w:rsid w:val="006C7EF6"/>
    <w:rsid w:val="006D3237"/>
    <w:rsid w:val="006E06F8"/>
    <w:rsid w:val="006E13CF"/>
    <w:rsid w:val="006E25BC"/>
    <w:rsid w:val="006E6BBC"/>
    <w:rsid w:val="006E7E69"/>
    <w:rsid w:val="006F07BB"/>
    <w:rsid w:val="006F7768"/>
    <w:rsid w:val="00717E59"/>
    <w:rsid w:val="00724F22"/>
    <w:rsid w:val="0073203E"/>
    <w:rsid w:val="0074510E"/>
    <w:rsid w:val="007517BD"/>
    <w:rsid w:val="0075751F"/>
    <w:rsid w:val="0076337C"/>
    <w:rsid w:val="007667E1"/>
    <w:rsid w:val="00773DD6"/>
    <w:rsid w:val="00773EAB"/>
    <w:rsid w:val="00774516"/>
    <w:rsid w:val="00775BFC"/>
    <w:rsid w:val="007770D8"/>
    <w:rsid w:val="00785289"/>
    <w:rsid w:val="00792B02"/>
    <w:rsid w:val="00794BA5"/>
    <w:rsid w:val="007A095C"/>
    <w:rsid w:val="007A2B8D"/>
    <w:rsid w:val="007A3459"/>
    <w:rsid w:val="007B6074"/>
    <w:rsid w:val="007B6F7B"/>
    <w:rsid w:val="007B745A"/>
    <w:rsid w:val="007B7AFB"/>
    <w:rsid w:val="007C7C47"/>
    <w:rsid w:val="007D1C55"/>
    <w:rsid w:val="007D1C84"/>
    <w:rsid w:val="007D317F"/>
    <w:rsid w:val="007E07E1"/>
    <w:rsid w:val="007E55FC"/>
    <w:rsid w:val="007F5D06"/>
    <w:rsid w:val="00805A6E"/>
    <w:rsid w:val="00811211"/>
    <w:rsid w:val="00811AFE"/>
    <w:rsid w:val="00811F75"/>
    <w:rsid w:val="00813497"/>
    <w:rsid w:val="00823BA5"/>
    <w:rsid w:val="00826C28"/>
    <w:rsid w:val="00831728"/>
    <w:rsid w:val="00842C80"/>
    <w:rsid w:val="008530DB"/>
    <w:rsid w:val="00860F56"/>
    <w:rsid w:val="00864CC1"/>
    <w:rsid w:val="00865CF4"/>
    <w:rsid w:val="0087183B"/>
    <w:rsid w:val="00876DBC"/>
    <w:rsid w:val="00877643"/>
    <w:rsid w:val="008950DC"/>
    <w:rsid w:val="008A427E"/>
    <w:rsid w:val="008A6003"/>
    <w:rsid w:val="008A6F88"/>
    <w:rsid w:val="008A790F"/>
    <w:rsid w:val="008B1E16"/>
    <w:rsid w:val="008C1A5C"/>
    <w:rsid w:val="008D3145"/>
    <w:rsid w:val="008D66A9"/>
    <w:rsid w:val="008E1316"/>
    <w:rsid w:val="008E6224"/>
    <w:rsid w:val="008F28F9"/>
    <w:rsid w:val="00903DBE"/>
    <w:rsid w:val="00910FD2"/>
    <w:rsid w:val="00911079"/>
    <w:rsid w:val="009233A1"/>
    <w:rsid w:val="00925ECA"/>
    <w:rsid w:val="00930F2D"/>
    <w:rsid w:val="00931437"/>
    <w:rsid w:val="00933895"/>
    <w:rsid w:val="009354B8"/>
    <w:rsid w:val="00936B5A"/>
    <w:rsid w:val="00952651"/>
    <w:rsid w:val="00953212"/>
    <w:rsid w:val="00953430"/>
    <w:rsid w:val="00956E72"/>
    <w:rsid w:val="00965890"/>
    <w:rsid w:val="00967D34"/>
    <w:rsid w:val="00970EB3"/>
    <w:rsid w:val="00971586"/>
    <w:rsid w:val="0097369C"/>
    <w:rsid w:val="00976247"/>
    <w:rsid w:val="00982877"/>
    <w:rsid w:val="00985840"/>
    <w:rsid w:val="0098693C"/>
    <w:rsid w:val="00986E43"/>
    <w:rsid w:val="00993ED0"/>
    <w:rsid w:val="009A1340"/>
    <w:rsid w:val="009A2D78"/>
    <w:rsid w:val="009A2EDE"/>
    <w:rsid w:val="009A7C10"/>
    <w:rsid w:val="009B2945"/>
    <w:rsid w:val="009B4AA1"/>
    <w:rsid w:val="009C04A8"/>
    <w:rsid w:val="009C501B"/>
    <w:rsid w:val="009D2DF4"/>
    <w:rsid w:val="009D3DCA"/>
    <w:rsid w:val="009E0652"/>
    <w:rsid w:val="009E2DEE"/>
    <w:rsid w:val="009E45F2"/>
    <w:rsid w:val="009E4644"/>
    <w:rsid w:val="009E6B1C"/>
    <w:rsid w:val="009F09BF"/>
    <w:rsid w:val="009F797C"/>
    <w:rsid w:val="00A047F0"/>
    <w:rsid w:val="00A11242"/>
    <w:rsid w:val="00A12108"/>
    <w:rsid w:val="00A12AFA"/>
    <w:rsid w:val="00A131AC"/>
    <w:rsid w:val="00A16D85"/>
    <w:rsid w:val="00A21A20"/>
    <w:rsid w:val="00A25F1A"/>
    <w:rsid w:val="00A35DA7"/>
    <w:rsid w:val="00A36A99"/>
    <w:rsid w:val="00A41792"/>
    <w:rsid w:val="00A53315"/>
    <w:rsid w:val="00A56D41"/>
    <w:rsid w:val="00A6091A"/>
    <w:rsid w:val="00A63966"/>
    <w:rsid w:val="00A6415E"/>
    <w:rsid w:val="00A70EF0"/>
    <w:rsid w:val="00A76102"/>
    <w:rsid w:val="00A815EA"/>
    <w:rsid w:val="00A9208D"/>
    <w:rsid w:val="00A92D12"/>
    <w:rsid w:val="00A964CC"/>
    <w:rsid w:val="00AA3AE9"/>
    <w:rsid w:val="00AA6EA9"/>
    <w:rsid w:val="00AB44A7"/>
    <w:rsid w:val="00AB6BBD"/>
    <w:rsid w:val="00AC2DB8"/>
    <w:rsid w:val="00AC3CA0"/>
    <w:rsid w:val="00AD4855"/>
    <w:rsid w:val="00AD67C9"/>
    <w:rsid w:val="00AE3DA7"/>
    <w:rsid w:val="00AE5AEF"/>
    <w:rsid w:val="00AF03C4"/>
    <w:rsid w:val="00AF2E74"/>
    <w:rsid w:val="00AF7696"/>
    <w:rsid w:val="00B137E8"/>
    <w:rsid w:val="00B169A2"/>
    <w:rsid w:val="00B22A80"/>
    <w:rsid w:val="00B271B8"/>
    <w:rsid w:val="00B348A2"/>
    <w:rsid w:val="00B36848"/>
    <w:rsid w:val="00B373AF"/>
    <w:rsid w:val="00B47DF0"/>
    <w:rsid w:val="00B56734"/>
    <w:rsid w:val="00B61BCE"/>
    <w:rsid w:val="00B65555"/>
    <w:rsid w:val="00B75BA6"/>
    <w:rsid w:val="00B80A20"/>
    <w:rsid w:val="00B822AE"/>
    <w:rsid w:val="00B85975"/>
    <w:rsid w:val="00B85E5A"/>
    <w:rsid w:val="00BA1AB6"/>
    <w:rsid w:val="00BA27B5"/>
    <w:rsid w:val="00BA2B6C"/>
    <w:rsid w:val="00BA55A8"/>
    <w:rsid w:val="00BA6767"/>
    <w:rsid w:val="00BB2ABF"/>
    <w:rsid w:val="00BB64F4"/>
    <w:rsid w:val="00BB702C"/>
    <w:rsid w:val="00BC1202"/>
    <w:rsid w:val="00BD13C0"/>
    <w:rsid w:val="00BD2738"/>
    <w:rsid w:val="00BD3F4F"/>
    <w:rsid w:val="00BD5A7C"/>
    <w:rsid w:val="00BD67FB"/>
    <w:rsid w:val="00BE7A1B"/>
    <w:rsid w:val="00BF0221"/>
    <w:rsid w:val="00BF091A"/>
    <w:rsid w:val="00BF4A10"/>
    <w:rsid w:val="00BF4EAD"/>
    <w:rsid w:val="00BF4F76"/>
    <w:rsid w:val="00BF51BF"/>
    <w:rsid w:val="00BF568A"/>
    <w:rsid w:val="00BF5883"/>
    <w:rsid w:val="00BF7DCC"/>
    <w:rsid w:val="00C00D03"/>
    <w:rsid w:val="00C049E2"/>
    <w:rsid w:val="00C10D59"/>
    <w:rsid w:val="00C15830"/>
    <w:rsid w:val="00C229BF"/>
    <w:rsid w:val="00C30616"/>
    <w:rsid w:val="00C351EC"/>
    <w:rsid w:val="00C36795"/>
    <w:rsid w:val="00C42CA7"/>
    <w:rsid w:val="00C45145"/>
    <w:rsid w:val="00C461EC"/>
    <w:rsid w:val="00C507D4"/>
    <w:rsid w:val="00C518E1"/>
    <w:rsid w:val="00C5605C"/>
    <w:rsid w:val="00C71CEF"/>
    <w:rsid w:val="00C72DAA"/>
    <w:rsid w:val="00C73A98"/>
    <w:rsid w:val="00C7571D"/>
    <w:rsid w:val="00C80359"/>
    <w:rsid w:val="00C80B14"/>
    <w:rsid w:val="00C87502"/>
    <w:rsid w:val="00CA0628"/>
    <w:rsid w:val="00CA177B"/>
    <w:rsid w:val="00CA1D89"/>
    <w:rsid w:val="00CA50B3"/>
    <w:rsid w:val="00CB306E"/>
    <w:rsid w:val="00CB5094"/>
    <w:rsid w:val="00CB6331"/>
    <w:rsid w:val="00CB7C31"/>
    <w:rsid w:val="00CB7E9A"/>
    <w:rsid w:val="00CC4DB3"/>
    <w:rsid w:val="00CD0B92"/>
    <w:rsid w:val="00CD3244"/>
    <w:rsid w:val="00CE1DFB"/>
    <w:rsid w:val="00CE29D3"/>
    <w:rsid w:val="00CE3DBD"/>
    <w:rsid w:val="00CE4C7D"/>
    <w:rsid w:val="00CE58F2"/>
    <w:rsid w:val="00CF2D8B"/>
    <w:rsid w:val="00CF7586"/>
    <w:rsid w:val="00CF7F0C"/>
    <w:rsid w:val="00D036D3"/>
    <w:rsid w:val="00D07C17"/>
    <w:rsid w:val="00D161C4"/>
    <w:rsid w:val="00D20F37"/>
    <w:rsid w:val="00D228A6"/>
    <w:rsid w:val="00D2790D"/>
    <w:rsid w:val="00D44B43"/>
    <w:rsid w:val="00D51ECD"/>
    <w:rsid w:val="00D52962"/>
    <w:rsid w:val="00D53CE6"/>
    <w:rsid w:val="00D5461D"/>
    <w:rsid w:val="00D55FDA"/>
    <w:rsid w:val="00D6170E"/>
    <w:rsid w:val="00D639D8"/>
    <w:rsid w:val="00D765A9"/>
    <w:rsid w:val="00D91CB4"/>
    <w:rsid w:val="00DA3CF6"/>
    <w:rsid w:val="00DA54C1"/>
    <w:rsid w:val="00DA57D2"/>
    <w:rsid w:val="00DA77BA"/>
    <w:rsid w:val="00DB1C09"/>
    <w:rsid w:val="00DC11A3"/>
    <w:rsid w:val="00DC30FA"/>
    <w:rsid w:val="00DC669D"/>
    <w:rsid w:val="00DD1939"/>
    <w:rsid w:val="00DD22A2"/>
    <w:rsid w:val="00DE1133"/>
    <w:rsid w:val="00DE3592"/>
    <w:rsid w:val="00DE5AD6"/>
    <w:rsid w:val="00DE5DCF"/>
    <w:rsid w:val="00E11AA0"/>
    <w:rsid w:val="00E13E4C"/>
    <w:rsid w:val="00E16BF5"/>
    <w:rsid w:val="00E27023"/>
    <w:rsid w:val="00E30FEC"/>
    <w:rsid w:val="00E33233"/>
    <w:rsid w:val="00E37496"/>
    <w:rsid w:val="00E37A3F"/>
    <w:rsid w:val="00E37D3C"/>
    <w:rsid w:val="00E47A6C"/>
    <w:rsid w:val="00E615B5"/>
    <w:rsid w:val="00E617DF"/>
    <w:rsid w:val="00E62DFF"/>
    <w:rsid w:val="00E62E6A"/>
    <w:rsid w:val="00E73A29"/>
    <w:rsid w:val="00E83EF5"/>
    <w:rsid w:val="00E9335C"/>
    <w:rsid w:val="00EA41DC"/>
    <w:rsid w:val="00EA7218"/>
    <w:rsid w:val="00EB36C2"/>
    <w:rsid w:val="00EC373E"/>
    <w:rsid w:val="00ED1C1E"/>
    <w:rsid w:val="00EE0860"/>
    <w:rsid w:val="00EE1CF5"/>
    <w:rsid w:val="00EE2AF2"/>
    <w:rsid w:val="00EE7028"/>
    <w:rsid w:val="00EE77E9"/>
    <w:rsid w:val="00EF6D46"/>
    <w:rsid w:val="00F06548"/>
    <w:rsid w:val="00F07EE6"/>
    <w:rsid w:val="00F25625"/>
    <w:rsid w:val="00F2624D"/>
    <w:rsid w:val="00F32348"/>
    <w:rsid w:val="00F33CC8"/>
    <w:rsid w:val="00F36EF8"/>
    <w:rsid w:val="00F4481C"/>
    <w:rsid w:val="00F45902"/>
    <w:rsid w:val="00F46C61"/>
    <w:rsid w:val="00F52005"/>
    <w:rsid w:val="00F52089"/>
    <w:rsid w:val="00F75D23"/>
    <w:rsid w:val="00F8112B"/>
    <w:rsid w:val="00F81946"/>
    <w:rsid w:val="00F8365A"/>
    <w:rsid w:val="00F8547A"/>
    <w:rsid w:val="00F86DF5"/>
    <w:rsid w:val="00F93742"/>
    <w:rsid w:val="00FA5957"/>
    <w:rsid w:val="00FC1CB6"/>
    <w:rsid w:val="00FC3CE0"/>
    <w:rsid w:val="00FC7090"/>
    <w:rsid w:val="00FD06A8"/>
    <w:rsid w:val="00FF30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8259D297-5E53-4766-9F7C-419A5302F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895"/>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1544A1"/>
    <w:rPr>
      <w:color w:val="605E5C"/>
      <w:shd w:val="clear" w:color="auto" w:fill="E1DFDD"/>
    </w:rPr>
  </w:style>
  <w:style w:type="character" w:customStyle="1" w:styleId="Mencinsinresolver2">
    <w:name w:val="Mención sin resolver2"/>
    <w:basedOn w:val="Fuentedeprrafopredeter"/>
    <w:uiPriority w:val="99"/>
    <w:semiHidden/>
    <w:unhideWhenUsed/>
    <w:rsid w:val="00CA0628"/>
    <w:rPr>
      <w:color w:val="605E5C"/>
      <w:shd w:val="clear" w:color="auto" w:fill="E1DFDD"/>
    </w:rPr>
  </w:style>
  <w:style w:type="character" w:customStyle="1" w:styleId="Mencinsinresolver3">
    <w:name w:val="Mención sin resolver3"/>
    <w:basedOn w:val="Fuentedeprrafopredeter"/>
    <w:uiPriority w:val="99"/>
    <w:semiHidden/>
    <w:unhideWhenUsed/>
    <w:rsid w:val="00DA3CF6"/>
    <w:rPr>
      <w:color w:val="605E5C"/>
      <w:shd w:val="clear" w:color="auto" w:fill="E1DFDD"/>
    </w:rPr>
  </w:style>
  <w:style w:type="paragraph" w:styleId="NormalWeb">
    <w:name w:val="Normal (Web)"/>
    <w:basedOn w:val="Normal"/>
    <w:uiPriority w:val="99"/>
    <w:rsid w:val="00811AFE"/>
    <w:pPr>
      <w:spacing w:before="100" w:beforeAutospacing="1" w:after="100" w:afterAutospacing="1" w:line="240" w:lineRule="auto"/>
      <w:jc w:val="left"/>
    </w:pPr>
    <w:rPr>
      <w:rFonts w:ascii="Times New Roman" w:hAnsi="Times New Roman"/>
      <w:sz w:val="24"/>
      <w:szCs w:val="24"/>
      <w:lang w:val="es-ES" w:eastAsia="es-MX"/>
    </w:rPr>
  </w:style>
  <w:style w:type="character" w:customStyle="1" w:styleId="Mencinsinresolver4">
    <w:name w:val="Mención sin resolver4"/>
    <w:basedOn w:val="Fuentedeprrafopredeter"/>
    <w:uiPriority w:val="99"/>
    <w:semiHidden/>
    <w:unhideWhenUsed/>
    <w:rsid w:val="00113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38879">
      <w:bodyDiv w:val="1"/>
      <w:marLeft w:val="0"/>
      <w:marRight w:val="0"/>
      <w:marTop w:val="0"/>
      <w:marBottom w:val="0"/>
      <w:divBdr>
        <w:top w:val="none" w:sz="0" w:space="0" w:color="auto"/>
        <w:left w:val="none" w:sz="0" w:space="0" w:color="auto"/>
        <w:bottom w:val="none" w:sz="0" w:space="0" w:color="auto"/>
        <w:right w:val="none" w:sz="0" w:space="0" w:color="auto"/>
      </w:divBdr>
    </w:div>
    <w:div w:id="64841333">
      <w:bodyDiv w:val="1"/>
      <w:marLeft w:val="0"/>
      <w:marRight w:val="0"/>
      <w:marTop w:val="0"/>
      <w:marBottom w:val="0"/>
      <w:divBdr>
        <w:top w:val="none" w:sz="0" w:space="0" w:color="auto"/>
        <w:left w:val="none" w:sz="0" w:space="0" w:color="auto"/>
        <w:bottom w:val="none" w:sz="0" w:space="0" w:color="auto"/>
        <w:right w:val="none" w:sz="0" w:space="0" w:color="auto"/>
      </w:divBdr>
    </w:div>
    <w:div w:id="160201178">
      <w:bodyDiv w:val="1"/>
      <w:marLeft w:val="0"/>
      <w:marRight w:val="0"/>
      <w:marTop w:val="0"/>
      <w:marBottom w:val="0"/>
      <w:divBdr>
        <w:top w:val="none" w:sz="0" w:space="0" w:color="auto"/>
        <w:left w:val="none" w:sz="0" w:space="0" w:color="auto"/>
        <w:bottom w:val="none" w:sz="0" w:space="0" w:color="auto"/>
        <w:right w:val="none" w:sz="0" w:space="0" w:color="auto"/>
      </w:divBdr>
    </w:div>
    <w:div w:id="285428060">
      <w:bodyDiv w:val="1"/>
      <w:marLeft w:val="0"/>
      <w:marRight w:val="0"/>
      <w:marTop w:val="0"/>
      <w:marBottom w:val="0"/>
      <w:divBdr>
        <w:top w:val="none" w:sz="0" w:space="0" w:color="auto"/>
        <w:left w:val="none" w:sz="0" w:space="0" w:color="auto"/>
        <w:bottom w:val="none" w:sz="0" w:space="0" w:color="auto"/>
        <w:right w:val="none" w:sz="0" w:space="0" w:color="auto"/>
      </w:divBdr>
    </w:div>
    <w:div w:id="328947305">
      <w:bodyDiv w:val="1"/>
      <w:marLeft w:val="0"/>
      <w:marRight w:val="0"/>
      <w:marTop w:val="0"/>
      <w:marBottom w:val="0"/>
      <w:divBdr>
        <w:top w:val="none" w:sz="0" w:space="0" w:color="auto"/>
        <w:left w:val="none" w:sz="0" w:space="0" w:color="auto"/>
        <w:bottom w:val="none" w:sz="0" w:space="0" w:color="auto"/>
        <w:right w:val="none" w:sz="0" w:space="0" w:color="auto"/>
      </w:divBdr>
    </w:div>
    <w:div w:id="333533794">
      <w:bodyDiv w:val="1"/>
      <w:marLeft w:val="0"/>
      <w:marRight w:val="0"/>
      <w:marTop w:val="0"/>
      <w:marBottom w:val="0"/>
      <w:divBdr>
        <w:top w:val="none" w:sz="0" w:space="0" w:color="auto"/>
        <w:left w:val="none" w:sz="0" w:space="0" w:color="auto"/>
        <w:bottom w:val="none" w:sz="0" w:space="0" w:color="auto"/>
        <w:right w:val="none" w:sz="0" w:space="0" w:color="auto"/>
      </w:divBdr>
    </w:div>
    <w:div w:id="426001488">
      <w:bodyDiv w:val="1"/>
      <w:marLeft w:val="0"/>
      <w:marRight w:val="0"/>
      <w:marTop w:val="0"/>
      <w:marBottom w:val="0"/>
      <w:divBdr>
        <w:top w:val="none" w:sz="0" w:space="0" w:color="auto"/>
        <w:left w:val="none" w:sz="0" w:space="0" w:color="auto"/>
        <w:bottom w:val="none" w:sz="0" w:space="0" w:color="auto"/>
        <w:right w:val="none" w:sz="0" w:space="0" w:color="auto"/>
      </w:divBdr>
    </w:div>
    <w:div w:id="442261213">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533004562">
      <w:bodyDiv w:val="1"/>
      <w:marLeft w:val="0"/>
      <w:marRight w:val="0"/>
      <w:marTop w:val="0"/>
      <w:marBottom w:val="0"/>
      <w:divBdr>
        <w:top w:val="none" w:sz="0" w:space="0" w:color="auto"/>
        <w:left w:val="none" w:sz="0" w:space="0" w:color="auto"/>
        <w:bottom w:val="none" w:sz="0" w:space="0" w:color="auto"/>
        <w:right w:val="none" w:sz="0" w:space="0" w:color="auto"/>
      </w:divBdr>
    </w:div>
    <w:div w:id="576014576">
      <w:bodyDiv w:val="1"/>
      <w:marLeft w:val="0"/>
      <w:marRight w:val="0"/>
      <w:marTop w:val="0"/>
      <w:marBottom w:val="0"/>
      <w:divBdr>
        <w:top w:val="none" w:sz="0" w:space="0" w:color="auto"/>
        <w:left w:val="none" w:sz="0" w:space="0" w:color="auto"/>
        <w:bottom w:val="none" w:sz="0" w:space="0" w:color="auto"/>
        <w:right w:val="none" w:sz="0" w:space="0" w:color="auto"/>
      </w:divBdr>
    </w:div>
    <w:div w:id="651759630">
      <w:bodyDiv w:val="1"/>
      <w:marLeft w:val="0"/>
      <w:marRight w:val="0"/>
      <w:marTop w:val="0"/>
      <w:marBottom w:val="0"/>
      <w:divBdr>
        <w:top w:val="none" w:sz="0" w:space="0" w:color="auto"/>
        <w:left w:val="none" w:sz="0" w:space="0" w:color="auto"/>
        <w:bottom w:val="none" w:sz="0" w:space="0" w:color="auto"/>
        <w:right w:val="none" w:sz="0" w:space="0" w:color="auto"/>
      </w:divBdr>
    </w:div>
    <w:div w:id="681782180">
      <w:bodyDiv w:val="1"/>
      <w:marLeft w:val="0"/>
      <w:marRight w:val="0"/>
      <w:marTop w:val="0"/>
      <w:marBottom w:val="0"/>
      <w:divBdr>
        <w:top w:val="none" w:sz="0" w:space="0" w:color="auto"/>
        <w:left w:val="none" w:sz="0" w:space="0" w:color="auto"/>
        <w:bottom w:val="none" w:sz="0" w:space="0" w:color="auto"/>
        <w:right w:val="none" w:sz="0" w:space="0" w:color="auto"/>
      </w:divBdr>
    </w:div>
    <w:div w:id="691802601">
      <w:bodyDiv w:val="1"/>
      <w:marLeft w:val="0"/>
      <w:marRight w:val="0"/>
      <w:marTop w:val="0"/>
      <w:marBottom w:val="0"/>
      <w:divBdr>
        <w:top w:val="none" w:sz="0" w:space="0" w:color="auto"/>
        <w:left w:val="none" w:sz="0" w:space="0" w:color="auto"/>
        <w:bottom w:val="none" w:sz="0" w:space="0" w:color="auto"/>
        <w:right w:val="none" w:sz="0" w:space="0" w:color="auto"/>
      </w:divBdr>
    </w:div>
    <w:div w:id="736050479">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26634921">
      <w:bodyDiv w:val="1"/>
      <w:marLeft w:val="0"/>
      <w:marRight w:val="0"/>
      <w:marTop w:val="0"/>
      <w:marBottom w:val="0"/>
      <w:divBdr>
        <w:top w:val="none" w:sz="0" w:space="0" w:color="auto"/>
        <w:left w:val="none" w:sz="0" w:space="0" w:color="auto"/>
        <w:bottom w:val="none" w:sz="0" w:space="0" w:color="auto"/>
        <w:right w:val="none" w:sz="0" w:space="0" w:color="auto"/>
      </w:divBdr>
    </w:div>
    <w:div w:id="849641196">
      <w:bodyDiv w:val="1"/>
      <w:marLeft w:val="0"/>
      <w:marRight w:val="0"/>
      <w:marTop w:val="0"/>
      <w:marBottom w:val="0"/>
      <w:divBdr>
        <w:top w:val="none" w:sz="0" w:space="0" w:color="auto"/>
        <w:left w:val="none" w:sz="0" w:space="0" w:color="auto"/>
        <w:bottom w:val="none" w:sz="0" w:space="0" w:color="auto"/>
        <w:right w:val="none" w:sz="0" w:space="0" w:color="auto"/>
      </w:divBdr>
    </w:div>
    <w:div w:id="889998922">
      <w:bodyDiv w:val="1"/>
      <w:marLeft w:val="0"/>
      <w:marRight w:val="0"/>
      <w:marTop w:val="0"/>
      <w:marBottom w:val="0"/>
      <w:divBdr>
        <w:top w:val="none" w:sz="0" w:space="0" w:color="auto"/>
        <w:left w:val="none" w:sz="0" w:space="0" w:color="auto"/>
        <w:bottom w:val="none" w:sz="0" w:space="0" w:color="auto"/>
        <w:right w:val="none" w:sz="0" w:space="0" w:color="auto"/>
      </w:divBdr>
    </w:div>
    <w:div w:id="958145649">
      <w:bodyDiv w:val="1"/>
      <w:marLeft w:val="0"/>
      <w:marRight w:val="0"/>
      <w:marTop w:val="0"/>
      <w:marBottom w:val="0"/>
      <w:divBdr>
        <w:top w:val="none" w:sz="0" w:space="0" w:color="auto"/>
        <w:left w:val="none" w:sz="0" w:space="0" w:color="auto"/>
        <w:bottom w:val="none" w:sz="0" w:space="0" w:color="auto"/>
        <w:right w:val="none" w:sz="0" w:space="0" w:color="auto"/>
      </w:divBdr>
    </w:div>
    <w:div w:id="1052076460">
      <w:bodyDiv w:val="1"/>
      <w:marLeft w:val="0"/>
      <w:marRight w:val="0"/>
      <w:marTop w:val="0"/>
      <w:marBottom w:val="0"/>
      <w:divBdr>
        <w:top w:val="none" w:sz="0" w:space="0" w:color="auto"/>
        <w:left w:val="none" w:sz="0" w:space="0" w:color="auto"/>
        <w:bottom w:val="none" w:sz="0" w:space="0" w:color="auto"/>
        <w:right w:val="none" w:sz="0" w:space="0" w:color="auto"/>
      </w:divBdr>
    </w:div>
    <w:div w:id="1105231048">
      <w:bodyDiv w:val="1"/>
      <w:marLeft w:val="0"/>
      <w:marRight w:val="0"/>
      <w:marTop w:val="0"/>
      <w:marBottom w:val="0"/>
      <w:divBdr>
        <w:top w:val="none" w:sz="0" w:space="0" w:color="auto"/>
        <w:left w:val="none" w:sz="0" w:space="0" w:color="auto"/>
        <w:bottom w:val="none" w:sz="0" w:space="0" w:color="auto"/>
        <w:right w:val="none" w:sz="0" w:space="0" w:color="auto"/>
      </w:divBdr>
    </w:div>
    <w:div w:id="1161576796">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193029831">
      <w:bodyDiv w:val="1"/>
      <w:marLeft w:val="0"/>
      <w:marRight w:val="0"/>
      <w:marTop w:val="0"/>
      <w:marBottom w:val="0"/>
      <w:divBdr>
        <w:top w:val="none" w:sz="0" w:space="0" w:color="auto"/>
        <w:left w:val="none" w:sz="0" w:space="0" w:color="auto"/>
        <w:bottom w:val="none" w:sz="0" w:space="0" w:color="auto"/>
        <w:right w:val="none" w:sz="0" w:space="0" w:color="auto"/>
      </w:divBdr>
    </w:div>
    <w:div w:id="1197425498">
      <w:bodyDiv w:val="1"/>
      <w:marLeft w:val="0"/>
      <w:marRight w:val="0"/>
      <w:marTop w:val="0"/>
      <w:marBottom w:val="0"/>
      <w:divBdr>
        <w:top w:val="none" w:sz="0" w:space="0" w:color="auto"/>
        <w:left w:val="none" w:sz="0" w:space="0" w:color="auto"/>
        <w:bottom w:val="none" w:sz="0" w:space="0" w:color="auto"/>
        <w:right w:val="none" w:sz="0" w:space="0" w:color="auto"/>
      </w:divBdr>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37204418">
      <w:bodyDiv w:val="1"/>
      <w:marLeft w:val="0"/>
      <w:marRight w:val="0"/>
      <w:marTop w:val="0"/>
      <w:marBottom w:val="0"/>
      <w:divBdr>
        <w:top w:val="none" w:sz="0" w:space="0" w:color="auto"/>
        <w:left w:val="none" w:sz="0" w:space="0" w:color="auto"/>
        <w:bottom w:val="none" w:sz="0" w:space="0" w:color="auto"/>
        <w:right w:val="none" w:sz="0" w:space="0" w:color="auto"/>
      </w:divBdr>
    </w:div>
    <w:div w:id="1327199999">
      <w:bodyDiv w:val="1"/>
      <w:marLeft w:val="0"/>
      <w:marRight w:val="0"/>
      <w:marTop w:val="0"/>
      <w:marBottom w:val="0"/>
      <w:divBdr>
        <w:top w:val="none" w:sz="0" w:space="0" w:color="auto"/>
        <w:left w:val="none" w:sz="0" w:space="0" w:color="auto"/>
        <w:bottom w:val="none" w:sz="0" w:space="0" w:color="auto"/>
        <w:right w:val="none" w:sz="0" w:space="0" w:color="auto"/>
      </w:divBdr>
    </w:div>
    <w:div w:id="1413087626">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19864680">
      <w:bodyDiv w:val="1"/>
      <w:marLeft w:val="0"/>
      <w:marRight w:val="0"/>
      <w:marTop w:val="0"/>
      <w:marBottom w:val="0"/>
      <w:divBdr>
        <w:top w:val="none" w:sz="0" w:space="0" w:color="auto"/>
        <w:left w:val="none" w:sz="0" w:space="0" w:color="auto"/>
        <w:bottom w:val="none" w:sz="0" w:space="0" w:color="auto"/>
        <w:right w:val="none" w:sz="0" w:space="0" w:color="auto"/>
      </w:divBdr>
    </w:div>
    <w:div w:id="1459952135">
      <w:bodyDiv w:val="1"/>
      <w:marLeft w:val="0"/>
      <w:marRight w:val="0"/>
      <w:marTop w:val="0"/>
      <w:marBottom w:val="0"/>
      <w:divBdr>
        <w:top w:val="none" w:sz="0" w:space="0" w:color="auto"/>
        <w:left w:val="none" w:sz="0" w:space="0" w:color="auto"/>
        <w:bottom w:val="none" w:sz="0" w:space="0" w:color="auto"/>
        <w:right w:val="none" w:sz="0" w:space="0" w:color="auto"/>
      </w:divBdr>
    </w:div>
    <w:div w:id="1467433191">
      <w:bodyDiv w:val="1"/>
      <w:marLeft w:val="0"/>
      <w:marRight w:val="0"/>
      <w:marTop w:val="0"/>
      <w:marBottom w:val="0"/>
      <w:divBdr>
        <w:top w:val="none" w:sz="0" w:space="0" w:color="auto"/>
        <w:left w:val="none" w:sz="0" w:space="0" w:color="auto"/>
        <w:bottom w:val="none" w:sz="0" w:space="0" w:color="auto"/>
        <w:right w:val="none" w:sz="0" w:space="0" w:color="auto"/>
      </w:divBdr>
    </w:div>
    <w:div w:id="1527331856">
      <w:bodyDiv w:val="1"/>
      <w:marLeft w:val="0"/>
      <w:marRight w:val="0"/>
      <w:marTop w:val="0"/>
      <w:marBottom w:val="0"/>
      <w:divBdr>
        <w:top w:val="none" w:sz="0" w:space="0" w:color="auto"/>
        <w:left w:val="none" w:sz="0" w:space="0" w:color="auto"/>
        <w:bottom w:val="none" w:sz="0" w:space="0" w:color="auto"/>
        <w:right w:val="none" w:sz="0" w:space="0" w:color="auto"/>
      </w:divBdr>
    </w:div>
    <w:div w:id="1563560149">
      <w:bodyDiv w:val="1"/>
      <w:marLeft w:val="0"/>
      <w:marRight w:val="0"/>
      <w:marTop w:val="0"/>
      <w:marBottom w:val="0"/>
      <w:divBdr>
        <w:top w:val="none" w:sz="0" w:space="0" w:color="auto"/>
        <w:left w:val="none" w:sz="0" w:space="0" w:color="auto"/>
        <w:bottom w:val="none" w:sz="0" w:space="0" w:color="auto"/>
        <w:right w:val="none" w:sz="0" w:space="0" w:color="auto"/>
      </w:divBdr>
    </w:div>
    <w:div w:id="1583876114">
      <w:bodyDiv w:val="1"/>
      <w:marLeft w:val="0"/>
      <w:marRight w:val="0"/>
      <w:marTop w:val="0"/>
      <w:marBottom w:val="0"/>
      <w:divBdr>
        <w:top w:val="none" w:sz="0" w:space="0" w:color="auto"/>
        <w:left w:val="none" w:sz="0" w:space="0" w:color="auto"/>
        <w:bottom w:val="none" w:sz="0" w:space="0" w:color="auto"/>
        <w:right w:val="none" w:sz="0" w:space="0" w:color="auto"/>
      </w:divBdr>
    </w:div>
    <w:div w:id="1624843862">
      <w:bodyDiv w:val="1"/>
      <w:marLeft w:val="0"/>
      <w:marRight w:val="0"/>
      <w:marTop w:val="0"/>
      <w:marBottom w:val="0"/>
      <w:divBdr>
        <w:top w:val="none" w:sz="0" w:space="0" w:color="auto"/>
        <w:left w:val="none" w:sz="0" w:space="0" w:color="auto"/>
        <w:bottom w:val="none" w:sz="0" w:space="0" w:color="auto"/>
        <w:right w:val="none" w:sz="0" w:space="0" w:color="auto"/>
      </w:divBdr>
    </w:div>
    <w:div w:id="1657686951">
      <w:bodyDiv w:val="1"/>
      <w:marLeft w:val="0"/>
      <w:marRight w:val="0"/>
      <w:marTop w:val="0"/>
      <w:marBottom w:val="0"/>
      <w:divBdr>
        <w:top w:val="none" w:sz="0" w:space="0" w:color="auto"/>
        <w:left w:val="none" w:sz="0" w:space="0" w:color="auto"/>
        <w:bottom w:val="none" w:sz="0" w:space="0" w:color="auto"/>
        <w:right w:val="none" w:sz="0" w:space="0" w:color="auto"/>
      </w:divBdr>
    </w:div>
    <w:div w:id="1692419067">
      <w:bodyDiv w:val="1"/>
      <w:marLeft w:val="0"/>
      <w:marRight w:val="0"/>
      <w:marTop w:val="0"/>
      <w:marBottom w:val="0"/>
      <w:divBdr>
        <w:top w:val="none" w:sz="0" w:space="0" w:color="auto"/>
        <w:left w:val="none" w:sz="0" w:space="0" w:color="auto"/>
        <w:bottom w:val="none" w:sz="0" w:space="0" w:color="auto"/>
        <w:right w:val="none" w:sz="0" w:space="0" w:color="auto"/>
      </w:divBdr>
    </w:div>
    <w:div w:id="1712195326">
      <w:bodyDiv w:val="1"/>
      <w:marLeft w:val="0"/>
      <w:marRight w:val="0"/>
      <w:marTop w:val="0"/>
      <w:marBottom w:val="0"/>
      <w:divBdr>
        <w:top w:val="none" w:sz="0" w:space="0" w:color="auto"/>
        <w:left w:val="none" w:sz="0" w:space="0" w:color="auto"/>
        <w:bottom w:val="none" w:sz="0" w:space="0" w:color="auto"/>
        <w:right w:val="none" w:sz="0" w:space="0" w:color="auto"/>
      </w:divBdr>
    </w:div>
    <w:div w:id="1803883569">
      <w:bodyDiv w:val="1"/>
      <w:marLeft w:val="0"/>
      <w:marRight w:val="0"/>
      <w:marTop w:val="0"/>
      <w:marBottom w:val="0"/>
      <w:divBdr>
        <w:top w:val="none" w:sz="0" w:space="0" w:color="auto"/>
        <w:left w:val="none" w:sz="0" w:space="0" w:color="auto"/>
        <w:bottom w:val="none" w:sz="0" w:space="0" w:color="auto"/>
        <w:right w:val="none" w:sz="0" w:space="0" w:color="auto"/>
      </w:divBdr>
    </w:div>
    <w:div w:id="1813013096">
      <w:bodyDiv w:val="1"/>
      <w:marLeft w:val="0"/>
      <w:marRight w:val="0"/>
      <w:marTop w:val="0"/>
      <w:marBottom w:val="0"/>
      <w:divBdr>
        <w:top w:val="none" w:sz="0" w:space="0" w:color="auto"/>
        <w:left w:val="none" w:sz="0" w:space="0" w:color="auto"/>
        <w:bottom w:val="none" w:sz="0" w:space="0" w:color="auto"/>
        <w:right w:val="none" w:sz="0" w:space="0" w:color="auto"/>
      </w:divBdr>
    </w:div>
    <w:div w:id="1820534016">
      <w:bodyDiv w:val="1"/>
      <w:marLeft w:val="0"/>
      <w:marRight w:val="0"/>
      <w:marTop w:val="0"/>
      <w:marBottom w:val="0"/>
      <w:divBdr>
        <w:top w:val="none" w:sz="0" w:space="0" w:color="auto"/>
        <w:left w:val="none" w:sz="0" w:space="0" w:color="auto"/>
        <w:bottom w:val="none" w:sz="0" w:space="0" w:color="auto"/>
        <w:right w:val="none" w:sz="0" w:space="0" w:color="auto"/>
      </w:divBdr>
    </w:div>
    <w:div w:id="1834829645">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838839345">
      <w:bodyDiv w:val="1"/>
      <w:marLeft w:val="0"/>
      <w:marRight w:val="0"/>
      <w:marTop w:val="0"/>
      <w:marBottom w:val="0"/>
      <w:divBdr>
        <w:top w:val="none" w:sz="0" w:space="0" w:color="auto"/>
        <w:left w:val="none" w:sz="0" w:space="0" w:color="auto"/>
        <w:bottom w:val="none" w:sz="0" w:space="0" w:color="auto"/>
        <w:right w:val="none" w:sz="0" w:space="0" w:color="auto"/>
      </w:divBdr>
    </w:div>
    <w:div w:id="2075811785">
      <w:bodyDiv w:val="1"/>
      <w:marLeft w:val="0"/>
      <w:marRight w:val="0"/>
      <w:marTop w:val="0"/>
      <w:marBottom w:val="0"/>
      <w:divBdr>
        <w:top w:val="none" w:sz="0" w:space="0" w:color="auto"/>
        <w:left w:val="none" w:sz="0" w:space="0" w:color="auto"/>
        <w:bottom w:val="none" w:sz="0" w:space="0" w:color="auto"/>
        <w:right w:val="none" w:sz="0" w:space="0" w:color="auto"/>
      </w:divBdr>
    </w:div>
    <w:div w:id="2097898446">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ebapps.condusef.gob.mx/SIPRES/jsp/pub/index.jsp" TargetMode="External"/><Relationship Id="rId1" Type="http://schemas.openxmlformats.org/officeDocument/2006/relationships/hyperlink" Target="https://www.condusef.gob.mx/Revista/index.php/usuario-inteligente/condusef-responde/777-la-condusef-te-puede-ayud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D582451A-1121-4AD4-B92D-EFD3B77EF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37</Pages>
  <Words>8774</Words>
  <Characters>48262</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6</cp:revision>
  <cp:lastPrinted>2025-10-23T23:44:00Z</cp:lastPrinted>
  <dcterms:created xsi:type="dcterms:W3CDTF">2025-10-15T21:31:00Z</dcterms:created>
  <dcterms:modified xsi:type="dcterms:W3CDTF">2025-10-23T23:44:00Z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