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C94DE"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tres de septiembre de dos mil veinticinco. </w:t>
      </w:r>
    </w:p>
    <w:p w14:paraId="0207E723" w14:textId="77777777" w:rsidR="00A023B3" w:rsidRDefault="00A023B3">
      <w:pPr>
        <w:spacing w:line="360" w:lineRule="auto"/>
        <w:jc w:val="both"/>
        <w:rPr>
          <w:rFonts w:ascii="Palatino Linotype" w:eastAsia="Palatino Linotype" w:hAnsi="Palatino Linotype" w:cs="Palatino Linotype"/>
          <w:sz w:val="22"/>
          <w:szCs w:val="22"/>
        </w:rPr>
      </w:pPr>
    </w:p>
    <w:p w14:paraId="043ADF11" w14:textId="77777777" w:rsidR="00A023B3" w:rsidRDefault="003A06AD">
      <w:pPr>
        <w:spacing w:line="360" w:lineRule="auto"/>
        <w:jc w:val="both"/>
        <w:rPr>
          <w:rFonts w:ascii="Palatino Linotype" w:eastAsia="Palatino Linotype" w:hAnsi="Palatino Linotype" w:cs="Palatino Linotype"/>
          <w:sz w:val="22"/>
          <w:szCs w:val="22"/>
        </w:rPr>
      </w:pPr>
      <w:bookmarkStart w:id="0" w:name="_heading=h.q4dj2ea6qvlw" w:colFirst="0" w:colLast="0"/>
      <w:bookmarkEnd w:id="0"/>
      <w:r>
        <w:rPr>
          <w:rFonts w:ascii="Palatino Linotype" w:eastAsia="Palatino Linotype" w:hAnsi="Palatino Linotype" w:cs="Palatino Linotype"/>
          <w:b/>
          <w:sz w:val="22"/>
          <w:szCs w:val="22"/>
        </w:rPr>
        <w:t>Visto</w:t>
      </w:r>
      <w:r>
        <w:rPr>
          <w:rFonts w:ascii="Palatino Linotype" w:eastAsia="Palatino Linotype" w:hAnsi="Palatino Linotype" w:cs="Palatino Linotype"/>
          <w:sz w:val="22"/>
          <w:szCs w:val="22"/>
        </w:rPr>
        <w:t xml:space="preserve"> el expediente relativo al recurso de revisión </w:t>
      </w:r>
      <w:r>
        <w:rPr>
          <w:rFonts w:ascii="Palatino Linotype" w:eastAsia="Palatino Linotype" w:hAnsi="Palatino Linotype" w:cs="Palatino Linotype"/>
          <w:b/>
          <w:sz w:val="22"/>
          <w:szCs w:val="22"/>
        </w:rPr>
        <w:t>05314/INFOEM/IP/RR/2025</w:t>
      </w:r>
      <w:r>
        <w:rPr>
          <w:rFonts w:ascii="Palatino Linotype" w:eastAsia="Palatino Linotype" w:hAnsi="Palatino Linotype" w:cs="Palatino Linotype"/>
          <w:sz w:val="22"/>
          <w:szCs w:val="22"/>
        </w:rPr>
        <w:t xml:space="preserve">, interpuesto por </w:t>
      </w:r>
      <w:r>
        <w:rPr>
          <w:rFonts w:ascii="Palatino Linotype" w:eastAsia="Palatino Linotype" w:hAnsi="Palatino Linotype" w:cs="Palatino Linotype"/>
          <w:b/>
          <w:sz w:val="22"/>
          <w:szCs w:val="22"/>
        </w:rPr>
        <w:t xml:space="preserve">un particular que no proporcionó nombre o seudónimo, </w:t>
      </w:r>
      <w:r>
        <w:rPr>
          <w:rFonts w:ascii="Palatino Linotype" w:eastAsia="Palatino Linotype" w:hAnsi="Palatino Linotype" w:cs="Palatino Linotype"/>
          <w:sz w:val="22"/>
          <w:szCs w:val="22"/>
        </w:rPr>
        <w:t>en lo sucesivo se le denominará la parte</w:t>
      </w:r>
      <w:r>
        <w:rPr>
          <w:rFonts w:ascii="Palatino Linotype" w:eastAsia="Palatino Linotype" w:hAnsi="Palatino Linotype" w:cs="Palatino Linotype"/>
          <w:b/>
          <w:sz w:val="22"/>
          <w:szCs w:val="22"/>
        </w:rPr>
        <w:t xml:space="preserve"> Recurrente</w:t>
      </w:r>
      <w:r>
        <w:rPr>
          <w:rFonts w:ascii="Palatino Linotype" w:eastAsia="Palatino Linotype" w:hAnsi="Palatino Linotype" w:cs="Palatino Linotype"/>
          <w:sz w:val="22"/>
          <w:szCs w:val="22"/>
        </w:rPr>
        <w:t>, en contra de la respuesta a su solicitud de información con número de folio</w:t>
      </w:r>
      <w:r>
        <w:rPr>
          <w:rFonts w:ascii="Palatino Linotype" w:eastAsia="Palatino Linotype" w:hAnsi="Palatino Linotype" w:cs="Palatino Linotype"/>
          <w:b/>
          <w:sz w:val="22"/>
          <w:szCs w:val="22"/>
        </w:rPr>
        <w:t xml:space="preserve"> 00516/CUAUTIZC/IP/2025</w:t>
      </w:r>
      <w:r>
        <w:rPr>
          <w:rFonts w:ascii="Palatino Linotype" w:eastAsia="Palatino Linotype" w:hAnsi="Palatino Linotype" w:cs="Palatino Linotype"/>
          <w:sz w:val="22"/>
          <w:szCs w:val="22"/>
        </w:rPr>
        <w:t xml:space="preserve">, por parte del </w:t>
      </w:r>
      <w:r>
        <w:rPr>
          <w:rFonts w:ascii="Palatino Linotype" w:eastAsia="Palatino Linotype" w:hAnsi="Palatino Linotype" w:cs="Palatino Linotype"/>
          <w:b/>
          <w:sz w:val="22"/>
          <w:szCs w:val="22"/>
        </w:rPr>
        <w:t xml:space="preserve">Ayuntamiento de Cuautitlán Izcalli </w:t>
      </w:r>
      <w:r>
        <w:rPr>
          <w:rFonts w:ascii="Palatino Linotype" w:eastAsia="Palatino Linotype" w:hAnsi="Palatino Linotype" w:cs="Palatino Linotype"/>
          <w:sz w:val="22"/>
          <w:szCs w:val="22"/>
        </w:rPr>
        <w:t xml:space="preserve">en lo sucesivo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se procede a dictar la presente resolución, con base en los siguientes:</w:t>
      </w:r>
    </w:p>
    <w:p w14:paraId="618C4F3D" w14:textId="77777777" w:rsidR="00A023B3" w:rsidRDefault="00A023B3">
      <w:pPr>
        <w:spacing w:line="360" w:lineRule="auto"/>
        <w:jc w:val="both"/>
        <w:rPr>
          <w:rFonts w:ascii="Palatino Linotype" w:eastAsia="Palatino Linotype" w:hAnsi="Palatino Linotype" w:cs="Palatino Linotype"/>
          <w:sz w:val="22"/>
          <w:szCs w:val="22"/>
        </w:rPr>
      </w:pPr>
    </w:p>
    <w:p w14:paraId="5EC8D39B" w14:textId="77777777" w:rsidR="00A023B3" w:rsidRDefault="003A06AD">
      <w:pPr>
        <w:numPr>
          <w:ilvl w:val="0"/>
          <w:numId w:val="6"/>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 N T E C E D E N T E S:</w:t>
      </w:r>
    </w:p>
    <w:p w14:paraId="596AC6E9" w14:textId="77777777" w:rsidR="00A023B3" w:rsidRDefault="00A023B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705DBE2B" w14:textId="77777777" w:rsidR="00A023B3" w:rsidRDefault="003A06AD">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Solicitud de acceso a la información. </w:t>
      </w:r>
      <w:r>
        <w:rPr>
          <w:rFonts w:ascii="Palatino Linotype" w:eastAsia="Palatino Linotype" w:hAnsi="Palatino Linotype" w:cs="Palatino Linotype"/>
          <w:sz w:val="22"/>
          <w:szCs w:val="22"/>
        </w:rPr>
        <w:t xml:space="preserve">Con fecha </w:t>
      </w:r>
      <w:r>
        <w:rPr>
          <w:rFonts w:ascii="Palatino Linotype" w:eastAsia="Palatino Linotype" w:hAnsi="Palatino Linotype" w:cs="Palatino Linotype"/>
          <w:b/>
          <w:sz w:val="22"/>
          <w:szCs w:val="22"/>
        </w:rPr>
        <w:t>diecisiete de marzo de dos mil veinticinco</w:t>
      </w:r>
      <w:r>
        <w:rPr>
          <w:rFonts w:ascii="Palatino Linotype" w:eastAsia="Palatino Linotype" w:hAnsi="Palatino Linotype" w:cs="Palatino Linotype"/>
          <w:sz w:val="22"/>
          <w:szCs w:val="22"/>
        </w:rPr>
        <w:t xml:space="preserv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formuló solicitud de acceso a información pública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través del Sistema de Acceso a la Información Mexiquense, en adelante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sin </w:t>
      </w:r>
      <w:proofErr w:type="gramStart"/>
      <w:r>
        <w:rPr>
          <w:rFonts w:ascii="Palatino Linotype" w:eastAsia="Palatino Linotype" w:hAnsi="Palatino Linotype" w:cs="Palatino Linotype"/>
          <w:sz w:val="22"/>
          <w:szCs w:val="22"/>
        </w:rPr>
        <w:t>embargo</w:t>
      </w:r>
      <w:proofErr w:type="gramEnd"/>
      <w:r>
        <w:rPr>
          <w:rFonts w:ascii="Palatino Linotype" w:eastAsia="Palatino Linotype" w:hAnsi="Palatino Linotype" w:cs="Palatino Linotype"/>
          <w:sz w:val="22"/>
          <w:szCs w:val="22"/>
        </w:rPr>
        <w:t xml:space="preserve"> al corresponder a un día inhábil se tuvo por presentada el día</w:t>
      </w:r>
      <w:r>
        <w:rPr>
          <w:rFonts w:ascii="Palatino Linotype" w:eastAsia="Palatino Linotype" w:hAnsi="Palatino Linotype" w:cs="Palatino Linotype"/>
          <w:b/>
          <w:sz w:val="22"/>
          <w:szCs w:val="22"/>
        </w:rPr>
        <w:t xml:space="preserve"> dieciocho de marzo de dos mil veinticinco, </w:t>
      </w:r>
      <w:r>
        <w:rPr>
          <w:rFonts w:ascii="Palatino Linotype" w:eastAsia="Palatino Linotype" w:hAnsi="Palatino Linotype" w:cs="Palatino Linotype"/>
          <w:sz w:val="22"/>
          <w:szCs w:val="22"/>
        </w:rPr>
        <w:t>requiriéndole lo siguiente:</w:t>
      </w:r>
    </w:p>
    <w:p w14:paraId="57557C8B" w14:textId="77777777" w:rsidR="00A023B3" w:rsidRDefault="00A023B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597C355" w14:textId="77777777" w:rsidR="00A023B3" w:rsidRDefault="003A06AD">
      <w:pPr>
        <w:spacing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“REQUIERO TODOS LOS DOCUMENTOS DONDE CONSTE LA ACTUALIZACION DEL SISTEMA REDATOSEM Y LA ACTUALIZACIÓN DE LOS AVISOS DE PRIVACIDAD, TAMBIEN LOS DOCUMENTOS DE SEGURIDAD, TODO LO ANTERIOR DE LOS AÑOS 2024 Y DEL 01 DE ENERO A LA FECHA DEL AÑO 2025. GRACIAS”</w:t>
      </w:r>
    </w:p>
    <w:p w14:paraId="2A2D3766" w14:textId="77777777" w:rsidR="00A023B3" w:rsidRDefault="00A023B3">
      <w:pPr>
        <w:spacing w:line="360" w:lineRule="auto"/>
        <w:ind w:left="709" w:right="900"/>
        <w:jc w:val="both"/>
        <w:rPr>
          <w:rFonts w:ascii="Palatino Linotype" w:eastAsia="Palatino Linotype" w:hAnsi="Palatino Linotype" w:cs="Palatino Linotype"/>
          <w:b/>
          <w:i/>
          <w:sz w:val="22"/>
          <w:szCs w:val="22"/>
        </w:rPr>
      </w:pPr>
    </w:p>
    <w:p w14:paraId="23B2FB47"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Modalidad elegida para la entrega de la información: </w:t>
      </w:r>
      <w:r>
        <w:rPr>
          <w:rFonts w:ascii="Palatino Linotype" w:eastAsia="Palatino Linotype" w:hAnsi="Palatino Linotype" w:cs="Palatino Linotype"/>
          <w:sz w:val="22"/>
          <w:szCs w:val="22"/>
        </w:rPr>
        <w:t xml:space="preserve">a través del Sistema de Acceso a la Información Mexiquense. </w:t>
      </w:r>
    </w:p>
    <w:p w14:paraId="245EA79D" w14:textId="77777777" w:rsidR="00A023B3" w:rsidRDefault="00A023B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50FD30" w14:textId="77777777" w:rsidR="00A023B3" w:rsidRDefault="003A06A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Prórroga.</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 xml:space="preserve">ocho de abril de dos mil veinticinco,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notificó a la persona solicitante la prórroga para dar respuesta a la solicitud</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medularmente en los siguientes términos:</w:t>
      </w:r>
    </w:p>
    <w:p w14:paraId="640DFB65" w14:textId="77777777" w:rsidR="00A023B3" w:rsidRDefault="003A06AD">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7722D2F" w14:textId="77777777" w:rsidR="00A023B3" w:rsidRDefault="003A06AD">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aprueba por unanimidad la prórroga solicitada, se anexa acuerdo correspondiente.</w:t>
      </w:r>
    </w:p>
    <w:p w14:paraId="423C0F3C" w14:textId="77777777" w:rsidR="00A023B3" w:rsidRDefault="003A06AD">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GABRIELA ELIZABETH MORALES CRUZ</w:t>
      </w:r>
    </w:p>
    <w:p w14:paraId="15213C41" w14:textId="77777777" w:rsidR="00A023B3" w:rsidRDefault="003A06AD">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 (sic)</w:t>
      </w:r>
    </w:p>
    <w:p w14:paraId="371139B8" w14:textId="77777777" w:rsidR="00A023B3" w:rsidRDefault="00A023B3">
      <w:pPr>
        <w:ind w:left="851" w:right="900"/>
        <w:jc w:val="both"/>
        <w:rPr>
          <w:rFonts w:ascii="Palatino Linotype" w:eastAsia="Palatino Linotype" w:hAnsi="Palatino Linotype" w:cs="Palatino Linotype"/>
          <w:i/>
          <w:sz w:val="22"/>
          <w:szCs w:val="22"/>
        </w:rPr>
      </w:pPr>
    </w:p>
    <w:p w14:paraId="2AE012D9"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anexó el Acuerdo número CTM/CI/DÉCIMASEGUNDA/ORD/2025/05 del Comité de Transparencia mediante el cual se aprobó la solicitud de ampliación del término legal por siete días hábiles adicionales para emitir respuesta a la solicitud de información 00516/CUAUTIZC/IP/2025, con fundamento en el artículo 163, segundo párrafo de la Ley de Transparencia y Acceso a la Información Pública del estado de México y Municipios.</w:t>
      </w:r>
    </w:p>
    <w:p w14:paraId="713FE1DA" w14:textId="77777777" w:rsidR="00A023B3" w:rsidRDefault="00A023B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AC84BED" w14:textId="77777777" w:rsidR="00A023B3" w:rsidRDefault="003A06AD">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Respuesta. </w:t>
      </w:r>
      <w:r>
        <w:rPr>
          <w:rFonts w:ascii="Palatino Linotype" w:eastAsia="Palatino Linotype" w:hAnsi="Palatino Linotype" w:cs="Palatino Linotype"/>
          <w:sz w:val="22"/>
          <w:szCs w:val="22"/>
        </w:rPr>
        <w:t xml:space="preserve">Con fecha </w:t>
      </w:r>
      <w:r>
        <w:rPr>
          <w:rFonts w:ascii="Palatino Linotype" w:eastAsia="Palatino Linotype" w:hAnsi="Palatino Linotype" w:cs="Palatino Linotype"/>
          <w:b/>
          <w:sz w:val="22"/>
          <w:szCs w:val="22"/>
        </w:rPr>
        <w:t>veinticuatro de abril de dos mil veinticinco</w:t>
      </w:r>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311593F2" w14:textId="77777777" w:rsidR="00A023B3" w:rsidRDefault="003A06AD">
      <w:pPr>
        <w:tabs>
          <w:tab w:val="left" w:pos="7371"/>
        </w:tabs>
        <w:spacing w:line="276" w:lineRule="auto"/>
        <w:ind w:left="851" w:right="616"/>
        <w:jc w:val="both"/>
        <w:rPr>
          <w:rFonts w:ascii="Palatino Linotype" w:eastAsia="Palatino Linotype" w:hAnsi="Palatino Linotype" w:cs="Palatino Linotype"/>
          <w:i/>
          <w:sz w:val="22"/>
          <w:szCs w:val="22"/>
        </w:rPr>
      </w:pPr>
      <w:bookmarkStart w:id="1" w:name="_heading=h.3znysh7" w:colFirst="0" w:colLast="0"/>
      <w:bookmarkEnd w:id="1"/>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3D98461" w14:textId="77777777" w:rsidR="00A023B3" w:rsidRDefault="003A06AD">
      <w:pPr>
        <w:tabs>
          <w:tab w:val="left" w:pos="737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w:t>
      </w:r>
    </w:p>
    <w:p w14:paraId="6AB8526E" w14:textId="77777777" w:rsidR="00A023B3" w:rsidRDefault="003A06AD">
      <w:pPr>
        <w:tabs>
          <w:tab w:val="left" w:pos="737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ATENTAMENTE</w:t>
      </w:r>
    </w:p>
    <w:p w14:paraId="3C3F33F5" w14:textId="77777777" w:rsidR="00A023B3" w:rsidRDefault="003A06AD">
      <w:pPr>
        <w:tabs>
          <w:tab w:val="left" w:pos="737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GABRIELA ELIZABETH MORALES CRUZ” (Sic)</w:t>
      </w:r>
    </w:p>
    <w:p w14:paraId="5FB90A5B" w14:textId="77777777" w:rsidR="00A023B3" w:rsidRDefault="00A023B3">
      <w:pPr>
        <w:spacing w:line="360" w:lineRule="auto"/>
        <w:ind w:right="49"/>
        <w:jc w:val="both"/>
        <w:rPr>
          <w:rFonts w:ascii="Palatino Linotype" w:eastAsia="Palatino Linotype" w:hAnsi="Palatino Linotype" w:cs="Palatino Linotype"/>
          <w:sz w:val="22"/>
          <w:szCs w:val="22"/>
        </w:rPr>
      </w:pPr>
    </w:p>
    <w:p w14:paraId="58CF226B"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Del mismo modo,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adjuntó a su respuesta lo siguiente: </w:t>
      </w:r>
    </w:p>
    <w:p w14:paraId="1D684927" w14:textId="77777777" w:rsidR="00A023B3" w:rsidRDefault="00A023B3">
      <w:pPr>
        <w:spacing w:line="360" w:lineRule="auto"/>
        <w:ind w:right="49"/>
        <w:jc w:val="both"/>
        <w:rPr>
          <w:rFonts w:ascii="Palatino Linotype" w:eastAsia="Palatino Linotype" w:hAnsi="Palatino Linotype" w:cs="Palatino Linotype"/>
          <w:sz w:val="22"/>
          <w:szCs w:val="22"/>
        </w:rPr>
      </w:pPr>
    </w:p>
    <w:p w14:paraId="44CB0E52" w14:textId="77777777" w:rsidR="00A023B3" w:rsidRDefault="003A06AD">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Oficio número INFOEM/DGPDP/095/2025 de fecha veinticinco de febrero de dos mil veinticinco, signado por el Director de Políticas Públicas de Datos de la Dirección General de Protección de Datos Personales, dirigido al Titular de la Unidad de Transparencia, mediante el cual hace constar la recepción donde se informa la actualización de los Sistemas de Datos Personales en el sistema REDATOSEM, en términos de los artículos 37 de la Ley de Protección de Datos Personales en Posesión de Sujetos Obligados del Esta</w:t>
      </w:r>
      <w:r>
        <w:rPr>
          <w:rFonts w:ascii="Palatino Linotype" w:eastAsia="Palatino Linotype" w:hAnsi="Palatino Linotype" w:cs="Palatino Linotype"/>
          <w:sz w:val="22"/>
          <w:szCs w:val="22"/>
        </w:rPr>
        <w:t>do de México y Municipios, se tienen por hechas sus manifestaciones para los efectos legales conducentes.</w:t>
      </w:r>
    </w:p>
    <w:p w14:paraId="3CF13F9F" w14:textId="77777777" w:rsidR="00A023B3" w:rsidRDefault="003A06AD">
      <w:pPr>
        <w:numPr>
          <w:ilvl w:val="0"/>
          <w:numId w:val="3"/>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número PM/CUT/570/2025 de fecha veinticuatro de abril de dos mil veinticinco, signado por la Coordinadora de Transparencia, mediante el cual informó la entrega de los documentos donde consta la actualización del Sistema REDATOSEM de los años 2024 у 2025. </w:t>
      </w:r>
    </w:p>
    <w:p w14:paraId="0E229CD1" w14:textId="77777777" w:rsidR="00A023B3" w:rsidRDefault="003A06AD">
      <w:pPr>
        <w:pBdr>
          <w:top w:val="nil"/>
          <w:left w:val="nil"/>
          <w:bottom w:val="nil"/>
          <w:right w:val="nil"/>
          <w:between w:val="nil"/>
        </w:pBdr>
        <w:spacing w:line="360" w:lineRule="auto"/>
        <w:ind w:left="720"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xml:space="preserve">Así mismo, informó que los Avisos de Privacidad vigentes se encuentran disponibles en el siguiente </w:t>
      </w:r>
      <w:proofErr w:type="gramStart"/>
      <w:r>
        <w:rPr>
          <w:rFonts w:ascii="Palatino Linotype" w:eastAsia="Palatino Linotype" w:hAnsi="Palatino Linotype" w:cs="Palatino Linotype"/>
          <w:sz w:val="22"/>
          <w:szCs w:val="22"/>
        </w:rPr>
        <w:t>link</w:t>
      </w:r>
      <w:proofErr w:type="gramEnd"/>
      <w:r>
        <w:rPr>
          <w:rFonts w:ascii="Palatino Linotype" w:eastAsia="Palatino Linotype" w:hAnsi="Palatino Linotype" w:cs="Palatino Linotype"/>
          <w:sz w:val="22"/>
          <w:szCs w:val="22"/>
        </w:rPr>
        <w:t xml:space="preserve">: </w:t>
      </w:r>
      <w:hyperlink r:id="rId8">
        <w:r>
          <w:rPr>
            <w:rFonts w:ascii="Palatino Linotype" w:eastAsia="Palatino Linotype" w:hAnsi="Palatino Linotype" w:cs="Palatino Linotype"/>
            <w:sz w:val="22"/>
            <w:szCs w:val="22"/>
            <w:u w:val="single"/>
          </w:rPr>
          <w:t>https://cuautitlanizcalli.gob.mx/avisos-de-privacidad/</w:t>
        </w:r>
      </w:hyperlink>
      <w:r>
        <w:rPr>
          <w:rFonts w:ascii="Palatino Linotype" w:eastAsia="Palatino Linotype" w:hAnsi="Palatino Linotype" w:cs="Palatino Linotype"/>
          <w:sz w:val="22"/>
          <w:szCs w:val="22"/>
        </w:rPr>
        <w:t xml:space="preserve"> </w:t>
      </w:r>
    </w:p>
    <w:p w14:paraId="60E6C089" w14:textId="77777777" w:rsidR="00A023B3" w:rsidRDefault="00A023B3">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0F7533F8" w14:textId="77777777" w:rsidR="00A023B3" w:rsidRDefault="003A06AD">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número PM/CUT/0806/2024 de fecha primero de agosto de dos mil veinticuatro de dos mil veinticuatro, signado por la Coordinadora de Transparencia del Ayuntamiento de Cuautitlán y dirigido al </w:t>
      </w:r>
      <w:proofErr w:type="gramStart"/>
      <w:r>
        <w:rPr>
          <w:rFonts w:ascii="Palatino Linotype" w:eastAsia="Palatino Linotype" w:hAnsi="Palatino Linotype" w:cs="Palatino Linotype"/>
          <w:sz w:val="22"/>
          <w:szCs w:val="22"/>
        </w:rPr>
        <w:t>Director</w:t>
      </w:r>
      <w:proofErr w:type="gramEnd"/>
      <w:r>
        <w:rPr>
          <w:rFonts w:ascii="Palatino Linotype" w:eastAsia="Palatino Linotype" w:hAnsi="Palatino Linotype" w:cs="Palatino Linotype"/>
          <w:sz w:val="22"/>
          <w:szCs w:val="22"/>
        </w:rPr>
        <w:t xml:space="preserve"> de Políticas de Datos de la Dirección General de Protección de Datos Personales del INFOEM, mediante el cual </w:t>
      </w:r>
      <w:r>
        <w:rPr>
          <w:rFonts w:ascii="Palatino Linotype" w:eastAsia="Palatino Linotype" w:hAnsi="Palatino Linotype" w:cs="Palatino Linotype"/>
          <w:sz w:val="22"/>
          <w:szCs w:val="22"/>
        </w:rPr>
        <w:lastRenderedPageBreak/>
        <w:t xml:space="preserve">informó la actualización de los sistemas de datos personales que posee el Sujeto Obligado, conforme al séptimo mes del presente año. </w:t>
      </w:r>
    </w:p>
    <w:p w14:paraId="1E576FA9" w14:textId="77777777" w:rsidR="00A023B3" w:rsidRDefault="00A023B3">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1B637393" w14:textId="77777777" w:rsidR="00A023B3" w:rsidRDefault="003A06AD">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Interposición del recurso de revisión. </w:t>
      </w:r>
      <w:r>
        <w:rPr>
          <w:rFonts w:ascii="Palatino Linotype" w:eastAsia="Palatino Linotype" w:hAnsi="Palatino Linotype" w:cs="Palatino Linotype"/>
          <w:sz w:val="22"/>
          <w:szCs w:val="22"/>
        </w:rPr>
        <w:t xml:space="preserve">Inconforme con la respuesta del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la parte</w:t>
      </w:r>
      <w:r>
        <w:rPr>
          <w:rFonts w:ascii="Palatino Linotype" w:eastAsia="Palatino Linotype" w:hAnsi="Palatino Linotype" w:cs="Palatino Linotype"/>
          <w:b/>
          <w:sz w:val="22"/>
          <w:szCs w:val="22"/>
        </w:rPr>
        <w:t xml:space="preserve"> Recurrente</w:t>
      </w:r>
      <w:r>
        <w:rPr>
          <w:rFonts w:ascii="Palatino Linotype" w:eastAsia="Palatino Linotype" w:hAnsi="Palatino Linotype" w:cs="Palatino Linotype"/>
          <w:sz w:val="22"/>
          <w:szCs w:val="22"/>
        </w:rPr>
        <w:t xml:space="preserve"> interpuso recurso de revisión a través del SAIMEX en fecha </w:t>
      </w:r>
      <w:r>
        <w:rPr>
          <w:rFonts w:ascii="Palatino Linotype" w:eastAsia="Palatino Linotype" w:hAnsi="Palatino Linotype" w:cs="Palatino Linotype"/>
          <w:b/>
          <w:sz w:val="22"/>
          <w:szCs w:val="22"/>
        </w:rPr>
        <w:t>diez de mayo de dos mil veinticinco</w:t>
      </w:r>
      <w:r>
        <w:rPr>
          <w:rFonts w:ascii="Palatino Linotype" w:eastAsia="Palatino Linotype" w:hAnsi="Palatino Linotype" w:cs="Palatino Linotype"/>
          <w:sz w:val="22"/>
          <w:szCs w:val="22"/>
        </w:rPr>
        <w:t xml:space="preserve">, sin </w:t>
      </w:r>
      <w:proofErr w:type="gramStart"/>
      <w:r>
        <w:rPr>
          <w:rFonts w:ascii="Palatino Linotype" w:eastAsia="Palatino Linotype" w:hAnsi="Palatino Linotype" w:cs="Palatino Linotype"/>
          <w:sz w:val="22"/>
          <w:szCs w:val="22"/>
        </w:rPr>
        <w:t>embargo</w:t>
      </w:r>
      <w:proofErr w:type="gramEnd"/>
      <w:r>
        <w:rPr>
          <w:rFonts w:ascii="Palatino Linotype" w:eastAsia="Palatino Linotype" w:hAnsi="Palatino Linotype" w:cs="Palatino Linotype"/>
          <w:sz w:val="22"/>
          <w:szCs w:val="22"/>
        </w:rPr>
        <w:t xml:space="preserve"> al corresponder a un día inhábil se tuvo por presentada el día </w:t>
      </w:r>
      <w:r>
        <w:rPr>
          <w:rFonts w:ascii="Palatino Linotype" w:eastAsia="Palatino Linotype" w:hAnsi="Palatino Linotype" w:cs="Palatino Linotype"/>
          <w:b/>
          <w:sz w:val="22"/>
          <w:szCs w:val="22"/>
        </w:rPr>
        <w:t>doce de mayo de dos mil veinticinco</w:t>
      </w:r>
      <w:r>
        <w:rPr>
          <w:rFonts w:ascii="Palatino Linotype" w:eastAsia="Palatino Linotype" w:hAnsi="Palatino Linotype" w:cs="Palatino Linotype"/>
          <w:sz w:val="22"/>
          <w:szCs w:val="22"/>
        </w:rPr>
        <w:t>, a través del cual expresó lo siguiente:</w:t>
      </w:r>
    </w:p>
    <w:p w14:paraId="51558553" w14:textId="77777777" w:rsidR="00A023B3" w:rsidRDefault="00A023B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58E8A076" w14:textId="77777777" w:rsidR="00A023B3" w:rsidRDefault="003A06AD">
      <w:pPr>
        <w:spacing w:line="360" w:lineRule="auto"/>
        <w:ind w:left="851"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Acto impugnado. </w:t>
      </w:r>
    </w:p>
    <w:p w14:paraId="6F60AA80" w14:textId="77777777" w:rsidR="00A023B3" w:rsidRDefault="003A06AD">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“INFORMACIÓN INCOMPLETA” </w:t>
      </w:r>
    </w:p>
    <w:p w14:paraId="6A79F652" w14:textId="77777777" w:rsidR="00A023B3" w:rsidRDefault="00A023B3">
      <w:pPr>
        <w:spacing w:line="276" w:lineRule="auto"/>
        <w:ind w:left="851" w:right="616"/>
        <w:rPr>
          <w:rFonts w:ascii="Palatino Linotype" w:eastAsia="Palatino Linotype" w:hAnsi="Palatino Linotype" w:cs="Palatino Linotype"/>
          <w:sz w:val="22"/>
          <w:szCs w:val="22"/>
        </w:rPr>
      </w:pPr>
    </w:p>
    <w:p w14:paraId="63EB9183" w14:textId="77777777" w:rsidR="00A023B3" w:rsidRDefault="003A06AD">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Motivos de inconformidad. </w:t>
      </w:r>
    </w:p>
    <w:p w14:paraId="5F3A33BE" w14:textId="77777777" w:rsidR="00A023B3" w:rsidRDefault="003A06AD">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 xml:space="preserve">INFORMACIÓN </w:t>
      </w:r>
      <w:proofErr w:type="gramStart"/>
      <w:r>
        <w:rPr>
          <w:rFonts w:ascii="Palatino Linotype" w:eastAsia="Palatino Linotype" w:hAnsi="Palatino Linotype" w:cs="Palatino Linotype"/>
          <w:i/>
          <w:sz w:val="22"/>
          <w:szCs w:val="22"/>
        </w:rPr>
        <w:t>INCOMPLETA ,</w:t>
      </w:r>
      <w:proofErr w:type="gramEnd"/>
      <w:r>
        <w:rPr>
          <w:rFonts w:ascii="Palatino Linotype" w:eastAsia="Palatino Linotype" w:hAnsi="Palatino Linotype" w:cs="Palatino Linotype"/>
          <w:i/>
          <w:sz w:val="22"/>
          <w:szCs w:val="22"/>
        </w:rPr>
        <w:t xml:space="preserve"> NO ME ENTREGAN DOCUMENTOS DE SEGURIDAD Y LOS AVISOS DE PRIVACIDAD NO ENVIAN LAS SESION DEL COMITE DE TRANSPARENCIA DONDE APROBARON LA ACTIALIZACIÓN, POR MODIFICACIÓN EN SU CASO CREACIÓN DE BASES DE DATOS DEL PRIMER O SEGUNDO SEMESTRE DEL 2024 Y DEL PRIMER O SEGUNDO SEMESTRE DEL 2025.”</w:t>
      </w:r>
    </w:p>
    <w:p w14:paraId="56DFE21A" w14:textId="77777777" w:rsidR="00A023B3" w:rsidRDefault="00A023B3">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65F1F6BB" w14:textId="77777777" w:rsidR="00A023B3" w:rsidRDefault="003A06AD">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Turno. </w:t>
      </w:r>
      <w:r>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sz w:val="22"/>
          <w:szCs w:val="22"/>
        </w:rPr>
        <w:t>05314/INFOEM/IP/RR/2025</w:t>
      </w:r>
      <w:r>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2"/>
          <w:szCs w:val="22"/>
        </w:rPr>
        <w:t>Guadalupe Ramírez Peña</w:t>
      </w:r>
      <w:r>
        <w:rPr>
          <w:rFonts w:ascii="Palatino Linotype" w:eastAsia="Palatino Linotype" w:hAnsi="Palatino Linotype" w:cs="Palatino Linotype"/>
          <w:sz w:val="22"/>
          <w:szCs w:val="22"/>
        </w:rPr>
        <w:t>, para su análisis, estudio, elaboración del proyecto y presentación ante el Pleno de este Instituto.</w:t>
      </w:r>
    </w:p>
    <w:p w14:paraId="0E93445F" w14:textId="77777777" w:rsidR="00A023B3" w:rsidRDefault="00A023B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42B29B39" w14:textId="77777777" w:rsidR="00A023B3" w:rsidRDefault="003A06AD">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Pr>
          <w:rFonts w:ascii="Palatino Linotype" w:eastAsia="Palatino Linotype" w:hAnsi="Palatino Linotype" w:cs="Palatino Linotype"/>
          <w:b/>
          <w:sz w:val="22"/>
          <w:szCs w:val="22"/>
        </w:rPr>
        <w:t xml:space="preserve">Admisión del recurso de revisión: </w:t>
      </w:r>
      <w:r>
        <w:rPr>
          <w:rFonts w:ascii="Palatino Linotype" w:eastAsia="Palatino Linotype" w:hAnsi="Palatino Linotype" w:cs="Palatino Linotype"/>
          <w:sz w:val="22"/>
          <w:szCs w:val="22"/>
        </w:rPr>
        <w:t xml:space="preserve">En fecha </w:t>
      </w:r>
      <w:r>
        <w:rPr>
          <w:rFonts w:ascii="Palatino Linotype" w:eastAsia="Palatino Linotype" w:hAnsi="Palatino Linotype" w:cs="Palatino Linotype"/>
          <w:b/>
          <w:sz w:val="22"/>
          <w:szCs w:val="22"/>
        </w:rPr>
        <w:t>quince de mayo de dos mil veinticinco</w:t>
      </w:r>
      <w:r>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presentara su informe justificado.</w:t>
      </w:r>
    </w:p>
    <w:p w14:paraId="58F9A1B6" w14:textId="77777777" w:rsidR="00A023B3" w:rsidRDefault="00A023B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BBDB24F" w14:textId="77777777" w:rsidR="00A023B3" w:rsidRDefault="003A06AD">
      <w:pPr>
        <w:numPr>
          <w:ilvl w:val="0"/>
          <w:numId w:val="1"/>
        </w:numPr>
        <w:pBdr>
          <w:top w:val="nil"/>
          <w:left w:val="nil"/>
          <w:bottom w:val="nil"/>
          <w:right w:val="nil"/>
          <w:between w:val="nil"/>
        </w:pBdr>
        <w:tabs>
          <w:tab w:val="left" w:pos="284"/>
        </w:tabs>
        <w:spacing w:line="360" w:lineRule="auto"/>
        <w:ind w:left="0" w:right="49" w:hanging="1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Manifestaciones</w:t>
      </w:r>
      <w:r>
        <w:rPr>
          <w:rFonts w:ascii="Palatino Linotype" w:eastAsia="Palatino Linotype" w:hAnsi="Palatino Linotype" w:cs="Palatino Linotype"/>
          <w:sz w:val="22"/>
          <w:szCs w:val="22"/>
        </w:rPr>
        <w:t xml:space="preserve">: De las constancias que obran en el expediente electrónico del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xml:space="preserve"> se desprende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 fecha </w:t>
      </w:r>
      <w:r>
        <w:rPr>
          <w:rFonts w:ascii="Palatino Linotype" w:eastAsia="Palatino Linotype" w:hAnsi="Palatino Linotype" w:cs="Palatino Linotype"/>
          <w:b/>
          <w:sz w:val="22"/>
          <w:szCs w:val="22"/>
        </w:rPr>
        <w:t>veintiséis de mayo de dos mil veinticinco</w:t>
      </w:r>
      <w:r>
        <w:rPr>
          <w:rFonts w:ascii="Palatino Linotype" w:eastAsia="Palatino Linotype" w:hAnsi="Palatino Linotype" w:cs="Palatino Linotype"/>
          <w:sz w:val="22"/>
          <w:szCs w:val="22"/>
        </w:rPr>
        <w:t xml:space="preserve">, rindió su informe justificado, mismo que fue hecho del conocimiento de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en fecha </w:t>
      </w:r>
      <w:r>
        <w:rPr>
          <w:rFonts w:ascii="Palatino Linotype" w:eastAsia="Palatino Linotype" w:hAnsi="Palatino Linotype" w:cs="Palatino Linotype"/>
          <w:b/>
          <w:sz w:val="22"/>
          <w:szCs w:val="22"/>
        </w:rPr>
        <w:t>veintiséis de agosto de dos mil veinticinco</w:t>
      </w:r>
      <w:r>
        <w:rPr>
          <w:rFonts w:ascii="Palatino Linotype" w:eastAsia="Palatino Linotype" w:hAnsi="Palatino Linotype" w:cs="Palatino Linotype"/>
          <w:sz w:val="22"/>
          <w:szCs w:val="22"/>
        </w:rPr>
        <w:t xml:space="preserve"> mediante el cual confirmó su respuesta inicial. </w:t>
      </w:r>
    </w:p>
    <w:p w14:paraId="376E6FD2" w14:textId="77777777" w:rsidR="00A023B3" w:rsidRDefault="00A023B3">
      <w:pPr>
        <w:pBdr>
          <w:top w:val="nil"/>
          <w:left w:val="nil"/>
          <w:bottom w:val="nil"/>
          <w:right w:val="nil"/>
          <w:between w:val="nil"/>
        </w:pBdr>
        <w:tabs>
          <w:tab w:val="left" w:pos="284"/>
        </w:tabs>
        <w:spacing w:line="360" w:lineRule="auto"/>
        <w:rPr>
          <w:rFonts w:ascii="Palatino Linotype" w:eastAsia="Palatino Linotype" w:hAnsi="Palatino Linotype" w:cs="Palatino Linotype"/>
          <w:sz w:val="22"/>
          <w:szCs w:val="22"/>
        </w:rPr>
      </w:pPr>
    </w:p>
    <w:p w14:paraId="22C48D27" w14:textId="77777777" w:rsidR="00A023B3" w:rsidRDefault="003A06AD">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Ampliación de plazo:</w:t>
      </w:r>
      <w:r>
        <w:rPr>
          <w:rFonts w:ascii="Palatino Linotype" w:eastAsia="Palatino Linotype" w:hAnsi="Palatino Linotype" w:cs="Palatino Linotype"/>
          <w:sz w:val="22"/>
          <w:szCs w:val="22"/>
        </w:rPr>
        <w:t xml:space="preserve"> En fecha </w:t>
      </w:r>
      <w:r>
        <w:rPr>
          <w:rFonts w:ascii="Palatino Linotype" w:eastAsia="Palatino Linotype" w:hAnsi="Palatino Linotype" w:cs="Palatino Linotype"/>
          <w:b/>
          <w:sz w:val="22"/>
          <w:szCs w:val="22"/>
        </w:rPr>
        <w:t>veintiséis de agosto de dos mil veinticinco</w:t>
      </w:r>
      <w:r>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la Comisionada Ponente acordó la ampliación del plazo para su resolución.</w:t>
      </w:r>
    </w:p>
    <w:p w14:paraId="6967DE0B" w14:textId="77777777" w:rsidR="00A023B3" w:rsidRDefault="00A023B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50BE33C5"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BD4FC5C"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24E22F90"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w:t>
      </w:r>
      <w:r>
        <w:rPr>
          <w:rFonts w:ascii="Palatino Linotype" w:eastAsia="Palatino Linotype" w:hAnsi="Palatino Linotype" w:cs="Palatino Linotype"/>
          <w:sz w:val="22"/>
          <w:szCs w:val="22"/>
        </w:rPr>
        <w:lastRenderedPageBreak/>
        <w:t>conforme a los parámetros establecidos por diversos órganos jurisdiccionales federales, aplicables también en procedimientos análogos, como el que nos ocupa.</w:t>
      </w:r>
    </w:p>
    <w:p w14:paraId="14476E7F"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366C70C"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EEC0B8" w14:textId="77777777" w:rsidR="00A023B3" w:rsidRDefault="00A023B3">
      <w:pPr>
        <w:spacing w:line="360" w:lineRule="auto"/>
        <w:ind w:right="49"/>
        <w:jc w:val="both"/>
        <w:rPr>
          <w:rFonts w:ascii="Palatino Linotype" w:eastAsia="Palatino Linotype" w:hAnsi="Palatino Linotype" w:cs="Palatino Linotype"/>
          <w:sz w:val="22"/>
          <w:szCs w:val="22"/>
        </w:rPr>
      </w:pPr>
    </w:p>
    <w:p w14:paraId="2A6436E0"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199F5A8" w14:textId="77777777" w:rsidR="00A023B3" w:rsidRDefault="00A023B3">
      <w:pPr>
        <w:spacing w:line="360" w:lineRule="auto"/>
        <w:ind w:right="49"/>
        <w:jc w:val="both"/>
        <w:rPr>
          <w:rFonts w:ascii="Palatino Linotype" w:eastAsia="Palatino Linotype" w:hAnsi="Palatino Linotype" w:cs="Palatino Linotype"/>
          <w:sz w:val="22"/>
          <w:szCs w:val="22"/>
        </w:rPr>
      </w:pPr>
    </w:p>
    <w:p w14:paraId="6A721667"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5D26E98" w14:textId="77777777" w:rsidR="00A023B3" w:rsidRDefault="00A023B3">
      <w:pPr>
        <w:spacing w:line="360" w:lineRule="auto"/>
        <w:ind w:right="49"/>
        <w:jc w:val="both"/>
        <w:rPr>
          <w:rFonts w:ascii="Palatino Linotype" w:eastAsia="Palatino Linotype" w:hAnsi="Palatino Linotype" w:cs="Palatino Linotype"/>
          <w:sz w:val="22"/>
          <w:szCs w:val="22"/>
        </w:rPr>
      </w:pPr>
    </w:p>
    <w:p w14:paraId="64E99CC0" w14:textId="77777777" w:rsidR="00A023B3" w:rsidRDefault="003A06AD">
      <w:pPr>
        <w:tabs>
          <w:tab w:val="left" w:pos="709"/>
        </w:tabs>
        <w:spacing w:line="360" w:lineRule="auto"/>
        <w:ind w:left="567" w:right="56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    Complejidad del asunto:</w:t>
      </w:r>
      <w:r>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712F624A" w14:textId="77777777" w:rsidR="00A023B3" w:rsidRDefault="003A06AD">
      <w:pPr>
        <w:tabs>
          <w:tab w:val="left" w:pos="709"/>
        </w:tabs>
        <w:spacing w:line="360" w:lineRule="auto"/>
        <w:ind w:left="567" w:right="56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b)   Actividad Procesal del interesado</w:t>
      </w:r>
      <w:r>
        <w:rPr>
          <w:rFonts w:ascii="Palatino Linotype" w:eastAsia="Palatino Linotype" w:hAnsi="Palatino Linotype" w:cs="Palatino Linotype"/>
          <w:sz w:val="22"/>
          <w:szCs w:val="22"/>
        </w:rPr>
        <w:t>: Acciones u omisiones del interesado.</w:t>
      </w:r>
    </w:p>
    <w:p w14:paraId="41DAAA57" w14:textId="77777777" w:rsidR="00A023B3" w:rsidRDefault="003A06AD">
      <w:pPr>
        <w:tabs>
          <w:tab w:val="left" w:pos="851"/>
        </w:tabs>
        <w:spacing w:line="360" w:lineRule="auto"/>
        <w:ind w:left="567" w:right="56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c)  Conducta de la Autoridad:</w:t>
      </w:r>
      <w:r>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7CC5B660" w14:textId="77777777" w:rsidR="00A023B3" w:rsidRDefault="003A06AD">
      <w:pPr>
        <w:tabs>
          <w:tab w:val="left" w:pos="851"/>
        </w:tabs>
        <w:spacing w:line="360" w:lineRule="auto"/>
        <w:ind w:left="567" w:right="56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d) La afectación generada en la situación jurídica de la persona involucrada en el proceso:</w:t>
      </w:r>
      <w:r>
        <w:rPr>
          <w:rFonts w:ascii="Palatino Linotype" w:eastAsia="Palatino Linotype" w:hAnsi="Palatino Linotype" w:cs="Palatino Linotype"/>
          <w:sz w:val="22"/>
          <w:szCs w:val="22"/>
        </w:rPr>
        <w:t xml:space="preserve"> Violación a sus derechos humanos.</w:t>
      </w:r>
    </w:p>
    <w:p w14:paraId="47F27ADC" w14:textId="77777777" w:rsidR="00A023B3" w:rsidRDefault="00A023B3">
      <w:pPr>
        <w:tabs>
          <w:tab w:val="left" w:pos="851"/>
        </w:tabs>
        <w:spacing w:line="360" w:lineRule="auto"/>
        <w:ind w:left="567" w:right="560"/>
        <w:jc w:val="both"/>
        <w:rPr>
          <w:rFonts w:ascii="Palatino Linotype" w:eastAsia="Palatino Linotype" w:hAnsi="Palatino Linotype" w:cs="Palatino Linotype"/>
          <w:sz w:val="22"/>
          <w:szCs w:val="22"/>
        </w:rPr>
      </w:pPr>
    </w:p>
    <w:p w14:paraId="3C6018AC"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D9F54A7"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47F6029"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2"/>
          <w:szCs w:val="22"/>
        </w:rPr>
        <w:t>, visible en la Gaceta del Seminario Judicial de la Federación con el registro digital 205635.</w:t>
      </w:r>
    </w:p>
    <w:p w14:paraId="5598E866"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66187349"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w:t>
      </w:r>
      <w:r>
        <w:rPr>
          <w:rFonts w:ascii="Palatino Linotype" w:eastAsia="Palatino Linotype" w:hAnsi="Palatino Linotype" w:cs="Palatino Linotype"/>
          <w:sz w:val="22"/>
          <w:szCs w:val="22"/>
        </w:rPr>
        <w:t>e, la extensión de los escritos y pruebas aportadas y desahogadas por las partes; lo que impide la tramitación de los recursos dentro de los términos legales previamente establecidos por la Ley, por tratarse de causas de fuerza mayor.</w:t>
      </w:r>
    </w:p>
    <w:p w14:paraId="530B9661" w14:textId="77777777" w:rsidR="00A023B3" w:rsidRDefault="00A023B3">
      <w:pPr>
        <w:spacing w:line="360" w:lineRule="auto"/>
        <w:ind w:right="49"/>
        <w:jc w:val="both"/>
        <w:rPr>
          <w:rFonts w:ascii="Palatino Linotype" w:eastAsia="Palatino Linotype" w:hAnsi="Palatino Linotype" w:cs="Palatino Linotype"/>
          <w:sz w:val="22"/>
          <w:szCs w:val="22"/>
        </w:rPr>
      </w:pPr>
    </w:p>
    <w:p w14:paraId="7E94DF6D"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04C50C9"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 </w:t>
      </w:r>
    </w:p>
    <w:p w14:paraId="7AC3EFFB"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 xml:space="preserve"> consultable en el Seminario Judicial de la Federación y su gaceta, con el registro digital 2002351.</w:t>
      </w:r>
    </w:p>
    <w:p w14:paraId="49DA5C88" w14:textId="77777777" w:rsidR="00A023B3" w:rsidRDefault="00A023B3">
      <w:pPr>
        <w:spacing w:line="276" w:lineRule="auto"/>
        <w:ind w:left="851" w:right="616"/>
        <w:jc w:val="both"/>
        <w:rPr>
          <w:rFonts w:ascii="Palatino Linotype" w:eastAsia="Palatino Linotype" w:hAnsi="Palatino Linotype" w:cs="Palatino Linotype"/>
          <w:i/>
          <w:sz w:val="22"/>
          <w:szCs w:val="22"/>
        </w:rPr>
      </w:pPr>
    </w:p>
    <w:p w14:paraId="591C9A0F" w14:textId="77777777" w:rsidR="00A023B3" w:rsidRDefault="003A06AD">
      <w:pPr>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i/>
          <w:sz w:val="22"/>
          <w:szCs w:val="22"/>
        </w:rPr>
        <w:t xml:space="preserve"> visible en el Seminario Judicial de la Federación y su gaceta, con el registro digital 2002350</w:t>
      </w:r>
      <w:r>
        <w:rPr>
          <w:rFonts w:ascii="Palatino Linotype" w:eastAsia="Palatino Linotype" w:hAnsi="Palatino Linotype" w:cs="Palatino Linotype"/>
          <w:sz w:val="22"/>
          <w:szCs w:val="22"/>
        </w:rPr>
        <w:t>.</w:t>
      </w:r>
    </w:p>
    <w:p w14:paraId="394F0452" w14:textId="77777777" w:rsidR="00A023B3" w:rsidRDefault="00A023B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7659395" w14:textId="77777777" w:rsidR="00A023B3" w:rsidRDefault="003A06AD">
      <w:pPr>
        <w:spacing w:line="360"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EDB9424" w14:textId="77777777" w:rsidR="00A023B3" w:rsidRDefault="00A023B3">
      <w:pPr>
        <w:spacing w:line="360" w:lineRule="auto"/>
        <w:rPr>
          <w:rFonts w:ascii="Palatino Linotype" w:eastAsia="Palatino Linotype" w:hAnsi="Palatino Linotype" w:cs="Palatino Linotype"/>
          <w:b/>
          <w:sz w:val="22"/>
          <w:szCs w:val="22"/>
        </w:rPr>
      </w:pPr>
    </w:p>
    <w:p w14:paraId="48CF2130" w14:textId="77777777" w:rsidR="00A023B3" w:rsidRDefault="003A06AD">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Cierre de instrucción.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primero de septiembre de dos mil veinticinco</w:t>
      </w:r>
      <w:r>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D390EDF" w14:textId="77777777" w:rsidR="00A023B3" w:rsidRDefault="00A023B3">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20FC5216" w14:textId="77777777" w:rsidR="00A023B3" w:rsidRDefault="003A06AD">
      <w:pPr>
        <w:spacing w:line="360" w:lineRule="auto"/>
        <w:jc w:val="both"/>
        <w:rPr>
          <w:rFonts w:ascii="Palatino Linotype" w:eastAsia="Palatino Linotype" w:hAnsi="Palatino Linotype" w:cs="Palatino Linotype"/>
          <w:sz w:val="22"/>
          <w:szCs w:val="22"/>
        </w:rPr>
      </w:pPr>
      <w:proofErr w:type="gramStart"/>
      <w:r>
        <w:rPr>
          <w:rFonts w:ascii="Palatino Linotype" w:eastAsia="Palatino Linotype" w:hAnsi="Palatino Linotype" w:cs="Palatino Linotype"/>
          <w:sz w:val="22"/>
          <w:szCs w:val="22"/>
        </w:rPr>
        <w:t>En razón de</w:t>
      </w:r>
      <w:proofErr w:type="gramEnd"/>
      <w:r>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0AE5DE00" w14:textId="77777777" w:rsidR="00A023B3" w:rsidRDefault="003A06AD">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Pr>
          <w:rFonts w:ascii="Palatino Linotype" w:eastAsia="Palatino Linotype" w:hAnsi="Palatino Linotype" w:cs="Palatino Linotype"/>
          <w:b/>
          <w:sz w:val="22"/>
          <w:szCs w:val="22"/>
        </w:rPr>
        <w:t>C O N S I D E R A N D O:</w:t>
      </w:r>
    </w:p>
    <w:p w14:paraId="2F826ED5" w14:textId="77777777" w:rsidR="00A023B3" w:rsidRDefault="00A023B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9E2AA23"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Primero. Competencia. </w:t>
      </w:r>
      <w:r>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w:t>
      </w:r>
      <w:r>
        <w:rPr>
          <w:rFonts w:ascii="Palatino Linotype" w:eastAsia="Palatino Linotype" w:hAnsi="Palatino Linotype" w:cs="Palatino Linotype"/>
          <w:sz w:val="22"/>
          <w:szCs w:val="22"/>
        </w:rPr>
        <w:lastRenderedPageBreak/>
        <w:t xml:space="preserve">conforme a lo dispuesto en los artículos 6, apartado A de la Constitución Política de los Estados Unidos Mexicanos; 5, párrafos trigésimo noveno, cuadragésimo y cuadragésimo primero, fracciones IV y V de la Constitución Política del Estado Libre y Soberano de México; 1, 2, </w:t>
      </w:r>
      <w:r>
        <w:rPr>
          <w:rFonts w:ascii="Palatino Linotype" w:eastAsia="Palatino Linotype" w:hAnsi="Palatino Linotype" w:cs="Palatino Linotype"/>
          <w:sz w:val="22"/>
          <w:szCs w:val="22"/>
        </w:rPr>
        <w:t>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7A5C280" w14:textId="77777777" w:rsidR="00A023B3" w:rsidRDefault="00A023B3">
      <w:pPr>
        <w:spacing w:line="360" w:lineRule="auto"/>
        <w:jc w:val="both"/>
        <w:rPr>
          <w:rFonts w:ascii="Palatino Linotype" w:eastAsia="Palatino Linotype" w:hAnsi="Palatino Linotype" w:cs="Palatino Linotype"/>
          <w:b/>
          <w:sz w:val="22"/>
          <w:szCs w:val="22"/>
        </w:rPr>
      </w:pPr>
    </w:p>
    <w:p w14:paraId="3D2394C6"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Segundo. Oportunidad y Procedibilidad del Recurso de Revisión</w:t>
      </w:r>
      <w:r>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90F3577" w14:textId="77777777" w:rsidR="00A023B3" w:rsidRDefault="00A023B3">
      <w:pPr>
        <w:spacing w:line="360" w:lineRule="auto"/>
        <w:jc w:val="both"/>
        <w:rPr>
          <w:rFonts w:ascii="Palatino Linotype" w:eastAsia="Palatino Linotype" w:hAnsi="Palatino Linotype" w:cs="Palatino Linotype"/>
          <w:sz w:val="22"/>
          <w:szCs w:val="22"/>
        </w:rPr>
      </w:pPr>
    </w:p>
    <w:p w14:paraId="7782DF48"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proporcionó su respuesta a la solicitud de información el </w:t>
      </w:r>
      <w:r>
        <w:rPr>
          <w:rFonts w:ascii="Palatino Linotype" w:eastAsia="Palatino Linotype" w:hAnsi="Palatino Linotype" w:cs="Palatino Linotype"/>
          <w:b/>
          <w:sz w:val="22"/>
          <w:szCs w:val="22"/>
        </w:rPr>
        <w:t>veinticuatro de abril de dos mil veinticinco</w:t>
      </w:r>
      <w:r>
        <w:rPr>
          <w:rFonts w:ascii="Palatino Linotype" w:eastAsia="Palatino Linotype" w:hAnsi="Palatino Linotype" w:cs="Palatino Linotype"/>
          <w:sz w:val="22"/>
          <w:szCs w:val="22"/>
        </w:rPr>
        <w:t xml:space="preserve">, y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presentó su recurso de revisión el </w:t>
      </w:r>
      <w:r>
        <w:rPr>
          <w:rFonts w:ascii="Palatino Linotype" w:eastAsia="Palatino Linotype" w:hAnsi="Palatino Linotype" w:cs="Palatino Linotype"/>
          <w:b/>
          <w:sz w:val="22"/>
          <w:szCs w:val="22"/>
        </w:rPr>
        <w:t>doce de mayo de dos mil veinticinco</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esto es el décimo día hábil en que tuvo conocimiento de la respuesta. </w:t>
      </w:r>
    </w:p>
    <w:p w14:paraId="72BCD12D" w14:textId="77777777" w:rsidR="00A023B3" w:rsidRDefault="00A023B3">
      <w:pPr>
        <w:spacing w:line="360" w:lineRule="auto"/>
        <w:ind w:right="49"/>
        <w:jc w:val="both"/>
        <w:rPr>
          <w:rFonts w:ascii="Palatino Linotype" w:eastAsia="Palatino Linotype" w:hAnsi="Palatino Linotype" w:cs="Palatino Linotype"/>
          <w:sz w:val="22"/>
          <w:szCs w:val="22"/>
        </w:rPr>
      </w:pPr>
    </w:p>
    <w:p w14:paraId="50B1ADA6"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B5F8E59" w14:textId="77777777" w:rsidR="00A023B3" w:rsidRDefault="00A023B3">
      <w:pPr>
        <w:spacing w:line="360" w:lineRule="auto"/>
        <w:jc w:val="both"/>
        <w:rPr>
          <w:rFonts w:ascii="Palatino Linotype" w:eastAsia="Palatino Linotype" w:hAnsi="Palatino Linotype" w:cs="Palatino Linotype"/>
          <w:sz w:val="22"/>
          <w:szCs w:val="22"/>
        </w:rPr>
      </w:pPr>
    </w:p>
    <w:p w14:paraId="2BE4CC64"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A efecto de sustentar lo anterior, es de suma importancia mencionar que, si bien la persona solicitante </w:t>
      </w:r>
      <w:r>
        <w:rPr>
          <w:rFonts w:ascii="Palatino Linotype" w:eastAsia="Palatino Linotype" w:hAnsi="Palatino Linotype" w:cs="Palatino Linotype"/>
          <w:b/>
          <w:sz w:val="22"/>
          <w:szCs w:val="22"/>
        </w:rPr>
        <w:t xml:space="preserve">no proporcionó un nombre o seudónimo </w:t>
      </w:r>
      <w:r>
        <w:rPr>
          <w:rFonts w:ascii="Palatino Linotype" w:eastAsia="Palatino Linotype" w:hAnsi="Palatino Linotype" w:cs="Palatino Linotype"/>
          <w:sz w:val="22"/>
          <w:szCs w:val="22"/>
        </w:rPr>
        <w:t>para ser identificado,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381ECED" w14:textId="77777777" w:rsidR="00A023B3" w:rsidRDefault="00A023B3">
      <w:pPr>
        <w:spacing w:line="360" w:lineRule="auto"/>
        <w:jc w:val="both"/>
        <w:rPr>
          <w:rFonts w:ascii="Palatino Linotype" w:eastAsia="Palatino Linotype" w:hAnsi="Palatino Linotype" w:cs="Palatino Linotype"/>
          <w:sz w:val="22"/>
          <w:szCs w:val="22"/>
        </w:rPr>
      </w:pPr>
    </w:p>
    <w:p w14:paraId="2A6AF659" w14:textId="77777777" w:rsidR="00A023B3" w:rsidRDefault="003A06AD">
      <w:pPr>
        <w:ind w:left="851" w:right="8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 con nombre incompleto o seudónimo serán procedentes para su trámite por parte del sujeto obligado ante quien se presente.</w:t>
      </w:r>
      <w:r>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64797B4A" w14:textId="77777777" w:rsidR="00A023B3" w:rsidRDefault="00A023B3">
      <w:pPr>
        <w:spacing w:line="360" w:lineRule="auto"/>
        <w:jc w:val="both"/>
        <w:rPr>
          <w:rFonts w:ascii="Palatino Linotype" w:eastAsia="Palatino Linotype" w:hAnsi="Palatino Linotype" w:cs="Palatino Linotype"/>
          <w:sz w:val="22"/>
          <w:szCs w:val="22"/>
        </w:rPr>
      </w:pPr>
    </w:p>
    <w:p w14:paraId="237BA040"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58BF6CF9" w14:textId="77777777" w:rsidR="00A023B3" w:rsidRDefault="00A023B3">
      <w:pPr>
        <w:spacing w:line="360" w:lineRule="auto"/>
        <w:jc w:val="both"/>
        <w:rPr>
          <w:rFonts w:ascii="Palatino Linotype" w:eastAsia="Palatino Linotype" w:hAnsi="Palatino Linotype" w:cs="Palatino Linotype"/>
          <w:sz w:val="22"/>
          <w:szCs w:val="22"/>
        </w:rPr>
      </w:pPr>
    </w:p>
    <w:p w14:paraId="42C46F5D"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4F113A3"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F8B0751"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La entrega de información incompleta;</w:t>
      </w:r>
      <w:r>
        <w:rPr>
          <w:rFonts w:ascii="Palatino Linotype" w:eastAsia="Palatino Linotype" w:hAnsi="Palatino Linotype" w:cs="Palatino Linotype"/>
          <w:i/>
          <w:sz w:val="22"/>
          <w:szCs w:val="22"/>
        </w:rPr>
        <w:br/>
        <w:t xml:space="preserve">…” </w:t>
      </w:r>
    </w:p>
    <w:p w14:paraId="03A483A0" w14:textId="77777777" w:rsidR="00A023B3" w:rsidRDefault="00A023B3">
      <w:pPr>
        <w:spacing w:line="360" w:lineRule="auto"/>
        <w:ind w:left="567" w:right="616"/>
        <w:jc w:val="both"/>
        <w:rPr>
          <w:rFonts w:ascii="Palatino Linotype" w:eastAsia="Palatino Linotype" w:hAnsi="Palatino Linotype" w:cs="Palatino Linotype"/>
          <w:i/>
          <w:sz w:val="22"/>
          <w:szCs w:val="22"/>
        </w:rPr>
      </w:pPr>
    </w:p>
    <w:p w14:paraId="595A3264"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Tercero. Materia de Revisión</w:t>
      </w:r>
      <w:r>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14:paraId="744C190A" w14:textId="77777777" w:rsidR="00A023B3" w:rsidRDefault="00A023B3">
      <w:pPr>
        <w:spacing w:line="360" w:lineRule="auto"/>
        <w:jc w:val="both"/>
        <w:rPr>
          <w:rFonts w:ascii="Palatino Linotype" w:eastAsia="Palatino Linotype" w:hAnsi="Palatino Linotype" w:cs="Palatino Linotype"/>
          <w:sz w:val="22"/>
          <w:szCs w:val="22"/>
        </w:rPr>
      </w:pPr>
    </w:p>
    <w:p w14:paraId="2669985C"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Cuarto. Estudio de fondo del asunto. </w:t>
      </w:r>
      <w:r>
        <w:rPr>
          <w:rFonts w:ascii="Palatino Linotype" w:eastAsia="Palatino Linotype" w:hAnsi="Palatino Linotype" w:cs="Palatino Linotype"/>
          <w:sz w:val="22"/>
          <w:szCs w:val="22"/>
        </w:rPr>
        <w:t>Es conveniente analizar si la respuesta del Sujeto Obligado</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w:t>
      </w:r>
      <w:r>
        <w:rPr>
          <w:rFonts w:ascii="Palatino Linotype" w:eastAsia="Palatino Linotype" w:hAnsi="Palatino Linotype" w:cs="Palatino Linotype"/>
          <w:sz w:val="22"/>
          <w:szCs w:val="22"/>
        </w:rPr>
        <w:t>a publicidad, como así lo establece dicha determinación, que a continuación se transcribe para un mejor entendimiento:</w:t>
      </w:r>
    </w:p>
    <w:p w14:paraId="3C06C17C" w14:textId="77777777" w:rsidR="00A023B3" w:rsidRDefault="00A023B3">
      <w:pPr>
        <w:spacing w:line="360" w:lineRule="auto"/>
        <w:jc w:val="both"/>
        <w:rPr>
          <w:rFonts w:ascii="Palatino Linotype" w:eastAsia="Palatino Linotype" w:hAnsi="Palatino Linotype" w:cs="Palatino Linotype"/>
          <w:sz w:val="22"/>
          <w:szCs w:val="22"/>
        </w:rPr>
      </w:pPr>
    </w:p>
    <w:p w14:paraId="6A39977F" w14:textId="77777777" w:rsidR="00A023B3" w:rsidRDefault="003A06AD">
      <w:pPr>
        <w:tabs>
          <w:tab w:val="left" w:pos="85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75E117" w14:textId="77777777" w:rsidR="00A023B3" w:rsidRDefault="003A06AD">
      <w:pPr>
        <w:tabs>
          <w:tab w:val="left" w:pos="85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w:t>
      </w:r>
      <w:r>
        <w:rPr>
          <w:rFonts w:ascii="Palatino Linotype" w:eastAsia="Palatino Linotype" w:hAnsi="Palatino Linotype" w:cs="Palatino Linotype"/>
          <w:i/>
          <w:sz w:val="22"/>
          <w:szCs w:val="22"/>
        </w:rPr>
        <w:t>nte necesarias previstas por esta Ley.</w:t>
      </w:r>
    </w:p>
    <w:p w14:paraId="4B491628" w14:textId="77777777" w:rsidR="00A023B3" w:rsidRDefault="003A06AD">
      <w:pPr>
        <w:tabs>
          <w:tab w:val="left" w:pos="85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4DE3DE76" w14:textId="77777777" w:rsidR="00A023B3" w:rsidRDefault="00A023B3">
      <w:pPr>
        <w:spacing w:line="360" w:lineRule="auto"/>
        <w:jc w:val="both"/>
        <w:rPr>
          <w:rFonts w:ascii="Palatino Linotype" w:eastAsia="Palatino Linotype" w:hAnsi="Palatino Linotype" w:cs="Palatino Linotype"/>
          <w:sz w:val="22"/>
          <w:szCs w:val="22"/>
        </w:rPr>
      </w:pPr>
    </w:p>
    <w:p w14:paraId="39DA3E38"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Esto es, que los Sujetos Obligados tiene el deber de atender las solicitudes de acceso a la información pública que se les hagan de su conocimiento y proporcionar la información pública que obren en su poder conforme el estado que se encuentra y no hacer un procesamiento de </w:t>
      </w:r>
      <w:proofErr w:type="gramStart"/>
      <w:r>
        <w:rPr>
          <w:rFonts w:ascii="Palatino Linotype" w:eastAsia="Palatino Linotype" w:hAnsi="Palatino Linotype" w:cs="Palatino Linotype"/>
          <w:sz w:val="22"/>
          <w:szCs w:val="22"/>
        </w:rPr>
        <w:t>la misma</w:t>
      </w:r>
      <w:proofErr w:type="gramEnd"/>
      <w:r>
        <w:rPr>
          <w:rFonts w:ascii="Palatino Linotype" w:eastAsia="Palatino Linotype" w:hAnsi="Palatino Linotype" w:cs="Palatino Linotype"/>
          <w:sz w:val="22"/>
          <w:szCs w:val="22"/>
        </w:rPr>
        <w:t xml:space="preserve">, ni presentarla conforme al interés del solicitante; como así lo </w:t>
      </w:r>
      <w:r>
        <w:rPr>
          <w:rFonts w:ascii="Palatino Linotype" w:eastAsia="Palatino Linotype" w:hAnsi="Palatino Linotype" w:cs="Palatino Linotype"/>
          <w:sz w:val="22"/>
          <w:szCs w:val="22"/>
        </w:rPr>
        <w:lastRenderedPageBreak/>
        <w:t>establece el artículo 12 de la Ley de Transparencia y Acceso a la Información Pública del Estado de México y Municipios, que a la letra dice:</w:t>
      </w:r>
    </w:p>
    <w:p w14:paraId="0491ACA9" w14:textId="77777777" w:rsidR="00A023B3" w:rsidRDefault="00A023B3">
      <w:pPr>
        <w:spacing w:line="276" w:lineRule="auto"/>
        <w:ind w:left="567" w:right="616"/>
        <w:jc w:val="both"/>
        <w:rPr>
          <w:rFonts w:ascii="Palatino Linotype" w:eastAsia="Palatino Linotype" w:hAnsi="Palatino Linotype" w:cs="Palatino Linotype"/>
          <w:sz w:val="22"/>
          <w:szCs w:val="22"/>
        </w:rPr>
      </w:pPr>
    </w:p>
    <w:p w14:paraId="6399795A"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1D1671C" w14:textId="77777777" w:rsidR="00A023B3" w:rsidRDefault="00A023B3">
      <w:pPr>
        <w:spacing w:line="276" w:lineRule="auto"/>
        <w:ind w:left="851" w:right="616"/>
        <w:jc w:val="both"/>
        <w:rPr>
          <w:rFonts w:ascii="Palatino Linotype" w:eastAsia="Palatino Linotype" w:hAnsi="Palatino Linotype" w:cs="Palatino Linotype"/>
          <w:i/>
          <w:sz w:val="22"/>
          <w:szCs w:val="22"/>
        </w:rPr>
      </w:pPr>
    </w:p>
    <w:p w14:paraId="296D68DA"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w:t>
      </w:r>
      <w:proofErr w:type="gramStart"/>
      <w:r>
        <w:rPr>
          <w:rFonts w:ascii="Palatino Linotype" w:eastAsia="Palatino Linotype" w:hAnsi="Palatino Linotype" w:cs="Palatino Linotype"/>
          <w:b/>
          <w:i/>
          <w:sz w:val="22"/>
          <w:szCs w:val="22"/>
        </w:rPr>
        <w:t>la misma</w:t>
      </w:r>
      <w:proofErr w:type="gramEnd"/>
      <w:r>
        <w:rPr>
          <w:rFonts w:ascii="Palatino Linotype" w:eastAsia="Palatino Linotype" w:hAnsi="Palatino Linotype" w:cs="Palatino Linotype"/>
          <w:b/>
          <w:i/>
          <w:sz w:val="22"/>
          <w:szCs w:val="22"/>
        </w:rPr>
        <w:t>, ni el presentarla conforme al interés del solicitante; no estarán obligados a generarla, resumirla, efectuar cálculos o practicar investigaciones</w:t>
      </w:r>
      <w:r>
        <w:rPr>
          <w:rFonts w:ascii="Palatino Linotype" w:eastAsia="Palatino Linotype" w:hAnsi="Palatino Linotype" w:cs="Palatino Linotype"/>
          <w:i/>
          <w:sz w:val="22"/>
          <w:szCs w:val="22"/>
        </w:rPr>
        <w:t xml:space="preserve">.” </w:t>
      </w:r>
    </w:p>
    <w:p w14:paraId="655C3834" w14:textId="77777777" w:rsidR="00A023B3" w:rsidRDefault="00A023B3">
      <w:pPr>
        <w:spacing w:line="360" w:lineRule="auto"/>
        <w:ind w:right="-93"/>
        <w:jc w:val="both"/>
        <w:rPr>
          <w:rFonts w:ascii="Palatino Linotype" w:eastAsia="Palatino Linotype" w:hAnsi="Palatino Linotype" w:cs="Palatino Linotype"/>
          <w:sz w:val="22"/>
          <w:szCs w:val="22"/>
        </w:rPr>
      </w:pPr>
    </w:p>
    <w:p w14:paraId="1DE507E5" w14:textId="77777777" w:rsidR="00A023B3" w:rsidRDefault="003A06AD">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w:t>
      </w:r>
      <w:r>
        <w:rPr>
          <w:rFonts w:ascii="Palatino Linotype" w:eastAsia="Palatino Linotype" w:hAnsi="Palatino Linotype" w:cs="Palatino Linotype"/>
          <w:sz w:val="22"/>
          <w:szCs w:val="22"/>
        </w:rPr>
        <w:t>e al interés o términos específicos del solicitante.</w:t>
      </w:r>
    </w:p>
    <w:p w14:paraId="766CB055" w14:textId="77777777" w:rsidR="00A023B3" w:rsidRDefault="00A023B3">
      <w:pPr>
        <w:spacing w:line="360" w:lineRule="auto"/>
        <w:ind w:right="-93"/>
        <w:jc w:val="both"/>
        <w:rPr>
          <w:rFonts w:ascii="Palatino Linotype" w:eastAsia="Palatino Linotype" w:hAnsi="Palatino Linotype" w:cs="Palatino Linotype"/>
          <w:sz w:val="22"/>
          <w:szCs w:val="22"/>
        </w:rPr>
      </w:pPr>
    </w:p>
    <w:p w14:paraId="42B5AC68" w14:textId="77777777" w:rsidR="00A023B3" w:rsidRDefault="003A06AD">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Sirve de apoyo a lo anterior, el criterio </w:t>
      </w:r>
      <w:proofErr w:type="gramStart"/>
      <w:r>
        <w:rPr>
          <w:rFonts w:ascii="Palatino Linotype" w:eastAsia="Palatino Linotype" w:hAnsi="Palatino Linotype" w:cs="Palatino Linotype"/>
          <w:sz w:val="22"/>
          <w:szCs w:val="22"/>
        </w:rPr>
        <w:t>orientador  03</w:t>
      </w:r>
      <w:proofErr w:type="gramEnd"/>
      <w:r>
        <w:rPr>
          <w:rFonts w:ascii="Palatino Linotype" w:eastAsia="Palatino Linotype" w:hAnsi="Palatino Linotype" w:cs="Palatino Linotype"/>
          <w:sz w:val="22"/>
          <w:szCs w:val="22"/>
        </w:rPr>
        <w:t>-17, expuesto por el entonces Instituto Nacional de Transparencia, Acceso a la Información y Protección de Datos Personales, que dice:</w:t>
      </w:r>
      <w:r>
        <w:rPr>
          <w:rFonts w:ascii="Palatino Linotype" w:eastAsia="Palatino Linotype" w:hAnsi="Palatino Linotype" w:cs="Palatino Linotype"/>
          <w:b/>
          <w:sz w:val="22"/>
          <w:szCs w:val="22"/>
        </w:rPr>
        <w:t xml:space="preserve"> </w:t>
      </w:r>
    </w:p>
    <w:p w14:paraId="4EA3F19D" w14:textId="77777777" w:rsidR="00A023B3" w:rsidRDefault="00A023B3">
      <w:pPr>
        <w:spacing w:line="276" w:lineRule="auto"/>
        <w:ind w:left="851" w:right="850"/>
        <w:jc w:val="both"/>
        <w:rPr>
          <w:rFonts w:ascii="Palatino Linotype" w:eastAsia="Palatino Linotype" w:hAnsi="Palatino Linotype" w:cs="Palatino Linotype"/>
          <w:sz w:val="22"/>
          <w:szCs w:val="22"/>
        </w:rPr>
      </w:pPr>
    </w:p>
    <w:p w14:paraId="0278FA17"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w:t>
      </w:r>
      <w:r>
        <w:rPr>
          <w:rFonts w:ascii="Palatino Linotype" w:eastAsia="Palatino Linotype" w:hAnsi="Palatino Linotype" w:cs="Palatino Linotype"/>
          <w:i/>
          <w:sz w:val="22"/>
          <w:szCs w:val="22"/>
        </w:rPr>
        <w:lastRenderedPageBreak/>
        <w:t>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w:t>
      </w:r>
      <w:r>
        <w:rPr>
          <w:rFonts w:ascii="Palatino Linotype" w:eastAsia="Palatino Linotype" w:hAnsi="Palatino Linotype" w:cs="Palatino Linotype"/>
          <w:i/>
          <w:sz w:val="22"/>
          <w:szCs w:val="22"/>
        </w:rPr>
        <w:t xml:space="preserve">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61F06F7" w14:textId="77777777" w:rsidR="00A023B3" w:rsidRDefault="00A023B3">
      <w:pPr>
        <w:spacing w:line="276" w:lineRule="auto"/>
        <w:ind w:left="567" w:right="616"/>
        <w:jc w:val="both"/>
        <w:rPr>
          <w:rFonts w:ascii="Palatino Linotype" w:eastAsia="Palatino Linotype" w:hAnsi="Palatino Linotype" w:cs="Palatino Linotype"/>
          <w:i/>
          <w:sz w:val="22"/>
          <w:szCs w:val="22"/>
        </w:rPr>
      </w:pPr>
    </w:p>
    <w:p w14:paraId="1F5B1DEE"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98091C" w14:textId="77777777" w:rsidR="00A023B3" w:rsidRDefault="00A023B3">
      <w:pPr>
        <w:spacing w:line="360" w:lineRule="auto"/>
        <w:jc w:val="both"/>
        <w:rPr>
          <w:rFonts w:ascii="Palatino Linotype" w:eastAsia="Palatino Linotype" w:hAnsi="Palatino Linotype" w:cs="Palatino Linotype"/>
          <w:sz w:val="22"/>
          <w:szCs w:val="22"/>
        </w:rPr>
      </w:pPr>
    </w:p>
    <w:p w14:paraId="34A21BE3"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w:t>
      </w:r>
      <w:r>
        <w:rPr>
          <w:rFonts w:ascii="Palatino Linotype" w:eastAsia="Palatino Linotype" w:hAnsi="Palatino Linotype" w:cs="Palatino Linotype"/>
          <w:sz w:val="22"/>
          <w:szCs w:val="22"/>
        </w:rPr>
        <w:t xml:space="preserve">n cualquier medio, sea escrito, impreso, sonoro, visual, electrónico, informático u holográfico de conformidad con el artículo 3, fracción XI de la Ley de la materia, el cual señala lo siguiente: </w:t>
      </w:r>
    </w:p>
    <w:p w14:paraId="4A14AD74" w14:textId="77777777" w:rsidR="00A023B3" w:rsidRDefault="00A023B3">
      <w:pPr>
        <w:spacing w:line="360" w:lineRule="auto"/>
        <w:jc w:val="both"/>
        <w:rPr>
          <w:rFonts w:ascii="Palatino Linotype" w:eastAsia="Palatino Linotype" w:hAnsi="Palatino Linotype" w:cs="Palatino Linotype"/>
          <w:sz w:val="22"/>
          <w:szCs w:val="22"/>
        </w:rPr>
      </w:pPr>
    </w:p>
    <w:p w14:paraId="164F1AC1"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73C208E5"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5DC2E87"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w:t>
      </w:r>
      <w:r>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w:t>
      </w:r>
      <w:r>
        <w:rPr>
          <w:rFonts w:ascii="Palatino Linotype" w:eastAsia="Palatino Linotype" w:hAnsi="Palatino Linotype" w:cs="Palatino Linotype"/>
          <w:i/>
          <w:sz w:val="22"/>
          <w:szCs w:val="22"/>
        </w:rPr>
        <w:t>, informático u holográfico…” (Sic)</w:t>
      </w:r>
    </w:p>
    <w:p w14:paraId="1AF1DC45" w14:textId="77777777" w:rsidR="00A023B3" w:rsidRDefault="00A023B3">
      <w:pPr>
        <w:spacing w:line="360" w:lineRule="auto"/>
        <w:ind w:left="851" w:right="899"/>
        <w:jc w:val="both"/>
        <w:rPr>
          <w:rFonts w:ascii="Palatino Linotype" w:eastAsia="Palatino Linotype" w:hAnsi="Palatino Linotype" w:cs="Palatino Linotype"/>
          <w:sz w:val="22"/>
          <w:szCs w:val="22"/>
        </w:rPr>
      </w:pPr>
    </w:p>
    <w:p w14:paraId="4B9BF3D8"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8E688D3" w14:textId="77777777" w:rsidR="00A023B3" w:rsidRDefault="00A023B3">
      <w:pPr>
        <w:spacing w:line="360" w:lineRule="auto"/>
        <w:ind w:left="851" w:right="899"/>
        <w:jc w:val="both"/>
        <w:rPr>
          <w:rFonts w:ascii="Palatino Linotype" w:eastAsia="Palatino Linotype" w:hAnsi="Palatino Linotype" w:cs="Palatino Linotype"/>
          <w:sz w:val="22"/>
          <w:szCs w:val="22"/>
        </w:rPr>
      </w:pPr>
    </w:p>
    <w:p w14:paraId="7F1BDAF1" w14:textId="77777777" w:rsidR="00A023B3" w:rsidRDefault="003A06AD">
      <w:pPr>
        <w:spacing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w:t>
      </w:r>
      <w:proofErr w:type="gramStart"/>
      <w:r>
        <w:rPr>
          <w:rFonts w:ascii="Palatino Linotype" w:eastAsia="Palatino Linotype" w:hAnsi="Palatino Linotype" w:cs="Palatino Linotype"/>
          <w:i/>
          <w:sz w:val="22"/>
          <w:szCs w:val="22"/>
        </w:rPr>
        <w:t>pública,</w:t>
      </w:r>
      <w:proofErr w:type="gramEnd"/>
      <w:r>
        <w:rPr>
          <w:rFonts w:ascii="Palatino Linotype" w:eastAsia="Palatino Linotype" w:hAnsi="Palatino Linotype" w:cs="Palatino Linotype"/>
          <w:i/>
          <w:sz w:val="22"/>
          <w:szCs w:val="22"/>
        </w:rPr>
        <w:t xml:space="preserve"> se define en cuanto a su alcance y resultado material, el acceso a los archivos, registros y documentos públicos, administrados, generados o en posesión de los órganos u organismos públicos, en virtud del ejercicio de sus funciones de derecho púb</w:t>
      </w:r>
      <w:r>
        <w:rPr>
          <w:rFonts w:ascii="Palatino Linotype" w:eastAsia="Palatino Linotype" w:hAnsi="Palatino Linotype" w:cs="Palatino Linotype"/>
          <w:i/>
          <w:sz w:val="22"/>
          <w:szCs w:val="22"/>
        </w:rPr>
        <w:t>lico, sin importar su fuente, soporte o fecha de elaboración.</w:t>
      </w:r>
    </w:p>
    <w:p w14:paraId="6AAB5D03"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B1C39E5" w14:textId="77777777" w:rsidR="00A023B3" w:rsidRDefault="003A06AD">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14E5DF0F" w14:textId="77777777" w:rsidR="00A023B3" w:rsidRDefault="003A06AD">
      <w:pPr>
        <w:spacing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2)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sea administrada por los Sujetos Obligados, y</w:t>
      </w:r>
    </w:p>
    <w:p w14:paraId="51AB0642" w14:textId="77777777" w:rsidR="00A023B3" w:rsidRDefault="003A06AD">
      <w:pPr>
        <w:spacing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91BFA94" w14:textId="77777777" w:rsidR="00A023B3" w:rsidRDefault="00A023B3">
      <w:pPr>
        <w:spacing w:line="360" w:lineRule="auto"/>
        <w:jc w:val="both"/>
        <w:rPr>
          <w:rFonts w:ascii="Palatino Linotype" w:eastAsia="Palatino Linotype" w:hAnsi="Palatino Linotype" w:cs="Palatino Linotype"/>
          <w:sz w:val="22"/>
          <w:szCs w:val="22"/>
        </w:rPr>
      </w:pPr>
    </w:p>
    <w:p w14:paraId="3168C91F"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w:t>
      </w:r>
      <w:r>
        <w:rPr>
          <w:rFonts w:ascii="Palatino Linotype" w:eastAsia="Palatino Linotype" w:hAnsi="Palatino Linotype" w:cs="Palatino Linotype"/>
          <w:sz w:val="22"/>
          <w:szCs w:val="22"/>
        </w:rPr>
        <w:t>mo así se establece en la Ley de Transparencia y Acceso a la Información Pública del Estado de México y Municipios.</w:t>
      </w:r>
    </w:p>
    <w:p w14:paraId="1BF87D6F" w14:textId="77777777" w:rsidR="00A023B3" w:rsidRDefault="00A023B3">
      <w:pPr>
        <w:spacing w:line="360" w:lineRule="auto"/>
        <w:jc w:val="both"/>
        <w:rPr>
          <w:rFonts w:ascii="Palatino Linotype" w:eastAsia="Palatino Linotype" w:hAnsi="Palatino Linotype" w:cs="Palatino Linotype"/>
          <w:sz w:val="22"/>
          <w:szCs w:val="22"/>
        </w:rPr>
      </w:pPr>
    </w:p>
    <w:p w14:paraId="26F0D6A1"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w:t>
      </w:r>
      <w:r>
        <w:rPr>
          <w:rFonts w:ascii="Palatino Linotype" w:eastAsia="Palatino Linotype" w:hAnsi="Palatino Linotype" w:cs="Palatino Linotype"/>
          <w:sz w:val="22"/>
          <w:szCs w:val="22"/>
        </w:rPr>
        <w:t>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066A706" w14:textId="77777777" w:rsidR="00A023B3" w:rsidRDefault="00A023B3">
      <w:pPr>
        <w:spacing w:line="360" w:lineRule="auto"/>
        <w:jc w:val="both"/>
        <w:rPr>
          <w:rFonts w:ascii="Palatino Linotype" w:eastAsia="Palatino Linotype" w:hAnsi="Palatino Linotype" w:cs="Palatino Linotype"/>
          <w:sz w:val="22"/>
          <w:szCs w:val="22"/>
        </w:rPr>
      </w:pPr>
    </w:p>
    <w:p w14:paraId="7D223E0F" w14:textId="77777777" w:rsidR="00A023B3" w:rsidRDefault="003A06AD">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requirió 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w:t>
      </w:r>
    </w:p>
    <w:p w14:paraId="25B3BE16" w14:textId="77777777" w:rsidR="00A023B3" w:rsidRDefault="00A023B3">
      <w:pPr>
        <w:spacing w:line="360" w:lineRule="auto"/>
        <w:ind w:right="51"/>
        <w:jc w:val="both"/>
        <w:rPr>
          <w:rFonts w:ascii="Palatino Linotype" w:eastAsia="Palatino Linotype" w:hAnsi="Palatino Linotype" w:cs="Palatino Linotype"/>
          <w:sz w:val="22"/>
          <w:szCs w:val="22"/>
        </w:rPr>
      </w:pPr>
    </w:p>
    <w:p w14:paraId="7B9024C9" w14:textId="77777777" w:rsidR="00A023B3" w:rsidRDefault="003A06AD">
      <w:pPr>
        <w:numPr>
          <w:ilvl w:val="0"/>
          <w:numId w:val="2"/>
        </w:numPr>
        <w:pBdr>
          <w:top w:val="nil"/>
          <w:left w:val="nil"/>
          <w:bottom w:val="nil"/>
          <w:right w:val="nil"/>
          <w:between w:val="nil"/>
        </w:pBdr>
        <w:spacing w:line="360" w:lineRule="auto"/>
        <w:ind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Los documentos donde conste la actualización del sistema REDATOSEM, avisos de privacidad y documentos de seguridad, del primero de enero de dos mil veinticuatro al dieciocho de marzo de dos mil veinticinco. </w:t>
      </w:r>
    </w:p>
    <w:p w14:paraId="63E02835" w14:textId="77777777" w:rsidR="00A023B3" w:rsidRDefault="00A023B3">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29735664" w14:textId="77777777" w:rsidR="00A023B3" w:rsidRDefault="003A06AD">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tal sentido,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a través de la Coordinadora de Transparencia informó la entrega de los documentos donde consta la actualización del Sistema REDATOSEM de los años 2024 у 2025. </w:t>
      </w:r>
    </w:p>
    <w:p w14:paraId="48C60BB3" w14:textId="77777777" w:rsidR="00A023B3" w:rsidRDefault="00A023B3">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70BBB5E7" w14:textId="77777777" w:rsidR="00A023B3" w:rsidRDefault="003A06AD">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mismo, informó que los Avisos de Privacidad vigentes se encuentran disponibles en el siguiente </w:t>
      </w:r>
      <w:proofErr w:type="gramStart"/>
      <w:r>
        <w:rPr>
          <w:rFonts w:ascii="Palatino Linotype" w:eastAsia="Palatino Linotype" w:hAnsi="Palatino Linotype" w:cs="Palatino Linotype"/>
          <w:sz w:val="22"/>
          <w:szCs w:val="22"/>
        </w:rPr>
        <w:t>link</w:t>
      </w:r>
      <w:proofErr w:type="gramEnd"/>
      <w:r>
        <w:rPr>
          <w:rFonts w:ascii="Palatino Linotype" w:eastAsia="Palatino Linotype" w:hAnsi="Palatino Linotype" w:cs="Palatino Linotype"/>
          <w:sz w:val="22"/>
          <w:szCs w:val="22"/>
        </w:rPr>
        <w:t xml:space="preserve">: </w:t>
      </w:r>
      <w:hyperlink r:id="rId9">
        <w:r>
          <w:rPr>
            <w:rFonts w:ascii="Palatino Linotype" w:eastAsia="Palatino Linotype" w:hAnsi="Palatino Linotype" w:cs="Palatino Linotype"/>
            <w:sz w:val="22"/>
            <w:szCs w:val="22"/>
            <w:u w:val="single"/>
          </w:rPr>
          <w:t>https://cuautitlanizcalli.gob.mx/avisos-de-privacidad/</w:t>
        </w:r>
      </w:hyperlink>
      <w:r>
        <w:rPr>
          <w:rFonts w:ascii="Palatino Linotype" w:eastAsia="Palatino Linotype" w:hAnsi="Palatino Linotype" w:cs="Palatino Linotype"/>
          <w:sz w:val="22"/>
          <w:szCs w:val="22"/>
        </w:rPr>
        <w:t xml:space="preserve">. </w:t>
      </w:r>
    </w:p>
    <w:p w14:paraId="6C3E63FD" w14:textId="77777777" w:rsidR="00A023B3" w:rsidRDefault="00A023B3">
      <w:pPr>
        <w:pBdr>
          <w:top w:val="nil"/>
          <w:left w:val="nil"/>
          <w:bottom w:val="nil"/>
          <w:right w:val="nil"/>
          <w:between w:val="nil"/>
        </w:pBdr>
        <w:spacing w:line="360" w:lineRule="auto"/>
        <w:ind w:right="34"/>
        <w:jc w:val="both"/>
        <w:rPr>
          <w:rFonts w:ascii="Palatino Linotype" w:eastAsia="Palatino Linotype" w:hAnsi="Palatino Linotype" w:cs="Palatino Linotype"/>
          <w:sz w:val="22"/>
          <w:szCs w:val="22"/>
        </w:rPr>
      </w:pPr>
    </w:p>
    <w:p w14:paraId="308ED187"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Conocida la respuesta por el particular y al no estar conforme con los términos de </w:t>
      </w:r>
      <w:proofErr w:type="gramStart"/>
      <w:r>
        <w:rPr>
          <w:rFonts w:ascii="Palatino Linotype" w:eastAsia="Palatino Linotype" w:hAnsi="Palatino Linotype" w:cs="Palatino Linotype"/>
          <w:sz w:val="22"/>
          <w:szCs w:val="22"/>
        </w:rPr>
        <w:t>la misma</w:t>
      </w:r>
      <w:proofErr w:type="gramEnd"/>
      <w:r>
        <w:rPr>
          <w:rFonts w:ascii="Palatino Linotype" w:eastAsia="Palatino Linotype" w:hAnsi="Palatino Linotype" w:cs="Palatino Linotype"/>
          <w:sz w:val="22"/>
          <w:szCs w:val="22"/>
        </w:rPr>
        <w:t xml:space="preserve">, presentó el recurso de revisión que nos ocupa, mediante el cual se inconformó medularmente por la entrega de información incompleta, al no hacer entrega de los documentos de seguridad y los avisos de privacidad, así como de las actas del Comité de Transparencia, donde se aprobó la actualización, modificación o creación de bases de datos.  </w:t>
      </w:r>
    </w:p>
    <w:p w14:paraId="7209022E" w14:textId="77777777" w:rsidR="00A023B3" w:rsidRDefault="00A023B3">
      <w:pPr>
        <w:spacing w:line="360" w:lineRule="auto"/>
        <w:ind w:right="49"/>
        <w:jc w:val="both"/>
        <w:rPr>
          <w:rFonts w:ascii="Palatino Linotype" w:eastAsia="Palatino Linotype" w:hAnsi="Palatino Linotype" w:cs="Palatino Linotype"/>
          <w:sz w:val="22"/>
          <w:szCs w:val="22"/>
        </w:rPr>
      </w:pPr>
    </w:p>
    <w:p w14:paraId="5EA58C41"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así </w:t>
      </w:r>
      <w:proofErr w:type="gramStart"/>
      <w:r>
        <w:rPr>
          <w:rFonts w:ascii="Palatino Linotype" w:eastAsia="Palatino Linotype" w:hAnsi="Palatino Linotype" w:cs="Palatino Linotype"/>
          <w:sz w:val="22"/>
          <w:szCs w:val="22"/>
        </w:rPr>
        <w:t>que</w:t>
      </w:r>
      <w:proofErr w:type="gramEnd"/>
      <w:r>
        <w:rPr>
          <w:rFonts w:ascii="Palatino Linotype" w:eastAsia="Palatino Linotype" w:hAnsi="Palatino Linotype" w:cs="Palatino Linotype"/>
          <w:sz w:val="22"/>
          <w:szCs w:val="22"/>
        </w:rPr>
        <w:t xml:space="preserve">, el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no realizó manifestaciones, alegatos o pruebas que a su derecho convinieran y por su parte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rindió su informe justificado en el que confirmó su respuesta inicial. </w:t>
      </w:r>
    </w:p>
    <w:p w14:paraId="10028909" w14:textId="77777777" w:rsidR="00A023B3" w:rsidRDefault="00A023B3">
      <w:pPr>
        <w:spacing w:line="360" w:lineRule="auto"/>
        <w:jc w:val="both"/>
        <w:rPr>
          <w:rFonts w:ascii="Palatino Linotype" w:eastAsia="Palatino Linotype" w:hAnsi="Palatino Linotype" w:cs="Palatino Linotype"/>
          <w:sz w:val="22"/>
          <w:szCs w:val="22"/>
        </w:rPr>
      </w:pPr>
    </w:p>
    <w:p w14:paraId="4C4FD591" w14:textId="77777777" w:rsidR="00A023B3" w:rsidRDefault="003A06A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no pasa inadvertido para este Organismo Garante que, los motivos de inconformidad aducidos por el particular, no versan sobre la totalidad de la información proporcionada por el Sujeto Obligado, pues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se inconformó de manera expresa que respecto a la información proporcionada faltó la entrega de los documentos de seguridad y los avisos de privacidad, por lo que se colige que, la parte de la respuesta que </w:t>
      </w:r>
      <w:r>
        <w:rPr>
          <w:rFonts w:ascii="Palatino Linotype" w:eastAsia="Palatino Linotype" w:hAnsi="Palatino Linotype" w:cs="Palatino Linotype"/>
          <w:sz w:val="22"/>
          <w:szCs w:val="22"/>
        </w:rPr>
        <w:lastRenderedPageBreak/>
        <w:t>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w:t>
      </w:r>
      <w:r>
        <w:rPr>
          <w:rFonts w:ascii="Palatino Linotype" w:eastAsia="Palatino Linotype" w:hAnsi="Palatino Linotype" w:cs="Palatino Linotype"/>
          <w:sz w:val="22"/>
          <w:szCs w:val="22"/>
        </w:rPr>
        <w:t>onada por el Sujeto Obligado, satisface la solicitud presentada.</w:t>
      </w:r>
    </w:p>
    <w:p w14:paraId="2DC0F777" w14:textId="77777777" w:rsidR="00A023B3" w:rsidRDefault="00A023B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5EE25743" w14:textId="77777777" w:rsidR="00A023B3" w:rsidRDefault="003A06A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es así, debido a que cuando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C3A86AC" w14:textId="77777777" w:rsidR="00A023B3" w:rsidRDefault="00A023B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5C4D4C73" w14:textId="77777777" w:rsidR="00A023B3" w:rsidRDefault="003A06A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w:t>
      </w:r>
      <w:r>
        <w:rPr>
          <w:rFonts w:ascii="Palatino Linotype" w:eastAsia="Palatino Linotype" w:hAnsi="Palatino Linotype" w:cs="Palatino Linotype"/>
          <w:i/>
          <w:sz w:val="22"/>
          <w:szCs w:val="22"/>
        </w:rPr>
        <w:t>eza debe reflejarse en la parte considerativa y en los resolutivos debe confirmarse la sentencia recurrida en la parte correspondiente.</w:t>
      </w:r>
      <w:r>
        <w:rPr>
          <w:rFonts w:ascii="Palatino Linotype" w:eastAsia="Palatino Linotype" w:hAnsi="Palatino Linotype" w:cs="Palatino Linotype"/>
          <w:sz w:val="22"/>
          <w:szCs w:val="22"/>
        </w:rPr>
        <w:t>”</w:t>
      </w:r>
    </w:p>
    <w:p w14:paraId="1C7ABB0F" w14:textId="77777777" w:rsidR="00A023B3" w:rsidRDefault="00A023B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2B66FBC7" w14:textId="77777777" w:rsidR="00A023B3" w:rsidRDefault="003A06A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Consecuentemente, se insiste, </w:t>
      </w:r>
      <w:proofErr w:type="gramStart"/>
      <w:r>
        <w:rPr>
          <w:rFonts w:ascii="Palatino Linotype" w:eastAsia="Palatino Linotype" w:hAnsi="Palatino Linotype" w:cs="Palatino Linotype"/>
          <w:sz w:val="22"/>
          <w:szCs w:val="22"/>
        </w:rPr>
        <w:t>que</w:t>
      </w:r>
      <w:proofErr w:type="gramEnd"/>
      <w:r>
        <w:rPr>
          <w:rFonts w:ascii="Palatino Linotype" w:eastAsia="Palatino Linotype" w:hAnsi="Palatino Linotype" w:cs="Palatino Linotype"/>
          <w:sz w:val="22"/>
          <w:szCs w:val="22"/>
        </w:rPr>
        <w:t xml:space="preserve"> ante la falta de impugnación eficaz, la respuesta entregada debe declararse consentida por la persona solicitante. Lo anterior se sustenta con lo plasmado en el criterio orientador 01/20 emitido por el entonces Instituto Nacional de </w:t>
      </w:r>
      <w:r>
        <w:rPr>
          <w:rFonts w:ascii="Palatino Linotype" w:eastAsia="Palatino Linotype" w:hAnsi="Palatino Linotype" w:cs="Palatino Linotype"/>
          <w:sz w:val="22"/>
          <w:szCs w:val="22"/>
        </w:rPr>
        <w:lastRenderedPageBreak/>
        <w:t xml:space="preserve">Transparencia, Acceso a la Información, y Protección de Datos Personales, que lleva por rubro y texto los siguientes: </w:t>
      </w:r>
    </w:p>
    <w:p w14:paraId="28D5C627" w14:textId="77777777" w:rsidR="00A023B3" w:rsidRDefault="00A023B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2C1F9D3C" w14:textId="77777777" w:rsidR="00A023B3" w:rsidRDefault="003A06A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Actos consentidos tácitamente. Improcedencia de su análisis</w:t>
      </w:r>
      <w:r>
        <w:rPr>
          <w:rFonts w:ascii="Palatino Linotype" w:eastAsia="Palatino Linotype" w:hAnsi="Palatino Linotype" w:cs="Palatino Linotype"/>
          <w:i/>
          <w:sz w:val="22"/>
          <w:szCs w:val="22"/>
        </w:rPr>
        <w:t>. Si en su recurso de revisión, la persona recurrente no expresó inconformidad alguna con ciertas partes de la respuesta otorgada, se entienden tácitamente consentidas, por ende, no deben formar parte del estudio de fondo de la resolución que emite el Instituto</w:t>
      </w:r>
      <w:r>
        <w:rPr>
          <w:rFonts w:ascii="Palatino Linotype" w:eastAsia="Palatino Linotype" w:hAnsi="Palatino Linotype" w:cs="Palatino Linotype"/>
          <w:sz w:val="22"/>
          <w:szCs w:val="22"/>
        </w:rPr>
        <w:t>.”</w:t>
      </w:r>
    </w:p>
    <w:p w14:paraId="53DFE32F" w14:textId="77777777" w:rsidR="00A023B3" w:rsidRDefault="00A023B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4F1B5A7D" w14:textId="77777777" w:rsidR="00A023B3" w:rsidRDefault="003A06A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676B5422" w14:textId="77777777" w:rsidR="00A023B3" w:rsidRDefault="00A023B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1B879DAE" w14:textId="77777777" w:rsidR="00A023B3" w:rsidRDefault="003A06AD">
      <w:pPr>
        <w:pBdr>
          <w:top w:val="nil"/>
          <w:left w:val="nil"/>
          <w:bottom w:val="nil"/>
          <w:right w:val="nil"/>
          <w:between w:val="nil"/>
        </w:pBdr>
        <w:tabs>
          <w:tab w:val="left" w:pos="709"/>
        </w:tabs>
        <w:spacing w:line="276" w:lineRule="auto"/>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xml:space="preserve">. Debe reputarse como consentido el acto que no se impugnó por el medio establecido por la ley, </w:t>
      </w:r>
      <w:proofErr w:type="gramStart"/>
      <w:r>
        <w:rPr>
          <w:rFonts w:ascii="Palatino Linotype" w:eastAsia="Palatino Linotype" w:hAnsi="Palatino Linotype" w:cs="Palatino Linotype"/>
          <w:i/>
          <w:sz w:val="22"/>
          <w:szCs w:val="22"/>
        </w:rPr>
        <w:t>ya que</w:t>
      </w:r>
      <w:proofErr w:type="gramEnd"/>
      <w:r>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w:t>
      </w:r>
      <w:proofErr w:type="gramStart"/>
      <w:r>
        <w:rPr>
          <w:rFonts w:ascii="Palatino Linotype" w:eastAsia="Palatino Linotype" w:hAnsi="Palatino Linotype" w:cs="Palatino Linotype"/>
          <w:i/>
          <w:sz w:val="22"/>
          <w:szCs w:val="22"/>
        </w:rPr>
        <w:t>del mismo</w:t>
      </w:r>
      <w:proofErr w:type="gramEnd"/>
      <w:r>
        <w:rPr>
          <w:rFonts w:ascii="Palatino Linotype" w:eastAsia="Palatino Linotype" w:hAnsi="Palatino Linotype" w:cs="Palatino Linotype"/>
          <w:i/>
          <w:sz w:val="22"/>
          <w:szCs w:val="22"/>
        </w:rPr>
        <w:t xml:space="preserve"> por falta de impugnación eficaz.</w:t>
      </w:r>
      <w:r>
        <w:rPr>
          <w:rFonts w:ascii="Palatino Linotype" w:eastAsia="Palatino Linotype" w:hAnsi="Palatino Linotype" w:cs="Palatino Linotype"/>
          <w:sz w:val="22"/>
          <w:szCs w:val="22"/>
        </w:rPr>
        <w:t>”</w:t>
      </w:r>
    </w:p>
    <w:p w14:paraId="3CB8E352" w14:textId="77777777" w:rsidR="00A023B3" w:rsidRDefault="00A023B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1BF582BA" w14:textId="77777777" w:rsidR="00A023B3" w:rsidRDefault="003A06AD">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Dicho lo anterior, la información de la que resulta procedente pronunciarse es respecto a los documentos de actualización de los avisos de privacidad y documentos de seguridad.</w:t>
      </w:r>
    </w:p>
    <w:p w14:paraId="34A4ED6B" w14:textId="77777777" w:rsidR="00A023B3" w:rsidRDefault="00A023B3">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p>
    <w:p w14:paraId="3634DF2A" w14:textId="77777777" w:rsidR="00A023B3" w:rsidRDefault="003A06A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u w:val="single"/>
        </w:rPr>
        <w:t>Avisos de privacidad:</w:t>
      </w:r>
    </w:p>
    <w:p w14:paraId="25621810"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relación a la naturaleza de la información requerida, es de indicar que, de conformidad con la Ley de Protección de Datos Personales en Posesión de Sujetos Obligados del Estado de México y Municipios, el </w:t>
      </w:r>
      <w:r>
        <w:rPr>
          <w:rFonts w:ascii="Palatino Linotype" w:eastAsia="Palatino Linotype" w:hAnsi="Palatino Linotype" w:cs="Palatino Linotype"/>
          <w:b/>
          <w:sz w:val="22"/>
          <w:szCs w:val="22"/>
        </w:rPr>
        <w:t>aviso de privacidad</w:t>
      </w:r>
      <w:r>
        <w:rPr>
          <w:rFonts w:ascii="Palatino Linotype" w:eastAsia="Palatino Linotype" w:hAnsi="Palatino Linotype" w:cs="Palatino Linotype"/>
          <w:sz w:val="22"/>
          <w:szCs w:val="22"/>
        </w:rPr>
        <w:t xml:space="preserve"> es el documento físico, electrónico o en cualquier formato generado por el responsable que es puesto a disposición del titular con el </w:t>
      </w:r>
      <w:r>
        <w:rPr>
          <w:rFonts w:ascii="Palatino Linotype" w:eastAsia="Palatino Linotype" w:hAnsi="Palatino Linotype" w:cs="Palatino Linotype"/>
          <w:sz w:val="22"/>
          <w:szCs w:val="22"/>
        </w:rPr>
        <w:lastRenderedPageBreak/>
        <w:t>objeto de informarle los propósitos del tratamiento al que serán sometidos sus datos personales. </w:t>
      </w:r>
    </w:p>
    <w:p w14:paraId="3F41F46E" w14:textId="77777777" w:rsidR="00A023B3" w:rsidRDefault="00A023B3">
      <w:pPr>
        <w:spacing w:line="360" w:lineRule="auto"/>
        <w:rPr>
          <w:rFonts w:ascii="Palatino Linotype" w:eastAsia="Palatino Linotype" w:hAnsi="Palatino Linotype" w:cs="Palatino Linotype"/>
          <w:sz w:val="22"/>
          <w:szCs w:val="22"/>
        </w:rPr>
      </w:pPr>
    </w:p>
    <w:p w14:paraId="604AF8E6"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Ley establece que los responsables pondrán a disposición de la o el titular en formatos impresos, digitales, visuales, sonoros o de cualquier otra tecnología, </w:t>
      </w:r>
      <w:r>
        <w:rPr>
          <w:rFonts w:ascii="Palatino Linotype" w:eastAsia="Palatino Linotype" w:hAnsi="Palatino Linotype" w:cs="Palatino Linotype"/>
          <w:sz w:val="22"/>
          <w:szCs w:val="22"/>
          <w:u w:val="single"/>
        </w:rPr>
        <w:t>el aviso de privacidad en las modalidades simplificado e integral</w:t>
      </w:r>
      <w:r>
        <w:rPr>
          <w:rFonts w:ascii="Palatino Linotype" w:eastAsia="Palatino Linotype" w:hAnsi="Palatino Linotype" w:cs="Palatino Linotype"/>
          <w:sz w:val="22"/>
          <w:szCs w:val="22"/>
        </w:rPr>
        <w:t>, siendo que a través de este aviso, el responsable tiene la obligación de información de modo expreso, preciso e inequívoco a las o los titulares, la información que se recaba de ellos y con qué fines, la existencia y características principales del tratamiento al que serán sometidos sus datos personales, a fin de que puedan tomar decisiones informadas al respecto, tal como se observa a continuación: </w:t>
      </w:r>
    </w:p>
    <w:p w14:paraId="373B80B3" w14:textId="77777777" w:rsidR="00A023B3" w:rsidRDefault="00A023B3">
      <w:pPr>
        <w:rPr>
          <w:rFonts w:ascii="Palatino Linotype" w:eastAsia="Palatino Linotype" w:hAnsi="Palatino Linotype" w:cs="Palatino Linotype"/>
          <w:sz w:val="22"/>
          <w:szCs w:val="22"/>
        </w:rPr>
      </w:pPr>
    </w:p>
    <w:p w14:paraId="00C51126" w14:textId="77777777" w:rsidR="00A023B3" w:rsidRDefault="003A06AD">
      <w:pPr>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“Principio de Información </w:t>
      </w:r>
    </w:p>
    <w:p w14:paraId="232F822C" w14:textId="77777777" w:rsidR="00A023B3" w:rsidRDefault="003A06AD">
      <w:pPr>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23.</w:t>
      </w:r>
      <w:r>
        <w:rPr>
          <w:rFonts w:ascii="Palatino Linotype" w:eastAsia="Palatino Linotype" w:hAnsi="Palatino Linotype" w:cs="Palatino Linotype"/>
          <w:i/>
          <w:sz w:val="22"/>
          <w:szCs w:val="22"/>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70A1A1A2" w14:textId="77777777" w:rsidR="00A023B3" w:rsidRDefault="003A06AD">
      <w:pPr>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aviso de privacidad estará redactado y estructurado de manera clara precisa y sencilla, será difundido por los medios electrónicos y físicos con que cuente el responsable. 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03C2AC6B" w14:textId="77777777" w:rsidR="00A023B3" w:rsidRDefault="00A023B3">
      <w:pPr>
        <w:rPr>
          <w:rFonts w:ascii="Palatino Linotype" w:eastAsia="Palatino Linotype" w:hAnsi="Palatino Linotype" w:cs="Palatino Linotype"/>
          <w:sz w:val="22"/>
          <w:szCs w:val="22"/>
        </w:rPr>
      </w:pPr>
    </w:p>
    <w:p w14:paraId="5E5D3799"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mismo orden de ideas, es de destacar que se entiende como </w:t>
      </w:r>
      <w:r>
        <w:rPr>
          <w:rFonts w:ascii="Palatino Linotype" w:eastAsia="Palatino Linotype" w:hAnsi="Palatino Linotype" w:cs="Palatino Linotype"/>
          <w:b/>
          <w:sz w:val="22"/>
          <w:szCs w:val="22"/>
        </w:rPr>
        <w:t xml:space="preserve">aviso de privacidad integral </w:t>
      </w:r>
      <w:r>
        <w:rPr>
          <w:rFonts w:ascii="Palatino Linotype" w:eastAsia="Palatino Linotype" w:hAnsi="Palatino Linotype" w:cs="Palatino Linotype"/>
          <w:sz w:val="22"/>
          <w:szCs w:val="22"/>
        </w:rPr>
        <w:t xml:space="preserve">a aquel que es entregado cuando los datos son proporcionados directamente por el titular de estos, este debe ser facilitado en el momento de forma clara e incuestionable, a través de los formatos establecidos por el sujeto obligado, por otro lado, el </w:t>
      </w:r>
      <w:r>
        <w:rPr>
          <w:rFonts w:ascii="Palatino Linotype" w:eastAsia="Palatino Linotype" w:hAnsi="Palatino Linotype" w:cs="Palatino Linotype"/>
          <w:b/>
          <w:sz w:val="22"/>
          <w:szCs w:val="22"/>
        </w:rPr>
        <w:t>aviso de privacidad simplificado</w:t>
      </w:r>
      <w:r>
        <w:rPr>
          <w:rFonts w:ascii="Palatino Linotype" w:eastAsia="Palatino Linotype" w:hAnsi="Palatino Linotype" w:cs="Palatino Linotype"/>
          <w:sz w:val="22"/>
          <w:szCs w:val="22"/>
        </w:rPr>
        <w:t xml:space="preserve"> es aquel que es entregado cuando los datos son obtenidos por cualquier medio electrónico, óptimo, sonoro, visual o a través de cualquier otra tecnología, </w:t>
      </w:r>
      <w:r>
        <w:rPr>
          <w:rFonts w:ascii="Palatino Linotype" w:eastAsia="Palatino Linotype" w:hAnsi="Palatino Linotype" w:cs="Palatino Linotype"/>
          <w:sz w:val="22"/>
          <w:szCs w:val="22"/>
        </w:rPr>
        <w:lastRenderedPageBreak/>
        <w:t>el aviso de privacidad debe ser puesto a disp</w:t>
      </w:r>
      <w:r>
        <w:rPr>
          <w:rFonts w:ascii="Palatino Linotype" w:eastAsia="Palatino Linotype" w:hAnsi="Palatino Linotype" w:cs="Palatino Linotype"/>
          <w:sz w:val="22"/>
          <w:szCs w:val="22"/>
        </w:rPr>
        <w:t>osición en un lugar visible, considerando los medios o mecanismos para que se conozca el texto completo del aviso. </w:t>
      </w:r>
    </w:p>
    <w:p w14:paraId="392AC14C" w14:textId="77777777" w:rsidR="00A023B3" w:rsidRDefault="00A023B3">
      <w:pPr>
        <w:spacing w:line="360" w:lineRule="auto"/>
        <w:rPr>
          <w:rFonts w:ascii="Palatino Linotype" w:eastAsia="Palatino Linotype" w:hAnsi="Palatino Linotype" w:cs="Palatino Linotype"/>
          <w:sz w:val="22"/>
          <w:szCs w:val="22"/>
        </w:rPr>
      </w:pPr>
    </w:p>
    <w:p w14:paraId="38465CD9"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otro lado, de conformidad con los artículos 31 y 33 de la Ley de Protección de Datos Personales en Posesión de Sujetos Obligados del Estado de México y Municipios, se establece que: </w:t>
      </w:r>
    </w:p>
    <w:p w14:paraId="7E64BB4F" w14:textId="77777777" w:rsidR="00A023B3" w:rsidRDefault="00A023B3">
      <w:pPr>
        <w:rPr>
          <w:rFonts w:ascii="Palatino Linotype" w:eastAsia="Palatino Linotype" w:hAnsi="Palatino Linotype" w:cs="Palatino Linotype"/>
          <w:sz w:val="22"/>
          <w:szCs w:val="22"/>
        </w:rPr>
      </w:pPr>
    </w:p>
    <w:p w14:paraId="7972B4AA"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“Contenido del Aviso de Privacidad Integral </w:t>
      </w:r>
    </w:p>
    <w:p w14:paraId="4089DE69" w14:textId="77777777" w:rsidR="00A023B3" w:rsidRDefault="00A023B3">
      <w:pPr>
        <w:ind w:left="851"/>
        <w:rPr>
          <w:rFonts w:ascii="Palatino Linotype" w:eastAsia="Palatino Linotype" w:hAnsi="Palatino Linotype" w:cs="Palatino Linotype"/>
          <w:sz w:val="22"/>
          <w:szCs w:val="22"/>
        </w:rPr>
      </w:pPr>
    </w:p>
    <w:p w14:paraId="04263758"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31.</w:t>
      </w:r>
      <w:r>
        <w:rPr>
          <w:rFonts w:ascii="Palatino Linotype" w:eastAsia="Palatino Linotype" w:hAnsi="Palatino Linotype" w:cs="Palatino Linotype"/>
          <w:i/>
          <w:sz w:val="22"/>
          <w:szCs w:val="22"/>
        </w:rPr>
        <w:t xml:space="preserve"> El aviso de privacidad integral contendrá la información siguiente: </w:t>
      </w:r>
    </w:p>
    <w:p w14:paraId="4925CC3D"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 La denominación del responsable. </w:t>
      </w:r>
    </w:p>
    <w:p w14:paraId="4A190C83"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II. El nombre y cargo del administrador, así como el área o unidad administrativa a la que se encuentra adscrito. </w:t>
      </w:r>
    </w:p>
    <w:p w14:paraId="3E01DAF3"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III. El nombre del sistema de datos personales o base de datos al que serán incorporados los datos personales. </w:t>
      </w:r>
    </w:p>
    <w:p w14:paraId="6839828D"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IV. Los datos personales que serán sometidos a tratamiento, identificando los que son sensibles.</w:t>
      </w:r>
    </w:p>
    <w:p w14:paraId="0152591B"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V. El carácter obligatorio o facultativo de la entrega de los datos personales. </w:t>
      </w:r>
    </w:p>
    <w:p w14:paraId="4F311A47"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VI. Las consecuencias de la negativa a suministrarlos. </w:t>
      </w:r>
    </w:p>
    <w:p w14:paraId="29C9FBD9"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VII. Las finalidades del tratamiento para las cuales se obtienen los datos personales, distinguiendo aquéllas que requieran el consentimiento de la o el titular. </w:t>
      </w:r>
    </w:p>
    <w:p w14:paraId="44CF81E8"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VIII. Cuando se realicen transferencias de datos personales se informará: </w:t>
      </w:r>
    </w:p>
    <w:p w14:paraId="67B78575"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a) Destinatario de los datos. </w:t>
      </w:r>
    </w:p>
    <w:p w14:paraId="0687D417"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b) Finalidad de la transferencia. </w:t>
      </w:r>
    </w:p>
    <w:p w14:paraId="23E03021"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c) El fundamento que autoriza la transferencia. </w:t>
      </w:r>
    </w:p>
    <w:p w14:paraId="6AA3172F"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d) Los datos personales a transferir. </w:t>
      </w:r>
    </w:p>
    <w:p w14:paraId="0DBD64EE"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 Las implicaciones de otorgar, el consentimiento expreso. </w:t>
      </w:r>
    </w:p>
    <w:p w14:paraId="35D5C5CB"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Cuando se realicen transferencias de datos personales que requieran consentimiento, se acreditará el otorgamiento. </w:t>
      </w:r>
    </w:p>
    <w:p w14:paraId="6511D396"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IX. Los mecanismos y medios estarán disponibles para el uso previo al tratamiento de los datos personales, para que la o el titular, pueda manifestar su negativa para la finalidad y transferencia que requieran el consentimiento de la o el titular. </w:t>
      </w:r>
    </w:p>
    <w:p w14:paraId="77EF0F55"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X. Los mecanismos, medios y procedimientos disponibles para ejercer los derechos ARCO, indicando la dirección electrónica del sistema para presentar sus solicitudes. </w:t>
      </w:r>
    </w:p>
    <w:p w14:paraId="292C3B06"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XI. La indicación por la cual la o el titular podrá revocar el consentimiento para el tratamiento de sus datos, detallando el procedimiento a seguir para tal efecto. </w:t>
      </w:r>
    </w:p>
    <w:p w14:paraId="20E1147F"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XII. Cuando aplique, las opciones y medios que el responsable ofrezca a las o los titulares para limitar el uso o divulgación, o la portabilidad de datos. </w:t>
      </w:r>
    </w:p>
    <w:p w14:paraId="75DC1244"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XIII. Los medios a través de los cuales el responsable comunicará a los titulares los cambios al aviso de privacidad, </w:t>
      </w:r>
    </w:p>
    <w:p w14:paraId="16B5BB82"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XIV. El cargo y domicilio del encargado, indicando su nombre o el medio por el cual se pueda conocer su identidad. </w:t>
      </w:r>
    </w:p>
    <w:p w14:paraId="54E726FE"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XV. El domicilio del responsable, y en su caso, cargo y domicilio del encargado, indicando su nombre o el medio por el cual se pueda conocer su identidad. </w:t>
      </w:r>
    </w:p>
    <w:p w14:paraId="42CFC407"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XVI. El fundamento legal que faculta al responsable para llevar a cabo el tratamiento. </w:t>
      </w:r>
    </w:p>
    <w:p w14:paraId="37A00DA5"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XVII. El procedimiento para que se ejerza el derecho a la portabilidad. </w:t>
      </w:r>
    </w:p>
    <w:p w14:paraId="12384943"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XVIII. El domicilio de la Unidad de Transparencia. </w:t>
      </w:r>
    </w:p>
    <w:p w14:paraId="145F4C69"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27030D0C" w14:textId="77777777" w:rsidR="00A023B3" w:rsidRDefault="00A023B3">
      <w:pPr>
        <w:ind w:left="851"/>
        <w:rPr>
          <w:rFonts w:ascii="Palatino Linotype" w:eastAsia="Palatino Linotype" w:hAnsi="Palatino Linotype" w:cs="Palatino Linotype"/>
          <w:sz w:val="22"/>
          <w:szCs w:val="22"/>
        </w:rPr>
      </w:pPr>
    </w:p>
    <w:p w14:paraId="3B1841FA"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Contenido del Aviso de Privacidad Simplificado </w:t>
      </w:r>
    </w:p>
    <w:p w14:paraId="2CA7EBA3" w14:textId="77777777" w:rsidR="00A023B3" w:rsidRDefault="003A06AD">
      <w:pPr>
        <w:ind w:left="851"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33.</w:t>
      </w:r>
      <w:r>
        <w:rPr>
          <w:rFonts w:ascii="Palatino Linotype" w:eastAsia="Palatino Linotype" w:hAnsi="Palatino Linotype" w:cs="Palatino Linotype"/>
          <w:i/>
          <w:sz w:val="22"/>
          <w:szCs w:val="22"/>
        </w:rPr>
        <w:t xml:space="preserve"> El aviso de privacidad simplificado deberá contener, al menos, la información a que se refieren las fracciones I, VII, VIII y IX del artículo relativo al contenido del aviso de privacidad integral.”</w:t>
      </w:r>
    </w:p>
    <w:p w14:paraId="4107A18F" w14:textId="77777777" w:rsidR="00A023B3" w:rsidRDefault="00A023B3">
      <w:pPr>
        <w:rPr>
          <w:rFonts w:ascii="Palatino Linotype" w:eastAsia="Palatino Linotype" w:hAnsi="Palatino Linotype" w:cs="Palatino Linotype"/>
          <w:sz w:val="22"/>
          <w:szCs w:val="22"/>
        </w:rPr>
      </w:pPr>
    </w:p>
    <w:p w14:paraId="5CCDC084"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logra advertir, el aviso de privacidad es de suma importancia en el tratamiento de datos personales, ya que permite informar a sus titulares del tratamiento que se les da a los mismos, </w:t>
      </w:r>
      <w:r>
        <w:rPr>
          <w:rFonts w:ascii="Palatino Linotype" w:eastAsia="Palatino Linotype" w:hAnsi="Palatino Linotype" w:cs="Palatino Linotype"/>
          <w:b/>
          <w:sz w:val="22"/>
          <w:szCs w:val="22"/>
        </w:rPr>
        <w:t>por lo que, es obligatorio que los sujetos obligados cuenten con los avisos de privacidad correspondientes, cuando algunas de sus unidades administrativas procesen datos personales.</w:t>
      </w:r>
      <w:r>
        <w:rPr>
          <w:rFonts w:ascii="Palatino Linotype" w:eastAsia="Palatino Linotype" w:hAnsi="Palatino Linotype" w:cs="Palatino Linotype"/>
          <w:sz w:val="22"/>
          <w:szCs w:val="22"/>
        </w:rPr>
        <w:t> </w:t>
      </w:r>
    </w:p>
    <w:p w14:paraId="5C5F726D" w14:textId="77777777" w:rsidR="00A023B3" w:rsidRDefault="00A023B3">
      <w:pPr>
        <w:spacing w:line="360" w:lineRule="auto"/>
        <w:ind w:right="49"/>
        <w:jc w:val="both"/>
        <w:rPr>
          <w:rFonts w:ascii="Palatino Linotype" w:eastAsia="Palatino Linotype" w:hAnsi="Palatino Linotype" w:cs="Palatino Linotype"/>
          <w:sz w:val="22"/>
          <w:szCs w:val="22"/>
        </w:rPr>
      </w:pPr>
    </w:p>
    <w:p w14:paraId="54B59DB5" w14:textId="77777777" w:rsidR="00A023B3" w:rsidRDefault="003A06AD">
      <w:pPr>
        <w:pBdr>
          <w:top w:val="nil"/>
          <w:left w:val="nil"/>
          <w:bottom w:val="nil"/>
          <w:right w:val="nil"/>
          <w:between w:val="nil"/>
        </w:pBd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sz w:val="22"/>
          <w:szCs w:val="22"/>
        </w:rPr>
        <w:t xml:space="preserve">De ahí que se advierta fuente obligacional para que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cuente con avisos de privacidad, no obstante, </w:t>
      </w:r>
      <w:r>
        <w:rPr>
          <w:rFonts w:ascii="Palatino Linotype" w:eastAsia="Palatino Linotype" w:hAnsi="Palatino Linotype" w:cs="Palatino Linotype"/>
          <w:sz w:val="22"/>
          <w:szCs w:val="22"/>
          <w:u w:val="single"/>
        </w:rPr>
        <w:t>no se advierte que exista fuente obligacional para que los Sujetos Obligados deban de actualizar los avisos cada cierto tiem</w:t>
      </w:r>
      <w:r>
        <w:rPr>
          <w:rFonts w:ascii="Palatino Linotype" w:eastAsia="Palatino Linotype" w:hAnsi="Palatino Linotype" w:cs="Palatino Linotype"/>
          <w:sz w:val="22"/>
          <w:szCs w:val="22"/>
        </w:rPr>
        <w:t xml:space="preserve">po o </w:t>
      </w:r>
      <w:r>
        <w:rPr>
          <w:rFonts w:ascii="Palatino Linotype" w:eastAsia="Palatino Linotype" w:hAnsi="Palatino Linotype" w:cs="Palatino Linotype"/>
        </w:rPr>
        <w:t>que el Comité de Transparencia tenga la obligación de aprobar los avisos de privacidad y sus actualizaciones, tal como se observa a continuación: </w:t>
      </w:r>
    </w:p>
    <w:p w14:paraId="567007FD" w14:textId="77777777" w:rsidR="00A023B3" w:rsidRDefault="00A023B3">
      <w:pPr>
        <w:pBdr>
          <w:top w:val="nil"/>
          <w:left w:val="nil"/>
          <w:bottom w:val="nil"/>
          <w:right w:val="nil"/>
          <w:between w:val="nil"/>
        </w:pBdr>
        <w:ind w:right="49"/>
        <w:jc w:val="both"/>
        <w:rPr>
          <w:rFonts w:ascii="Palatino Linotype" w:eastAsia="Palatino Linotype" w:hAnsi="Palatino Linotype" w:cs="Palatino Linotype"/>
        </w:rPr>
      </w:pPr>
    </w:p>
    <w:p w14:paraId="22EF4995"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sz w:val="22"/>
          <w:szCs w:val="22"/>
        </w:rPr>
        <w:t>Ley d</w:t>
      </w:r>
      <w:r>
        <w:rPr>
          <w:rFonts w:ascii="Palatino Linotype" w:eastAsia="Palatino Linotype" w:hAnsi="Palatino Linotype" w:cs="Palatino Linotype"/>
          <w:i/>
          <w:sz w:val="22"/>
          <w:szCs w:val="22"/>
        </w:rPr>
        <w:t>e Transparencia y Acceso a La Información Pública del Estado De México y Municipios</w:t>
      </w:r>
    </w:p>
    <w:p w14:paraId="50E69658" w14:textId="77777777" w:rsidR="00A023B3" w:rsidRDefault="00A023B3"/>
    <w:p w14:paraId="3922972B"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 </w:t>
      </w:r>
    </w:p>
    <w:p w14:paraId="7F0E275B"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I. Instituir, coordinar y supervisar en términos de las disposiciones aplicables, las acciones, medidas y procedimientos que coadyuven a asegurar una mayor eficacia en la gestión y atención de las solicitudes en materia de acceso a la información; </w:t>
      </w:r>
    </w:p>
    <w:p w14:paraId="5D08CCFC"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 xml:space="preserve">II. Confirmar, modificar o revocar las determinaciones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 </w:t>
      </w:r>
    </w:p>
    <w:p w14:paraId="35ACD45C"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425BAE14"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IV. Establecer políticas para facilitar la obtención y entrega de información en las solicitudes que permita el adecuado ejercicio del derecho de acceso a la información; </w:t>
      </w:r>
    </w:p>
    <w:p w14:paraId="52321B3E" w14:textId="77777777" w:rsidR="00A023B3" w:rsidRDefault="003A06A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Promover la capacitación y actualización de los servidores públicos o integrantes adscritos a las unidades de transparencia; </w:t>
      </w:r>
    </w:p>
    <w:p w14:paraId="674BFB87"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VI. Establecer programas de capacitación en materia de transparencia, acceso a la información, accesibilidad y protección de datos personales, para todos los servidores públicos o integrantes del sujeto obligado; </w:t>
      </w:r>
    </w:p>
    <w:p w14:paraId="68FD5A5C"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VII. Solicitar y autorizar la ampliación del plazo de reserva de la información a que se refiere esta Ley; </w:t>
      </w:r>
    </w:p>
    <w:p w14:paraId="5A805FF9"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VIII. Aprobar, modificar o revocar la clasificación de la información; </w:t>
      </w:r>
    </w:p>
    <w:p w14:paraId="09EECA86"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IX. Supervisar la aplicación de los lineamientos en materia de acceso a la información pública para el manejo, mantenimiento y seguridad de los datos personales, así como de los criterios de clasificación expedidos por el Instituto; </w:t>
      </w:r>
    </w:p>
    <w:p w14:paraId="28DC1BD9"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X. Elaborar un programa para facilitar la sistematización y actualización de la información, mismo que deberá remitirse al Instituto dentro de los primeros veinte días de cada año; </w:t>
      </w:r>
    </w:p>
    <w:p w14:paraId="1F250AE8"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XI. Recabar y enviar al Instituto, de conformidad con los lineamientos que éste expida, los datos necesarios para la elaboración del informe anual; </w:t>
      </w:r>
    </w:p>
    <w:p w14:paraId="6B202D29"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XII. Emitir las resoluciones que correspondan para la atención de las solicitudes de información; </w:t>
      </w:r>
    </w:p>
    <w:p w14:paraId="4C7177A7" w14:textId="77777777" w:rsidR="00A023B3" w:rsidRDefault="003A06AD">
      <w:pPr>
        <w:pBdr>
          <w:top w:val="nil"/>
          <w:left w:val="nil"/>
          <w:bottom w:val="nil"/>
          <w:right w:val="nil"/>
          <w:between w:val="nil"/>
        </w:pBdr>
        <w:ind w:left="567" w:right="616"/>
        <w:jc w:val="both"/>
      </w:pPr>
      <w:proofErr w:type="spellStart"/>
      <w:r>
        <w:rPr>
          <w:rFonts w:ascii="Palatino Linotype" w:eastAsia="Palatino Linotype" w:hAnsi="Palatino Linotype" w:cs="Palatino Linotype"/>
          <w:i/>
          <w:sz w:val="22"/>
          <w:szCs w:val="22"/>
        </w:rPr>
        <w:t>XIII.Dictaminar</w:t>
      </w:r>
      <w:proofErr w:type="spellEnd"/>
      <w:r>
        <w:rPr>
          <w:rFonts w:ascii="Palatino Linotype" w:eastAsia="Palatino Linotype" w:hAnsi="Palatino Linotype" w:cs="Palatino Linotype"/>
          <w:i/>
          <w:sz w:val="22"/>
          <w:szCs w:val="22"/>
        </w:rPr>
        <w:t xml:space="preserve"> las declaratorias de inexistencia de la información que les remitan las unidades administrativas y resolver en consecuencia; </w:t>
      </w:r>
    </w:p>
    <w:p w14:paraId="380821F4"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lastRenderedPageBreak/>
        <w:t>XIV. Supervisar el registro y actualización de las solicitudes de acceso a la información, así como sus trámites, costos y resultados;</w:t>
      </w:r>
    </w:p>
    <w:p w14:paraId="2B0B50C7"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XV. Fomentar la cultura de transparencia; </w:t>
      </w:r>
    </w:p>
    <w:p w14:paraId="6C26B28A"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XVI. Supervisar el cumplimiento de criterios y lineamientos en materia de información clasificada; </w:t>
      </w:r>
    </w:p>
    <w:p w14:paraId="239C4694"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XVII. Vigilar el cumplimiento de las resoluciones y recomendaciones que emita el Instituto; y </w:t>
      </w:r>
    </w:p>
    <w:p w14:paraId="3D4C6BB7" w14:textId="77777777" w:rsidR="00A023B3" w:rsidRDefault="003A06AD">
      <w:pPr>
        <w:pBdr>
          <w:top w:val="nil"/>
          <w:left w:val="nil"/>
          <w:bottom w:val="nil"/>
          <w:right w:val="nil"/>
          <w:between w:val="nil"/>
        </w:pBdr>
        <w:ind w:left="567" w:right="616"/>
        <w:jc w:val="both"/>
      </w:pPr>
      <w:proofErr w:type="spellStart"/>
      <w:r>
        <w:rPr>
          <w:rFonts w:ascii="Palatino Linotype" w:eastAsia="Palatino Linotype" w:hAnsi="Palatino Linotype" w:cs="Palatino Linotype"/>
          <w:i/>
          <w:sz w:val="22"/>
          <w:szCs w:val="22"/>
        </w:rPr>
        <w:t>XVIII.Las</w:t>
      </w:r>
      <w:proofErr w:type="spellEnd"/>
      <w:r>
        <w:rPr>
          <w:rFonts w:ascii="Palatino Linotype" w:eastAsia="Palatino Linotype" w:hAnsi="Palatino Linotype" w:cs="Palatino Linotype"/>
          <w:i/>
          <w:sz w:val="22"/>
          <w:szCs w:val="22"/>
        </w:rPr>
        <w:t xml:space="preserve"> demás que se desprendan de la presente Ley y las disposiciones jurídicas aplicables, que faciliten el acceso a la información.</w:t>
      </w:r>
    </w:p>
    <w:p w14:paraId="37CD1E0D" w14:textId="77777777" w:rsidR="00A023B3" w:rsidRDefault="00A023B3"/>
    <w:p w14:paraId="5306B901"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Ley de Protección de Datos Personales en Posesión de Sujetos Obligados del Estado de México y Municipios</w:t>
      </w:r>
    </w:p>
    <w:p w14:paraId="43F444DD" w14:textId="77777777" w:rsidR="00A023B3" w:rsidRDefault="003A06AD">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br/>
      </w:r>
      <w:r>
        <w:rPr>
          <w:rFonts w:ascii="Palatino Linotype" w:eastAsia="Palatino Linotype" w:hAnsi="Palatino Linotype" w:cs="Palatino Linotype"/>
          <w:b/>
          <w:i/>
          <w:sz w:val="22"/>
          <w:szCs w:val="22"/>
        </w:rPr>
        <w:t>Artículo 94.</w:t>
      </w:r>
      <w:r>
        <w:rPr>
          <w:rFonts w:ascii="Palatino Linotype" w:eastAsia="Palatino Linotype" w:hAnsi="Palatino Linotype" w:cs="Palatino Linotype"/>
          <w:i/>
          <w:sz w:val="22"/>
          <w:szCs w:val="22"/>
        </w:rPr>
        <w:t xml:space="preserve"> Cada sujeto obligado contará con un Comité de Transparencia, el cual se integrará y funcionará conforme a lo dispuesto en la Ley General de Transparencia y Acceso a la Información Pública y la Ley de Transparencia. El Comité de Transparencia será la autoridad máxima en materia de protección de datos personales.</w:t>
      </w:r>
    </w:p>
    <w:p w14:paraId="0D02A289"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Para los efectos de la presente Ley y sin perjuicio de otras funciones que le sean conferidas en la normatividad que le resulte aplicable, el Comité de Transparencia tendrá las atribuciones siguientes: </w:t>
      </w:r>
    </w:p>
    <w:p w14:paraId="392229DA"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I. Coordinar, supervisar y realizar las acciones necesarias para garantizar el derecho a la protección de los datos personales en la organización del responsable, de conformidad con las disposiciones previstas en la presente Ley y en aquellas disposiciones que resulten aplicables en la materia.</w:t>
      </w:r>
    </w:p>
    <w:p w14:paraId="6EAC5FFE"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II. Instituir, en su caso, procedimientos internos para asegurar la mayor eficiencia en la gestión de las solicitudes para el ejercicio de los derechos ARCO. </w:t>
      </w:r>
    </w:p>
    <w:p w14:paraId="65EB7E45"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III. Confirmar, modificar o revocar las determinaciones en las que se declare la inexistencia de los datos personales, o se niegue por cualquier causa el ejercicio de alguno de los derechos ARCO.</w:t>
      </w:r>
    </w:p>
    <w:p w14:paraId="16580598"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IV. Establecer y supervisar la aplicación de criterios específicos que resulten necesarios para una mejor observancia de la presente Ley y en aquellas disposiciones que resulten aplicables en la materia. </w:t>
      </w:r>
    </w:p>
    <w:p w14:paraId="49DB5A9B"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V. Supervisar, en coordinación con las áreas o unidades administrativas competentes, el cumplimiento de las medidas, controles y acciones previstas en el documento de seguridad. </w:t>
      </w:r>
    </w:p>
    <w:p w14:paraId="7F2FC399"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VI. Dar seguimiento y cumplimiento a las resoluciones emitidas por el Instituto. </w:t>
      </w:r>
    </w:p>
    <w:p w14:paraId="666FB5DF"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VII. Establecer programas de capacitación y actualización para los servidores públicos en materia de protección de datos personales. </w:t>
      </w:r>
    </w:p>
    <w:p w14:paraId="66A11E6D"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lastRenderedPageBreak/>
        <w:t>VIII. Dar vista al órgano interno de control o instancia equivalente del responsable, en aquellos casos en que tenga conocimiento, en el ejercicio de sus atribuciones, de una presunta irregularidad respecto de determinado tratamiento de datos personales, incluyendo casos relacionados con la declaración de inexistencia que realicen los responsables. </w:t>
      </w:r>
    </w:p>
    <w:p w14:paraId="4E192373" w14:textId="77777777" w:rsidR="00A023B3" w:rsidRDefault="003A06AD">
      <w:pPr>
        <w:pBdr>
          <w:top w:val="nil"/>
          <w:left w:val="nil"/>
          <w:bottom w:val="nil"/>
          <w:right w:val="nil"/>
          <w:between w:val="nil"/>
        </w:pBdr>
        <w:ind w:left="567" w:right="616"/>
        <w:jc w:val="both"/>
      </w:pPr>
      <w:r>
        <w:rPr>
          <w:rFonts w:ascii="Palatino Linotype" w:eastAsia="Palatino Linotype" w:hAnsi="Palatino Linotype" w:cs="Palatino Linotype"/>
          <w:i/>
          <w:sz w:val="22"/>
          <w:szCs w:val="22"/>
        </w:rPr>
        <w:t>IX. Podrá proponer políticas públicas para la promoción de la cultura en la materia.</w:t>
      </w:r>
    </w:p>
    <w:p w14:paraId="3571C32D" w14:textId="77777777" w:rsidR="00A023B3" w:rsidRDefault="00A023B3">
      <w:pPr>
        <w:pBdr>
          <w:top w:val="nil"/>
          <w:left w:val="nil"/>
          <w:bottom w:val="nil"/>
          <w:right w:val="nil"/>
          <w:between w:val="nil"/>
        </w:pBdr>
        <w:ind w:left="567" w:right="616"/>
        <w:jc w:val="both"/>
      </w:pPr>
    </w:p>
    <w:p w14:paraId="68596B5D" w14:textId="77777777" w:rsidR="00A023B3" w:rsidRDefault="00A023B3">
      <w:pPr>
        <w:pBdr>
          <w:top w:val="nil"/>
          <w:left w:val="nil"/>
          <w:bottom w:val="nil"/>
          <w:right w:val="nil"/>
          <w:between w:val="nil"/>
        </w:pBdr>
        <w:ind w:right="49"/>
        <w:jc w:val="both"/>
      </w:pPr>
    </w:p>
    <w:p w14:paraId="4978BCB4"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No obstante, respecto del punto en análisis, de las constancias que obran en el SAIMEX se advierte que el servidor público habilitado competente, en aras de garantizar el derecho de acceso a la información de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informa que los Avisos de Privacidad </w:t>
      </w:r>
      <w:r>
        <w:rPr>
          <w:rFonts w:ascii="Palatino Linotype" w:eastAsia="Palatino Linotype" w:hAnsi="Palatino Linotype" w:cs="Palatino Linotype"/>
          <w:b/>
          <w:sz w:val="22"/>
          <w:szCs w:val="22"/>
          <w:u w:val="single"/>
        </w:rPr>
        <w:t>vigentes</w:t>
      </w:r>
      <w:r>
        <w:rPr>
          <w:rFonts w:ascii="Palatino Linotype" w:eastAsia="Palatino Linotype" w:hAnsi="Palatino Linotype" w:cs="Palatino Linotype"/>
          <w:sz w:val="22"/>
          <w:szCs w:val="22"/>
        </w:rPr>
        <w:t xml:space="preserve"> se encuentran disponibles en el siguiente </w:t>
      </w:r>
      <w:proofErr w:type="gramStart"/>
      <w:r>
        <w:rPr>
          <w:rFonts w:ascii="Palatino Linotype" w:eastAsia="Palatino Linotype" w:hAnsi="Palatino Linotype" w:cs="Palatino Linotype"/>
          <w:sz w:val="22"/>
          <w:szCs w:val="22"/>
        </w:rPr>
        <w:t>link</w:t>
      </w:r>
      <w:proofErr w:type="gramEnd"/>
      <w:r>
        <w:rPr>
          <w:rFonts w:ascii="Palatino Linotype" w:eastAsia="Palatino Linotype" w:hAnsi="Palatino Linotype" w:cs="Palatino Linotype"/>
          <w:sz w:val="22"/>
          <w:szCs w:val="22"/>
        </w:rPr>
        <w:t xml:space="preserve">: </w:t>
      </w:r>
    </w:p>
    <w:p w14:paraId="37EC3123" w14:textId="77777777" w:rsidR="00A023B3" w:rsidRDefault="00A023B3">
      <w:pPr>
        <w:spacing w:line="360" w:lineRule="auto"/>
        <w:ind w:right="49"/>
        <w:jc w:val="both"/>
        <w:rPr>
          <w:rFonts w:ascii="Palatino Linotype" w:eastAsia="Palatino Linotype" w:hAnsi="Palatino Linotype" w:cs="Palatino Linotype"/>
          <w:sz w:val="22"/>
          <w:szCs w:val="22"/>
        </w:rPr>
      </w:pPr>
    </w:p>
    <w:p w14:paraId="7B25ED31" w14:textId="77777777" w:rsidR="00A023B3" w:rsidRDefault="003A06AD">
      <w:pPr>
        <w:spacing w:line="360" w:lineRule="auto"/>
        <w:ind w:right="49"/>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45679D4C" wp14:editId="330A5463">
            <wp:extent cx="3791479" cy="190527"/>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791479" cy="190527"/>
                    </a:xfrm>
                    <a:prstGeom prst="rect">
                      <a:avLst/>
                    </a:prstGeom>
                    <a:ln/>
                  </pic:spPr>
                </pic:pic>
              </a:graphicData>
            </a:graphic>
          </wp:inline>
        </w:drawing>
      </w:r>
    </w:p>
    <w:p w14:paraId="79097D10" w14:textId="77777777" w:rsidR="00A023B3" w:rsidRDefault="00A023B3">
      <w:pPr>
        <w:spacing w:line="360" w:lineRule="auto"/>
        <w:ind w:right="49"/>
        <w:jc w:val="both"/>
        <w:rPr>
          <w:rFonts w:ascii="Palatino Linotype" w:eastAsia="Palatino Linotype" w:hAnsi="Palatino Linotype" w:cs="Palatino Linotype"/>
          <w:sz w:val="22"/>
          <w:szCs w:val="22"/>
        </w:rPr>
      </w:pPr>
    </w:p>
    <w:p w14:paraId="7C0FD036"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Liga que como puede advertirse se encuentra en formato cerrado, es decir, que no se puede copiar y pegar para tener acceso; sobre el tema, Trujillo, Humberto (2019), en el “Diccionario de Transparencia y Acceso a la Información Pública”, precisa que cuando un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05B39C22" w14:textId="77777777" w:rsidR="00A023B3" w:rsidRDefault="00A023B3">
      <w:pPr>
        <w:spacing w:line="360" w:lineRule="auto"/>
        <w:jc w:val="both"/>
        <w:rPr>
          <w:rFonts w:ascii="Palatino Linotype" w:eastAsia="Palatino Linotype" w:hAnsi="Palatino Linotype" w:cs="Palatino Linotype"/>
          <w:sz w:val="22"/>
          <w:szCs w:val="22"/>
        </w:rPr>
      </w:pPr>
    </w:p>
    <w:p w14:paraId="56798936"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0F91B3B0" w14:textId="77777777" w:rsidR="00A023B3" w:rsidRDefault="00A023B3">
      <w:pPr>
        <w:spacing w:line="360" w:lineRule="auto"/>
        <w:jc w:val="both"/>
        <w:rPr>
          <w:rFonts w:ascii="Palatino Linotype" w:eastAsia="Palatino Linotype" w:hAnsi="Palatino Linotype" w:cs="Palatino Linotype"/>
          <w:sz w:val="22"/>
          <w:szCs w:val="22"/>
        </w:rPr>
      </w:pPr>
    </w:p>
    <w:p w14:paraId="63A71CF5"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ese contexto, el artículo 3°, fracción VIII y XIII, de la Ley General de Transparencia y Acceso a la Información Pública, con relación, al diverso 3°, fracciones VIII y XVI de la Ley de Transparencia y Acceso a la Información Pública del Estado de México y Municipios, precisan lo siguiente:</w:t>
      </w:r>
    </w:p>
    <w:p w14:paraId="1D0EE1C9"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EF89C62" w14:textId="77777777" w:rsidR="00A023B3" w:rsidRDefault="003A06AD">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Dato abierto:</w:t>
      </w:r>
      <w:r>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2943692" w14:textId="77777777" w:rsidR="00A023B3" w:rsidRDefault="00A023B3">
      <w:pPr>
        <w:spacing w:line="360" w:lineRule="auto"/>
        <w:ind w:firstLine="60"/>
        <w:jc w:val="both"/>
        <w:rPr>
          <w:rFonts w:ascii="Palatino Linotype" w:eastAsia="Palatino Linotype" w:hAnsi="Palatino Linotype" w:cs="Palatino Linotype"/>
          <w:sz w:val="22"/>
          <w:szCs w:val="22"/>
        </w:rPr>
      </w:pPr>
    </w:p>
    <w:p w14:paraId="0AFE1FC9" w14:textId="77777777" w:rsidR="00A023B3" w:rsidRDefault="003A06AD">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Formato accesible: </w:t>
      </w:r>
      <w:r>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21623F5" w14:textId="77777777" w:rsidR="00A023B3" w:rsidRDefault="00A023B3">
      <w:pPr>
        <w:spacing w:line="360" w:lineRule="auto"/>
        <w:jc w:val="both"/>
        <w:rPr>
          <w:rFonts w:ascii="Palatino Linotype" w:eastAsia="Palatino Linotype" w:hAnsi="Palatino Linotype" w:cs="Palatino Linotype"/>
          <w:sz w:val="22"/>
          <w:szCs w:val="22"/>
        </w:rPr>
      </w:pPr>
    </w:p>
    <w:p w14:paraId="366E58D8"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425321C6" w14:textId="77777777" w:rsidR="00A023B3" w:rsidRDefault="00A023B3">
      <w:pPr>
        <w:spacing w:line="360" w:lineRule="auto"/>
        <w:jc w:val="both"/>
        <w:rPr>
          <w:rFonts w:ascii="Palatino Linotype" w:eastAsia="Palatino Linotype" w:hAnsi="Palatino Linotype" w:cs="Palatino Linotype"/>
          <w:sz w:val="22"/>
          <w:szCs w:val="22"/>
        </w:rPr>
      </w:pPr>
    </w:p>
    <w:p w14:paraId="0A437177"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w:t>
      </w:r>
      <w:r>
        <w:rPr>
          <w:rFonts w:ascii="Palatino Linotype" w:eastAsia="Palatino Linotype" w:hAnsi="Palatino Linotype" w:cs="Palatino Linotype"/>
          <w:sz w:val="22"/>
          <w:szCs w:val="22"/>
        </w:rPr>
        <w:lastRenderedPageBreak/>
        <w:t>hagan saber de manera precisa a los solicitantes, la fuente, el lugar y la forma en que se puede obtener la información.</w:t>
      </w:r>
    </w:p>
    <w:p w14:paraId="58648F1D" w14:textId="77777777" w:rsidR="00A023B3" w:rsidRDefault="00A023B3">
      <w:pPr>
        <w:spacing w:line="360" w:lineRule="auto"/>
        <w:jc w:val="both"/>
        <w:rPr>
          <w:rFonts w:ascii="Palatino Linotype" w:eastAsia="Palatino Linotype" w:hAnsi="Palatino Linotype" w:cs="Palatino Linotype"/>
          <w:sz w:val="22"/>
          <w:szCs w:val="22"/>
        </w:rPr>
      </w:pPr>
    </w:p>
    <w:p w14:paraId="24D31DCF"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logra observar,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si bien señaló una liga electrónica para la consulta de los avisos de privacidad vigentes, omitió proporcionarla en formato abierto, lo cual implica la dificultad de acceder a la misma, pues se traduce al hecho de que el particular tendría que colocar cada dígito alfanumérico, y cuya equivocación implicaría no acceder a la información contenida en las mismas; motivo por el que, este Organismo Garante considera oportuno ordenar, la entrega de los documentos que den cuenta de la actualización </w:t>
      </w:r>
      <w:r>
        <w:rPr>
          <w:rFonts w:ascii="Palatino Linotype" w:eastAsia="Palatino Linotype" w:hAnsi="Palatino Linotype" w:cs="Palatino Linotype"/>
          <w:sz w:val="22"/>
          <w:szCs w:val="22"/>
        </w:rPr>
        <w:t xml:space="preserve">de los avisos de privacidad, del primero de enero de dos mil veinticuatro al dieciocho de marzo de dos mil veinticinco. </w:t>
      </w:r>
    </w:p>
    <w:p w14:paraId="522B529C" w14:textId="77777777" w:rsidR="00A023B3" w:rsidRDefault="00A023B3">
      <w:pPr>
        <w:spacing w:line="360" w:lineRule="auto"/>
        <w:jc w:val="both"/>
        <w:rPr>
          <w:rFonts w:ascii="Palatino Linotype" w:eastAsia="Palatino Linotype" w:hAnsi="Palatino Linotype" w:cs="Palatino Linotype"/>
          <w:sz w:val="22"/>
          <w:szCs w:val="22"/>
        </w:rPr>
      </w:pPr>
    </w:p>
    <w:p w14:paraId="630CFE4A"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el caso de que la información que se ordena </w:t>
      </w:r>
      <w:proofErr w:type="gramStart"/>
      <w:r>
        <w:rPr>
          <w:rFonts w:ascii="Palatino Linotype" w:eastAsia="Palatino Linotype" w:hAnsi="Palatino Linotype" w:cs="Palatino Linotype"/>
          <w:sz w:val="22"/>
          <w:szCs w:val="22"/>
        </w:rPr>
        <w:t>entregar,</w:t>
      </w:r>
      <w:proofErr w:type="gramEnd"/>
      <w:r>
        <w:rPr>
          <w:rFonts w:ascii="Palatino Linotype" w:eastAsia="Palatino Linotype" w:hAnsi="Palatino Linotype" w:cs="Palatino Linotype"/>
          <w:sz w:val="22"/>
          <w:szCs w:val="22"/>
        </w:rPr>
        <w:t xml:space="preserve"> no obre en los archivos del Sujeto Obligado, este deberá hacerlo del conocimiento del Particular en términos del artículo 19, párrafo segundo, de la Ley de Transparencia y Acceso a la Información Pública del Estado de México y Municipios, para tenerse por colmado dicho requerimiento.</w:t>
      </w:r>
    </w:p>
    <w:p w14:paraId="04845200" w14:textId="77777777" w:rsidR="00A023B3" w:rsidRDefault="00A023B3">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u w:val="single"/>
        </w:rPr>
      </w:pPr>
    </w:p>
    <w:p w14:paraId="634A79CD" w14:textId="77777777" w:rsidR="00A023B3" w:rsidRDefault="003A06AD">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u w:val="single"/>
        </w:rPr>
        <w:t>Documentos de seguridad:</w:t>
      </w:r>
    </w:p>
    <w:p w14:paraId="3B2FA954" w14:textId="77777777" w:rsidR="00A023B3" w:rsidRDefault="00A023B3">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u w:val="single"/>
        </w:rPr>
      </w:pPr>
    </w:p>
    <w:p w14:paraId="2E7FDF06"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atendiendo la naturaleza de la información requerida, es de indicar que la Ley de Protección de Datos Personales en Posesión de Sujetos Obligados del Estado de México y Municipios, señala en sus artículos 4, fracción XVIII, 43, 44, 45, 46, 47, 48, 49 y 50, sobre el tema en comento, lo siguiente:</w:t>
      </w:r>
    </w:p>
    <w:p w14:paraId="7A9BA50B" w14:textId="77777777" w:rsidR="00A023B3" w:rsidRDefault="003A06AD">
      <w:pPr>
        <w:tabs>
          <w:tab w:val="left" w:pos="162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p w14:paraId="40179C38"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 Para los efectos de esta Ley se entenderá por</w:t>
      </w:r>
    </w:p>
    <w:p w14:paraId="64D0E8AF"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7B6155" w14:textId="77777777" w:rsidR="00A023B3" w:rsidRDefault="003A06AD">
      <w:pPr>
        <w:spacing w:line="259"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lastRenderedPageBreak/>
        <w:t>XVIII. Documento de seguridad: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14:paraId="4151D8F7"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7BFD4276"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Naturaleza de las medidas de seguridad y registro del nivel de seguridad </w:t>
      </w:r>
    </w:p>
    <w:p w14:paraId="3DEB94B1"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43</w:t>
      </w:r>
      <w:r>
        <w:rPr>
          <w:rFonts w:ascii="Palatino Linotype" w:eastAsia="Palatino Linotype" w:hAnsi="Palatino Linotype" w:cs="Palatino Linotype"/>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11B40C77"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Por la naturaleza de la información, las medidas de seguridad que se adopten serán consideradas confidenciales y únicamente se comunicará al Instituto, para su registro, el nivel de seguridad aplicable. </w:t>
      </w:r>
    </w:p>
    <w:p w14:paraId="434EF39E"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46E4CBB1"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5267103A"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56E6737C"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responsable o el </w:t>
      </w:r>
      <w:proofErr w:type="gramStart"/>
      <w:r>
        <w:rPr>
          <w:rFonts w:ascii="Palatino Linotype" w:eastAsia="Palatino Linotype" w:hAnsi="Palatino Linotype" w:cs="Palatino Linotype"/>
          <w:i/>
          <w:sz w:val="22"/>
          <w:szCs w:val="22"/>
        </w:rPr>
        <w:t>encargado,</w:t>
      </w:r>
      <w:proofErr w:type="gramEnd"/>
      <w:r>
        <w:rPr>
          <w:rFonts w:ascii="Palatino Linotype" w:eastAsia="Palatino Linotype" w:hAnsi="Palatino Linotype" w:cs="Palatino Linotype"/>
          <w:i/>
          <w:sz w:val="22"/>
          <w:szCs w:val="22"/>
        </w:rPr>
        <w:t xml:space="preserve"> designarán a una o un administrador, quien tendrá bajo su responsabilidad directa la base y sistema de datos personales. </w:t>
      </w:r>
    </w:p>
    <w:p w14:paraId="61E943E5"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Tipos y Niveles de Seguridad </w:t>
      </w:r>
    </w:p>
    <w:p w14:paraId="4CDE9EF4"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44</w:t>
      </w:r>
      <w:r>
        <w:rPr>
          <w:rFonts w:ascii="Palatino Linotype" w:eastAsia="Palatino Linotype" w:hAnsi="Palatino Linotype" w:cs="Palatino Linotype"/>
          <w:i/>
          <w:sz w:val="22"/>
          <w:szCs w:val="22"/>
        </w:rPr>
        <w:t xml:space="preserve">. El responsable adoptará las medidas de seguridad, conforme a lo siguiente: </w:t>
      </w:r>
    </w:p>
    <w:p w14:paraId="1384CCA9"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Tipos de seguridad: </w:t>
      </w:r>
    </w:p>
    <w:p w14:paraId="68AC36F3"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Física: a la medida orientada a la protección de instalaciones, equipos, soportes, sistemas o bases de datos para la prevención de riesgos por caso fortuito o causas de fuerza mayor. </w:t>
      </w:r>
    </w:p>
    <w:p w14:paraId="31C4F407"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Lógica: a las medidas de seguridad administrativas y de protección que permiten la identificación y autenticación de las usuarias y los usuarios autorizados para el tratamiento de los datos personales de acuerdo con su función. </w:t>
      </w:r>
    </w:p>
    <w:p w14:paraId="6BD26BA9"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14:paraId="0279184D"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De cifrado: a la implementación de algoritmos, claves, contraseñas, así como dispositivos concretos de protección que garanticen la seguridad de la información. </w:t>
      </w:r>
    </w:p>
    <w:p w14:paraId="7AA5F6A5"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14:paraId="4BF40C62"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Niveles de seguridad: </w:t>
      </w:r>
    </w:p>
    <w:p w14:paraId="6C8BE07E"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Básico: a las medidas generales de seguridad cuya aplicación es obligatoria para todos los sistemas y bases de datos personales. Dichas medidas corresponden a los siguientes aspectos: </w:t>
      </w:r>
    </w:p>
    <w:p w14:paraId="4D303A42"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 Documento de seguridad.</w:t>
      </w:r>
    </w:p>
    <w:p w14:paraId="4E37D2D0"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b) Funciones y obligaciones del personal que intervenga en el tratamiento de las bases o sistemas de datos personales. </w:t>
      </w:r>
    </w:p>
    <w:p w14:paraId="4E9F516D"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Registro de incidencias. </w:t>
      </w:r>
    </w:p>
    <w:p w14:paraId="51039099"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Identificación y autenticación. </w:t>
      </w:r>
    </w:p>
    <w:p w14:paraId="10CF1ACC"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Control de acceso. </w:t>
      </w:r>
    </w:p>
    <w:p w14:paraId="7443B615"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f) Gestión de soportes. </w:t>
      </w:r>
    </w:p>
    <w:p w14:paraId="64AD49C0"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g) Copias de respaldo y recuperación. </w:t>
      </w:r>
    </w:p>
    <w:p w14:paraId="66F329FB"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Medio: a la adopción de medidas de seguridad cuya aplicación corresponde a bases o sistemas de datos relativos a la comisión de infracciones administrativas o penales, hacienda pública, servicios financieros, datos patrimoniales, así como a los que contengan datos de carácter personal suficientes que permitan obtener una evaluación de la personalidad del individuo. </w:t>
      </w:r>
    </w:p>
    <w:p w14:paraId="199E7D38"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Este nivel de seguridad, de manera adicional a las medidas calificadas como básicas, considera los aspectos siguientes: </w:t>
      </w:r>
    </w:p>
    <w:p w14:paraId="70368A8F"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Responsable de seguridad. </w:t>
      </w:r>
    </w:p>
    <w:p w14:paraId="776E7925"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Auditoría. </w:t>
      </w:r>
    </w:p>
    <w:p w14:paraId="642A818A"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Control de acceso físico. </w:t>
      </w:r>
    </w:p>
    <w:p w14:paraId="4DB88A23"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d) Pruebas con datos reales. </w:t>
      </w:r>
    </w:p>
    <w:p w14:paraId="3B9835FC"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14:paraId="595BD325"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estos casos, además de incorporar las medidas de nivel básico y medio, deberán completar las que se detallan a continuación: </w:t>
      </w:r>
    </w:p>
    <w:p w14:paraId="32C02109"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Distribución de soportes. </w:t>
      </w:r>
    </w:p>
    <w:p w14:paraId="0FC03402"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Registro de acceso. </w:t>
      </w:r>
    </w:p>
    <w:p w14:paraId="5B97ED1E"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 Telecomunicaciones. </w:t>
      </w:r>
    </w:p>
    <w:p w14:paraId="6E70812C"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diferentes niveles de seguridad serán establecidos atendiendo a las características propias de la información. </w:t>
      </w:r>
      <w:proofErr w:type="gramStart"/>
      <w:r>
        <w:rPr>
          <w:rFonts w:ascii="Palatino Linotype" w:eastAsia="Palatino Linotype" w:hAnsi="Palatino Linotype" w:cs="Palatino Linotype"/>
          <w:i/>
          <w:sz w:val="22"/>
          <w:szCs w:val="22"/>
        </w:rPr>
        <w:t>Elementos a considerar</w:t>
      </w:r>
      <w:proofErr w:type="gramEnd"/>
      <w:r>
        <w:rPr>
          <w:rFonts w:ascii="Palatino Linotype" w:eastAsia="Palatino Linotype" w:hAnsi="Palatino Linotype" w:cs="Palatino Linotype"/>
          <w:i/>
          <w:sz w:val="22"/>
          <w:szCs w:val="22"/>
        </w:rPr>
        <w:t xml:space="preserve"> para la adopción de medidas de seguridad y su naturaleza </w:t>
      </w:r>
    </w:p>
    <w:p w14:paraId="6D1856B0"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45</w:t>
      </w:r>
      <w:r>
        <w:rPr>
          <w:rFonts w:ascii="Palatino Linotype" w:eastAsia="Palatino Linotype" w:hAnsi="Palatino Linotype" w:cs="Palatino Linotype"/>
          <w:i/>
          <w:sz w:val="22"/>
          <w:szCs w:val="22"/>
        </w:rPr>
        <w:t xml:space="preserve">. Las medidas de seguridad adoptadas por el responsable considerarán: I. El riesgo inherente a los datos personales tratados. </w:t>
      </w:r>
    </w:p>
    <w:p w14:paraId="59C298BE"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sensibilidad de los datos personales tratados. </w:t>
      </w:r>
    </w:p>
    <w:p w14:paraId="196AA624"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 desarrollo tecnológico. </w:t>
      </w:r>
    </w:p>
    <w:p w14:paraId="2B7462E2"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Las posibles consecuencias de una vulneración para las y los titulares. </w:t>
      </w:r>
    </w:p>
    <w:p w14:paraId="2B024D99"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Las transferencias de datos personales que se realicen. </w:t>
      </w:r>
    </w:p>
    <w:p w14:paraId="1267A3BA"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El número de titulares. </w:t>
      </w:r>
    </w:p>
    <w:p w14:paraId="2D00D271"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Las violaciones a la seguridad previas ocurridas en los sistemas de tratamiento. </w:t>
      </w:r>
    </w:p>
    <w:p w14:paraId="1395F18D"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El riesgo por el valor potencial cuantitativo o cualitativo que pudieran tener los datos personales tratados para una tercera persona no autorizada para su posesión. Actividades interrelacionadas para establecer y mantener las medidas de seguridad.</w:t>
      </w:r>
    </w:p>
    <w:p w14:paraId="7A60600C"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46</w:t>
      </w:r>
      <w:r>
        <w:rPr>
          <w:rFonts w:ascii="Palatino Linotype" w:eastAsia="Palatino Linotype" w:hAnsi="Palatino Linotype" w:cs="Palatino Linotype"/>
          <w:i/>
          <w:sz w:val="22"/>
          <w:szCs w:val="22"/>
        </w:rPr>
        <w:t xml:space="preserve">. Para establecer y mantener las medidas de seguridad para la protección de los datos personales, el responsable realizará, al menos, las actividades interrelacionadas siguientes: </w:t>
      </w:r>
    </w:p>
    <w:p w14:paraId="5E51A48B"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14:paraId="7D224FD2"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Definir las funciones y obligaciones del personal involucrado en el tratamiento de datos personales. </w:t>
      </w:r>
    </w:p>
    <w:p w14:paraId="285D17A3"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Elaborar un inventario de datos personales y de las bases y o sistemas de tratamiento. </w:t>
      </w:r>
    </w:p>
    <w:p w14:paraId="166094DF"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123BDB86"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Realizar un análisis de brecha, comparando las medidas de seguridad existentes contra las faltantes en la organización del responsable. </w:t>
      </w:r>
    </w:p>
    <w:p w14:paraId="1D61531D"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Elaborar un plan de trabajo para la implementación de las medidas de seguridad faltantes, así como las medidas para el cumplimiento cotidiano de las políticas de gestión y tratamiento de los datos personales. </w:t>
      </w:r>
    </w:p>
    <w:p w14:paraId="39BE3230"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Monitorear y revisar de manera periódica las medidas de seguridad implementadas, así como las amenazas y vulnerabilidades a las que están sujetos los datos personales. </w:t>
      </w:r>
    </w:p>
    <w:p w14:paraId="50982D2F"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Diseñar y aplicar diferentes niveles de capacitación del personal bajo su mando, dependiendo de sus roles y responsabilidades respecto del tratamiento de los datos personales. </w:t>
      </w:r>
    </w:p>
    <w:p w14:paraId="790A446E"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Exigibilidad de Documentos y Registros derivados de un Sistema de Gestión de la Protección de Datos.</w:t>
      </w:r>
    </w:p>
    <w:p w14:paraId="19F0206E"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47.</w:t>
      </w:r>
      <w:r>
        <w:rPr>
          <w:rFonts w:ascii="Palatino Linotype" w:eastAsia="Palatino Linotype" w:hAnsi="Palatino Linotype" w:cs="Palatino Linotype"/>
          <w:i/>
          <w:sz w:val="22"/>
          <w:szCs w:val="22"/>
        </w:rPr>
        <w:t xml:space="preserve"> Las acciones relacionadas con las medidas de seguridad para el tratamiento de los datos personales serán documentadas y contenidas en un sistema de gestión. </w:t>
      </w:r>
    </w:p>
    <w:p w14:paraId="2C18E82A"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14:paraId="528F62AE"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Obligatoriedad del Documento de Seguridad </w:t>
      </w:r>
    </w:p>
    <w:p w14:paraId="61C99BBA"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48. Los sujetos obligados elaborarán y aprobarán un documento que contenga las medidas de seguridad aplicables a las bases y sistemas de datos personales, tomando en cuenta los estándares internacionales de seguridad, la presente </w:t>
      </w:r>
      <w:proofErr w:type="gramStart"/>
      <w:r>
        <w:rPr>
          <w:rFonts w:ascii="Palatino Linotype" w:eastAsia="Palatino Linotype" w:hAnsi="Palatino Linotype" w:cs="Palatino Linotype"/>
          <w:b/>
          <w:i/>
          <w:sz w:val="22"/>
          <w:szCs w:val="22"/>
        </w:rPr>
        <w:t>Ley</w:t>
      </w:r>
      <w:proofErr w:type="gramEnd"/>
      <w:r>
        <w:rPr>
          <w:rFonts w:ascii="Palatino Linotype" w:eastAsia="Palatino Linotype" w:hAnsi="Palatino Linotype" w:cs="Palatino Linotype"/>
          <w:b/>
          <w:i/>
          <w:sz w:val="22"/>
          <w:szCs w:val="22"/>
        </w:rPr>
        <w:t xml:space="preserve"> así como los lineamientos que se expidan. </w:t>
      </w:r>
    </w:p>
    <w:p w14:paraId="0E682BB4"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14:paraId="4D6158E7"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Contenido del Documento de Seguridad</w:t>
      </w:r>
      <w:r>
        <w:rPr>
          <w:rFonts w:ascii="Palatino Linotype" w:eastAsia="Palatino Linotype" w:hAnsi="Palatino Linotype" w:cs="Palatino Linotype"/>
          <w:i/>
          <w:sz w:val="22"/>
          <w:szCs w:val="22"/>
        </w:rPr>
        <w:t xml:space="preserve"> </w:t>
      </w:r>
    </w:p>
    <w:p w14:paraId="2A9C7ED2"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 El documento de seguridad deberá contener como mínimo lo siguiente:</w:t>
      </w:r>
      <w:r>
        <w:rPr>
          <w:rFonts w:ascii="Palatino Linotype" w:eastAsia="Palatino Linotype" w:hAnsi="Palatino Linotype" w:cs="Palatino Linotype"/>
          <w:i/>
          <w:sz w:val="22"/>
          <w:szCs w:val="22"/>
        </w:rPr>
        <w:t xml:space="preserve"> </w:t>
      </w:r>
    </w:p>
    <w:p w14:paraId="50B9FD27"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Respecto de los sistemas de datos personales: </w:t>
      </w:r>
    </w:p>
    <w:p w14:paraId="0A31AA39"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El nombre.</w:t>
      </w:r>
    </w:p>
    <w:p w14:paraId="2E5BF326"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b) El nombre, cargo y adscripción del administrador de cada sistema y base de datos.</w:t>
      </w:r>
    </w:p>
    <w:p w14:paraId="188BB340"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c) Las funciones y obligaciones del responsable, encargado o encargados y todas las personas que traten datos personales. </w:t>
      </w:r>
    </w:p>
    <w:p w14:paraId="42686BCD"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 El folio del registro del sistema y base de datos. </w:t>
      </w:r>
    </w:p>
    <w:p w14:paraId="3AFC713D"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 El inventario o la especificación detallada del tipo de datos personales contenidos</w:t>
      </w:r>
      <w:r>
        <w:rPr>
          <w:rFonts w:ascii="Palatino Linotype" w:eastAsia="Palatino Linotype" w:hAnsi="Palatino Linotype" w:cs="Palatino Linotype"/>
          <w:i/>
          <w:sz w:val="22"/>
          <w:szCs w:val="22"/>
        </w:rPr>
        <w:t>.</w:t>
      </w:r>
    </w:p>
    <w:p w14:paraId="0190FBDE"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 La estructura y descripción de los sistemas y bases de datos personales, lo cual consiste en precisar y describir el tipo de soporte, así como las características del lugar donde se resguardan</w:t>
      </w:r>
      <w:r>
        <w:rPr>
          <w:rFonts w:ascii="Palatino Linotype" w:eastAsia="Palatino Linotype" w:hAnsi="Palatino Linotype" w:cs="Palatino Linotype"/>
          <w:i/>
          <w:sz w:val="22"/>
          <w:szCs w:val="22"/>
        </w:rPr>
        <w:t xml:space="preserve">. </w:t>
      </w:r>
    </w:p>
    <w:p w14:paraId="321B2ACC"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Respecto de las medidas de seguridad implementadas deberá incluir lo siguiente: </w:t>
      </w:r>
    </w:p>
    <w:p w14:paraId="5745A1F6"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 </w:t>
      </w:r>
      <w:r>
        <w:rPr>
          <w:rFonts w:ascii="Palatino Linotype" w:eastAsia="Palatino Linotype" w:hAnsi="Palatino Linotype" w:cs="Palatino Linotype"/>
          <w:b/>
          <w:i/>
          <w:sz w:val="22"/>
          <w:szCs w:val="22"/>
        </w:rPr>
        <w:t xml:space="preserve">Transferencia y remisiones. </w:t>
      </w:r>
    </w:p>
    <w:p w14:paraId="25633525"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b) Resguardo de soportes físicos y electrónicos. </w:t>
      </w:r>
    </w:p>
    <w:p w14:paraId="69FA9545"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 Bitácoras para accesos, operación cotidiana y violaciones a la seguridad de los datos personales. </w:t>
      </w:r>
    </w:p>
    <w:p w14:paraId="4D3D672F"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 El análisis de riesgos. </w:t>
      </w:r>
    </w:p>
    <w:p w14:paraId="47AC5E39"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 El análisis de brecha. </w:t>
      </w:r>
    </w:p>
    <w:p w14:paraId="3AA79CFB"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f) Gestión de incidentes.</w:t>
      </w:r>
    </w:p>
    <w:p w14:paraId="4B3E0EB7"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g) Acceso a las instalaciones.</w:t>
      </w:r>
    </w:p>
    <w:p w14:paraId="26C771E7"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h) Identificación y autenticación. </w:t>
      </w:r>
    </w:p>
    <w:p w14:paraId="4C696237"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Procedimientos de respaldo y recuperación de datos</w:t>
      </w:r>
      <w:r>
        <w:rPr>
          <w:rFonts w:ascii="Palatino Linotype" w:eastAsia="Palatino Linotype" w:hAnsi="Palatino Linotype" w:cs="Palatino Linotype"/>
          <w:i/>
          <w:sz w:val="22"/>
          <w:szCs w:val="22"/>
        </w:rPr>
        <w:t xml:space="preserve">. </w:t>
      </w:r>
    </w:p>
    <w:p w14:paraId="01E9B3C6"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j) Plan de contingencia. </w:t>
      </w:r>
    </w:p>
    <w:p w14:paraId="7DA25398"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k) Auditorías. </w:t>
      </w:r>
    </w:p>
    <w:p w14:paraId="576DF5EA"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l) Supresión y borrado seguro de datos. </w:t>
      </w:r>
    </w:p>
    <w:p w14:paraId="308000FA"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m) El plan de trabajo</w:t>
      </w:r>
      <w:r>
        <w:rPr>
          <w:rFonts w:ascii="Palatino Linotype" w:eastAsia="Palatino Linotype" w:hAnsi="Palatino Linotype" w:cs="Palatino Linotype"/>
          <w:i/>
          <w:sz w:val="22"/>
          <w:szCs w:val="22"/>
        </w:rPr>
        <w:t xml:space="preserve">. </w:t>
      </w:r>
    </w:p>
    <w:p w14:paraId="39B25109"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 Los mecanismos de monitoreo y revisión de las medidas de seguridad</w:t>
      </w:r>
      <w:r>
        <w:rPr>
          <w:rFonts w:ascii="Palatino Linotype" w:eastAsia="Palatino Linotype" w:hAnsi="Palatino Linotype" w:cs="Palatino Linotype"/>
          <w:i/>
          <w:sz w:val="22"/>
          <w:szCs w:val="22"/>
        </w:rPr>
        <w:t xml:space="preserve">. </w:t>
      </w:r>
    </w:p>
    <w:p w14:paraId="08DB946C"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o) El programa general de capacitación. Revisión y actualización del documento de seguridad.</w:t>
      </w:r>
    </w:p>
    <w:p w14:paraId="6AD9B804" w14:textId="77777777" w:rsidR="00A023B3" w:rsidRDefault="00A023B3">
      <w:pPr>
        <w:spacing w:line="259" w:lineRule="auto"/>
        <w:ind w:left="851" w:right="616"/>
        <w:jc w:val="both"/>
        <w:rPr>
          <w:rFonts w:ascii="Palatino Linotype" w:eastAsia="Palatino Linotype" w:hAnsi="Palatino Linotype" w:cs="Palatino Linotype"/>
          <w:i/>
          <w:sz w:val="22"/>
          <w:szCs w:val="22"/>
        </w:rPr>
      </w:pPr>
    </w:p>
    <w:p w14:paraId="3D7567EA"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50.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El responsable revisará el documento de seguridad de manera periódica y </w:t>
      </w:r>
      <w:r>
        <w:rPr>
          <w:rFonts w:ascii="Palatino Linotype" w:eastAsia="Palatino Linotype" w:hAnsi="Palatino Linotype" w:cs="Palatino Linotype"/>
          <w:b/>
          <w:i/>
          <w:sz w:val="22"/>
          <w:szCs w:val="22"/>
          <w:u w:val="single"/>
        </w:rPr>
        <w:t>actualizarlo cuando ocurran los eventos siguientes</w:t>
      </w:r>
      <w:r>
        <w:rPr>
          <w:rFonts w:ascii="Palatino Linotype" w:eastAsia="Palatino Linotype" w:hAnsi="Palatino Linotype" w:cs="Palatino Linotype"/>
          <w:i/>
          <w:sz w:val="22"/>
          <w:szCs w:val="22"/>
        </w:rPr>
        <w:t xml:space="preserve">: </w:t>
      </w:r>
    </w:p>
    <w:p w14:paraId="5C205C97" w14:textId="77777777" w:rsidR="00A023B3" w:rsidRDefault="003A06AD">
      <w:pPr>
        <w:spacing w:line="259"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lastRenderedPageBreak/>
        <w:t>I</w:t>
      </w:r>
      <w:r>
        <w:rPr>
          <w:rFonts w:ascii="Palatino Linotype" w:eastAsia="Palatino Linotype" w:hAnsi="Palatino Linotype" w:cs="Palatino Linotype"/>
          <w:b/>
          <w:i/>
          <w:sz w:val="22"/>
          <w:szCs w:val="22"/>
          <w:u w:val="single"/>
        </w:rPr>
        <w:t xml:space="preserve">. Se produzcan modificaciones sustanciales al tratamiento de datos personales que deriven en un cambio en el nivel de riesgo. </w:t>
      </w:r>
    </w:p>
    <w:p w14:paraId="608CEBDD"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Como resultado de un proceso de mejora continua, derivado del monitoreo y revisión del sistema de gestión. </w:t>
      </w:r>
    </w:p>
    <w:p w14:paraId="1941636A" w14:textId="77777777" w:rsidR="00A023B3" w:rsidRDefault="003A06AD">
      <w:pPr>
        <w:spacing w:line="259"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Como resultado de un proceso de mejora para mitigar el impacto de una vulneración a la seguridad ocurrida.</w:t>
      </w:r>
    </w:p>
    <w:p w14:paraId="7C8FA316" w14:textId="77777777" w:rsidR="00A023B3" w:rsidRDefault="003A06AD">
      <w:pPr>
        <w:spacing w:line="259"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IV. Implementación de acciones correctivas y preventivas ante una violación de la seguridad de los datos personales</w:t>
      </w:r>
      <w:r>
        <w:rPr>
          <w:rFonts w:ascii="Palatino Linotype" w:eastAsia="Palatino Linotype" w:hAnsi="Palatino Linotype" w:cs="Palatino Linotype"/>
          <w:i/>
          <w:sz w:val="22"/>
          <w:szCs w:val="22"/>
        </w:rPr>
        <w:t>.”</w:t>
      </w:r>
    </w:p>
    <w:p w14:paraId="2D706B12" w14:textId="77777777" w:rsidR="00A023B3" w:rsidRDefault="003A06AD">
      <w:pPr>
        <w:spacing w:line="259" w:lineRule="auto"/>
        <w:ind w:left="851" w:right="899"/>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4CC8508E" w14:textId="77777777" w:rsidR="00A023B3" w:rsidRDefault="00A023B3">
      <w:pPr>
        <w:tabs>
          <w:tab w:val="left" w:pos="709"/>
        </w:tabs>
        <w:spacing w:line="360" w:lineRule="auto"/>
        <w:jc w:val="both"/>
        <w:rPr>
          <w:rFonts w:ascii="Palatino Linotype" w:eastAsia="Palatino Linotype" w:hAnsi="Palatino Linotype" w:cs="Palatino Linotype"/>
          <w:sz w:val="22"/>
          <w:szCs w:val="22"/>
        </w:rPr>
      </w:pPr>
    </w:p>
    <w:p w14:paraId="3BC72836" w14:textId="77777777" w:rsidR="00A023B3" w:rsidRDefault="003A06AD">
      <w:pPr>
        <w:tabs>
          <w:tab w:val="left" w:pos="709"/>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Sujetos Obligados en el cumplimiento de sus obligaciones. </w:t>
      </w:r>
    </w:p>
    <w:p w14:paraId="625E642D" w14:textId="77777777" w:rsidR="00A023B3" w:rsidRDefault="00A023B3">
      <w:pPr>
        <w:tabs>
          <w:tab w:val="left" w:pos="709"/>
        </w:tabs>
        <w:spacing w:line="360" w:lineRule="auto"/>
        <w:jc w:val="both"/>
        <w:rPr>
          <w:rFonts w:ascii="Palatino Linotype" w:eastAsia="Palatino Linotype" w:hAnsi="Palatino Linotype" w:cs="Palatino Linotype"/>
          <w:sz w:val="22"/>
          <w:szCs w:val="22"/>
        </w:rPr>
      </w:pPr>
    </w:p>
    <w:p w14:paraId="5A35F3E7"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conforme el artículo 48 de la Ley de Protección de Datos Personales Local, </w:t>
      </w:r>
      <w:r>
        <w:rPr>
          <w:rFonts w:ascii="Palatino Linotype" w:eastAsia="Palatino Linotype" w:hAnsi="Palatino Linotype" w:cs="Palatino Linotype"/>
          <w:b/>
          <w:sz w:val="22"/>
          <w:szCs w:val="22"/>
          <w:u w:val="single"/>
        </w:rPr>
        <w:t>el documento de seguridad es de observancia obligatoria</w:t>
      </w:r>
      <w:r>
        <w:rPr>
          <w:rFonts w:ascii="Palatino Linotype" w:eastAsia="Palatino Linotype" w:hAnsi="Palatino Linotype" w:cs="Palatino Linotype"/>
          <w:sz w:val="22"/>
          <w:szCs w:val="22"/>
        </w:rPr>
        <w:t xml:space="preserve"> para los responsables, encargados y demás personas que realizan algún tipo de tratamiento a los datos personales, </w:t>
      </w:r>
      <w:r>
        <w:rPr>
          <w:rFonts w:ascii="Palatino Linotype" w:eastAsia="Palatino Linotype" w:hAnsi="Palatino Linotype" w:cs="Palatino Linotype"/>
          <w:b/>
          <w:sz w:val="22"/>
          <w:szCs w:val="22"/>
        </w:rPr>
        <w:t xml:space="preserve">y a elección del sujeto obligado, éste podrá ser único e incluir todos los sistemas y bases de datos personales que posea, </w:t>
      </w:r>
      <w:r>
        <w:rPr>
          <w:rFonts w:ascii="Palatino Linotype" w:eastAsia="Palatino Linotype" w:hAnsi="Palatino Linotype" w:cs="Palatino Linotype"/>
          <w:sz w:val="22"/>
          <w:szCs w:val="22"/>
        </w:rPr>
        <w:t>por unidad administrativa en que se incluyan los sistemas y bases de datos personales en custodia, individualizado para cada sistema, o mixto.</w:t>
      </w:r>
    </w:p>
    <w:p w14:paraId="62DAD1C9" w14:textId="77777777" w:rsidR="00A023B3" w:rsidRDefault="00A023B3">
      <w:pPr>
        <w:spacing w:line="360" w:lineRule="auto"/>
        <w:ind w:right="49"/>
        <w:jc w:val="both"/>
        <w:rPr>
          <w:rFonts w:ascii="Palatino Linotype" w:eastAsia="Palatino Linotype" w:hAnsi="Palatino Linotype" w:cs="Palatino Linotype"/>
          <w:sz w:val="22"/>
          <w:szCs w:val="22"/>
        </w:rPr>
      </w:pPr>
    </w:p>
    <w:p w14:paraId="7FAF094C" w14:textId="77777777" w:rsidR="00A023B3" w:rsidRDefault="003A06A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ahí que los Sujetos Obligados pueden tener un documento de seguridad único en el que se incluyan todos los sistemas y bases de datos que posean por unidad administrativa.</w:t>
      </w:r>
    </w:p>
    <w:p w14:paraId="79049D6B" w14:textId="77777777" w:rsidR="00A023B3" w:rsidRDefault="00A023B3">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411818F8"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otra parte, la Ley de Protección de Datos Personales, referida, señala como obligatoriedad por parte de los Sujetos Obligados el de </w:t>
      </w:r>
      <w:r>
        <w:rPr>
          <w:rFonts w:ascii="Palatino Linotype" w:eastAsia="Palatino Linotype" w:hAnsi="Palatino Linotype" w:cs="Palatino Linotype"/>
          <w:b/>
          <w:sz w:val="22"/>
          <w:szCs w:val="22"/>
          <w:u w:val="single"/>
        </w:rPr>
        <w:t xml:space="preserve">emitir y aprobar su documento de </w:t>
      </w:r>
      <w:r>
        <w:rPr>
          <w:rFonts w:ascii="Palatino Linotype" w:eastAsia="Palatino Linotype" w:hAnsi="Palatino Linotype" w:cs="Palatino Linotype"/>
          <w:b/>
          <w:sz w:val="22"/>
          <w:szCs w:val="22"/>
          <w:u w:val="single"/>
        </w:rPr>
        <w:lastRenderedPageBreak/>
        <w:t xml:space="preserve">seguridad para el tratamiento de los datos personales que recabe en cumplimiento de sus funciones que se encuentren contenidos en sus sistemas o bases de datos </w:t>
      </w:r>
      <w:r>
        <w:rPr>
          <w:rFonts w:ascii="Palatino Linotype" w:eastAsia="Palatino Linotype" w:hAnsi="Palatino Linotype" w:cs="Palatino Linotype"/>
          <w:b/>
          <w:sz w:val="22"/>
          <w:szCs w:val="22"/>
        </w:rPr>
        <w:t>y este deberá</w:t>
      </w:r>
      <w:r>
        <w:rPr>
          <w:rFonts w:ascii="Palatino Linotype" w:eastAsia="Palatino Linotype" w:hAnsi="Palatino Linotype" w:cs="Palatino Linotype"/>
          <w:b/>
          <w:sz w:val="22"/>
          <w:szCs w:val="22"/>
          <w:u w:val="single"/>
        </w:rPr>
        <w:t xml:space="preserve"> actualizarse </w:t>
      </w:r>
      <w:r>
        <w:rPr>
          <w:rFonts w:ascii="Palatino Linotype" w:eastAsia="Palatino Linotype" w:hAnsi="Palatino Linotype" w:cs="Palatino Linotype"/>
          <w:sz w:val="22"/>
          <w:szCs w:val="22"/>
        </w:rPr>
        <w:t>cuando 1)Se produzcan modificaciones sustanciales al tratamiento de datos personales que deriven en un cambio en el nivel de riesgo; 2) Como resultado de un proceso de mejora continua, derivado del monitoreo y revisión del sistema de gestión; 3) Como resultado de un proceso de mejora para mi</w:t>
      </w:r>
      <w:r>
        <w:rPr>
          <w:rFonts w:ascii="Palatino Linotype" w:eastAsia="Palatino Linotype" w:hAnsi="Palatino Linotype" w:cs="Palatino Linotype"/>
          <w:sz w:val="22"/>
          <w:szCs w:val="22"/>
        </w:rPr>
        <w:t xml:space="preserve">tigar el impacto de una vulneración a la seguridad ocurrida; y 4) Implementación de acciones correctivas y preventivas ante una violación de la seguridad de los datos personales, de ahí que existe fuente obligacional para contar con la información que desea conocer 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w:t>
      </w:r>
    </w:p>
    <w:p w14:paraId="5482A8C0" w14:textId="77777777" w:rsidR="00A023B3" w:rsidRDefault="00A023B3">
      <w:pPr>
        <w:spacing w:line="360" w:lineRule="auto"/>
        <w:jc w:val="both"/>
        <w:rPr>
          <w:rFonts w:ascii="Palatino Linotype" w:eastAsia="Palatino Linotype" w:hAnsi="Palatino Linotype" w:cs="Palatino Linotype"/>
          <w:sz w:val="22"/>
          <w:szCs w:val="22"/>
          <w:u w:val="single"/>
        </w:rPr>
      </w:pPr>
    </w:p>
    <w:p w14:paraId="3390B29B"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dicho soporte documental, contendrá las medidas de seguridad aplicables a las bases y sistemas de datos personales, en ese contexto, por cuanto hace a esta parte resulta aplicable lo dispuesto por el artículo 43 de la Ley de Protección de Datos Personales local, </w:t>
      </w:r>
      <w:proofErr w:type="gramStart"/>
      <w:r>
        <w:rPr>
          <w:rFonts w:ascii="Palatino Linotype" w:eastAsia="Palatino Linotype" w:hAnsi="Palatino Linotype" w:cs="Palatino Linotype"/>
          <w:sz w:val="22"/>
          <w:szCs w:val="22"/>
        </w:rPr>
        <w:t>que</w:t>
      </w:r>
      <w:proofErr w:type="gramEnd"/>
      <w:r>
        <w:rPr>
          <w:rFonts w:ascii="Palatino Linotype" w:eastAsia="Palatino Linotype" w:hAnsi="Palatino Linotype" w:cs="Palatino Linotype"/>
          <w:sz w:val="22"/>
          <w:szCs w:val="22"/>
        </w:rPr>
        <w:t xml:space="preserve"> en su penúltimo párrafo de la misma Ley, refiere lo siguiente: </w:t>
      </w:r>
    </w:p>
    <w:p w14:paraId="5120AA84" w14:textId="77777777" w:rsidR="00A023B3" w:rsidRDefault="00A023B3">
      <w:pPr>
        <w:spacing w:line="360" w:lineRule="auto"/>
        <w:jc w:val="both"/>
        <w:rPr>
          <w:rFonts w:ascii="Palatino Linotype" w:eastAsia="Palatino Linotype" w:hAnsi="Palatino Linotype" w:cs="Palatino Linotype"/>
          <w:b/>
          <w:i/>
          <w:sz w:val="22"/>
          <w:szCs w:val="22"/>
        </w:rPr>
      </w:pPr>
    </w:p>
    <w:p w14:paraId="6D3A6B5C" w14:textId="77777777" w:rsidR="00A023B3" w:rsidRDefault="003A06AD">
      <w:pPr>
        <w:tabs>
          <w:tab w:val="left" w:pos="851"/>
        </w:tabs>
        <w:spacing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xml:space="preserve"> …</w:t>
      </w:r>
    </w:p>
    <w:p w14:paraId="7535875A" w14:textId="77777777" w:rsidR="00A023B3" w:rsidRDefault="003A06AD">
      <w:pPr>
        <w:tabs>
          <w:tab w:val="left" w:pos="851"/>
        </w:tabs>
        <w:spacing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968D4B" w14:textId="77777777" w:rsidR="00A023B3" w:rsidRDefault="003A06AD">
      <w:pPr>
        <w:tabs>
          <w:tab w:val="left" w:pos="851"/>
        </w:tabs>
        <w:spacing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confidencial no estará sujeta a temporalidad alguna y sólo podrán tener acceso a ella los titulares de </w:t>
      </w:r>
      <w:proofErr w:type="gramStart"/>
      <w:r>
        <w:rPr>
          <w:rFonts w:ascii="Palatino Linotype" w:eastAsia="Palatino Linotype" w:hAnsi="Palatino Linotype" w:cs="Palatino Linotype"/>
          <w:i/>
          <w:sz w:val="22"/>
          <w:szCs w:val="22"/>
        </w:rPr>
        <w:t>la misma</w:t>
      </w:r>
      <w:proofErr w:type="gramEnd"/>
      <w:r>
        <w:rPr>
          <w:rFonts w:ascii="Palatino Linotype" w:eastAsia="Palatino Linotype" w:hAnsi="Palatino Linotype" w:cs="Palatino Linotype"/>
          <w:i/>
          <w:sz w:val="22"/>
          <w:szCs w:val="22"/>
        </w:rPr>
        <w:t>, sus representantes y los servidores públicos facultados para ello</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27B74AFE" w14:textId="77777777" w:rsidR="00A023B3" w:rsidRDefault="00A023B3">
      <w:pPr>
        <w:tabs>
          <w:tab w:val="left" w:pos="851"/>
        </w:tabs>
        <w:spacing w:line="259" w:lineRule="auto"/>
        <w:ind w:left="851" w:right="902"/>
        <w:jc w:val="both"/>
        <w:rPr>
          <w:rFonts w:ascii="Palatino Linotype" w:eastAsia="Palatino Linotype" w:hAnsi="Palatino Linotype" w:cs="Palatino Linotype"/>
          <w:i/>
          <w:sz w:val="22"/>
          <w:szCs w:val="22"/>
        </w:rPr>
      </w:pPr>
    </w:p>
    <w:p w14:paraId="3DC4B675"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concordancia con lo expuesto, el numeral Trigésimo Octavo, párrafo segundo de los “Lineamientos Generales en materia de Clasificación y Desclasificación de la información, así como para la elaboración de Versiones Públicas”, vigentes a la fecha de la solicitud, señala lo siguiente: </w:t>
      </w:r>
    </w:p>
    <w:p w14:paraId="3E988B95" w14:textId="77777777" w:rsidR="00A023B3" w:rsidRDefault="00A023B3">
      <w:pPr>
        <w:spacing w:line="360" w:lineRule="auto"/>
        <w:jc w:val="both"/>
        <w:rPr>
          <w:rFonts w:ascii="Palatino Linotype" w:eastAsia="Palatino Linotype" w:hAnsi="Palatino Linotype" w:cs="Palatino Linotype"/>
          <w:sz w:val="22"/>
          <w:szCs w:val="22"/>
        </w:rPr>
      </w:pPr>
    </w:p>
    <w:p w14:paraId="7D2FAE3D" w14:textId="77777777" w:rsidR="00A023B3" w:rsidRDefault="003A06AD">
      <w:pPr>
        <w:tabs>
          <w:tab w:val="left" w:pos="851"/>
        </w:tabs>
        <w:spacing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Trigésimo octavo.</w:t>
      </w:r>
      <w:r>
        <w:rPr>
          <w:rFonts w:ascii="Palatino Linotype" w:eastAsia="Palatino Linotype" w:hAnsi="Palatino Linotype" w:cs="Palatino Linotype"/>
          <w:i/>
          <w:sz w:val="22"/>
          <w:szCs w:val="22"/>
        </w:rPr>
        <w:t xml:space="preserve"> …</w:t>
      </w:r>
    </w:p>
    <w:p w14:paraId="293C5592" w14:textId="77777777" w:rsidR="00A023B3" w:rsidRDefault="003A06AD">
      <w:pPr>
        <w:tabs>
          <w:tab w:val="left" w:pos="851"/>
        </w:tabs>
        <w:spacing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La información confidencial no estará sujeta a temporalidad alguna y sólo podrán tener acceso a ella los titulares de </w:t>
      </w:r>
      <w:proofErr w:type="gramStart"/>
      <w:r>
        <w:rPr>
          <w:rFonts w:ascii="Palatino Linotype" w:eastAsia="Palatino Linotype" w:hAnsi="Palatino Linotype" w:cs="Palatino Linotype"/>
          <w:i/>
          <w:sz w:val="22"/>
          <w:szCs w:val="22"/>
        </w:rPr>
        <w:t>la misma</w:t>
      </w:r>
      <w:proofErr w:type="gramEnd"/>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sus representantes y los integrantes de los sujetos obligados facultados para ello.” (Sic)</w:t>
      </w:r>
    </w:p>
    <w:p w14:paraId="0AAB7BD0" w14:textId="77777777" w:rsidR="00A023B3" w:rsidRDefault="00A023B3">
      <w:pPr>
        <w:tabs>
          <w:tab w:val="left" w:pos="851"/>
        </w:tabs>
        <w:spacing w:line="259" w:lineRule="auto"/>
        <w:ind w:left="851" w:right="902"/>
        <w:jc w:val="both"/>
        <w:rPr>
          <w:rFonts w:ascii="Palatino Linotype" w:eastAsia="Palatino Linotype" w:hAnsi="Palatino Linotype" w:cs="Palatino Linotype"/>
          <w:i/>
          <w:sz w:val="22"/>
          <w:szCs w:val="22"/>
        </w:rPr>
      </w:pPr>
    </w:p>
    <w:p w14:paraId="6FB98FC2"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Bajo lo previo, resulta importante precisar que las medidas de seguridad aplicables a las bases de datos personales por parte del responsable es </w:t>
      </w:r>
      <w:r>
        <w:rPr>
          <w:rFonts w:ascii="Palatino Linotype" w:eastAsia="Palatino Linotype" w:hAnsi="Palatino Linotype" w:cs="Palatino Linotype"/>
          <w:b/>
          <w:sz w:val="22"/>
          <w:szCs w:val="22"/>
        </w:rPr>
        <w:t xml:space="preserve">información de carácter confidencial </w:t>
      </w:r>
      <w:r>
        <w:rPr>
          <w:rFonts w:ascii="Palatino Linotype" w:eastAsia="Palatino Linotype" w:hAnsi="Palatino Linotype" w:cs="Palatino Linotype"/>
          <w:sz w:val="22"/>
          <w:szCs w:val="22"/>
        </w:rPr>
        <w:t xml:space="preserve">por mandato expreso del artículo 43 de la Ley, </w:t>
      </w:r>
      <w:r>
        <w:rPr>
          <w:rFonts w:ascii="Palatino Linotype" w:eastAsia="Palatino Linotype" w:hAnsi="Palatino Linotype" w:cs="Palatino Linotype"/>
          <w:b/>
          <w:sz w:val="22"/>
          <w:szCs w:val="22"/>
        </w:rPr>
        <w:t>más no así en su totalidad el documento de seguridad.</w:t>
      </w:r>
    </w:p>
    <w:p w14:paraId="3CCD0455" w14:textId="77777777" w:rsidR="00A023B3" w:rsidRDefault="00A023B3">
      <w:pPr>
        <w:spacing w:line="360" w:lineRule="auto"/>
        <w:jc w:val="both"/>
        <w:rPr>
          <w:rFonts w:ascii="Palatino Linotype" w:eastAsia="Palatino Linotype" w:hAnsi="Palatino Linotype" w:cs="Palatino Linotype"/>
          <w:sz w:val="22"/>
          <w:szCs w:val="22"/>
        </w:rPr>
      </w:pPr>
    </w:p>
    <w:p w14:paraId="202BF84A"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esta manera, </w:t>
      </w:r>
      <w:r>
        <w:rPr>
          <w:rFonts w:ascii="Palatino Linotype" w:eastAsia="Palatino Linotype" w:hAnsi="Palatino Linotype" w:cs="Palatino Linotype"/>
          <w:b/>
          <w:sz w:val="22"/>
          <w:szCs w:val="22"/>
        </w:rPr>
        <w:t>atendiendo que las medidas de seguridad aplicables a las bases de datos personales son información confidencial</w:t>
      </w:r>
      <w:r>
        <w:rPr>
          <w:rFonts w:ascii="Palatino Linotype" w:eastAsia="Palatino Linotype" w:hAnsi="Palatino Linotype" w:cs="Palatino Linotype"/>
          <w:sz w:val="22"/>
          <w:szCs w:val="22"/>
        </w:rPr>
        <w:t>, por tanto, las políticas y procedimientos de seguridad en materia de protección de datos personales, no pueden ser proporcionados, toda vez que la puesta a disposición de las mismas pudiesen causar un daño, alteración, pérdida, destrucción, o el uso, transferencia, acceso o cualquier tratamiento  no autorizado o ilícito a la información que se encuentra en tratamiento en bases y sistemas de datos</w:t>
      </w:r>
      <w:r>
        <w:rPr>
          <w:rFonts w:ascii="Palatino Linotype" w:eastAsia="Palatino Linotype" w:hAnsi="Palatino Linotype" w:cs="Palatino Linotype"/>
          <w:sz w:val="22"/>
          <w:szCs w:val="22"/>
        </w:rPr>
        <w:t xml:space="preserve"> personales. </w:t>
      </w:r>
    </w:p>
    <w:p w14:paraId="51E0E654" w14:textId="77777777" w:rsidR="00A023B3" w:rsidRDefault="00A023B3">
      <w:pPr>
        <w:spacing w:line="360" w:lineRule="auto"/>
        <w:jc w:val="both"/>
        <w:rPr>
          <w:rFonts w:ascii="Palatino Linotype" w:eastAsia="Palatino Linotype" w:hAnsi="Palatino Linotype" w:cs="Palatino Linotype"/>
          <w:sz w:val="22"/>
          <w:szCs w:val="22"/>
        </w:rPr>
      </w:pPr>
    </w:p>
    <w:p w14:paraId="3BF10E3D"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es pertinente mencionar que conforme a lo dispuesto en el artículo 49 de la Ley de Protección de Datos Personales </w:t>
      </w:r>
      <w:proofErr w:type="spellStart"/>
      <w:r>
        <w:rPr>
          <w:rFonts w:ascii="Palatino Linotype" w:eastAsia="Palatino Linotype" w:hAnsi="Palatino Linotype" w:cs="Palatino Linotype"/>
          <w:sz w:val="22"/>
          <w:szCs w:val="22"/>
        </w:rPr>
        <w:t>supraindicada</w:t>
      </w:r>
      <w:proofErr w:type="spellEnd"/>
      <w:r>
        <w:rPr>
          <w:rFonts w:ascii="Palatino Linotype" w:eastAsia="Palatino Linotype" w:hAnsi="Palatino Linotype" w:cs="Palatino Linotype"/>
          <w:sz w:val="22"/>
          <w:szCs w:val="22"/>
        </w:rPr>
        <w:t xml:space="preserve">, el documento de seguridad debe contener, como mínimo, lo referente a: </w:t>
      </w:r>
    </w:p>
    <w:p w14:paraId="29BC1F51" w14:textId="77777777" w:rsidR="00A023B3" w:rsidRDefault="00A023B3">
      <w:pPr>
        <w:spacing w:line="360" w:lineRule="auto"/>
        <w:ind w:right="49"/>
        <w:jc w:val="both"/>
        <w:rPr>
          <w:rFonts w:ascii="Palatino Linotype" w:eastAsia="Palatino Linotype" w:hAnsi="Palatino Linotype" w:cs="Palatino Linotype"/>
          <w:sz w:val="22"/>
          <w:szCs w:val="22"/>
        </w:rPr>
      </w:pPr>
    </w:p>
    <w:p w14:paraId="310A2225" w14:textId="77777777" w:rsidR="00A023B3" w:rsidRDefault="003A06AD">
      <w:pPr>
        <w:numPr>
          <w:ilvl w:val="0"/>
          <w:numId w:val="7"/>
        </w:numPr>
        <w:spacing w:line="360" w:lineRule="auto"/>
        <w:ind w:left="284"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Sistemas de Datos Personales</w:t>
      </w:r>
      <w:r>
        <w:rPr>
          <w:rFonts w:ascii="Palatino Linotype" w:eastAsia="Palatino Linotype" w:hAnsi="Palatino Linotype" w:cs="Palatino Linotype"/>
          <w:sz w:val="22"/>
          <w:szCs w:val="22"/>
        </w:rPr>
        <w:t xml:space="preserve">: a) el nombre, </w:t>
      </w:r>
      <w:r>
        <w:rPr>
          <w:rFonts w:ascii="Palatino Linotype" w:eastAsia="Palatino Linotype" w:hAnsi="Palatino Linotype" w:cs="Palatino Linotype"/>
          <w:b/>
          <w:sz w:val="22"/>
          <w:szCs w:val="22"/>
        </w:rPr>
        <w:t xml:space="preserve">b) el nombre, cargo y adscripción del administrador de cada sistema y base de datos, c) las funciones y obligaciones del responsable o encargados y todas la personas  que traten datos personales, d) el folio del registro del sistema y base de datos, </w:t>
      </w:r>
      <w:r>
        <w:rPr>
          <w:rFonts w:ascii="Palatino Linotype" w:eastAsia="Palatino Linotype" w:hAnsi="Palatino Linotype" w:cs="Palatino Linotype"/>
          <w:sz w:val="22"/>
          <w:szCs w:val="22"/>
        </w:rPr>
        <w:t xml:space="preserve">e) el inventario o especificación detallada del tipo de datos personales y f) la estructura y descripción de los sistemas y bases de datos </w:t>
      </w:r>
      <w:r>
        <w:rPr>
          <w:rFonts w:ascii="Palatino Linotype" w:eastAsia="Palatino Linotype" w:hAnsi="Palatino Linotype" w:cs="Palatino Linotype"/>
          <w:sz w:val="22"/>
          <w:szCs w:val="22"/>
        </w:rPr>
        <w:lastRenderedPageBreak/>
        <w:t xml:space="preserve">personales, en las que deberá precisar y describir el tipo de soporte y características del lugar donde se </w:t>
      </w:r>
      <w:r>
        <w:rPr>
          <w:rFonts w:ascii="Palatino Linotype" w:eastAsia="Palatino Linotype" w:hAnsi="Palatino Linotype" w:cs="Palatino Linotype"/>
          <w:sz w:val="22"/>
          <w:szCs w:val="22"/>
        </w:rPr>
        <w:t xml:space="preserve">resguardan.       </w:t>
      </w:r>
    </w:p>
    <w:p w14:paraId="6CCCB65D" w14:textId="77777777" w:rsidR="00A023B3" w:rsidRDefault="00A023B3">
      <w:pPr>
        <w:spacing w:line="360" w:lineRule="auto"/>
        <w:ind w:left="284" w:right="49"/>
        <w:jc w:val="both"/>
        <w:rPr>
          <w:rFonts w:ascii="Palatino Linotype" w:eastAsia="Palatino Linotype" w:hAnsi="Palatino Linotype" w:cs="Palatino Linotype"/>
          <w:sz w:val="22"/>
          <w:szCs w:val="22"/>
        </w:rPr>
      </w:pPr>
    </w:p>
    <w:p w14:paraId="047CEE39" w14:textId="77777777" w:rsidR="00A023B3" w:rsidRDefault="003A06AD">
      <w:pPr>
        <w:numPr>
          <w:ilvl w:val="0"/>
          <w:numId w:val="7"/>
        </w:numPr>
        <w:spacing w:line="360" w:lineRule="auto"/>
        <w:ind w:left="284" w:right="49"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Las Medidas de Seguridad implementadas</w:t>
      </w:r>
      <w:r>
        <w:rPr>
          <w:rFonts w:ascii="Palatino Linotype" w:eastAsia="Palatino Linotype" w:hAnsi="Palatino Linotype" w:cs="Palatino Linotype"/>
          <w:sz w:val="22"/>
          <w:szCs w:val="22"/>
        </w:rPr>
        <w:t>, como son: a) transferencia y remisiones, b) resguardo de soportes físicos y electrónicos, c) bitácoras para accesos, operación cotidiana y violaciones a la seguridad de los datos personales, d) el análisis de riesgos, e) el análisis de brecha, f) Gestión de incidentes, g) acceso a las instalaciones, h) Identificación y autenticación, i) procedimientos de respaldo y recuperación de datos, j) plan de contingencia, k) auditorías, l) supresión y borrado seguro de datos, m) plan de trabajo, n) los mecanismos d</w:t>
      </w:r>
      <w:r>
        <w:rPr>
          <w:rFonts w:ascii="Palatino Linotype" w:eastAsia="Palatino Linotype" w:hAnsi="Palatino Linotype" w:cs="Palatino Linotype"/>
          <w:sz w:val="22"/>
          <w:szCs w:val="22"/>
        </w:rPr>
        <w:t>e monitoreo y revisión de las medidas de seguridad y o) el programa general de capacitación.</w:t>
      </w:r>
    </w:p>
    <w:p w14:paraId="47CBAB7E" w14:textId="77777777" w:rsidR="00A023B3" w:rsidRDefault="00A023B3">
      <w:pPr>
        <w:spacing w:line="360" w:lineRule="auto"/>
        <w:ind w:right="49"/>
        <w:jc w:val="both"/>
        <w:rPr>
          <w:rFonts w:ascii="Palatino Linotype" w:eastAsia="Palatino Linotype" w:hAnsi="Palatino Linotype" w:cs="Palatino Linotype"/>
          <w:sz w:val="22"/>
          <w:szCs w:val="22"/>
        </w:rPr>
      </w:pPr>
    </w:p>
    <w:p w14:paraId="6B7ECFBF"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Como se desprende de lo anterior, la fracción I del artículo 49 de la Ley de Protección de Datos Personales de la Entidad, prevé que el documento de seguridad debe contener, como mínimo, información relativa a los sistemas de datos personales; de la cual es de precisar que por lo que corresponde a la indicada en los </w:t>
      </w:r>
      <w:r>
        <w:rPr>
          <w:rFonts w:ascii="Palatino Linotype" w:eastAsia="Palatino Linotype" w:hAnsi="Palatino Linotype" w:cs="Palatino Linotype"/>
          <w:b/>
          <w:sz w:val="22"/>
          <w:szCs w:val="22"/>
          <w:u w:val="single"/>
        </w:rPr>
        <w:t>incisos del a) al e), se trata de información pública,</w:t>
      </w:r>
      <w:r>
        <w:rPr>
          <w:rFonts w:ascii="Palatino Linotype" w:eastAsia="Palatino Linotype" w:hAnsi="Palatino Linotype" w:cs="Palatino Linotype"/>
          <w:sz w:val="22"/>
          <w:szCs w:val="22"/>
        </w:rPr>
        <w:t xml:space="preserve"> en virtud de relacionarse con el nombre del sistema o base de datos; el nombre, cargo y adscripción del administrador de cada sistema y base de datos; las funciones y obligaciones del responsable o encargados y todas la personas  que traten datos personales; el folio del registro del sistema y base de datos; así como, el inventario o especificación detallada del tipo de datos personales.</w:t>
      </w:r>
    </w:p>
    <w:p w14:paraId="7AF4BD75" w14:textId="77777777" w:rsidR="00A023B3" w:rsidRDefault="00A023B3">
      <w:pPr>
        <w:spacing w:line="360" w:lineRule="auto"/>
        <w:ind w:right="49"/>
        <w:jc w:val="both"/>
        <w:rPr>
          <w:rFonts w:ascii="Palatino Linotype" w:eastAsia="Palatino Linotype" w:hAnsi="Palatino Linotype" w:cs="Palatino Linotype"/>
          <w:sz w:val="22"/>
          <w:szCs w:val="22"/>
        </w:rPr>
      </w:pPr>
    </w:p>
    <w:p w14:paraId="1A152113"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Sin embargo, </w:t>
      </w:r>
      <w:r>
        <w:rPr>
          <w:rFonts w:ascii="Palatino Linotype" w:eastAsia="Palatino Linotype" w:hAnsi="Palatino Linotype" w:cs="Palatino Linotype"/>
          <w:b/>
          <w:sz w:val="22"/>
          <w:szCs w:val="22"/>
          <w:u w:val="single"/>
        </w:rPr>
        <w:t>en el caso del inciso f) de la fracción I</w:t>
      </w:r>
      <w:r>
        <w:rPr>
          <w:rFonts w:ascii="Palatino Linotype" w:eastAsia="Palatino Linotype" w:hAnsi="Palatino Linotype" w:cs="Palatino Linotype"/>
          <w:sz w:val="22"/>
          <w:szCs w:val="22"/>
        </w:rPr>
        <w:t xml:space="preserve"> del artículo 49 de la Ley de Protección de Datos Personales en cita, relativo a la estructura y descripción de los sistemas y bases de datos personales, en las que deberá precisar y describir el tipo de soporte y características del lugar donde se resguardan; su publicidad queda sujeta al análisis pormenorizado que </w:t>
      </w:r>
      <w:r>
        <w:rPr>
          <w:rFonts w:ascii="Palatino Linotype" w:eastAsia="Palatino Linotype" w:hAnsi="Palatino Linotype" w:cs="Palatino Linotype"/>
          <w:sz w:val="22"/>
          <w:szCs w:val="22"/>
        </w:rPr>
        <w:lastRenderedPageBreak/>
        <w:t xml:space="preserve">realice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ya que si dicho ente arriba a la conclusión de que dicho inciso que debe contener el documento de seguridad contiene medidas </w:t>
      </w:r>
      <w:r>
        <w:rPr>
          <w:rFonts w:ascii="Palatino Linotype" w:eastAsia="Palatino Linotype" w:hAnsi="Palatino Linotype" w:cs="Palatino Linotype"/>
          <w:sz w:val="22"/>
          <w:szCs w:val="22"/>
        </w:rPr>
        <w:t>de seguridad detalladas, el mismo deberá clasificarse como información confidencial.</w:t>
      </w:r>
    </w:p>
    <w:p w14:paraId="37A29B36" w14:textId="77777777" w:rsidR="00A023B3" w:rsidRDefault="00A023B3">
      <w:pPr>
        <w:spacing w:line="360" w:lineRule="auto"/>
        <w:ind w:right="49"/>
        <w:jc w:val="both"/>
        <w:rPr>
          <w:rFonts w:ascii="Palatino Linotype" w:eastAsia="Palatino Linotype" w:hAnsi="Palatino Linotype" w:cs="Palatino Linotype"/>
          <w:sz w:val="22"/>
          <w:szCs w:val="22"/>
        </w:rPr>
      </w:pPr>
    </w:p>
    <w:p w14:paraId="74294121"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Precisado lo anterior, ahora por lo que corresponde a la información que debe contener el documento de seguridad, prevista en la fracción II del artículo 49 de la Ley de Protección de Datos Personales de la Entidad, es de indicar que la misma, por cuanto hace a </w:t>
      </w:r>
      <w:r>
        <w:rPr>
          <w:rFonts w:ascii="Palatino Linotype" w:eastAsia="Palatino Linotype" w:hAnsi="Palatino Linotype" w:cs="Palatino Linotype"/>
          <w:b/>
          <w:sz w:val="22"/>
          <w:szCs w:val="22"/>
          <w:u w:val="single"/>
        </w:rPr>
        <w:t>los incisos a) al n),</w:t>
      </w:r>
      <w:r>
        <w:rPr>
          <w:rFonts w:ascii="Palatino Linotype" w:eastAsia="Palatino Linotype" w:hAnsi="Palatino Linotype" w:cs="Palatino Linotype"/>
          <w:sz w:val="22"/>
          <w:szCs w:val="22"/>
        </w:rPr>
        <w:t xml:space="preserve"> se encuentra relacionada con las medidas de seguridad implementadas, las cuales son susceptibles de clasificarse como información confidencial.</w:t>
      </w:r>
    </w:p>
    <w:p w14:paraId="6DB47902" w14:textId="77777777" w:rsidR="00A023B3" w:rsidRDefault="00A023B3">
      <w:pPr>
        <w:spacing w:line="360" w:lineRule="auto"/>
        <w:ind w:right="49"/>
        <w:jc w:val="both"/>
        <w:rPr>
          <w:rFonts w:ascii="Palatino Linotype" w:eastAsia="Palatino Linotype" w:hAnsi="Palatino Linotype" w:cs="Palatino Linotype"/>
          <w:sz w:val="22"/>
          <w:szCs w:val="22"/>
        </w:rPr>
      </w:pPr>
    </w:p>
    <w:p w14:paraId="3F9342D4"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tiene sustento en atención a que el </w:t>
      </w:r>
      <w:r>
        <w:rPr>
          <w:rFonts w:ascii="Palatino Linotype" w:eastAsia="Palatino Linotype" w:hAnsi="Palatino Linotype" w:cs="Palatino Linotype"/>
          <w:b/>
          <w:sz w:val="22"/>
          <w:szCs w:val="22"/>
        </w:rPr>
        <w:t>análisis de riesgo</w:t>
      </w:r>
      <w:r>
        <w:rPr>
          <w:rFonts w:ascii="Palatino Linotype" w:eastAsia="Palatino Linotype" w:hAnsi="Palatino Linotype" w:cs="Palatino Linotype"/>
          <w:sz w:val="22"/>
          <w:szCs w:val="22"/>
        </w:rPr>
        <w:t xml:space="preserve"> contiene las consideraciones relacionadas con las amenazas y vulnerabilidades existentes.</w:t>
      </w:r>
    </w:p>
    <w:p w14:paraId="0F7797A9" w14:textId="77777777" w:rsidR="00A023B3" w:rsidRDefault="00A023B3">
      <w:pPr>
        <w:spacing w:line="360" w:lineRule="auto"/>
        <w:ind w:right="49"/>
        <w:jc w:val="both"/>
        <w:rPr>
          <w:rFonts w:ascii="Palatino Linotype" w:eastAsia="Palatino Linotype" w:hAnsi="Palatino Linotype" w:cs="Palatino Linotype"/>
          <w:sz w:val="22"/>
          <w:szCs w:val="22"/>
        </w:rPr>
      </w:pPr>
    </w:p>
    <w:p w14:paraId="7A01DD4C"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resguardo es el espacio destinado para almacenar o resguardar datos personales</w:t>
      </w:r>
      <w:r>
        <w:rPr>
          <w:rFonts w:ascii="Palatino Linotype" w:eastAsia="Palatino Linotype" w:hAnsi="Palatino Linotype" w:cs="Palatino Linotype"/>
          <w:sz w:val="22"/>
          <w:szCs w:val="22"/>
        </w:rPr>
        <w:t xml:space="preserve"> que han recibido el tratamiento correspondiente, para que formen parte integral de uno o más Sistemas de Datos Personales en soporte electrónico.</w:t>
      </w:r>
    </w:p>
    <w:p w14:paraId="3493A193" w14:textId="77777777" w:rsidR="00A023B3" w:rsidRDefault="00A023B3">
      <w:pPr>
        <w:spacing w:line="360" w:lineRule="auto"/>
        <w:ind w:right="49"/>
        <w:jc w:val="both"/>
        <w:rPr>
          <w:rFonts w:ascii="Palatino Linotype" w:eastAsia="Palatino Linotype" w:hAnsi="Palatino Linotype" w:cs="Palatino Linotype"/>
          <w:sz w:val="22"/>
          <w:szCs w:val="22"/>
        </w:rPr>
      </w:pPr>
    </w:p>
    <w:p w14:paraId="1EAA4CB6"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Las </w:t>
      </w:r>
      <w:r>
        <w:rPr>
          <w:rFonts w:ascii="Palatino Linotype" w:eastAsia="Palatino Linotype" w:hAnsi="Palatino Linotype" w:cs="Palatino Linotype"/>
          <w:b/>
          <w:sz w:val="22"/>
          <w:szCs w:val="22"/>
        </w:rPr>
        <w:t>bitácoras</w:t>
      </w:r>
      <w:r>
        <w:rPr>
          <w:rFonts w:ascii="Palatino Linotype" w:eastAsia="Palatino Linotype" w:hAnsi="Palatino Linotype" w:cs="Palatino Linotype"/>
          <w:sz w:val="22"/>
          <w:szCs w:val="22"/>
        </w:rPr>
        <w:t xml:space="preserve"> registran los accesos autorizados e incidencias para cada una de ellas. Asimismo, deberá establecer los procedimientos para el uso de bitácoras respecto de las acciones cotidianas llevadas a cabo en los SDPS.</w:t>
      </w:r>
    </w:p>
    <w:p w14:paraId="064DA076" w14:textId="77777777" w:rsidR="00A023B3" w:rsidRDefault="00A023B3">
      <w:pPr>
        <w:spacing w:line="259" w:lineRule="auto"/>
        <w:ind w:right="49"/>
        <w:jc w:val="both"/>
        <w:rPr>
          <w:rFonts w:ascii="Palatino Linotype" w:eastAsia="Palatino Linotype" w:hAnsi="Palatino Linotype" w:cs="Palatino Linotype"/>
          <w:sz w:val="22"/>
          <w:szCs w:val="22"/>
        </w:rPr>
      </w:pPr>
    </w:p>
    <w:p w14:paraId="6B118723"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 xml:space="preserve">análisis de </w:t>
      </w:r>
      <w:proofErr w:type="gramStart"/>
      <w:r>
        <w:rPr>
          <w:rFonts w:ascii="Palatino Linotype" w:eastAsia="Palatino Linotype" w:hAnsi="Palatino Linotype" w:cs="Palatino Linotype"/>
          <w:b/>
          <w:sz w:val="22"/>
          <w:szCs w:val="22"/>
        </w:rPr>
        <w:t>brecha</w:t>
      </w:r>
      <w:r>
        <w:rPr>
          <w:rFonts w:ascii="Palatino Linotype" w:eastAsia="Palatino Linotype" w:hAnsi="Palatino Linotype" w:cs="Palatino Linotype"/>
          <w:sz w:val="22"/>
          <w:szCs w:val="22"/>
        </w:rPr>
        <w:t>,</w:t>
      </w:r>
      <w:proofErr w:type="gramEnd"/>
      <w:r>
        <w:rPr>
          <w:rFonts w:ascii="Palatino Linotype" w:eastAsia="Palatino Linotype" w:hAnsi="Palatino Linotype" w:cs="Palatino Linotype"/>
          <w:sz w:val="22"/>
          <w:szCs w:val="22"/>
        </w:rPr>
        <w:t xml:space="preserve"> contiene la comparación de las medidas de seguridad existentes y las medidas de </w:t>
      </w:r>
      <w:proofErr w:type="gramStart"/>
      <w:r>
        <w:rPr>
          <w:rFonts w:ascii="Palatino Linotype" w:eastAsia="Palatino Linotype" w:hAnsi="Palatino Linotype" w:cs="Palatino Linotype"/>
          <w:sz w:val="22"/>
          <w:szCs w:val="22"/>
        </w:rPr>
        <w:t>seguridad  faltantes</w:t>
      </w:r>
      <w:proofErr w:type="gramEnd"/>
      <w:r>
        <w:rPr>
          <w:rFonts w:ascii="Palatino Linotype" w:eastAsia="Palatino Linotype" w:hAnsi="Palatino Linotype" w:cs="Palatino Linotype"/>
          <w:sz w:val="22"/>
          <w:szCs w:val="22"/>
        </w:rPr>
        <w:t xml:space="preserve"> en la organización del responsable del tratamiento de datos personales. </w:t>
      </w:r>
    </w:p>
    <w:p w14:paraId="1A7A335E"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5D11551E"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La </w:t>
      </w:r>
      <w:r>
        <w:rPr>
          <w:rFonts w:ascii="Palatino Linotype" w:eastAsia="Palatino Linotype" w:hAnsi="Palatino Linotype" w:cs="Palatino Linotype"/>
          <w:b/>
          <w:sz w:val="22"/>
          <w:szCs w:val="22"/>
        </w:rPr>
        <w:t>gestión de incidentes</w:t>
      </w:r>
      <w:r>
        <w:rPr>
          <w:rFonts w:ascii="Palatino Linotype" w:eastAsia="Palatino Linotype" w:hAnsi="Palatino Linotype" w:cs="Palatino Linotype"/>
          <w:sz w:val="22"/>
          <w:szCs w:val="22"/>
        </w:rPr>
        <w:t xml:space="preserve"> son acciones que adoptan el titular del Sujeto Obligado y el responsable de los Sistemas de Datos Personales, a efecto de dar a conocer a las autoridades competentes, a los titulares de los datos y, en su caso, al público en general, los actos deliberados (intrusión, robo, etcétera) y los acontecimientos de caso fortuito o de fuerza mayor (desastres naturales, incendios, huelgas, etcétera) que hubieran ocasionado la pérdida total o parcial de los datos personales bajo su custodia;</w:t>
      </w:r>
    </w:p>
    <w:p w14:paraId="7CFB5409" w14:textId="77777777" w:rsidR="00A023B3" w:rsidRDefault="00A023B3">
      <w:pPr>
        <w:spacing w:line="360" w:lineRule="auto"/>
        <w:ind w:right="49"/>
        <w:jc w:val="both"/>
        <w:rPr>
          <w:rFonts w:ascii="Palatino Linotype" w:eastAsia="Palatino Linotype" w:hAnsi="Palatino Linotype" w:cs="Palatino Linotype"/>
          <w:sz w:val="22"/>
          <w:szCs w:val="22"/>
        </w:rPr>
      </w:pPr>
    </w:p>
    <w:p w14:paraId="50D3CBF0"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acceso a instalaciones</w:t>
      </w:r>
      <w:r>
        <w:rPr>
          <w:rFonts w:ascii="Palatino Linotype" w:eastAsia="Palatino Linotype" w:hAnsi="Palatino Linotype" w:cs="Palatino Linotype"/>
          <w:sz w:val="22"/>
          <w:szCs w:val="22"/>
        </w:rPr>
        <w:t xml:space="preserve"> donde se encuentren los Sistemas de Datos </w:t>
      </w:r>
      <w:proofErr w:type="gramStart"/>
      <w:r>
        <w:rPr>
          <w:rFonts w:ascii="Palatino Linotype" w:eastAsia="Palatino Linotype" w:hAnsi="Palatino Linotype" w:cs="Palatino Linotype"/>
          <w:sz w:val="22"/>
          <w:szCs w:val="22"/>
        </w:rPr>
        <w:t>Personales,</w:t>
      </w:r>
      <w:proofErr w:type="gramEnd"/>
      <w:r>
        <w:rPr>
          <w:rFonts w:ascii="Palatino Linotype" w:eastAsia="Palatino Linotype" w:hAnsi="Palatino Linotype" w:cs="Palatino Linotype"/>
          <w:sz w:val="22"/>
          <w:szCs w:val="22"/>
        </w:rPr>
        <w:t xml:space="preserve"> ya sea en soporte físico o electrónico, se permite únicamente a quienes estén expresamente autorizados en el documento de seguridad, por lo que dar a conocer esta información compromete la seguridad de los datos personales.</w:t>
      </w:r>
    </w:p>
    <w:p w14:paraId="68439AF7" w14:textId="77777777" w:rsidR="00A023B3" w:rsidRDefault="00A023B3">
      <w:pPr>
        <w:spacing w:line="360" w:lineRule="auto"/>
        <w:ind w:right="49"/>
        <w:jc w:val="both"/>
        <w:rPr>
          <w:rFonts w:ascii="Palatino Linotype" w:eastAsia="Palatino Linotype" w:hAnsi="Palatino Linotype" w:cs="Palatino Linotype"/>
          <w:sz w:val="22"/>
          <w:szCs w:val="22"/>
        </w:rPr>
      </w:pPr>
    </w:p>
    <w:p w14:paraId="049CDB56"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cuanto hace a la </w:t>
      </w:r>
      <w:r>
        <w:rPr>
          <w:rFonts w:ascii="Palatino Linotype" w:eastAsia="Palatino Linotype" w:hAnsi="Palatino Linotype" w:cs="Palatino Linotype"/>
          <w:b/>
          <w:sz w:val="22"/>
          <w:szCs w:val="22"/>
        </w:rPr>
        <w:t>identificación y autenticación</w:t>
      </w:r>
      <w:r>
        <w:rPr>
          <w:rFonts w:ascii="Palatino Linotype" w:eastAsia="Palatino Linotype" w:hAnsi="Palatino Linotype" w:cs="Palatino Linotype"/>
          <w:sz w:val="22"/>
          <w:szCs w:val="22"/>
        </w:rPr>
        <w:t>, el responsable tendrá a su cargo la elaboración de una relación actualizada de los servidores públicos que tengan acceso autorizado a los Sistemas de Datos Personales y del establecimiento de procedimientos que permitan la correcta identificación y autenticación para dicho acceso. El responsable establecerá un mecanismo que permita la identificación, de forma inequívoca y personalizada, de toda persona que intente acceder a los Sistemas de Datos Personales y la verificación d</w:t>
      </w:r>
      <w:r>
        <w:rPr>
          <w:rFonts w:ascii="Palatino Linotype" w:eastAsia="Palatino Linotype" w:hAnsi="Palatino Linotype" w:cs="Palatino Linotype"/>
          <w:sz w:val="22"/>
          <w:szCs w:val="22"/>
        </w:rPr>
        <w:t>e que está autorizada.</w:t>
      </w:r>
    </w:p>
    <w:p w14:paraId="10973169"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134F4158"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Cuando el mecanismo de autenticación se base en la existencia de contraseñas, se establecerá un procedimiento de asignación, distribución y almacenamiento que garantice su confidencialidad e integridad.</w:t>
      </w:r>
    </w:p>
    <w:p w14:paraId="628A8949" w14:textId="77777777" w:rsidR="00A023B3" w:rsidRDefault="00A023B3">
      <w:pPr>
        <w:spacing w:line="360" w:lineRule="auto"/>
        <w:ind w:right="49"/>
        <w:jc w:val="both"/>
        <w:rPr>
          <w:rFonts w:ascii="Palatino Linotype" w:eastAsia="Palatino Linotype" w:hAnsi="Palatino Linotype" w:cs="Palatino Linotype"/>
          <w:sz w:val="22"/>
          <w:szCs w:val="22"/>
        </w:rPr>
      </w:pPr>
    </w:p>
    <w:p w14:paraId="77C197D3"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Respecto al procedimiento de </w:t>
      </w:r>
      <w:r>
        <w:rPr>
          <w:rFonts w:ascii="Palatino Linotype" w:eastAsia="Palatino Linotype" w:hAnsi="Palatino Linotype" w:cs="Palatino Linotype"/>
          <w:b/>
          <w:sz w:val="22"/>
          <w:szCs w:val="22"/>
        </w:rPr>
        <w:t>respaldo y recuperación de datos</w:t>
      </w:r>
      <w:r>
        <w:rPr>
          <w:rFonts w:ascii="Palatino Linotype" w:eastAsia="Palatino Linotype" w:hAnsi="Palatino Linotype" w:cs="Palatino Linotype"/>
          <w:sz w:val="22"/>
          <w:szCs w:val="22"/>
        </w:rPr>
        <w:t xml:space="preserve">, se advierte que dar a conocer los medios de almacenamiento no volátil autorizados para la generación y </w:t>
      </w:r>
      <w:r>
        <w:rPr>
          <w:rFonts w:ascii="Palatino Linotype" w:eastAsia="Palatino Linotype" w:hAnsi="Palatino Linotype" w:cs="Palatino Linotype"/>
          <w:sz w:val="22"/>
          <w:szCs w:val="22"/>
        </w:rPr>
        <w:lastRenderedPageBreak/>
        <w:t>almacenamiento de copias de seguridad o respaldos compromete los tres pilares de la organización: confidencialidad, disponibilidad e integridad.</w:t>
      </w:r>
    </w:p>
    <w:p w14:paraId="58EA5F7B" w14:textId="77777777" w:rsidR="00A023B3" w:rsidRDefault="00A023B3">
      <w:pPr>
        <w:spacing w:line="360" w:lineRule="auto"/>
        <w:ind w:right="49"/>
        <w:jc w:val="both"/>
        <w:rPr>
          <w:rFonts w:ascii="Palatino Linotype" w:eastAsia="Palatino Linotype" w:hAnsi="Palatino Linotype" w:cs="Palatino Linotype"/>
          <w:sz w:val="22"/>
          <w:szCs w:val="22"/>
        </w:rPr>
      </w:pPr>
    </w:p>
    <w:p w14:paraId="325DC5D4"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la </w:t>
      </w:r>
      <w:r>
        <w:rPr>
          <w:rFonts w:ascii="Palatino Linotype" w:eastAsia="Palatino Linotype" w:hAnsi="Palatino Linotype" w:cs="Palatino Linotype"/>
          <w:b/>
          <w:sz w:val="22"/>
          <w:szCs w:val="22"/>
        </w:rPr>
        <w:t>supresión de datos personales</w:t>
      </w:r>
      <w:r>
        <w:rPr>
          <w:rFonts w:ascii="Palatino Linotype" w:eastAsia="Palatino Linotype" w:hAnsi="Palatino Linotype" w:cs="Palatino Linotype"/>
          <w:sz w:val="22"/>
          <w:szCs w:val="22"/>
        </w:rPr>
        <w:t xml:space="preserve">, los Sujetos Obligados deberán establecer las políticas, métodos y técnicas, por lo que el responsable deberá considerar, al menos, los siguientes atributos y el o los medios de almacenamiento, físicos y/o electrónicos en los que se encuentren los datos personales: </w:t>
      </w:r>
    </w:p>
    <w:p w14:paraId="527B2F2E" w14:textId="77777777" w:rsidR="00A023B3" w:rsidRDefault="00A023B3">
      <w:pPr>
        <w:spacing w:line="360" w:lineRule="auto"/>
        <w:ind w:right="49"/>
        <w:jc w:val="both"/>
        <w:rPr>
          <w:rFonts w:ascii="Palatino Linotype" w:eastAsia="Palatino Linotype" w:hAnsi="Palatino Linotype" w:cs="Palatino Linotype"/>
          <w:sz w:val="22"/>
          <w:szCs w:val="22"/>
        </w:rPr>
      </w:pPr>
    </w:p>
    <w:p w14:paraId="5ACDD765"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Irreversibilidad: que el proceso utilizado no permita recuperar los datos personales; Seguridad y confidencialidad: que en la eliminación definitiva de los datos personales se consideren los deberes de confidencialidad y seguridad, </w:t>
      </w:r>
      <w:proofErr w:type="gramStart"/>
      <w:r>
        <w:rPr>
          <w:rFonts w:ascii="Palatino Linotype" w:eastAsia="Palatino Linotype" w:hAnsi="Palatino Linotype" w:cs="Palatino Linotype"/>
          <w:sz w:val="22"/>
          <w:szCs w:val="22"/>
        </w:rPr>
        <w:t>y  Favorable</w:t>
      </w:r>
      <w:proofErr w:type="gramEnd"/>
      <w:r>
        <w:rPr>
          <w:rFonts w:ascii="Palatino Linotype" w:eastAsia="Palatino Linotype" w:hAnsi="Palatino Linotype" w:cs="Palatino Linotype"/>
          <w:sz w:val="22"/>
          <w:szCs w:val="22"/>
        </w:rPr>
        <w:t xml:space="preserve"> al medio ambiente: que el método utilizado produzca el mínimo de emisiones y desperdicios que afecten el medio ambiente. Divulgar esta información pudiera representar que los datos personales no puedan ser reutilizados o susceptibles de un mal uso por terceros.</w:t>
      </w:r>
    </w:p>
    <w:p w14:paraId="25CD15CF" w14:textId="77777777" w:rsidR="00A023B3" w:rsidRDefault="00A023B3">
      <w:pPr>
        <w:spacing w:line="360" w:lineRule="auto"/>
        <w:ind w:right="49"/>
        <w:jc w:val="both"/>
        <w:rPr>
          <w:rFonts w:ascii="Palatino Linotype" w:eastAsia="Palatino Linotype" w:hAnsi="Palatino Linotype" w:cs="Palatino Linotype"/>
          <w:sz w:val="22"/>
          <w:szCs w:val="22"/>
        </w:rPr>
      </w:pPr>
    </w:p>
    <w:p w14:paraId="47CA710D"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que hace al </w:t>
      </w:r>
      <w:r>
        <w:rPr>
          <w:rFonts w:ascii="Palatino Linotype" w:eastAsia="Palatino Linotype" w:hAnsi="Palatino Linotype" w:cs="Palatino Linotype"/>
          <w:b/>
          <w:sz w:val="22"/>
          <w:szCs w:val="22"/>
        </w:rPr>
        <w:t>plan de contingencia</w:t>
      </w:r>
      <w:r>
        <w:rPr>
          <w:rFonts w:ascii="Palatino Linotype" w:eastAsia="Palatino Linotype" w:hAnsi="Palatino Linotype" w:cs="Palatino Linotype"/>
          <w:sz w:val="22"/>
          <w:szCs w:val="22"/>
        </w:rPr>
        <w:t>, éste se relaciona con una eventual “situación de emergencia”</w:t>
      </w:r>
      <w:r>
        <w:rPr>
          <w:rFonts w:ascii="Palatino Linotype" w:eastAsia="Palatino Linotype" w:hAnsi="Palatino Linotype" w:cs="Palatino Linotype"/>
          <w:sz w:val="22"/>
          <w:szCs w:val="22"/>
          <w:vertAlign w:val="superscript"/>
        </w:rPr>
        <w:footnoteReference w:id="1"/>
      </w:r>
      <w:r>
        <w:rPr>
          <w:rFonts w:ascii="Palatino Linotype" w:eastAsia="Palatino Linotype" w:hAnsi="Palatino Linotype" w:cs="Palatino Linotype"/>
          <w:sz w:val="22"/>
          <w:szCs w:val="22"/>
        </w:rPr>
        <w:t xml:space="preserve"> respecto al tratamiento de datos personales de los titulares, caso en el que se concreta una excepción al Principio de Consentimiento previsto en el artículo 21, fracción VI de la Ley de protección de Datos Personales en Posesión de Sujetos Obligados aplicable en la Entidad, que al respecto establece: </w:t>
      </w:r>
    </w:p>
    <w:p w14:paraId="3C5FEB2C" w14:textId="77777777" w:rsidR="00A023B3" w:rsidRDefault="00A023B3">
      <w:pPr>
        <w:spacing w:line="259" w:lineRule="auto"/>
        <w:ind w:left="851" w:right="902"/>
        <w:jc w:val="both"/>
        <w:rPr>
          <w:rFonts w:ascii="Palatino Linotype" w:eastAsia="Palatino Linotype" w:hAnsi="Palatino Linotype" w:cs="Palatino Linotype"/>
          <w:i/>
          <w:sz w:val="22"/>
          <w:szCs w:val="22"/>
        </w:rPr>
      </w:pPr>
    </w:p>
    <w:p w14:paraId="46CDBC98" w14:textId="77777777" w:rsidR="00A023B3" w:rsidRDefault="003A06AD">
      <w:pPr>
        <w:spacing w:line="259"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21.</w:t>
      </w:r>
      <w:r>
        <w:rPr>
          <w:rFonts w:ascii="Palatino Linotype" w:eastAsia="Palatino Linotype" w:hAnsi="Palatino Linotype" w:cs="Palatino Linotype"/>
          <w:i/>
          <w:sz w:val="22"/>
          <w:szCs w:val="22"/>
        </w:rPr>
        <w:t xml:space="preserve"> El responsable no estará obligado a recabar el consentimiento de la o el titular para el tratamiento de sus datos personales en los casos siguientes:</w:t>
      </w:r>
    </w:p>
    <w:p w14:paraId="5DC8E33E" w14:textId="77777777" w:rsidR="00A023B3" w:rsidRDefault="003A06AD">
      <w:pPr>
        <w:spacing w:line="259" w:lineRule="auto"/>
        <w:ind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14:paraId="7EC29B0F" w14:textId="77777777" w:rsidR="00A023B3" w:rsidRDefault="003A06AD">
      <w:pPr>
        <w:spacing w:line="259"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Exista una situación de emergencia</w:t>
      </w:r>
      <w:r>
        <w:rPr>
          <w:rFonts w:ascii="Palatino Linotype" w:eastAsia="Palatino Linotype" w:hAnsi="Palatino Linotype" w:cs="Palatino Linotype"/>
          <w:i/>
          <w:sz w:val="22"/>
          <w:szCs w:val="22"/>
        </w:rPr>
        <w:t xml:space="preserve"> que pueda dañar a un individuo en su persona o en sus bienes.” (Sic)</w:t>
      </w:r>
    </w:p>
    <w:p w14:paraId="0AC390FA" w14:textId="77777777" w:rsidR="00A023B3" w:rsidRDefault="00A023B3">
      <w:pPr>
        <w:spacing w:line="259" w:lineRule="auto"/>
        <w:ind w:left="851" w:right="902"/>
        <w:jc w:val="both"/>
        <w:rPr>
          <w:rFonts w:ascii="Palatino Linotype" w:eastAsia="Palatino Linotype" w:hAnsi="Palatino Linotype" w:cs="Palatino Linotype"/>
          <w:b/>
          <w:i/>
          <w:sz w:val="22"/>
          <w:szCs w:val="22"/>
        </w:rPr>
      </w:pPr>
    </w:p>
    <w:p w14:paraId="0B9D8A7C"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w:t>
      </w:r>
      <w:r>
        <w:rPr>
          <w:rFonts w:ascii="Palatino Linotype" w:eastAsia="Palatino Linotype" w:hAnsi="Palatino Linotype" w:cs="Palatino Linotype"/>
          <w:b/>
          <w:sz w:val="22"/>
          <w:szCs w:val="22"/>
        </w:rPr>
        <w:t xml:space="preserve"> Plan de trabajo</w:t>
      </w:r>
      <w:r>
        <w:rPr>
          <w:rFonts w:ascii="Palatino Linotype" w:eastAsia="Palatino Linotype" w:hAnsi="Palatino Linotype" w:cs="Palatino Linotype"/>
          <w:sz w:val="22"/>
          <w:szCs w:val="22"/>
        </w:rPr>
        <w:t xml:space="preserve"> contiene lo relacionado con la implementación de las medidas de seguridad faltantes y las que dan complimiento cotidiano de las políticas de gestión y tratamiento de los datos personales.     </w:t>
      </w:r>
    </w:p>
    <w:p w14:paraId="35D66B59"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14:paraId="7DE106ED"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w:t>
      </w:r>
      <w:r>
        <w:rPr>
          <w:rFonts w:ascii="Palatino Linotype" w:eastAsia="Palatino Linotype" w:hAnsi="Palatino Linotype" w:cs="Palatino Linotype"/>
          <w:b/>
          <w:sz w:val="22"/>
          <w:szCs w:val="22"/>
          <w:u w:val="single"/>
        </w:rPr>
        <w:t>por lo que respecta al inciso o) de la fracción II que corresponde al Programa General de Capacitación</w:t>
      </w:r>
      <w:r>
        <w:rPr>
          <w:rFonts w:ascii="Palatino Linotype" w:eastAsia="Palatino Linotype" w:hAnsi="Palatino Linotype" w:cs="Palatino Linotype"/>
          <w:sz w:val="22"/>
          <w:szCs w:val="22"/>
        </w:rPr>
        <w:t xml:space="preserve">, no puede ser clasificado, pues si bien corresponde a acciones de seguridad, esta información no permite acceder a los datos personales protegidos; por el </w:t>
      </w:r>
      <w:proofErr w:type="gramStart"/>
      <w:r>
        <w:rPr>
          <w:rFonts w:ascii="Palatino Linotype" w:eastAsia="Palatino Linotype" w:hAnsi="Palatino Linotype" w:cs="Palatino Linotype"/>
          <w:sz w:val="22"/>
          <w:szCs w:val="22"/>
        </w:rPr>
        <w:t>contrario</w:t>
      </w:r>
      <w:proofErr w:type="gramEnd"/>
      <w:r>
        <w:rPr>
          <w:rFonts w:ascii="Palatino Linotype" w:eastAsia="Palatino Linotype" w:hAnsi="Palatino Linotype" w:cs="Palatino Linotype"/>
          <w:sz w:val="22"/>
          <w:szCs w:val="22"/>
        </w:rPr>
        <w:t xml:space="preserve"> rinde cuentas de que se capacitó al personal y que las capacitaciones corresponden con las necesidades de protección que tenga el Sujeto Obligado.</w:t>
      </w:r>
    </w:p>
    <w:p w14:paraId="3CD3AAE2" w14:textId="77777777" w:rsidR="00A023B3" w:rsidRDefault="00A023B3">
      <w:pPr>
        <w:spacing w:line="360" w:lineRule="auto"/>
        <w:ind w:right="49"/>
        <w:jc w:val="both"/>
        <w:rPr>
          <w:rFonts w:ascii="Palatino Linotype" w:eastAsia="Palatino Linotype" w:hAnsi="Palatino Linotype" w:cs="Palatino Linotype"/>
          <w:sz w:val="22"/>
          <w:szCs w:val="22"/>
        </w:rPr>
      </w:pPr>
    </w:p>
    <w:p w14:paraId="1F4F7273"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 expuesto, se advierte que los incisos de la fracción II del artículo 49 de la Ley de Protección de Datos Personales en Posesión de Sujetos Obligados del Estado de México, </w:t>
      </w:r>
      <w:r>
        <w:rPr>
          <w:rFonts w:ascii="Palatino Linotype" w:eastAsia="Palatino Linotype" w:hAnsi="Palatino Linotype" w:cs="Palatino Linotype"/>
          <w:b/>
          <w:sz w:val="22"/>
          <w:szCs w:val="22"/>
          <w:u w:val="single"/>
        </w:rPr>
        <w:t>a excepción del inciso o),</w:t>
      </w:r>
      <w:r>
        <w:rPr>
          <w:rFonts w:ascii="Palatino Linotype" w:eastAsia="Palatino Linotype" w:hAnsi="Palatino Linotype" w:cs="Palatino Linotype"/>
          <w:sz w:val="22"/>
          <w:szCs w:val="22"/>
        </w:rPr>
        <w:t xml:space="preserve"> contienen concretamente, la información relacionada con la vulnerabilidad concerniente a las medidas de seguridad que en el caso concreto debe proteger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pues se reitera, la puesta a disposición de la información referida en los incisos expuestos, pudiese causar un daño, alteración, pérdida, destrucción, o el uso, transferencia, acceso o cualquier tratamiento no autorizado o ilícito a la información que se encuentra en tratamiento en bases y sistemas de datos personales.  </w:t>
      </w:r>
    </w:p>
    <w:p w14:paraId="45E67128" w14:textId="77777777" w:rsidR="00A023B3" w:rsidRDefault="00A023B3">
      <w:pPr>
        <w:spacing w:line="360" w:lineRule="auto"/>
        <w:ind w:right="49"/>
        <w:jc w:val="both"/>
        <w:rPr>
          <w:rFonts w:ascii="Palatino Linotype" w:eastAsia="Palatino Linotype" w:hAnsi="Palatino Linotype" w:cs="Palatino Linotype"/>
          <w:sz w:val="22"/>
          <w:szCs w:val="22"/>
        </w:rPr>
      </w:pPr>
    </w:p>
    <w:p w14:paraId="348FDB08" w14:textId="77777777" w:rsidR="00A023B3" w:rsidRDefault="003A06AD">
      <w:pP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tanto, derivado del presente estudio se concluye que todo lo concerniente a la </w:t>
      </w:r>
      <w:r>
        <w:rPr>
          <w:rFonts w:ascii="Palatino Linotype" w:eastAsia="Palatino Linotype" w:hAnsi="Palatino Linotype" w:cs="Palatino Linotype"/>
          <w:b/>
          <w:sz w:val="22"/>
          <w:szCs w:val="22"/>
        </w:rPr>
        <w:t>fracción I</w:t>
      </w:r>
      <w:r>
        <w:rPr>
          <w:rFonts w:ascii="Palatino Linotype" w:eastAsia="Palatino Linotype" w:hAnsi="Palatino Linotype" w:cs="Palatino Linotype"/>
          <w:sz w:val="22"/>
          <w:szCs w:val="22"/>
        </w:rPr>
        <w:t xml:space="preserve"> del artículo 49 de la Ley de Protección de Datos Personales en Posesión de Sujetos </w:t>
      </w:r>
      <w:r>
        <w:rPr>
          <w:rFonts w:ascii="Palatino Linotype" w:eastAsia="Palatino Linotype" w:hAnsi="Palatino Linotype" w:cs="Palatino Linotype"/>
          <w:sz w:val="22"/>
          <w:szCs w:val="22"/>
        </w:rPr>
        <w:lastRenderedPageBreak/>
        <w:t xml:space="preserve">Obligados del Estado de México y Municipios </w:t>
      </w:r>
      <w:r>
        <w:rPr>
          <w:rFonts w:ascii="Palatino Linotype" w:eastAsia="Palatino Linotype" w:hAnsi="Palatino Linotype" w:cs="Palatino Linotype"/>
          <w:b/>
          <w:sz w:val="22"/>
          <w:szCs w:val="22"/>
        </w:rPr>
        <w:t>si deberá entregarse, con excepción del contenido del inciso f),</w:t>
      </w:r>
      <w:r>
        <w:rPr>
          <w:rFonts w:ascii="Palatino Linotype" w:eastAsia="Palatino Linotype" w:hAnsi="Palatino Linotype" w:cs="Palatino Linotype"/>
          <w:sz w:val="22"/>
          <w:szCs w:val="22"/>
        </w:rPr>
        <w:t xml:space="preserve"> cuya </w:t>
      </w:r>
      <w:r>
        <w:rPr>
          <w:rFonts w:ascii="Palatino Linotype" w:eastAsia="Palatino Linotype" w:hAnsi="Palatino Linotype" w:cs="Palatino Linotype"/>
          <w:b/>
          <w:sz w:val="22"/>
          <w:szCs w:val="22"/>
        </w:rPr>
        <w:t xml:space="preserve">publicidad queda sujeta al análisis pormenorizado que realice el ente obligado; </w:t>
      </w:r>
      <w:r>
        <w:rPr>
          <w:rFonts w:ascii="Palatino Linotype" w:eastAsia="Palatino Linotype" w:hAnsi="Palatino Linotype" w:cs="Palatino Linotype"/>
          <w:sz w:val="22"/>
          <w:szCs w:val="22"/>
        </w:rPr>
        <w:t xml:space="preserve">mientras que lo previsto en la </w:t>
      </w:r>
      <w:r>
        <w:rPr>
          <w:rFonts w:ascii="Palatino Linotype" w:eastAsia="Palatino Linotype" w:hAnsi="Palatino Linotype" w:cs="Palatino Linotype"/>
          <w:b/>
          <w:sz w:val="22"/>
          <w:szCs w:val="22"/>
        </w:rPr>
        <w:t>fracción II, con excepción del inciso o) que es información pública,</w:t>
      </w:r>
      <w:r>
        <w:rPr>
          <w:rFonts w:ascii="Palatino Linotype" w:eastAsia="Palatino Linotype" w:hAnsi="Palatino Linotype" w:cs="Palatino Linotype"/>
          <w:sz w:val="22"/>
          <w:szCs w:val="22"/>
        </w:rPr>
        <w:t xml:space="preserve"> de la citada normatividad no es susceptible de entrega, por las razones previamente expuestas en líneas argumentativas anter</w:t>
      </w:r>
      <w:r>
        <w:rPr>
          <w:rFonts w:ascii="Palatino Linotype" w:eastAsia="Palatino Linotype" w:hAnsi="Palatino Linotype" w:cs="Palatino Linotype"/>
          <w:sz w:val="22"/>
          <w:szCs w:val="22"/>
        </w:rPr>
        <w:t>iores.</w:t>
      </w:r>
    </w:p>
    <w:p w14:paraId="0DD29109" w14:textId="77777777" w:rsidR="00A023B3" w:rsidRDefault="00A023B3">
      <w:pPr>
        <w:spacing w:line="360" w:lineRule="auto"/>
        <w:ind w:right="49"/>
        <w:jc w:val="both"/>
        <w:rPr>
          <w:rFonts w:ascii="Palatino Linotype" w:eastAsia="Palatino Linotype" w:hAnsi="Palatino Linotype" w:cs="Palatino Linotype"/>
          <w:sz w:val="22"/>
          <w:szCs w:val="22"/>
        </w:rPr>
      </w:pPr>
    </w:p>
    <w:p w14:paraId="6212B28D"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es de agregar que, </w:t>
      </w:r>
      <w:r>
        <w:rPr>
          <w:rFonts w:ascii="Palatino Linotype" w:eastAsia="Palatino Linotype" w:hAnsi="Palatino Linotype" w:cs="Palatino Linotype"/>
          <w:b/>
          <w:sz w:val="22"/>
          <w:szCs w:val="22"/>
          <w:u w:val="single"/>
        </w:rPr>
        <w:t>el documento de seguridad debe ser actualizado, cuando se considere así por el Sujeto Obligado, Responsables y/o administradores,</w:t>
      </w:r>
      <w:r>
        <w:rPr>
          <w:rFonts w:ascii="Palatino Linotype" w:eastAsia="Palatino Linotype" w:hAnsi="Palatino Linotype" w:cs="Palatino Linotype"/>
          <w:sz w:val="22"/>
          <w:szCs w:val="22"/>
        </w:rPr>
        <w:t xml:space="preserve"> de tal suerte que, en el presente asunto, se tiene que la unidad administrativa competente no emitió pronunciamiento alguno respecto a la actualización de los documentos de seguridad, del primero de enero de dos mil veinticuatro al dieciocho de marzo de dos mil veinticinco, generando incertidumbre al particular por desconocer si existen o no actualizaciones a los documentos de se</w:t>
      </w:r>
      <w:r>
        <w:rPr>
          <w:rFonts w:ascii="Palatino Linotype" w:eastAsia="Palatino Linotype" w:hAnsi="Palatino Linotype" w:cs="Palatino Linotype"/>
          <w:sz w:val="22"/>
          <w:szCs w:val="22"/>
        </w:rPr>
        <w:t xml:space="preserve">guridad, es decir, no se indica si llevaron a cabo actualizaciones dentro del periodo solicitado. </w:t>
      </w:r>
    </w:p>
    <w:p w14:paraId="0258B27A" w14:textId="77777777" w:rsidR="00A023B3" w:rsidRDefault="00A023B3">
      <w:pPr>
        <w:spacing w:line="360" w:lineRule="auto"/>
        <w:jc w:val="both"/>
        <w:rPr>
          <w:rFonts w:ascii="Palatino Linotype" w:eastAsia="Palatino Linotype" w:hAnsi="Palatino Linotype" w:cs="Palatino Linotype"/>
          <w:sz w:val="22"/>
          <w:szCs w:val="22"/>
        </w:rPr>
      </w:pPr>
    </w:p>
    <w:p w14:paraId="1FC3B156" w14:textId="77777777" w:rsidR="00A023B3" w:rsidRDefault="003A06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tal sentido, resulta aplicable el Criterio orientador 02/17 emitido por el Pleno del entonces Instituto Nacional de Transparencia y Acceso a la Información y Protección de Datos Personales, de título y texto siguientes:</w:t>
      </w:r>
    </w:p>
    <w:p w14:paraId="317700DE" w14:textId="77777777" w:rsidR="00A023B3" w:rsidRDefault="00A023B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D692036" w14:textId="77777777" w:rsidR="00A023B3" w:rsidRDefault="003A06AD">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“Congruencia y exhaustividad. Sus alcances para garantizar el derecho de acceso a la información. </w:t>
      </w:r>
      <w:r>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w:t>
      </w:r>
      <w:r>
        <w:rPr>
          <w:rFonts w:ascii="Palatino Linotype" w:eastAsia="Palatino Linotype" w:hAnsi="Palatino Linotype" w:cs="Palatino Linotype"/>
          <w:b/>
          <w:i/>
          <w:sz w:val="22"/>
          <w:szCs w:val="22"/>
        </w:rPr>
        <w:t>o</w:t>
      </w:r>
      <w:r>
        <w:rPr>
          <w:rFonts w:ascii="Palatino Linotype" w:eastAsia="Palatino Linotype" w:hAnsi="Palatino Linotype" w:cs="Palatino Linotype"/>
          <w:i/>
          <w:sz w:val="22"/>
          <w:szCs w:val="22"/>
        </w:rPr>
        <w:t xml:space="preserve">; mientras que </w:t>
      </w:r>
      <w:r>
        <w:rPr>
          <w:rFonts w:ascii="Palatino Linotype" w:eastAsia="Palatino Linotype" w:hAnsi="Palatino Linotype" w:cs="Palatino Linotype"/>
          <w:b/>
          <w:i/>
          <w:sz w:val="22"/>
          <w:szCs w:val="22"/>
        </w:rPr>
        <w:t>la exhaustividad significa que dicha respuesta se refiera expresamente a cada uno de los puntos solicitados</w:t>
      </w:r>
      <w:r>
        <w:rPr>
          <w:rFonts w:ascii="Palatino Linotype" w:eastAsia="Palatino Linotype" w:hAnsi="Palatino Linotype" w:cs="Palatino Linotype"/>
          <w:i/>
          <w:sz w:val="22"/>
          <w:szCs w:val="22"/>
        </w:rPr>
        <w:t xml:space="preserve">. Por lo anterior, </w:t>
      </w:r>
      <w:r>
        <w:rPr>
          <w:rFonts w:ascii="Palatino Linotype" w:eastAsia="Palatino Linotype" w:hAnsi="Palatino Linotype" w:cs="Palatino Linotype"/>
          <w:i/>
          <w:sz w:val="22"/>
          <w:szCs w:val="22"/>
        </w:rPr>
        <w:lastRenderedPageBreak/>
        <w:t>los sujetos obligados cumplirán con los principios de congruencia y exhaustividad, cuando las respuestas que emitan guarden una relación lógica con lo solicitado y atiendan de manera puntual y expresa, cada uno de los contenidos de información.”</w:t>
      </w:r>
    </w:p>
    <w:p w14:paraId="0505901D" w14:textId="77777777" w:rsidR="00A023B3" w:rsidRDefault="00A023B3">
      <w:pPr>
        <w:spacing w:line="360" w:lineRule="auto"/>
        <w:ind w:right="-7"/>
        <w:jc w:val="both"/>
        <w:rPr>
          <w:rFonts w:ascii="Palatino Linotype" w:eastAsia="Palatino Linotype" w:hAnsi="Palatino Linotype" w:cs="Palatino Linotype"/>
          <w:sz w:val="22"/>
          <w:szCs w:val="22"/>
        </w:rPr>
      </w:pPr>
    </w:p>
    <w:p w14:paraId="41764981"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ahí que, la respuesta proporcionada al requerimiento en análisis no cumple con los principios de congruencia y exhaustividad.</w:t>
      </w:r>
    </w:p>
    <w:p w14:paraId="71EEB0B4" w14:textId="77777777" w:rsidR="00A023B3" w:rsidRDefault="00A023B3">
      <w:pPr>
        <w:spacing w:line="360" w:lineRule="auto"/>
        <w:jc w:val="both"/>
        <w:rPr>
          <w:rFonts w:ascii="Palatino Linotype" w:eastAsia="Palatino Linotype" w:hAnsi="Palatino Linotype" w:cs="Palatino Linotype"/>
          <w:sz w:val="22"/>
          <w:szCs w:val="22"/>
        </w:rPr>
      </w:pPr>
    </w:p>
    <w:p w14:paraId="6CFDD73C"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tanto, en el caso, a fin de colmar el derecho de acceso a la información pública del particular, resulta procedente ordenar que, en cumplimiento a la presente resolución el </w:t>
      </w:r>
      <w:r>
        <w:rPr>
          <w:rFonts w:ascii="Palatino Linotype" w:eastAsia="Palatino Linotype" w:hAnsi="Palatino Linotype" w:cs="Palatino Linotype"/>
          <w:b/>
          <w:sz w:val="22"/>
          <w:szCs w:val="22"/>
        </w:rPr>
        <w:t xml:space="preserve">Sujeto Obligado, </w:t>
      </w:r>
      <w:r>
        <w:rPr>
          <w:rFonts w:ascii="Palatino Linotype" w:eastAsia="Palatino Linotype" w:hAnsi="Palatino Linotype" w:cs="Palatino Linotype"/>
          <w:sz w:val="22"/>
          <w:szCs w:val="22"/>
        </w:rPr>
        <w:t xml:space="preserve">haga entrega, previa búsqueda exhaustiva y razonable, de ser procedente en versión pública, de </w:t>
      </w:r>
      <w:r>
        <w:rPr>
          <w:rFonts w:ascii="Palatino Linotype" w:eastAsia="Palatino Linotype" w:hAnsi="Palatino Linotype" w:cs="Palatino Linotype"/>
          <w:b/>
          <w:sz w:val="22"/>
          <w:szCs w:val="22"/>
        </w:rPr>
        <w:t>los documentos de seguridad vigentes al dieciocho de marzo de dos mil veinticinco.</w:t>
      </w:r>
    </w:p>
    <w:p w14:paraId="6136FDB9" w14:textId="77777777" w:rsidR="00A023B3" w:rsidRDefault="00A023B3">
      <w:pPr>
        <w:spacing w:line="360" w:lineRule="auto"/>
        <w:jc w:val="both"/>
        <w:rPr>
          <w:rFonts w:ascii="Palatino Linotype" w:eastAsia="Palatino Linotype" w:hAnsi="Palatino Linotype" w:cs="Palatino Linotype"/>
          <w:b/>
          <w:sz w:val="22"/>
          <w:szCs w:val="22"/>
        </w:rPr>
      </w:pPr>
    </w:p>
    <w:p w14:paraId="15B095D3" w14:textId="77777777" w:rsidR="00A023B3" w:rsidRDefault="003A06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Finalmente, no escapa de la óptica de este Organismo Garante que la parte Recurrente al momento de interponer el recurso de revisión de mérito, manifestó: </w:t>
      </w:r>
      <w:r>
        <w:rPr>
          <w:rFonts w:ascii="Palatino Linotype" w:eastAsia="Palatino Linotype" w:hAnsi="Palatino Linotype" w:cs="Palatino Linotype"/>
          <w:b/>
          <w:i/>
          <w:sz w:val="22"/>
          <w:szCs w:val="22"/>
        </w:rPr>
        <w:t>“… NO ME ENTREGAN DOCUMENTOS DE SEGURIDAD Y LOS AVISOS DE PRIVACIDAD NO ENVIAN LAS SESION DEL COMITE DE TRANSPARENCIA DONDE APROBARON … POR MODIFICACIÓN EN SU CASO CREACIÓN DE BASES DE DATOS DEL PRIMER O SEGUNDO SEMESTRE DEL 2024 Y DEL PRIMER O SEGUNDO SEMESTRE DEL 2025.”</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sz w:val="22"/>
          <w:szCs w:val="22"/>
        </w:rPr>
        <w:t>sin embargo, de dicho pronunciamiento se desprende que la persona solicitante pretendió ampliar su solicitud, es decir, lo precisado no fue requerido en un primer momento en dichos términos, toda vez que se advierte que al momento de pres</w:t>
      </w:r>
      <w:r>
        <w:rPr>
          <w:rFonts w:ascii="Palatino Linotype" w:eastAsia="Palatino Linotype" w:hAnsi="Palatino Linotype" w:cs="Palatino Linotype"/>
          <w:sz w:val="22"/>
          <w:szCs w:val="22"/>
        </w:rPr>
        <w:t xml:space="preserve">entar su solicitud de información, este requerimiento, no formaba parte; por lo que, no es motivo de análisis en el presente estudio. En este sentido, dichos pronunciamientos se traducen como </w:t>
      </w:r>
      <w:proofErr w:type="gramStart"/>
      <w:r>
        <w:rPr>
          <w:rFonts w:ascii="Palatino Linotype" w:eastAsia="Palatino Linotype" w:hAnsi="Palatino Linotype" w:cs="Palatino Linotype"/>
          <w:sz w:val="22"/>
          <w:szCs w:val="22"/>
        </w:rPr>
        <w:t xml:space="preserve">una </w:t>
      </w:r>
      <w:r>
        <w:rPr>
          <w:rFonts w:ascii="Palatino Linotype" w:eastAsia="Palatino Linotype" w:hAnsi="Palatino Linotype" w:cs="Palatino Linotype"/>
          <w:i/>
          <w:sz w:val="22"/>
          <w:szCs w:val="22"/>
        </w:rPr>
        <w:t>plus</w:t>
      </w:r>
      <w:proofErr w:type="gramEnd"/>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petitio</w:t>
      </w:r>
      <w:proofErr w:type="spellEnd"/>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y por tanto inatendibles a través del recurso de revisión. </w:t>
      </w:r>
    </w:p>
    <w:p w14:paraId="32707D8B" w14:textId="77777777" w:rsidR="00A023B3" w:rsidRDefault="00A023B3">
      <w:pPr>
        <w:spacing w:line="360" w:lineRule="auto"/>
        <w:ind w:right="51"/>
        <w:jc w:val="both"/>
        <w:rPr>
          <w:rFonts w:ascii="Palatino Linotype" w:eastAsia="Palatino Linotype" w:hAnsi="Palatino Linotype" w:cs="Palatino Linotype"/>
          <w:sz w:val="22"/>
          <w:szCs w:val="22"/>
        </w:rPr>
      </w:pPr>
    </w:p>
    <w:p w14:paraId="208D18B0" w14:textId="77777777" w:rsidR="00A023B3" w:rsidRDefault="003A06AD">
      <w:pP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este orden de ideas, una vez formulada su solicitud inicial,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5FF8CD96" w14:textId="77777777" w:rsidR="00A023B3" w:rsidRDefault="00A023B3">
      <w:pPr>
        <w:spacing w:line="360" w:lineRule="auto"/>
        <w:ind w:right="51"/>
        <w:jc w:val="both"/>
        <w:rPr>
          <w:rFonts w:ascii="Palatino Linotype" w:eastAsia="Palatino Linotype" w:hAnsi="Palatino Linotype" w:cs="Palatino Linotype"/>
          <w:sz w:val="22"/>
          <w:szCs w:val="22"/>
        </w:rPr>
      </w:pPr>
    </w:p>
    <w:p w14:paraId="66F3CF6D" w14:textId="77777777" w:rsidR="00A023B3" w:rsidRDefault="003A06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26983EE" w14:textId="77777777" w:rsidR="00A023B3" w:rsidRDefault="00A023B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F71A8E" w14:textId="77777777" w:rsidR="00A023B3" w:rsidRDefault="003A06AD">
      <w:pPr>
        <w:ind w:left="567" w:right="5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w:t>
      </w:r>
      <w:r>
        <w:rPr>
          <w:rFonts w:ascii="Palatino Linotype" w:eastAsia="Palatino Linotype" w:hAnsi="Palatino Linotype" w:cs="Palatino Linotype"/>
          <w:i/>
          <w:sz w:val="22"/>
          <w:szCs w:val="22"/>
        </w:rPr>
        <w:t xml:space="preserve"> del procedimiento a sustanciarse por el Instituto Nacional de Transparencia, Acceso a la Información y Protección de Datos Personales; actualizándose la hipótesis de improcedencia respectiva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66C26BF0" w14:textId="77777777" w:rsidR="00A023B3" w:rsidRDefault="00A023B3">
      <w:pPr>
        <w:ind w:left="851" w:right="900"/>
        <w:jc w:val="both"/>
        <w:rPr>
          <w:rFonts w:ascii="Palatino Linotype" w:eastAsia="Palatino Linotype" w:hAnsi="Palatino Linotype" w:cs="Palatino Linotype"/>
          <w:sz w:val="22"/>
          <w:szCs w:val="22"/>
        </w:rPr>
      </w:pPr>
    </w:p>
    <w:p w14:paraId="4BB3B26D" w14:textId="77777777" w:rsidR="00A023B3" w:rsidRDefault="003A06AD">
      <w:pPr>
        <w:spacing w:line="360" w:lineRule="auto"/>
        <w:jc w:val="both"/>
        <w:rPr>
          <w:rFonts w:ascii="Palatino Linotype" w:eastAsia="Palatino Linotype" w:hAnsi="Palatino Linotype" w:cs="Palatino Linotype"/>
          <w:sz w:val="22"/>
          <w:szCs w:val="22"/>
          <w:u w:val="single"/>
        </w:rPr>
      </w:pPr>
      <w:r>
        <w:rPr>
          <w:rFonts w:ascii="Palatino Linotype" w:eastAsia="Palatino Linotype" w:hAnsi="Palatino Linotype" w:cs="Palatino Linotype"/>
          <w:sz w:val="22"/>
          <w:szCs w:val="22"/>
        </w:rPr>
        <w:t xml:space="preserve">No obstante, de lo anterior, se dejan a salvo los derechos de la persona solicitante, para que, en caso de considerar conveniente a sus intereses, el conocer la información que fue señalada, </w:t>
      </w:r>
      <w:r>
        <w:rPr>
          <w:rFonts w:ascii="Palatino Linotype" w:eastAsia="Palatino Linotype" w:hAnsi="Palatino Linotype" w:cs="Palatino Linotype"/>
          <w:sz w:val="22"/>
          <w:szCs w:val="22"/>
          <w:u w:val="single"/>
        </w:rPr>
        <w:t>la solicite a través de una nueva solicitud de información, señalando de manera clara y precisa la información y/o documentación a la que pretende acceder mediante el ejercicio del derecho de acceso a la información.</w:t>
      </w:r>
    </w:p>
    <w:p w14:paraId="47D0CA14" w14:textId="77777777" w:rsidR="00A023B3" w:rsidRDefault="00A023B3">
      <w:pPr>
        <w:spacing w:line="360" w:lineRule="auto"/>
        <w:jc w:val="both"/>
        <w:rPr>
          <w:rFonts w:ascii="Palatino Linotype" w:eastAsia="Palatino Linotype" w:hAnsi="Palatino Linotype" w:cs="Palatino Linotype"/>
          <w:sz w:val="22"/>
          <w:szCs w:val="22"/>
        </w:rPr>
      </w:pPr>
    </w:p>
    <w:p w14:paraId="2FE529DF" w14:textId="77777777" w:rsidR="00A023B3" w:rsidRDefault="003A06A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Quinto. Versión Pública. </w:t>
      </w:r>
      <w:r>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w:t>
      </w:r>
      <w:r>
        <w:rPr>
          <w:rFonts w:ascii="Palatino Linotype" w:eastAsia="Palatino Linotype" w:hAnsi="Palatino Linotype" w:cs="Palatino Linotype"/>
          <w:sz w:val="22"/>
          <w:szCs w:val="22"/>
        </w:rPr>
        <w:lastRenderedPageBreak/>
        <w:t>clasificados en los términos que la misma Ley de la Materia señala, el Sujeto Obligado tendrá que hacer la elaboración de una versión pública de los documentos que vaya entregar para dar cumplimiento a esta resolución, a fin de satisfacer el derecho de acceso a la inform</w:t>
      </w:r>
      <w:r>
        <w:rPr>
          <w:rFonts w:ascii="Palatino Linotype" w:eastAsia="Palatino Linotype" w:hAnsi="Palatino Linotype" w:cs="Palatino Linotype"/>
          <w:sz w:val="22"/>
          <w:szCs w:val="22"/>
        </w:rPr>
        <w:t xml:space="preserve">ación pública de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sin menoscabar el derecho a la protección de los datos personales de terceros.</w:t>
      </w:r>
    </w:p>
    <w:p w14:paraId="05842A3B" w14:textId="77777777" w:rsidR="00A023B3" w:rsidRDefault="00A023B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A54C139" w14:textId="77777777" w:rsidR="00A023B3" w:rsidRDefault="003A06A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60856C7D" w14:textId="77777777" w:rsidR="00A023B3" w:rsidRDefault="00A023B3">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99FEDDE"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“Artículo 3. Para los efectos de la presente Ley se entenderá por:</w:t>
      </w:r>
    </w:p>
    <w:p w14:paraId="07756486"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14:paraId="3D9E1A5C"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14:paraId="7565FF4E"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50042E7"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6138397" w14:textId="77777777" w:rsidR="00A023B3" w:rsidRDefault="00A023B3">
      <w:pPr>
        <w:spacing w:line="276" w:lineRule="auto"/>
        <w:ind w:left="567" w:right="900"/>
        <w:jc w:val="both"/>
        <w:rPr>
          <w:rFonts w:ascii="Palatino Linotype" w:eastAsia="Palatino Linotype" w:hAnsi="Palatino Linotype" w:cs="Palatino Linotype"/>
          <w:sz w:val="22"/>
          <w:szCs w:val="22"/>
        </w:rPr>
      </w:pPr>
    </w:p>
    <w:p w14:paraId="45AC125E"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w:t>
      </w:r>
      <w:r>
        <w:rPr>
          <w:rFonts w:ascii="Palatino Linotype" w:eastAsia="Palatino Linotype" w:hAnsi="Palatino Linotype" w:cs="Palatino Linotype"/>
          <w:i/>
          <w:sz w:val="22"/>
          <w:szCs w:val="22"/>
        </w:rPr>
        <w:t>n las leyes de la materia.”</w:t>
      </w:r>
    </w:p>
    <w:p w14:paraId="75498A2B" w14:textId="77777777" w:rsidR="00A023B3" w:rsidRDefault="00A023B3">
      <w:pPr>
        <w:spacing w:line="276" w:lineRule="auto"/>
        <w:ind w:left="567" w:right="900"/>
        <w:jc w:val="both"/>
        <w:rPr>
          <w:rFonts w:ascii="Palatino Linotype" w:eastAsia="Palatino Linotype" w:hAnsi="Palatino Linotype" w:cs="Palatino Linotype"/>
          <w:sz w:val="22"/>
          <w:szCs w:val="22"/>
        </w:rPr>
      </w:pPr>
    </w:p>
    <w:p w14:paraId="214694A6"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BC1760E" w14:textId="77777777" w:rsidR="00A023B3" w:rsidRDefault="00A023B3">
      <w:pPr>
        <w:spacing w:line="276" w:lineRule="auto"/>
        <w:jc w:val="both"/>
        <w:rPr>
          <w:rFonts w:ascii="Palatino Linotype" w:eastAsia="Palatino Linotype" w:hAnsi="Palatino Linotype" w:cs="Palatino Linotype"/>
          <w:sz w:val="22"/>
          <w:szCs w:val="22"/>
        </w:rPr>
      </w:pPr>
    </w:p>
    <w:p w14:paraId="37DAB115"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BC83CBB"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2BCEC46D"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652520E"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w:t>
      </w:r>
    </w:p>
    <w:p w14:paraId="0F22AF5E" w14:textId="77777777" w:rsidR="00A023B3" w:rsidRDefault="00A023B3">
      <w:pPr>
        <w:spacing w:line="360" w:lineRule="auto"/>
        <w:jc w:val="both"/>
        <w:rPr>
          <w:rFonts w:ascii="Palatino Linotype" w:eastAsia="Palatino Linotype" w:hAnsi="Palatino Linotype" w:cs="Palatino Linotype"/>
          <w:sz w:val="22"/>
          <w:szCs w:val="22"/>
        </w:rPr>
      </w:pPr>
    </w:p>
    <w:p w14:paraId="40AE592E" w14:textId="77777777" w:rsidR="00A023B3" w:rsidRDefault="003A06A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w:t>
      </w:r>
      <w:r>
        <w:rPr>
          <w:rFonts w:ascii="Palatino Linotype" w:eastAsia="Palatino Linotype" w:hAnsi="Palatino Linotype" w:cs="Palatino Linotype"/>
          <w:sz w:val="22"/>
          <w:szCs w:val="22"/>
        </w:rPr>
        <w:t>o que señala la fracción XII del artículo 4 de la Ley de Protección de Datos Personales en Posesión de Sujetos Obligados del Estado de México.</w:t>
      </w:r>
    </w:p>
    <w:p w14:paraId="7B9FFDBE" w14:textId="77777777" w:rsidR="00A023B3" w:rsidRDefault="00A023B3">
      <w:pPr>
        <w:spacing w:line="360" w:lineRule="auto"/>
        <w:jc w:val="both"/>
        <w:rPr>
          <w:rFonts w:ascii="Palatino Linotype" w:eastAsia="Palatino Linotype" w:hAnsi="Palatino Linotype" w:cs="Palatino Linotype"/>
          <w:sz w:val="22"/>
          <w:szCs w:val="22"/>
        </w:rPr>
      </w:pPr>
    </w:p>
    <w:p w14:paraId="43D65F87" w14:textId="77777777" w:rsidR="00A023B3" w:rsidRDefault="003A06AD">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Datos que deberá clasificar como confidenciales por tratarse precisamente de información privada, puesto que los datos personales son irrenunciables, intransferibles e indelegables y los Sujetos Obligados no deberán hacer entrega de </w:t>
      </w:r>
      <w:proofErr w:type="gramStart"/>
      <w:r>
        <w:rPr>
          <w:rFonts w:ascii="Palatino Linotype" w:eastAsia="Palatino Linotype" w:hAnsi="Palatino Linotype" w:cs="Palatino Linotype"/>
          <w:sz w:val="22"/>
          <w:szCs w:val="22"/>
        </w:rPr>
        <w:t>los mismos</w:t>
      </w:r>
      <w:proofErr w:type="gramEnd"/>
      <w:r>
        <w:rPr>
          <w:rFonts w:ascii="Palatino Linotype" w:eastAsia="Palatino Linotype" w:hAnsi="Palatino Linotype" w:cs="Palatino Linotype"/>
          <w:sz w:val="22"/>
          <w:szCs w:val="22"/>
        </w:rPr>
        <w:t xml:space="preserve"> a personas ajenas a su titular.</w:t>
      </w:r>
    </w:p>
    <w:p w14:paraId="121BA17A" w14:textId="77777777" w:rsidR="00A023B3" w:rsidRDefault="00A023B3">
      <w:pPr>
        <w:spacing w:line="360" w:lineRule="auto"/>
        <w:jc w:val="both"/>
        <w:rPr>
          <w:rFonts w:ascii="Palatino Linotype" w:eastAsia="Palatino Linotype" w:hAnsi="Palatino Linotype" w:cs="Palatino Linotype"/>
          <w:sz w:val="22"/>
          <w:szCs w:val="22"/>
        </w:rPr>
      </w:pPr>
    </w:p>
    <w:p w14:paraId="490E7A38" w14:textId="77777777" w:rsidR="00A023B3" w:rsidRDefault="003A06A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w:t>
      </w:r>
      <w:proofErr w:type="gramStart"/>
      <w:r>
        <w:rPr>
          <w:rFonts w:ascii="Palatino Linotype" w:eastAsia="Palatino Linotype" w:hAnsi="Palatino Linotype" w:cs="Palatino Linotype"/>
          <w:sz w:val="22"/>
          <w:szCs w:val="22"/>
        </w:rPr>
        <w:t>Responsable</w:t>
      </w:r>
      <w:proofErr w:type="gramEnd"/>
      <w:r>
        <w:rPr>
          <w:rFonts w:ascii="Palatino Linotype" w:eastAsia="Palatino Linotype" w:hAnsi="Palatino Linotype" w:cs="Palatino Linotype"/>
          <w:sz w:val="22"/>
          <w:szCs w:val="22"/>
        </w:rPr>
        <w:t xml:space="preserve"> de la Unidad de Transparencia del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4B739953" w14:textId="77777777" w:rsidR="00A023B3" w:rsidRDefault="00A023B3">
      <w:pPr>
        <w:spacing w:line="360" w:lineRule="auto"/>
        <w:jc w:val="both"/>
        <w:rPr>
          <w:rFonts w:ascii="Palatino Linotype" w:eastAsia="Palatino Linotype" w:hAnsi="Palatino Linotype" w:cs="Palatino Linotype"/>
          <w:sz w:val="22"/>
          <w:szCs w:val="22"/>
        </w:rPr>
      </w:pPr>
    </w:p>
    <w:p w14:paraId="2CCDDCF8"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70A2EB6F"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352EFD42"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66B6913C"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w:t>
      </w:r>
    </w:p>
    <w:p w14:paraId="04EE96D9"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501DB376"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 </w:t>
      </w:r>
    </w:p>
    <w:p w14:paraId="1E7A8B4A" w14:textId="77777777" w:rsidR="00A023B3" w:rsidRDefault="00A023B3">
      <w:pPr>
        <w:spacing w:line="360" w:lineRule="auto"/>
        <w:jc w:val="both"/>
        <w:rPr>
          <w:rFonts w:ascii="Palatino Linotype" w:eastAsia="Palatino Linotype" w:hAnsi="Palatino Linotype" w:cs="Palatino Linotype"/>
          <w:sz w:val="22"/>
          <w:szCs w:val="22"/>
        </w:rPr>
      </w:pPr>
    </w:p>
    <w:p w14:paraId="5E3E4C0E" w14:textId="77777777" w:rsidR="00A023B3" w:rsidRDefault="003A06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w:t>
      </w:r>
      <w:r>
        <w:rPr>
          <w:rFonts w:ascii="Palatino Linotype" w:eastAsia="Palatino Linotype" w:hAnsi="Palatino Linotype" w:cs="Palatino Linotype"/>
          <w:sz w:val="22"/>
          <w:szCs w:val="22"/>
        </w:rPr>
        <w:t xml:space="preserve">información y </w:t>
      </w:r>
      <w:r>
        <w:rPr>
          <w:rFonts w:ascii="Palatino Linotype" w:eastAsia="Palatino Linotype" w:hAnsi="Palatino Linotype" w:cs="Palatino Linotype"/>
          <w:sz w:val="22"/>
          <w:szCs w:val="22"/>
        </w:rPr>
        <w:lastRenderedPageBreak/>
        <w:t>finalmente sea éste último quien apruebe, modifique o revoque la clasificación de la información solicitada.</w:t>
      </w:r>
    </w:p>
    <w:p w14:paraId="16F89B71" w14:textId="77777777" w:rsidR="00A023B3" w:rsidRDefault="00A023B3">
      <w:pPr>
        <w:spacing w:line="360" w:lineRule="auto"/>
        <w:jc w:val="both"/>
        <w:rPr>
          <w:rFonts w:ascii="Palatino Linotype" w:eastAsia="Palatino Linotype" w:hAnsi="Palatino Linotype" w:cs="Palatino Linotype"/>
          <w:sz w:val="22"/>
          <w:szCs w:val="22"/>
        </w:rPr>
      </w:pPr>
    </w:p>
    <w:p w14:paraId="5A6FF62C" w14:textId="77777777" w:rsidR="00A023B3" w:rsidRDefault="003A06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443D1B3" w14:textId="77777777" w:rsidR="00A023B3" w:rsidRDefault="00A023B3">
      <w:pPr>
        <w:spacing w:line="276" w:lineRule="auto"/>
        <w:jc w:val="both"/>
        <w:rPr>
          <w:rFonts w:ascii="Palatino Linotype" w:eastAsia="Palatino Linotype" w:hAnsi="Palatino Linotype" w:cs="Palatino Linotype"/>
          <w:sz w:val="22"/>
          <w:szCs w:val="22"/>
        </w:rPr>
      </w:pPr>
    </w:p>
    <w:p w14:paraId="08D08018" w14:textId="77777777" w:rsidR="00A023B3" w:rsidRDefault="003A06AD">
      <w:pPr>
        <w:pBdr>
          <w:top w:val="nil"/>
          <w:left w:val="nil"/>
          <w:bottom w:val="nil"/>
          <w:right w:val="nil"/>
          <w:between w:val="nil"/>
        </w:pBdr>
        <w:spacing w:line="276" w:lineRule="auto"/>
        <w:ind w:left="567"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41CED7CF" w14:textId="77777777" w:rsidR="00A023B3" w:rsidRDefault="003A06A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Es decir,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w:t>
      </w:r>
      <w:r>
        <w:rPr>
          <w:rFonts w:ascii="Palatino Linotype" w:eastAsia="Palatino Linotype" w:hAnsi="Palatino Linotype" w:cs="Palatino Linotype"/>
          <w:sz w:val="22"/>
          <w:szCs w:val="22"/>
        </w:rPr>
        <w:t>era puntual las razones de la versión pública de la documentación entregada se estaría violentando el derecho de acceso a la información de la parte solicitante.</w:t>
      </w:r>
    </w:p>
    <w:p w14:paraId="3739F7CB" w14:textId="77777777" w:rsidR="00A023B3" w:rsidRDefault="00A023B3">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45E3E72F" w14:textId="77777777" w:rsidR="00A023B3" w:rsidRDefault="003A06AD">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bookmarkStart w:id="4" w:name="_heading=h.b8zb6inxa54i" w:colFirst="0" w:colLast="0"/>
      <w:bookmarkEnd w:id="4"/>
      <w:r>
        <w:rPr>
          <w:rFonts w:ascii="Palatino Linotype" w:eastAsia="Palatino Linotype" w:hAnsi="Palatino Linotype" w:cs="Palatino Linotype"/>
          <w:sz w:val="22"/>
          <w:szCs w:val="22"/>
        </w:rPr>
        <w:t xml:space="preserve">Al respecto, se destaca que la versión pública que elabore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sz w:val="22"/>
          <w:szCs w:val="22"/>
        </w:rPr>
        <w:t>LINEAMIENT</w:t>
      </w:r>
      <w:r>
        <w:rPr>
          <w:rFonts w:ascii="Palatino Linotype" w:eastAsia="Palatino Linotype" w:hAnsi="Palatino Linotype" w:cs="Palatino Linotype"/>
          <w:b/>
          <w:sz w:val="22"/>
          <w:szCs w:val="22"/>
        </w:rPr>
        <w:t>OS GENERALES EN MATERIA DE CLASIFICACIÓN Y DESCLASIFICACIÓN DE LA INFORMACIÓN, ASÍ COMO PARA LA ELABORACIÓN DE VERSIONES PÚBLICAS</w:t>
      </w:r>
      <w:r>
        <w:rPr>
          <w:rFonts w:ascii="Palatino Linotype" w:eastAsia="Palatino Linotype" w:hAnsi="Palatino Linotype" w:cs="Palatino Linotype"/>
          <w:sz w:val="22"/>
          <w:szCs w:val="22"/>
        </w:rPr>
        <w:t xml:space="preserve">, publicados en el Diario Oficial de la </w:t>
      </w:r>
      <w:r>
        <w:rPr>
          <w:rFonts w:ascii="Palatino Linotype" w:eastAsia="Palatino Linotype" w:hAnsi="Palatino Linotype" w:cs="Palatino Linotype"/>
          <w:sz w:val="22"/>
          <w:szCs w:val="22"/>
        </w:rPr>
        <w:lastRenderedPageBreak/>
        <w:t>Federación en fecha dieciocho de noviembre del año dos mil veintidós, mediante Acuerdo del Consejo Nacional del Sistema Nacional de Transparencia, Acceso a la Información Pública y Protección de Datos Personales, que se encuentran vigentes a la fecha de la solicitud, que literalmente expresan:</w:t>
      </w:r>
    </w:p>
    <w:p w14:paraId="5328D801" w14:textId="77777777" w:rsidR="00A023B3" w:rsidRDefault="00A023B3">
      <w:pPr>
        <w:spacing w:line="360" w:lineRule="auto"/>
        <w:jc w:val="both"/>
        <w:rPr>
          <w:rFonts w:ascii="Palatino Linotype" w:eastAsia="Palatino Linotype" w:hAnsi="Palatino Linotype" w:cs="Palatino Linotype"/>
          <w:sz w:val="22"/>
          <w:szCs w:val="22"/>
        </w:rPr>
      </w:pPr>
    </w:p>
    <w:p w14:paraId="60F387B6"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9AA39CA"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b/>
          <w:i/>
          <w:sz w:val="22"/>
          <w:szCs w:val="22"/>
        </w:rPr>
        <w:t>Segundo.-</w:t>
      </w:r>
      <w:proofErr w:type="gramEnd"/>
      <w:r>
        <w:rPr>
          <w:rFonts w:ascii="Palatino Linotype" w:eastAsia="Palatino Linotype" w:hAnsi="Palatino Linotype" w:cs="Palatino Linotype"/>
          <w:i/>
          <w:sz w:val="22"/>
          <w:szCs w:val="22"/>
        </w:rPr>
        <w:t xml:space="preserve"> Para efectos de los presentes Lineamientos Generales, se entenderá por:</w:t>
      </w:r>
    </w:p>
    <w:p w14:paraId="1277F113"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14:paraId="1E680E97"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048289"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D1086C7"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w:t>
      </w:r>
      <w:r>
        <w:rPr>
          <w:rFonts w:ascii="Palatino Linotype" w:eastAsia="Palatino Linotype" w:hAnsi="Palatino Linotype" w:cs="Palatino Linotype"/>
          <w:i/>
          <w:sz w:val="22"/>
          <w:szCs w:val="22"/>
        </w:rPr>
        <w:t>emás disposiciones aplicables en la materia.</w:t>
      </w:r>
    </w:p>
    <w:p w14:paraId="5E0F654B"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p>
    <w:p w14:paraId="0FADE8C2"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1DC70D48"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78553C79"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w:t>
      </w:r>
      <w:proofErr w:type="gramStart"/>
      <w:r>
        <w:rPr>
          <w:rFonts w:ascii="Palatino Linotype" w:eastAsia="Palatino Linotype" w:hAnsi="Palatino Linotype" w:cs="Palatino Linotype"/>
          <w:i/>
          <w:sz w:val="22"/>
          <w:szCs w:val="22"/>
        </w:rPr>
        <w:t>Se  determine</w:t>
      </w:r>
      <w:proofErr w:type="gramEnd"/>
      <w:r>
        <w:rPr>
          <w:rFonts w:ascii="Palatino Linotype" w:eastAsia="Palatino Linotype" w:hAnsi="Palatino Linotype" w:cs="Palatino Linotype"/>
          <w:i/>
          <w:sz w:val="22"/>
          <w:szCs w:val="22"/>
        </w:rPr>
        <w:t xml:space="preserve"> mediante resolución del Comité de Transparencia, el órgano garante competente, o en cumplimiento a una sentencia del Poder Judicial; o</w:t>
      </w:r>
    </w:p>
    <w:p w14:paraId="78FDEC6F"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0644F8B"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34C4CA7"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125959D"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19E94D94"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651DA52"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313992"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w:t>
      </w:r>
      <w:proofErr w:type="gramStart"/>
      <w:r>
        <w:rPr>
          <w:rFonts w:ascii="Palatino Linotype" w:eastAsia="Palatino Linotype" w:hAnsi="Palatino Linotype" w:cs="Palatino Linotype"/>
          <w:i/>
          <w:sz w:val="22"/>
          <w:szCs w:val="22"/>
        </w:rPr>
        <w:t>áreas,</w:t>
      </w:r>
      <w:proofErr w:type="gramEnd"/>
      <w:r>
        <w:rPr>
          <w:rFonts w:ascii="Palatino Linotype" w:eastAsia="Palatino Linotype" w:hAnsi="Palatino Linotype" w:cs="Palatino Linotype"/>
          <w:i/>
          <w:sz w:val="22"/>
          <w:szCs w:val="22"/>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47A5397"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3E5BD3A"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F995BD8"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14:paraId="49655E63"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CAPÍTULO VIII</w:t>
      </w:r>
    </w:p>
    <w:p w14:paraId="50E2CB8A"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DE LOS ELEMENTOS PARA LA CLASIFICACIÓN</w:t>
      </w:r>
    </w:p>
    <w:p w14:paraId="27A7433A"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Quincuagésimo</w:t>
      </w:r>
      <w:r>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6CAD698"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Quincuagésimo primero</w:t>
      </w:r>
      <w:r>
        <w:rPr>
          <w:rFonts w:ascii="Palatino Linotype" w:eastAsia="Palatino Linotype" w:hAnsi="Palatino Linotype" w:cs="Palatino Linotype"/>
          <w:i/>
          <w:sz w:val="22"/>
          <w:szCs w:val="22"/>
        </w:rPr>
        <w:t>. Toda acta del Comité de Transparencia deberá contener:</w:t>
      </w:r>
    </w:p>
    <w:p w14:paraId="3E976CD8"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 El número de sesión y fecha; </w:t>
      </w:r>
    </w:p>
    <w:p w14:paraId="52377C53"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II. El nombre del área que solicitó la clasificación de información;</w:t>
      </w:r>
    </w:p>
    <w:p w14:paraId="35A95E89"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III. La fundamentación legal y motivación correspondiente;</w:t>
      </w:r>
    </w:p>
    <w:p w14:paraId="3D9C7434"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IV. La resolución o resoluciones aprobadas; y</w:t>
      </w:r>
    </w:p>
    <w:p w14:paraId="3622BED7"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 La rúbrica o firma digital de cada integrante del Comité de Transparencia. </w:t>
      </w:r>
    </w:p>
    <w:p w14:paraId="6E0010AD"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138C9D22"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 Los motivos y razonamientos que sustenten la confirmación o modificación de la prueba de daño;</w:t>
      </w:r>
    </w:p>
    <w:p w14:paraId="1474E491"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II. Descripción de las partes o secciones reservadas, en caso de clasificación parcial;</w:t>
      </w:r>
    </w:p>
    <w:p w14:paraId="63713F87"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III. El periodo por el que mantendrá su clasificación y fecha de expiración; y</w:t>
      </w:r>
    </w:p>
    <w:p w14:paraId="0A9F085F"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IV. El nombre del titular y área encargada de realizar la versión pública del documento, en su caso.</w:t>
      </w:r>
    </w:p>
    <w:p w14:paraId="1210CE53"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29C80744"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9CB8F9F"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Quincuagésimo segundo</w:t>
      </w:r>
      <w:r>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w:t>
      </w:r>
      <w:r>
        <w:rPr>
          <w:rFonts w:ascii="Palatino Linotype" w:eastAsia="Palatino Linotype" w:hAnsi="Palatino Linotype" w:cs="Palatino Linotype"/>
          <w:i/>
          <w:sz w:val="22"/>
          <w:szCs w:val="22"/>
        </w:rPr>
        <w:lastRenderedPageBreak/>
        <w:t>asegurar que el espacio utilizado para testar la información no podrá ser empleado para la sobreposición de contenido distinto al autorizado por el Comité.</w:t>
      </w:r>
    </w:p>
    <w:p w14:paraId="1151B163"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060EE8BA"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0502DF2C"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A3845EB"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Señalar las personas o instancias autorizadas a acceder a la información clasificada.</w:t>
      </w:r>
    </w:p>
    <w:p w14:paraId="3BDF2548"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p>
    <w:p w14:paraId="7AA61DFC"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1D93CCA" w14:textId="77777777" w:rsidR="00A023B3" w:rsidRDefault="003A06AD">
      <w:pPr>
        <w:pBdr>
          <w:top w:val="nil"/>
          <w:left w:val="nil"/>
          <w:bottom w:val="nil"/>
          <w:right w:val="nil"/>
          <w:between w:val="nil"/>
        </w:pBdr>
        <w:spacing w:line="276" w:lineRule="auto"/>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Pr>
          <w:rFonts w:ascii="Palatino Linotype" w:eastAsia="Palatino Linotype" w:hAnsi="Palatino Linotype" w:cs="Palatino Linotype"/>
          <w:i/>
          <w:sz w:val="22"/>
          <w:szCs w:val="22"/>
        </w:rPr>
        <w:t>testado</w:t>
      </w:r>
      <w:proofErr w:type="spellEnd"/>
      <w:r>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15FDEF1F" w14:textId="77777777" w:rsidR="00A023B3" w:rsidRDefault="00A023B3">
      <w:pPr>
        <w:spacing w:line="360" w:lineRule="auto"/>
        <w:jc w:val="both"/>
        <w:rPr>
          <w:rFonts w:ascii="Palatino Linotype" w:eastAsia="Palatino Linotype" w:hAnsi="Palatino Linotype" w:cs="Palatino Linotype"/>
          <w:sz w:val="22"/>
          <w:szCs w:val="22"/>
        </w:rPr>
      </w:pPr>
    </w:p>
    <w:p w14:paraId="49CB34A7" w14:textId="77777777" w:rsidR="00A023B3" w:rsidRDefault="003A06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13AFD3F2" w14:textId="77777777" w:rsidR="00A023B3" w:rsidRDefault="00A023B3">
      <w:pPr>
        <w:spacing w:line="360" w:lineRule="auto"/>
        <w:jc w:val="both"/>
        <w:rPr>
          <w:rFonts w:ascii="Palatino Linotype" w:eastAsia="Palatino Linotype" w:hAnsi="Palatino Linotype" w:cs="Palatino Linotype"/>
          <w:sz w:val="22"/>
          <w:szCs w:val="22"/>
        </w:rPr>
      </w:pPr>
    </w:p>
    <w:p w14:paraId="5B62A642" w14:textId="77777777" w:rsidR="00A023B3" w:rsidRDefault="003A06AD">
      <w:pPr>
        <w:pBdr>
          <w:top w:val="nil"/>
          <w:left w:val="nil"/>
          <w:bottom w:val="nil"/>
          <w:right w:val="nil"/>
          <w:between w:val="nil"/>
        </w:pBdr>
        <w:shd w:val="clear" w:color="auto" w:fill="FFFFFF"/>
        <w:spacing w:line="360" w:lineRule="auto"/>
        <w:ind w:right="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w:t>
      </w:r>
      <w:r>
        <w:rPr>
          <w:rFonts w:ascii="Palatino Linotype" w:eastAsia="Palatino Linotype" w:hAnsi="Palatino Linotype" w:cs="Palatino Linotype"/>
          <w:sz w:val="22"/>
          <w:szCs w:val="22"/>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w:t>
      </w:r>
      <w:r>
        <w:rPr>
          <w:rFonts w:ascii="Palatino Linotype" w:eastAsia="Palatino Linotype" w:hAnsi="Palatino Linotype" w:cs="Palatino Linotype"/>
          <w:sz w:val="22"/>
          <w:szCs w:val="22"/>
        </w:rPr>
        <w:t xml:space="preserve">ante, por lo que el acuerdo respectivo, deberá hacerse del conocimiento de </w:t>
      </w:r>
      <w:r>
        <w:rPr>
          <w:rFonts w:ascii="Palatino Linotype" w:eastAsia="Palatino Linotype" w:hAnsi="Palatino Linotype" w:cs="Palatino Linotype"/>
          <w:b/>
          <w:sz w:val="22"/>
          <w:szCs w:val="22"/>
        </w:rPr>
        <w:t>la parte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w:t>
      </w:r>
    </w:p>
    <w:p w14:paraId="7291066B" w14:textId="77777777" w:rsidR="00A023B3" w:rsidRDefault="00A023B3">
      <w:pPr>
        <w:spacing w:line="360" w:lineRule="auto"/>
        <w:jc w:val="both"/>
        <w:rPr>
          <w:rFonts w:ascii="Palatino Linotype" w:eastAsia="Palatino Linotype" w:hAnsi="Palatino Linotype" w:cs="Palatino Linotype"/>
          <w:sz w:val="22"/>
          <w:szCs w:val="22"/>
        </w:rPr>
      </w:pPr>
    </w:p>
    <w:p w14:paraId="40B02BE9"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2, fracción II; 29, 36 fracciones I y II; 176, 178, 181, 185 de la Ley de Transparencia y Acceso a la Información Pública del Estado de México y Municipios, este Pleno:</w:t>
      </w:r>
    </w:p>
    <w:p w14:paraId="419158FE" w14:textId="77777777" w:rsidR="00A023B3" w:rsidRDefault="003A06AD">
      <w:pPr>
        <w:numPr>
          <w:ilvl w:val="0"/>
          <w:numId w:val="4"/>
        </w:numPr>
        <w:pBdr>
          <w:top w:val="nil"/>
          <w:left w:val="nil"/>
          <w:bottom w:val="nil"/>
          <w:right w:val="nil"/>
          <w:between w:val="nil"/>
        </w:pBdr>
        <w:spacing w:line="360" w:lineRule="auto"/>
        <w:ind w:left="567" w:hanging="141"/>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 E S U E L V E:</w:t>
      </w:r>
    </w:p>
    <w:p w14:paraId="000FEFD4" w14:textId="77777777" w:rsidR="00A023B3" w:rsidRDefault="003A06AD">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sz w:val="22"/>
          <w:szCs w:val="22"/>
        </w:rPr>
        <w:t>parcialmente fundadas</w:t>
      </w:r>
      <w:r>
        <w:rPr>
          <w:rFonts w:ascii="Palatino Linotype" w:eastAsia="Palatino Linotype" w:hAnsi="Palatino Linotype" w:cs="Palatino Linotype"/>
          <w:sz w:val="22"/>
          <w:szCs w:val="22"/>
        </w:rPr>
        <w:t xml:space="preserve"> las razones o motivos de inconformidad hechos valer por la parte</w:t>
      </w:r>
      <w:r>
        <w:rPr>
          <w:rFonts w:ascii="Palatino Linotype" w:eastAsia="Palatino Linotype" w:hAnsi="Palatino Linotype" w:cs="Palatino Linotype"/>
          <w:b/>
          <w:sz w:val="22"/>
          <w:szCs w:val="22"/>
        </w:rPr>
        <w:t xml:space="preserve"> Recurrente</w:t>
      </w:r>
      <w:r>
        <w:rPr>
          <w:rFonts w:ascii="Palatino Linotype" w:eastAsia="Palatino Linotype" w:hAnsi="Palatino Linotype" w:cs="Palatino Linotype"/>
          <w:sz w:val="22"/>
          <w:szCs w:val="22"/>
        </w:rPr>
        <w:t xml:space="preserve"> en el recurso de revisión </w:t>
      </w:r>
      <w:r>
        <w:rPr>
          <w:rFonts w:ascii="Palatino Linotype" w:eastAsia="Palatino Linotype" w:hAnsi="Palatino Linotype" w:cs="Palatino Linotype"/>
          <w:b/>
          <w:sz w:val="22"/>
          <w:szCs w:val="22"/>
        </w:rPr>
        <w:t>05314/INFOEM/IP/RR/2025</w:t>
      </w:r>
      <w:r>
        <w:rPr>
          <w:rFonts w:ascii="Palatino Linotype" w:eastAsia="Palatino Linotype" w:hAnsi="Palatino Linotype" w:cs="Palatino Linotype"/>
          <w:sz w:val="22"/>
          <w:szCs w:val="22"/>
        </w:rPr>
        <w:t xml:space="preserve">; por lo que, en términos del </w:t>
      </w:r>
      <w:r>
        <w:rPr>
          <w:rFonts w:ascii="Palatino Linotype" w:eastAsia="Palatino Linotype" w:hAnsi="Palatino Linotype" w:cs="Palatino Linotype"/>
          <w:b/>
          <w:sz w:val="22"/>
          <w:szCs w:val="22"/>
        </w:rPr>
        <w:t>Considerando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Cuarto </w:t>
      </w:r>
      <w:r>
        <w:rPr>
          <w:rFonts w:ascii="Palatino Linotype" w:eastAsia="Palatino Linotype" w:hAnsi="Palatino Linotype" w:cs="Palatino Linotype"/>
          <w:sz w:val="22"/>
          <w:szCs w:val="22"/>
        </w:rPr>
        <w:t xml:space="preserve">de esta resolución, se </w:t>
      </w:r>
      <w:r>
        <w:rPr>
          <w:rFonts w:ascii="Palatino Linotype" w:eastAsia="Palatino Linotype" w:hAnsi="Palatino Linotype" w:cs="Palatino Linotype"/>
          <w:b/>
          <w:sz w:val="22"/>
          <w:szCs w:val="22"/>
        </w:rPr>
        <w:t xml:space="preserve">Modifica </w:t>
      </w:r>
      <w:r>
        <w:rPr>
          <w:rFonts w:ascii="Palatino Linotype" w:eastAsia="Palatino Linotype" w:hAnsi="Palatino Linotype" w:cs="Palatino Linotype"/>
          <w:sz w:val="22"/>
          <w:szCs w:val="22"/>
        </w:rPr>
        <w:t xml:space="preserve">la respuesta emitida por el </w:t>
      </w:r>
      <w:r>
        <w:rPr>
          <w:rFonts w:ascii="Palatino Linotype" w:eastAsia="Palatino Linotype" w:hAnsi="Palatino Linotype" w:cs="Palatino Linotype"/>
          <w:b/>
          <w:sz w:val="22"/>
          <w:szCs w:val="22"/>
        </w:rPr>
        <w:t>Sujeto Obligado.</w:t>
      </w:r>
    </w:p>
    <w:p w14:paraId="7E704C89" w14:textId="77777777" w:rsidR="00A023B3" w:rsidRDefault="00A023B3">
      <w:pPr>
        <w:spacing w:line="360" w:lineRule="auto"/>
        <w:jc w:val="both"/>
        <w:rPr>
          <w:rFonts w:ascii="Palatino Linotype" w:eastAsia="Palatino Linotype" w:hAnsi="Palatino Linotype" w:cs="Palatino Linotype"/>
          <w:sz w:val="22"/>
          <w:szCs w:val="22"/>
        </w:rPr>
      </w:pPr>
    </w:p>
    <w:p w14:paraId="353530A3" w14:textId="77777777" w:rsidR="00A023B3" w:rsidRDefault="003A06AD">
      <w:pPr>
        <w:spacing w:line="360" w:lineRule="auto"/>
        <w:ind w:right="49"/>
        <w:jc w:val="both"/>
        <w:rPr>
          <w:rFonts w:ascii="Palatino Linotype" w:eastAsia="Palatino Linotype" w:hAnsi="Palatino Linotype" w:cs="Palatino Linotype"/>
          <w:sz w:val="22"/>
          <w:szCs w:val="22"/>
        </w:rPr>
      </w:pPr>
      <w:bookmarkStart w:id="5" w:name="_heading=h.1fob9te" w:colFirst="0" w:colLast="0"/>
      <w:bookmarkEnd w:id="5"/>
      <w:r>
        <w:rPr>
          <w:rFonts w:ascii="Palatino Linotype" w:eastAsia="Palatino Linotype" w:hAnsi="Palatino Linotype" w:cs="Palatino Linotype"/>
          <w:b/>
          <w:sz w:val="22"/>
          <w:szCs w:val="22"/>
        </w:rPr>
        <w:t xml:space="preserve">Segundo.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sz w:val="22"/>
          <w:szCs w:val="22"/>
        </w:rPr>
        <w:t xml:space="preserve">ordena </w:t>
      </w:r>
      <w:r>
        <w:rPr>
          <w:rFonts w:ascii="Palatino Linotype" w:eastAsia="Palatino Linotype" w:hAnsi="Palatino Linotype" w:cs="Palatino Linotype"/>
          <w:sz w:val="22"/>
          <w:szCs w:val="22"/>
        </w:rPr>
        <w:t xml:space="preserve">al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entregue, 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 xml:space="preserve">la parte </w:t>
      </w:r>
      <w:r>
        <w:rPr>
          <w:rFonts w:ascii="Palatino Linotype" w:eastAsia="Palatino Linotype" w:hAnsi="Palatino Linotype" w:cs="Palatino Linotype"/>
          <w:b/>
          <w:sz w:val="22"/>
          <w:szCs w:val="22"/>
        </w:rPr>
        <w:t>Recurrente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 xml:space="preserve">vía SAIMEX, </w:t>
      </w:r>
      <w:r>
        <w:rPr>
          <w:rFonts w:ascii="Palatino Linotype" w:eastAsia="Palatino Linotype" w:hAnsi="Palatino Linotype" w:cs="Palatino Linotype"/>
          <w:sz w:val="22"/>
          <w:szCs w:val="22"/>
        </w:rPr>
        <w:t>en términos de</w:t>
      </w:r>
      <w:r>
        <w:rPr>
          <w:rFonts w:ascii="Palatino Linotype" w:eastAsia="Palatino Linotype" w:hAnsi="Palatino Linotype" w:cs="Palatino Linotype"/>
          <w:b/>
          <w:sz w:val="22"/>
          <w:szCs w:val="22"/>
        </w:rPr>
        <w:t>l Considerando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sz w:val="22"/>
          <w:szCs w:val="22"/>
        </w:rPr>
        <w:t>Cuarto y Quinto</w:t>
      </w:r>
      <w:r>
        <w:rPr>
          <w:rFonts w:ascii="Palatino Linotype" w:eastAsia="Palatino Linotype" w:hAnsi="Palatino Linotype" w:cs="Palatino Linotype"/>
          <w:sz w:val="22"/>
          <w:szCs w:val="22"/>
        </w:rPr>
        <w:t>, de ser procedente en versión pública, de lo siguiente:</w:t>
      </w:r>
    </w:p>
    <w:p w14:paraId="5497B10F" w14:textId="77777777" w:rsidR="00A023B3" w:rsidRDefault="00A023B3">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p>
    <w:p w14:paraId="5A70701A" w14:textId="77777777" w:rsidR="00A023B3" w:rsidRDefault="00A023B3">
      <w:pPr>
        <w:spacing w:line="360" w:lineRule="auto"/>
        <w:ind w:right="49"/>
        <w:jc w:val="both"/>
        <w:rPr>
          <w:rFonts w:ascii="Palatino Linotype" w:eastAsia="Palatino Linotype" w:hAnsi="Palatino Linotype" w:cs="Palatino Linotype"/>
          <w:i/>
          <w:sz w:val="22"/>
          <w:szCs w:val="22"/>
        </w:rPr>
      </w:pPr>
    </w:p>
    <w:p w14:paraId="2689859D" w14:textId="77777777" w:rsidR="00A023B3" w:rsidRDefault="003A06AD">
      <w:pPr>
        <w:numPr>
          <w:ilvl w:val="0"/>
          <w:numId w:val="9"/>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El o los documentos en donde consten las actualizaciones de los avisos de privacidad, en el periodo comprendido del primero de enero de dos mil veinticuatro al dieciocho de marzo de dos mil veinticinco.</w:t>
      </w:r>
    </w:p>
    <w:p w14:paraId="04D7AEA8" w14:textId="77777777" w:rsidR="00A023B3" w:rsidRDefault="00A023B3">
      <w:pPr>
        <w:pBdr>
          <w:top w:val="nil"/>
          <w:left w:val="nil"/>
          <w:bottom w:val="nil"/>
          <w:right w:val="nil"/>
          <w:between w:val="nil"/>
        </w:pBdr>
        <w:tabs>
          <w:tab w:val="left" w:pos="851"/>
        </w:tabs>
        <w:spacing w:line="360" w:lineRule="auto"/>
        <w:ind w:left="1211" w:right="616"/>
        <w:jc w:val="both"/>
        <w:rPr>
          <w:rFonts w:ascii="Palatino Linotype" w:eastAsia="Palatino Linotype" w:hAnsi="Palatino Linotype" w:cs="Palatino Linotype"/>
          <w:sz w:val="22"/>
          <w:szCs w:val="22"/>
        </w:rPr>
      </w:pPr>
    </w:p>
    <w:p w14:paraId="6154159B" w14:textId="77777777" w:rsidR="00A023B3" w:rsidRDefault="003A06AD">
      <w:pPr>
        <w:numPr>
          <w:ilvl w:val="0"/>
          <w:numId w:val="9"/>
        </w:numPr>
        <w:pBdr>
          <w:top w:val="nil"/>
          <w:left w:val="nil"/>
          <w:bottom w:val="nil"/>
          <w:right w:val="nil"/>
          <w:between w:val="nil"/>
        </w:pBdr>
        <w:tabs>
          <w:tab w:val="left" w:pos="851"/>
        </w:tabs>
        <w:spacing w:line="360" w:lineRule="auto"/>
        <w:ind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Los documentos de seguridad vigentes, al dieciocho de marzo de dos mil veinticinco</w:t>
      </w:r>
      <w:r>
        <w:rPr>
          <w:rFonts w:ascii="Palatino Linotype" w:eastAsia="Palatino Linotype" w:hAnsi="Palatino Linotype" w:cs="Palatino Linotype"/>
          <w:i/>
          <w:sz w:val="22"/>
          <w:szCs w:val="22"/>
        </w:rPr>
        <w:t>.</w:t>
      </w:r>
    </w:p>
    <w:p w14:paraId="71CDCC73" w14:textId="77777777" w:rsidR="00A023B3" w:rsidRDefault="00A023B3">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p>
    <w:p w14:paraId="7F293C41" w14:textId="77777777" w:rsidR="00A023B3" w:rsidRDefault="003A06AD">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Recurrente, mismo que igualmente hará de su conocimiento.</w:t>
      </w:r>
    </w:p>
    <w:p w14:paraId="6BF979C7" w14:textId="77777777" w:rsidR="00A023B3" w:rsidRDefault="00A023B3">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p>
    <w:p w14:paraId="5CC1C459" w14:textId="77777777" w:rsidR="00A023B3" w:rsidRDefault="003A06AD">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ser el caso que, la información que se ordena en el inciso a), no obre en los archivos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al no haberse generado, poseído y/o </w:t>
      </w:r>
      <w:proofErr w:type="gramStart"/>
      <w:r>
        <w:rPr>
          <w:rFonts w:ascii="Palatino Linotype" w:eastAsia="Palatino Linotype" w:hAnsi="Palatino Linotype" w:cs="Palatino Linotype"/>
          <w:i/>
          <w:sz w:val="22"/>
          <w:szCs w:val="22"/>
        </w:rPr>
        <w:t>administrado,  bastará</w:t>
      </w:r>
      <w:proofErr w:type="gramEnd"/>
      <w:r>
        <w:rPr>
          <w:rFonts w:ascii="Palatino Linotype" w:eastAsia="Palatino Linotype" w:hAnsi="Palatino Linotype" w:cs="Palatino Linotype"/>
          <w:i/>
          <w:sz w:val="22"/>
          <w:szCs w:val="22"/>
        </w:rPr>
        <w:t xml:space="preserve"> con que así lo haga del conocimiento de la parte </w:t>
      </w:r>
      <w:r>
        <w:rPr>
          <w:rFonts w:ascii="Palatino Linotype" w:eastAsia="Palatino Linotype" w:hAnsi="Palatino Linotype" w:cs="Palatino Linotype"/>
          <w:b/>
          <w:i/>
          <w:sz w:val="22"/>
          <w:szCs w:val="22"/>
        </w:rPr>
        <w:t>Recurrente</w:t>
      </w:r>
      <w:r>
        <w:rPr>
          <w:rFonts w:ascii="Palatino Linotype" w:eastAsia="Palatino Linotype" w:hAnsi="Palatino Linotype" w:cs="Palatino Linotype"/>
          <w:i/>
          <w:sz w:val="22"/>
          <w:szCs w:val="22"/>
        </w:rPr>
        <w:t xml:space="preserve"> de manera fundada y motivada en términos de lo señalado por el segundo párrafo del artículo 19 de la Ley de Transparencia y Acceso a la Información Pública del Estado de México y Municipios.</w:t>
      </w:r>
    </w:p>
    <w:p w14:paraId="10966A52" w14:textId="77777777" w:rsidR="00A023B3" w:rsidRDefault="00A023B3">
      <w:pPr>
        <w:pBdr>
          <w:top w:val="nil"/>
          <w:left w:val="nil"/>
          <w:bottom w:val="nil"/>
          <w:right w:val="nil"/>
          <w:between w:val="nil"/>
        </w:pBdr>
        <w:tabs>
          <w:tab w:val="left" w:pos="851"/>
        </w:tabs>
        <w:ind w:left="927" w:right="616"/>
        <w:jc w:val="both"/>
        <w:rPr>
          <w:rFonts w:ascii="Palatino Linotype" w:eastAsia="Palatino Linotype" w:hAnsi="Palatino Linotype" w:cs="Palatino Linotype"/>
          <w:i/>
          <w:sz w:val="22"/>
          <w:szCs w:val="22"/>
        </w:rPr>
      </w:pPr>
    </w:p>
    <w:p w14:paraId="7579730C"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Tercero. Notifíquese </w:t>
      </w:r>
      <w:r>
        <w:rPr>
          <w:rFonts w:ascii="Palatino Linotype" w:eastAsia="Palatino Linotype" w:hAnsi="Palatino Linotype" w:cs="Palatino Linotype"/>
          <w:sz w:val="22"/>
          <w:szCs w:val="22"/>
        </w:rPr>
        <w:t>vía</w:t>
      </w:r>
      <w:r>
        <w:rPr>
          <w:rFonts w:ascii="Palatino Linotype" w:eastAsia="Palatino Linotype" w:hAnsi="Palatino Linotype" w:cs="Palatino Linotype"/>
          <w:b/>
          <w:sz w:val="22"/>
          <w:szCs w:val="22"/>
        </w:rPr>
        <w:t xml:space="preserve">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w:t>
      </w:r>
      <w:r>
        <w:rPr>
          <w:rFonts w:ascii="Palatino Linotype" w:eastAsia="Palatino Linotype" w:hAnsi="Palatino Linotype" w:cs="Palatino Linotype"/>
          <w:sz w:val="22"/>
          <w:szCs w:val="22"/>
        </w:rPr>
        <w:t xml:space="preserv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F3F9A74" w14:textId="77777777" w:rsidR="00A023B3" w:rsidRDefault="00A023B3">
      <w:pPr>
        <w:spacing w:line="360" w:lineRule="auto"/>
        <w:jc w:val="both"/>
        <w:rPr>
          <w:rFonts w:ascii="Palatino Linotype" w:eastAsia="Palatino Linotype" w:hAnsi="Palatino Linotype" w:cs="Palatino Linotype"/>
          <w:sz w:val="22"/>
          <w:szCs w:val="22"/>
        </w:rPr>
      </w:pPr>
    </w:p>
    <w:p w14:paraId="56154129" w14:textId="77777777" w:rsidR="00A023B3" w:rsidRDefault="003A06AD">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Cuarto. </w:t>
      </w:r>
      <w:r>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871A6C0" w14:textId="77777777" w:rsidR="00A023B3" w:rsidRDefault="00A023B3">
      <w:pPr>
        <w:spacing w:line="360" w:lineRule="auto"/>
        <w:jc w:val="both"/>
        <w:rPr>
          <w:rFonts w:ascii="Palatino Linotype" w:eastAsia="Palatino Linotype" w:hAnsi="Palatino Linotype" w:cs="Palatino Linotype"/>
          <w:sz w:val="22"/>
          <w:szCs w:val="22"/>
        </w:rPr>
      </w:pPr>
    </w:p>
    <w:p w14:paraId="0B16D9F6" w14:textId="77777777" w:rsidR="00A023B3" w:rsidRDefault="003A06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Quinto. Notifíquese, </w:t>
      </w:r>
      <w:r>
        <w:rPr>
          <w:rFonts w:ascii="Palatino Linotype" w:eastAsia="Palatino Linotype" w:hAnsi="Palatino Linotype" w:cs="Palatino Linotype"/>
          <w:sz w:val="22"/>
          <w:szCs w:val="22"/>
        </w:rPr>
        <w:t xml:space="preserve">vía </w:t>
      </w:r>
      <w:r>
        <w:rPr>
          <w:rFonts w:ascii="Palatino Linotype" w:eastAsia="Palatino Linotype" w:hAnsi="Palatino Linotype" w:cs="Palatino Linotype"/>
          <w:b/>
          <w:sz w:val="22"/>
          <w:szCs w:val="22"/>
        </w:rPr>
        <w:t>SAIMEX</w:t>
      </w:r>
      <w:r>
        <w:rPr>
          <w:rFonts w:ascii="Palatino Linotype" w:eastAsia="Palatino Linotype" w:hAnsi="Palatino Linotype" w:cs="Palatino Linotype"/>
          <w:sz w:val="22"/>
          <w:szCs w:val="22"/>
        </w:rPr>
        <w:t>, a la parte</w:t>
      </w:r>
      <w:r>
        <w:rPr>
          <w:rFonts w:ascii="Palatino Linotype" w:eastAsia="Palatino Linotype" w:hAnsi="Palatino Linotype" w:cs="Palatino Linotype"/>
          <w:b/>
          <w:sz w:val="22"/>
          <w:szCs w:val="22"/>
        </w:rPr>
        <w:t xml:space="preserve"> Recurrente</w:t>
      </w:r>
      <w:r>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6B46D6A" w14:textId="77777777" w:rsidR="00A023B3" w:rsidRDefault="00A023B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2D63414" w14:textId="77777777" w:rsidR="00A023B3" w:rsidRDefault="003A06AD">
      <w:pPr>
        <w:spacing w:line="360" w:lineRule="auto"/>
        <w:jc w:val="both"/>
        <w:rPr>
          <w:rFonts w:ascii="Palatino Linotype" w:eastAsia="Palatino Linotype" w:hAnsi="Palatino Linotype" w:cs="Palatino Linotype"/>
          <w:sz w:val="22"/>
          <w:szCs w:val="22"/>
        </w:rPr>
        <w:sectPr w:rsidR="00A023B3">
          <w:headerReference w:type="default" r:id="rId11"/>
          <w:footerReference w:type="default" r:id="rId12"/>
          <w:headerReference w:type="first" r:id="rId13"/>
          <w:footerReference w:type="first" r:id="rId14"/>
          <w:pgSz w:w="12240" w:h="15840"/>
          <w:pgMar w:top="2041" w:right="1701" w:bottom="1701" w:left="1701" w:header="709" w:footer="709" w:gutter="0"/>
          <w:pgNumType w:start="1"/>
          <w:cols w:space="720"/>
          <w:titlePg/>
        </w:sectPr>
      </w:pPr>
      <w:bookmarkStart w:id="6" w:name="_heading=h.z5bqd8q5rlqo" w:colFirst="0" w:colLast="0"/>
      <w:bookmarkEnd w:id="6"/>
      <w:r>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EN LA TRIGÉSIMA PRIMERA SESIÓN ORDINARIA CELEBRADA EL TRES DE SEPTIEMBRE DE DOS MIL VEINTICINCO, ANTE EL SECRETARIO TÉCNICO DEL PLENO</w:t>
      </w:r>
      <w:r>
        <w:rPr>
          <w:rFonts w:ascii="Palatino Linotype" w:eastAsia="Palatino Linotype" w:hAnsi="Palatino Linotype" w:cs="Palatino Linotype"/>
          <w:sz w:val="22"/>
          <w:szCs w:val="22"/>
        </w:rPr>
        <w:t xml:space="preserve"> ALEXIS TAPIA RAMÍREZ.                              </w:t>
      </w:r>
    </w:p>
    <w:p w14:paraId="7E98C26C" w14:textId="77777777" w:rsidR="00A023B3" w:rsidRDefault="00A023B3">
      <w:pPr>
        <w:spacing w:line="360" w:lineRule="auto"/>
        <w:jc w:val="both"/>
        <w:rPr>
          <w:rFonts w:ascii="Palatino Linotype" w:eastAsia="Palatino Linotype" w:hAnsi="Palatino Linotype" w:cs="Palatino Linotype"/>
          <w:sz w:val="22"/>
          <w:szCs w:val="22"/>
        </w:rPr>
      </w:pPr>
    </w:p>
    <w:sectPr w:rsidR="00A023B3">
      <w:headerReference w:type="first" r:id="rId15"/>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0C9FD" w14:textId="77777777" w:rsidR="003A06AD" w:rsidRDefault="003A06AD">
      <w:r>
        <w:separator/>
      </w:r>
    </w:p>
  </w:endnote>
  <w:endnote w:type="continuationSeparator" w:id="0">
    <w:p w14:paraId="5EADBFE2" w14:textId="77777777" w:rsidR="003A06AD" w:rsidRDefault="003A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BBF610-D6F5-45BF-A4EF-9645719AED2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6151803-9E06-4BE1-8E61-E15E711CB452}"/>
    <w:embedItalic r:id="rId3" w:fontKey="{82ECD00B-1B06-462C-B361-3EFFF7E00E12}"/>
  </w:font>
  <w:font w:name="Segoe UI">
    <w:panose1 w:val="020B0502040204020203"/>
    <w:charset w:val="00"/>
    <w:family w:val="roman"/>
    <w:notTrueType/>
    <w:pitch w:val="default"/>
    <w:embedRegular r:id="rId4" w:fontKey="{E2A3D069-051B-4DB3-84C4-62FBB6076439}"/>
  </w:font>
  <w:font w:name="Helvetica">
    <w:panose1 w:val="020B0504020202020204"/>
    <w:charset w:val="00"/>
    <w:family w:val="swiss"/>
    <w:pitch w:val="variable"/>
    <w:sig w:usb0="00000003" w:usb1="00000000" w:usb2="00000000" w:usb3="00000000" w:csb0="00000001" w:csb1="00000000"/>
    <w:embedRegular r:id="rId5" w:fontKey="{84CCA46C-AE8A-4B69-98DF-76E83C8EF13C}"/>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6" w:fontKey="{9BEE97BC-39BD-4DD8-B080-0C40EA71E527}"/>
    <w:embedBold r:id="rId7" w:fontKey="{0752965A-63CB-4E7D-8AAC-FB7DE3D28651}"/>
    <w:embedItalic r:id="rId8" w:fontKey="{5D870610-FC7B-4280-80EC-6EC61D31B6FE}"/>
    <w:embedBoldItalic r:id="rId9" w:fontKey="{740937FB-5051-4C47-886D-662314012F1E}"/>
  </w:font>
  <w:font w:name="Georgia">
    <w:panose1 w:val="02040502050405020303"/>
    <w:charset w:val="00"/>
    <w:family w:val="auto"/>
    <w:pitch w:val="default"/>
    <w:embedRegular r:id="rId10" w:fontKey="{F5E2EF07-2B4F-46E5-8D52-18B19BA896B3}"/>
    <w:embedItalic r:id="rId11" w:fontKey="{0DF3E736-9044-41A4-8805-D53D988DFC25}"/>
  </w:font>
  <w:font w:name="Calibri Light">
    <w:panose1 w:val="020F0302020204030204"/>
    <w:charset w:val="00"/>
    <w:family w:val="swiss"/>
    <w:pitch w:val="variable"/>
    <w:sig w:usb0="E4002EFF" w:usb1="C200247B" w:usb2="00000009" w:usb3="00000000" w:csb0="000001FF" w:csb1="00000000"/>
    <w:embedRegular r:id="rId12" w:fontKey="{AE9541A5-C374-4462-BD0B-39E460EA20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78A3C" w14:textId="77777777" w:rsidR="00A023B3" w:rsidRDefault="003A06A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3</w:t>
    </w:r>
    <w:r>
      <w:rPr>
        <w:rFonts w:ascii="Arial" w:eastAsia="Arial" w:hAnsi="Arial" w:cs="Arial"/>
        <w:b/>
        <w:color w:val="000000"/>
        <w:sz w:val="20"/>
        <w:szCs w:val="20"/>
      </w:rPr>
      <w:fldChar w:fldCharType="end"/>
    </w:r>
  </w:p>
  <w:p w14:paraId="53DF045A" w14:textId="77777777" w:rsidR="00A023B3" w:rsidRDefault="00A023B3">
    <w:pPr>
      <w:pBdr>
        <w:top w:val="nil"/>
        <w:left w:val="nil"/>
        <w:bottom w:val="nil"/>
        <w:right w:val="nil"/>
        <w:between w:val="nil"/>
      </w:pBdr>
      <w:tabs>
        <w:tab w:val="center" w:pos="4252"/>
        <w:tab w:val="right" w:pos="8504"/>
      </w:tabs>
      <w:rPr>
        <w:color w:val="000000"/>
      </w:rPr>
    </w:pPr>
  </w:p>
  <w:p w14:paraId="2DB6C165" w14:textId="77777777" w:rsidR="00A023B3" w:rsidRDefault="00A023B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EE47" w14:textId="77777777" w:rsidR="00A023B3" w:rsidRDefault="003A06A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05A8E506" w14:textId="77777777" w:rsidR="00A023B3" w:rsidRDefault="00A023B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EB3D4" w14:textId="77777777" w:rsidR="003A06AD" w:rsidRDefault="003A06AD">
      <w:r>
        <w:separator/>
      </w:r>
    </w:p>
  </w:footnote>
  <w:footnote w:type="continuationSeparator" w:id="0">
    <w:p w14:paraId="0ECC925F" w14:textId="77777777" w:rsidR="003A06AD" w:rsidRDefault="003A06AD">
      <w:r>
        <w:continuationSeparator/>
      </w:r>
    </w:p>
  </w:footnote>
  <w:footnote w:id="1">
    <w:p w14:paraId="2359F23E" w14:textId="77777777" w:rsidR="00A023B3" w:rsidRDefault="003A06A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Isabel Davara F. de Marcos (Coordinadora), “Diccionario de Protección de Datos Personales. Conceptos fundamentales”. INAI. México 2019. Páginas 828 y 829.</w:t>
      </w:r>
    </w:p>
    <w:p w14:paraId="4CAEEBE5" w14:textId="77777777" w:rsidR="00A023B3" w:rsidRDefault="003A06AD">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6D9C92F2" w14:textId="77777777" w:rsidR="00A023B3" w:rsidRDefault="003A06AD">
      <w:pPr>
        <w:pBdr>
          <w:top w:val="nil"/>
          <w:left w:val="nil"/>
          <w:bottom w:val="nil"/>
          <w:right w:val="nil"/>
          <w:between w:val="nil"/>
        </w:pBdr>
        <w:ind w:right="191"/>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Así, desde la perspectiva de la protección de datos personales, la situación de emergencia se presenta como un fundamento para el tratamiento de los datos personales </w:t>
      </w:r>
      <w:r>
        <w:rPr>
          <w:rFonts w:ascii="Palatino Linotype" w:eastAsia="Palatino Linotype" w:hAnsi="Palatino Linotype" w:cs="Palatino Linotype"/>
          <w:color w:val="000000"/>
          <w:sz w:val="16"/>
          <w:szCs w:val="16"/>
          <w:u w:val="single"/>
        </w:rPr>
        <w:t>para hacer frente a contingencias</w:t>
      </w:r>
      <w:r>
        <w:rPr>
          <w:rFonts w:ascii="Palatino Linotype" w:eastAsia="Palatino Linotype" w:hAnsi="Palatino Linotype" w:cs="Palatino Linotype"/>
          <w:color w:val="000000"/>
          <w:sz w:val="16"/>
          <w:szCs w:val="16"/>
        </w:rPr>
        <w:t xml:space="preserve"> que podrían afectar el bienestar y seguridad de las personas a una gran escala (epidemias, desastres naturales, terrorismo y pandemias) o en un nivel individual (violencia familiar), pues en caso de que dicho tratamiento se sujete a mecanismos como el consentimiento y no se cuente con este último, las consecuencias de no facilitar la información personal necesaria en situaciones de emergencia pueden ser funestas, ya que en un contexto de esta naturaleza el acceso oportuno a</w:t>
      </w:r>
      <w:r>
        <w:rPr>
          <w:rFonts w:ascii="Palatino Linotype" w:eastAsia="Palatino Linotype" w:hAnsi="Palatino Linotype" w:cs="Palatino Linotype"/>
          <w:color w:val="000000"/>
          <w:sz w:val="16"/>
          <w:szCs w:val="16"/>
        </w:rPr>
        <w:t xml:space="preserve"> la información es fundamental para atender las contingencias y proteger los derechos de los titulares y/o de terceras personas.”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98476" w14:textId="77777777" w:rsidR="00A023B3" w:rsidRDefault="003A06AD">
    <w:pPr>
      <w:widowControl w:val="0"/>
      <w:pBdr>
        <w:top w:val="nil"/>
        <w:left w:val="nil"/>
        <w:bottom w:val="nil"/>
        <w:right w:val="nil"/>
        <w:between w:val="nil"/>
      </w:pBdr>
      <w:spacing w:line="276" w:lineRule="auto"/>
      <w:rPr>
        <w:rFonts w:ascii="Calibri" w:eastAsia="Calibri" w:hAnsi="Calibri" w:cs="Calibri"/>
        <w:color w:val="000000"/>
      </w:rPr>
    </w:pPr>
    <w:r>
      <w:rPr>
        <w:noProof/>
      </w:rPr>
      <w:drawing>
        <wp:anchor distT="0" distB="0" distL="0" distR="0" simplePos="0" relativeHeight="251658240" behindDoc="1" locked="0" layoutInCell="1" hidden="0" allowOverlap="1" wp14:anchorId="57E87ED6" wp14:editId="0D56BFE5">
          <wp:simplePos x="0" y="0"/>
          <wp:positionH relativeFrom="column">
            <wp:posOffset>-638173</wp:posOffset>
          </wp:positionH>
          <wp:positionV relativeFrom="paragraph">
            <wp:posOffset>-450213</wp:posOffset>
          </wp:positionV>
          <wp:extent cx="7809876" cy="10165823"/>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528" w:type="dxa"/>
      <w:tblInd w:w="3261" w:type="dxa"/>
      <w:tblLayout w:type="fixed"/>
      <w:tblLook w:val="0400" w:firstRow="0" w:lastRow="0" w:firstColumn="0" w:lastColumn="0" w:noHBand="0" w:noVBand="1"/>
    </w:tblPr>
    <w:tblGrid>
      <w:gridCol w:w="2551"/>
      <w:gridCol w:w="2977"/>
    </w:tblGrid>
    <w:tr w:rsidR="00A023B3" w14:paraId="17833C3B" w14:textId="77777777">
      <w:tc>
        <w:tcPr>
          <w:tcW w:w="2551" w:type="dxa"/>
          <w:vAlign w:val="center"/>
        </w:tcPr>
        <w:p w14:paraId="5BDB49D4" w14:textId="77777777" w:rsidR="00A023B3" w:rsidRDefault="003A06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6AC353E" w14:textId="77777777" w:rsidR="00A023B3" w:rsidRDefault="003A06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05314/INFOEM/IP/RR/2025</w:t>
          </w:r>
        </w:p>
      </w:tc>
    </w:tr>
    <w:tr w:rsidR="00A023B3" w14:paraId="47EDDF19" w14:textId="77777777">
      <w:trPr>
        <w:trHeight w:val="228"/>
      </w:trPr>
      <w:tc>
        <w:tcPr>
          <w:tcW w:w="2551" w:type="dxa"/>
          <w:vAlign w:val="center"/>
        </w:tcPr>
        <w:p w14:paraId="20AA5976" w14:textId="77777777" w:rsidR="00A023B3" w:rsidRDefault="003A06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236B5EB" w14:textId="77777777" w:rsidR="00A023B3" w:rsidRDefault="003A06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A023B3" w14:paraId="0BD46989" w14:textId="77777777">
      <w:tc>
        <w:tcPr>
          <w:tcW w:w="2551" w:type="dxa"/>
          <w:vAlign w:val="center"/>
        </w:tcPr>
        <w:p w14:paraId="0B949D0C" w14:textId="77777777" w:rsidR="00A023B3" w:rsidRDefault="003A06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F599C77" w14:textId="77777777" w:rsidR="00A023B3" w:rsidRDefault="003A06A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E15A40" w14:textId="77777777" w:rsidR="00A023B3" w:rsidRDefault="003A06A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940C7" w14:textId="77777777" w:rsidR="00A023B3" w:rsidRDefault="003A06AD">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540C7A19" wp14:editId="7DB4FCFA">
          <wp:simplePos x="0" y="0"/>
          <wp:positionH relativeFrom="column">
            <wp:posOffset>-798191</wp:posOffset>
          </wp:positionH>
          <wp:positionV relativeFrom="paragraph">
            <wp:posOffset>-399411</wp:posOffset>
          </wp:positionV>
          <wp:extent cx="7809876" cy="10165823"/>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70" w:type="dxa"/>
      <w:tblInd w:w="3119" w:type="dxa"/>
      <w:tblLayout w:type="fixed"/>
      <w:tblLook w:val="0400" w:firstRow="0" w:lastRow="0" w:firstColumn="0" w:lastColumn="0" w:noHBand="0" w:noVBand="1"/>
    </w:tblPr>
    <w:tblGrid>
      <w:gridCol w:w="2551"/>
      <w:gridCol w:w="3119"/>
    </w:tblGrid>
    <w:tr w:rsidR="00A023B3" w14:paraId="5DB42F40" w14:textId="77777777">
      <w:tc>
        <w:tcPr>
          <w:tcW w:w="2551" w:type="dxa"/>
          <w:vAlign w:val="center"/>
        </w:tcPr>
        <w:p w14:paraId="5186FF8A" w14:textId="77777777" w:rsidR="00A023B3" w:rsidRDefault="003A06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3062487" w14:textId="77777777" w:rsidR="00A023B3" w:rsidRDefault="003A06A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05314/INFOEM/IP/RR/2025</w:t>
          </w:r>
        </w:p>
      </w:tc>
    </w:tr>
    <w:tr w:rsidR="00A023B3" w14:paraId="4D3F3940" w14:textId="77777777">
      <w:tc>
        <w:tcPr>
          <w:tcW w:w="2551" w:type="dxa"/>
          <w:vAlign w:val="center"/>
        </w:tcPr>
        <w:p w14:paraId="64858CC7" w14:textId="77777777" w:rsidR="00A023B3" w:rsidRDefault="003A06AD">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276A906" w14:textId="77777777" w:rsidR="00A023B3" w:rsidRDefault="00A023B3">
          <w:pPr>
            <w:ind w:right="-533"/>
            <w:jc w:val="both"/>
            <w:rPr>
              <w:rFonts w:ascii="Palatino Linotype" w:eastAsia="Palatino Linotype" w:hAnsi="Palatino Linotype" w:cs="Palatino Linotype"/>
              <w:b/>
              <w:sz w:val="22"/>
              <w:szCs w:val="22"/>
            </w:rPr>
          </w:pPr>
        </w:p>
      </w:tc>
    </w:tr>
    <w:tr w:rsidR="00A023B3" w14:paraId="5536DD56" w14:textId="77777777">
      <w:trPr>
        <w:trHeight w:val="228"/>
      </w:trPr>
      <w:tc>
        <w:tcPr>
          <w:tcW w:w="2551" w:type="dxa"/>
          <w:vAlign w:val="center"/>
        </w:tcPr>
        <w:p w14:paraId="0D841FA6" w14:textId="77777777" w:rsidR="00A023B3" w:rsidRDefault="003A06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0BEDD27" w14:textId="77777777" w:rsidR="00A023B3" w:rsidRDefault="003A06AD">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A023B3" w14:paraId="54F3A258" w14:textId="77777777">
      <w:tc>
        <w:tcPr>
          <w:tcW w:w="2551" w:type="dxa"/>
          <w:vAlign w:val="center"/>
        </w:tcPr>
        <w:p w14:paraId="34D6009D" w14:textId="77777777" w:rsidR="00A023B3" w:rsidRDefault="003A06A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0E24EBF" w14:textId="77777777" w:rsidR="00A023B3" w:rsidRDefault="003A06AD">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A7E336" w14:textId="77777777" w:rsidR="00A023B3" w:rsidRDefault="00A023B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C863" w14:textId="77777777" w:rsidR="00A023B3" w:rsidRDefault="00A023B3">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4357639" w14:textId="77777777" w:rsidR="00A023B3" w:rsidRDefault="00A023B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E770A"/>
    <w:multiLevelType w:val="multilevel"/>
    <w:tmpl w:val="0778C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D36536"/>
    <w:multiLevelType w:val="multilevel"/>
    <w:tmpl w:val="4426DD1A"/>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D061FC"/>
    <w:multiLevelType w:val="multilevel"/>
    <w:tmpl w:val="A65E02A4"/>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 w15:restartNumberingAfterBreak="0">
    <w:nsid w:val="15CD1BB0"/>
    <w:multiLevelType w:val="multilevel"/>
    <w:tmpl w:val="A928F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813AEF"/>
    <w:multiLevelType w:val="multilevel"/>
    <w:tmpl w:val="4308E6C8"/>
    <w:lvl w:ilvl="0">
      <w:start w:val="2"/>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6084C32"/>
    <w:multiLevelType w:val="multilevel"/>
    <w:tmpl w:val="ADFE8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C3380B"/>
    <w:multiLevelType w:val="multilevel"/>
    <w:tmpl w:val="552A84A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252FD0"/>
    <w:multiLevelType w:val="multilevel"/>
    <w:tmpl w:val="197A9FC6"/>
    <w:lvl w:ilvl="0">
      <w:start w:val="1"/>
      <w:numFmt w:val="lowerLetter"/>
      <w:lvlText w:val="%1)"/>
      <w:lvlJc w:val="left"/>
      <w:pPr>
        <w:ind w:left="1211" w:hanging="360"/>
      </w:p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8" w15:restartNumberingAfterBreak="0">
    <w:nsid w:val="54AE70BF"/>
    <w:multiLevelType w:val="multilevel"/>
    <w:tmpl w:val="08BA170A"/>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7173038">
    <w:abstractNumId w:val="8"/>
  </w:num>
  <w:num w:numId="2" w16cid:durableId="581065520">
    <w:abstractNumId w:val="0"/>
  </w:num>
  <w:num w:numId="3" w16cid:durableId="1147747242">
    <w:abstractNumId w:val="3"/>
  </w:num>
  <w:num w:numId="4" w16cid:durableId="1539775190">
    <w:abstractNumId w:val="6"/>
  </w:num>
  <w:num w:numId="5" w16cid:durableId="608662059">
    <w:abstractNumId w:val="4"/>
  </w:num>
  <w:num w:numId="6" w16cid:durableId="146628533">
    <w:abstractNumId w:val="2"/>
  </w:num>
  <w:num w:numId="7" w16cid:durableId="1283225356">
    <w:abstractNumId w:val="1"/>
  </w:num>
  <w:num w:numId="8" w16cid:durableId="186338535">
    <w:abstractNumId w:val="5"/>
  </w:num>
  <w:num w:numId="9" w16cid:durableId="1116804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B3"/>
    <w:rsid w:val="003A06AD"/>
    <w:rsid w:val="008F26D7"/>
    <w:rsid w:val="00A023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655C1"/>
  <w15:docId w15:val="{18A08A5F-81C4-4FDE-93B2-2F08AE9BC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8">
    <w:name w:val="18"/>
    <w:basedOn w:val="TableNormal10"/>
    <w:tblPr>
      <w:tblStyleRowBandSize w:val="1"/>
      <w:tblStyleColBandSize w:val="1"/>
      <w:tblCellMar>
        <w:left w:w="108" w:type="dxa"/>
        <w:right w:w="108" w:type="dxa"/>
      </w:tblCellMar>
    </w:tblPr>
  </w:style>
  <w:style w:type="table" w:customStyle="1" w:styleId="17">
    <w:name w:val="17"/>
    <w:basedOn w:val="TableNormal10"/>
    <w:tblPr>
      <w:tblStyleRowBandSize w:val="1"/>
      <w:tblStyleColBandSize w:val="1"/>
      <w:tblCellMar>
        <w:left w:w="115" w:type="dxa"/>
        <w:right w:w="115" w:type="dxa"/>
      </w:tblCellMar>
    </w:tblPr>
  </w:style>
  <w:style w:type="table" w:customStyle="1" w:styleId="16">
    <w:name w:val="16"/>
    <w:basedOn w:val="TableNormal1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0"/>
    <w:tblPr>
      <w:tblStyleRowBandSize w:val="1"/>
      <w:tblStyleColBandSize w:val="1"/>
      <w:tblCellMar>
        <w:left w:w="108" w:type="dxa"/>
        <w:right w:w="108" w:type="dxa"/>
      </w:tblCellMar>
    </w:tblPr>
  </w:style>
  <w:style w:type="table" w:customStyle="1" w:styleId="14">
    <w:name w:val="14"/>
    <w:basedOn w:val="TableNormal10"/>
    <w:tblPr>
      <w:tblStyleRowBandSize w:val="1"/>
      <w:tblStyleColBandSize w:val="1"/>
      <w:tblCellMar>
        <w:left w:w="108" w:type="dxa"/>
        <w:right w:w="108" w:type="dxa"/>
      </w:tblCellMar>
    </w:tblPr>
  </w:style>
  <w:style w:type="table" w:customStyle="1" w:styleId="13">
    <w:name w:val="13"/>
    <w:basedOn w:val="TableNormal10"/>
    <w:tblPr>
      <w:tblStyleRowBandSize w:val="1"/>
      <w:tblStyleColBandSize w:val="1"/>
      <w:tblCellMar>
        <w:left w:w="108" w:type="dxa"/>
        <w:right w:w="108" w:type="dxa"/>
      </w:tblCellMar>
    </w:tblPr>
  </w:style>
  <w:style w:type="table" w:customStyle="1" w:styleId="12">
    <w:name w:val="12"/>
    <w:basedOn w:val="TableNormal10"/>
    <w:tblPr>
      <w:tblStyleRowBandSize w:val="1"/>
      <w:tblStyleColBandSize w:val="1"/>
      <w:tblCellMar>
        <w:left w:w="108" w:type="dxa"/>
        <w:right w:w="108" w:type="dxa"/>
      </w:tblCellMar>
    </w:tblPr>
  </w:style>
  <w:style w:type="table" w:customStyle="1" w:styleId="11">
    <w:name w:val="11"/>
    <w:basedOn w:val="TableNormal10"/>
    <w:tblPr>
      <w:tblStyleRowBandSize w:val="1"/>
      <w:tblStyleColBandSize w:val="1"/>
      <w:tblCellMar>
        <w:left w:w="108" w:type="dxa"/>
        <w:right w:w="108" w:type="dxa"/>
      </w:tblCellMar>
    </w:tblPr>
  </w:style>
  <w:style w:type="table" w:customStyle="1" w:styleId="10">
    <w:name w:val="10"/>
    <w:basedOn w:val="TableNormal10"/>
    <w:tblPr>
      <w:tblStyleRowBandSize w:val="1"/>
      <w:tblStyleColBandSize w:val="1"/>
      <w:tblCellMar>
        <w:left w:w="108" w:type="dxa"/>
        <w:right w:w="108" w:type="dxa"/>
      </w:tblCellMar>
    </w:tblPr>
  </w:style>
  <w:style w:type="table" w:customStyle="1" w:styleId="9">
    <w:name w:val="9"/>
    <w:basedOn w:val="TableNormal10"/>
    <w:tblPr>
      <w:tblStyleRowBandSize w:val="1"/>
      <w:tblStyleColBandSize w:val="1"/>
      <w:tblCellMar>
        <w:left w:w="108" w:type="dxa"/>
        <w:right w:w="108"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uautitlanizcalli.gob.mx/avisos-de-privacidad/"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uautitlanizcalli.gob.mx/avisos-de-privacidad/"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Au9stbNs1JKtLIOXJDgfEhX0w==">CgMxLjAyDmgucTRkajJlYTZxdmx3MgloLjN6bnlzaDcyCGguZ2pkZ3hzMgloLjMwajB6bGwyDmguYjh6YjZpbnhhNTRpMgloLjFmb2I5dGUyDmguejVicWQ4cTVybHFvOAByITFweHhjNF9zak1uR1FDU3ZGY3J6Nlg1aFdtVW1yTHZMRw==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15258</Words>
  <Characters>82307</Characters>
  <Application>Microsoft Office Word</Application>
  <DocSecurity>0</DocSecurity>
  <Lines>1531</Lines>
  <Paragraphs>408</Paragraphs>
  <ScaleCrop>false</ScaleCrop>
  <Company/>
  <LinksUpToDate>false</LinksUpToDate>
  <CharactersWithSpaces>97436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dcterms:created xsi:type="dcterms:W3CDTF">2025-10-03T17:02:00Z</dcterms:created>
  <dcterms:modified xsi:type="dcterms:W3CDTF">2025-10-03T17:02:00Z</dcterms:modified>
</cp:coreProperties>
</file>