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7116D" w14:textId="77777777" w:rsidR="00D603B6" w:rsidRDefault="00D603B6">
      <w:pPr>
        <w:widowControl w:val="0"/>
        <w:pBdr>
          <w:top w:val="nil"/>
          <w:left w:val="nil"/>
          <w:bottom w:val="nil"/>
          <w:right w:val="nil"/>
          <w:between w:val="nil"/>
        </w:pBdr>
        <w:spacing w:line="276" w:lineRule="auto"/>
      </w:pPr>
    </w:p>
    <w:p w14:paraId="3C842D9B" w14:textId="77777777" w:rsidR="00D603B6" w:rsidRDefault="00D603B6">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n792w2ner0lm" w:colFirst="0" w:colLast="0"/>
      <w:bookmarkEnd w:id="0"/>
    </w:p>
    <w:p w14:paraId="35D67730" w14:textId="77777777" w:rsidR="00D603B6" w:rsidRDefault="009F0248">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11836/INFOEM/IP/RR/2025 Y ACUMULADOS</w:t>
      </w:r>
    </w:p>
    <w:p w14:paraId="7FA74B25" w14:textId="77777777" w:rsidR="00D603B6" w:rsidRDefault="00D603B6">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sdt>
      <w:sdtPr>
        <w:id w:val="1205078918"/>
        <w:docPartObj>
          <w:docPartGallery w:val="Table of Contents"/>
          <w:docPartUnique/>
        </w:docPartObj>
      </w:sdtPr>
      <w:sdtContent>
        <w:p w14:paraId="4FFABB0F" w14:textId="77777777" w:rsidR="00D603B6" w:rsidRDefault="009F0248">
          <w:pPr>
            <w:pBdr>
              <w:top w:val="nil"/>
              <w:left w:val="nil"/>
              <w:bottom w:val="nil"/>
              <w:right w:val="nil"/>
              <w:between w:val="nil"/>
            </w:pBdr>
            <w:tabs>
              <w:tab w:val="right" w:pos="8828"/>
            </w:tabs>
            <w:spacing w:after="100" w:line="360"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65h9j2oey96">
            <w:r>
              <w:rPr>
                <w:rFonts w:ascii="Palatino Linotype" w:eastAsia="Palatino Linotype" w:hAnsi="Palatino Linotype" w:cs="Palatino Linotype"/>
                <w:color w:val="000000"/>
                <w:sz w:val="22"/>
                <w:szCs w:val="22"/>
              </w:rPr>
              <w:t>A N T E C E D E N T E S</w:t>
            </w:r>
          </w:hyperlink>
          <w:hyperlink w:anchor="_heading=h.g65h9j2oey96">
            <w:r>
              <w:rPr>
                <w:rFonts w:ascii="Calibri" w:eastAsia="Calibri" w:hAnsi="Calibri" w:cs="Calibri"/>
                <w:color w:val="000000"/>
                <w:sz w:val="22"/>
                <w:szCs w:val="22"/>
              </w:rPr>
              <w:tab/>
              <w:t>2</w:t>
            </w:r>
          </w:hyperlink>
        </w:p>
        <w:p w14:paraId="60E70896"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fjti47hd7i6a">
            <w:r>
              <w:rPr>
                <w:rFonts w:ascii="Palatino Linotype" w:eastAsia="Palatino Linotype" w:hAnsi="Palatino Linotype" w:cs="Palatino Linotype"/>
                <w:color w:val="000000"/>
                <w:sz w:val="22"/>
                <w:szCs w:val="22"/>
              </w:rPr>
              <w:t>I. Presentación de la solicitud de información</w:t>
            </w:r>
          </w:hyperlink>
          <w:hyperlink w:anchor="_heading=h.fjti47hd7i6a">
            <w:r>
              <w:rPr>
                <w:rFonts w:ascii="Calibri" w:eastAsia="Calibri" w:hAnsi="Calibri" w:cs="Calibri"/>
                <w:color w:val="000000"/>
                <w:sz w:val="22"/>
                <w:szCs w:val="22"/>
              </w:rPr>
              <w:tab/>
              <w:t>2</w:t>
            </w:r>
          </w:hyperlink>
        </w:p>
        <w:p w14:paraId="1A41500A"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gm195obweldr">
            <w:r>
              <w:rPr>
                <w:rFonts w:ascii="Palatino Linotype" w:eastAsia="Palatino Linotype" w:hAnsi="Palatino Linotype" w:cs="Palatino Linotype"/>
                <w:color w:val="000000"/>
                <w:sz w:val="22"/>
                <w:szCs w:val="22"/>
              </w:rPr>
              <w:t>II. Respuesta del Sujeto Obligado</w:t>
            </w:r>
          </w:hyperlink>
          <w:hyperlink w:anchor="_heading=h.gm195obweldr">
            <w:r>
              <w:rPr>
                <w:rFonts w:ascii="Calibri" w:eastAsia="Calibri" w:hAnsi="Calibri" w:cs="Calibri"/>
                <w:color w:val="000000"/>
                <w:sz w:val="22"/>
                <w:szCs w:val="22"/>
              </w:rPr>
              <w:tab/>
              <w:t>5</w:t>
            </w:r>
          </w:hyperlink>
        </w:p>
        <w:p w14:paraId="56A85889"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hjtoxvfsfrp">
            <w:r>
              <w:rPr>
                <w:rFonts w:ascii="Palatino Linotype" w:eastAsia="Palatino Linotype" w:hAnsi="Palatino Linotype" w:cs="Palatino Linotype"/>
                <w:color w:val="000000"/>
                <w:sz w:val="22"/>
                <w:szCs w:val="22"/>
              </w:rPr>
              <w:t>III. Interposición del Recurso de Revisión</w:t>
            </w:r>
          </w:hyperlink>
          <w:hyperlink w:anchor="_heading=h.hjtoxvfsfrp">
            <w:r>
              <w:rPr>
                <w:rFonts w:ascii="Calibri" w:eastAsia="Calibri" w:hAnsi="Calibri" w:cs="Calibri"/>
                <w:color w:val="000000"/>
                <w:sz w:val="22"/>
                <w:szCs w:val="22"/>
              </w:rPr>
              <w:tab/>
              <w:t>5</w:t>
            </w:r>
          </w:hyperlink>
        </w:p>
        <w:p w14:paraId="135975DC"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m02vpzrvjhe2">
            <w:r>
              <w:rPr>
                <w:rFonts w:ascii="Palatino Linotype" w:eastAsia="Palatino Linotype" w:hAnsi="Palatino Linotype" w:cs="Palatino Linotype"/>
                <w:color w:val="000000"/>
                <w:sz w:val="22"/>
                <w:szCs w:val="22"/>
              </w:rPr>
              <w:t>IV. Trámite del Recurso de Revisión ante este Instituto</w:t>
            </w:r>
          </w:hyperlink>
          <w:hyperlink w:anchor="_heading=h.m02vpzrvjhe2">
            <w:r>
              <w:rPr>
                <w:rFonts w:ascii="Calibri" w:eastAsia="Calibri" w:hAnsi="Calibri" w:cs="Calibri"/>
                <w:color w:val="000000"/>
                <w:sz w:val="22"/>
                <w:szCs w:val="22"/>
              </w:rPr>
              <w:tab/>
              <w:t>6</w:t>
            </w:r>
          </w:hyperlink>
        </w:p>
        <w:p w14:paraId="6A0B3696" w14:textId="77777777" w:rsidR="00D603B6" w:rsidRDefault="009F0248">
          <w:pPr>
            <w:pBdr>
              <w:top w:val="nil"/>
              <w:left w:val="nil"/>
              <w:bottom w:val="nil"/>
              <w:right w:val="nil"/>
              <w:between w:val="nil"/>
            </w:pBdr>
            <w:tabs>
              <w:tab w:val="right" w:pos="8828"/>
            </w:tabs>
            <w:spacing w:after="100" w:line="360" w:lineRule="auto"/>
            <w:rPr>
              <w:rFonts w:ascii="Calibri" w:eastAsia="Calibri" w:hAnsi="Calibri" w:cs="Calibri"/>
              <w:color w:val="000000"/>
              <w:sz w:val="22"/>
              <w:szCs w:val="22"/>
            </w:rPr>
          </w:pPr>
          <w:hyperlink w:anchor="_heading=h.jusa333zoj5i">
            <w:r>
              <w:rPr>
                <w:rFonts w:ascii="Palatino Linotype" w:eastAsia="Palatino Linotype" w:hAnsi="Palatino Linotype" w:cs="Palatino Linotype"/>
                <w:color w:val="000000"/>
                <w:sz w:val="22"/>
                <w:szCs w:val="22"/>
              </w:rPr>
              <w:t>C O N S I D E R A N D O S</w:t>
            </w:r>
          </w:hyperlink>
          <w:hyperlink w:anchor="_heading=h.jusa333zoj5i">
            <w:r>
              <w:rPr>
                <w:rFonts w:ascii="Calibri" w:eastAsia="Calibri" w:hAnsi="Calibri" w:cs="Calibri"/>
                <w:color w:val="000000"/>
                <w:sz w:val="22"/>
                <w:szCs w:val="22"/>
              </w:rPr>
              <w:tab/>
              <w:t>9</w:t>
            </w:r>
          </w:hyperlink>
        </w:p>
        <w:p w14:paraId="4B3A0523"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tabxu6cskir6">
            <w:r>
              <w:rPr>
                <w:rFonts w:ascii="Palatino Linotype" w:eastAsia="Palatino Linotype" w:hAnsi="Palatino Linotype" w:cs="Palatino Linotype"/>
                <w:color w:val="000000"/>
                <w:sz w:val="22"/>
                <w:szCs w:val="22"/>
              </w:rPr>
              <w:t>PRIMERO. Competencia</w:t>
            </w:r>
          </w:hyperlink>
          <w:hyperlink w:anchor="_heading=h.tabxu6cskir6">
            <w:r>
              <w:rPr>
                <w:rFonts w:ascii="Calibri" w:eastAsia="Calibri" w:hAnsi="Calibri" w:cs="Calibri"/>
                <w:color w:val="000000"/>
                <w:sz w:val="22"/>
                <w:szCs w:val="22"/>
              </w:rPr>
              <w:tab/>
              <w:t>9</w:t>
            </w:r>
          </w:hyperlink>
        </w:p>
        <w:p w14:paraId="0BE3F818"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5af5xsuzforz">
            <w:r>
              <w:rPr>
                <w:rFonts w:ascii="Palatino Linotype" w:eastAsia="Palatino Linotype" w:hAnsi="Palatino Linotype" w:cs="Palatino Linotype"/>
                <w:color w:val="000000"/>
                <w:sz w:val="22"/>
                <w:szCs w:val="22"/>
              </w:rPr>
              <w:t>SEGUNDO. Causales de improcedencia y sobreseimiento</w:t>
            </w:r>
          </w:hyperlink>
          <w:hyperlink w:anchor="_heading=h.5af5xsuzforz">
            <w:r>
              <w:rPr>
                <w:rFonts w:ascii="Calibri" w:eastAsia="Calibri" w:hAnsi="Calibri" w:cs="Calibri"/>
                <w:color w:val="000000"/>
                <w:sz w:val="22"/>
                <w:szCs w:val="22"/>
              </w:rPr>
              <w:tab/>
              <w:t>9</w:t>
            </w:r>
          </w:hyperlink>
        </w:p>
        <w:p w14:paraId="43B1652B"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f7b9714lf6yy">
            <w:r>
              <w:rPr>
                <w:rFonts w:ascii="Palatino Linotype" w:eastAsia="Palatino Linotype" w:hAnsi="Palatino Linotype" w:cs="Palatino Linotype"/>
                <w:color w:val="000000"/>
                <w:sz w:val="22"/>
                <w:szCs w:val="22"/>
              </w:rPr>
              <w:t>CUARTO. Marco normativo aplicable en materia de transparencia y acceso a la información pública</w:t>
            </w:r>
          </w:hyperlink>
          <w:hyperlink w:anchor="_heading=h.f7b9714lf6yy">
            <w:r>
              <w:rPr>
                <w:rFonts w:ascii="Calibri" w:eastAsia="Calibri" w:hAnsi="Calibri" w:cs="Calibri"/>
                <w:color w:val="000000"/>
                <w:sz w:val="22"/>
                <w:szCs w:val="22"/>
              </w:rPr>
              <w:tab/>
              <w:t>12</w:t>
            </w:r>
          </w:hyperlink>
        </w:p>
        <w:p w14:paraId="07830229"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fggw2xerd8hv">
            <w:r>
              <w:rPr>
                <w:rFonts w:ascii="Palatino Linotype" w:eastAsia="Palatino Linotype" w:hAnsi="Palatino Linotype" w:cs="Palatino Linotype"/>
                <w:color w:val="000000"/>
                <w:sz w:val="22"/>
                <w:szCs w:val="22"/>
              </w:rPr>
              <w:t>QUINTO. Estudio de Fondo</w:t>
            </w:r>
          </w:hyperlink>
          <w:hyperlink w:anchor="_heading=h.fggw2xerd8hv">
            <w:r>
              <w:rPr>
                <w:rFonts w:ascii="Calibri" w:eastAsia="Calibri" w:hAnsi="Calibri" w:cs="Calibri"/>
                <w:color w:val="000000"/>
                <w:sz w:val="22"/>
                <w:szCs w:val="22"/>
              </w:rPr>
              <w:tab/>
              <w:t>13</w:t>
            </w:r>
          </w:hyperlink>
        </w:p>
        <w:p w14:paraId="47F682B6" w14:textId="77777777" w:rsidR="00D603B6" w:rsidRDefault="009F0248">
          <w:pPr>
            <w:pBdr>
              <w:top w:val="nil"/>
              <w:left w:val="nil"/>
              <w:bottom w:val="nil"/>
              <w:right w:val="nil"/>
              <w:between w:val="nil"/>
            </w:pBdr>
            <w:tabs>
              <w:tab w:val="right" w:pos="8828"/>
            </w:tabs>
            <w:spacing w:after="100" w:line="360" w:lineRule="auto"/>
            <w:ind w:left="220"/>
            <w:rPr>
              <w:rFonts w:ascii="Calibri" w:eastAsia="Calibri" w:hAnsi="Calibri" w:cs="Calibri"/>
              <w:color w:val="000000"/>
              <w:sz w:val="22"/>
              <w:szCs w:val="22"/>
            </w:rPr>
          </w:pPr>
          <w:hyperlink w:anchor="_heading=h.elcajqb9obgt">
            <w:r>
              <w:rPr>
                <w:rFonts w:ascii="Palatino Linotype" w:eastAsia="Palatino Linotype" w:hAnsi="Palatino Linotype" w:cs="Palatino Linotype"/>
                <w:color w:val="000000"/>
                <w:sz w:val="22"/>
                <w:szCs w:val="22"/>
              </w:rPr>
              <w:t>SEXTO. Decisión</w:t>
            </w:r>
          </w:hyperlink>
          <w:hyperlink w:anchor="_heading=h.elcajqb9obgt">
            <w:r>
              <w:rPr>
                <w:rFonts w:ascii="Calibri" w:eastAsia="Calibri" w:hAnsi="Calibri" w:cs="Calibri"/>
                <w:color w:val="000000"/>
                <w:sz w:val="22"/>
                <w:szCs w:val="22"/>
              </w:rPr>
              <w:tab/>
              <w:t>29</w:t>
            </w:r>
          </w:hyperlink>
        </w:p>
        <w:p w14:paraId="57015336" w14:textId="77777777" w:rsidR="00D603B6" w:rsidRDefault="009F0248">
          <w:pPr>
            <w:pBdr>
              <w:top w:val="nil"/>
              <w:left w:val="nil"/>
              <w:bottom w:val="nil"/>
              <w:right w:val="nil"/>
              <w:between w:val="nil"/>
            </w:pBdr>
            <w:tabs>
              <w:tab w:val="right" w:pos="8828"/>
            </w:tabs>
            <w:spacing w:after="100" w:line="360" w:lineRule="auto"/>
            <w:rPr>
              <w:rFonts w:ascii="Calibri" w:eastAsia="Calibri" w:hAnsi="Calibri" w:cs="Calibri"/>
              <w:color w:val="000000"/>
              <w:sz w:val="22"/>
              <w:szCs w:val="22"/>
            </w:rPr>
          </w:pPr>
          <w:hyperlink w:anchor="_heading=h.rfjgqrtysvv7">
            <w:r>
              <w:rPr>
                <w:rFonts w:ascii="Palatino Linotype" w:eastAsia="Palatino Linotype" w:hAnsi="Palatino Linotype" w:cs="Palatino Linotype"/>
                <w:color w:val="000000"/>
                <w:sz w:val="22"/>
                <w:szCs w:val="22"/>
              </w:rPr>
              <w:t>R E S U E L V E</w:t>
            </w:r>
          </w:hyperlink>
          <w:hyperlink w:anchor="_heading=h.rfjgqrtysvv7">
            <w:r>
              <w:rPr>
                <w:rFonts w:ascii="Calibri" w:eastAsia="Calibri" w:hAnsi="Calibri" w:cs="Calibri"/>
                <w:color w:val="000000"/>
                <w:sz w:val="22"/>
                <w:szCs w:val="22"/>
              </w:rPr>
              <w:tab/>
              <w:t>30</w:t>
            </w:r>
          </w:hyperlink>
        </w:p>
        <w:p w14:paraId="68E22950" w14:textId="77777777" w:rsidR="00D603B6" w:rsidRDefault="009F0248">
          <w:pPr>
            <w:spacing w:line="360" w:lineRule="auto"/>
            <w:jc w:val="both"/>
            <w:rPr>
              <w:rFonts w:ascii="Palatino Linotype" w:eastAsia="Palatino Linotype" w:hAnsi="Palatino Linotype" w:cs="Palatino Linotype"/>
              <w:sz w:val="22"/>
              <w:szCs w:val="22"/>
            </w:rPr>
          </w:pPr>
          <w:r>
            <w:fldChar w:fldCharType="end"/>
          </w:r>
        </w:p>
      </w:sdtContent>
    </w:sdt>
    <w:p w14:paraId="4757D514" w14:textId="77777777" w:rsidR="00D603B6" w:rsidRDefault="009F0248">
      <w:pPr>
        <w:spacing w:line="360" w:lineRule="auto"/>
        <w:rPr>
          <w:rFonts w:ascii="Palatino Linotype" w:eastAsia="Palatino Linotype" w:hAnsi="Palatino Linotype" w:cs="Palatino Linotype"/>
          <w:sz w:val="22"/>
          <w:szCs w:val="22"/>
        </w:rPr>
      </w:pPr>
      <w:r>
        <w:br w:type="page"/>
      </w:r>
    </w:p>
    <w:p w14:paraId="0F963324" w14:textId="77777777" w:rsidR="00D603B6" w:rsidRDefault="00D603B6">
      <w:pPr>
        <w:spacing w:line="360" w:lineRule="auto"/>
        <w:jc w:val="both"/>
        <w:rPr>
          <w:rFonts w:ascii="Palatino Linotype" w:eastAsia="Palatino Linotype" w:hAnsi="Palatino Linotype" w:cs="Palatino Linotype"/>
          <w:sz w:val="22"/>
          <w:szCs w:val="22"/>
        </w:rPr>
      </w:pPr>
    </w:p>
    <w:p w14:paraId="10349B83"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veinticinco de noviembre de dos mil veinticinco.</w:t>
      </w:r>
    </w:p>
    <w:p w14:paraId="4D3EA33E" w14:textId="77777777" w:rsidR="00D603B6" w:rsidRDefault="00D603B6">
      <w:pPr>
        <w:spacing w:line="360" w:lineRule="auto"/>
        <w:rPr>
          <w:rFonts w:ascii="Palatino Linotype" w:eastAsia="Palatino Linotype" w:hAnsi="Palatino Linotype" w:cs="Palatino Linotype"/>
          <w:sz w:val="22"/>
          <w:szCs w:val="22"/>
        </w:rPr>
      </w:pPr>
    </w:p>
    <w:p w14:paraId="77095344" w14:textId="77777777" w:rsidR="00D603B6" w:rsidRDefault="009F0248">
      <w:pPr>
        <w:spacing w:line="360" w:lineRule="auto"/>
        <w:jc w:val="both"/>
        <w:rPr>
          <w:rFonts w:ascii="Palatino Linotype" w:eastAsia="Palatino Linotype" w:hAnsi="Palatino Linotype" w:cs="Palatino Linotype"/>
          <w:sz w:val="22"/>
          <w:szCs w:val="22"/>
        </w:rPr>
      </w:pPr>
      <w:bookmarkStart w:id="1" w:name="_heading=h.x97l6deqje79" w:colFirst="0" w:colLast="0"/>
      <w:bookmarkEnd w:id="1"/>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 los Recursos de Revisión </w:t>
      </w:r>
      <w:r w:rsidRPr="00FB7E8D">
        <w:rPr>
          <w:rFonts w:ascii="Palatino Linotype" w:eastAsia="Palatino Linotype" w:hAnsi="Palatino Linotype" w:cs="Palatino Linotype"/>
          <w:b/>
          <w:sz w:val="22"/>
          <w:szCs w:val="22"/>
        </w:rPr>
        <w:t>11836/INFOEM/IP/RR/2025, 11837/INFOEM/IP/RR/2025, 11838/INFOEM/IP/RR/2025, 11839/INFOEM/IP/RR/2025, 11840/INFOEM/IP/RR/2025, 11841/INFOEM/IP/RR/2025, 11842/INFOEM/IP/RR/2025, 11843/INFOEM/IP/RR/2025, 11844/INFOEM/IP/RR/2025, 11845/INFOEM/IP/RR/2025, 11846/INFOEM/IP/RR/2025, 11847/INFOEM/IP/RR/2025,  11848/INFOEM/IP/RR/2025, 11849/INFOEM/IP/RR/2025, 11850/INFOEM/IP/RR/2025, 11851/INFOEM/IP/RR/2025, 11852/INFOEM/IP/RR/2025, 11853/INFOEM/IP/RR/2025 y 11854/INFOEM/IP/RR/2025,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la persona </w:t>
      </w:r>
      <w:r>
        <w:rPr>
          <w:rFonts w:ascii="Palatino Linotype" w:eastAsia="Palatino Linotype" w:hAnsi="Palatino Linotype" w:cs="Palatino Linotype"/>
          <w:color w:val="0D0D0D"/>
          <w:sz w:val="22"/>
          <w:szCs w:val="22"/>
        </w:rPr>
        <w:t xml:space="preserve">Recurrente o Particular, en contra de la respuesta del Sujeto Obligado, </w:t>
      </w:r>
      <w:r w:rsidRPr="00FB7E8D">
        <w:rPr>
          <w:rFonts w:ascii="Palatino Linotype" w:eastAsia="Palatino Linotype" w:hAnsi="Palatino Linotype" w:cs="Palatino Linotype"/>
          <w:b/>
          <w:color w:val="0D0D0D"/>
          <w:sz w:val="22"/>
          <w:szCs w:val="22"/>
        </w:rPr>
        <w:t>Secretaría de Seguridad</w:t>
      </w:r>
      <w:r>
        <w:rPr>
          <w:rFonts w:ascii="Palatino Linotype" w:eastAsia="Palatino Linotype" w:hAnsi="Palatino Linotype" w:cs="Palatino Linotype"/>
          <w:color w:val="0D0D0D"/>
          <w:sz w:val="22"/>
          <w:szCs w:val="22"/>
        </w:rPr>
        <w:t xml:space="preserve">, a las solicitudes de acceso a la información pública </w:t>
      </w:r>
      <w:r>
        <w:rPr>
          <w:rFonts w:ascii="Palatino Linotype" w:eastAsia="Palatino Linotype" w:hAnsi="Palatino Linotype" w:cs="Palatino Linotype"/>
          <w:sz w:val="22"/>
          <w:szCs w:val="22"/>
        </w:rPr>
        <w:t xml:space="preserve">00457/SSEM/IP/2025, 00458/SSEM/IP/2025, 00459/SSEM/IP/2025, 00460/SSEM/IP/2025, 00461/SSEM/IP/2025, 00462/SEM/IP/2025, 00463/SSEM/IP/2025, 00464/SSEM/IP/2025, 00465/SSEM/IP/2025, 00466/SSEM/IP/2025, 00467/SSEM/IP/2025, 00468/SSEM/IP/2025, 00469/SSEM/IP/2025, 00470/SSEM/IP/2025, 00471/SSEM/IP/2025, 00472/SSEM/IP/2025, 00473/SSEM/IP/2025, 00474/SSEM/IP/2025 y 00475/SSEM/IP/2025, </w:t>
      </w:r>
      <w:r>
        <w:rPr>
          <w:rFonts w:ascii="Palatino Linotype" w:eastAsia="Palatino Linotype" w:hAnsi="Palatino Linotype" w:cs="Palatino Linotype"/>
          <w:color w:val="0D0D0D"/>
          <w:sz w:val="22"/>
          <w:szCs w:val="22"/>
        </w:rPr>
        <w:t>se emite la presente Resolución, con base en los Antecedentes y C</w:t>
      </w:r>
      <w:r>
        <w:rPr>
          <w:rFonts w:ascii="Palatino Linotype" w:eastAsia="Palatino Linotype" w:hAnsi="Palatino Linotype" w:cs="Palatino Linotype"/>
          <w:sz w:val="22"/>
          <w:szCs w:val="22"/>
        </w:rPr>
        <w:t>onsiderandos que a continuación se exponen:</w:t>
      </w:r>
    </w:p>
    <w:p w14:paraId="3BCC5E6D" w14:textId="77777777" w:rsidR="00D603B6" w:rsidRDefault="00D603B6">
      <w:pPr>
        <w:spacing w:line="360" w:lineRule="auto"/>
        <w:jc w:val="both"/>
        <w:rPr>
          <w:rFonts w:ascii="Palatino Linotype" w:eastAsia="Palatino Linotype" w:hAnsi="Palatino Linotype" w:cs="Palatino Linotype"/>
          <w:sz w:val="22"/>
          <w:szCs w:val="22"/>
        </w:rPr>
      </w:pPr>
    </w:p>
    <w:p w14:paraId="2A4F45DA" w14:textId="77777777" w:rsidR="00D603B6" w:rsidRDefault="009F0248">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heading=h.g65h9j2oey96" w:colFirst="0" w:colLast="0"/>
      <w:bookmarkEnd w:id="2"/>
      <w:r>
        <w:rPr>
          <w:rFonts w:ascii="Palatino Linotype" w:eastAsia="Palatino Linotype" w:hAnsi="Palatino Linotype" w:cs="Palatino Linotype"/>
          <w:b/>
          <w:bCs/>
          <w:color w:val="000000"/>
          <w:sz w:val="22"/>
          <w:szCs w:val="22"/>
        </w:rPr>
        <w:t>A N T E C E D E N T E S</w:t>
      </w:r>
    </w:p>
    <w:p w14:paraId="3E379642" w14:textId="77777777" w:rsidR="00D603B6" w:rsidRDefault="00D603B6">
      <w:pPr>
        <w:spacing w:line="360" w:lineRule="auto"/>
      </w:pPr>
    </w:p>
    <w:p w14:paraId="758C488D"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3" w:name="_heading=h.fjti47hd7i6a" w:colFirst="0" w:colLast="0"/>
      <w:bookmarkEnd w:id="3"/>
      <w:r>
        <w:rPr>
          <w:rFonts w:ascii="Palatino Linotype" w:eastAsia="Palatino Linotype" w:hAnsi="Palatino Linotype" w:cs="Palatino Linotype"/>
          <w:b/>
          <w:bCs/>
          <w:color w:val="000000"/>
          <w:sz w:val="22"/>
          <w:szCs w:val="22"/>
        </w:rPr>
        <w:t>I. Presentación de las solicitudes de información</w:t>
      </w:r>
    </w:p>
    <w:p w14:paraId="21C83C9D" w14:textId="77777777" w:rsidR="00D603B6" w:rsidRDefault="00D603B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19CA2263" w14:textId="77777777" w:rsidR="00D603B6" w:rsidRDefault="009F024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Con fecha dos de septiembre de dos mil veinticinco, el Particular presentó las solicitudes de acceso a la información pública, a través del Sistema de Acceso a la Información Mexiquense, en lo sucesivo el SAIMEX, ante la Secretaría de Seguridad, mediante la cual requirió lo siguiente:</w:t>
      </w:r>
    </w:p>
    <w:p w14:paraId="7A95F126" w14:textId="77777777" w:rsidR="00D603B6" w:rsidRDefault="00D603B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D603B6" w14:paraId="727E29C8" w14:textId="77777777">
        <w:tc>
          <w:tcPr>
            <w:tcW w:w="2547" w:type="dxa"/>
            <w:tcBorders>
              <w:top w:val="single" w:sz="4" w:space="0" w:color="000000"/>
              <w:left w:val="single" w:sz="4" w:space="0" w:color="000000"/>
              <w:bottom w:val="single" w:sz="4" w:space="0" w:color="000000"/>
              <w:right w:val="single" w:sz="4" w:space="0" w:color="000000"/>
            </w:tcBorders>
            <w:shd w:val="clear" w:color="auto" w:fill="D0CECE"/>
          </w:tcPr>
          <w:p w14:paraId="6551400E" w14:textId="77777777" w:rsidR="00D603B6" w:rsidRDefault="009F0248">
            <w:pPr>
              <w:tabs>
                <w:tab w:val="left" w:pos="567"/>
              </w:tabs>
              <w:spacing w:line="360" w:lineRule="auto"/>
              <w:ind w:right="-28"/>
              <w:rPr>
                <w:b/>
                <w:bCs/>
              </w:rPr>
            </w:pPr>
            <w:bookmarkStart w:id="4" w:name="_heading=h.z3l11abdznor" w:colFirst="0" w:colLast="0"/>
            <w:bookmarkEnd w:id="4"/>
            <w:r>
              <w:rPr>
                <w:b/>
                <w:bCs/>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0CECE"/>
          </w:tcPr>
          <w:p w14:paraId="79133FA9" w14:textId="77777777" w:rsidR="00D603B6" w:rsidRDefault="009F0248">
            <w:pPr>
              <w:tabs>
                <w:tab w:val="left" w:pos="567"/>
              </w:tabs>
              <w:spacing w:line="360" w:lineRule="auto"/>
              <w:rPr>
                <w:b/>
                <w:bCs/>
              </w:rPr>
            </w:pPr>
            <w:r>
              <w:rPr>
                <w:b/>
                <w:bCs/>
              </w:rPr>
              <w:t>‘’DESCRIPCIÓN CLARA Y PRECISA DE LA INFORMACIÓN SOLICITADA</w:t>
            </w:r>
          </w:p>
        </w:tc>
      </w:tr>
      <w:tr w:rsidR="00D603B6" w14:paraId="257021DD" w14:textId="77777777">
        <w:tc>
          <w:tcPr>
            <w:tcW w:w="2547" w:type="dxa"/>
            <w:tcBorders>
              <w:top w:val="single" w:sz="4" w:space="0" w:color="000000"/>
              <w:left w:val="single" w:sz="4" w:space="0" w:color="000000"/>
              <w:bottom w:val="single" w:sz="4" w:space="0" w:color="000000"/>
              <w:right w:val="single" w:sz="4" w:space="0" w:color="000000"/>
            </w:tcBorders>
          </w:tcPr>
          <w:p w14:paraId="6D15D35E" w14:textId="77777777" w:rsidR="00D603B6" w:rsidRDefault="009F0248">
            <w:pPr>
              <w:spacing w:line="360" w:lineRule="auto"/>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rPr>
              <w:t>00457/SSEM/IP/2025</w:t>
            </w:r>
          </w:p>
        </w:tc>
        <w:tc>
          <w:tcPr>
            <w:tcW w:w="6379" w:type="dxa"/>
            <w:tcBorders>
              <w:top w:val="single" w:sz="4" w:space="0" w:color="000000"/>
              <w:left w:val="single" w:sz="4" w:space="0" w:color="000000"/>
              <w:bottom w:val="single" w:sz="4" w:space="0" w:color="000000"/>
              <w:right w:val="single" w:sz="4" w:space="0" w:color="000000"/>
            </w:tcBorders>
          </w:tcPr>
          <w:p w14:paraId="795AA4C5" w14:textId="77777777" w:rsidR="00D603B6" w:rsidRDefault="009F0248">
            <w:pPr>
              <w:spacing w:line="360" w:lineRule="auto"/>
              <w:jc w:val="both"/>
              <w:rPr>
                <w:i/>
                <w:iCs/>
                <w:color w:val="FF0000"/>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septiembre de 2024</w:t>
            </w:r>
            <w:r>
              <w:rPr>
                <w:i/>
                <w:iCs/>
              </w:rPr>
              <w:t>” (Sic)</w:t>
            </w:r>
          </w:p>
        </w:tc>
      </w:tr>
      <w:tr w:rsidR="00D603B6" w14:paraId="7156E43C" w14:textId="77777777">
        <w:tc>
          <w:tcPr>
            <w:tcW w:w="2547" w:type="dxa"/>
            <w:tcBorders>
              <w:top w:val="single" w:sz="4" w:space="0" w:color="000000"/>
              <w:left w:val="single" w:sz="4" w:space="0" w:color="000000"/>
              <w:bottom w:val="single" w:sz="4" w:space="0" w:color="000000"/>
              <w:right w:val="single" w:sz="4" w:space="0" w:color="000000"/>
            </w:tcBorders>
          </w:tcPr>
          <w:p w14:paraId="59CFDE58" w14:textId="77777777" w:rsidR="00D603B6" w:rsidRDefault="009F0248">
            <w:pPr>
              <w:spacing w:line="360" w:lineRule="auto"/>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rPr>
              <w:t>00458/SSEM/IP/2025</w:t>
            </w:r>
          </w:p>
        </w:tc>
        <w:tc>
          <w:tcPr>
            <w:tcW w:w="6379" w:type="dxa"/>
            <w:tcBorders>
              <w:top w:val="single" w:sz="4" w:space="0" w:color="000000"/>
              <w:left w:val="single" w:sz="4" w:space="0" w:color="000000"/>
              <w:bottom w:val="single" w:sz="4" w:space="0" w:color="000000"/>
              <w:right w:val="single" w:sz="4" w:space="0" w:color="000000"/>
            </w:tcBorders>
          </w:tcPr>
          <w:p w14:paraId="1691C59D" w14:textId="77777777" w:rsidR="00D603B6" w:rsidRDefault="009F0248">
            <w:pPr>
              <w:spacing w:line="360" w:lineRule="auto"/>
              <w:jc w:val="both"/>
              <w:rPr>
                <w:color w:val="FF0000"/>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agosto de 2024</w:t>
            </w:r>
            <w:r>
              <w:rPr>
                <w:i/>
                <w:iCs/>
              </w:rPr>
              <w:t>” (Sic)</w:t>
            </w:r>
          </w:p>
        </w:tc>
      </w:tr>
      <w:tr w:rsidR="00D603B6" w14:paraId="7D35F011" w14:textId="77777777">
        <w:tc>
          <w:tcPr>
            <w:tcW w:w="2547" w:type="dxa"/>
            <w:tcBorders>
              <w:top w:val="single" w:sz="4" w:space="0" w:color="000000"/>
              <w:left w:val="single" w:sz="4" w:space="0" w:color="000000"/>
              <w:bottom w:val="single" w:sz="4" w:space="0" w:color="000000"/>
              <w:right w:val="single" w:sz="4" w:space="0" w:color="000000"/>
            </w:tcBorders>
          </w:tcPr>
          <w:p w14:paraId="2D7EC796" w14:textId="77777777" w:rsidR="00D603B6" w:rsidRDefault="009F0248">
            <w:pPr>
              <w:spacing w:line="360" w:lineRule="auto"/>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rPr>
              <w:t>00459/SSEM/IP/2025</w:t>
            </w:r>
          </w:p>
        </w:tc>
        <w:tc>
          <w:tcPr>
            <w:tcW w:w="6379" w:type="dxa"/>
            <w:tcBorders>
              <w:top w:val="single" w:sz="4" w:space="0" w:color="000000"/>
              <w:left w:val="single" w:sz="4" w:space="0" w:color="000000"/>
              <w:bottom w:val="single" w:sz="4" w:space="0" w:color="000000"/>
              <w:right w:val="single" w:sz="4" w:space="0" w:color="000000"/>
            </w:tcBorders>
          </w:tcPr>
          <w:p w14:paraId="73BB8DA5" w14:textId="77777777" w:rsidR="00D603B6" w:rsidRDefault="009F0248">
            <w:pPr>
              <w:spacing w:line="360" w:lineRule="auto"/>
              <w:jc w:val="both"/>
              <w:rPr>
                <w:i/>
                <w:iCs/>
                <w:color w:val="FF0000"/>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julio de 2024</w:t>
            </w:r>
            <w:r>
              <w:rPr>
                <w:i/>
                <w:iCs/>
              </w:rPr>
              <w:t>” (Sic)</w:t>
            </w:r>
          </w:p>
        </w:tc>
      </w:tr>
      <w:tr w:rsidR="00D603B6" w14:paraId="6705BEA9" w14:textId="77777777">
        <w:tc>
          <w:tcPr>
            <w:tcW w:w="2547" w:type="dxa"/>
            <w:tcBorders>
              <w:top w:val="single" w:sz="4" w:space="0" w:color="000000"/>
              <w:left w:val="single" w:sz="4" w:space="0" w:color="000000"/>
              <w:bottom w:val="single" w:sz="4" w:space="0" w:color="000000"/>
              <w:right w:val="single" w:sz="4" w:space="0" w:color="000000"/>
            </w:tcBorders>
          </w:tcPr>
          <w:p w14:paraId="1947C991"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00460/SSEM/IP/2025</w:t>
            </w:r>
          </w:p>
        </w:tc>
        <w:tc>
          <w:tcPr>
            <w:tcW w:w="6379" w:type="dxa"/>
            <w:tcBorders>
              <w:top w:val="single" w:sz="4" w:space="0" w:color="000000"/>
              <w:left w:val="single" w:sz="4" w:space="0" w:color="000000"/>
              <w:bottom w:val="single" w:sz="4" w:space="0" w:color="000000"/>
              <w:right w:val="single" w:sz="4" w:space="0" w:color="000000"/>
            </w:tcBorders>
          </w:tcPr>
          <w:p w14:paraId="720C9039" w14:textId="77777777" w:rsidR="00D603B6" w:rsidRDefault="009F0248">
            <w:pPr>
              <w:spacing w:line="360" w:lineRule="auto"/>
              <w:jc w:val="both"/>
              <w:rPr>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junio de 2024</w:t>
            </w:r>
            <w:r>
              <w:rPr>
                <w:i/>
                <w:iCs/>
              </w:rPr>
              <w:t>” (Sic)</w:t>
            </w:r>
          </w:p>
        </w:tc>
      </w:tr>
      <w:tr w:rsidR="00D603B6" w14:paraId="4786417D" w14:textId="77777777">
        <w:tc>
          <w:tcPr>
            <w:tcW w:w="2547" w:type="dxa"/>
            <w:tcBorders>
              <w:top w:val="single" w:sz="4" w:space="0" w:color="000000"/>
              <w:left w:val="single" w:sz="4" w:space="0" w:color="000000"/>
              <w:bottom w:val="single" w:sz="4" w:space="0" w:color="000000"/>
              <w:right w:val="single" w:sz="4" w:space="0" w:color="000000"/>
            </w:tcBorders>
          </w:tcPr>
          <w:p w14:paraId="62703F38" w14:textId="77777777" w:rsidR="00D603B6" w:rsidRDefault="009F0248">
            <w:pPr>
              <w:spacing w:line="360" w:lineRule="auto"/>
              <w:rPr>
                <w:b/>
                <w:bCs/>
                <w:i/>
                <w:iCs/>
              </w:rPr>
            </w:pPr>
            <w:r>
              <w:rPr>
                <w:rFonts w:ascii="Palatino Linotype" w:eastAsia="Palatino Linotype" w:hAnsi="Palatino Linotype" w:cs="Palatino Linotype"/>
                <w:b/>
                <w:bCs/>
                <w:i/>
                <w:iCs/>
              </w:rPr>
              <w:t>00461/SSEM/IP/2025</w:t>
            </w:r>
          </w:p>
        </w:tc>
        <w:tc>
          <w:tcPr>
            <w:tcW w:w="6379" w:type="dxa"/>
            <w:tcBorders>
              <w:top w:val="single" w:sz="4" w:space="0" w:color="000000"/>
              <w:left w:val="single" w:sz="4" w:space="0" w:color="000000"/>
              <w:bottom w:val="single" w:sz="4" w:space="0" w:color="000000"/>
              <w:right w:val="single" w:sz="4" w:space="0" w:color="000000"/>
            </w:tcBorders>
          </w:tcPr>
          <w:p w14:paraId="073641C8"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mayo de 2024</w:t>
            </w:r>
            <w:r>
              <w:rPr>
                <w:rFonts w:ascii="Palatino Linotype" w:eastAsia="Palatino Linotype" w:hAnsi="Palatino Linotype" w:cs="Palatino Linotype"/>
                <w:i/>
                <w:iCs/>
              </w:rPr>
              <w:t>” (Sic)</w:t>
            </w:r>
          </w:p>
        </w:tc>
      </w:tr>
      <w:tr w:rsidR="00D603B6" w14:paraId="338D4495" w14:textId="77777777">
        <w:tc>
          <w:tcPr>
            <w:tcW w:w="2547" w:type="dxa"/>
            <w:tcBorders>
              <w:top w:val="single" w:sz="4" w:space="0" w:color="000000"/>
              <w:left w:val="single" w:sz="4" w:space="0" w:color="000000"/>
              <w:bottom w:val="single" w:sz="4" w:space="0" w:color="000000"/>
              <w:right w:val="single" w:sz="4" w:space="0" w:color="000000"/>
            </w:tcBorders>
          </w:tcPr>
          <w:p w14:paraId="048B3C38"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00462/SEM/IP/2025</w:t>
            </w:r>
          </w:p>
        </w:tc>
        <w:tc>
          <w:tcPr>
            <w:tcW w:w="6379" w:type="dxa"/>
            <w:tcBorders>
              <w:top w:val="single" w:sz="4" w:space="0" w:color="000000"/>
              <w:left w:val="single" w:sz="4" w:space="0" w:color="000000"/>
              <w:bottom w:val="single" w:sz="4" w:space="0" w:color="000000"/>
              <w:right w:val="single" w:sz="4" w:space="0" w:color="000000"/>
            </w:tcBorders>
          </w:tcPr>
          <w:p w14:paraId="6C91E1B8"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abril de 2024</w:t>
            </w:r>
            <w:r>
              <w:rPr>
                <w:rFonts w:ascii="Palatino Linotype" w:eastAsia="Palatino Linotype" w:hAnsi="Palatino Linotype" w:cs="Palatino Linotype"/>
                <w:i/>
                <w:iCs/>
              </w:rPr>
              <w:t>” (Sic)</w:t>
            </w:r>
          </w:p>
        </w:tc>
      </w:tr>
      <w:tr w:rsidR="00D603B6" w14:paraId="2C4E1098" w14:textId="77777777">
        <w:tc>
          <w:tcPr>
            <w:tcW w:w="2547" w:type="dxa"/>
            <w:tcBorders>
              <w:top w:val="single" w:sz="4" w:space="0" w:color="000000"/>
              <w:left w:val="single" w:sz="4" w:space="0" w:color="000000"/>
              <w:bottom w:val="single" w:sz="4" w:space="0" w:color="000000"/>
              <w:right w:val="single" w:sz="4" w:space="0" w:color="000000"/>
            </w:tcBorders>
          </w:tcPr>
          <w:p w14:paraId="4D8CE1F8"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00463/SSEM/IP/2025</w:t>
            </w:r>
          </w:p>
        </w:tc>
        <w:tc>
          <w:tcPr>
            <w:tcW w:w="6379" w:type="dxa"/>
            <w:tcBorders>
              <w:top w:val="single" w:sz="4" w:space="0" w:color="000000"/>
              <w:left w:val="single" w:sz="4" w:space="0" w:color="000000"/>
              <w:bottom w:val="single" w:sz="4" w:space="0" w:color="000000"/>
              <w:right w:val="single" w:sz="4" w:space="0" w:color="000000"/>
            </w:tcBorders>
          </w:tcPr>
          <w:p w14:paraId="30C5B8C4"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marzo de 2024</w:t>
            </w:r>
            <w:r>
              <w:rPr>
                <w:rFonts w:ascii="Palatino Linotype" w:eastAsia="Palatino Linotype" w:hAnsi="Palatino Linotype" w:cs="Palatino Linotype"/>
                <w:i/>
                <w:iCs/>
              </w:rPr>
              <w:t>” (Sic)</w:t>
            </w:r>
          </w:p>
        </w:tc>
      </w:tr>
      <w:tr w:rsidR="00D603B6" w14:paraId="2D4B479A" w14:textId="77777777">
        <w:tc>
          <w:tcPr>
            <w:tcW w:w="2547" w:type="dxa"/>
            <w:tcBorders>
              <w:top w:val="single" w:sz="4" w:space="0" w:color="000000"/>
              <w:left w:val="single" w:sz="4" w:space="0" w:color="000000"/>
              <w:bottom w:val="single" w:sz="4" w:space="0" w:color="000000"/>
              <w:right w:val="single" w:sz="4" w:space="0" w:color="000000"/>
            </w:tcBorders>
          </w:tcPr>
          <w:p w14:paraId="49DF6572"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00464/SSEM/IP/2025</w:t>
            </w:r>
          </w:p>
        </w:tc>
        <w:tc>
          <w:tcPr>
            <w:tcW w:w="6379" w:type="dxa"/>
            <w:tcBorders>
              <w:top w:val="single" w:sz="4" w:space="0" w:color="000000"/>
              <w:left w:val="single" w:sz="4" w:space="0" w:color="000000"/>
              <w:bottom w:val="single" w:sz="4" w:space="0" w:color="000000"/>
              <w:right w:val="single" w:sz="4" w:space="0" w:color="000000"/>
            </w:tcBorders>
          </w:tcPr>
          <w:p w14:paraId="1A43922B" w14:textId="77777777" w:rsidR="00D603B6" w:rsidRDefault="009F0248">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febrero de 2024</w:t>
            </w:r>
            <w:r>
              <w:rPr>
                <w:rFonts w:ascii="Palatino Linotype" w:eastAsia="Palatino Linotype" w:hAnsi="Palatino Linotype" w:cs="Palatino Linotype"/>
                <w:i/>
                <w:iCs/>
              </w:rPr>
              <w:t>” (Sic)</w:t>
            </w:r>
          </w:p>
        </w:tc>
      </w:tr>
      <w:tr w:rsidR="00D603B6" w14:paraId="29862165" w14:textId="77777777">
        <w:tc>
          <w:tcPr>
            <w:tcW w:w="2547" w:type="dxa"/>
            <w:tcBorders>
              <w:top w:val="single" w:sz="4" w:space="0" w:color="000000"/>
              <w:left w:val="single" w:sz="4" w:space="0" w:color="000000"/>
              <w:bottom w:val="single" w:sz="4" w:space="0" w:color="000000"/>
              <w:right w:val="single" w:sz="4" w:space="0" w:color="000000"/>
            </w:tcBorders>
          </w:tcPr>
          <w:p w14:paraId="3C069977"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00465/SSEM/IP/2025</w:t>
            </w:r>
          </w:p>
        </w:tc>
        <w:tc>
          <w:tcPr>
            <w:tcW w:w="6379" w:type="dxa"/>
            <w:tcBorders>
              <w:top w:val="single" w:sz="4" w:space="0" w:color="000000"/>
              <w:left w:val="single" w:sz="4" w:space="0" w:color="000000"/>
              <w:bottom w:val="single" w:sz="4" w:space="0" w:color="000000"/>
              <w:right w:val="single" w:sz="4" w:space="0" w:color="000000"/>
            </w:tcBorders>
          </w:tcPr>
          <w:p w14:paraId="643A3EBF"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enero de 2024</w:t>
            </w:r>
            <w:r>
              <w:rPr>
                <w:rFonts w:ascii="Palatino Linotype" w:eastAsia="Palatino Linotype" w:hAnsi="Palatino Linotype" w:cs="Palatino Linotype"/>
                <w:i/>
                <w:iCs/>
              </w:rPr>
              <w:t>” (Sic)</w:t>
            </w:r>
          </w:p>
        </w:tc>
      </w:tr>
      <w:tr w:rsidR="00D603B6" w14:paraId="49ED6432" w14:textId="77777777">
        <w:tc>
          <w:tcPr>
            <w:tcW w:w="2547" w:type="dxa"/>
            <w:tcBorders>
              <w:top w:val="single" w:sz="4" w:space="0" w:color="000000"/>
              <w:left w:val="single" w:sz="4" w:space="0" w:color="000000"/>
              <w:bottom w:val="single" w:sz="4" w:space="0" w:color="000000"/>
              <w:right w:val="single" w:sz="4" w:space="0" w:color="000000"/>
            </w:tcBorders>
          </w:tcPr>
          <w:p w14:paraId="19BBEAC6"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00466/SSEM/IP/2025</w:t>
            </w:r>
          </w:p>
        </w:tc>
        <w:tc>
          <w:tcPr>
            <w:tcW w:w="6379" w:type="dxa"/>
            <w:tcBorders>
              <w:top w:val="single" w:sz="4" w:space="0" w:color="000000"/>
              <w:left w:val="single" w:sz="4" w:space="0" w:color="000000"/>
              <w:bottom w:val="single" w:sz="4" w:space="0" w:color="000000"/>
              <w:right w:val="single" w:sz="4" w:space="0" w:color="000000"/>
            </w:tcBorders>
          </w:tcPr>
          <w:p w14:paraId="592A618E"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diciembre de 2023</w:t>
            </w:r>
            <w:r>
              <w:rPr>
                <w:rFonts w:ascii="Palatino Linotype" w:eastAsia="Palatino Linotype" w:hAnsi="Palatino Linotype" w:cs="Palatino Linotype"/>
                <w:i/>
                <w:iCs/>
              </w:rPr>
              <w:t>” (Sic)</w:t>
            </w:r>
          </w:p>
        </w:tc>
      </w:tr>
      <w:tr w:rsidR="00D603B6" w14:paraId="27605B58" w14:textId="77777777">
        <w:tc>
          <w:tcPr>
            <w:tcW w:w="2547" w:type="dxa"/>
            <w:tcBorders>
              <w:top w:val="single" w:sz="4" w:space="0" w:color="000000"/>
              <w:left w:val="single" w:sz="4" w:space="0" w:color="000000"/>
              <w:bottom w:val="single" w:sz="4" w:space="0" w:color="000000"/>
              <w:right w:val="single" w:sz="4" w:space="0" w:color="000000"/>
            </w:tcBorders>
          </w:tcPr>
          <w:p w14:paraId="3329A350"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00467/SSEM/IP/2025</w:t>
            </w:r>
          </w:p>
        </w:tc>
        <w:tc>
          <w:tcPr>
            <w:tcW w:w="6379" w:type="dxa"/>
            <w:tcBorders>
              <w:top w:val="single" w:sz="4" w:space="0" w:color="000000"/>
              <w:left w:val="single" w:sz="4" w:space="0" w:color="000000"/>
              <w:bottom w:val="single" w:sz="4" w:space="0" w:color="000000"/>
              <w:right w:val="single" w:sz="4" w:space="0" w:color="000000"/>
            </w:tcBorders>
          </w:tcPr>
          <w:p w14:paraId="5F6B0309"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noviembre de 2023</w:t>
            </w:r>
            <w:r>
              <w:rPr>
                <w:rFonts w:ascii="Palatino Linotype" w:eastAsia="Palatino Linotype" w:hAnsi="Palatino Linotype" w:cs="Palatino Linotype"/>
                <w:i/>
                <w:iCs/>
              </w:rPr>
              <w:t>” (Sic)</w:t>
            </w:r>
          </w:p>
        </w:tc>
      </w:tr>
      <w:tr w:rsidR="00D603B6" w14:paraId="30989CC9" w14:textId="77777777">
        <w:tc>
          <w:tcPr>
            <w:tcW w:w="2547" w:type="dxa"/>
            <w:tcBorders>
              <w:top w:val="single" w:sz="4" w:space="0" w:color="000000"/>
              <w:left w:val="single" w:sz="4" w:space="0" w:color="000000"/>
              <w:bottom w:val="single" w:sz="4" w:space="0" w:color="000000"/>
              <w:right w:val="single" w:sz="4" w:space="0" w:color="000000"/>
            </w:tcBorders>
          </w:tcPr>
          <w:p w14:paraId="369D081A"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00468/SSEM/IP/2025</w:t>
            </w:r>
          </w:p>
        </w:tc>
        <w:tc>
          <w:tcPr>
            <w:tcW w:w="6379" w:type="dxa"/>
            <w:tcBorders>
              <w:top w:val="single" w:sz="4" w:space="0" w:color="000000"/>
              <w:left w:val="single" w:sz="4" w:space="0" w:color="000000"/>
              <w:bottom w:val="single" w:sz="4" w:space="0" w:color="000000"/>
              <w:right w:val="single" w:sz="4" w:space="0" w:color="000000"/>
            </w:tcBorders>
          </w:tcPr>
          <w:p w14:paraId="414C8BB6"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octubre de 2023</w:t>
            </w:r>
            <w:r>
              <w:rPr>
                <w:rFonts w:ascii="Palatino Linotype" w:eastAsia="Palatino Linotype" w:hAnsi="Palatino Linotype" w:cs="Palatino Linotype"/>
                <w:i/>
                <w:iCs/>
              </w:rPr>
              <w:t>” (Sic)</w:t>
            </w:r>
          </w:p>
        </w:tc>
      </w:tr>
      <w:tr w:rsidR="00D603B6" w14:paraId="25A1A882" w14:textId="77777777">
        <w:tc>
          <w:tcPr>
            <w:tcW w:w="2547" w:type="dxa"/>
            <w:tcBorders>
              <w:top w:val="single" w:sz="4" w:space="0" w:color="000000"/>
              <w:left w:val="single" w:sz="4" w:space="0" w:color="000000"/>
              <w:bottom w:val="single" w:sz="4" w:space="0" w:color="000000"/>
              <w:right w:val="single" w:sz="4" w:space="0" w:color="000000"/>
            </w:tcBorders>
          </w:tcPr>
          <w:p w14:paraId="69C3926D"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00469/SSEM/IP/2025</w:t>
            </w:r>
          </w:p>
        </w:tc>
        <w:tc>
          <w:tcPr>
            <w:tcW w:w="6379" w:type="dxa"/>
            <w:tcBorders>
              <w:top w:val="single" w:sz="4" w:space="0" w:color="000000"/>
              <w:left w:val="single" w:sz="4" w:space="0" w:color="000000"/>
              <w:bottom w:val="single" w:sz="4" w:space="0" w:color="000000"/>
              <w:right w:val="single" w:sz="4" w:space="0" w:color="000000"/>
            </w:tcBorders>
          </w:tcPr>
          <w:p w14:paraId="0ED53D69"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septiembre de 2023</w:t>
            </w:r>
            <w:r>
              <w:rPr>
                <w:rFonts w:ascii="Palatino Linotype" w:eastAsia="Palatino Linotype" w:hAnsi="Palatino Linotype" w:cs="Palatino Linotype"/>
                <w:i/>
                <w:iCs/>
              </w:rPr>
              <w:t>” (Sic)</w:t>
            </w:r>
          </w:p>
        </w:tc>
      </w:tr>
      <w:tr w:rsidR="00D603B6" w14:paraId="4BD0D9B1" w14:textId="77777777">
        <w:tc>
          <w:tcPr>
            <w:tcW w:w="2547" w:type="dxa"/>
            <w:tcBorders>
              <w:top w:val="single" w:sz="4" w:space="0" w:color="000000"/>
              <w:left w:val="single" w:sz="4" w:space="0" w:color="000000"/>
              <w:bottom w:val="single" w:sz="4" w:space="0" w:color="000000"/>
              <w:right w:val="single" w:sz="4" w:space="0" w:color="000000"/>
            </w:tcBorders>
          </w:tcPr>
          <w:p w14:paraId="45CA4204"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00470/SSEM/IP/2025</w:t>
            </w:r>
          </w:p>
        </w:tc>
        <w:tc>
          <w:tcPr>
            <w:tcW w:w="6379" w:type="dxa"/>
            <w:tcBorders>
              <w:top w:val="single" w:sz="4" w:space="0" w:color="000000"/>
              <w:left w:val="single" w:sz="4" w:space="0" w:color="000000"/>
              <w:bottom w:val="single" w:sz="4" w:space="0" w:color="000000"/>
              <w:right w:val="single" w:sz="4" w:space="0" w:color="000000"/>
            </w:tcBorders>
          </w:tcPr>
          <w:p w14:paraId="7B537588"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agosto de 2023</w:t>
            </w:r>
            <w:r>
              <w:rPr>
                <w:rFonts w:ascii="Palatino Linotype" w:eastAsia="Palatino Linotype" w:hAnsi="Palatino Linotype" w:cs="Palatino Linotype"/>
                <w:i/>
                <w:iCs/>
              </w:rPr>
              <w:t>” (Sic)</w:t>
            </w:r>
          </w:p>
        </w:tc>
      </w:tr>
      <w:tr w:rsidR="00D603B6" w14:paraId="10664085" w14:textId="77777777">
        <w:tc>
          <w:tcPr>
            <w:tcW w:w="2547" w:type="dxa"/>
            <w:tcBorders>
              <w:top w:val="single" w:sz="4" w:space="0" w:color="000000"/>
              <w:left w:val="single" w:sz="4" w:space="0" w:color="000000"/>
              <w:bottom w:val="single" w:sz="4" w:space="0" w:color="000000"/>
              <w:right w:val="single" w:sz="4" w:space="0" w:color="000000"/>
            </w:tcBorders>
          </w:tcPr>
          <w:p w14:paraId="263C3BBC"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00471/SSEM/IP/2025</w:t>
            </w:r>
          </w:p>
        </w:tc>
        <w:tc>
          <w:tcPr>
            <w:tcW w:w="6379" w:type="dxa"/>
            <w:tcBorders>
              <w:top w:val="single" w:sz="4" w:space="0" w:color="000000"/>
              <w:left w:val="single" w:sz="4" w:space="0" w:color="000000"/>
              <w:bottom w:val="single" w:sz="4" w:space="0" w:color="000000"/>
              <w:right w:val="single" w:sz="4" w:space="0" w:color="000000"/>
            </w:tcBorders>
          </w:tcPr>
          <w:p w14:paraId="6FCC6C5E"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julio de 2023</w:t>
            </w:r>
            <w:r>
              <w:rPr>
                <w:rFonts w:ascii="Palatino Linotype" w:eastAsia="Palatino Linotype" w:hAnsi="Palatino Linotype" w:cs="Palatino Linotype"/>
                <w:i/>
                <w:iCs/>
              </w:rPr>
              <w:t>” (Sic)</w:t>
            </w:r>
          </w:p>
        </w:tc>
      </w:tr>
      <w:tr w:rsidR="00D603B6" w14:paraId="0E0500FE" w14:textId="77777777">
        <w:tc>
          <w:tcPr>
            <w:tcW w:w="2547" w:type="dxa"/>
            <w:tcBorders>
              <w:top w:val="single" w:sz="4" w:space="0" w:color="000000"/>
              <w:left w:val="single" w:sz="4" w:space="0" w:color="000000"/>
              <w:bottom w:val="single" w:sz="4" w:space="0" w:color="000000"/>
              <w:right w:val="single" w:sz="4" w:space="0" w:color="000000"/>
            </w:tcBorders>
          </w:tcPr>
          <w:p w14:paraId="3DC5F739"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00472/SSEM/IP/2025</w:t>
            </w:r>
          </w:p>
        </w:tc>
        <w:tc>
          <w:tcPr>
            <w:tcW w:w="6379" w:type="dxa"/>
            <w:tcBorders>
              <w:top w:val="single" w:sz="4" w:space="0" w:color="000000"/>
              <w:left w:val="single" w:sz="4" w:space="0" w:color="000000"/>
              <w:bottom w:val="single" w:sz="4" w:space="0" w:color="000000"/>
              <w:right w:val="single" w:sz="4" w:space="0" w:color="000000"/>
            </w:tcBorders>
          </w:tcPr>
          <w:p w14:paraId="6EAA156E"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juni9 de 2023</w:t>
            </w:r>
            <w:r>
              <w:rPr>
                <w:rFonts w:ascii="Palatino Linotype" w:eastAsia="Palatino Linotype" w:hAnsi="Palatino Linotype" w:cs="Palatino Linotype"/>
                <w:i/>
                <w:iCs/>
              </w:rPr>
              <w:t>” (Sic)</w:t>
            </w:r>
          </w:p>
        </w:tc>
      </w:tr>
      <w:tr w:rsidR="00D603B6" w14:paraId="32DE3B39" w14:textId="77777777">
        <w:tc>
          <w:tcPr>
            <w:tcW w:w="2547" w:type="dxa"/>
            <w:tcBorders>
              <w:top w:val="single" w:sz="4" w:space="0" w:color="000000"/>
              <w:left w:val="single" w:sz="4" w:space="0" w:color="000000"/>
              <w:bottom w:val="single" w:sz="4" w:space="0" w:color="000000"/>
              <w:right w:val="single" w:sz="4" w:space="0" w:color="000000"/>
            </w:tcBorders>
          </w:tcPr>
          <w:p w14:paraId="7103D6A1"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00473/SSEM/IP/2025</w:t>
            </w:r>
          </w:p>
        </w:tc>
        <w:tc>
          <w:tcPr>
            <w:tcW w:w="6379" w:type="dxa"/>
            <w:tcBorders>
              <w:top w:val="single" w:sz="4" w:space="0" w:color="000000"/>
              <w:left w:val="single" w:sz="4" w:space="0" w:color="000000"/>
              <w:bottom w:val="single" w:sz="4" w:space="0" w:color="000000"/>
              <w:right w:val="single" w:sz="4" w:space="0" w:color="000000"/>
            </w:tcBorders>
          </w:tcPr>
          <w:p w14:paraId="3B4DCDD5"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mayo de 2023</w:t>
            </w:r>
            <w:r>
              <w:rPr>
                <w:rFonts w:ascii="Palatino Linotype" w:eastAsia="Palatino Linotype" w:hAnsi="Palatino Linotype" w:cs="Palatino Linotype"/>
                <w:i/>
                <w:iCs/>
              </w:rPr>
              <w:t>” (Sic)</w:t>
            </w:r>
          </w:p>
        </w:tc>
      </w:tr>
      <w:tr w:rsidR="00D603B6" w14:paraId="595BAA95" w14:textId="77777777">
        <w:tc>
          <w:tcPr>
            <w:tcW w:w="2547" w:type="dxa"/>
            <w:tcBorders>
              <w:top w:val="single" w:sz="4" w:space="0" w:color="000000"/>
              <w:left w:val="single" w:sz="4" w:space="0" w:color="000000"/>
              <w:bottom w:val="single" w:sz="4" w:space="0" w:color="000000"/>
              <w:right w:val="single" w:sz="4" w:space="0" w:color="000000"/>
            </w:tcBorders>
          </w:tcPr>
          <w:p w14:paraId="1292C131"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00474/SSEM/IP/2025</w:t>
            </w:r>
          </w:p>
        </w:tc>
        <w:tc>
          <w:tcPr>
            <w:tcW w:w="6379" w:type="dxa"/>
            <w:tcBorders>
              <w:top w:val="single" w:sz="4" w:space="0" w:color="000000"/>
              <w:left w:val="single" w:sz="4" w:space="0" w:color="000000"/>
              <w:bottom w:val="single" w:sz="4" w:space="0" w:color="000000"/>
              <w:right w:val="single" w:sz="4" w:space="0" w:color="000000"/>
            </w:tcBorders>
          </w:tcPr>
          <w:p w14:paraId="230A3338"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abril de 2023</w:t>
            </w:r>
            <w:r>
              <w:rPr>
                <w:rFonts w:ascii="Palatino Linotype" w:eastAsia="Palatino Linotype" w:hAnsi="Palatino Linotype" w:cs="Palatino Linotype"/>
                <w:i/>
                <w:iCs/>
              </w:rPr>
              <w:t>” (Sic)</w:t>
            </w:r>
          </w:p>
        </w:tc>
      </w:tr>
      <w:tr w:rsidR="00D603B6" w14:paraId="6DEE9589" w14:textId="77777777">
        <w:tc>
          <w:tcPr>
            <w:tcW w:w="2547" w:type="dxa"/>
            <w:tcBorders>
              <w:top w:val="single" w:sz="4" w:space="0" w:color="000000"/>
              <w:left w:val="single" w:sz="4" w:space="0" w:color="000000"/>
              <w:bottom w:val="single" w:sz="4" w:space="0" w:color="000000"/>
              <w:right w:val="single" w:sz="4" w:space="0" w:color="000000"/>
            </w:tcBorders>
          </w:tcPr>
          <w:p w14:paraId="2CABFBA9" w14:textId="77777777" w:rsidR="00D603B6" w:rsidRDefault="009F0248">
            <w:p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00475/SSEM/IP/2025</w:t>
            </w:r>
          </w:p>
        </w:tc>
        <w:tc>
          <w:tcPr>
            <w:tcW w:w="6379" w:type="dxa"/>
            <w:tcBorders>
              <w:top w:val="single" w:sz="4" w:space="0" w:color="000000"/>
              <w:left w:val="single" w:sz="4" w:space="0" w:color="000000"/>
              <w:bottom w:val="single" w:sz="4" w:space="0" w:color="000000"/>
              <w:right w:val="single" w:sz="4" w:space="0" w:color="000000"/>
            </w:tcBorders>
          </w:tcPr>
          <w:p w14:paraId="5CE23A97" w14:textId="77777777" w:rsidR="00D603B6" w:rsidRDefault="009F0248">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Remuneración de todos los servidores públicos que trabajaron en </w:t>
            </w:r>
            <w:r>
              <w:rPr>
                <w:rFonts w:ascii="Palatino Linotype" w:eastAsia="Palatino Linotype" w:hAnsi="Palatino Linotype" w:cs="Palatino Linotype"/>
                <w:b/>
                <w:bCs/>
                <w:i/>
                <w:iCs/>
              </w:rPr>
              <w:t>marz9 de 2023</w:t>
            </w:r>
            <w:r>
              <w:rPr>
                <w:rFonts w:ascii="Palatino Linotype" w:eastAsia="Palatino Linotype" w:hAnsi="Palatino Linotype" w:cs="Palatino Linotype"/>
                <w:i/>
                <w:iCs/>
              </w:rPr>
              <w:t>” (Sic)</w:t>
            </w:r>
          </w:p>
        </w:tc>
      </w:tr>
    </w:tbl>
    <w:p w14:paraId="74EB8B13" w14:textId="77777777" w:rsidR="00D603B6" w:rsidRDefault="00D603B6">
      <w:pPr>
        <w:tabs>
          <w:tab w:val="left" w:pos="4667"/>
        </w:tabs>
        <w:spacing w:line="360" w:lineRule="auto"/>
        <w:ind w:left="567" w:right="567"/>
        <w:jc w:val="both"/>
        <w:rPr>
          <w:rFonts w:ascii="Palatino Linotype" w:eastAsia="Palatino Linotype" w:hAnsi="Palatino Linotype" w:cs="Palatino Linotype"/>
          <w:i/>
          <w:iCs/>
        </w:rPr>
      </w:pPr>
    </w:p>
    <w:p w14:paraId="0B433DBC" w14:textId="77777777" w:rsidR="00D603B6" w:rsidRDefault="009F0248">
      <w:pPr>
        <w:tabs>
          <w:tab w:val="left" w:pos="4667"/>
        </w:tabs>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Es de señalar que en las diecinueve solicitudes de acceso a la información el ahora Recurrente eligió modalidad de entrega de la información </w:t>
      </w:r>
      <w:r>
        <w:rPr>
          <w:rFonts w:ascii="Palatino Linotype" w:eastAsia="Palatino Linotype" w:hAnsi="Palatino Linotype" w:cs="Palatino Linotype"/>
          <w:i/>
          <w:iCs/>
          <w:sz w:val="22"/>
          <w:szCs w:val="22"/>
        </w:rPr>
        <w:t>“A través del SAIMEX”.</w:t>
      </w:r>
    </w:p>
    <w:p w14:paraId="2DA40314" w14:textId="77777777" w:rsidR="00D603B6" w:rsidRDefault="00D603B6">
      <w:pPr>
        <w:tabs>
          <w:tab w:val="left" w:pos="4667"/>
        </w:tabs>
        <w:spacing w:line="360" w:lineRule="auto"/>
        <w:jc w:val="both"/>
        <w:rPr>
          <w:rFonts w:ascii="Palatino Linotype" w:eastAsia="Palatino Linotype" w:hAnsi="Palatino Linotype" w:cs="Palatino Linotype"/>
          <w:i/>
          <w:iCs/>
          <w:sz w:val="22"/>
          <w:szCs w:val="22"/>
        </w:rPr>
      </w:pPr>
    </w:p>
    <w:p w14:paraId="0816EF6F"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II. Prórroga</w:t>
      </w:r>
    </w:p>
    <w:p w14:paraId="72EC2EA4" w14:textId="77777777" w:rsidR="00D603B6" w:rsidRDefault="00D603B6"/>
    <w:p w14:paraId="69C6480E"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veinticuatro de septiembre de dos mil veinticinco, el Sujeto Obligado, a través del Sistema de Acceso a la Información Mexiquense (SAIMEX), y mediante el Titular de la Unidad de Transparencia del Sujeto Obligado, informó que se aprobó una prórroga por siete </w:t>
      </w:r>
      <w:r>
        <w:rPr>
          <w:rFonts w:ascii="Palatino Linotype" w:eastAsia="Palatino Linotype" w:hAnsi="Palatino Linotype" w:cs="Palatino Linotype"/>
          <w:sz w:val="22"/>
          <w:szCs w:val="22"/>
        </w:rPr>
        <w:lastRenderedPageBreak/>
        <w:t>días para atender las solicitudes de información. Cabe mencionar que fue el mismo archivo para las demás solicitudes.</w:t>
      </w:r>
    </w:p>
    <w:p w14:paraId="76C7324D" w14:textId="77777777" w:rsidR="00D603B6" w:rsidRDefault="00D603B6">
      <w:pPr>
        <w:spacing w:line="360" w:lineRule="auto"/>
        <w:jc w:val="both"/>
        <w:rPr>
          <w:rFonts w:ascii="Palatino Linotype" w:eastAsia="Palatino Linotype" w:hAnsi="Palatino Linotype" w:cs="Palatino Linotype"/>
          <w:sz w:val="22"/>
          <w:szCs w:val="22"/>
        </w:rPr>
      </w:pPr>
    </w:p>
    <w:p w14:paraId="52E19F6B"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mismo se adjuntó el Acta mediante </w:t>
      </w:r>
      <w:r>
        <w:rPr>
          <w:rFonts w:ascii="Palatino Linotype" w:eastAsia="Palatino Linotype" w:hAnsi="Palatino Linotype" w:cs="Palatino Linotype"/>
          <w:b/>
          <w:bCs/>
          <w:sz w:val="22"/>
          <w:szCs w:val="22"/>
        </w:rPr>
        <w:t>Acuerdo SS/CT/EXT/XI/003/2025</w:t>
      </w:r>
      <w:r>
        <w:rPr>
          <w:rFonts w:ascii="Palatino Linotype" w:eastAsia="Palatino Linotype" w:hAnsi="Palatino Linotype" w:cs="Palatino Linotype"/>
          <w:sz w:val="22"/>
          <w:szCs w:val="22"/>
        </w:rPr>
        <w:t xml:space="preserve"> emitido por el Comité de Transparencia de la Secretaría de Seguridad en la Décima Primera Sesión Extraordinario del diez de septiembre de dos mil veinticinco.</w:t>
      </w:r>
    </w:p>
    <w:p w14:paraId="34ADB7FE" w14:textId="77777777" w:rsidR="00D603B6" w:rsidRDefault="00D603B6">
      <w:pPr>
        <w:tabs>
          <w:tab w:val="left" w:pos="4667"/>
        </w:tabs>
        <w:spacing w:line="360" w:lineRule="auto"/>
        <w:ind w:left="567" w:right="567"/>
        <w:jc w:val="both"/>
        <w:rPr>
          <w:rFonts w:ascii="Palatino Linotype" w:eastAsia="Palatino Linotype" w:hAnsi="Palatino Linotype" w:cs="Palatino Linotype"/>
          <w:i/>
          <w:iCs/>
        </w:rPr>
      </w:pPr>
    </w:p>
    <w:p w14:paraId="0778693D"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5" w:name="_heading=h.gm195obweldr" w:colFirst="0" w:colLast="0"/>
      <w:bookmarkEnd w:id="5"/>
      <w:r>
        <w:rPr>
          <w:rFonts w:ascii="Palatino Linotype" w:eastAsia="Palatino Linotype" w:hAnsi="Palatino Linotype" w:cs="Palatino Linotype"/>
          <w:b/>
          <w:bCs/>
          <w:color w:val="000000"/>
          <w:sz w:val="22"/>
          <w:szCs w:val="22"/>
        </w:rPr>
        <w:t>III. Respuesta del Sujeto Obligado</w:t>
      </w:r>
    </w:p>
    <w:p w14:paraId="3169F418" w14:textId="77777777" w:rsidR="00D603B6" w:rsidRDefault="009F0248">
      <w:pPr>
        <w:tabs>
          <w:tab w:val="left" w:pos="738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48C619A1"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tres de octubre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dio respuesta a las solicitudes de acceso a la información a través del SAIMEX con la digitalización de los documentos siguientes para el mismo caso de las diecinueve solicitudes:</w:t>
      </w:r>
    </w:p>
    <w:p w14:paraId="72D21851" w14:textId="77777777" w:rsidR="00D603B6" w:rsidRDefault="00D603B6">
      <w:pPr>
        <w:tabs>
          <w:tab w:val="left" w:pos="567"/>
        </w:tabs>
        <w:spacing w:line="360" w:lineRule="auto"/>
        <w:jc w:val="both"/>
        <w:rPr>
          <w:rFonts w:ascii="Palatino Linotype" w:eastAsia="Palatino Linotype" w:hAnsi="Palatino Linotype" w:cs="Palatino Linotype"/>
          <w:sz w:val="22"/>
          <w:szCs w:val="22"/>
        </w:rPr>
      </w:pPr>
    </w:p>
    <w:p w14:paraId="00FBCBAC" w14:textId="77777777" w:rsidR="00D603B6" w:rsidRDefault="009F0248">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 Oficio con número de expediente 4C.5 de fecha tres de octubre de dos mil veinticinco suscrito por el encargado de la Unidad de Información, Planeación, Programación y Evaluación de la Unidad de Transparencia, y dirigido al solicitante, por medio del cual precisó que la información solicitada corresponde a obligaciones de transparencia y proporcionó dos ligas electrónicas en formato cerrado del sistema de Información Pública de oficio Mexiquense, para consultar las remuneraciones de los ejercicios fiscales dos mil veintitrés y dos mil veinticuatro.  </w:t>
      </w:r>
    </w:p>
    <w:p w14:paraId="56C13CDB" w14:textId="77777777" w:rsidR="00D603B6" w:rsidRDefault="00D603B6">
      <w:pPr>
        <w:pBdr>
          <w:top w:val="nil"/>
          <w:left w:val="nil"/>
          <w:bottom w:val="nil"/>
          <w:right w:val="nil"/>
          <w:between w:val="nil"/>
        </w:pBdr>
        <w:tabs>
          <w:tab w:val="left" w:pos="567"/>
        </w:tabs>
        <w:spacing w:line="360" w:lineRule="auto"/>
        <w:ind w:left="1080"/>
        <w:jc w:val="both"/>
        <w:rPr>
          <w:rFonts w:ascii="Palatino Linotype" w:eastAsia="Palatino Linotype" w:hAnsi="Palatino Linotype" w:cs="Palatino Linotype"/>
          <w:i/>
          <w:iCs/>
          <w:color w:val="000000"/>
        </w:rPr>
      </w:pPr>
    </w:p>
    <w:p w14:paraId="4E488051"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6" w:name="_heading=h.hjtoxvfsfrp" w:colFirst="0" w:colLast="0"/>
      <w:bookmarkEnd w:id="6"/>
      <w:r>
        <w:rPr>
          <w:rFonts w:ascii="Palatino Linotype" w:eastAsia="Palatino Linotype" w:hAnsi="Palatino Linotype" w:cs="Palatino Linotype"/>
          <w:b/>
          <w:bCs/>
          <w:color w:val="000000"/>
          <w:sz w:val="22"/>
          <w:szCs w:val="22"/>
        </w:rPr>
        <w:t>III. Interposición del Recurso de Revisión</w:t>
      </w:r>
    </w:p>
    <w:p w14:paraId="4E6F71CD" w14:textId="77777777" w:rsidR="00D603B6" w:rsidRDefault="00D603B6">
      <w:pPr>
        <w:spacing w:line="360" w:lineRule="auto"/>
        <w:jc w:val="both"/>
        <w:rPr>
          <w:rFonts w:ascii="Palatino Linotype" w:eastAsia="Palatino Linotype" w:hAnsi="Palatino Linotype" w:cs="Palatino Linotype"/>
          <w:sz w:val="22"/>
          <w:szCs w:val="22"/>
        </w:rPr>
      </w:pPr>
    </w:p>
    <w:p w14:paraId="246D9F2A" w14:textId="77777777" w:rsidR="00D603B6" w:rsidRDefault="009F0248">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Con fecha trece de octubre de dos mil veinticinco, de dos mil veinticinco, se recibió en este Instituto, a través del Sistema de Acceso a la Información Mexiquense (SAIMEX), diecinueve </w:t>
      </w:r>
      <w:r>
        <w:rPr>
          <w:rFonts w:ascii="Palatino Linotype" w:eastAsia="Palatino Linotype" w:hAnsi="Palatino Linotype" w:cs="Palatino Linotype"/>
          <w:sz w:val="22"/>
          <w:szCs w:val="22"/>
        </w:rPr>
        <w:lastRenderedPageBreak/>
        <w:t>Recursos de Revisión interpuestos por la persona Recurrente, en contra de las respuestas del Sujeto Obligado, en los mismos términos de conformidad con lo siguiente:</w:t>
      </w:r>
    </w:p>
    <w:p w14:paraId="1C7FD1FF" w14:textId="77777777" w:rsidR="00D603B6" w:rsidRDefault="00D603B6">
      <w:pPr>
        <w:spacing w:line="360" w:lineRule="auto"/>
        <w:ind w:left="567" w:right="567"/>
        <w:jc w:val="both"/>
        <w:rPr>
          <w:rFonts w:ascii="Palatino Linotype" w:eastAsia="Palatino Linotype" w:hAnsi="Palatino Linotype" w:cs="Palatino Linotype"/>
          <w:i/>
          <w:iCs/>
        </w:rPr>
      </w:pPr>
    </w:p>
    <w:p w14:paraId="6EA7DEE7" w14:textId="77777777" w:rsidR="00D603B6" w:rsidRDefault="00D603B6">
      <w:pPr>
        <w:spacing w:line="360" w:lineRule="auto"/>
        <w:ind w:left="567" w:right="567"/>
        <w:jc w:val="both"/>
        <w:rPr>
          <w:rFonts w:ascii="Palatino Linotype" w:eastAsia="Palatino Linotype" w:hAnsi="Palatino Linotype" w:cs="Palatino Linotype"/>
          <w:i/>
          <w:iCs/>
        </w:rPr>
      </w:pPr>
    </w:p>
    <w:p w14:paraId="391F37C2" w14:textId="77777777" w:rsidR="00D603B6" w:rsidRDefault="009F0248">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7DAAE06B" w14:textId="77777777" w:rsidR="00D603B6" w:rsidRDefault="009F0248">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 xml:space="preserve">“solicito mi </w:t>
      </w:r>
      <w:proofErr w:type="spellStart"/>
      <w:r>
        <w:rPr>
          <w:rFonts w:ascii="Palatino Linotype" w:eastAsia="Palatino Linotype" w:hAnsi="Palatino Linotype" w:cs="Palatino Linotype"/>
          <w:i/>
          <w:iCs/>
          <w:color w:val="000000"/>
        </w:rPr>
        <w:t>garantia</w:t>
      </w:r>
      <w:proofErr w:type="spellEnd"/>
      <w:r>
        <w:rPr>
          <w:rFonts w:ascii="Palatino Linotype" w:eastAsia="Palatino Linotype" w:hAnsi="Palatino Linotype" w:cs="Palatino Linotype"/>
          <w:i/>
          <w:iCs/>
          <w:color w:val="000000"/>
        </w:rPr>
        <w:t xml:space="preserve"> secundaria, el recurso de </w:t>
      </w:r>
      <w:proofErr w:type="spellStart"/>
      <w:r>
        <w:rPr>
          <w:rFonts w:ascii="Palatino Linotype" w:eastAsia="Palatino Linotype" w:hAnsi="Palatino Linotype" w:cs="Palatino Linotype"/>
          <w:i/>
          <w:iCs/>
          <w:color w:val="000000"/>
        </w:rPr>
        <w:t>revision</w:t>
      </w:r>
      <w:proofErr w:type="spellEnd"/>
      <w:r>
        <w:rPr>
          <w:rFonts w:ascii="Palatino Linotype" w:eastAsia="Palatino Linotype" w:hAnsi="Palatino Linotype" w:cs="Palatino Linotype"/>
          <w:i/>
          <w:iCs/>
          <w:color w:val="000000"/>
        </w:rPr>
        <w:t xml:space="preserve">, la respuesta de la secretaria, no es transparente, omiten </w:t>
      </w:r>
      <w:proofErr w:type="spellStart"/>
      <w:r>
        <w:rPr>
          <w:rFonts w:ascii="Palatino Linotype" w:eastAsia="Palatino Linotype" w:hAnsi="Palatino Linotype" w:cs="Palatino Linotype"/>
          <w:i/>
          <w:iCs/>
          <w:color w:val="000000"/>
        </w:rPr>
        <w:t>informacion</w:t>
      </w:r>
      <w:proofErr w:type="spellEnd"/>
      <w:r>
        <w:rPr>
          <w:rFonts w:ascii="Palatino Linotype" w:eastAsia="Palatino Linotype" w:hAnsi="Palatino Linotype" w:cs="Palatino Linotype"/>
          <w:i/>
          <w:iCs/>
        </w:rPr>
        <w:t>”</w:t>
      </w:r>
    </w:p>
    <w:p w14:paraId="1F706BFF" w14:textId="77777777" w:rsidR="00D603B6" w:rsidRDefault="00D603B6">
      <w:pPr>
        <w:spacing w:line="360" w:lineRule="auto"/>
        <w:ind w:left="567" w:right="567"/>
        <w:jc w:val="both"/>
        <w:rPr>
          <w:rFonts w:ascii="Palatino Linotype" w:eastAsia="Palatino Linotype" w:hAnsi="Palatino Linotype" w:cs="Palatino Linotype"/>
          <w:i/>
          <w:iCs/>
        </w:rPr>
      </w:pPr>
    </w:p>
    <w:p w14:paraId="36EBEAAE" w14:textId="77777777" w:rsidR="00D603B6" w:rsidRDefault="009F0248">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1396F546" w14:textId="77777777" w:rsidR="00D603B6" w:rsidRDefault="009F0248">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 xml:space="preserve">“solicito mi </w:t>
      </w:r>
      <w:proofErr w:type="spellStart"/>
      <w:r>
        <w:rPr>
          <w:rFonts w:ascii="Palatino Linotype" w:eastAsia="Palatino Linotype" w:hAnsi="Palatino Linotype" w:cs="Palatino Linotype"/>
          <w:i/>
          <w:iCs/>
          <w:color w:val="000000"/>
        </w:rPr>
        <w:t>garantia</w:t>
      </w:r>
      <w:proofErr w:type="spellEnd"/>
      <w:r>
        <w:rPr>
          <w:rFonts w:ascii="Palatino Linotype" w:eastAsia="Palatino Linotype" w:hAnsi="Palatino Linotype" w:cs="Palatino Linotype"/>
          <w:i/>
          <w:iCs/>
          <w:color w:val="000000"/>
        </w:rPr>
        <w:t xml:space="preserve"> secundaria, el recurso de </w:t>
      </w:r>
      <w:proofErr w:type="spellStart"/>
      <w:r>
        <w:rPr>
          <w:rFonts w:ascii="Palatino Linotype" w:eastAsia="Palatino Linotype" w:hAnsi="Palatino Linotype" w:cs="Palatino Linotype"/>
          <w:i/>
          <w:iCs/>
          <w:color w:val="000000"/>
        </w:rPr>
        <w:t>revision</w:t>
      </w:r>
      <w:proofErr w:type="spellEnd"/>
      <w:r>
        <w:rPr>
          <w:rFonts w:ascii="Palatino Linotype" w:eastAsia="Palatino Linotype" w:hAnsi="Palatino Linotype" w:cs="Palatino Linotype"/>
          <w:i/>
          <w:iCs/>
          <w:color w:val="000000"/>
        </w:rPr>
        <w:t xml:space="preserve">, la respuesta de la secretaria, no es transparente, omiten </w:t>
      </w:r>
      <w:proofErr w:type="spellStart"/>
      <w:r>
        <w:rPr>
          <w:rFonts w:ascii="Palatino Linotype" w:eastAsia="Palatino Linotype" w:hAnsi="Palatino Linotype" w:cs="Palatino Linotype"/>
          <w:i/>
          <w:iCs/>
          <w:color w:val="000000"/>
        </w:rPr>
        <w:t>informacion</w:t>
      </w:r>
      <w:proofErr w:type="spellEnd"/>
      <w:r>
        <w:rPr>
          <w:rFonts w:ascii="Palatino Linotype" w:eastAsia="Palatino Linotype" w:hAnsi="Palatino Linotype" w:cs="Palatino Linotype"/>
          <w:i/>
          <w:iCs/>
        </w:rPr>
        <w:t xml:space="preserve">”  </w:t>
      </w:r>
    </w:p>
    <w:p w14:paraId="214C2CAA" w14:textId="77777777" w:rsidR="00D603B6" w:rsidRDefault="00D603B6">
      <w:pPr>
        <w:spacing w:line="360" w:lineRule="auto"/>
        <w:ind w:left="567" w:right="567"/>
        <w:jc w:val="both"/>
        <w:rPr>
          <w:rFonts w:ascii="Palatino Linotype" w:eastAsia="Palatino Linotype" w:hAnsi="Palatino Linotype" w:cs="Palatino Linotype"/>
          <w:i/>
          <w:iCs/>
        </w:rPr>
      </w:pPr>
    </w:p>
    <w:p w14:paraId="025A2C03"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7" w:name="_heading=h.m02vpzrvjhe2" w:colFirst="0" w:colLast="0"/>
      <w:bookmarkEnd w:id="7"/>
      <w:r>
        <w:rPr>
          <w:rFonts w:ascii="Palatino Linotype" w:eastAsia="Palatino Linotype" w:hAnsi="Palatino Linotype" w:cs="Palatino Linotype"/>
          <w:b/>
          <w:bCs/>
          <w:color w:val="000000"/>
          <w:sz w:val="22"/>
          <w:szCs w:val="22"/>
        </w:rPr>
        <w:t>IV. Trámite del Recurso de Revisión ante este Instituto</w:t>
      </w:r>
    </w:p>
    <w:p w14:paraId="58570FAF" w14:textId="77777777" w:rsidR="00D603B6" w:rsidRDefault="00D603B6">
      <w:pPr>
        <w:spacing w:line="360" w:lineRule="auto"/>
        <w:jc w:val="both"/>
        <w:rPr>
          <w:rFonts w:ascii="Palatino Linotype" w:eastAsia="Palatino Linotype" w:hAnsi="Palatino Linotype" w:cs="Palatino Linotype"/>
          <w:b/>
          <w:bCs/>
          <w:sz w:val="22"/>
          <w:szCs w:val="22"/>
        </w:rPr>
      </w:pPr>
    </w:p>
    <w:p w14:paraId="1F0186F1"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trece de octubre de dos mil veinticinco, el Sistema de Acceso a la Información Mexiquense (SAIMEX), asignó los números de expedientes 11836/INFOEM/IP/RR/2025, 11837/INFOEM/IP/RR/2025, 11838/INFOEM/IP/RR/2025, 11839/INFOEM/IP/RR/2025, 11840/INFOEM/IP/RR/2025, 11841/INFOEM/IP/RR/2025, 11842/INFOEM/IP/RR/2025, 11843/INFOEM/IP/RR/2025, 11844/INFOEM/IP/RR/2025, 11845/INFOEM/IP/RR/2025, 11846/INFOEM/IP/RR/2025, 11847/INFOEM/IP/RR/2025,  11848/INFOEM/IP/RR/2025, 11849/INFOEM/IP/RR/2025, 11850/INFOEM/IP/RR/2025, 11851/INFOEM/IP/RR/2025, 11852/INFOEM/IP/RR/2025, 11853/INFOEM/IP/RR/2025 y 11854/INFOEM/IP/RR/2025, a los Medios de Impugnación que nos ocupan, con base en el sistema aprobado por el Pleno de este Organismo Garante, los turnaron a los Comisionados </w:t>
      </w:r>
      <w:r>
        <w:rPr>
          <w:rFonts w:ascii="Palatino Linotype" w:eastAsia="Palatino Linotype" w:hAnsi="Palatino Linotype" w:cs="Palatino Linotype"/>
          <w:color w:val="000000"/>
          <w:sz w:val="22"/>
          <w:szCs w:val="22"/>
        </w:rPr>
        <w:t>María del Rosario Mejía Ayala, Sharon Cristina Morales Martínez, Guadalupe Ramírez Peña, José Martínez Vilchis y</w:t>
      </w:r>
      <w:r>
        <w:rPr>
          <w:rFonts w:ascii="Palatino Linotype" w:eastAsia="Palatino Linotype" w:hAnsi="Palatino Linotype" w:cs="Palatino Linotype"/>
          <w:sz w:val="22"/>
          <w:szCs w:val="22"/>
        </w:rPr>
        <w:t xml:space="preserve"> Luis Gustavo Parra Noriega, respectivamente, para los efectos </w:t>
      </w:r>
      <w:r>
        <w:rPr>
          <w:rFonts w:ascii="Palatino Linotype" w:eastAsia="Palatino Linotype" w:hAnsi="Palatino Linotype" w:cs="Palatino Linotype"/>
          <w:sz w:val="22"/>
          <w:szCs w:val="22"/>
        </w:rPr>
        <w:lastRenderedPageBreak/>
        <w:t>del artículo 185, fracción I de la Ley de Transparencia y Acceso a la Información Pública del Estado de México y Municipios.</w:t>
      </w:r>
    </w:p>
    <w:p w14:paraId="18A29848" w14:textId="77777777" w:rsidR="00D603B6" w:rsidRDefault="00D603B6">
      <w:pPr>
        <w:spacing w:line="360" w:lineRule="auto"/>
        <w:jc w:val="both"/>
        <w:rPr>
          <w:rFonts w:ascii="Palatino Linotype" w:eastAsia="Palatino Linotype" w:hAnsi="Palatino Linotype" w:cs="Palatino Linotype"/>
          <w:b/>
          <w:bCs/>
          <w:sz w:val="22"/>
          <w:szCs w:val="22"/>
        </w:rPr>
      </w:pPr>
    </w:p>
    <w:p w14:paraId="30B8B5A2"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catorce, quince, dieciséis, diecisiete y veinte de octubre de dos mil veinticinco, se acordó la admisión de los </w:t>
      </w:r>
      <w:proofErr w:type="spellStart"/>
      <w:r>
        <w:rPr>
          <w:rFonts w:ascii="Palatino Linotype" w:eastAsia="Palatino Linotype" w:hAnsi="Palatino Linotype" w:cs="Palatino Linotype"/>
          <w:sz w:val="22"/>
          <w:szCs w:val="22"/>
        </w:rPr>
        <w:t>Recursoa</w:t>
      </w:r>
      <w:proofErr w:type="spellEnd"/>
      <w:r>
        <w:rPr>
          <w:rFonts w:ascii="Palatino Linotype" w:eastAsia="Palatino Linotype" w:hAnsi="Palatino Linotype" w:cs="Palatino Linotype"/>
          <w:sz w:val="22"/>
          <w:szCs w:val="22"/>
        </w:rPr>
        <w:t xml:space="preserve"> de Revisión, interpuestos por la Recurrente, en contra del Sujeto Obligado, en términos del artículo 185, fracciones I y II, de la Ley de Transparencia y Acceso a la Información Pública del Estado de México y Municipios, los cuales fueron notificados a las partes el mismo día, a través del SAIMEX, en el que se les otorgó un plazo de siete días hábiles posteriores a la misma, para que manifestaran lo que a su derecho conviniera y formularan alegatos.</w:t>
      </w:r>
    </w:p>
    <w:p w14:paraId="391CD986" w14:textId="77777777" w:rsidR="00D603B6" w:rsidRDefault="00D603B6">
      <w:pPr>
        <w:spacing w:line="360" w:lineRule="auto"/>
        <w:jc w:val="both"/>
        <w:rPr>
          <w:rFonts w:ascii="Palatino Linotype" w:eastAsia="Palatino Linotype" w:hAnsi="Palatino Linotype" w:cs="Palatino Linotype"/>
          <w:sz w:val="22"/>
          <w:szCs w:val="22"/>
        </w:rPr>
      </w:pPr>
    </w:p>
    <w:p w14:paraId="22D1C312"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veintitrés y veintiocho de octubre; así como cinco de noviembre todos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 xml:space="preserve">por a través del cual ratifica su respuesta inicial, de conformidad con la digitalización de los documentos siguientes: </w:t>
      </w:r>
    </w:p>
    <w:p w14:paraId="643557C3" w14:textId="77777777" w:rsidR="00D603B6" w:rsidRDefault="00D603B6">
      <w:pPr>
        <w:spacing w:line="360" w:lineRule="auto"/>
        <w:jc w:val="both"/>
        <w:rPr>
          <w:rFonts w:ascii="Palatino Linotype" w:eastAsia="Palatino Linotype" w:hAnsi="Palatino Linotype" w:cs="Palatino Linotype"/>
          <w:sz w:val="22"/>
          <w:szCs w:val="22"/>
        </w:rPr>
      </w:pPr>
    </w:p>
    <w:p w14:paraId="6D74C5F4"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Oficios con números 1770, 1769, 1768, 1767, 1766, 1765, 1764, 1763, 1762, 1761, 1760, 1759, 1758, 1757, 1756, 1755, 1754, 1753 y 1752 del veintitrés de octubre de dos mil veinticinco, suscrito por el Encargado de la Unidad de Información, Planeación, Programación, y Evaluación de la Unidad de Transparencia, por medio de los cuáles remitió las mismas ligas electrónicas remitidas en respuesta, mismas que se encuentran en PDF (.</w:t>
      </w:r>
      <w:proofErr w:type="spellStart"/>
      <w:r>
        <w:rPr>
          <w:rFonts w:ascii="Palatino Linotype" w:eastAsia="Palatino Linotype" w:hAnsi="Palatino Linotype" w:cs="Palatino Linotype"/>
          <w:sz w:val="22"/>
          <w:szCs w:val="22"/>
        </w:rPr>
        <w:t>pdf</w:t>
      </w:r>
      <w:proofErr w:type="spellEnd"/>
      <w:r>
        <w:rPr>
          <w:rFonts w:ascii="Palatino Linotype" w:eastAsia="Palatino Linotype" w:hAnsi="Palatino Linotype" w:cs="Palatino Linotype"/>
          <w:sz w:val="22"/>
          <w:szCs w:val="22"/>
        </w:rPr>
        <w:t xml:space="preserve">) en formato cerrado. </w:t>
      </w:r>
    </w:p>
    <w:p w14:paraId="33DB13FB" w14:textId="77777777" w:rsidR="00D603B6" w:rsidRDefault="00D603B6">
      <w:pPr>
        <w:spacing w:line="360" w:lineRule="auto"/>
        <w:jc w:val="both"/>
        <w:rPr>
          <w:rFonts w:ascii="Palatino Linotype" w:eastAsia="Palatino Linotype" w:hAnsi="Palatino Linotype" w:cs="Palatino Linotype"/>
          <w:sz w:val="22"/>
          <w:szCs w:val="22"/>
        </w:rPr>
      </w:pPr>
    </w:p>
    <w:p w14:paraId="769A6536"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Oficios con números 1752, 1753, 1754, 1755, 1756, 1757, 1758, 1761, 1763, 1764, 1765, 1766, 1769 y 1770 descritos en el inciso anterior, en formato Word (.</w:t>
      </w:r>
      <w:proofErr w:type="spellStart"/>
      <w:r>
        <w:rPr>
          <w:rFonts w:ascii="Palatino Linotype" w:eastAsia="Palatino Linotype" w:hAnsi="Palatino Linotype" w:cs="Palatino Linotype"/>
          <w:sz w:val="22"/>
          <w:szCs w:val="22"/>
        </w:rPr>
        <w:t>doc</w:t>
      </w:r>
      <w:proofErr w:type="spellEnd"/>
      <w:r>
        <w:rPr>
          <w:rFonts w:ascii="Palatino Linotype" w:eastAsia="Palatino Linotype" w:hAnsi="Palatino Linotype" w:cs="Palatino Linotype"/>
          <w:sz w:val="22"/>
          <w:szCs w:val="22"/>
        </w:rPr>
        <w:t xml:space="preserve">). </w:t>
      </w:r>
    </w:p>
    <w:p w14:paraId="1C29D170" w14:textId="77777777" w:rsidR="00D603B6" w:rsidRDefault="00D603B6">
      <w:pPr>
        <w:spacing w:line="360" w:lineRule="auto"/>
        <w:jc w:val="both"/>
        <w:rPr>
          <w:rFonts w:ascii="Palatino Linotype" w:eastAsia="Palatino Linotype" w:hAnsi="Palatino Linotype" w:cs="Palatino Linotype"/>
          <w:b/>
          <w:bCs/>
          <w:sz w:val="22"/>
          <w:szCs w:val="22"/>
        </w:rPr>
      </w:pPr>
    </w:p>
    <w:p w14:paraId="0B54833E"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d) Acumulación de los asuntos. </w:t>
      </w:r>
      <w:r>
        <w:rPr>
          <w:rFonts w:ascii="Palatino Linotype" w:eastAsia="Palatino Linotype" w:hAnsi="Palatino Linotype" w:cs="Palatino Linotype"/>
          <w:sz w:val="22"/>
          <w:szCs w:val="22"/>
        </w:rPr>
        <w:t xml:space="preserve">El veintinueve de octubre de dos mil veinticinco, el Pleno del Instituto de Transparencia y Acceso a la Información Pública del Estado de México y Municipios,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acordó la acumulación de los Recursos de Revisión </w:t>
      </w:r>
      <w:r>
        <w:rPr>
          <w:rFonts w:ascii="Palatino Linotype" w:eastAsia="Palatino Linotype" w:hAnsi="Palatino Linotype" w:cs="Palatino Linotype"/>
          <w:b/>
          <w:bCs/>
          <w:sz w:val="22"/>
          <w:szCs w:val="22"/>
        </w:rPr>
        <w:t>11837/INFOEM/IP/RR/2025, 11838/INFOEM/IP/RR/2025, 11839/INFOEM/IP/RR/2025, 11840/INFOEM/IP/RR/2025, 11841/INFOEM/IP/RR/2025, 11842/INFOEM/IP/RR/2025, 11843/INFOEM/IP/RR/2025, 11844/INFOEM/IP/RR/2025, 11845/INFOEM/IP/RR/2025, 11846/INFOEM/IP/RR/2025, 11847/INFOEM/IP/RR/2025,  11848/INFOEM/IP/RR/2025, 11849/INFOEM/IP/RR/2025, 11850/INFOEM/IP/RR/2025, 11851/INFOEM/IP/RR/2025, 11852/INFOEM/IP/RR/2025, 11853/INFOEM/IP/RR/2025 y 11854/INFOEM/IP/RR/2025</w:t>
      </w:r>
      <w:r>
        <w:rPr>
          <w:rFonts w:ascii="Palatino Linotype" w:eastAsia="Palatino Linotype" w:hAnsi="Palatino Linotype" w:cs="Palatino Linotype"/>
          <w:sz w:val="22"/>
          <w:szCs w:val="22"/>
        </w:rPr>
        <w:t xml:space="preserve">, al diverso </w:t>
      </w:r>
      <w:r>
        <w:rPr>
          <w:rFonts w:ascii="Palatino Linotype" w:eastAsia="Palatino Linotype" w:hAnsi="Palatino Linotype" w:cs="Palatino Linotype"/>
          <w:b/>
          <w:bCs/>
          <w:sz w:val="22"/>
          <w:szCs w:val="22"/>
        </w:rPr>
        <w:t>11836/INFOEM/IP/RR/2025,</w:t>
      </w:r>
      <w:r>
        <w:rPr>
          <w:rFonts w:ascii="Palatino Linotype" w:eastAsia="Palatino Linotype" w:hAnsi="Palatino Linotype" w:cs="Palatino Linotype"/>
          <w:sz w:val="22"/>
          <w:szCs w:val="22"/>
        </w:rPr>
        <w:t xml:space="preserve"> por ser este último el más antiguo, sustanciado bajo el índice de esta Ponencia.</w:t>
      </w:r>
    </w:p>
    <w:p w14:paraId="443B94ED" w14:textId="77777777" w:rsidR="00D603B6" w:rsidRDefault="00D603B6">
      <w:pPr>
        <w:spacing w:line="360" w:lineRule="auto"/>
        <w:jc w:val="both"/>
        <w:rPr>
          <w:rFonts w:ascii="Palatino Linotype" w:eastAsia="Palatino Linotype" w:hAnsi="Palatino Linotype" w:cs="Palatino Linotype"/>
          <w:b/>
          <w:bCs/>
          <w:sz w:val="22"/>
          <w:szCs w:val="22"/>
        </w:rPr>
      </w:pPr>
    </w:p>
    <w:p w14:paraId="3CCD12CD"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Vista del informe justificado. </w:t>
      </w:r>
      <w:r>
        <w:rPr>
          <w:rFonts w:ascii="Palatino Linotype" w:eastAsia="Palatino Linotype" w:hAnsi="Palatino Linotype" w:cs="Palatino Linotype"/>
          <w:sz w:val="22"/>
          <w:szCs w:val="22"/>
        </w:rPr>
        <w:t>El dieciocho de noviembre de dos mil veinticinco, se dictó acuerdo mediante el cual se puso a la vista del Particular, el Informe Justificado entregados por el Sujeto Obligado, el cual fue notificado, a través del SAIMEX.</w:t>
      </w:r>
    </w:p>
    <w:p w14:paraId="22571FFC" w14:textId="77777777" w:rsidR="00D603B6" w:rsidRDefault="00D603B6">
      <w:pPr>
        <w:spacing w:line="360" w:lineRule="auto"/>
        <w:jc w:val="both"/>
        <w:rPr>
          <w:rFonts w:ascii="Palatino Linotype" w:eastAsia="Palatino Linotype" w:hAnsi="Palatino Linotype" w:cs="Palatino Linotype"/>
          <w:sz w:val="22"/>
          <w:szCs w:val="22"/>
        </w:rPr>
      </w:pPr>
      <w:bookmarkStart w:id="8" w:name="_heading=h.jwb7ltb67601" w:colFirst="0" w:colLast="0"/>
      <w:bookmarkEnd w:id="8"/>
    </w:p>
    <w:p w14:paraId="0372D467" w14:textId="77777777" w:rsidR="00D603B6" w:rsidRDefault="0077685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f</w:t>
      </w:r>
      <w:r w:rsidR="009F0248">
        <w:rPr>
          <w:rFonts w:ascii="Palatino Linotype" w:eastAsia="Palatino Linotype" w:hAnsi="Palatino Linotype" w:cs="Palatino Linotype"/>
          <w:b/>
          <w:bCs/>
          <w:sz w:val="22"/>
          <w:szCs w:val="22"/>
        </w:rPr>
        <w:t>) Cierre de instrucción.</w:t>
      </w:r>
      <w:r w:rsidR="009F0248">
        <w:rPr>
          <w:rFonts w:ascii="Palatino Linotype" w:eastAsia="Palatino Linotype" w:hAnsi="Palatino Linotype" w:cs="Palatino Linotype"/>
          <w:sz w:val="22"/>
          <w:szCs w:val="22"/>
        </w:rPr>
        <w:t xml:space="preserve"> El veinticinco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mismo día, mediante el SAIMEX.</w:t>
      </w:r>
    </w:p>
    <w:p w14:paraId="674B1C54" w14:textId="77777777" w:rsidR="00D603B6" w:rsidRDefault="00D603B6">
      <w:pPr>
        <w:spacing w:line="360" w:lineRule="auto"/>
        <w:jc w:val="both"/>
        <w:rPr>
          <w:rFonts w:ascii="Palatino Linotype" w:eastAsia="Palatino Linotype" w:hAnsi="Palatino Linotype" w:cs="Palatino Linotype"/>
          <w:b/>
          <w:bCs/>
          <w:sz w:val="22"/>
          <w:szCs w:val="22"/>
        </w:rPr>
      </w:pPr>
    </w:p>
    <w:p w14:paraId="478AA319"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C9FD518" w14:textId="77777777" w:rsidR="00D603B6" w:rsidRDefault="00D603B6">
      <w:pPr>
        <w:pStyle w:val="Ttulo1"/>
        <w:spacing w:before="0" w:after="0" w:line="360" w:lineRule="auto"/>
        <w:jc w:val="center"/>
        <w:rPr>
          <w:rFonts w:ascii="Palatino Linotype" w:eastAsia="Palatino Linotype" w:hAnsi="Palatino Linotype" w:cs="Palatino Linotype"/>
          <w:b/>
          <w:bCs/>
          <w:color w:val="000000"/>
          <w:sz w:val="14"/>
          <w:szCs w:val="14"/>
        </w:rPr>
      </w:pPr>
    </w:p>
    <w:p w14:paraId="0ABEB97C" w14:textId="77777777" w:rsidR="00D603B6" w:rsidRDefault="00D603B6"/>
    <w:p w14:paraId="51DE93A0" w14:textId="77777777" w:rsidR="00D603B6" w:rsidRDefault="009F0248">
      <w:pPr>
        <w:pStyle w:val="Ttulo1"/>
        <w:spacing w:before="0" w:after="0" w:line="360" w:lineRule="auto"/>
        <w:jc w:val="center"/>
        <w:rPr>
          <w:rFonts w:ascii="Palatino Linotype" w:eastAsia="Palatino Linotype" w:hAnsi="Palatino Linotype" w:cs="Palatino Linotype"/>
          <w:b/>
          <w:bCs/>
          <w:color w:val="000000"/>
          <w:sz w:val="22"/>
          <w:szCs w:val="22"/>
        </w:rPr>
      </w:pPr>
      <w:bookmarkStart w:id="9" w:name="_heading=h.jusa333zoj5i" w:colFirst="0" w:colLast="0"/>
      <w:bookmarkEnd w:id="9"/>
      <w:r>
        <w:rPr>
          <w:rFonts w:ascii="Palatino Linotype" w:eastAsia="Palatino Linotype" w:hAnsi="Palatino Linotype" w:cs="Palatino Linotype"/>
          <w:b/>
          <w:bCs/>
          <w:color w:val="000000"/>
          <w:sz w:val="22"/>
          <w:szCs w:val="22"/>
        </w:rPr>
        <w:t>C O N S I D E R A N D O S</w:t>
      </w:r>
    </w:p>
    <w:p w14:paraId="62D24933" w14:textId="77777777" w:rsidR="00D603B6" w:rsidRDefault="00D603B6">
      <w:pPr>
        <w:spacing w:line="360" w:lineRule="auto"/>
      </w:pPr>
    </w:p>
    <w:p w14:paraId="384F0ED5"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10" w:name="_heading=h.tabxu6cskir6" w:colFirst="0" w:colLast="0"/>
      <w:bookmarkEnd w:id="10"/>
      <w:r>
        <w:rPr>
          <w:rFonts w:ascii="Palatino Linotype" w:eastAsia="Palatino Linotype" w:hAnsi="Palatino Linotype" w:cs="Palatino Linotype"/>
          <w:b/>
          <w:bCs/>
          <w:color w:val="000000"/>
          <w:sz w:val="22"/>
          <w:szCs w:val="22"/>
        </w:rPr>
        <w:t>PRIMERO. Competencia</w:t>
      </w:r>
    </w:p>
    <w:p w14:paraId="4BF8CB08" w14:textId="77777777" w:rsidR="00D603B6" w:rsidRDefault="00D603B6">
      <w:pPr>
        <w:spacing w:line="360" w:lineRule="auto"/>
      </w:pPr>
    </w:p>
    <w:p w14:paraId="2291E0F4"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16FAB75"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441197E5"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11" w:name="_heading=h.5af5xsuzforz" w:colFirst="0" w:colLast="0"/>
      <w:bookmarkEnd w:id="11"/>
      <w:r>
        <w:rPr>
          <w:rFonts w:ascii="Palatino Linotype" w:eastAsia="Palatino Linotype" w:hAnsi="Palatino Linotype" w:cs="Palatino Linotype"/>
          <w:b/>
          <w:bCs/>
          <w:color w:val="000000"/>
          <w:sz w:val="22"/>
          <w:szCs w:val="22"/>
        </w:rPr>
        <w:t>SEGUNDO. Causales de improcedencia y sobreseimiento</w:t>
      </w:r>
    </w:p>
    <w:p w14:paraId="71FD17B6" w14:textId="77777777" w:rsidR="00D603B6" w:rsidRDefault="00D603B6">
      <w:pPr>
        <w:spacing w:line="360" w:lineRule="auto"/>
        <w:jc w:val="both"/>
        <w:rPr>
          <w:rFonts w:ascii="Palatino Linotype" w:eastAsia="Palatino Linotype" w:hAnsi="Palatino Linotype" w:cs="Palatino Linotype"/>
          <w:b/>
          <w:bCs/>
          <w:sz w:val="22"/>
          <w:szCs w:val="22"/>
        </w:rPr>
      </w:pPr>
    </w:p>
    <w:p w14:paraId="1583940F"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73D3CF80" w14:textId="77777777" w:rsidR="00D603B6" w:rsidRDefault="00D603B6">
      <w:pPr>
        <w:spacing w:line="360" w:lineRule="auto"/>
        <w:jc w:val="both"/>
        <w:rPr>
          <w:rFonts w:ascii="Palatino Linotype" w:eastAsia="Palatino Linotype" w:hAnsi="Palatino Linotype" w:cs="Palatino Linotype"/>
          <w:b/>
          <w:bCs/>
          <w:color w:val="000000"/>
          <w:sz w:val="22"/>
          <w:szCs w:val="22"/>
        </w:rPr>
      </w:pPr>
    </w:p>
    <w:p w14:paraId="1FCC495A" w14:textId="77777777" w:rsidR="00D603B6" w:rsidRDefault="009F0248">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7B26D23D" w14:textId="77777777" w:rsidR="00D603B6" w:rsidRDefault="00D603B6">
      <w:pPr>
        <w:spacing w:line="360" w:lineRule="auto"/>
        <w:jc w:val="both"/>
        <w:rPr>
          <w:rFonts w:ascii="Palatino Linotype" w:eastAsia="Palatino Linotype" w:hAnsi="Palatino Linotype" w:cs="Palatino Linotype"/>
          <w:sz w:val="22"/>
          <w:szCs w:val="22"/>
        </w:rPr>
      </w:pPr>
    </w:p>
    <w:p w14:paraId="1B5C787B"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586C626" w14:textId="77777777" w:rsidR="00D603B6" w:rsidRDefault="00D603B6">
      <w:pPr>
        <w:spacing w:line="360" w:lineRule="auto"/>
        <w:jc w:val="both"/>
        <w:rPr>
          <w:rFonts w:ascii="Palatino Linotype" w:eastAsia="Palatino Linotype" w:hAnsi="Palatino Linotype" w:cs="Palatino Linotype"/>
          <w:sz w:val="22"/>
          <w:szCs w:val="22"/>
        </w:rPr>
      </w:pPr>
    </w:p>
    <w:p w14:paraId="5E6C73DF"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1A62A93" w14:textId="77777777" w:rsidR="00D603B6" w:rsidRDefault="00D603B6">
      <w:pPr>
        <w:spacing w:line="360" w:lineRule="auto"/>
        <w:jc w:val="both"/>
        <w:rPr>
          <w:rFonts w:ascii="Palatino Linotype" w:eastAsia="Palatino Linotype" w:hAnsi="Palatino Linotype" w:cs="Palatino Linotype"/>
          <w:sz w:val="22"/>
          <w:szCs w:val="22"/>
        </w:rPr>
      </w:pPr>
    </w:p>
    <w:p w14:paraId="5EBC06D8"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se actualiza la causal de procedencia del Recurso de Revisión establecida en el artículo 179, fracción VI, de la Ley de Transparencia y Acceso a la Información Pública del Estado de México y Municipios, referente a la inexistencia de la información que no corresponde con lo solicitado. </w:t>
      </w:r>
    </w:p>
    <w:p w14:paraId="6E5F6435" w14:textId="77777777" w:rsidR="00D603B6" w:rsidRDefault="00D603B6">
      <w:pPr>
        <w:spacing w:line="360" w:lineRule="auto"/>
        <w:jc w:val="both"/>
        <w:rPr>
          <w:rFonts w:ascii="Palatino Linotype" w:eastAsia="Palatino Linotype" w:hAnsi="Palatino Linotype" w:cs="Palatino Linotype"/>
          <w:sz w:val="22"/>
          <w:szCs w:val="22"/>
        </w:rPr>
      </w:pPr>
    </w:p>
    <w:p w14:paraId="5C944574"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14:paraId="3F396B40" w14:textId="77777777" w:rsidR="00D603B6" w:rsidRDefault="00D603B6">
      <w:pPr>
        <w:spacing w:line="360" w:lineRule="auto"/>
        <w:jc w:val="both"/>
        <w:rPr>
          <w:rFonts w:ascii="Palatino Linotype" w:eastAsia="Palatino Linotype" w:hAnsi="Palatino Linotype" w:cs="Palatino Linotype"/>
          <w:sz w:val="22"/>
          <w:szCs w:val="22"/>
        </w:rPr>
      </w:pPr>
    </w:p>
    <w:p w14:paraId="18D4569C"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14:paraId="250B68C7" w14:textId="77777777" w:rsidR="00D603B6" w:rsidRDefault="00D603B6">
      <w:pPr>
        <w:spacing w:line="360" w:lineRule="auto"/>
        <w:jc w:val="both"/>
        <w:rPr>
          <w:rFonts w:ascii="Palatino Linotype" w:eastAsia="Palatino Linotype" w:hAnsi="Palatino Linotype" w:cs="Palatino Linotype"/>
          <w:sz w:val="22"/>
          <w:szCs w:val="22"/>
        </w:rPr>
      </w:pPr>
    </w:p>
    <w:p w14:paraId="41BF666C"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6C905B0" w14:textId="77777777" w:rsidR="00D603B6" w:rsidRDefault="00D603B6">
      <w:pPr>
        <w:spacing w:line="360" w:lineRule="auto"/>
        <w:jc w:val="both"/>
        <w:rPr>
          <w:rFonts w:ascii="Palatino Linotype" w:eastAsia="Palatino Linotype" w:hAnsi="Palatino Linotype" w:cs="Palatino Linotype"/>
          <w:sz w:val="22"/>
          <w:szCs w:val="22"/>
        </w:rPr>
      </w:pPr>
    </w:p>
    <w:p w14:paraId="48EC2394" w14:textId="77777777" w:rsidR="00D603B6" w:rsidRDefault="009F024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261DBB29" w14:textId="77777777" w:rsidR="00D603B6" w:rsidRDefault="00D603B6">
      <w:pPr>
        <w:tabs>
          <w:tab w:val="left" w:pos="4962"/>
        </w:tabs>
        <w:spacing w:line="360" w:lineRule="auto"/>
        <w:jc w:val="both"/>
        <w:rPr>
          <w:rFonts w:ascii="Palatino Linotype" w:eastAsia="Palatino Linotype" w:hAnsi="Palatino Linotype" w:cs="Palatino Linotype"/>
          <w:sz w:val="22"/>
          <w:szCs w:val="22"/>
        </w:rPr>
      </w:pPr>
    </w:p>
    <w:p w14:paraId="5DA1D7EE" w14:textId="77777777" w:rsidR="00D603B6" w:rsidRDefault="009F024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14:paraId="24E59C9B"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17B5A34E"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Una vez realizado el estudio de las constancias que integran el expediente en que se actúa, se desprende que el Particular requirió las remuneraciones de todos los servidores públicos adscritos a la Secretaría de Seguridad, de marzo a diciembre de dos mil vientres y de enero a septiembre de dos mil veinticuatro. </w:t>
      </w:r>
    </w:p>
    <w:p w14:paraId="2E469545"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4D938CD"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la </w:t>
      </w:r>
      <w:r>
        <w:rPr>
          <w:rFonts w:ascii="Palatino Linotype" w:eastAsia="Palatino Linotype" w:hAnsi="Palatino Linotype" w:cs="Palatino Linotype"/>
          <w:sz w:val="22"/>
          <w:szCs w:val="22"/>
        </w:rPr>
        <w:t>Unidad de Información, Planeación, Programación y Evaluación a través de la Unidad de Transparencia</w:t>
      </w:r>
      <w:r>
        <w:rPr>
          <w:rFonts w:ascii="Palatino Linotype" w:eastAsia="Palatino Linotype" w:hAnsi="Palatino Linotype" w:cs="Palatino Linotype"/>
          <w:color w:val="000000"/>
          <w:sz w:val="22"/>
          <w:szCs w:val="22"/>
        </w:rPr>
        <w:t xml:space="preserve">, precisó que la información solicitada corresponde a obligaciones de transparencia y proporcionó dos ligas electrónicas en formato cerrado para consultar las remuneraciones en el sistema de Información Pública de Oficio Mexiquense </w:t>
      </w:r>
      <w:r>
        <w:rPr>
          <w:rFonts w:ascii="Palatino Linotype" w:eastAsia="Palatino Linotype" w:hAnsi="Palatino Linotype" w:cs="Palatino Linotype"/>
          <w:color w:val="000000"/>
          <w:sz w:val="22"/>
          <w:szCs w:val="22"/>
        </w:rPr>
        <w:lastRenderedPageBreak/>
        <w:t xml:space="preserve">(IPOMEX); ante dicha circunstancia, el Particular se inconformó de la  entrega de información que no corresponde con lo solicitado, lo cual actualiza la causal de procedencia prevista en la fracción VI, del artículo 179 de la Ley de Transparencia y Acceso a la Información Pública del Estado de México y Municipios. Así las cosas, una vez admitido y notificado a las partes los Medio de Impugnación, el Sujeto Obligado ratificó la respuesta inicial y proporcionó las ligas remitidas en respuesta en formato abierto. </w:t>
      </w:r>
    </w:p>
    <w:p w14:paraId="7C650E46" w14:textId="77777777" w:rsidR="00D603B6" w:rsidRDefault="00D603B6">
      <w:pPr>
        <w:spacing w:line="360" w:lineRule="auto"/>
        <w:jc w:val="both"/>
        <w:rPr>
          <w:rFonts w:ascii="Palatino Linotype" w:eastAsia="Palatino Linotype" w:hAnsi="Palatino Linotype" w:cs="Palatino Linotype"/>
          <w:sz w:val="22"/>
          <w:szCs w:val="22"/>
        </w:rPr>
      </w:pPr>
    </w:p>
    <w:p w14:paraId="4BE192A8"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proporcionada,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14:paraId="27C4215B" w14:textId="77777777" w:rsidR="00D603B6" w:rsidRDefault="00D603B6">
      <w:pPr>
        <w:tabs>
          <w:tab w:val="left" w:pos="4962"/>
        </w:tabs>
        <w:spacing w:line="360" w:lineRule="auto"/>
        <w:jc w:val="both"/>
        <w:rPr>
          <w:rFonts w:ascii="Palatino Linotype" w:eastAsia="Palatino Linotype" w:hAnsi="Palatino Linotype" w:cs="Palatino Linotype"/>
          <w:sz w:val="22"/>
          <w:szCs w:val="22"/>
        </w:rPr>
      </w:pPr>
    </w:p>
    <w:p w14:paraId="2A40703C" w14:textId="77777777" w:rsidR="00D603B6" w:rsidRDefault="009F0248">
      <w:pPr>
        <w:pStyle w:val="Ttulo2"/>
        <w:spacing w:before="0" w:after="0" w:line="360" w:lineRule="auto"/>
        <w:jc w:val="both"/>
        <w:rPr>
          <w:rFonts w:ascii="Palatino Linotype" w:eastAsia="Palatino Linotype" w:hAnsi="Palatino Linotype" w:cs="Palatino Linotype"/>
          <w:b/>
          <w:bCs/>
          <w:color w:val="000000"/>
          <w:sz w:val="22"/>
          <w:szCs w:val="22"/>
        </w:rPr>
      </w:pPr>
      <w:bookmarkStart w:id="12" w:name="_heading=h.f7b9714lf6yy" w:colFirst="0" w:colLast="0"/>
      <w:bookmarkEnd w:id="12"/>
      <w:r>
        <w:rPr>
          <w:rFonts w:ascii="Palatino Linotype" w:eastAsia="Palatino Linotype" w:hAnsi="Palatino Linotype" w:cs="Palatino Linotype"/>
          <w:b/>
          <w:bCs/>
          <w:color w:val="000000"/>
          <w:sz w:val="22"/>
          <w:szCs w:val="22"/>
        </w:rPr>
        <w:t>CUARTO. Marco normativo aplicable en materia de transparencia y acceso a la información pública</w:t>
      </w:r>
    </w:p>
    <w:p w14:paraId="051E6EEA"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7B91B490"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FC8E2F0"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78B6D6F1"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w:t>
      </w:r>
      <w:r>
        <w:rPr>
          <w:rFonts w:ascii="Palatino Linotype" w:eastAsia="Palatino Linotype" w:hAnsi="Palatino Linotype" w:cs="Palatino Linotype"/>
          <w:sz w:val="22"/>
          <w:szCs w:val="22"/>
        </w:rPr>
        <w:lastRenderedPageBreak/>
        <w:t>de la vida privada y la imagen de las personas, con las excepciones que establezca la ley reglamentaria.</w:t>
      </w:r>
    </w:p>
    <w:p w14:paraId="1960DFE0"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347965D3"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30441423"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3EC55D4E"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349943F7"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76D13145"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25C1C67"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32BA6A78"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4934946" w14:textId="77777777" w:rsidR="00D603B6" w:rsidRDefault="00D603B6">
      <w:pPr>
        <w:tabs>
          <w:tab w:val="left" w:pos="4962"/>
        </w:tabs>
        <w:spacing w:line="360" w:lineRule="auto"/>
        <w:jc w:val="both"/>
        <w:rPr>
          <w:rFonts w:ascii="Palatino Linotype" w:eastAsia="Palatino Linotype" w:hAnsi="Palatino Linotype" w:cs="Palatino Linotype"/>
          <w:sz w:val="22"/>
          <w:szCs w:val="22"/>
        </w:rPr>
      </w:pPr>
    </w:p>
    <w:p w14:paraId="116EC771" w14:textId="77777777" w:rsidR="00D603B6" w:rsidRDefault="009F0248">
      <w:pPr>
        <w:pStyle w:val="Ttulo2"/>
        <w:spacing w:before="0" w:after="0" w:line="360" w:lineRule="auto"/>
        <w:rPr>
          <w:rFonts w:ascii="Palatino Linotype" w:eastAsia="Palatino Linotype" w:hAnsi="Palatino Linotype" w:cs="Palatino Linotype"/>
          <w:b/>
          <w:bCs/>
          <w:color w:val="000000"/>
          <w:sz w:val="22"/>
          <w:szCs w:val="22"/>
        </w:rPr>
      </w:pPr>
      <w:bookmarkStart w:id="13" w:name="_heading=h.fggw2xerd8hv" w:colFirst="0" w:colLast="0"/>
      <w:bookmarkEnd w:id="13"/>
      <w:r>
        <w:rPr>
          <w:rFonts w:ascii="Palatino Linotype" w:eastAsia="Palatino Linotype" w:hAnsi="Palatino Linotype" w:cs="Palatino Linotype"/>
          <w:b/>
          <w:bCs/>
          <w:color w:val="000000"/>
          <w:sz w:val="22"/>
          <w:szCs w:val="22"/>
        </w:rPr>
        <w:t>QUINTO. Estudio de Fondo</w:t>
      </w:r>
    </w:p>
    <w:p w14:paraId="61E5F8B0" w14:textId="77777777" w:rsidR="00D603B6" w:rsidRDefault="00D603B6">
      <w:pPr>
        <w:spacing w:line="360" w:lineRule="auto"/>
        <w:jc w:val="both"/>
        <w:rPr>
          <w:rFonts w:ascii="Palatino Linotype" w:eastAsia="Palatino Linotype" w:hAnsi="Palatino Linotype" w:cs="Palatino Linotype"/>
          <w:b/>
          <w:bCs/>
          <w:sz w:val="22"/>
          <w:szCs w:val="22"/>
        </w:rPr>
      </w:pPr>
    </w:p>
    <w:p w14:paraId="4E827272"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 los agravios hechos valer por la persona Recurrente, por lo que, en principio es necesario contextualizar la solicitud de información.</w:t>
      </w:r>
    </w:p>
    <w:p w14:paraId="7D6D5893"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66EC0572"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el artículo 147 de la Constitución Política del Estado Libre y Soberano de </w:t>
      </w:r>
      <w:r>
        <w:rPr>
          <w:rFonts w:ascii="Palatino Linotype" w:eastAsia="Palatino Linotype" w:hAnsi="Palatino Linotype" w:cs="Palatino Linotype"/>
          <w:sz w:val="22"/>
          <w:szCs w:val="22"/>
        </w:rPr>
        <w:lastRenderedPageBreak/>
        <w:t xml:space="preserve">México, que establece que los trabajadores al servicio del Estado, recibirán una remuneración adecuada e irrenunciable por el desempeño de su empleo, cargo o comisión, que será determinada en el presupuesto de egresos que corresponda. </w:t>
      </w:r>
    </w:p>
    <w:p w14:paraId="0799E4F9"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35F1CFEB"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8C22B56"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6C054839"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21B0A593" w14:textId="77777777" w:rsidR="00D603B6" w:rsidRDefault="009F0248">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el artículo 92, fracción VIII, de la Ley de Transparencia y Acceso a la Información Pública del Estado de México y Municipios, establece que los Sujetos Obligados deberán poner a disposición del público de manera permanente y actualizada, </w:t>
      </w:r>
      <w:r>
        <w:rPr>
          <w:rFonts w:ascii="Palatino Linotype" w:eastAsia="Palatino Linotype" w:hAnsi="Palatino Linotype" w:cs="Palatino Linotype"/>
          <w:b/>
          <w:bCs/>
          <w:sz w:val="22"/>
          <w:szCs w:val="22"/>
        </w:rPr>
        <w:t>las remuneraciones brutas y netas</w:t>
      </w:r>
      <w:r>
        <w:rPr>
          <w:rFonts w:ascii="Palatino Linotype" w:eastAsia="Palatino Linotype" w:hAnsi="Palatino Linotype" w:cs="Palatino Linotype"/>
          <w:sz w:val="22"/>
          <w:szCs w:val="22"/>
        </w:rPr>
        <w:t xml:space="preserve"> de todos los servidores públicos, que incluya todas las percepciones, entre las cuales, se encuentran los sueldos, prestaciones, gratificaciones, primas, comisiones, dietas, bonos, estímulos, ingresos, entre otros.</w:t>
      </w:r>
    </w:p>
    <w:p w14:paraId="10CCBD6A"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198B4A27" w14:textId="77777777" w:rsidR="00D603B6" w:rsidRDefault="009F0248">
      <w:pPr>
        <w:widowControl w:val="0"/>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2"/>
          <w:szCs w:val="22"/>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w:t>
      </w:r>
      <w:r>
        <w:rPr>
          <w:rFonts w:ascii="Palatino Linotype" w:eastAsia="Palatino Linotype" w:hAnsi="Palatino Linotype" w:cs="Palatino Linotype"/>
          <w:b/>
          <w:bCs/>
          <w:sz w:val="22"/>
          <w:szCs w:val="22"/>
        </w:rPr>
        <w:t>los recibos de pago de salarios o las constancias documentales del pago de sueldos,</w:t>
      </w:r>
      <w:r>
        <w:rPr>
          <w:rFonts w:ascii="Palatino Linotype" w:eastAsia="Palatino Linotype" w:hAnsi="Palatino Linotype" w:cs="Palatino Linotype"/>
          <w:sz w:val="22"/>
          <w:szCs w:val="22"/>
        </w:rPr>
        <w:t xml:space="preserve">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0FA867F4" w14:textId="77777777" w:rsidR="00D603B6" w:rsidRDefault="00D603B6">
      <w:pPr>
        <w:widowControl w:val="0"/>
        <w:spacing w:line="360" w:lineRule="auto"/>
        <w:jc w:val="both"/>
        <w:rPr>
          <w:rFonts w:ascii="Palatino Linotype" w:eastAsia="Palatino Linotype" w:hAnsi="Palatino Linotype" w:cs="Palatino Linotype"/>
          <w:sz w:val="22"/>
          <w:szCs w:val="22"/>
        </w:rPr>
      </w:pPr>
    </w:p>
    <w:p w14:paraId="4AA8AE71"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lastRenderedPageBreak/>
        <w:t xml:space="preserve">Conforme a lo anterior, se logra vislumbrar que la pretensión de la persona Recurrente es obtener </w:t>
      </w:r>
      <w:r>
        <w:rPr>
          <w:rFonts w:ascii="Palatino Linotype" w:eastAsia="Palatino Linotype" w:hAnsi="Palatino Linotype" w:cs="Palatino Linotype"/>
          <w:color w:val="000000"/>
          <w:sz w:val="22"/>
          <w:szCs w:val="22"/>
        </w:rPr>
        <w:t xml:space="preserve">el documento que contenga el sueldo bruto y neto de todos los servidores públicos adscritos a la Secretaría de Seguridad de la primera quincena de marzo de dos mil veintitrés a la segunda de septiembre de dos mil veinticuatro. </w:t>
      </w:r>
    </w:p>
    <w:p w14:paraId="443904BC" w14:textId="77777777" w:rsidR="00D603B6" w:rsidRDefault="00D603B6">
      <w:pPr>
        <w:widowControl w:val="0"/>
        <w:spacing w:line="360" w:lineRule="auto"/>
        <w:jc w:val="both"/>
        <w:rPr>
          <w:rFonts w:ascii="Palatino Linotype" w:eastAsia="Palatino Linotype" w:hAnsi="Palatino Linotype" w:cs="Palatino Linotype"/>
          <w:color w:val="000000"/>
          <w:sz w:val="22"/>
          <w:szCs w:val="22"/>
        </w:rPr>
      </w:pPr>
    </w:p>
    <w:p w14:paraId="5A777869" w14:textId="77777777" w:rsidR="00D603B6" w:rsidRDefault="009F024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UIPPE,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453455D" w14:textId="77777777" w:rsidR="00D603B6" w:rsidRDefault="00D603B6">
      <w:pPr>
        <w:spacing w:line="360" w:lineRule="auto"/>
        <w:ind w:right="-28"/>
        <w:jc w:val="both"/>
        <w:rPr>
          <w:rFonts w:ascii="Palatino Linotype" w:eastAsia="Palatino Linotype" w:hAnsi="Palatino Linotype" w:cs="Palatino Linotype"/>
          <w:sz w:val="22"/>
          <w:szCs w:val="22"/>
        </w:rPr>
      </w:pPr>
    </w:p>
    <w:p w14:paraId="7998C5DE" w14:textId="77777777" w:rsidR="00D603B6" w:rsidRDefault="009F024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numeral 20603000010000L, </w:t>
      </w:r>
      <w:r>
        <w:rPr>
          <w:rFonts w:ascii="Palatino Linotype" w:eastAsia="Palatino Linotype" w:hAnsi="Palatino Linotype" w:cs="Palatino Linotype"/>
          <w:b/>
          <w:bCs/>
          <w:sz w:val="22"/>
          <w:szCs w:val="22"/>
        </w:rPr>
        <w:t>Dirección de Recursos Humanos</w:t>
      </w:r>
      <w:r>
        <w:rPr>
          <w:rFonts w:ascii="Palatino Linotype" w:eastAsia="Palatino Linotype" w:hAnsi="Palatino Linotype" w:cs="Palatino Linotype"/>
          <w:sz w:val="22"/>
          <w:szCs w:val="22"/>
        </w:rPr>
        <w:t xml:space="preserve">, del Manual de Organización de la Secretaría de Seguridad de dos mil veinticinco, en el que se establece  que contara con diversas subdirecciones como servicios al personal que en conjunto realizaran as gestiones para la administración de los recursos humanos, así como para </w:t>
      </w:r>
      <w:r>
        <w:rPr>
          <w:rFonts w:ascii="Palatino Linotype" w:eastAsia="Palatino Linotype" w:hAnsi="Palatino Linotype" w:cs="Palatino Linotype"/>
          <w:b/>
          <w:bCs/>
          <w:sz w:val="22"/>
          <w:szCs w:val="22"/>
        </w:rPr>
        <w:t>el pago de sueldos y prestaciones a las personas servidoras públicas de la Secretaría de Seguridad</w:t>
      </w:r>
      <w:r>
        <w:rPr>
          <w:rFonts w:ascii="Palatino Linotype" w:eastAsia="Palatino Linotype" w:hAnsi="Palatino Linotype" w:cs="Palatino Linotype"/>
          <w:sz w:val="22"/>
          <w:szCs w:val="22"/>
        </w:rPr>
        <w:t xml:space="preserve">, siendo así que se debe dirigir y supervisar los mecanismos y sistemas implementados para el registro y control de movimientos e  incidencias del personal adscrito; </w:t>
      </w:r>
      <w:r>
        <w:rPr>
          <w:rFonts w:ascii="Palatino Linotype" w:eastAsia="Palatino Linotype" w:hAnsi="Palatino Linotype" w:cs="Palatino Linotype"/>
          <w:b/>
          <w:bCs/>
          <w:sz w:val="22"/>
          <w:szCs w:val="22"/>
          <w:u w:val="single"/>
        </w:rPr>
        <w:t>así como verificar que se otorguen en tiempo y forma las remuneraciones, prestaciones, estímulos, recompensas y  demás percepciones al personal de la Secretaría de Seguridad</w:t>
      </w:r>
      <w:r>
        <w:rPr>
          <w:rFonts w:ascii="Palatino Linotype" w:eastAsia="Palatino Linotype" w:hAnsi="Palatino Linotype" w:cs="Palatino Linotype"/>
          <w:sz w:val="22"/>
          <w:szCs w:val="22"/>
        </w:rPr>
        <w:t>, conforme a lo establecido en la normatividad  vigente y aplicable.</w:t>
      </w:r>
    </w:p>
    <w:p w14:paraId="74EBC19E" w14:textId="77777777" w:rsidR="00D603B6" w:rsidRDefault="009F024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136FC0DD" w14:textId="77777777" w:rsidR="00D603B6" w:rsidRDefault="009F024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dentro de la misma normativa establece que la UIPPE deberá </w:t>
      </w:r>
      <w:r>
        <w:rPr>
          <w:rFonts w:ascii="Palatino Linotype" w:eastAsia="Palatino Linotype" w:hAnsi="Palatino Linotype" w:cs="Palatino Linotype"/>
          <w:sz w:val="22"/>
          <w:szCs w:val="22"/>
          <w:u w:val="single"/>
        </w:rPr>
        <w:t>de  procesar, emitir y conducir la información generada en los procesos de  planeación, programación, evaluación, acceso a la información pública y protección de los datos personales en  posesión de esta dependencia</w:t>
      </w:r>
      <w:r>
        <w:rPr>
          <w:rFonts w:ascii="Palatino Linotype" w:eastAsia="Palatino Linotype" w:hAnsi="Palatino Linotype" w:cs="Palatino Linotype"/>
          <w:sz w:val="22"/>
          <w:szCs w:val="22"/>
        </w:rPr>
        <w:t>, así como las acciones relacionadas con la innovación y desarrollo administrativo  de la Secretaría de Seguridad.</w:t>
      </w:r>
    </w:p>
    <w:p w14:paraId="41469881" w14:textId="77777777" w:rsidR="00D603B6" w:rsidRDefault="00D603B6">
      <w:pPr>
        <w:spacing w:line="360" w:lineRule="auto"/>
        <w:ind w:right="-28"/>
        <w:jc w:val="both"/>
        <w:rPr>
          <w:rFonts w:ascii="Palatino Linotype" w:eastAsia="Palatino Linotype" w:hAnsi="Palatino Linotype" w:cs="Palatino Linotype"/>
          <w:sz w:val="22"/>
          <w:szCs w:val="22"/>
        </w:rPr>
      </w:pPr>
    </w:p>
    <w:p w14:paraId="4C556BDF" w14:textId="77777777" w:rsidR="00D603B6" w:rsidRDefault="009F0248">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color w:val="000000"/>
          <w:sz w:val="22"/>
          <w:szCs w:val="22"/>
        </w:rPr>
        <w:t>se logra colegir que el Sujeto Obligado no cumplió con el procedimiento de búsqueda establecido en el artículo 162 de la Ley de Transparencia y Acceso a la Información Pública del Estado de México y Municipios, pues gestionó de manera indirecta el requerimiento de información al área competente para conocer de lo peticionado</w:t>
      </w:r>
      <w:r>
        <w:rPr>
          <w:rFonts w:ascii="Palatino Linotype" w:eastAsia="Palatino Linotype" w:hAnsi="Palatino Linotype" w:cs="Palatino Linotype"/>
          <w:sz w:val="22"/>
          <w:szCs w:val="22"/>
        </w:rPr>
        <w:t>.</w:t>
      </w:r>
    </w:p>
    <w:p w14:paraId="04183025" w14:textId="77777777" w:rsidR="00D603B6" w:rsidRDefault="00D603B6">
      <w:pPr>
        <w:spacing w:line="360" w:lineRule="auto"/>
        <w:jc w:val="both"/>
        <w:rPr>
          <w:rFonts w:ascii="Palatino Linotype" w:eastAsia="Palatino Linotype" w:hAnsi="Palatino Linotype" w:cs="Palatino Linotype"/>
          <w:sz w:val="22"/>
          <w:szCs w:val="22"/>
        </w:rPr>
      </w:pPr>
    </w:p>
    <w:p w14:paraId="2EFB9EA9" w14:textId="77777777" w:rsidR="00D603B6" w:rsidRDefault="009F0248">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en respuesta, dicha área, precisó que la información solicitada correspondía a obligaciones de transparencia que la Secretaría de Seguridad debe mantener de manera actualizada y permanente en el Portal de Información Pública de Oficio Mexiquense (IPOMEX), de conformidad con lo estipulado en la fracción VIII, del </w:t>
      </w:r>
      <w:proofErr w:type="spellStart"/>
      <w:r>
        <w:rPr>
          <w:rFonts w:ascii="Palatino Linotype" w:eastAsia="Palatino Linotype" w:hAnsi="Palatino Linotype" w:cs="Palatino Linotype"/>
          <w:sz w:val="22"/>
          <w:szCs w:val="22"/>
        </w:rPr>
        <w:t>articulo</w:t>
      </w:r>
      <w:proofErr w:type="spellEnd"/>
      <w:r>
        <w:rPr>
          <w:rFonts w:ascii="Palatino Linotype" w:eastAsia="Palatino Linotype" w:hAnsi="Palatino Linotype" w:cs="Palatino Linotype"/>
          <w:sz w:val="22"/>
          <w:szCs w:val="22"/>
        </w:rPr>
        <w:t xml:space="preserve"> 92 de la Ley de Transparencia y Acceso a la Información Pública del Estado de México y Municipios, y para tal efecto proporcionó dos ligas electrónicas para consultar la información, tal como se desprende de las siguientes imágenes ilustrativas: </w:t>
      </w:r>
    </w:p>
    <w:p w14:paraId="06027B1C" w14:textId="77777777" w:rsidR="00D603B6" w:rsidRDefault="00D603B6">
      <w:pPr>
        <w:tabs>
          <w:tab w:val="left" w:pos="7080"/>
        </w:tabs>
        <w:spacing w:line="360" w:lineRule="auto"/>
        <w:jc w:val="both"/>
        <w:rPr>
          <w:rFonts w:ascii="Palatino Linotype" w:eastAsia="Palatino Linotype" w:hAnsi="Palatino Linotype" w:cs="Palatino Linotype"/>
          <w:sz w:val="22"/>
          <w:szCs w:val="22"/>
        </w:rPr>
      </w:pPr>
    </w:p>
    <w:p w14:paraId="2839A01D" w14:textId="77777777" w:rsidR="00D603B6" w:rsidRDefault="009F0248">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05E03969" wp14:editId="0607200E">
            <wp:extent cx="5303980" cy="2438611"/>
            <wp:effectExtent l="0" t="0" r="0" b="0"/>
            <wp:docPr id="1630616387"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exto&#10;&#10;El contenido generado por IA puede ser incorrecto."/>
                    <pic:cNvPicPr preferRelativeResize="0"/>
                  </pic:nvPicPr>
                  <pic:blipFill>
                    <a:blip r:embed="rId8"/>
                    <a:srcRect/>
                    <a:stretch>
                      <a:fillRect/>
                    </a:stretch>
                  </pic:blipFill>
                  <pic:spPr>
                    <a:xfrm>
                      <a:off x="0" y="0"/>
                      <a:ext cx="5303980" cy="2438611"/>
                    </a:xfrm>
                    <a:prstGeom prst="rect">
                      <a:avLst/>
                    </a:prstGeom>
                    <a:ln/>
                  </pic:spPr>
                </pic:pic>
              </a:graphicData>
            </a:graphic>
          </wp:inline>
        </w:drawing>
      </w:r>
    </w:p>
    <w:p w14:paraId="45C04231" w14:textId="77777777" w:rsidR="00D603B6" w:rsidRDefault="009F0248">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rPr>
        <w:t>(liga electrónica para el ejercicio fiscal dos mil veintitrés)</w:t>
      </w:r>
    </w:p>
    <w:p w14:paraId="7BB81A7A" w14:textId="77777777" w:rsidR="00D603B6" w:rsidRDefault="00D603B6">
      <w:pPr>
        <w:tabs>
          <w:tab w:val="left" w:pos="7080"/>
        </w:tabs>
        <w:spacing w:line="360" w:lineRule="auto"/>
        <w:jc w:val="center"/>
        <w:rPr>
          <w:rFonts w:ascii="Palatino Linotype" w:eastAsia="Palatino Linotype" w:hAnsi="Palatino Linotype" w:cs="Palatino Linotype"/>
          <w:sz w:val="22"/>
          <w:szCs w:val="22"/>
        </w:rPr>
      </w:pPr>
    </w:p>
    <w:p w14:paraId="60DCC1DD" w14:textId="77777777" w:rsidR="00D603B6" w:rsidRDefault="009F0248">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5A656152" wp14:editId="7E537561">
            <wp:extent cx="3825572" cy="403895"/>
            <wp:effectExtent l="0" t="0" r="0" b="0"/>
            <wp:docPr id="1630616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25572" cy="403895"/>
                    </a:xfrm>
                    <a:prstGeom prst="rect">
                      <a:avLst/>
                    </a:prstGeom>
                    <a:ln/>
                  </pic:spPr>
                </pic:pic>
              </a:graphicData>
            </a:graphic>
          </wp:inline>
        </w:drawing>
      </w:r>
    </w:p>
    <w:p w14:paraId="10062BC1" w14:textId="77777777" w:rsidR="00D603B6" w:rsidRDefault="009F0248">
      <w:pPr>
        <w:tabs>
          <w:tab w:val="left" w:pos="7080"/>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 xml:space="preserve">(liga electrónica para el ejercicio fiscal dos mil veinticuatro) </w:t>
      </w:r>
    </w:p>
    <w:p w14:paraId="57C9573D" w14:textId="77777777" w:rsidR="00D603B6" w:rsidRDefault="00D603B6">
      <w:pPr>
        <w:spacing w:line="360" w:lineRule="auto"/>
        <w:jc w:val="both"/>
        <w:rPr>
          <w:rFonts w:ascii="Palatino Linotype" w:eastAsia="Palatino Linotype" w:hAnsi="Palatino Linotype" w:cs="Palatino Linotype"/>
          <w:sz w:val="22"/>
          <w:szCs w:val="22"/>
        </w:rPr>
      </w:pPr>
    </w:p>
    <w:p w14:paraId="6224ADFA"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la revisión de estas,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proporcione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34334276" w14:textId="77777777" w:rsidR="00D603B6" w:rsidRDefault="00D603B6">
      <w:pPr>
        <w:spacing w:line="360" w:lineRule="auto"/>
        <w:jc w:val="both"/>
        <w:rPr>
          <w:rFonts w:ascii="Palatino Linotype" w:eastAsia="Palatino Linotype" w:hAnsi="Palatino Linotype" w:cs="Palatino Linotype"/>
          <w:sz w:val="22"/>
          <w:szCs w:val="22"/>
        </w:rPr>
      </w:pPr>
    </w:p>
    <w:p w14:paraId="2D897F43"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w:t>
      </w:r>
      <w:r>
        <w:rPr>
          <w:rFonts w:ascii="Palatino Linotype" w:eastAsia="Palatino Linotype" w:hAnsi="Palatino Linotype" w:cs="Palatino Linotype"/>
          <w:sz w:val="22"/>
          <w:szCs w:val="22"/>
        </w:rPr>
        <w:lastRenderedPageBreak/>
        <w:t>necesario que los datos digitales (como ligas electrónicas), se proporcionen en un formato abierto.</w:t>
      </w:r>
    </w:p>
    <w:p w14:paraId="0EE3F161" w14:textId="77777777" w:rsidR="00D603B6" w:rsidRDefault="00D603B6">
      <w:pPr>
        <w:spacing w:line="360" w:lineRule="auto"/>
        <w:jc w:val="both"/>
        <w:rPr>
          <w:rFonts w:ascii="Palatino Linotype" w:eastAsia="Palatino Linotype" w:hAnsi="Palatino Linotype" w:cs="Palatino Linotype"/>
          <w:sz w:val="22"/>
          <w:szCs w:val="22"/>
        </w:rPr>
      </w:pPr>
    </w:p>
    <w:p w14:paraId="59AFC704"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772C7CF" w14:textId="77777777" w:rsidR="00D603B6" w:rsidRDefault="00D603B6">
      <w:pPr>
        <w:spacing w:line="360" w:lineRule="auto"/>
        <w:jc w:val="both"/>
        <w:rPr>
          <w:rFonts w:ascii="Palatino Linotype" w:eastAsia="Palatino Linotype" w:hAnsi="Palatino Linotype" w:cs="Palatino Linotype"/>
          <w:sz w:val="22"/>
          <w:szCs w:val="22"/>
        </w:rPr>
      </w:pPr>
    </w:p>
    <w:p w14:paraId="1968247F" w14:textId="77777777" w:rsidR="00D603B6" w:rsidRDefault="009F0248">
      <w:pPr>
        <w:numPr>
          <w:ilvl w:val="0"/>
          <w:numId w:val="5"/>
        </w:numPr>
        <w:spacing w:after="16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Dato abierto: </w:t>
      </w:r>
      <w:r>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B4CDCE0" w14:textId="77777777" w:rsidR="00D603B6" w:rsidRDefault="00D603B6">
      <w:pPr>
        <w:spacing w:line="360" w:lineRule="auto"/>
        <w:ind w:left="720"/>
        <w:jc w:val="both"/>
        <w:rPr>
          <w:rFonts w:ascii="Palatino Linotype" w:eastAsia="Palatino Linotype" w:hAnsi="Palatino Linotype" w:cs="Palatino Linotype"/>
          <w:b/>
          <w:bCs/>
          <w:sz w:val="22"/>
          <w:szCs w:val="22"/>
        </w:rPr>
      </w:pPr>
    </w:p>
    <w:p w14:paraId="5EC254D1" w14:textId="77777777" w:rsidR="00D603B6" w:rsidRDefault="009F0248">
      <w:pPr>
        <w:numPr>
          <w:ilvl w:val="0"/>
          <w:numId w:val="5"/>
        </w:numPr>
        <w:spacing w:after="16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Formato accesible: </w:t>
      </w:r>
      <w:r>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03CAECA" w14:textId="77777777" w:rsidR="00D603B6" w:rsidRDefault="00D603B6">
      <w:pPr>
        <w:spacing w:line="360" w:lineRule="auto"/>
        <w:jc w:val="both"/>
        <w:rPr>
          <w:rFonts w:ascii="Palatino Linotype" w:eastAsia="Palatino Linotype" w:hAnsi="Palatino Linotype" w:cs="Palatino Linotype"/>
          <w:sz w:val="22"/>
          <w:szCs w:val="22"/>
        </w:rPr>
      </w:pPr>
    </w:p>
    <w:p w14:paraId="130A658F"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10E6E130" w14:textId="77777777" w:rsidR="00D603B6" w:rsidRDefault="00D603B6">
      <w:pPr>
        <w:spacing w:line="360" w:lineRule="auto"/>
        <w:jc w:val="both"/>
        <w:rPr>
          <w:rFonts w:ascii="Palatino Linotype" w:eastAsia="Palatino Linotype" w:hAnsi="Palatino Linotype" w:cs="Palatino Linotype"/>
          <w:sz w:val="22"/>
          <w:szCs w:val="22"/>
        </w:rPr>
      </w:pPr>
    </w:p>
    <w:p w14:paraId="0459B7CC" w14:textId="77777777" w:rsidR="00D603B6" w:rsidRDefault="009F0248">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Pr>
          <w:rFonts w:ascii="Palatino Linotype" w:eastAsia="Palatino Linotype" w:hAnsi="Palatino Linotype" w:cs="Palatino Linotype"/>
          <w:b/>
          <w:bCs/>
          <w:sz w:val="22"/>
          <w:szCs w:val="22"/>
        </w:rPr>
        <w:t>la fuente, el lugar y la forma</w:t>
      </w:r>
      <w:r>
        <w:rPr>
          <w:rFonts w:ascii="Palatino Linotype" w:eastAsia="Palatino Linotype" w:hAnsi="Palatino Linotype" w:cs="Palatino Linotype"/>
          <w:sz w:val="22"/>
          <w:szCs w:val="22"/>
        </w:rPr>
        <w:t xml:space="preserve"> en que se puede obtener la información.</w:t>
      </w:r>
    </w:p>
    <w:p w14:paraId="00ECB9EC" w14:textId="77777777" w:rsidR="00D603B6" w:rsidRDefault="00D603B6">
      <w:pPr>
        <w:spacing w:line="360" w:lineRule="auto"/>
        <w:jc w:val="both"/>
        <w:rPr>
          <w:rFonts w:ascii="Palatino Linotype" w:eastAsia="Palatino Linotype" w:hAnsi="Palatino Linotype" w:cs="Palatino Linotype"/>
          <w:sz w:val="22"/>
          <w:szCs w:val="22"/>
        </w:rPr>
      </w:pPr>
    </w:p>
    <w:p w14:paraId="14A537AD" w14:textId="77777777" w:rsidR="00D603B6" w:rsidRDefault="009F0248">
      <w:pPr>
        <w:widowControl w:val="0"/>
        <w:tabs>
          <w:tab w:val="center" w:pos="4522"/>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Como se logra observar,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14:paraId="2155B062"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F5C57FC"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durante la sustanciación de los medios de impugnación proporcionó las ligas en formato abierto, así de la revisión de las ligas precisadas, este Instituto advirtió que remite a la página del sistema de Información Pública de Oficio Mexiquense del Ayuntamiento de Almoloya de Juárez, tal como se muestra a continuación:</w:t>
      </w:r>
    </w:p>
    <w:p w14:paraId="44A83F77" w14:textId="77777777" w:rsidR="00D603B6" w:rsidRDefault="00D603B6">
      <w:pPr>
        <w:tabs>
          <w:tab w:val="left" w:pos="7080"/>
        </w:tabs>
        <w:spacing w:line="360" w:lineRule="auto"/>
        <w:jc w:val="both"/>
        <w:rPr>
          <w:rFonts w:ascii="Palatino Linotype" w:eastAsia="Palatino Linotype" w:hAnsi="Palatino Linotype" w:cs="Palatino Linotype"/>
          <w:sz w:val="22"/>
          <w:szCs w:val="22"/>
        </w:rPr>
      </w:pPr>
    </w:p>
    <w:p w14:paraId="0597A375" w14:textId="77777777" w:rsidR="00D603B6" w:rsidRDefault="009F0248">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62CB0E56" wp14:editId="22F1DC13">
            <wp:extent cx="4516517" cy="3886412"/>
            <wp:effectExtent l="0" t="0" r="0" b="0"/>
            <wp:docPr id="1630616388" name="image2.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El contenido generado por IA puede ser incorrecto."/>
                    <pic:cNvPicPr preferRelativeResize="0"/>
                  </pic:nvPicPr>
                  <pic:blipFill>
                    <a:blip r:embed="rId10"/>
                    <a:srcRect/>
                    <a:stretch>
                      <a:fillRect/>
                    </a:stretch>
                  </pic:blipFill>
                  <pic:spPr>
                    <a:xfrm>
                      <a:off x="0" y="0"/>
                      <a:ext cx="4516517" cy="3886412"/>
                    </a:xfrm>
                    <a:prstGeom prst="rect">
                      <a:avLst/>
                    </a:prstGeom>
                    <a:ln/>
                  </pic:spPr>
                </pic:pic>
              </a:graphicData>
            </a:graphic>
          </wp:inline>
        </w:drawing>
      </w:r>
    </w:p>
    <w:p w14:paraId="25667036" w14:textId="77777777" w:rsidR="00D603B6" w:rsidRDefault="00D603B6">
      <w:pPr>
        <w:tabs>
          <w:tab w:val="left" w:pos="7080"/>
        </w:tabs>
        <w:spacing w:line="360" w:lineRule="auto"/>
        <w:jc w:val="center"/>
        <w:rPr>
          <w:rFonts w:ascii="Palatino Linotype" w:eastAsia="Palatino Linotype" w:hAnsi="Palatino Linotype" w:cs="Palatino Linotype"/>
          <w:sz w:val="22"/>
          <w:szCs w:val="22"/>
        </w:rPr>
      </w:pPr>
    </w:p>
    <w:p w14:paraId="65EB7DA3" w14:textId="77777777" w:rsidR="00D603B6" w:rsidRDefault="009F0248">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33948EC8" wp14:editId="65366C3D">
            <wp:extent cx="4559488" cy="2748694"/>
            <wp:effectExtent l="0" t="0" r="0" b="0"/>
            <wp:docPr id="1630616391" name="image6.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El contenido generado por IA puede ser incorrecto."/>
                    <pic:cNvPicPr preferRelativeResize="0"/>
                  </pic:nvPicPr>
                  <pic:blipFill>
                    <a:blip r:embed="rId11"/>
                    <a:srcRect/>
                    <a:stretch>
                      <a:fillRect/>
                    </a:stretch>
                  </pic:blipFill>
                  <pic:spPr>
                    <a:xfrm>
                      <a:off x="0" y="0"/>
                      <a:ext cx="4559488" cy="2748694"/>
                    </a:xfrm>
                    <a:prstGeom prst="rect">
                      <a:avLst/>
                    </a:prstGeom>
                    <a:ln/>
                  </pic:spPr>
                </pic:pic>
              </a:graphicData>
            </a:graphic>
          </wp:inline>
        </w:drawing>
      </w:r>
    </w:p>
    <w:p w14:paraId="163FD4FF" w14:textId="77777777" w:rsidR="00D603B6" w:rsidRDefault="009F0248">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sz w:val="22"/>
          <w:szCs w:val="22"/>
        </w:rPr>
        <w:lastRenderedPageBreak/>
        <w:t xml:space="preserve">Conforme a lo anterior se logra vislumbrar que si bien la información guarda relación con lo solicitado, tal como lo precisó Particular, la información no da cuenta de lo solicitado, pues cabe precisar que </w:t>
      </w:r>
      <w:r>
        <w:rPr>
          <w:rFonts w:ascii="Palatino Linotype" w:eastAsia="Palatino Linotype" w:hAnsi="Palatino Linotype" w:cs="Palatino Linotype"/>
          <w:sz w:val="22"/>
          <w:szCs w:val="22"/>
          <w:u w:val="single"/>
        </w:rPr>
        <w:t>tendría que realizar una búsqueda en la plataforma de información, pues únicamente señaló la liga que debía consultar, sin señalar el procedimiento de búsqueda de información, además que no precisó cómo consultar la información correspondiente al ejercicio fiscal dos mil veinticuatro, pues dio acceso a las remuneraciones vigentes al dos de septiembre de dos mil veinticinco</w:t>
      </w:r>
      <w:r>
        <w:rPr>
          <w:rFonts w:ascii="Palatino Linotype" w:eastAsia="Palatino Linotype" w:hAnsi="Palatino Linotype" w:cs="Palatino Linotype"/>
          <w:sz w:val="22"/>
          <w:szCs w:val="22"/>
        </w:rPr>
        <w:t xml:space="preserve">, mismos que no fueron solicitados, </w:t>
      </w:r>
      <w:r>
        <w:rPr>
          <w:rFonts w:ascii="Palatino Linotype" w:eastAsia="Palatino Linotype" w:hAnsi="Palatino Linotype" w:cs="Palatino Linotype"/>
          <w:color w:val="000000"/>
          <w:sz w:val="22"/>
          <w:szCs w:val="22"/>
        </w:rPr>
        <w:t xml:space="preserve">lo cual da como resultado que no se pueda validar la respuesta entregada y que el agravio resulte </w:t>
      </w:r>
      <w:r>
        <w:rPr>
          <w:rFonts w:ascii="Palatino Linotype" w:eastAsia="Palatino Linotype" w:hAnsi="Palatino Linotype" w:cs="Palatino Linotype"/>
          <w:b/>
          <w:bCs/>
          <w:color w:val="000000"/>
          <w:sz w:val="22"/>
          <w:szCs w:val="22"/>
        </w:rPr>
        <w:t>FUNDADO.</w:t>
      </w:r>
    </w:p>
    <w:p w14:paraId="29DAFB00" w14:textId="77777777" w:rsidR="00D603B6" w:rsidRDefault="009F0248">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0DC09F6"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este Instituto considera que la Secretaría de Seguridad, debe de contar con algún documento que dé cuenta de las remuneraciones pagadas a los servidores  públicos, es decir, aquel que contenga los sueldos, prestaciones y de deducciones; pues del propio </w:t>
      </w:r>
      <w:r>
        <w:rPr>
          <w:rFonts w:ascii="Palatino Linotype" w:eastAsia="Palatino Linotype" w:hAnsi="Palatino Linotype" w:cs="Palatino Linotype"/>
          <w:sz w:val="22"/>
          <w:szCs w:val="22"/>
        </w:rPr>
        <w:t>Portal de Gestión Interna G2G, se logra vislumbrar un apartado para las Coordinaciones Administrativas, entre las cuáles se encuentra la del Sujeto Obligado y el cual precisa que dicha área puede obtener los siguientes documentos:</w:t>
      </w:r>
    </w:p>
    <w:p w14:paraId="24770FD7"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06A76D0C"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14:anchorId="73E35B57" wp14:editId="74340A1E">
            <wp:extent cx="5612130" cy="2446020"/>
            <wp:effectExtent l="0" t="0" r="0" b="0"/>
            <wp:docPr id="16306163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2446020"/>
                    </a:xfrm>
                    <a:prstGeom prst="rect">
                      <a:avLst/>
                    </a:prstGeom>
                    <a:ln/>
                  </pic:spPr>
                </pic:pic>
              </a:graphicData>
            </a:graphic>
          </wp:inline>
        </w:drawing>
      </w:r>
    </w:p>
    <w:p w14:paraId="600F12D7"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3D52A5C3"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existen documentos a los que puede acceder el Sujeto Obligado y que dan cuenta de la información peticionada, tal como lo es el Comprobante de percepciones y deducciones, así como, la Constancia quincenal de percepciones y deducciones, los cuáles conforme al portal mencionado, tienen validez oficial.</w:t>
      </w:r>
    </w:p>
    <w:p w14:paraId="26ADF3A5" w14:textId="77777777" w:rsidR="00D603B6" w:rsidRDefault="00D603B6">
      <w:pPr>
        <w:tabs>
          <w:tab w:val="left" w:pos="7080"/>
        </w:tabs>
        <w:spacing w:line="360" w:lineRule="auto"/>
        <w:jc w:val="both"/>
        <w:rPr>
          <w:rFonts w:ascii="Palatino Linotype" w:eastAsia="Palatino Linotype" w:hAnsi="Palatino Linotype" w:cs="Palatino Linotype"/>
          <w:sz w:val="22"/>
          <w:szCs w:val="22"/>
        </w:rPr>
      </w:pPr>
    </w:p>
    <w:p w14:paraId="7A68D78E"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Por lo tanto, para atender al requerimiento en análisis, el Sujeto Obligado, deberá realizar una búsqueda exhaustiva y razonable en los archivos de la Dirección de Recursos Humanos, a efecto de proporcionar</w:t>
      </w:r>
      <w:r>
        <w:t xml:space="preserve"> </w:t>
      </w:r>
      <w:r>
        <w:rPr>
          <w:rFonts w:ascii="Palatino Linotype" w:eastAsia="Palatino Linotype" w:hAnsi="Palatino Linotype" w:cs="Palatino Linotype"/>
          <w:sz w:val="22"/>
          <w:szCs w:val="22"/>
        </w:rPr>
        <w:t>el documento que contenga las remuneraciones pagadas de todos los servidores públicos adscritos a la Secretaría de Seguridad de la primera quincena de marzo de dos mil veintitrés a la segunda de septiembre de dos mil veinticuatro, dicha determinación toma relevancia</w:t>
      </w:r>
      <w:r>
        <w:rPr>
          <w:rFonts w:ascii="Palatino Linotype" w:eastAsia="Palatino Linotype" w:hAnsi="Palatino Linotype" w:cs="Palatino Linotype"/>
          <w:color w:val="000000"/>
          <w:sz w:val="22"/>
          <w:szCs w:val="22"/>
        </w:rPr>
        <w:t xml:space="preserve">;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232261E4"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91232AE"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14:paraId="4A2F28A8"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0E37A128"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Además, resulta aplicable el Criterio Orientador SO/003/2017, de la Segunda Época, emitido por el entonces Instituto Nacional de Transparencia, Acceso a la Información y Protección de Datos Personales que a continuación se cita:  </w:t>
      </w:r>
    </w:p>
    <w:p w14:paraId="072E3322"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126C4A4A" w14:textId="77777777" w:rsidR="00D603B6" w:rsidRDefault="009F0248">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t>“No existe obligación de elaborar documentos ad hoc para atender las solicitudes de acceso a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color w:val="000000"/>
        </w:rPr>
        <w:t xml:space="preserve">  </w:t>
      </w:r>
    </w:p>
    <w:p w14:paraId="5F6AAF6E"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1AD8F1CB"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0FC0C2A1"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0F751B5"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no pasa desapercibido para este Instituto que los documentos que atiendan la solicitud pudieran contener datos personales confidenciales, tales como la Clave Única de </w:t>
      </w:r>
    </w:p>
    <w:p w14:paraId="5B0687EF"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Registro de Población, el Registro Federal de Contribuyentes, el número de seguridad social y las deducciones personales, los cuales se precisan de manera enunciativa, más no limitativa, en términos del artículo 143, fracción I de la Ley de la materia; al respecto, conforme al artículo 3°, fracción XLV, relacionado con el 137, ambos de la Ley de Transparencia y Acceso a la Información Pública del Estado de México y Municipios, cuando un documento contenga información pública y confidencial, la Unidad de </w:t>
      </w:r>
      <w:r>
        <w:rPr>
          <w:rFonts w:ascii="Palatino Linotype" w:eastAsia="Palatino Linotype" w:hAnsi="Palatino Linotype" w:cs="Palatino Linotype"/>
          <w:color w:val="000000"/>
          <w:sz w:val="22"/>
          <w:szCs w:val="22"/>
        </w:rPr>
        <w:lastRenderedPageBreak/>
        <w:t xml:space="preserve">Transparencia para efectos de atender al requerimiento informativo, deberá elaborar una versión Pública  en la que se testen las partes o secciones clasificadas, indicando su contenido de manera  genérica y fundando y motivando su clasificación.  </w:t>
      </w:r>
    </w:p>
    <w:p w14:paraId="2499CD58"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3B676390"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concluir, de manera oficiosa, se procede analizar si procede la clasificación del nombre de los elementos operativos en materia de seguridad pública; al respecto, con relación, los primeros dos datos referidos, el artículo 140, fracción IV, de la Ley de Transparencia y Acceso a la Información Pública del Estado de México y Municipios, prevé lo siguiente:</w:t>
      </w:r>
    </w:p>
    <w:p w14:paraId="086366CE"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86B97FE"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140. El acceso a la información pública será restringido excepcionalmente, cuando por razones de interés público, ésta sea clasificada como reservada, conforme a los criterios siguientes: </w:t>
      </w:r>
    </w:p>
    <w:p w14:paraId="02B2DD18"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22D891D3"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IV. Ponga en riesgo la vida, la seguridad o la salud de una persona física;</w:t>
      </w:r>
    </w:p>
    <w:p w14:paraId="695F16A8"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w:t>
      </w:r>
    </w:p>
    <w:p w14:paraId="7FF5150D"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83594BF"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3A985B7F"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01FAF793"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“Vigésimo tercero.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13F86D1D"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3C7EB98B"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64A0E954"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0C242192"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artículo 81, fracción III, de la Ley de Seguridad del Estado de México, establece lo siguiente:</w:t>
      </w:r>
    </w:p>
    <w:p w14:paraId="6128A0A6"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EA7EC80"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B28CF6E"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27AA7C37"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La relativa a los servidores públicos integrantes de las instituciones de seguridad pública, cuya revelación pueda poner en riesgo su vida e integridad física con motivo de sus funciones;</w:t>
      </w:r>
    </w:p>
    <w:p w14:paraId="526C07DF"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1576D134"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0A446D8B"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7E2B2311"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57ED3E82"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es de señalar que los datos de servidores públicos, entre los que se encuentran el nombre de los trabajadores, por regla general, son de naturaleza pública, de conformidad con el artículo 92, fracción VII, de la Ley de Transparencia y Acceso a la Información Pública del Estado de México y Municipios.</w:t>
      </w:r>
    </w:p>
    <w:p w14:paraId="4383DA77"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3460EDE2"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14:paraId="0592CB1A"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B86494F" w14:textId="77777777" w:rsidR="00D603B6" w:rsidRDefault="009F0248">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“Nombres de servidores públicos dedicados a actividades en materia de seguridad, por excepción pueden considerarse información reservada.</w:t>
      </w:r>
      <w:r>
        <w:rPr>
          <w:rFonts w:ascii="Palatino Linotype" w:eastAsia="Palatino Linotype" w:hAnsi="Palatino Linotype" w:cs="Palatino Linotype"/>
          <w:i/>
          <w:iCs/>
          <w:color w:val="00000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9B743A1"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26AA2891"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dicho criterio, se desprende que existen funciones a cargo de servidores públicos, tendientes a garantizar de manera directa la seguridad pública, a través de acciones </w:t>
      </w:r>
      <w:r>
        <w:rPr>
          <w:rFonts w:ascii="Palatino Linotype" w:eastAsia="Palatino Linotype" w:hAnsi="Palatino Linotype" w:cs="Palatino Linotype"/>
          <w:color w:val="000000"/>
          <w:sz w:val="22"/>
          <w:szCs w:val="22"/>
        </w:rPr>
        <w:lastRenderedPageBreak/>
        <w:t>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8E31B8A"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BA4674E"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1D1C03F0"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56CFD78B"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7E8CC2AA"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914E56C"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1B24F34"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2095582E"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el artículo 6°, fracciones XI y XII de dicho ordenamiento jurídico, establece los siguientes conceptos:</w:t>
      </w:r>
    </w:p>
    <w:p w14:paraId="1C64B1D5"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5E06F90A" w14:textId="77777777" w:rsidR="00D603B6" w:rsidRDefault="009F024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Instituciones Policiales</w:t>
      </w:r>
      <w:r>
        <w:rPr>
          <w:rFonts w:ascii="Palatino Linotype" w:eastAsia="Palatino Linotype" w:hAnsi="Palatino Linotype" w:cs="Palatino Linotype"/>
          <w:color w:val="000000"/>
          <w:sz w:val="22"/>
          <w:szCs w:val="22"/>
        </w:rPr>
        <w:t>: Son los cuerpos de policía, de vigilancia y custodia de los establecimientos penitenciarios, detención preventiva, centros de arraigo y en general, todas las dependencias encargadas de la seguridad pública a nivel estatal y municipal.</w:t>
      </w:r>
    </w:p>
    <w:p w14:paraId="4C8CEB78"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55323794" w14:textId="77777777" w:rsidR="00D603B6" w:rsidRDefault="009F024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Instituciones de Seguridad Pública</w:t>
      </w:r>
      <w:r>
        <w:rPr>
          <w:rFonts w:ascii="Palatino Linotype" w:eastAsia="Palatino Linotype" w:hAnsi="Palatino Linotype" w:cs="Palatino Linotype"/>
          <w:color w:val="000000"/>
          <w:sz w:val="22"/>
          <w:szCs w:val="22"/>
        </w:rPr>
        <w:t>: Instituciones Policiales, Procuración de Justicia, Sistema Penitenciario y dependencias encargadas de la seguridad pública a nivel estatal y municipal.</w:t>
      </w:r>
    </w:p>
    <w:p w14:paraId="028B1292" w14:textId="77777777" w:rsidR="00D603B6" w:rsidRDefault="00D603B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2C540A70"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puede deducir que la Secretaría de Seguridad, es una institución de seguridad pública, pues tiene como atribución principal, la prevención de delitos y proteger a las personas, sus propiedades, posesiones y derechos. 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desempeña funciones de mando), entre los cuales, se encuentra la Policía Municipal.</w:t>
      </w:r>
    </w:p>
    <w:p w14:paraId="2F21224A"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252D32D2"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se advierte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52037622"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9D7DA01"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8D34889"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C926005"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167A9F1F"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937331D"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5B0CAFB"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7A67EB4D"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7FBAED4B"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412E4E0F" w14:textId="77777777" w:rsidR="00D603B6" w:rsidRDefault="009F0248">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Por tales consideraciones, </w:t>
      </w:r>
      <w:r>
        <w:rPr>
          <w:rFonts w:ascii="Palatino Linotype" w:eastAsia="Palatino Linotype" w:hAnsi="Palatino Linotype" w:cs="Palatino Linotype"/>
          <w:b/>
          <w:bCs/>
          <w:color w:val="000000"/>
          <w:sz w:val="22"/>
          <w:szCs w:val="22"/>
        </w:rPr>
        <w:t>resulta procedente la reserva del nombre de los elementos operativos adscritos a la Secretaría de Seguridad, en términos del artículo 140, fracción IV, de la Ley de Transparencia y Acceso a la Información Pública del Estado de México y Municipios.</w:t>
      </w:r>
    </w:p>
    <w:p w14:paraId="28755A03"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390AE049"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14B1706"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68BF3E75" w14:textId="77777777" w:rsidR="00D603B6" w:rsidRDefault="009F02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divulgación de la información representa un riesgo real, demostrable e identificable de perjuicio significativo al interés público o a la seguridad nacional.</w:t>
      </w:r>
    </w:p>
    <w:p w14:paraId="0BCC0352" w14:textId="77777777" w:rsidR="00D603B6" w:rsidRDefault="009F02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riesgo de perjuicio supera el interés público general de que se difunda.</w:t>
      </w:r>
    </w:p>
    <w:p w14:paraId="2CA81B16" w14:textId="77777777" w:rsidR="00D603B6" w:rsidRDefault="009F024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Que la limitación se adecua al principio de proporcionalidad y representa el medio menos restrictivo disponible para evitar el perjuicio.</w:t>
      </w:r>
    </w:p>
    <w:p w14:paraId="4823DA9B"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22864E51"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el artículo 125 de la Ley de la materia, establece que la información clasificada como reservada según el artículo 140 de la Ley de Transparencia y Acceso a la Información </w:t>
      </w:r>
      <w:r>
        <w:rPr>
          <w:rFonts w:ascii="Palatino Linotype" w:eastAsia="Palatino Linotype" w:hAnsi="Palatino Linotype" w:cs="Palatino Linotype"/>
          <w:color w:val="000000"/>
          <w:sz w:val="22"/>
          <w:szCs w:val="22"/>
        </w:rPr>
        <w:lastRenderedPageBreak/>
        <w:t>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Secretaría de Seguridad, de manera fundada y motivada, mediante la respectiva prueba de daño, y deberá proporcionar la información del personal administrativo y mandos medios y superiores de dicha área.</w:t>
      </w:r>
    </w:p>
    <w:p w14:paraId="15774362"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1B60C4CB"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para atender el requerimiento deberá proporcionar los documentos señalados en la presente Resolución, en versión pública, tomando en consideración lo analizado en párrafos previos;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A6A7071" w14:textId="77777777" w:rsidR="00D603B6" w:rsidRDefault="00D603B6">
      <w:pPr>
        <w:spacing w:line="360" w:lineRule="auto"/>
        <w:jc w:val="both"/>
        <w:rPr>
          <w:rFonts w:ascii="Palatino Linotype" w:eastAsia="Palatino Linotype" w:hAnsi="Palatino Linotype" w:cs="Palatino Linotype"/>
          <w:sz w:val="22"/>
          <w:szCs w:val="22"/>
        </w:rPr>
      </w:pPr>
    </w:p>
    <w:p w14:paraId="106890F2" w14:textId="77777777" w:rsidR="00D603B6" w:rsidRDefault="009F0248">
      <w:pPr>
        <w:pStyle w:val="Ttulo2"/>
        <w:spacing w:before="0" w:after="0" w:line="360" w:lineRule="auto"/>
        <w:jc w:val="both"/>
        <w:rPr>
          <w:rFonts w:ascii="Palatino Linotype" w:eastAsia="Palatino Linotype" w:hAnsi="Palatino Linotype" w:cs="Palatino Linotype"/>
          <w:b/>
          <w:bCs/>
          <w:color w:val="000000"/>
          <w:sz w:val="22"/>
          <w:szCs w:val="22"/>
        </w:rPr>
      </w:pPr>
      <w:bookmarkStart w:id="14" w:name="_heading=h.elcajqb9obgt" w:colFirst="0" w:colLast="0"/>
      <w:bookmarkEnd w:id="14"/>
      <w:r>
        <w:rPr>
          <w:rFonts w:ascii="Palatino Linotype" w:eastAsia="Palatino Linotype" w:hAnsi="Palatino Linotype" w:cs="Palatino Linotype"/>
          <w:b/>
          <w:bCs/>
          <w:color w:val="000000"/>
          <w:sz w:val="22"/>
          <w:szCs w:val="22"/>
        </w:rPr>
        <w:t>SEXTO. Decisión</w:t>
      </w:r>
    </w:p>
    <w:p w14:paraId="168D4AFD" w14:textId="77777777" w:rsidR="00D603B6" w:rsidRDefault="00D603B6">
      <w:pPr>
        <w:spacing w:line="360" w:lineRule="auto"/>
        <w:jc w:val="both"/>
        <w:rPr>
          <w:rFonts w:ascii="Palatino Linotype" w:eastAsia="Palatino Linotype" w:hAnsi="Palatino Linotype" w:cs="Palatino Linotype"/>
          <w:b/>
          <w:bCs/>
          <w:sz w:val="22"/>
          <w:szCs w:val="22"/>
        </w:rPr>
      </w:pPr>
    </w:p>
    <w:p w14:paraId="458292CB"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 xml:space="preserve">REVOCAR </w:t>
      </w:r>
      <w:r>
        <w:rPr>
          <w:rFonts w:ascii="Palatino Linotype" w:eastAsia="Palatino Linotype" w:hAnsi="Palatino Linotype" w:cs="Palatino Linotype"/>
          <w:color w:val="000000"/>
          <w:sz w:val="22"/>
          <w:szCs w:val="22"/>
        </w:rPr>
        <w:t xml:space="preserve">las respuestas otorgadas por el Sujeto Obligado a las solicitudes de información </w:t>
      </w:r>
      <w:r>
        <w:rPr>
          <w:rFonts w:ascii="Palatino Linotype" w:eastAsia="Palatino Linotype" w:hAnsi="Palatino Linotype" w:cs="Palatino Linotype"/>
          <w:sz w:val="22"/>
          <w:szCs w:val="22"/>
        </w:rPr>
        <w:t xml:space="preserve">00457/SSEM/IP/2025, 00458/SSEM/IP/2025, 00459/SSEM/IP/2025, 00460/SSEM/IP/2025, </w:t>
      </w:r>
      <w:r>
        <w:rPr>
          <w:rFonts w:ascii="Palatino Linotype" w:eastAsia="Palatino Linotype" w:hAnsi="Palatino Linotype" w:cs="Palatino Linotype"/>
          <w:sz w:val="22"/>
          <w:szCs w:val="22"/>
        </w:rPr>
        <w:lastRenderedPageBreak/>
        <w:t>00461/SSEM/IP/2025, 00462/SEM/IP/2025, 00463/SSEM/IP/2025, 00464/SSEM/IP/2025, 00465/SSEM/IP/2025, 00466/SSEM/IP/2025, 00467/SSEM/IP/2025, 00468/SSEM/IP/2025, 00469/SSEM/IP/2025, 00470/SSEM/IP/2025, 00471/SSEM/IP/2025, 00472/SSEM/IP/2025, 00473/SSEM/IP/2025, 00474/SSEM/IP/2025 y 00475/SSEM/IP/2025</w:t>
      </w:r>
      <w:r>
        <w:rPr>
          <w:rFonts w:ascii="Palatino Linotype" w:eastAsia="Palatino Linotype" w:hAnsi="Palatino Linotype" w:cs="Palatino Linotype"/>
          <w:color w:val="000000"/>
          <w:sz w:val="22"/>
          <w:szCs w:val="22"/>
        </w:rPr>
        <w:t>, referente al recurso de revisión 11836/INFOEM/IP/RR/2025 y acumulados,  efecto de que previa búsqueda exhaustiva y razonable en los archivos de las áreas competentes, entregue el documento donde conste la información requerida.</w:t>
      </w:r>
    </w:p>
    <w:p w14:paraId="3D464924" w14:textId="77777777" w:rsidR="00D603B6" w:rsidRDefault="00D603B6">
      <w:pPr>
        <w:spacing w:line="360" w:lineRule="auto"/>
        <w:jc w:val="both"/>
        <w:rPr>
          <w:rFonts w:ascii="Palatino Linotype" w:eastAsia="Palatino Linotype" w:hAnsi="Palatino Linotype" w:cs="Palatino Linotype"/>
          <w:sz w:val="22"/>
          <w:szCs w:val="22"/>
        </w:rPr>
      </w:pPr>
    </w:p>
    <w:p w14:paraId="4C70CA49" w14:textId="77777777" w:rsidR="00D603B6" w:rsidRDefault="009F0248">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1E0D350D" w14:textId="77777777" w:rsidR="00D603B6" w:rsidRDefault="00D603B6">
      <w:pPr>
        <w:spacing w:line="360" w:lineRule="auto"/>
        <w:jc w:val="both"/>
        <w:rPr>
          <w:rFonts w:ascii="Palatino Linotype" w:eastAsia="Palatino Linotype" w:hAnsi="Palatino Linotype" w:cs="Palatino Linotype"/>
          <w:b/>
          <w:bCs/>
          <w:sz w:val="22"/>
          <w:szCs w:val="22"/>
        </w:rPr>
      </w:pPr>
    </w:p>
    <w:p w14:paraId="7BB90817"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le hace del conocimiento a la persona Recurrente que, en el presente asunto, se le da la  razón, pues el Sujeto Obligado no proporcionó documento alguno que diera cuenta de las  remuneraciones brutas y netas del personal adscrito, por lo que, deberá entregar dicha información. La labor del Instituto es apoyar a la población a acceder a la información pública y garantizar la protección de sus datos personales.</w:t>
      </w:r>
    </w:p>
    <w:p w14:paraId="0478486E" w14:textId="77777777" w:rsidR="00D603B6" w:rsidRDefault="00D603B6">
      <w:pPr>
        <w:spacing w:line="360" w:lineRule="auto"/>
        <w:jc w:val="both"/>
        <w:rPr>
          <w:rFonts w:ascii="Palatino Linotype" w:eastAsia="Palatino Linotype" w:hAnsi="Palatino Linotype" w:cs="Palatino Linotype"/>
          <w:color w:val="000000"/>
          <w:sz w:val="22"/>
          <w:szCs w:val="22"/>
        </w:rPr>
      </w:pPr>
    </w:p>
    <w:p w14:paraId="157F50FF"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14:paraId="5053007B" w14:textId="77777777" w:rsidR="00D603B6" w:rsidRDefault="00D603B6">
      <w:pPr>
        <w:spacing w:line="360" w:lineRule="auto"/>
        <w:jc w:val="both"/>
        <w:rPr>
          <w:rFonts w:ascii="Palatino Linotype" w:eastAsia="Palatino Linotype" w:hAnsi="Palatino Linotype" w:cs="Palatino Linotype"/>
          <w:sz w:val="22"/>
          <w:szCs w:val="22"/>
        </w:rPr>
      </w:pPr>
    </w:p>
    <w:p w14:paraId="1B465138" w14:textId="77777777" w:rsidR="00D603B6" w:rsidRDefault="009F0248">
      <w:pPr>
        <w:pStyle w:val="Ttulo1"/>
        <w:spacing w:before="0" w:after="0" w:line="360" w:lineRule="auto"/>
        <w:jc w:val="center"/>
        <w:rPr>
          <w:rFonts w:ascii="Palatino Linotype" w:eastAsia="Palatino Linotype" w:hAnsi="Palatino Linotype" w:cs="Palatino Linotype"/>
          <w:b/>
          <w:bCs/>
          <w:color w:val="000000"/>
          <w:sz w:val="22"/>
          <w:szCs w:val="22"/>
        </w:rPr>
      </w:pPr>
      <w:bookmarkStart w:id="15" w:name="_heading=h.rfjgqrtysvv7" w:colFirst="0" w:colLast="0"/>
      <w:bookmarkEnd w:id="15"/>
      <w:r>
        <w:rPr>
          <w:rFonts w:ascii="Palatino Linotype" w:eastAsia="Palatino Linotype" w:hAnsi="Palatino Linotype" w:cs="Palatino Linotype"/>
          <w:b/>
          <w:bCs/>
          <w:color w:val="000000"/>
          <w:sz w:val="22"/>
          <w:szCs w:val="22"/>
        </w:rPr>
        <w:t>R E S U E L V E</w:t>
      </w:r>
    </w:p>
    <w:p w14:paraId="73A67F59" w14:textId="77777777" w:rsidR="00D603B6" w:rsidRDefault="00D603B6">
      <w:pPr>
        <w:spacing w:line="360" w:lineRule="auto"/>
        <w:ind w:right="-91"/>
        <w:jc w:val="both"/>
        <w:rPr>
          <w:rFonts w:ascii="Palatino Linotype" w:eastAsia="Palatino Linotype" w:hAnsi="Palatino Linotype" w:cs="Palatino Linotype"/>
          <w:b/>
          <w:bCs/>
          <w:sz w:val="22"/>
          <w:szCs w:val="22"/>
        </w:rPr>
      </w:pPr>
    </w:p>
    <w:p w14:paraId="55706767"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PRIMERO. Se REVOCA </w:t>
      </w:r>
      <w:r>
        <w:rPr>
          <w:rFonts w:ascii="Palatino Linotype" w:eastAsia="Palatino Linotype" w:hAnsi="Palatino Linotype" w:cs="Palatino Linotype"/>
          <w:color w:val="000000"/>
          <w:sz w:val="22"/>
          <w:szCs w:val="22"/>
        </w:rPr>
        <w:t xml:space="preserve">la respuesta entregada por la Secretaría de Seguridad, a las solicitudes de información </w:t>
      </w:r>
      <w:r>
        <w:rPr>
          <w:rFonts w:ascii="Palatino Linotype" w:eastAsia="Palatino Linotype" w:hAnsi="Palatino Linotype" w:cs="Palatino Linotype"/>
          <w:sz w:val="22"/>
          <w:szCs w:val="22"/>
        </w:rPr>
        <w:t>00457/SSEM/IP/2025, 00458/SSEM/IP/2025, 00459/SSEM/IP/2025, 00460/SSEM/IP/2025, 00461/SSEM/IP/2025, 00462/SEM/IP/2025, 00463/SSEM/IP/2025, 00464/SSEM/IP/2025, 00465/SSEM/IP/2025, 00466/SSEM/IP/2025, 00467/SSEM/IP/2025, 00468/SSEM/IP/2025, 00469/SSEM/IP/2025, 00470/SSEM/IP/2025, 00471/SSEM/IP/2025, 00472/SSEM/IP/2025, 00473/SSEM/IP/2025, 00474/SSEM/IP/2025 y 00475/SSEM/IP/2025</w:t>
      </w:r>
      <w:r>
        <w:rPr>
          <w:rFonts w:ascii="Palatino Linotype" w:eastAsia="Palatino Linotype" w:hAnsi="Palatino Linotype" w:cs="Palatino Linotype"/>
          <w:color w:val="000000"/>
          <w:sz w:val="22"/>
          <w:szCs w:val="22"/>
        </w:rPr>
        <w:t xml:space="preserve">, por </w:t>
      </w:r>
      <w:r>
        <w:rPr>
          <w:rFonts w:ascii="Palatino Linotype" w:eastAsia="Palatino Linotype" w:hAnsi="Palatino Linotype" w:cs="Palatino Linotype"/>
          <w:color w:val="000000"/>
          <w:sz w:val="22"/>
          <w:szCs w:val="22"/>
        </w:rPr>
        <w:lastRenderedPageBreak/>
        <w:t xml:space="preserve">resultar </w:t>
      </w:r>
      <w:r>
        <w:rPr>
          <w:rFonts w:ascii="Palatino Linotype" w:eastAsia="Palatino Linotype" w:hAnsi="Palatino Linotype" w:cs="Palatino Linotype"/>
          <w:b/>
          <w:bCs/>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la persona Recurrente, en términos de los considerandos </w:t>
      </w:r>
      <w:r>
        <w:rPr>
          <w:rFonts w:ascii="Palatino Linotype" w:eastAsia="Palatino Linotype" w:hAnsi="Palatino Linotype" w:cs="Palatino Linotype"/>
          <w:b/>
          <w:bCs/>
          <w:color w:val="000000"/>
          <w:sz w:val="22"/>
          <w:szCs w:val="22"/>
        </w:rPr>
        <w:t>QUINTO y SEXTO</w:t>
      </w:r>
      <w:r>
        <w:rPr>
          <w:rFonts w:ascii="Palatino Linotype" w:eastAsia="Palatino Linotype" w:hAnsi="Palatino Linotype" w:cs="Palatino Linotype"/>
          <w:color w:val="000000"/>
          <w:sz w:val="22"/>
          <w:szCs w:val="22"/>
        </w:rPr>
        <w:t xml:space="preserve"> de la presente Resolución.</w:t>
      </w:r>
    </w:p>
    <w:p w14:paraId="543BADD0" w14:textId="77777777" w:rsidR="00D603B6" w:rsidRDefault="00D603B6">
      <w:pPr>
        <w:spacing w:line="360" w:lineRule="auto"/>
        <w:jc w:val="both"/>
        <w:rPr>
          <w:rFonts w:ascii="Palatino Linotype" w:eastAsia="Palatino Linotype" w:hAnsi="Palatino Linotype" w:cs="Palatino Linotype"/>
          <w:b/>
          <w:bCs/>
          <w:color w:val="000000"/>
          <w:sz w:val="22"/>
          <w:szCs w:val="22"/>
        </w:rPr>
      </w:pPr>
    </w:p>
    <w:p w14:paraId="1087E4C6"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SEGUNDO. Se 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versión pública, el documento donde conste lo siguiente:</w:t>
      </w:r>
    </w:p>
    <w:p w14:paraId="48603C19" w14:textId="77777777" w:rsidR="00D603B6" w:rsidRDefault="009F0248">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b/>
      </w:r>
    </w:p>
    <w:p w14:paraId="2EEE5F74" w14:textId="77777777" w:rsidR="00D603B6" w:rsidRDefault="009F024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remuneraciones pagadas a todos los servidores públicos adscritos a la Secretaría de Seguridad, de la primera quincena de marzo de dos mil veintitrés a la segunda de septiembre de dos mil veinticuatro.</w:t>
      </w:r>
    </w:p>
    <w:p w14:paraId="09D0ACDA" w14:textId="77777777" w:rsidR="00D603B6" w:rsidRDefault="00D603B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2583D427"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4D6EB568" w14:textId="77777777" w:rsidR="00D603B6" w:rsidRDefault="00D603B6">
      <w:pPr>
        <w:spacing w:line="360" w:lineRule="auto"/>
        <w:jc w:val="both"/>
        <w:rPr>
          <w:rFonts w:ascii="Palatino Linotype" w:eastAsia="Palatino Linotype" w:hAnsi="Palatino Linotype" w:cs="Palatino Linotype"/>
          <w:b/>
          <w:bCs/>
          <w:color w:val="000000"/>
          <w:sz w:val="22"/>
          <w:szCs w:val="22"/>
        </w:rPr>
      </w:pPr>
    </w:p>
    <w:p w14:paraId="2B323D6F" w14:textId="77777777" w:rsidR="00D603B6" w:rsidRDefault="009F024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 xml:space="preserve">TERCERO.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416B9F52" w14:textId="77777777" w:rsidR="00D603B6" w:rsidRDefault="00D603B6">
      <w:pPr>
        <w:spacing w:line="360" w:lineRule="auto"/>
        <w:ind w:right="-28"/>
        <w:jc w:val="both"/>
        <w:rPr>
          <w:rFonts w:ascii="Palatino Linotype" w:eastAsia="Palatino Linotype" w:hAnsi="Palatino Linotype" w:cs="Palatino Linotype"/>
          <w:sz w:val="22"/>
          <w:szCs w:val="22"/>
        </w:rPr>
      </w:pPr>
    </w:p>
    <w:p w14:paraId="58CBD804" w14:textId="77777777" w:rsidR="00D603B6" w:rsidRDefault="009F0248">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14:paraId="1F2AF962" w14:textId="77777777" w:rsidR="00D603B6" w:rsidRDefault="00D603B6">
      <w:pPr>
        <w:spacing w:line="360" w:lineRule="auto"/>
        <w:jc w:val="both"/>
        <w:rPr>
          <w:rFonts w:ascii="Palatino Linotype" w:eastAsia="Palatino Linotype" w:hAnsi="Palatino Linotype" w:cs="Palatino Linotype"/>
          <w:b/>
          <w:bCs/>
          <w:color w:val="000000"/>
          <w:sz w:val="22"/>
          <w:szCs w:val="22"/>
        </w:rPr>
      </w:pPr>
    </w:p>
    <w:p w14:paraId="4EADD59B" w14:textId="77777777" w:rsidR="00D603B6" w:rsidRDefault="009F0248">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CUARTO. NOTIFÍQUESE POR SAIMEX </w:t>
      </w:r>
      <w:r>
        <w:rPr>
          <w:rFonts w:ascii="Palatino Linotype" w:eastAsia="Palatino Linotype" w:hAnsi="Palatino Linotype" w:cs="Palatino Linotype"/>
          <w:color w:val="000000"/>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7DE86D34" w14:textId="77777777" w:rsidR="00D603B6" w:rsidRDefault="00D603B6">
      <w:pPr>
        <w:spacing w:line="360" w:lineRule="auto"/>
        <w:jc w:val="both"/>
        <w:rPr>
          <w:rFonts w:ascii="Palatino Linotype" w:eastAsia="Palatino Linotype" w:hAnsi="Palatino Linotype" w:cs="Palatino Linotype"/>
          <w:b/>
          <w:bCs/>
          <w:color w:val="000000"/>
          <w:sz w:val="22"/>
          <w:szCs w:val="22"/>
        </w:rPr>
      </w:pPr>
    </w:p>
    <w:p w14:paraId="58B2522F" w14:textId="77777777" w:rsidR="00D603B6" w:rsidRDefault="009F024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FB7E8D">
        <w:rPr>
          <w:rFonts w:ascii="Palatino Linotype" w:eastAsia="Palatino Linotype" w:hAnsi="Palatino Linotype" w:cs="Palatino Linotype"/>
          <w:sz w:val="22"/>
          <w:szCs w:val="22"/>
        </w:rPr>
        <w:t>CON VOTO PARTICULA</w:t>
      </w:r>
      <w:r w:rsidR="00776859">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Y GUADALUPE RAMÍREZ PEÑ</w:t>
      </w:r>
      <w:r>
        <w:rPr>
          <w:rFonts w:ascii="Palatino Linotype" w:eastAsia="Palatino Linotype" w:hAnsi="Palatino Linotype" w:cs="Palatino Linotype"/>
          <w:sz w:val="22"/>
          <w:szCs w:val="22"/>
        </w:rPr>
        <w:t>A CON VOTO PARTICULAR</w:t>
      </w:r>
      <w:r w:rsidR="00776859">
        <w:rPr>
          <w:rFonts w:ascii="Palatino Linotype" w:eastAsia="Palatino Linotype" w:hAnsi="Palatino Linotype" w:cs="Palatino Linotype"/>
          <w:sz w:val="22"/>
          <w:szCs w:val="22"/>
        </w:rPr>
        <w:t>)</w:t>
      </w:r>
      <w:r>
        <w:rPr>
          <w:rFonts w:ascii="Palatino Linotype" w:eastAsia="Palatino Linotype" w:hAnsi="Palatino Linotype" w:cs="Palatino Linotype"/>
          <w:color w:val="000000"/>
          <w:sz w:val="22"/>
          <w:szCs w:val="22"/>
        </w:rPr>
        <w:t xml:space="preserve">, EN LA </w:t>
      </w:r>
      <w:r>
        <w:rPr>
          <w:rFonts w:ascii="Palatino Linotype" w:eastAsia="Palatino Linotype" w:hAnsi="Palatino Linotype" w:cs="Palatino Linotype"/>
          <w:sz w:val="22"/>
          <w:szCs w:val="22"/>
        </w:rPr>
        <w:t>CUADRAGÉSIMA</w:t>
      </w:r>
      <w:r>
        <w:rPr>
          <w:rFonts w:ascii="Palatino Linotype" w:eastAsia="Palatino Linotype" w:hAnsi="Palatino Linotype" w:cs="Palatino Linotype"/>
          <w:color w:val="000000"/>
          <w:sz w:val="22"/>
          <w:szCs w:val="22"/>
        </w:rPr>
        <w:t xml:space="preserve"> SEGUNDA SESIÓN ORDINARIA, CELEBRADA EL  VEINTICINCO DE NOVIEMBRE DE DOS MIL VEINTICINCO, ANTE EL SECRETARIO TÉCNICO DEL PLENO, ALEXIS TAPIA RAMÍREZ.</w:t>
      </w:r>
    </w:p>
    <w:p w14:paraId="4C07BD4D" w14:textId="77777777" w:rsidR="00D603B6" w:rsidRDefault="00D603B6">
      <w:pPr>
        <w:spacing w:line="360" w:lineRule="auto"/>
        <w:rPr>
          <w:rFonts w:ascii="Palatino Linotype" w:eastAsia="Palatino Linotype" w:hAnsi="Palatino Linotype" w:cs="Palatino Linotype"/>
        </w:rPr>
      </w:pPr>
    </w:p>
    <w:p w14:paraId="5FF5FFD9" w14:textId="77777777" w:rsidR="00D603B6" w:rsidRDefault="00D603B6">
      <w:pPr>
        <w:spacing w:line="360" w:lineRule="auto"/>
        <w:rPr>
          <w:rFonts w:ascii="Palatino Linotype" w:eastAsia="Palatino Linotype" w:hAnsi="Palatino Linotype" w:cs="Palatino Linotype"/>
        </w:rPr>
      </w:pPr>
    </w:p>
    <w:p w14:paraId="7B650F9B" w14:textId="77777777" w:rsidR="00D603B6" w:rsidRDefault="00D603B6">
      <w:pPr>
        <w:spacing w:line="360" w:lineRule="auto"/>
        <w:rPr>
          <w:rFonts w:ascii="Palatino Linotype" w:eastAsia="Palatino Linotype" w:hAnsi="Palatino Linotype" w:cs="Palatino Linotype"/>
        </w:rPr>
      </w:pPr>
    </w:p>
    <w:p w14:paraId="6F149D19" w14:textId="77777777" w:rsidR="00D603B6" w:rsidRDefault="00D603B6">
      <w:pPr>
        <w:spacing w:line="360" w:lineRule="auto"/>
        <w:rPr>
          <w:rFonts w:ascii="Palatino Linotype" w:eastAsia="Palatino Linotype" w:hAnsi="Palatino Linotype" w:cs="Palatino Linotype"/>
        </w:rPr>
      </w:pPr>
    </w:p>
    <w:p w14:paraId="04DBC897" w14:textId="77777777" w:rsidR="00D603B6" w:rsidRDefault="00D603B6">
      <w:pPr>
        <w:spacing w:line="360" w:lineRule="auto"/>
        <w:rPr>
          <w:rFonts w:ascii="Palatino Linotype" w:eastAsia="Palatino Linotype" w:hAnsi="Palatino Linotype" w:cs="Palatino Linotype"/>
        </w:rPr>
      </w:pPr>
    </w:p>
    <w:p w14:paraId="7EAAE9BF" w14:textId="77777777" w:rsidR="00D603B6" w:rsidRDefault="00D603B6">
      <w:pPr>
        <w:spacing w:line="360" w:lineRule="auto"/>
        <w:rPr>
          <w:rFonts w:ascii="Palatino Linotype" w:eastAsia="Palatino Linotype" w:hAnsi="Palatino Linotype" w:cs="Palatino Linotype"/>
        </w:rPr>
      </w:pPr>
    </w:p>
    <w:p w14:paraId="7DD63A9F" w14:textId="77777777" w:rsidR="00D603B6" w:rsidRDefault="00D603B6">
      <w:pPr>
        <w:spacing w:line="360" w:lineRule="auto"/>
        <w:rPr>
          <w:rFonts w:ascii="Palatino Linotype" w:eastAsia="Palatino Linotype" w:hAnsi="Palatino Linotype" w:cs="Palatino Linotype"/>
        </w:rPr>
      </w:pPr>
    </w:p>
    <w:p w14:paraId="1E93D7E1" w14:textId="77777777" w:rsidR="00D603B6" w:rsidRDefault="00D603B6">
      <w:pPr>
        <w:spacing w:line="360" w:lineRule="auto"/>
        <w:rPr>
          <w:rFonts w:ascii="Palatino Linotype" w:eastAsia="Palatino Linotype" w:hAnsi="Palatino Linotype" w:cs="Palatino Linotype"/>
        </w:rPr>
      </w:pPr>
    </w:p>
    <w:p w14:paraId="28CD9ECB" w14:textId="77777777" w:rsidR="00D603B6" w:rsidRDefault="00D603B6">
      <w:pPr>
        <w:spacing w:line="360" w:lineRule="auto"/>
        <w:rPr>
          <w:rFonts w:ascii="Palatino Linotype" w:eastAsia="Palatino Linotype" w:hAnsi="Palatino Linotype" w:cs="Palatino Linotype"/>
        </w:rPr>
      </w:pPr>
    </w:p>
    <w:p w14:paraId="7351933B" w14:textId="77777777" w:rsidR="00D603B6" w:rsidRDefault="00D603B6">
      <w:pPr>
        <w:spacing w:line="360" w:lineRule="auto"/>
        <w:rPr>
          <w:rFonts w:ascii="Palatino Linotype" w:eastAsia="Palatino Linotype" w:hAnsi="Palatino Linotype" w:cs="Palatino Linotype"/>
        </w:rPr>
      </w:pPr>
    </w:p>
    <w:p w14:paraId="1B8A3533" w14:textId="77777777" w:rsidR="00D603B6" w:rsidRDefault="00D603B6">
      <w:pPr>
        <w:spacing w:line="360" w:lineRule="auto"/>
        <w:rPr>
          <w:rFonts w:ascii="Palatino Linotype" w:eastAsia="Palatino Linotype" w:hAnsi="Palatino Linotype" w:cs="Palatino Linotype"/>
        </w:rPr>
      </w:pPr>
    </w:p>
    <w:p w14:paraId="20279542" w14:textId="77777777" w:rsidR="00D603B6" w:rsidRDefault="00D603B6">
      <w:pPr>
        <w:spacing w:line="360" w:lineRule="auto"/>
        <w:rPr>
          <w:rFonts w:ascii="Palatino Linotype" w:eastAsia="Palatino Linotype" w:hAnsi="Palatino Linotype" w:cs="Palatino Linotype"/>
        </w:rPr>
      </w:pPr>
    </w:p>
    <w:p w14:paraId="2995D381" w14:textId="77777777" w:rsidR="00D603B6" w:rsidRDefault="00D603B6">
      <w:pPr>
        <w:spacing w:line="360" w:lineRule="auto"/>
        <w:rPr>
          <w:rFonts w:ascii="Palatino Linotype" w:eastAsia="Palatino Linotype" w:hAnsi="Palatino Linotype" w:cs="Palatino Linotype"/>
        </w:rPr>
      </w:pPr>
    </w:p>
    <w:p w14:paraId="73DFBD1F" w14:textId="77777777" w:rsidR="00D603B6" w:rsidRDefault="00D603B6">
      <w:pPr>
        <w:spacing w:line="360" w:lineRule="auto"/>
        <w:rPr>
          <w:rFonts w:ascii="Palatino Linotype" w:eastAsia="Palatino Linotype" w:hAnsi="Palatino Linotype" w:cs="Palatino Linotype"/>
        </w:rPr>
      </w:pPr>
    </w:p>
    <w:p w14:paraId="6967567B" w14:textId="77777777" w:rsidR="00D603B6" w:rsidRDefault="00D603B6">
      <w:pPr>
        <w:spacing w:line="360" w:lineRule="auto"/>
        <w:rPr>
          <w:rFonts w:ascii="Palatino Linotype" w:eastAsia="Palatino Linotype" w:hAnsi="Palatino Linotype" w:cs="Palatino Linotype"/>
        </w:rPr>
      </w:pPr>
    </w:p>
    <w:p w14:paraId="3C6D8F37" w14:textId="77777777" w:rsidR="00D603B6" w:rsidRDefault="00D603B6">
      <w:pPr>
        <w:spacing w:line="360" w:lineRule="auto"/>
        <w:rPr>
          <w:rFonts w:ascii="Palatino Linotype" w:eastAsia="Palatino Linotype" w:hAnsi="Palatino Linotype" w:cs="Palatino Linotype"/>
        </w:rPr>
      </w:pPr>
    </w:p>
    <w:p w14:paraId="521C0559" w14:textId="77777777" w:rsidR="00D603B6" w:rsidRDefault="00D603B6">
      <w:pPr>
        <w:spacing w:line="360" w:lineRule="auto"/>
        <w:rPr>
          <w:rFonts w:ascii="Palatino Linotype" w:eastAsia="Palatino Linotype" w:hAnsi="Palatino Linotype" w:cs="Palatino Linotype"/>
        </w:rPr>
      </w:pPr>
    </w:p>
    <w:p w14:paraId="18061568" w14:textId="77777777" w:rsidR="00D603B6" w:rsidRDefault="00D603B6">
      <w:pPr>
        <w:spacing w:line="360" w:lineRule="auto"/>
        <w:rPr>
          <w:rFonts w:ascii="Palatino Linotype" w:eastAsia="Palatino Linotype" w:hAnsi="Palatino Linotype" w:cs="Palatino Linotype"/>
        </w:rPr>
      </w:pPr>
    </w:p>
    <w:p w14:paraId="3C6FE3BD" w14:textId="77777777" w:rsidR="00D603B6" w:rsidRDefault="00D603B6">
      <w:pPr>
        <w:spacing w:line="360" w:lineRule="auto"/>
        <w:rPr>
          <w:rFonts w:ascii="Palatino Linotype" w:eastAsia="Palatino Linotype" w:hAnsi="Palatino Linotype" w:cs="Palatino Linotype"/>
        </w:rPr>
      </w:pPr>
    </w:p>
    <w:p w14:paraId="2B80A2E7" w14:textId="77777777" w:rsidR="00D603B6" w:rsidRDefault="00D603B6">
      <w:pPr>
        <w:spacing w:line="360" w:lineRule="auto"/>
        <w:rPr>
          <w:rFonts w:ascii="Palatino Linotype" w:eastAsia="Palatino Linotype" w:hAnsi="Palatino Linotype" w:cs="Palatino Linotype"/>
        </w:rPr>
      </w:pPr>
    </w:p>
    <w:p w14:paraId="00F63836" w14:textId="77777777" w:rsidR="00D603B6" w:rsidRDefault="00D603B6">
      <w:pPr>
        <w:spacing w:line="360" w:lineRule="auto"/>
        <w:rPr>
          <w:rFonts w:ascii="Palatino Linotype" w:eastAsia="Palatino Linotype" w:hAnsi="Palatino Linotype" w:cs="Palatino Linotype"/>
        </w:rPr>
      </w:pPr>
    </w:p>
    <w:p w14:paraId="00D71D41" w14:textId="77777777" w:rsidR="00D603B6" w:rsidRDefault="00D603B6">
      <w:pPr>
        <w:spacing w:line="360" w:lineRule="auto"/>
      </w:pPr>
    </w:p>
    <w:p w14:paraId="5789EB7A" w14:textId="77777777" w:rsidR="00D603B6" w:rsidRDefault="00D603B6">
      <w:pPr>
        <w:spacing w:line="360" w:lineRule="auto"/>
      </w:pPr>
    </w:p>
    <w:p w14:paraId="611B9ABE" w14:textId="77777777" w:rsidR="00D603B6" w:rsidRDefault="00D603B6">
      <w:pPr>
        <w:spacing w:line="360" w:lineRule="auto"/>
      </w:pPr>
    </w:p>
    <w:p w14:paraId="7B0C606F" w14:textId="77777777" w:rsidR="00D603B6" w:rsidRDefault="00D603B6">
      <w:pPr>
        <w:spacing w:line="360" w:lineRule="auto"/>
      </w:pPr>
    </w:p>
    <w:p w14:paraId="24DC745E" w14:textId="77777777" w:rsidR="00D603B6" w:rsidRDefault="00D603B6">
      <w:pPr>
        <w:spacing w:line="360" w:lineRule="auto"/>
      </w:pPr>
    </w:p>
    <w:p w14:paraId="3868FF4F" w14:textId="77777777" w:rsidR="00D603B6" w:rsidRDefault="00D603B6">
      <w:pPr>
        <w:spacing w:line="360" w:lineRule="auto"/>
      </w:pPr>
    </w:p>
    <w:p w14:paraId="2F174647" w14:textId="77777777" w:rsidR="00D603B6" w:rsidRDefault="00D603B6">
      <w:pPr>
        <w:spacing w:line="360" w:lineRule="auto"/>
      </w:pPr>
    </w:p>
    <w:p w14:paraId="2AEFDDB2" w14:textId="77777777" w:rsidR="00D603B6" w:rsidRDefault="00D603B6"/>
    <w:p w14:paraId="4F18CF94" w14:textId="77777777" w:rsidR="00D603B6" w:rsidRDefault="00D603B6"/>
    <w:sectPr w:rsidR="00D603B6">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7E9A3" w14:textId="77777777" w:rsidR="009674AB" w:rsidRDefault="009674AB">
      <w:r>
        <w:separator/>
      </w:r>
    </w:p>
  </w:endnote>
  <w:endnote w:type="continuationSeparator" w:id="0">
    <w:p w14:paraId="020A8197" w14:textId="77777777" w:rsidR="009674AB" w:rsidRDefault="00967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5DC02061-0A99-43F3-8382-28038FEEC6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EE609DA-2162-46B2-A614-E61EECAC5E45}"/>
  </w:font>
  <w:font w:name="Calibri Light">
    <w:panose1 w:val="020F0302020204030204"/>
    <w:charset w:val="00"/>
    <w:family w:val="swiss"/>
    <w:pitch w:val="variable"/>
    <w:sig w:usb0="E4002EFF" w:usb1="C200247B" w:usb2="00000009" w:usb3="00000000" w:csb0="000001FF" w:csb1="00000000"/>
    <w:embedRegular r:id="rId3" w:fontKey="{17CFD1E6-DE4A-4319-85CA-01818049D6A6}"/>
  </w:font>
  <w:font w:name="Georgia">
    <w:panose1 w:val="02040502050405020303"/>
    <w:charset w:val="00"/>
    <w:family w:val="roman"/>
    <w:pitch w:val="variable"/>
    <w:sig w:usb0="00000287" w:usb1="00000000" w:usb2="00000000" w:usb3="00000000" w:csb0="0000009F" w:csb1="00000000"/>
    <w:embedItalic r:id="rId4" w:fontKey="{8385790F-9E62-4C75-83DE-2F15D6AB62A8}"/>
  </w:font>
  <w:font w:name="Palatino Linotype">
    <w:panose1 w:val="02040502050505030304"/>
    <w:charset w:val="00"/>
    <w:family w:val="roman"/>
    <w:pitch w:val="variable"/>
    <w:sig w:usb0="E0000287" w:usb1="40000013" w:usb2="00000000" w:usb3="00000000" w:csb0="0000019F" w:csb1="00000000"/>
    <w:embedRegular r:id="rId5" w:fontKey="{7F029400-9641-41EA-B158-04F774922D7D}"/>
    <w:embedBold r:id="rId6" w:fontKey="{00FF86F0-DD00-47B0-B9B1-BFB9E85FE24C}"/>
    <w:embedItalic r:id="rId7" w:fontKey="{1B1D488F-9720-4B2E-82DB-114284957379}"/>
    <w:embedBoldItalic r:id="rId8" w:fontKey="{314331B2-7641-46D5-8220-EBBE8D2D4FC7}"/>
  </w:font>
  <w:font w:name="Garamond">
    <w:panose1 w:val="02020404030301010803"/>
    <w:charset w:val="00"/>
    <w:family w:val="roman"/>
    <w:pitch w:val="variable"/>
    <w:sig w:usb0="00000287" w:usb1="00000000" w:usb2="00000000" w:usb3="00000000" w:csb0="0000009F" w:csb1="00000000"/>
    <w:embedRegular r:id="rId9" w:fontKey="{952C5733-71F5-430B-936C-4710829468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C960" w14:textId="77777777" w:rsidR="00D603B6" w:rsidRDefault="009F0248">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A3BA6">
      <w:rPr>
        <w:rFonts w:ascii="Palatino Linotype" w:eastAsia="Palatino Linotype" w:hAnsi="Palatino Linotype" w:cs="Palatino Linotype"/>
        <w:b/>
        <w:bCs/>
        <w:noProof/>
        <w:color w:val="000000"/>
        <w:sz w:val="22"/>
        <w:szCs w:val="22"/>
      </w:rPr>
      <w:t>35</w:t>
    </w:r>
    <w:r>
      <w:rPr>
        <w:rFonts w:ascii="Palatino Linotype" w:eastAsia="Palatino Linotype" w:hAnsi="Palatino Linotype" w:cs="Palatino Linotype"/>
        <w:b/>
        <w:bCs/>
        <w:color w:val="000000"/>
        <w:sz w:val="22"/>
        <w:szCs w:val="22"/>
      </w:rPr>
      <w:fldChar w:fldCharType="end"/>
    </w:r>
  </w:p>
  <w:p w14:paraId="4C7946E2" w14:textId="77777777" w:rsidR="00D603B6" w:rsidRDefault="00D603B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CB04" w14:textId="77777777" w:rsidR="00D603B6" w:rsidRDefault="009F0248">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BA3BA6">
      <w:rPr>
        <w:rFonts w:ascii="Palatino Linotype" w:eastAsia="Palatino Linotype" w:hAnsi="Palatino Linotype" w:cs="Palatino Linotype"/>
        <w:b/>
        <w:bCs/>
        <w:noProof/>
        <w:color w:val="000000"/>
        <w:sz w:val="22"/>
        <w:szCs w:val="22"/>
      </w:rPr>
      <w:t>34</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A3BA6">
      <w:rPr>
        <w:rFonts w:ascii="Palatino Linotype" w:eastAsia="Palatino Linotype" w:hAnsi="Palatino Linotype" w:cs="Palatino Linotype"/>
        <w:b/>
        <w:bCs/>
        <w:noProof/>
        <w:color w:val="000000"/>
        <w:sz w:val="22"/>
        <w:szCs w:val="22"/>
      </w:rPr>
      <w:t>35</w:t>
    </w:r>
    <w:r>
      <w:rPr>
        <w:rFonts w:ascii="Palatino Linotype" w:eastAsia="Palatino Linotype" w:hAnsi="Palatino Linotype" w:cs="Palatino Linotype"/>
        <w:b/>
        <w:bCs/>
        <w:color w:val="000000"/>
        <w:sz w:val="22"/>
        <w:szCs w:val="22"/>
      </w:rPr>
      <w:fldChar w:fldCharType="end"/>
    </w:r>
  </w:p>
  <w:p w14:paraId="31491A2B" w14:textId="77777777" w:rsidR="00D603B6" w:rsidRDefault="00D603B6">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AE85" w14:textId="77777777" w:rsidR="00D603B6" w:rsidRDefault="009F024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BA3BA6">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A3BA6">
      <w:rPr>
        <w:rFonts w:ascii="Palatino Linotype" w:eastAsia="Palatino Linotype" w:hAnsi="Palatino Linotype" w:cs="Palatino Linotype"/>
        <w:b/>
        <w:bCs/>
        <w:noProof/>
        <w:color w:val="000000"/>
        <w:sz w:val="22"/>
        <w:szCs w:val="22"/>
      </w:rPr>
      <w:t>35</w:t>
    </w:r>
    <w:r>
      <w:rPr>
        <w:rFonts w:ascii="Palatino Linotype" w:eastAsia="Palatino Linotype" w:hAnsi="Palatino Linotype" w:cs="Palatino Linotype"/>
        <w:b/>
        <w:bCs/>
        <w:color w:val="000000"/>
        <w:sz w:val="22"/>
        <w:szCs w:val="22"/>
      </w:rPr>
      <w:fldChar w:fldCharType="end"/>
    </w:r>
  </w:p>
  <w:p w14:paraId="0F2EF2FF" w14:textId="77777777" w:rsidR="00D603B6" w:rsidRDefault="00D603B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62872" w14:textId="77777777" w:rsidR="009674AB" w:rsidRDefault="009674AB">
      <w:r>
        <w:separator/>
      </w:r>
    </w:p>
  </w:footnote>
  <w:footnote w:type="continuationSeparator" w:id="0">
    <w:p w14:paraId="304E67C6" w14:textId="77777777" w:rsidR="009674AB" w:rsidRDefault="00967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E81CE" w14:textId="77777777" w:rsidR="00D603B6" w:rsidRDefault="00D603B6">
    <w:pPr>
      <w:widowControl w:val="0"/>
      <w:pBdr>
        <w:top w:val="nil"/>
        <w:left w:val="nil"/>
        <w:bottom w:val="nil"/>
        <w:right w:val="nil"/>
        <w:between w:val="nil"/>
      </w:pBdr>
      <w:spacing w:line="276" w:lineRule="auto"/>
    </w:pPr>
  </w:p>
  <w:tbl>
    <w:tblPr>
      <w:tblStyle w:val="a0"/>
      <w:tblW w:w="9705" w:type="dxa"/>
      <w:tblInd w:w="0" w:type="dxa"/>
      <w:tblLayout w:type="fixed"/>
      <w:tblLook w:val="0400" w:firstRow="0" w:lastRow="0" w:firstColumn="0" w:lastColumn="0" w:noHBand="0" w:noVBand="1"/>
    </w:tblPr>
    <w:tblGrid>
      <w:gridCol w:w="2972"/>
      <w:gridCol w:w="6733"/>
    </w:tblGrid>
    <w:tr w:rsidR="00D603B6" w14:paraId="03D19A16" w14:textId="77777777">
      <w:trPr>
        <w:trHeight w:val="1435"/>
      </w:trPr>
      <w:tc>
        <w:tcPr>
          <w:tcW w:w="2972" w:type="dxa"/>
        </w:tcPr>
        <w:p w14:paraId="52A6B991" w14:textId="77777777" w:rsidR="00D603B6" w:rsidRDefault="00D603B6">
          <w:pPr>
            <w:tabs>
              <w:tab w:val="right" w:pos="4273"/>
            </w:tabs>
            <w:spacing w:line="256" w:lineRule="auto"/>
            <w:rPr>
              <w:rFonts w:ascii="Garamond" w:eastAsia="Garamond" w:hAnsi="Garamond" w:cs="Garamond"/>
              <w:sz w:val="22"/>
              <w:szCs w:val="22"/>
            </w:rPr>
          </w:pPr>
        </w:p>
      </w:tc>
      <w:tc>
        <w:tcPr>
          <w:tcW w:w="6733" w:type="dxa"/>
        </w:tcPr>
        <w:p w14:paraId="6129C192" w14:textId="77777777" w:rsidR="00D603B6" w:rsidRDefault="00D603B6">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1"/>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D603B6" w14:paraId="4BA015AF" w14:textId="77777777">
            <w:trPr>
              <w:trHeight w:val="144"/>
            </w:trPr>
            <w:tc>
              <w:tcPr>
                <w:tcW w:w="2447" w:type="dxa"/>
              </w:tcPr>
              <w:p w14:paraId="19F3EC56" w14:textId="77777777" w:rsidR="00D603B6" w:rsidRDefault="009F0248">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088" w:type="dxa"/>
              </w:tcPr>
              <w:p w14:paraId="3DBE611B" w14:textId="77777777" w:rsidR="00D603B6" w:rsidRDefault="009F0248">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D603B6" w14:paraId="079F65C4" w14:textId="77777777">
            <w:trPr>
              <w:trHeight w:val="283"/>
            </w:trPr>
            <w:tc>
              <w:tcPr>
                <w:tcW w:w="2447" w:type="dxa"/>
              </w:tcPr>
              <w:p w14:paraId="576CC259" w14:textId="77777777" w:rsidR="00D603B6" w:rsidRDefault="009F0248">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088" w:type="dxa"/>
              </w:tcPr>
              <w:p w14:paraId="0268C021" w14:textId="77777777" w:rsidR="00D603B6" w:rsidRDefault="009F0248">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D603B6" w14:paraId="58D49288" w14:textId="77777777">
            <w:trPr>
              <w:trHeight w:val="283"/>
            </w:trPr>
            <w:tc>
              <w:tcPr>
                <w:tcW w:w="2447" w:type="dxa"/>
              </w:tcPr>
              <w:p w14:paraId="090FD764" w14:textId="77777777" w:rsidR="00D603B6" w:rsidRDefault="009F0248">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088" w:type="dxa"/>
              </w:tcPr>
              <w:p w14:paraId="3FC6D0DD" w14:textId="77777777" w:rsidR="00D603B6" w:rsidRDefault="009F0248">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49478C0C" w14:textId="77777777" w:rsidR="00D603B6" w:rsidRDefault="00D603B6">
                <w:pPr>
                  <w:tabs>
                    <w:tab w:val="right" w:pos="8838"/>
                  </w:tabs>
                  <w:ind w:left="-74" w:right="-105"/>
                  <w:jc w:val="both"/>
                  <w:rPr>
                    <w:rFonts w:ascii="Palatino Linotype" w:eastAsia="Palatino Linotype" w:hAnsi="Palatino Linotype" w:cs="Palatino Linotype"/>
                    <w:b/>
                    <w:bCs/>
                    <w:sz w:val="22"/>
                    <w:szCs w:val="22"/>
                  </w:rPr>
                </w:pPr>
              </w:p>
            </w:tc>
          </w:tr>
        </w:tbl>
        <w:p w14:paraId="6E065401" w14:textId="77777777" w:rsidR="00D603B6" w:rsidRDefault="00D603B6">
          <w:pPr>
            <w:tabs>
              <w:tab w:val="right" w:pos="8838"/>
            </w:tabs>
            <w:spacing w:line="256" w:lineRule="auto"/>
            <w:ind w:left="-28"/>
            <w:jc w:val="both"/>
            <w:rPr>
              <w:rFonts w:ascii="Arial" w:eastAsia="Arial" w:hAnsi="Arial" w:cs="Arial"/>
              <w:b/>
              <w:bCs/>
              <w:sz w:val="22"/>
              <w:szCs w:val="22"/>
            </w:rPr>
          </w:pPr>
        </w:p>
      </w:tc>
    </w:tr>
  </w:tbl>
  <w:p w14:paraId="1B10EAE0" w14:textId="77777777" w:rsidR="00D603B6" w:rsidRDefault="009F0248">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4834C42B" wp14:editId="2B568B60">
          <wp:simplePos x="0" y="0"/>
          <wp:positionH relativeFrom="margin">
            <wp:posOffset>-1381124</wp:posOffset>
          </wp:positionH>
          <wp:positionV relativeFrom="margin">
            <wp:posOffset>-1611629</wp:posOffset>
          </wp:positionV>
          <wp:extent cx="5612130" cy="7308215"/>
          <wp:effectExtent l="0" t="0" r="0" b="0"/>
          <wp:wrapNone/>
          <wp:docPr id="16306163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55B7" w14:textId="77777777" w:rsidR="00D603B6" w:rsidRDefault="00D603B6">
    <w:pPr>
      <w:widowControl w:val="0"/>
      <w:pBdr>
        <w:top w:val="nil"/>
        <w:left w:val="nil"/>
        <w:bottom w:val="nil"/>
        <w:right w:val="nil"/>
        <w:between w:val="nil"/>
      </w:pBdr>
      <w:spacing w:line="276" w:lineRule="auto"/>
      <w:rPr>
        <w:color w:val="000000"/>
      </w:rPr>
    </w:pPr>
  </w:p>
  <w:tbl>
    <w:tblPr>
      <w:tblStyle w:val="a2"/>
      <w:tblW w:w="9356" w:type="dxa"/>
      <w:tblInd w:w="0" w:type="dxa"/>
      <w:tblLayout w:type="fixed"/>
      <w:tblLook w:val="0400" w:firstRow="0" w:lastRow="0" w:firstColumn="0" w:lastColumn="0" w:noHBand="0" w:noVBand="1"/>
    </w:tblPr>
    <w:tblGrid>
      <w:gridCol w:w="1985"/>
      <w:gridCol w:w="7371"/>
    </w:tblGrid>
    <w:tr w:rsidR="00D603B6" w14:paraId="285822D7" w14:textId="77777777">
      <w:trPr>
        <w:trHeight w:val="1435"/>
      </w:trPr>
      <w:tc>
        <w:tcPr>
          <w:tcW w:w="1985" w:type="dxa"/>
        </w:tcPr>
        <w:p w14:paraId="1DD4212E" w14:textId="77777777" w:rsidR="00D603B6" w:rsidRDefault="00D603B6">
          <w:pPr>
            <w:tabs>
              <w:tab w:val="right" w:pos="4273"/>
            </w:tabs>
            <w:spacing w:line="256" w:lineRule="auto"/>
            <w:rPr>
              <w:rFonts w:ascii="Garamond" w:eastAsia="Garamond" w:hAnsi="Garamond" w:cs="Garamond"/>
              <w:sz w:val="22"/>
              <w:szCs w:val="22"/>
            </w:rPr>
          </w:pPr>
        </w:p>
      </w:tc>
      <w:tc>
        <w:tcPr>
          <w:tcW w:w="7371" w:type="dxa"/>
        </w:tcPr>
        <w:p w14:paraId="6E099110" w14:textId="77777777" w:rsidR="00D603B6" w:rsidRDefault="00D603B6">
          <w:pPr>
            <w:rPr>
              <w:sz w:val="28"/>
              <w:szCs w:val="28"/>
            </w:rPr>
          </w:pPr>
        </w:p>
        <w:tbl>
          <w:tblPr>
            <w:tblStyle w:val="a3"/>
            <w:tblW w:w="8071"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0"/>
            <w:gridCol w:w="2977"/>
            <w:gridCol w:w="2254"/>
          </w:tblGrid>
          <w:tr w:rsidR="00D603B6" w14:paraId="10E59D1F" w14:textId="77777777">
            <w:trPr>
              <w:trHeight w:val="194"/>
            </w:trPr>
            <w:tc>
              <w:tcPr>
                <w:tcW w:w="2841" w:type="dxa"/>
              </w:tcPr>
              <w:p w14:paraId="000F0B3A" w14:textId="77777777" w:rsidR="00D603B6" w:rsidRDefault="009F0248">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977" w:type="dxa"/>
              </w:tcPr>
              <w:p w14:paraId="5C2E5FA6" w14:textId="77777777" w:rsidR="00D603B6" w:rsidRDefault="009F0248">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11836/INFOEM/IP/RR/2025 y acumulados</w:t>
                </w:r>
              </w:p>
            </w:tc>
            <w:tc>
              <w:tcPr>
                <w:tcW w:w="2254" w:type="dxa"/>
              </w:tcPr>
              <w:p w14:paraId="7A184A41" w14:textId="77777777" w:rsidR="00D603B6" w:rsidRDefault="00D603B6">
                <w:pPr>
                  <w:tabs>
                    <w:tab w:val="right" w:pos="8838"/>
                  </w:tabs>
                  <w:ind w:left="-114" w:right="-105"/>
                  <w:jc w:val="both"/>
                  <w:rPr>
                    <w:rFonts w:ascii="Palatino Linotype" w:eastAsia="Palatino Linotype" w:hAnsi="Palatino Linotype" w:cs="Palatino Linotype"/>
                    <w:sz w:val="22"/>
                    <w:szCs w:val="22"/>
                  </w:rPr>
                </w:pPr>
              </w:p>
            </w:tc>
          </w:tr>
          <w:tr w:rsidR="00D603B6" w14:paraId="5E66E652" w14:textId="77777777">
            <w:trPr>
              <w:trHeight w:val="88"/>
            </w:trPr>
            <w:tc>
              <w:tcPr>
                <w:tcW w:w="2841" w:type="dxa"/>
              </w:tcPr>
              <w:p w14:paraId="53C96B54" w14:textId="77777777" w:rsidR="00D603B6" w:rsidRDefault="009F0248">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977" w:type="dxa"/>
              </w:tcPr>
              <w:p w14:paraId="712750C7" w14:textId="77777777" w:rsidR="00D603B6" w:rsidRDefault="009F0248">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Secretaría de Seguridad</w:t>
                </w:r>
              </w:p>
            </w:tc>
            <w:tc>
              <w:tcPr>
                <w:tcW w:w="2254" w:type="dxa"/>
              </w:tcPr>
              <w:p w14:paraId="0C52C547" w14:textId="77777777" w:rsidR="00D603B6" w:rsidRDefault="00D603B6">
                <w:pPr>
                  <w:tabs>
                    <w:tab w:val="left" w:pos="2834"/>
                    <w:tab w:val="right" w:pos="8838"/>
                  </w:tabs>
                  <w:ind w:left="-114"/>
                  <w:jc w:val="both"/>
                  <w:rPr>
                    <w:rFonts w:ascii="Palatino Linotype" w:eastAsia="Palatino Linotype" w:hAnsi="Palatino Linotype" w:cs="Palatino Linotype"/>
                    <w:sz w:val="22"/>
                    <w:szCs w:val="22"/>
                  </w:rPr>
                </w:pPr>
              </w:p>
            </w:tc>
          </w:tr>
          <w:tr w:rsidR="00D603B6" w14:paraId="1095D270" w14:textId="77777777">
            <w:trPr>
              <w:trHeight w:val="383"/>
            </w:trPr>
            <w:tc>
              <w:tcPr>
                <w:tcW w:w="2841" w:type="dxa"/>
              </w:tcPr>
              <w:p w14:paraId="2C9EB41A" w14:textId="77777777" w:rsidR="00D603B6" w:rsidRDefault="009F0248">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2977" w:type="dxa"/>
              </w:tcPr>
              <w:p w14:paraId="5F701AE4" w14:textId="77777777" w:rsidR="00D603B6" w:rsidRDefault="009F0248">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14:paraId="6AC487AC" w14:textId="77777777" w:rsidR="00D603B6" w:rsidRDefault="00D603B6">
                <w:pPr>
                  <w:tabs>
                    <w:tab w:val="right" w:pos="8838"/>
                  </w:tabs>
                  <w:ind w:left="-114" w:right="-105"/>
                  <w:jc w:val="both"/>
                  <w:rPr>
                    <w:rFonts w:ascii="Palatino Linotype" w:eastAsia="Palatino Linotype" w:hAnsi="Palatino Linotype" w:cs="Palatino Linotype"/>
                    <w:sz w:val="22"/>
                    <w:szCs w:val="22"/>
                  </w:rPr>
                </w:pPr>
              </w:p>
            </w:tc>
          </w:tr>
        </w:tbl>
        <w:p w14:paraId="5EB6DD64" w14:textId="77777777" w:rsidR="00D603B6" w:rsidRDefault="00D603B6">
          <w:pPr>
            <w:tabs>
              <w:tab w:val="right" w:pos="8838"/>
            </w:tabs>
            <w:spacing w:line="256" w:lineRule="auto"/>
            <w:ind w:left="-28"/>
            <w:jc w:val="both"/>
            <w:rPr>
              <w:rFonts w:ascii="Arial" w:eastAsia="Arial" w:hAnsi="Arial" w:cs="Arial"/>
              <w:b/>
              <w:bCs/>
              <w:sz w:val="22"/>
              <w:szCs w:val="22"/>
            </w:rPr>
          </w:pPr>
        </w:p>
      </w:tc>
    </w:tr>
  </w:tbl>
  <w:p w14:paraId="583D5FF4" w14:textId="77777777" w:rsidR="00D603B6" w:rsidRDefault="009F0248">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322DAEFA" wp14:editId="1D9E8324">
          <wp:simplePos x="0" y="0"/>
          <wp:positionH relativeFrom="margin">
            <wp:posOffset>-1153159</wp:posOffset>
          </wp:positionH>
          <wp:positionV relativeFrom="margin">
            <wp:posOffset>-1539239</wp:posOffset>
          </wp:positionV>
          <wp:extent cx="7835900" cy="10203815"/>
          <wp:effectExtent l="0" t="0" r="0" b="0"/>
          <wp:wrapNone/>
          <wp:docPr id="16306163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37F7" w14:textId="77777777" w:rsidR="00D603B6" w:rsidRDefault="00D603B6">
    <w:pPr>
      <w:widowControl w:val="0"/>
      <w:pBdr>
        <w:top w:val="nil"/>
        <w:left w:val="nil"/>
        <w:bottom w:val="nil"/>
        <w:right w:val="nil"/>
        <w:between w:val="nil"/>
      </w:pBdr>
      <w:spacing w:line="276" w:lineRule="auto"/>
      <w:rPr>
        <w:color w:val="000000"/>
      </w:rPr>
    </w:pPr>
  </w:p>
  <w:tbl>
    <w:tblPr>
      <w:tblStyle w:val="a4"/>
      <w:tblW w:w="9214" w:type="dxa"/>
      <w:tblInd w:w="0" w:type="dxa"/>
      <w:tblLayout w:type="fixed"/>
      <w:tblLook w:val="0400" w:firstRow="0" w:lastRow="0" w:firstColumn="0" w:lastColumn="0" w:noHBand="0" w:noVBand="1"/>
    </w:tblPr>
    <w:tblGrid>
      <w:gridCol w:w="1560"/>
      <w:gridCol w:w="7654"/>
    </w:tblGrid>
    <w:tr w:rsidR="00D603B6" w14:paraId="574BF4AC" w14:textId="77777777">
      <w:trPr>
        <w:trHeight w:val="1435"/>
      </w:trPr>
      <w:tc>
        <w:tcPr>
          <w:tcW w:w="1560" w:type="dxa"/>
        </w:tcPr>
        <w:p w14:paraId="4DB9EDC6" w14:textId="77777777" w:rsidR="00D603B6" w:rsidRDefault="00D603B6">
          <w:pPr>
            <w:tabs>
              <w:tab w:val="right" w:pos="4273"/>
            </w:tabs>
            <w:spacing w:line="256" w:lineRule="auto"/>
            <w:rPr>
              <w:rFonts w:ascii="Garamond" w:eastAsia="Garamond" w:hAnsi="Garamond" w:cs="Garamond"/>
              <w:sz w:val="22"/>
              <w:szCs w:val="22"/>
            </w:rPr>
          </w:pPr>
        </w:p>
      </w:tc>
      <w:tc>
        <w:tcPr>
          <w:tcW w:w="7654" w:type="dxa"/>
        </w:tcPr>
        <w:p w14:paraId="70E3A61C" w14:textId="77777777" w:rsidR="00D603B6" w:rsidRDefault="00D603B6">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5"/>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D603B6" w14:paraId="3A3EF152" w14:textId="77777777">
            <w:trPr>
              <w:gridAfter w:val="1"/>
              <w:wAfter w:w="459" w:type="dxa"/>
              <w:trHeight w:val="132"/>
            </w:trPr>
            <w:tc>
              <w:tcPr>
                <w:tcW w:w="3818" w:type="dxa"/>
              </w:tcPr>
              <w:p w14:paraId="68687090" w14:textId="77777777" w:rsidR="00D603B6" w:rsidRDefault="009F0248">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5" w:type="dxa"/>
              </w:tcPr>
              <w:p w14:paraId="09B32FD7" w14:textId="77777777" w:rsidR="00D603B6" w:rsidRDefault="009F0248">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11836/INFOEM/IP/RR/2025 y acumulados </w:t>
                </w:r>
              </w:p>
            </w:tc>
          </w:tr>
          <w:tr w:rsidR="00D603B6" w14:paraId="3958289F" w14:textId="77777777">
            <w:trPr>
              <w:gridAfter w:val="1"/>
              <w:wAfter w:w="459" w:type="dxa"/>
              <w:trHeight w:val="132"/>
            </w:trPr>
            <w:tc>
              <w:tcPr>
                <w:tcW w:w="3818" w:type="dxa"/>
              </w:tcPr>
              <w:p w14:paraId="1BBCA2B2" w14:textId="77777777" w:rsidR="00D603B6" w:rsidRDefault="009F0248">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2835" w:type="dxa"/>
              </w:tcPr>
              <w:p w14:paraId="2EBA3A37" w14:textId="6FDB4867" w:rsidR="00D603B6" w:rsidRDefault="008E46DB">
                <w:pPr>
                  <w:tabs>
                    <w:tab w:val="left" w:pos="3122"/>
                    <w:tab w:val="right" w:pos="8838"/>
                  </w:tabs>
                  <w:ind w:left="-74" w:right="-105"/>
                  <w:jc w:val="both"/>
                  <w:rPr>
                    <w:rFonts w:ascii="Palatino Linotype" w:eastAsia="Palatino Linotype" w:hAnsi="Palatino Linotype" w:cs="Palatino Linotype"/>
                    <w:sz w:val="22"/>
                    <w:szCs w:val="22"/>
                  </w:rPr>
                </w:pPr>
                <w:r w:rsidRPr="008E46DB">
                  <w:rPr>
                    <w:rFonts w:ascii="Palatino Linotype" w:eastAsia="Palatino Linotype" w:hAnsi="Palatino Linotype" w:cs="Palatino Linotype"/>
                    <w:sz w:val="22"/>
                    <w:szCs w:val="22"/>
                    <w:highlight w:val="black"/>
                  </w:rPr>
                  <w:t>XXXXXXXX</w:t>
                </w:r>
                <w:r w:rsidR="009F0248">
                  <w:rPr>
                    <w:rFonts w:ascii="Palatino Linotype" w:eastAsia="Palatino Linotype" w:hAnsi="Palatino Linotype" w:cs="Palatino Linotype"/>
                    <w:sz w:val="22"/>
                    <w:szCs w:val="22"/>
                  </w:rPr>
                  <w:t xml:space="preserve"> </w:t>
                </w:r>
              </w:p>
            </w:tc>
          </w:tr>
          <w:tr w:rsidR="00D603B6" w14:paraId="70E31974" w14:textId="77777777">
            <w:trPr>
              <w:gridAfter w:val="1"/>
              <w:wAfter w:w="459" w:type="dxa"/>
              <w:trHeight w:val="261"/>
            </w:trPr>
            <w:tc>
              <w:tcPr>
                <w:tcW w:w="3818" w:type="dxa"/>
              </w:tcPr>
              <w:p w14:paraId="061B3109" w14:textId="77777777" w:rsidR="00D603B6" w:rsidRDefault="009F0248">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5" w:type="dxa"/>
              </w:tcPr>
              <w:p w14:paraId="5C34CE81" w14:textId="77777777" w:rsidR="00D603B6" w:rsidRDefault="009F0248">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Secretaría de Seguridad </w:t>
                </w:r>
              </w:p>
            </w:tc>
          </w:tr>
          <w:tr w:rsidR="00D603B6" w14:paraId="483A9B27" w14:textId="77777777">
            <w:trPr>
              <w:trHeight w:val="261"/>
            </w:trPr>
            <w:tc>
              <w:tcPr>
                <w:tcW w:w="3818" w:type="dxa"/>
              </w:tcPr>
              <w:p w14:paraId="53547B3D" w14:textId="77777777" w:rsidR="00D603B6" w:rsidRDefault="009F0248">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94" w:type="dxa"/>
                <w:gridSpan w:val="2"/>
              </w:tcPr>
              <w:p w14:paraId="6B08B5FD" w14:textId="77777777" w:rsidR="00D603B6" w:rsidRDefault="009F0248">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0B5F04E8" w14:textId="77777777" w:rsidR="00D603B6" w:rsidRDefault="00D603B6">
          <w:pPr>
            <w:tabs>
              <w:tab w:val="right" w:pos="8838"/>
            </w:tabs>
            <w:spacing w:line="256" w:lineRule="auto"/>
            <w:ind w:left="-28"/>
            <w:jc w:val="both"/>
            <w:rPr>
              <w:rFonts w:ascii="Arial" w:eastAsia="Arial" w:hAnsi="Arial" w:cs="Arial"/>
              <w:b/>
              <w:bCs/>
              <w:sz w:val="22"/>
              <w:szCs w:val="22"/>
            </w:rPr>
          </w:pPr>
        </w:p>
      </w:tc>
    </w:tr>
  </w:tbl>
  <w:p w14:paraId="17F653C3" w14:textId="77777777" w:rsidR="00D603B6" w:rsidRDefault="00000000">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w14:anchorId="6519B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5.05pt;margin-top:-121.3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1F23"/>
    <w:multiLevelType w:val="multilevel"/>
    <w:tmpl w:val="87507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6F2966"/>
    <w:multiLevelType w:val="multilevel"/>
    <w:tmpl w:val="EE3E4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C62552"/>
    <w:multiLevelType w:val="multilevel"/>
    <w:tmpl w:val="041E6AD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5E0A02"/>
    <w:multiLevelType w:val="multilevel"/>
    <w:tmpl w:val="250EF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1E528F"/>
    <w:multiLevelType w:val="multilevel"/>
    <w:tmpl w:val="E646A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7844171">
    <w:abstractNumId w:val="1"/>
  </w:num>
  <w:num w:numId="2" w16cid:durableId="1225145349">
    <w:abstractNumId w:val="0"/>
  </w:num>
  <w:num w:numId="3" w16cid:durableId="943657619">
    <w:abstractNumId w:val="2"/>
  </w:num>
  <w:num w:numId="4" w16cid:durableId="352195127">
    <w:abstractNumId w:val="4"/>
  </w:num>
  <w:num w:numId="5" w16cid:durableId="737292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B6"/>
    <w:rsid w:val="00274FA8"/>
    <w:rsid w:val="00776859"/>
    <w:rsid w:val="008E46DB"/>
    <w:rsid w:val="009674AB"/>
    <w:rsid w:val="009F0248"/>
    <w:rsid w:val="00BA3BA6"/>
    <w:rsid w:val="00C43C92"/>
    <w:rsid w:val="00D603B6"/>
    <w:rsid w:val="00FB7E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22B60"/>
  <w15:docId w15:val="{4E0975EC-E7EC-4CC7-879D-2C44A0A9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character" w:customStyle="1" w:styleId="Mencinsinresolver1">
    <w:name w:val="Mención sin resolver1"/>
    <w:basedOn w:val="Fuentedeprrafopredeter"/>
    <w:uiPriority w:val="99"/>
    <w:semiHidden/>
    <w:unhideWhenUsed/>
    <w:rsid w:val="00EC3205"/>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hdjiPBtJn0yKdkGZLsS/KX4uhg==">CgMxLjAyDmgubjc5MncybmVyMGxtMg5oLng5N2w2ZGVxamU3OTIOaC5nNjVoOWoyb2V5OTYyDmguZmp0aTQ3aGQ3aTZhMg5oLnozbDExYWJkem5vcjIOaC5nbTE5NW9id2VsZHIyDWguaGp0b3h2ZnNmcnAyDmgubTAydnB6cnZqaGUyMg5oLmp3YjdsdGI2NzYwMTIOaC5qdXNhMzMzem9qNWkyDmgudGFieHU2Y3NraXI2Mg5oLjVhZjV4c3V6Zm9yejIOaC5mN2I5NzE0bGY2eXkyDmguZmdndzJ4ZXJkOGh2Mg5oLmVsY2FqcWI5b2JndDIOaC5yZmpncXJ0eXN2djc4AHIhMXBKUjBDTlBfQ0JfVi1zRmJmdThzRGYyUVFLU1hZMk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8099</Words>
  <Characters>44549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Roxana Lechuga</cp:lastModifiedBy>
  <cp:revision>4</cp:revision>
  <cp:lastPrinted>2025-11-27T17:59:00Z</cp:lastPrinted>
  <dcterms:created xsi:type="dcterms:W3CDTF">2025-11-27T17:59:00Z</dcterms:created>
  <dcterms:modified xsi:type="dcterms:W3CDTF">2025-12-14T22:05:00Z</dcterms:modified>
</cp:coreProperties>
</file>