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B77590" w:rsidRDefault="00AE3DA7" w:rsidP="00F24B1F">
          <w:pPr>
            <w:pStyle w:val="TtulodeTDC"/>
            <w:spacing w:before="0" w:line="240" w:lineRule="auto"/>
            <w:rPr>
              <w:rFonts w:ascii="Palatino Linotype" w:hAnsi="Palatino Linotype"/>
              <w:color w:val="auto"/>
              <w:sz w:val="24"/>
              <w:szCs w:val="24"/>
              <w:lang w:val="es-ES"/>
            </w:rPr>
          </w:pPr>
          <w:r w:rsidRPr="00B77590">
            <w:rPr>
              <w:rFonts w:ascii="Palatino Linotype" w:hAnsi="Palatino Linotype"/>
              <w:color w:val="auto"/>
              <w:sz w:val="24"/>
              <w:szCs w:val="24"/>
              <w:lang w:val="es-ES"/>
            </w:rPr>
            <w:t>Contenido</w:t>
          </w:r>
        </w:p>
        <w:p w14:paraId="3EB312A7" w14:textId="77777777" w:rsidR="00AA6EA9" w:rsidRPr="00B77590" w:rsidRDefault="00AA6EA9" w:rsidP="00F24B1F">
          <w:pPr>
            <w:spacing w:line="240" w:lineRule="auto"/>
            <w:rPr>
              <w:sz w:val="16"/>
              <w:szCs w:val="16"/>
              <w:lang w:val="es-ES" w:eastAsia="es-MX"/>
            </w:rPr>
          </w:pPr>
        </w:p>
        <w:p w14:paraId="66D0BD64" w14:textId="77777777" w:rsidR="00F24B1F" w:rsidRPr="00B77590" w:rsidRDefault="00AE3DA7" w:rsidP="00F24B1F">
          <w:pPr>
            <w:pStyle w:val="TDC1"/>
            <w:tabs>
              <w:tab w:val="right" w:leader="dot" w:pos="9034"/>
            </w:tabs>
            <w:rPr>
              <w:rFonts w:asciiTheme="minorHAnsi" w:eastAsiaTheme="minorEastAsia" w:hAnsiTheme="minorHAnsi" w:cstheme="minorBidi"/>
              <w:noProof/>
              <w:szCs w:val="22"/>
              <w:lang w:eastAsia="es-MX"/>
            </w:rPr>
          </w:pPr>
          <w:r w:rsidRPr="00B77590">
            <w:rPr>
              <w:sz w:val="16"/>
              <w:szCs w:val="16"/>
            </w:rPr>
            <w:fldChar w:fldCharType="begin"/>
          </w:r>
          <w:r w:rsidRPr="00B77590">
            <w:rPr>
              <w:sz w:val="16"/>
              <w:szCs w:val="16"/>
            </w:rPr>
            <w:instrText xml:space="preserve"> TOC \o "1-3" \h \z \u </w:instrText>
          </w:r>
          <w:r w:rsidRPr="00B77590">
            <w:rPr>
              <w:sz w:val="16"/>
              <w:szCs w:val="16"/>
            </w:rPr>
            <w:fldChar w:fldCharType="separate"/>
          </w:r>
          <w:hyperlink w:anchor="_Toc211449524" w:history="1">
            <w:r w:rsidR="00F24B1F" w:rsidRPr="00B77590">
              <w:rPr>
                <w:rStyle w:val="Hipervnculo"/>
                <w:noProof/>
                <w:color w:val="auto"/>
              </w:rPr>
              <w:t>ANTECEDENTES</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_Toc211449524 \h </w:instrText>
            </w:r>
            <w:r w:rsidR="00F24B1F" w:rsidRPr="00B77590">
              <w:rPr>
                <w:noProof/>
                <w:webHidden/>
              </w:rPr>
            </w:r>
            <w:r w:rsidR="00F24B1F" w:rsidRPr="00B77590">
              <w:rPr>
                <w:noProof/>
                <w:webHidden/>
              </w:rPr>
              <w:fldChar w:fldCharType="separate"/>
            </w:r>
            <w:r w:rsidR="00B77590">
              <w:rPr>
                <w:noProof/>
                <w:webHidden/>
              </w:rPr>
              <w:t>1</w:t>
            </w:r>
            <w:r w:rsidR="00F24B1F" w:rsidRPr="00B77590">
              <w:rPr>
                <w:noProof/>
                <w:webHidden/>
              </w:rPr>
              <w:fldChar w:fldCharType="end"/>
            </w:r>
          </w:hyperlink>
        </w:p>
        <w:p w14:paraId="70FE8C94" w14:textId="77777777" w:rsidR="00F24B1F" w:rsidRPr="00B77590" w:rsidRDefault="00B35917" w:rsidP="00F24B1F">
          <w:pPr>
            <w:pStyle w:val="TDC2"/>
            <w:rPr>
              <w:rFonts w:asciiTheme="minorHAnsi" w:eastAsiaTheme="minorEastAsia" w:hAnsiTheme="minorHAnsi" w:cstheme="minorBidi"/>
              <w:noProof/>
              <w:szCs w:val="22"/>
              <w:lang w:eastAsia="es-MX"/>
            </w:rPr>
          </w:pPr>
          <w:hyperlink w:anchor="_Toc211449525" w:history="1">
            <w:r w:rsidR="00F24B1F" w:rsidRPr="00B77590">
              <w:rPr>
                <w:rStyle w:val="Hipervnculo"/>
                <w:noProof/>
                <w:color w:val="auto"/>
              </w:rPr>
              <w:t>DE LA SOLICITUD DE INFORMACIÓN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_Toc211449525 \h </w:instrText>
            </w:r>
            <w:r w:rsidR="00F24B1F" w:rsidRPr="00B77590">
              <w:rPr>
                <w:noProof/>
                <w:webHidden/>
              </w:rPr>
            </w:r>
            <w:r w:rsidR="00F24B1F" w:rsidRPr="00B77590">
              <w:rPr>
                <w:noProof/>
                <w:webHidden/>
              </w:rPr>
              <w:fldChar w:fldCharType="separate"/>
            </w:r>
            <w:r w:rsidR="00B77590">
              <w:rPr>
                <w:noProof/>
                <w:webHidden/>
              </w:rPr>
              <w:t>1</w:t>
            </w:r>
            <w:r w:rsidR="00F24B1F" w:rsidRPr="00B77590">
              <w:rPr>
                <w:noProof/>
                <w:webHidden/>
              </w:rPr>
              <w:fldChar w:fldCharType="end"/>
            </w:r>
          </w:hyperlink>
        </w:p>
        <w:p w14:paraId="7063EF24"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26" w:history="1">
            <w:r w:rsidR="00F24B1F" w:rsidRPr="00B77590">
              <w:rPr>
                <w:rStyle w:val="Hipervnculo"/>
                <w:noProof/>
                <w:color w:val="auto"/>
              </w:rPr>
              <w:t>a) Solicitud de información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_Toc211449526 \h </w:instrText>
            </w:r>
            <w:r w:rsidR="00F24B1F" w:rsidRPr="00B77590">
              <w:rPr>
                <w:noProof/>
                <w:webHidden/>
              </w:rPr>
            </w:r>
            <w:r w:rsidR="00F24B1F" w:rsidRPr="00B77590">
              <w:rPr>
                <w:noProof/>
                <w:webHidden/>
              </w:rPr>
              <w:fldChar w:fldCharType="separate"/>
            </w:r>
            <w:r w:rsidR="00B77590">
              <w:rPr>
                <w:noProof/>
                <w:webHidden/>
              </w:rPr>
              <w:t>1</w:t>
            </w:r>
            <w:r w:rsidR="00F24B1F" w:rsidRPr="00B77590">
              <w:rPr>
                <w:noProof/>
                <w:webHidden/>
              </w:rPr>
              <w:fldChar w:fldCharType="end"/>
            </w:r>
          </w:hyperlink>
        </w:p>
        <w:p w14:paraId="44DA2F24"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27" w:history="1">
            <w:r w:rsidR="00F24B1F" w:rsidRPr="00B77590">
              <w:rPr>
                <w:rStyle w:val="Hipervnculo"/>
                <w:noProof/>
                <w:color w:val="auto"/>
              </w:rPr>
              <w:t>b) Turno de la solicitud de información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_Toc211449527 \h </w:instrText>
            </w:r>
            <w:r w:rsidR="00F24B1F" w:rsidRPr="00B77590">
              <w:rPr>
                <w:noProof/>
                <w:webHidden/>
              </w:rPr>
            </w:r>
            <w:r w:rsidR="00F24B1F" w:rsidRPr="00B77590">
              <w:rPr>
                <w:noProof/>
                <w:webHidden/>
              </w:rPr>
              <w:fldChar w:fldCharType="separate"/>
            </w:r>
            <w:r w:rsidR="00B77590">
              <w:rPr>
                <w:noProof/>
                <w:webHidden/>
              </w:rPr>
              <w:t>2</w:t>
            </w:r>
            <w:r w:rsidR="00F24B1F" w:rsidRPr="00B77590">
              <w:rPr>
                <w:noProof/>
                <w:webHidden/>
              </w:rPr>
              <w:fldChar w:fldCharType="end"/>
            </w:r>
          </w:hyperlink>
        </w:p>
        <w:p w14:paraId="014F43AF"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28" w:history="1">
            <w:r w:rsidR="00F24B1F" w:rsidRPr="00B77590">
              <w:rPr>
                <w:rStyle w:val="Hipervnculo"/>
                <w:noProof/>
                <w:color w:val="auto"/>
              </w:rPr>
              <w:t xml:space="preserve">c) </w:t>
            </w:r>
            <w:r w:rsidR="00F24B1F" w:rsidRPr="00B77590">
              <w:rPr>
                <w:rStyle w:val="Hipervnculo"/>
                <w:noProof/>
                <w:color w:val="auto"/>
                <w:lang w:val="es-ES"/>
              </w:rPr>
              <w:t xml:space="preserve">Respuesta </w:t>
            </w:r>
            <w:r w:rsidR="00F24B1F" w:rsidRPr="00B77590">
              <w:rPr>
                <w:rStyle w:val="Hipervnculo"/>
                <w:rFonts w:eastAsia="Calibri"/>
                <w:noProof/>
                <w:color w:val="auto"/>
                <w:lang w:eastAsia="en-US"/>
              </w:rPr>
              <w:t>del Sujeto Obligado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_Toc211449528 \h </w:instrText>
            </w:r>
            <w:r w:rsidR="00F24B1F" w:rsidRPr="00B77590">
              <w:rPr>
                <w:noProof/>
                <w:webHidden/>
              </w:rPr>
            </w:r>
            <w:r w:rsidR="00F24B1F" w:rsidRPr="00B77590">
              <w:rPr>
                <w:noProof/>
                <w:webHidden/>
              </w:rPr>
              <w:fldChar w:fldCharType="separate"/>
            </w:r>
            <w:r w:rsidR="00B77590">
              <w:rPr>
                <w:noProof/>
                <w:webHidden/>
              </w:rPr>
              <w:t>2</w:t>
            </w:r>
            <w:r w:rsidR="00F24B1F" w:rsidRPr="00B77590">
              <w:rPr>
                <w:noProof/>
                <w:webHidden/>
              </w:rPr>
              <w:fldChar w:fldCharType="end"/>
            </w:r>
          </w:hyperlink>
        </w:p>
        <w:p w14:paraId="58E44E9D" w14:textId="77777777" w:rsidR="00F24B1F" w:rsidRPr="00B77590" w:rsidRDefault="00B35917" w:rsidP="00F24B1F">
          <w:pPr>
            <w:pStyle w:val="TDC2"/>
            <w:rPr>
              <w:rFonts w:asciiTheme="minorHAnsi" w:eastAsiaTheme="minorEastAsia" w:hAnsiTheme="minorHAnsi" w:cstheme="minorBidi"/>
              <w:noProof/>
              <w:szCs w:val="22"/>
              <w:lang w:eastAsia="es-MX"/>
            </w:rPr>
          </w:pPr>
          <w:hyperlink w:anchor="_Toc211449529" w:history="1">
            <w:r w:rsidR="00F24B1F" w:rsidRPr="00B77590">
              <w:rPr>
                <w:rStyle w:val="Hipervnculo"/>
                <w:noProof/>
                <w:color w:val="auto"/>
              </w:rPr>
              <w:t>DEL RECURSO DE REVISIÓN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_Toc211449529 \h </w:instrText>
            </w:r>
            <w:r w:rsidR="00F24B1F" w:rsidRPr="00B77590">
              <w:rPr>
                <w:noProof/>
                <w:webHidden/>
              </w:rPr>
            </w:r>
            <w:r w:rsidR="00F24B1F" w:rsidRPr="00B77590">
              <w:rPr>
                <w:noProof/>
                <w:webHidden/>
              </w:rPr>
              <w:fldChar w:fldCharType="separate"/>
            </w:r>
            <w:r w:rsidR="00B77590">
              <w:rPr>
                <w:noProof/>
                <w:webHidden/>
              </w:rPr>
              <w:t>3</w:t>
            </w:r>
            <w:r w:rsidR="00F24B1F" w:rsidRPr="00B77590">
              <w:rPr>
                <w:noProof/>
                <w:webHidden/>
              </w:rPr>
              <w:fldChar w:fldCharType="end"/>
            </w:r>
          </w:hyperlink>
        </w:p>
        <w:p w14:paraId="49A8C629"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0" w:history="1">
            <w:r w:rsidR="00F24B1F" w:rsidRPr="00B77590">
              <w:rPr>
                <w:rStyle w:val="Hipervnculo"/>
                <w:noProof/>
                <w:color w:val="auto"/>
              </w:rPr>
              <w:t>a) Interposición del Recurso de Revisión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_Toc211449530 \h </w:instrText>
            </w:r>
            <w:r w:rsidR="00F24B1F" w:rsidRPr="00B77590">
              <w:rPr>
                <w:noProof/>
                <w:webHidden/>
              </w:rPr>
            </w:r>
            <w:r w:rsidR="00F24B1F" w:rsidRPr="00B77590">
              <w:rPr>
                <w:noProof/>
                <w:webHidden/>
              </w:rPr>
              <w:fldChar w:fldCharType="separate"/>
            </w:r>
            <w:r w:rsidR="00B77590">
              <w:rPr>
                <w:noProof/>
                <w:webHidden/>
              </w:rPr>
              <w:t>3</w:t>
            </w:r>
            <w:r w:rsidR="00F24B1F" w:rsidRPr="00B77590">
              <w:rPr>
                <w:noProof/>
                <w:webHidden/>
              </w:rPr>
              <w:fldChar w:fldCharType="end"/>
            </w:r>
          </w:hyperlink>
        </w:p>
        <w:p w14:paraId="6AC6F220"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1" w:history="1">
            <w:r w:rsidR="00F24B1F" w:rsidRPr="00B77590">
              <w:rPr>
                <w:rStyle w:val="Hipervnculo"/>
                <w:noProof/>
                <w:color w:val="auto"/>
              </w:rPr>
              <w:t>b) Turno del Recurso de Revisión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_Toc211449531 \h </w:instrText>
            </w:r>
            <w:r w:rsidR="00F24B1F" w:rsidRPr="00B77590">
              <w:rPr>
                <w:noProof/>
                <w:webHidden/>
              </w:rPr>
            </w:r>
            <w:r w:rsidR="00F24B1F" w:rsidRPr="00B77590">
              <w:rPr>
                <w:noProof/>
                <w:webHidden/>
              </w:rPr>
              <w:fldChar w:fldCharType="separate"/>
            </w:r>
            <w:r w:rsidR="00B77590">
              <w:rPr>
                <w:noProof/>
                <w:webHidden/>
              </w:rPr>
              <w:t>4</w:t>
            </w:r>
            <w:r w:rsidR="00F24B1F" w:rsidRPr="00B77590">
              <w:rPr>
                <w:noProof/>
                <w:webHidden/>
              </w:rPr>
              <w:fldChar w:fldCharType="end"/>
            </w:r>
          </w:hyperlink>
        </w:p>
        <w:p w14:paraId="6D43B0A8"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2" w:history="1">
            <w:r w:rsidR="00F24B1F" w:rsidRPr="00B77590">
              <w:rPr>
                <w:rStyle w:val="Hipervnculo"/>
                <w:noProof/>
                <w:color w:val="auto"/>
              </w:rPr>
              <w:t>c) Admisión del Recurso de Revisión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_Toc211449532 \h </w:instrText>
            </w:r>
            <w:r w:rsidR="00F24B1F" w:rsidRPr="00B77590">
              <w:rPr>
                <w:noProof/>
                <w:webHidden/>
              </w:rPr>
            </w:r>
            <w:r w:rsidR="00F24B1F" w:rsidRPr="00B77590">
              <w:rPr>
                <w:noProof/>
                <w:webHidden/>
              </w:rPr>
              <w:fldChar w:fldCharType="separate"/>
            </w:r>
            <w:r w:rsidR="00B77590">
              <w:rPr>
                <w:noProof/>
                <w:webHidden/>
              </w:rPr>
              <w:t>4</w:t>
            </w:r>
            <w:r w:rsidR="00F24B1F" w:rsidRPr="00B77590">
              <w:rPr>
                <w:noProof/>
                <w:webHidden/>
              </w:rPr>
              <w:fldChar w:fldCharType="end"/>
            </w:r>
          </w:hyperlink>
        </w:p>
        <w:p w14:paraId="58DD00C2"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3" w:history="1">
            <w:r w:rsidR="00F24B1F" w:rsidRPr="00B77590">
              <w:rPr>
                <w:rStyle w:val="Hipervnculo"/>
                <w:noProof/>
                <w:color w:val="auto"/>
              </w:rPr>
              <w:t>d) Informe Justificado del Sujeto Obligado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_Toc211449533 \h </w:instrText>
            </w:r>
            <w:r w:rsidR="00F24B1F" w:rsidRPr="00B77590">
              <w:rPr>
                <w:noProof/>
                <w:webHidden/>
              </w:rPr>
            </w:r>
            <w:r w:rsidR="00F24B1F" w:rsidRPr="00B77590">
              <w:rPr>
                <w:noProof/>
                <w:webHidden/>
              </w:rPr>
              <w:fldChar w:fldCharType="separate"/>
            </w:r>
            <w:r w:rsidR="00B77590">
              <w:rPr>
                <w:noProof/>
                <w:webHidden/>
              </w:rPr>
              <w:t>4</w:t>
            </w:r>
            <w:r w:rsidR="00F24B1F" w:rsidRPr="00B77590">
              <w:rPr>
                <w:noProof/>
                <w:webHidden/>
              </w:rPr>
              <w:fldChar w:fldCharType="end"/>
            </w:r>
          </w:hyperlink>
        </w:p>
        <w:p w14:paraId="317309B0"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4" w:history="1">
            <w:r w:rsidR="00F24B1F" w:rsidRPr="00B77590">
              <w:rPr>
                <w:rStyle w:val="Hipervnculo"/>
                <w:rFonts w:eastAsia="Calibri"/>
                <w:bCs/>
                <w:noProof/>
                <w:color w:val="auto"/>
                <w:lang w:eastAsia="en-US"/>
              </w:rPr>
              <w:t>e)</w:t>
            </w:r>
            <w:r w:rsidR="00F24B1F" w:rsidRPr="00B77590">
              <w:rPr>
                <w:rStyle w:val="Hipervnculo"/>
                <w:noProof/>
                <w:color w:val="auto"/>
              </w:rPr>
              <w:t xml:space="preserve"> </w:t>
            </w:r>
            <w:r w:rsidR="00F24B1F" w:rsidRPr="00B77590">
              <w:rPr>
                <w:rStyle w:val="Hipervnculo"/>
                <w:noProof/>
                <w:color w:val="auto"/>
                <w:lang w:val="es-ES"/>
              </w:rPr>
              <w:t>Manifestaciones de la Parte Recurrente</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_Toc211449534 \h </w:instrText>
            </w:r>
            <w:r w:rsidR="00F24B1F" w:rsidRPr="00B77590">
              <w:rPr>
                <w:noProof/>
                <w:webHidden/>
              </w:rPr>
            </w:r>
            <w:r w:rsidR="00F24B1F" w:rsidRPr="00B77590">
              <w:rPr>
                <w:noProof/>
                <w:webHidden/>
              </w:rPr>
              <w:fldChar w:fldCharType="separate"/>
            </w:r>
            <w:r w:rsidR="00B77590">
              <w:rPr>
                <w:noProof/>
                <w:webHidden/>
              </w:rPr>
              <w:t>5</w:t>
            </w:r>
            <w:r w:rsidR="00F24B1F" w:rsidRPr="00B77590">
              <w:rPr>
                <w:noProof/>
                <w:webHidden/>
              </w:rPr>
              <w:fldChar w:fldCharType="end"/>
            </w:r>
          </w:hyperlink>
        </w:p>
        <w:p w14:paraId="25477E67"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5" w:history="1">
            <w:r w:rsidR="00F24B1F" w:rsidRPr="00B77590">
              <w:rPr>
                <w:rStyle w:val="Hipervnculo"/>
                <w:rFonts w:eastAsia="Calibri"/>
                <w:noProof/>
                <w:color w:val="auto"/>
              </w:rPr>
              <w:t>f) Ampliación de Plazo para Resolver</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_Toc211449535 \h </w:instrText>
            </w:r>
            <w:r w:rsidR="00F24B1F" w:rsidRPr="00B77590">
              <w:rPr>
                <w:noProof/>
                <w:webHidden/>
              </w:rPr>
            </w:r>
            <w:r w:rsidR="00F24B1F" w:rsidRPr="00B77590">
              <w:rPr>
                <w:noProof/>
                <w:webHidden/>
              </w:rPr>
              <w:fldChar w:fldCharType="separate"/>
            </w:r>
            <w:r w:rsidR="00B77590">
              <w:rPr>
                <w:noProof/>
                <w:webHidden/>
              </w:rPr>
              <w:t>6</w:t>
            </w:r>
            <w:r w:rsidR="00F24B1F" w:rsidRPr="00B77590">
              <w:rPr>
                <w:noProof/>
                <w:webHidden/>
              </w:rPr>
              <w:fldChar w:fldCharType="end"/>
            </w:r>
          </w:hyperlink>
        </w:p>
        <w:p w14:paraId="42C90A9D"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6" w:history="1">
            <w:r w:rsidR="00F24B1F" w:rsidRPr="00B77590">
              <w:rPr>
                <w:rStyle w:val="Hipervnculo"/>
                <w:rFonts w:eastAsia="Calibri"/>
                <w:noProof/>
                <w:color w:val="auto"/>
              </w:rPr>
              <w:t xml:space="preserve">g) </w:t>
            </w:r>
            <w:r w:rsidR="00F24B1F" w:rsidRPr="00B77590">
              <w:rPr>
                <w:rStyle w:val="Hipervnculo"/>
                <w:noProof/>
                <w:color w:val="auto"/>
              </w:rPr>
              <w:t>Cierre de instrucción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_Toc211449536 \h </w:instrText>
            </w:r>
            <w:r w:rsidR="00F24B1F" w:rsidRPr="00B77590">
              <w:rPr>
                <w:noProof/>
                <w:webHidden/>
              </w:rPr>
            </w:r>
            <w:r w:rsidR="00F24B1F" w:rsidRPr="00B77590">
              <w:rPr>
                <w:noProof/>
                <w:webHidden/>
              </w:rPr>
              <w:fldChar w:fldCharType="separate"/>
            </w:r>
            <w:r w:rsidR="00B77590">
              <w:rPr>
                <w:noProof/>
                <w:webHidden/>
              </w:rPr>
              <w:t>9</w:t>
            </w:r>
            <w:r w:rsidR="00F24B1F" w:rsidRPr="00B77590">
              <w:rPr>
                <w:noProof/>
                <w:webHidden/>
              </w:rPr>
              <w:fldChar w:fldCharType="end"/>
            </w:r>
          </w:hyperlink>
        </w:p>
        <w:p w14:paraId="35A8F0AB" w14:textId="77777777" w:rsidR="00F24B1F" w:rsidRPr="00B77590" w:rsidRDefault="00B35917" w:rsidP="00F24B1F">
          <w:pPr>
            <w:pStyle w:val="TDC1"/>
            <w:tabs>
              <w:tab w:val="right" w:leader="dot" w:pos="9034"/>
            </w:tabs>
            <w:rPr>
              <w:rFonts w:asciiTheme="minorHAnsi" w:eastAsiaTheme="minorEastAsia" w:hAnsiTheme="minorHAnsi" w:cstheme="minorBidi"/>
              <w:noProof/>
              <w:szCs w:val="22"/>
              <w:lang w:eastAsia="es-MX"/>
            </w:rPr>
          </w:pPr>
          <w:hyperlink w:anchor="_Toc211449537" w:history="1">
            <w:r w:rsidR="00F24B1F" w:rsidRPr="00B77590">
              <w:rPr>
                <w:rStyle w:val="Hipervnculo"/>
                <w:rFonts w:eastAsiaTheme="minorHAnsi"/>
                <w:noProof/>
                <w:color w:val="auto"/>
                <w:lang w:eastAsia="en-US"/>
              </w:rPr>
              <w:t>CONSIDERANDOS</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_Toc211449537 \h </w:instrText>
            </w:r>
            <w:r w:rsidR="00F24B1F" w:rsidRPr="00B77590">
              <w:rPr>
                <w:noProof/>
                <w:webHidden/>
              </w:rPr>
            </w:r>
            <w:r w:rsidR="00F24B1F" w:rsidRPr="00B77590">
              <w:rPr>
                <w:noProof/>
                <w:webHidden/>
              </w:rPr>
              <w:fldChar w:fldCharType="separate"/>
            </w:r>
            <w:r w:rsidR="00B77590">
              <w:rPr>
                <w:noProof/>
                <w:webHidden/>
              </w:rPr>
              <w:t>9</w:t>
            </w:r>
            <w:r w:rsidR="00F24B1F" w:rsidRPr="00B77590">
              <w:rPr>
                <w:noProof/>
                <w:webHidden/>
              </w:rPr>
              <w:fldChar w:fldCharType="end"/>
            </w:r>
          </w:hyperlink>
        </w:p>
        <w:p w14:paraId="2D259C79" w14:textId="77777777" w:rsidR="00F24B1F" w:rsidRPr="00B77590" w:rsidRDefault="00B35917" w:rsidP="00F24B1F">
          <w:pPr>
            <w:pStyle w:val="TDC2"/>
            <w:rPr>
              <w:rFonts w:asciiTheme="minorHAnsi" w:eastAsiaTheme="minorEastAsia" w:hAnsiTheme="minorHAnsi" w:cstheme="minorBidi"/>
              <w:noProof/>
              <w:szCs w:val="22"/>
              <w:lang w:eastAsia="es-MX"/>
            </w:rPr>
          </w:pPr>
          <w:hyperlink w:anchor="_Toc211449538" w:history="1">
            <w:r w:rsidR="00F24B1F" w:rsidRPr="00B77590">
              <w:rPr>
                <w:rStyle w:val="Hipervnculo"/>
                <w:rFonts w:eastAsia="Batang"/>
                <w:noProof/>
                <w:color w:val="auto"/>
              </w:rPr>
              <w:t>PRIMERO. Procedibilidad</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_Toc211449538 \h </w:instrText>
            </w:r>
            <w:r w:rsidR="00F24B1F" w:rsidRPr="00B77590">
              <w:rPr>
                <w:noProof/>
                <w:webHidden/>
              </w:rPr>
            </w:r>
            <w:r w:rsidR="00F24B1F" w:rsidRPr="00B77590">
              <w:rPr>
                <w:noProof/>
                <w:webHidden/>
              </w:rPr>
              <w:fldChar w:fldCharType="separate"/>
            </w:r>
            <w:r w:rsidR="00B77590">
              <w:rPr>
                <w:noProof/>
                <w:webHidden/>
              </w:rPr>
              <w:t>9</w:t>
            </w:r>
            <w:r w:rsidR="00F24B1F" w:rsidRPr="00B77590">
              <w:rPr>
                <w:noProof/>
                <w:webHidden/>
              </w:rPr>
              <w:fldChar w:fldCharType="end"/>
            </w:r>
          </w:hyperlink>
        </w:p>
        <w:p w14:paraId="16F0AB52"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39" w:history="1">
            <w:r w:rsidR="00F24B1F" w:rsidRPr="00B77590">
              <w:rPr>
                <w:rStyle w:val="Hipervnculo"/>
                <w:noProof/>
                <w:color w:val="auto"/>
              </w:rPr>
              <w:t>a) Competencia del Instituto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_Toc211449539 \h </w:instrText>
            </w:r>
            <w:r w:rsidR="00F24B1F" w:rsidRPr="00B77590">
              <w:rPr>
                <w:noProof/>
                <w:webHidden/>
              </w:rPr>
            </w:r>
            <w:r w:rsidR="00F24B1F" w:rsidRPr="00B77590">
              <w:rPr>
                <w:noProof/>
                <w:webHidden/>
              </w:rPr>
              <w:fldChar w:fldCharType="separate"/>
            </w:r>
            <w:r w:rsidR="00B77590">
              <w:rPr>
                <w:noProof/>
                <w:webHidden/>
              </w:rPr>
              <w:t>9</w:t>
            </w:r>
            <w:r w:rsidR="00F24B1F" w:rsidRPr="00B77590">
              <w:rPr>
                <w:noProof/>
                <w:webHidden/>
              </w:rPr>
              <w:fldChar w:fldCharType="end"/>
            </w:r>
          </w:hyperlink>
        </w:p>
        <w:p w14:paraId="29E928B4"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0" w:history="1">
            <w:r w:rsidR="00F24B1F" w:rsidRPr="00B77590">
              <w:rPr>
                <w:rStyle w:val="Hipervnculo"/>
                <w:noProof/>
                <w:color w:val="auto"/>
              </w:rPr>
              <w:t>b) Legitimidad de la parte recurrente</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_Toc211449540 \h </w:instrText>
            </w:r>
            <w:r w:rsidR="00F24B1F" w:rsidRPr="00B77590">
              <w:rPr>
                <w:noProof/>
                <w:webHidden/>
              </w:rPr>
            </w:r>
            <w:r w:rsidR="00F24B1F" w:rsidRPr="00B77590">
              <w:rPr>
                <w:noProof/>
                <w:webHidden/>
              </w:rPr>
              <w:fldChar w:fldCharType="separate"/>
            </w:r>
            <w:r w:rsidR="00B77590">
              <w:rPr>
                <w:noProof/>
                <w:webHidden/>
              </w:rPr>
              <w:t>10</w:t>
            </w:r>
            <w:r w:rsidR="00F24B1F" w:rsidRPr="00B77590">
              <w:rPr>
                <w:noProof/>
                <w:webHidden/>
              </w:rPr>
              <w:fldChar w:fldCharType="end"/>
            </w:r>
          </w:hyperlink>
        </w:p>
        <w:p w14:paraId="70CB58E7"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1" w:history="1">
            <w:r w:rsidR="00F24B1F" w:rsidRPr="00B77590">
              <w:rPr>
                <w:rStyle w:val="Hipervnculo"/>
                <w:rFonts w:eastAsia="Calibri"/>
                <w:noProof/>
                <w:color w:val="auto"/>
                <w:lang w:eastAsia="es-ES_tradnl"/>
              </w:rPr>
              <w:t>c) Plazo para interponer el recurso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_Toc211449541 \h </w:instrText>
            </w:r>
            <w:r w:rsidR="00F24B1F" w:rsidRPr="00B77590">
              <w:rPr>
                <w:noProof/>
                <w:webHidden/>
              </w:rPr>
            </w:r>
            <w:r w:rsidR="00F24B1F" w:rsidRPr="00B77590">
              <w:rPr>
                <w:noProof/>
                <w:webHidden/>
              </w:rPr>
              <w:fldChar w:fldCharType="separate"/>
            </w:r>
            <w:r w:rsidR="00B77590">
              <w:rPr>
                <w:noProof/>
                <w:webHidden/>
              </w:rPr>
              <w:t>10</w:t>
            </w:r>
            <w:r w:rsidR="00F24B1F" w:rsidRPr="00B77590">
              <w:rPr>
                <w:noProof/>
                <w:webHidden/>
              </w:rPr>
              <w:fldChar w:fldCharType="end"/>
            </w:r>
          </w:hyperlink>
        </w:p>
        <w:p w14:paraId="441E9C1D"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2" w:history="1">
            <w:r w:rsidR="00F24B1F" w:rsidRPr="00B77590">
              <w:rPr>
                <w:rStyle w:val="Hipervnculo"/>
                <w:rFonts w:eastAsia="Calibri"/>
                <w:noProof/>
                <w:color w:val="auto"/>
                <w:lang w:eastAsia="es-ES_tradnl"/>
              </w:rPr>
              <w:t>d) Causal de procedencia</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_Toc211449542 \h </w:instrText>
            </w:r>
            <w:r w:rsidR="00F24B1F" w:rsidRPr="00B77590">
              <w:rPr>
                <w:noProof/>
                <w:webHidden/>
              </w:rPr>
            </w:r>
            <w:r w:rsidR="00F24B1F" w:rsidRPr="00B77590">
              <w:rPr>
                <w:noProof/>
                <w:webHidden/>
              </w:rPr>
              <w:fldChar w:fldCharType="separate"/>
            </w:r>
            <w:r w:rsidR="00B77590">
              <w:rPr>
                <w:noProof/>
                <w:webHidden/>
              </w:rPr>
              <w:t>10</w:t>
            </w:r>
            <w:r w:rsidR="00F24B1F" w:rsidRPr="00B77590">
              <w:rPr>
                <w:noProof/>
                <w:webHidden/>
              </w:rPr>
              <w:fldChar w:fldCharType="end"/>
            </w:r>
          </w:hyperlink>
        </w:p>
        <w:p w14:paraId="6557EAA9"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3" w:history="1">
            <w:r w:rsidR="00F24B1F" w:rsidRPr="00B77590">
              <w:rPr>
                <w:rStyle w:val="Hipervnculo"/>
                <w:noProof/>
                <w:color w:val="auto"/>
              </w:rPr>
              <w:t>e) Requisitos formales para la interposición del recurso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_Toc211449543 \h </w:instrText>
            </w:r>
            <w:r w:rsidR="00F24B1F" w:rsidRPr="00B77590">
              <w:rPr>
                <w:noProof/>
                <w:webHidden/>
              </w:rPr>
            </w:r>
            <w:r w:rsidR="00F24B1F" w:rsidRPr="00B77590">
              <w:rPr>
                <w:noProof/>
                <w:webHidden/>
              </w:rPr>
              <w:fldChar w:fldCharType="separate"/>
            </w:r>
            <w:r w:rsidR="00B77590">
              <w:rPr>
                <w:noProof/>
                <w:webHidden/>
              </w:rPr>
              <w:t>10</w:t>
            </w:r>
            <w:r w:rsidR="00F24B1F" w:rsidRPr="00B77590">
              <w:rPr>
                <w:noProof/>
                <w:webHidden/>
              </w:rPr>
              <w:fldChar w:fldCharType="end"/>
            </w:r>
          </w:hyperlink>
        </w:p>
        <w:p w14:paraId="78D24556" w14:textId="77777777" w:rsidR="00F24B1F" w:rsidRPr="00B77590" w:rsidRDefault="00B35917" w:rsidP="00F24B1F">
          <w:pPr>
            <w:pStyle w:val="TDC2"/>
            <w:rPr>
              <w:rFonts w:asciiTheme="minorHAnsi" w:eastAsiaTheme="minorEastAsia" w:hAnsiTheme="minorHAnsi" w:cstheme="minorBidi"/>
              <w:noProof/>
              <w:szCs w:val="22"/>
              <w:lang w:eastAsia="es-MX"/>
            </w:rPr>
          </w:pPr>
          <w:hyperlink w:anchor="_Toc211449544" w:history="1">
            <w:r w:rsidR="00F24B1F" w:rsidRPr="00B77590">
              <w:rPr>
                <w:rStyle w:val="Hipervnculo"/>
                <w:noProof/>
                <w:color w:val="auto"/>
              </w:rPr>
              <w:t>SEGUNDO. Estudio de Fondo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_Toc211449544 \h </w:instrText>
            </w:r>
            <w:r w:rsidR="00F24B1F" w:rsidRPr="00B77590">
              <w:rPr>
                <w:noProof/>
                <w:webHidden/>
              </w:rPr>
            </w:r>
            <w:r w:rsidR="00F24B1F" w:rsidRPr="00B77590">
              <w:rPr>
                <w:noProof/>
                <w:webHidden/>
              </w:rPr>
              <w:fldChar w:fldCharType="separate"/>
            </w:r>
            <w:r w:rsidR="00B77590">
              <w:rPr>
                <w:noProof/>
                <w:webHidden/>
              </w:rPr>
              <w:t>11</w:t>
            </w:r>
            <w:r w:rsidR="00F24B1F" w:rsidRPr="00B77590">
              <w:rPr>
                <w:noProof/>
                <w:webHidden/>
              </w:rPr>
              <w:fldChar w:fldCharType="end"/>
            </w:r>
          </w:hyperlink>
        </w:p>
        <w:p w14:paraId="35BADC52"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5" w:history="1">
            <w:r w:rsidR="00F24B1F" w:rsidRPr="00B77590">
              <w:rPr>
                <w:rStyle w:val="Hipervnculo"/>
                <w:noProof/>
                <w:color w:val="auto"/>
              </w:rPr>
              <w:t>a) Mandato de transparencia y responsabilidad del Sujeto Obligado</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_Toc211449545 \h </w:instrText>
            </w:r>
            <w:r w:rsidR="00F24B1F" w:rsidRPr="00B77590">
              <w:rPr>
                <w:noProof/>
                <w:webHidden/>
              </w:rPr>
            </w:r>
            <w:r w:rsidR="00F24B1F" w:rsidRPr="00B77590">
              <w:rPr>
                <w:noProof/>
                <w:webHidden/>
              </w:rPr>
              <w:fldChar w:fldCharType="separate"/>
            </w:r>
            <w:r w:rsidR="00B77590">
              <w:rPr>
                <w:noProof/>
                <w:webHidden/>
              </w:rPr>
              <w:t>11</w:t>
            </w:r>
            <w:r w:rsidR="00F24B1F" w:rsidRPr="00B77590">
              <w:rPr>
                <w:noProof/>
                <w:webHidden/>
              </w:rPr>
              <w:fldChar w:fldCharType="end"/>
            </w:r>
          </w:hyperlink>
        </w:p>
        <w:p w14:paraId="5CA2F4CD"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6" w:history="1">
            <w:r w:rsidR="00F24B1F" w:rsidRPr="00B77590">
              <w:rPr>
                <w:rStyle w:val="Hipervnculo"/>
                <w:rFonts w:eastAsia="Calibri"/>
                <w:noProof/>
                <w:color w:val="auto"/>
                <w:lang w:eastAsia="es-ES_tradnl"/>
              </w:rPr>
              <w:t>b) Controversia a resolver</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_Toc211449546 \h </w:instrText>
            </w:r>
            <w:r w:rsidR="00F24B1F" w:rsidRPr="00B77590">
              <w:rPr>
                <w:noProof/>
                <w:webHidden/>
              </w:rPr>
            </w:r>
            <w:r w:rsidR="00F24B1F" w:rsidRPr="00B77590">
              <w:rPr>
                <w:noProof/>
                <w:webHidden/>
              </w:rPr>
              <w:fldChar w:fldCharType="separate"/>
            </w:r>
            <w:r w:rsidR="00B77590">
              <w:rPr>
                <w:noProof/>
                <w:webHidden/>
              </w:rPr>
              <w:t>13</w:t>
            </w:r>
            <w:r w:rsidR="00F24B1F" w:rsidRPr="00B77590">
              <w:rPr>
                <w:noProof/>
                <w:webHidden/>
              </w:rPr>
              <w:fldChar w:fldCharType="end"/>
            </w:r>
          </w:hyperlink>
        </w:p>
        <w:p w14:paraId="72965375"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7" w:history="1">
            <w:r w:rsidR="00F24B1F" w:rsidRPr="00B77590">
              <w:rPr>
                <w:rStyle w:val="Hipervnculo"/>
                <w:noProof/>
                <w:color w:val="auto"/>
              </w:rPr>
              <w:t>c) Estudio de la controversia</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_Toc211449547 \h </w:instrText>
            </w:r>
            <w:r w:rsidR="00F24B1F" w:rsidRPr="00B77590">
              <w:rPr>
                <w:noProof/>
                <w:webHidden/>
              </w:rPr>
            </w:r>
            <w:r w:rsidR="00F24B1F" w:rsidRPr="00B77590">
              <w:rPr>
                <w:noProof/>
                <w:webHidden/>
              </w:rPr>
              <w:fldChar w:fldCharType="separate"/>
            </w:r>
            <w:r w:rsidR="00B77590">
              <w:rPr>
                <w:noProof/>
                <w:webHidden/>
              </w:rPr>
              <w:t>15</w:t>
            </w:r>
            <w:r w:rsidR="00F24B1F" w:rsidRPr="00B77590">
              <w:rPr>
                <w:noProof/>
                <w:webHidden/>
              </w:rPr>
              <w:fldChar w:fldCharType="end"/>
            </w:r>
          </w:hyperlink>
        </w:p>
        <w:p w14:paraId="0C0C9A6E" w14:textId="77777777" w:rsidR="00F24B1F" w:rsidRPr="00B77590" w:rsidRDefault="00B35917" w:rsidP="00F24B1F">
          <w:pPr>
            <w:pStyle w:val="TDC3"/>
            <w:rPr>
              <w:rFonts w:asciiTheme="minorHAnsi" w:eastAsiaTheme="minorEastAsia" w:hAnsiTheme="minorHAnsi" w:cstheme="minorBidi"/>
              <w:noProof/>
              <w:szCs w:val="22"/>
              <w:lang w:eastAsia="es-MX"/>
            </w:rPr>
          </w:pPr>
          <w:hyperlink w:anchor="_Toc211449548" w:history="1">
            <w:r w:rsidR="00F24B1F" w:rsidRPr="00B77590">
              <w:rPr>
                <w:rStyle w:val="Hipervnculo"/>
                <w:noProof/>
                <w:color w:val="auto"/>
              </w:rPr>
              <w:t>e) Conclusión</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_Toc211449548 \h </w:instrText>
            </w:r>
            <w:r w:rsidR="00F24B1F" w:rsidRPr="00B77590">
              <w:rPr>
                <w:noProof/>
                <w:webHidden/>
              </w:rPr>
            </w:r>
            <w:r w:rsidR="00F24B1F" w:rsidRPr="00B77590">
              <w:rPr>
                <w:noProof/>
                <w:webHidden/>
              </w:rPr>
              <w:fldChar w:fldCharType="separate"/>
            </w:r>
            <w:r w:rsidR="00B77590">
              <w:rPr>
                <w:noProof/>
                <w:webHidden/>
              </w:rPr>
              <w:t>27</w:t>
            </w:r>
            <w:r w:rsidR="00F24B1F" w:rsidRPr="00B77590">
              <w:rPr>
                <w:noProof/>
                <w:webHidden/>
              </w:rPr>
              <w:fldChar w:fldCharType="end"/>
            </w:r>
          </w:hyperlink>
        </w:p>
        <w:p w14:paraId="0C82FD7A" w14:textId="747389E8" w:rsidR="009B2945" w:rsidRPr="00B77590" w:rsidRDefault="00B35917" w:rsidP="00F24B1F">
          <w:pPr>
            <w:pStyle w:val="TDC1"/>
            <w:tabs>
              <w:tab w:val="right" w:leader="dot" w:pos="9034"/>
            </w:tabs>
            <w:rPr>
              <w:b/>
              <w:bCs/>
              <w:lang w:val="es-ES"/>
            </w:rPr>
          </w:pPr>
          <w:hyperlink w:anchor="_Toc211449549" w:history="1">
            <w:r w:rsidR="00F24B1F" w:rsidRPr="00B77590">
              <w:rPr>
                <w:rStyle w:val="Hipervnculo"/>
                <w:noProof/>
                <w:color w:val="auto"/>
              </w:rPr>
              <w:t>RESUELVE</w:t>
            </w:r>
            <w:r w:rsidR="00F24B1F" w:rsidRPr="00B77590">
              <w:rPr>
                <w:noProof/>
                <w:webHidden/>
              </w:rPr>
              <w:tab/>
            </w:r>
            <w:r w:rsidR="00F24B1F" w:rsidRPr="00B77590">
              <w:rPr>
                <w:noProof/>
                <w:webHidden/>
              </w:rPr>
              <w:fldChar w:fldCharType="begin"/>
            </w:r>
            <w:r w:rsidR="00F24B1F" w:rsidRPr="00B77590">
              <w:rPr>
                <w:noProof/>
                <w:webHidden/>
              </w:rPr>
              <w:instrText xml:space="preserve"> PAGEREF _Toc211449549 \h </w:instrText>
            </w:r>
            <w:r w:rsidR="00F24B1F" w:rsidRPr="00B77590">
              <w:rPr>
                <w:noProof/>
                <w:webHidden/>
              </w:rPr>
            </w:r>
            <w:r w:rsidR="00F24B1F" w:rsidRPr="00B77590">
              <w:rPr>
                <w:noProof/>
                <w:webHidden/>
              </w:rPr>
              <w:fldChar w:fldCharType="separate"/>
            </w:r>
            <w:r w:rsidR="00B77590">
              <w:rPr>
                <w:noProof/>
                <w:webHidden/>
              </w:rPr>
              <w:t>27</w:t>
            </w:r>
            <w:r w:rsidR="00F24B1F" w:rsidRPr="00B77590">
              <w:rPr>
                <w:noProof/>
                <w:webHidden/>
              </w:rPr>
              <w:fldChar w:fldCharType="end"/>
            </w:r>
          </w:hyperlink>
          <w:r w:rsidR="00AE3DA7" w:rsidRPr="00B77590">
            <w:rPr>
              <w:b/>
              <w:bCs/>
              <w:sz w:val="16"/>
              <w:szCs w:val="16"/>
              <w:lang w:val="es-ES"/>
            </w:rPr>
            <w:fldChar w:fldCharType="end"/>
          </w:r>
        </w:p>
      </w:sdtContent>
    </w:sdt>
    <w:p w14:paraId="603A07E2" w14:textId="77777777" w:rsidR="00646436" w:rsidRPr="00B77590" w:rsidRDefault="00646436" w:rsidP="00F24B1F">
      <w:pPr>
        <w:rPr>
          <w:rFonts w:cs="Tahoma"/>
          <w:szCs w:val="22"/>
        </w:rPr>
        <w:sectPr w:rsidR="00646436" w:rsidRPr="00B7759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F2E2876" w:rsidR="00775BFC" w:rsidRPr="00B77590" w:rsidRDefault="00775BFC" w:rsidP="00F24B1F">
      <w:r w:rsidRPr="00B77590">
        <w:lastRenderedPageBreak/>
        <w:t>Resolución del Pleno del Instituto de Transparencia, Acceso a la Información Pública y Protección de Datos Personales del Estado de México y Municipios, con domicilio e</w:t>
      </w:r>
      <w:r w:rsidR="004D0573" w:rsidRPr="00B77590">
        <w:t>n Metepec, Estado de México, de</w:t>
      </w:r>
      <w:r w:rsidR="00F24B1F" w:rsidRPr="00B77590">
        <w:t>l</w:t>
      </w:r>
      <w:r w:rsidR="004D0573" w:rsidRPr="00B77590">
        <w:t xml:space="preserve"> </w:t>
      </w:r>
      <w:r w:rsidR="00894874" w:rsidRPr="00B77590">
        <w:rPr>
          <w:b/>
        </w:rPr>
        <w:t xml:space="preserve">quince de octubre </w:t>
      </w:r>
      <w:r w:rsidR="006E7E69" w:rsidRPr="00B77590">
        <w:rPr>
          <w:b/>
        </w:rPr>
        <w:t>de dos mil veinticinco</w:t>
      </w:r>
      <w:r w:rsidRPr="00B77590">
        <w:t>.</w:t>
      </w:r>
    </w:p>
    <w:p w14:paraId="0AF3AAC4" w14:textId="77777777" w:rsidR="00775BFC" w:rsidRPr="00B77590" w:rsidRDefault="00775BFC" w:rsidP="00F24B1F"/>
    <w:p w14:paraId="7F2CBB45" w14:textId="6AE94085" w:rsidR="006F1B75" w:rsidRPr="00B77590" w:rsidRDefault="006F1B75" w:rsidP="00F24B1F">
      <w:r w:rsidRPr="00B77590">
        <w:rPr>
          <w:b/>
        </w:rPr>
        <w:t xml:space="preserve">VISTO </w:t>
      </w:r>
      <w:r w:rsidRPr="00B77590">
        <w:t xml:space="preserve">el expediente formado con motivo del Recurso de Revisión </w:t>
      </w:r>
      <w:r w:rsidRPr="00B77590">
        <w:rPr>
          <w:rFonts w:eastAsia="Calibri"/>
          <w:b/>
          <w:lang w:eastAsia="en-US"/>
        </w:rPr>
        <w:t>0</w:t>
      </w:r>
      <w:r w:rsidR="00894874" w:rsidRPr="00B77590">
        <w:rPr>
          <w:rFonts w:eastAsia="Calibri"/>
          <w:b/>
          <w:lang w:eastAsia="en-US"/>
        </w:rPr>
        <w:t>8212</w:t>
      </w:r>
      <w:r w:rsidRPr="00B77590">
        <w:rPr>
          <w:rFonts w:eastAsia="Calibri"/>
          <w:b/>
          <w:lang w:eastAsia="en-US"/>
        </w:rPr>
        <w:t>/INFOEM/IP/RR/2025</w:t>
      </w:r>
      <w:r w:rsidRPr="00B77590">
        <w:rPr>
          <w:rFonts w:eastAsia="Calibri"/>
          <w:lang w:eastAsia="en-US"/>
        </w:rPr>
        <w:t xml:space="preserve"> </w:t>
      </w:r>
      <w:r w:rsidRPr="00B77590">
        <w:t xml:space="preserve">interpuesto por </w:t>
      </w:r>
      <w:bookmarkStart w:id="2" w:name="_GoBack"/>
      <w:r w:rsidR="00CC12B8">
        <w:rPr>
          <w:rFonts w:eastAsia="Palatino Linotype" w:cs="Palatino Linotype"/>
          <w:b/>
        </w:rPr>
        <w:t>XXXXXXXX XXXXXX XXXXXXX</w:t>
      </w:r>
      <w:bookmarkEnd w:id="2"/>
      <w:r w:rsidRPr="00B77590">
        <w:rPr>
          <w:rFonts w:eastAsia="Calibri"/>
          <w:b/>
          <w:lang w:eastAsia="en-US"/>
        </w:rPr>
        <w:t>,</w:t>
      </w:r>
      <w:r w:rsidRPr="00B77590">
        <w:t xml:space="preserve"> a quien en lo subsecuente se le denominará </w:t>
      </w:r>
      <w:r w:rsidRPr="00B77590">
        <w:rPr>
          <w:b/>
          <w:bCs/>
        </w:rPr>
        <w:t>LA PARTE RECURRENTE</w:t>
      </w:r>
      <w:r w:rsidRPr="00B77590">
        <w:t xml:space="preserve">, en contra de la respuesta del </w:t>
      </w:r>
      <w:r w:rsidR="009F4DEA" w:rsidRPr="00B77590">
        <w:rPr>
          <w:b/>
          <w:bCs/>
        </w:rPr>
        <w:t xml:space="preserve">Ayuntamiento de </w:t>
      </w:r>
      <w:r w:rsidR="00894874" w:rsidRPr="00B77590">
        <w:rPr>
          <w:b/>
          <w:bCs/>
        </w:rPr>
        <w:t>Coacalco de Berriozábal</w:t>
      </w:r>
      <w:r w:rsidRPr="00B77590">
        <w:rPr>
          <w:b/>
          <w:bCs/>
        </w:rPr>
        <w:t xml:space="preserve">, </w:t>
      </w:r>
      <w:r w:rsidRPr="00B77590">
        <w:t xml:space="preserve">en adelante </w:t>
      </w:r>
      <w:r w:rsidRPr="00B77590">
        <w:rPr>
          <w:b/>
          <w:bCs/>
        </w:rPr>
        <w:t>EL SUJETO OBLIGADO</w:t>
      </w:r>
      <w:r w:rsidRPr="00B77590">
        <w:rPr>
          <w:rFonts w:eastAsia="Calibri"/>
          <w:lang w:eastAsia="en-US"/>
        </w:rPr>
        <w:t xml:space="preserve">, </w:t>
      </w:r>
      <w:r w:rsidRPr="00B77590">
        <w:t>se emite la presente Resolución con base en los Antecedentes y Considerandos que se exponen a continuación:</w:t>
      </w:r>
    </w:p>
    <w:p w14:paraId="7219533B" w14:textId="77777777" w:rsidR="006F1B75" w:rsidRPr="00B77590" w:rsidRDefault="006F1B75" w:rsidP="00F24B1F"/>
    <w:p w14:paraId="509AE05D" w14:textId="77777777" w:rsidR="006F1B75" w:rsidRPr="00B77590" w:rsidRDefault="006F1B75" w:rsidP="00F24B1F">
      <w:pPr>
        <w:pStyle w:val="Ttulo1"/>
      </w:pPr>
      <w:bookmarkStart w:id="3" w:name="_Toc190868752"/>
      <w:bookmarkStart w:id="4" w:name="_Toc211449524"/>
      <w:r w:rsidRPr="00B77590">
        <w:t>ANTECEDENTES</w:t>
      </w:r>
      <w:bookmarkEnd w:id="3"/>
      <w:bookmarkEnd w:id="4"/>
    </w:p>
    <w:p w14:paraId="609E3935" w14:textId="77777777" w:rsidR="006F1B75" w:rsidRPr="00B77590" w:rsidRDefault="006F1B75" w:rsidP="00F24B1F"/>
    <w:p w14:paraId="310595E6" w14:textId="77777777" w:rsidR="006F1B75" w:rsidRPr="00B77590" w:rsidRDefault="006F1B75" w:rsidP="00F24B1F">
      <w:pPr>
        <w:pStyle w:val="Ttulo2"/>
      </w:pPr>
      <w:bookmarkStart w:id="5" w:name="_Toc190868753"/>
      <w:bookmarkStart w:id="6" w:name="_Toc211449525"/>
      <w:r w:rsidRPr="00B77590">
        <w:t>DE LA SOLICITUD DE INFORMACIÓN</w:t>
      </w:r>
      <w:bookmarkEnd w:id="5"/>
      <w:bookmarkEnd w:id="6"/>
    </w:p>
    <w:p w14:paraId="3E5464C2" w14:textId="77777777" w:rsidR="006F1B75" w:rsidRPr="00B77590" w:rsidRDefault="006F1B75" w:rsidP="00F24B1F">
      <w:pPr>
        <w:pStyle w:val="Ttulo3"/>
      </w:pPr>
      <w:bookmarkStart w:id="7" w:name="_Toc190868754"/>
      <w:bookmarkStart w:id="8" w:name="_Toc211449526"/>
      <w:r w:rsidRPr="00B77590">
        <w:t>a) Solicitud de información</w:t>
      </w:r>
      <w:bookmarkEnd w:id="7"/>
      <w:bookmarkEnd w:id="8"/>
    </w:p>
    <w:p w14:paraId="46AA35E7" w14:textId="7A536033" w:rsidR="006F1B75" w:rsidRPr="00B77590" w:rsidRDefault="006F1B75" w:rsidP="00F24B1F">
      <w:pPr>
        <w:pStyle w:val="Prrafodelista"/>
        <w:tabs>
          <w:tab w:val="left" w:pos="0"/>
        </w:tabs>
        <w:ind w:left="0"/>
        <w:contextualSpacing w:val="0"/>
        <w:rPr>
          <w:rFonts w:cs="Tahoma"/>
        </w:rPr>
      </w:pPr>
      <w:r w:rsidRPr="00B77590">
        <w:rPr>
          <w:rFonts w:cs="Tahoma"/>
        </w:rPr>
        <w:t xml:space="preserve">El </w:t>
      </w:r>
      <w:r w:rsidR="00894874" w:rsidRPr="00B77590">
        <w:rPr>
          <w:rFonts w:cs="Tahoma"/>
          <w:b/>
          <w:bCs/>
        </w:rPr>
        <w:t xml:space="preserve">veintitrés de junio </w:t>
      </w:r>
      <w:r w:rsidR="009F4DEA" w:rsidRPr="00B77590">
        <w:rPr>
          <w:rFonts w:cs="Tahoma"/>
          <w:b/>
          <w:bCs/>
        </w:rPr>
        <w:t>d</w:t>
      </w:r>
      <w:r w:rsidRPr="00B77590">
        <w:rPr>
          <w:rFonts w:cs="Tahoma"/>
          <w:b/>
          <w:bCs/>
        </w:rPr>
        <w:t>e dos mil veinticinco</w:t>
      </w:r>
      <w:r w:rsidR="008974D7" w:rsidRPr="00B77590">
        <w:rPr>
          <w:rStyle w:val="Refdenotaalpie"/>
          <w:rFonts w:cs="Tahoma"/>
          <w:b/>
          <w:bCs/>
        </w:rPr>
        <w:footnoteReference w:id="1"/>
      </w:r>
      <w:r w:rsidRPr="00B77590">
        <w:rPr>
          <w:rFonts w:cs="Tahoma"/>
        </w:rPr>
        <w:t xml:space="preserve">, </w:t>
      </w:r>
      <w:r w:rsidRPr="00B77590">
        <w:rPr>
          <w:b/>
          <w:bCs/>
        </w:rPr>
        <w:t>LA PARTE RECURRENTE</w:t>
      </w:r>
      <w:r w:rsidRPr="00B77590">
        <w:rPr>
          <w:rFonts w:cs="Tahoma"/>
        </w:rPr>
        <w:t xml:space="preserve"> presentó una solicitud de acceso a la información pública ante el </w:t>
      </w:r>
      <w:r w:rsidRPr="00B77590">
        <w:rPr>
          <w:rFonts w:cs="Tahoma"/>
          <w:b/>
          <w:bCs/>
        </w:rPr>
        <w:t>SUJETO OBLIGADO</w:t>
      </w:r>
      <w:r w:rsidRPr="00B77590">
        <w:rPr>
          <w:rFonts w:cs="Tahoma"/>
        </w:rPr>
        <w:t>, a través Sistema de Acceso a la Información Mexiquense (</w:t>
      </w:r>
      <w:r w:rsidRPr="00B77590">
        <w:rPr>
          <w:rFonts w:cs="Tahoma"/>
          <w:b/>
        </w:rPr>
        <w:t>SAIMEX</w:t>
      </w:r>
      <w:r w:rsidRPr="00B77590">
        <w:rPr>
          <w:rFonts w:cs="Tahoma"/>
        </w:rPr>
        <w:t>). Dicha solicitud quedó registrada con el número de folio</w:t>
      </w:r>
      <w:r w:rsidRPr="00B77590">
        <w:rPr>
          <w:rFonts w:cs="Tahoma"/>
          <w:b/>
          <w:bCs/>
        </w:rPr>
        <w:t xml:space="preserve"> </w:t>
      </w:r>
      <w:r w:rsidR="00894874" w:rsidRPr="00B77590">
        <w:rPr>
          <w:rFonts w:cs="Tahoma"/>
          <w:b/>
        </w:rPr>
        <w:t>00153/COACALCO/IP/2025</w:t>
      </w:r>
      <w:r w:rsidR="00894874" w:rsidRPr="00B77590">
        <w:rPr>
          <w:rFonts w:cs="Tahoma"/>
        </w:rPr>
        <w:t xml:space="preserve"> </w:t>
      </w:r>
      <w:r w:rsidRPr="00B77590">
        <w:rPr>
          <w:rFonts w:cs="Tahoma"/>
        </w:rPr>
        <w:t>y en ella se requirió la siguiente información:</w:t>
      </w:r>
    </w:p>
    <w:p w14:paraId="0AE2A714" w14:textId="77777777" w:rsidR="006F1B75" w:rsidRPr="00B77590" w:rsidRDefault="006F1B75" w:rsidP="00F24B1F">
      <w:pPr>
        <w:tabs>
          <w:tab w:val="left" w:pos="4667"/>
        </w:tabs>
        <w:ind w:left="567" w:right="567"/>
        <w:rPr>
          <w:rFonts w:cs="Tahoma"/>
          <w:b/>
          <w:bCs/>
        </w:rPr>
      </w:pPr>
    </w:p>
    <w:p w14:paraId="34305AAC" w14:textId="34B811D3" w:rsidR="006F1B75" w:rsidRPr="00B77590" w:rsidRDefault="006F1B75" w:rsidP="00F24B1F">
      <w:pPr>
        <w:pStyle w:val="Puesto"/>
      </w:pPr>
      <w:r w:rsidRPr="00B77590">
        <w:t>“</w:t>
      </w:r>
      <w:r w:rsidR="00894874" w:rsidRPr="00B77590">
        <w:t xml:space="preserve">SOLICITO LAS CERTIFICACIONES 2025 DEL DIRECTOR DE DESARROLLO URBANO EL DIRECTOR DE MEDIO AMBIENTE Y EL DIRECTOR DE FOMENTO ECONOMICO </w:t>
      </w:r>
      <w:r w:rsidRPr="00B77590">
        <w:t>"(sic)</w:t>
      </w:r>
    </w:p>
    <w:p w14:paraId="3E133900" w14:textId="77777777" w:rsidR="006F1B75" w:rsidRPr="00B77590" w:rsidRDefault="006F1B75" w:rsidP="00F24B1F">
      <w:pPr>
        <w:pStyle w:val="Puesto"/>
      </w:pPr>
    </w:p>
    <w:p w14:paraId="027E778A" w14:textId="77777777" w:rsidR="006F1B75" w:rsidRPr="00B77590" w:rsidRDefault="006F1B75" w:rsidP="00F24B1F">
      <w:pPr>
        <w:tabs>
          <w:tab w:val="left" w:pos="4667"/>
        </w:tabs>
        <w:ind w:left="567" w:right="567"/>
        <w:rPr>
          <w:rFonts w:cs="Tahoma"/>
          <w:bCs/>
          <w:szCs w:val="22"/>
        </w:rPr>
      </w:pPr>
      <w:r w:rsidRPr="00B77590">
        <w:rPr>
          <w:rFonts w:cs="Tahoma"/>
          <w:b/>
          <w:bCs/>
          <w:szCs w:val="22"/>
        </w:rPr>
        <w:lastRenderedPageBreak/>
        <w:t>Modalidad de entrega</w:t>
      </w:r>
      <w:r w:rsidRPr="00B77590">
        <w:rPr>
          <w:rFonts w:cs="Tahoma"/>
          <w:bCs/>
          <w:szCs w:val="22"/>
        </w:rPr>
        <w:t>: a</w:t>
      </w:r>
      <w:r w:rsidRPr="00B77590">
        <w:rPr>
          <w:rFonts w:cs="Tahoma"/>
          <w:bCs/>
          <w:i/>
          <w:szCs w:val="22"/>
        </w:rPr>
        <w:t xml:space="preserve"> través del </w:t>
      </w:r>
      <w:r w:rsidRPr="00B77590">
        <w:rPr>
          <w:rFonts w:cs="Tahoma"/>
          <w:b/>
          <w:bCs/>
          <w:i/>
          <w:szCs w:val="22"/>
        </w:rPr>
        <w:t>SAIMEX</w:t>
      </w:r>
      <w:r w:rsidRPr="00B77590">
        <w:rPr>
          <w:rFonts w:cs="Tahoma"/>
          <w:bCs/>
          <w:i/>
          <w:szCs w:val="22"/>
        </w:rPr>
        <w:t>.</w:t>
      </w:r>
    </w:p>
    <w:p w14:paraId="48BCA7FF" w14:textId="77777777" w:rsidR="006F1B75" w:rsidRPr="00B77590" w:rsidRDefault="006F1B75" w:rsidP="00F24B1F">
      <w:pPr>
        <w:autoSpaceDE w:val="0"/>
        <w:autoSpaceDN w:val="0"/>
        <w:adjustRightInd w:val="0"/>
        <w:ind w:right="-28"/>
        <w:rPr>
          <w:rFonts w:cs="Tahoma"/>
          <w:bCs/>
          <w:i/>
          <w:szCs w:val="22"/>
        </w:rPr>
      </w:pPr>
    </w:p>
    <w:p w14:paraId="630910C4" w14:textId="77777777" w:rsidR="0059269D" w:rsidRPr="00B77590" w:rsidRDefault="0059269D" w:rsidP="00F24B1F">
      <w:pPr>
        <w:pStyle w:val="Ttulo3"/>
      </w:pPr>
      <w:bookmarkStart w:id="9" w:name="_Toc171441050"/>
      <w:bookmarkStart w:id="10" w:name="_Toc192070914"/>
      <w:bookmarkStart w:id="11" w:name="_Toc211449527"/>
      <w:r w:rsidRPr="00B77590">
        <w:t>b) Turno de la solicitud de información</w:t>
      </w:r>
      <w:bookmarkEnd w:id="9"/>
      <w:bookmarkEnd w:id="10"/>
      <w:bookmarkEnd w:id="11"/>
    </w:p>
    <w:p w14:paraId="6DD51ED8" w14:textId="75140E41" w:rsidR="0059269D" w:rsidRPr="00B77590" w:rsidRDefault="0059269D" w:rsidP="00F24B1F">
      <w:r w:rsidRPr="00B77590">
        <w:t xml:space="preserve">En cumplimiento al artículo 162 de la Ley de Transparencia y Acceso a la Información Pública del Estado de México y Municipios, el </w:t>
      </w:r>
      <w:r w:rsidR="00894874" w:rsidRPr="00B77590">
        <w:rPr>
          <w:rFonts w:eastAsia="Palatino Linotype" w:cs="Palatino Linotype"/>
          <w:b/>
        </w:rPr>
        <w:t xml:space="preserve">veintitrés de junio </w:t>
      </w:r>
      <w:r w:rsidRPr="00B77590">
        <w:rPr>
          <w:rFonts w:eastAsia="Palatino Linotype" w:cs="Palatino Linotype"/>
          <w:b/>
        </w:rPr>
        <w:t>de dos mil veintic</w:t>
      </w:r>
      <w:r w:rsidR="009F4DEA" w:rsidRPr="00B77590">
        <w:rPr>
          <w:rFonts w:eastAsia="Palatino Linotype" w:cs="Palatino Linotype"/>
          <w:b/>
        </w:rPr>
        <w:t>inco</w:t>
      </w:r>
      <w:r w:rsidRPr="00B77590">
        <w:t xml:space="preserve">, el Titular de la Unidad de Transparencia del </w:t>
      </w:r>
      <w:r w:rsidRPr="00B77590">
        <w:rPr>
          <w:b/>
        </w:rPr>
        <w:t>SUJETO OBLIGADO</w:t>
      </w:r>
      <w:r w:rsidRPr="00B77590">
        <w:t xml:space="preserve"> turnó la solicitud de información al servidor público habilitado que estimó pertinente.</w:t>
      </w:r>
    </w:p>
    <w:p w14:paraId="05227CA7" w14:textId="77777777" w:rsidR="0059269D" w:rsidRPr="00B77590" w:rsidRDefault="0059269D" w:rsidP="00F24B1F">
      <w:pPr>
        <w:autoSpaceDE w:val="0"/>
        <w:autoSpaceDN w:val="0"/>
        <w:adjustRightInd w:val="0"/>
        <w:ind w:right="-28"/>
        <w:rPr>
          <w:rFonts w:cs="Tahoma"/>
          <w:bCs/>
          <w:i/>
          <w:szCs w:val="22"/>
        </w:rPr>
      </w:pPr>
    </w:p>
    <w:p w14:paraId="0885CAB1" w14:textId="3E7DC7F0" w:rsidR="006F1B75" w:rsidRPr="00B77590" w:rsidRDefault="00F876EE" w:rsidP="00F24B1F">
      <w:pPr>
        <w:pStyle w:val="Ttulo3"/>
      </w:pPr>
      <w:bookmarkStart w:id="12" w:name="_Toc190177238"/>
      <w:bookmarkStart w:id="13" w:name="_Toc190868755"/>
      <w:bookmarkStart w:id="14" w:name="_Toc211449528"/>
      <w:r w:rsidRPr="00B77590">
        <w:t>c</w:t>
      </w:r>
      <w:r w:rsidR="006F1B75" w:rsidRPr="00B77590">
        <w:t xml:space="preserve">) </w:t>
      </w:r>
      <w:bookmarkEnd w:id="12"/>
      <w:r w:rsidR="006F1B75" w:rsidRPr="00B77590">
        <w:rPr>
          <w:lang w:val="es-ES"/>
        </w:rPr>
        <w:t xml:space="preserve">Respuesta </w:t>
      </w:r>
      <w:r w:rsidR="006F1B75" w:rsidRPr="00B77590">
        <w:rPr>
          <w:rFonts w:eastAsia="Calibri"/>
          <w:lang w:eastAsia="en-US"/>
        </w:rPr>
        <w:t>del Sujeto Obligado</w:t>
      </w:r>
      <w:bookmarkEnd w:id="13"/>
      <w:bookmarkEnd w:id="14"/>
    </w:p>
    <w:p w14:paraId="0FBDA5BF" w14:textId="4539C99D" w:rsidR="006F1B75" w:rsidRPr="00B77590" w:rsidRDefault="006F1B75" w:rsidP="00F24B1F">
      <w:pPr>
        <w:rPr>
          <w:lang w:val="es-ES"/>
        </w:rPr>
      </w:pPr>
      <w:r w:rsidRPr="00B77590">
        <w:rPr>
          <w:lang w:val="es-ES"/>
        </w:rPr>
        <w:t xml:space="preserve">El </w:t>
      </w:r>
      <w:r w:rsidR="00894874" w:rsidRPr="00B77590">
        <w:rPr>
          <w:b/>
          <w:bCs/>
          <w:lang w:val="es-ES"/>
        </w:rPr>
        <w:t xml:space="preserve">veintiséis de junio </w:t>
      </w:r>
      <w:r w:rsidRPr="00B77590">
        <w:rPr>
          <w:b/>
          <w:bCs/>
          <w:lang w:val="es-ES"/>
        </w:rPr>
        <w:t>de dos mil veinticinco</w:t>
      </w:r>
      <w:r w:rsidRPr="00B77590">
        <w:rPr>
          <w:lang w:val="es-ES"/>
        </w:rPr>
        <w:t xml:space="preserve">, el Titular de la Unidad de Transparencia del </w:t>
      </w:r>
      <w:r w:rsidRPr="00B77590">
        <w:rPr>
          <w:b/>
          <w:lang w:val="es-ES"/>
        </w:rPr>
        <w:t>SUJETO OBLIGADO</w:t>
      </w:r>
      <w:r w:rsidRPr="00B77590">
        <w:rPr>
          <w:lang w:val="es-ES"/>
        </w:rPr>
        <w:t xml:space="preserve"> notificó la siguiente respuesta a través del </w:t>
      </w:r>
      <w:r w:rsidRPr="00B77590">
        <w:rPr>
          <w:b/>
          <w:lang w:val="es-ES"/>
        </w:rPr>
        <w:t>SAIMEX</w:t>
      </w:r>
      <w:r w:rsidRPr="00B77590">
        <w:rPr>
          <w:lang w:val="es-ES"/>
        </w:rPr>
        <w:t>:</w:t>
      </w:r>
    </w:p>
    <w:p w14:paraId="798C41C3" w14:textId="77777777" w:rsidR="006F1B75" w:rsidRPr="00B77590" w:rsidRDefault="006F1B75" w:rsidP="00F24B1F"/>
    <w:p w14:paraId="2455F41E" w14:textId="77777777" w:rsidR="008974D7" w:rsidRPr="00B77590" w:rsidRDefault="006F1B75" w:rsidP="00F24B1F">
      <w:pPr>
        <w:pStyle w:val="Puesto"/>
      </w:pPr>
      <w:r w:rsidRPr="00B77590">
        <w:t>“</w:t>
      </w:r>
      <w:r w:rsidR="008974D7" w:rsidRPr="00B77590">
        <w:t>En respuesta a la solicitud recibida, nos permitimos hacer de su conocimiento que con fundamento en el artículo 53, Fracciones: II, V y VI de la Ley de Transparencia y Acceso a la Información Pública del Estado de México y Municipios, le contestamos que:</w:t>
      </w:r>
    </w:p>
    <w:p w14:paraId="6B78181A" w14:textId="77777777" w:rsidR="008974D7" w:rsidRPr="00B77590" w:rsidRDefault="008974D7" w:rsidP="00F24B1F"/>
    <w:p w14:paraId="1082ECC8" w14:textId="77777777" w:rsidR="008974D7" w:rsidRPr="00B77590" w:rsidRDefault="008974D7" w:rsidP="00F24B1F">
      <w:pPr>
        <w:pStyle w:val="Puesto"/>
      </w:pPr>
      <w:r w:rsidRPr="00B77590">
        <w:t>Se emite respuesta</w:t>
      </w:r>
    </w:p>
    <w:p w14:paraId="79417E67" w14:textId="77777777" w:rsidR="008974D7" w:rsidRPr="00B77590" w:rsidRDefault="008974D7" w:rsidP="00F24B1F"/>
    <w:p w14:paraId="09C26BE2" w14:textId="77777777" w:rsidR="008974D7" w:rsidRPr="00B77590" w:rsidRDefault="008974D7" w:rsidP="00F24B1F">
      <w:pPr>
        <w:pStyle w:val="Puesto"/>
      </w:pPr>
      <w:r w:rsidRPr="00B77590">
        <w:t>ATENTAMENTE</w:t>
      </w:r>
    </w:p>
    <w:p w14:paraId="609B27FB" w14:textId="77777777" w:rsidR="008974D7" w:rsidRPr="00B77590" w:rsidRDefault="008974D7" w:rsidP="00F24B1F"/>
    <w:p w14:paraId="3EAC63A1" w14:textId="02B16B90" w:rsidR="006F1B75" w:rsidRPr="00B77590" w:rsidRDefault="008974D7" w:rsidP="00F24B1F">
      <w:pPr>
        <w:pStyle w:val="Puesto"/>
      </w:pPr>
      <w:r w:rsidRPr="00B77590">
        <w:t>LIC. MARTHA GIOVANNA ZARATE FRAGOSO</w:t>
      </w:r>
      <w:r w:rsidR="006F1B75" w:rsidRPr="00B77590">
        <w:t>” (sic)</w:t>
      </w:r>
    </w:p>
    <w:p w14:paraId="7676E33D" w14:textId="77777777" w:rsidR="006F1B75" w:rsidRPr="00B77590" w:rsidRDefault="006F1B75" w:rsidP="00F24B1F"/>
    <w:p w14:paraId="159AF31A" w14:textId="77777777" w:rsidR="009F4DEA" w:rsidRPr="00B77590" w:rsidRDefault="006F1B75" w:rsidP="00F24B1F">
      <w:pPr>
        <w:autoSpaceDE w:val="0"/>
        <w:autoSpaceDN w:val="0"/>
        <w:adjustRightInd w:val="0"/>
        <w:ind w:right="-28"/>
        <w:rPr>
          <w:rFonts w:cs="Tahoma"/>
          <w:bCs/>
          <w:szCs w:val="22"/>
          <w:lang w:val="es-ES"/>
        </w:rPr>
      </w:pPr>
      <w:r w:rsidRPr="00B77590">
        <w:rPr>
          <w:rFonts w:cs="Tahoma"/>
          <w:bCs/>
          <w:szCs w:val="22"/>
          <w:lang w:val="es-ES"/>
        </w:rPr>
        <w:t xml:space="preserve">Asimismo, </w:t>
      </w:r>
      <w:r w:rsidRPr="00B77590">
        <w:rPr>
          <w:rFonts w:cs="Tahoma"/>
          <w:b/>
          <w:szCs w:val="22"/>
          <w:lang w:val="es-ES"/>
        </w:rPr>
        <w:t xml:space="preserve">EL SUJETO OBLIGADO </w:t>
      </w:r>
      <w:r w:rsidRPr="00B77590">
        <w:rPr>
          <w:rFonts w:cs="Tahoma"/>
          <w:bCs/>
          <w:szCs w:val="22"/>
          <w:lang w:val="es-ES"/>
        </w:rPr>
        <w:t xml:space="preserve">adjuntó a su respuesta </w:t>
      </w:r>
      <w:r w:rsidR="009F4DEA" w:rsidRPr="00B77590">
        <w:rPr>
          <w:rFonts w:cs="Tahoma"/>
          <w:bCs/>
          <w:szCs w:val="22"/>
          <w:lang w:val="es-ES"/>
        </w:rPr>
        <w:t>los</w:t>
      </w:r>
      <w:r w:rsidRPr="00B77590">
        <w:rPr>
          <w:rFonts w:cs="Tahoma"/>
          <w:bCs/>
          <w:szCs w:val="22"/>
          <w:lang w:val="es-ES"/>
        </w:rPr>
        <w:t xml:space="preserve"> archivo</w:t>
      </w:r>
      <w:r w:rsidR="009F4DEA" w:rsidRPr="00B77590">
        <w:rPr>
          <w:rFonts w:cs="Tahoma"/>
          <w:bCs/>
          <w:szCs w:val="22"/>
          <w:lang w:val="es-ES"/>
        </w:rPr>
        <w:t>s</w:t>
      </w:r>
      <w:r w:rsidRPr="00B77590">
        <w:rPr>
          <w:rFonts w:cs="Tahoma"/>
          <w:bCs/>
          <w:szCs w:val="22"/>
          <w:lang w:val="es-ES"/>
        </w:rPr>
        <w:t xml:space="preserve"> electrónico</w:t>
      </w:r>
      <w:r w:rsidR="009F4DEA" w:rsidRPr="00B77590">
        <w:rPr>
          <w:rFonts w:cs="Tahoma"/>
          <w:bCs/>
          <w:szCs w:val="22"/>
          <w:lang w:val="es-ES"/>
        </w:rPr>
        <w:t>s</w:t>
      </w:r>
      <w:r w:rsidRPr="00B77590">
        <w:rPr>
          <w:rFonts w:cs="Tahoma"/>
          <w:bCs/>
          <w:szCs w:val="22"/>
          <w:lang w:val="es-ES"/>
        </w:rPr>
        <w:t xml:space="preserve"> </w:t>
      </w:r>
      <w:r w:rsidR="009F4DEA" w:rsidRPr="00B77590">
        <w:rPr>
          <w:rFonts w:cs="Tahoma"/>
          <w:bCs/>
          <w:szCs w:val="22"/>
          <w:lang w:val="es-ES"/>
        </w:rPr>
        <w:t>que a continuación se describen:</w:t>
      </w:r>
    </w:p>
    <w:p w14:paraId="3B59BE0C" w14:textId="77777777" w:rsidR="008974D7" w:rsidRPr="00B77590" w:rsidRDefault="008974D7" w:rsidP="00F24B1F">
      <w:pPr>
        <w:autoSpaceDE w:val="0"/>
        <w:autoSpaceDN w:val="0"/>
        <w:adjustRightInd w:val="0"/>
        <w:ind w:right="-28"/>
        <w:rPr>
          <w:rFonts w:cs="Tahoma"/>
          <w:bCs/>
          <w:szCs w:val="22"/>
          <w:lang w:val="es-ES"/>
        </w:rPr>
      </w:pPr>
    </w:p>
    <w:p w14:paraId="56D62684" w14:textId="57549A0D" w:rsidR="008974D7" w:rsidRPr="00B77590" w:rsidRDefault="008974D7" w:rsidP="00F24B1F">
      <w:pPr>
        <w:pStyle w:val="Prrafodelista"/>
        <w:numPr>
          <w:ilvl w:val="0"/>
          <w:numId w:val="8"/>
        </w:numPr>
        <w:autoSpaceDE w:val="0"/>
        <w:autoSpaceDN w:val="0"/>
        <w:adjustRightInd w:val="0"/>
        <w:ind w:right="-28"/>
        <w:rPr>
          <w:rFonts w:cs="Tahoma"/>
          <w:b/>
          <w:bCs/>
          <w:i/>
          <w:iCs/>
          <w:szCs w:val="22"/>
        </w:rPr>
      </w:pPr>
      <w:r w:rsidRPr="00B77590">
        <w:rPr>
          <w:rFonts w:cs="Tahoma"/>
          <w:b/>
          <w:bCs/>
          <w:i/>
          <w:iCs/>
          <w:szCs w:val="22"/>
        </w:rPr>
        <w:t xml:space="preserve">Informe 153.pdf, </w:t>
      </w:r>
      <w:r w:rsidRPr="00B77590">
        <w:rPr>
          <w:rFonts w:cs="Tahoma"/>
          <w:bCs/>
          <w:iCs/>
          <w:szCs w:val="22"/>
        </w:rPr>
        <w:t xml:space="preserve">el cual contiene el oficio del veintiséis de junio de dos mil veinticinco, por medio del cual la Coordinadora de Transparencia y Protección de Datos </w:t>
      </w:r>
      <w:r w:rsidRPr="00B77590">
        <w:rPr>
          <w:rFonts w:cs="Tahoma"/>
          <w:bCs/>
          <w:iCs/>
          <w:szCs w:val="22"/>
        </w:rPr>
        <w:lastRenderedPageBreak/>
        <w:t xml:space="preserve">Personales, refiere adjuntar la respuesta emitida por el servidor público habilitado de la Dirección de Administración. </w:t>
      </w:r>
    </w:p>
    <w:p w14:paraId="7CDCA17B" w14:textId="081ECC63" w:rsidR="008974D7" w:rsidRPr="00B77590" w:rsidRDefault="008974D7" w:rsidP="00F24B1F">
      <w:pPr>
        <w:pStyle w:val="Prrafodelista"/>
        <w:numPr>
          <w:ilvl w:val="0"/>
          <w:numId w:val="8"/>
        </w:numPr>
        <w:autoSpaceDE w:val="0"/>
        <w:autoSpaceDN w:val="0"/>
        <w:adjustRightInd w:val="0"/>
        <w:ind w:right="-28"/>
        <w:rPr>
          <w:rFonts w:cs="Tahoma"/>
          <w:b/>
          <w:bCs/>
          <w:i/>
          <w:iCs/>
          <w:szCs w:val="22"/>
        </w:rPr>
      </w:pPr>
      <w:r w:rsidRPr="00B77590">
        <w:rPr>
          <w:rFonts w:cs="Tahoma"/>
          <w:b/>
          <w:bCs/>
          <w:i/>
          <w:iCs/>
          <w:szCs w:val="22"/>
        </w:rPr>
        <w:t xml:space="preserve">Respuesta 153.pdf, </w:t>
      </w:r>
      <w:r w:rsidRPr="00B77590">
        <w:rPr>
          <w:rFonts w:cs="Tahoma"/>
          <w:bCs/>
          <w:iCs/>
          <w:szCs w:val="22"/>
        </w:rPr>
        <w:t xml:space="preserve">el cual contiene el oficio DA/1220/2025 del veinticinco de junio de dos mil veinticinco, por medio del cual la Directora de Administración hace del conocimiento que los titulares de la Dirección de Desarrollo Urbano y la Dirección de Medio ambientes se encuentran dentro del plazo establecido para su certificación. </w:t>
      </w:r>
    </w:p>
    <w:p w14:paraId="794E3188" w14:textId="08D11CD7" w:rsidR="0059269D" w:rsidRPr="00B77590" w:rsidRDefault="0059269D" w:rsidP="00F24B1F">
      <w:pPr>
        <w:autoSpaceDE w:val="0"/>
        <w:autoSpaceDN w:val="0"/>
        <w:adjustRightInd w:val="0"/>
        <w:ind w:right="-28"/>
        <w:rPr>
          <w:rFonts w:cs="Tahoma"/>
          <w:szCs w:val="22"/>
        </w:rPr>
      </w:pPr>
    </w:p>
    <w:p w14:paraId="0F24A322" w14:textId="7F9E5F9A" w:rsidR="00B137E8" w:rsidRPr="00B77590" w:rsidRDefault="00B137E8" w:rsidP="00F24B1F">
      <w:pPr>
        <w:pStyle w:val="Ttulo2"/>
        <w:jc w:val="left"/>
      </w:pPr>
      <w:bookmarkStart w:id="15" w:name="_Toc171527280"/>
      <w:bookmarkStart w:id="16" w:name="_Toc211449529"/>
      <w:r w:rsidRPr="00B77590">
        <w:t>DEL RECURSO DE REVISIÓN</w:t>
      </w:r>
      <w:bookmarkEnd w:id="15"/>
      <w:bookmarkEnd w:id="16"/>
    </w:p>
    <w:p w14:paraId="2B216813" w14:textId="61ADBB2B" w:rsidR="00664420" w:rsidRPr="00B77590" w:rsidRDefault="006E25BC" w:rsidP="00F24B1F">
      <w:pPr>
        <w:pStyle w:val="Ttulo3"/>
      </w:pPr>
      <w:bookmarkStart w:id="17" w:name="_Toc211449530"/>
      <w:r w:rsidRPr="00B77590">
        <w:rPr>
          <w:szCs w:val="32"/>
        </w:rPr>
        <w:t>a)</w:t>
      </w:r>
      <w:r w:rsidRPr="00B77590">
        <w:t xml:space="preserve"> </w:t>
      </w:r>
      <w:r w:rsidR="00664420" w:rsidRPr="00B77590">
        <w:t>Interposición del Recurso de Revisión</w:t>
      </w:r>
      <w:bookmarkEnd w:id="17"/>
    </w:p>
    <w:p w14:paraId="6279C622" w14:textId="0631A172" w:rsidR="00664420" w:rsidRPr="00B77590" w:rsidRDefault="00664420" w:rsidP="00F24B1F">
      <w:pPr>
        <w:autoSpaceDE w:val="0"/>
        <w:autoSpaceDN w:val="0"/>
        <w:adjustRightInd w:val="0"/>
        <w:ind w:right="-28"/>
        <w:rPr>
          <w:rFonts w:cs="Tahoma"/>
          <w:b/>
          <w:bCs/>
          <w:szCs w:val="22"/>
        </w:rPr>
      </w:pPr>
      <w:r w:rsidRPr="00B77590">
        <w:rPr>
          <w:rFonts w:cs="Tahoma"/>
          <w:szCs w:val="22"/>
        </w:rPr>
        <w:t xml:space="preserve">El </w:t>
      </w:r>
      <w:r w:rsidR="008974D7" w:rsidRPr="00B77590">
        <w:rPr>
          <w:rFonts w:cs="Tahoma"/>
          <w:b/>
          <w:bCs/>
          <w:szCs w:val="22"/>
        </w:rPr>
        <w:t>siete</w:t>
      </w:r>
      <w:r w:rsidR="00B702FD" w:rsidRPr="00B77590">
        <w:rPr>
          <w:rStyle w:val="Refdenotaalpie"/>
          <w:rFonts w:cs="Tahoma"/>
          <w:b/>
          <w:bCs/>
          <w:szCs w:val="22"/>
        </w:rPr>
        <w:footnoteReference w:id="2"/>
      </w:r>
      <w:r w:rsidR="008974D7" w:rsidRPr="00B77590">
        <w:rPr>
          <w:rFonts w:cs="Tahoma"/>
          <w:b/>
          <w:bCs/>
          <w:szCs w:val="22"/>
        </w:rPr>
        <w:t xml:space="preserve"> de julio </w:t>
      </w:r>
      <w:r w:rsidR="00475FF6" w:rsidRPr="00B77590">
        <w:rPr>
          <w:rFonts w:cs="Tahoma"/>
          <w:b/>
          <w:bCs/>
          <w:szCs w:val="22"/>
        </w:rPr>
        <w:t xml:space="preserve">de </w:t>
      </w:r>
      <w:r w:rsidRPr="00B77590">
        <w:rPr>
          <w:rFonts w:cs="Tahoma"/>
          <w:b/>
          <w:bCs/>
          <w:szCs w:val="22"/>
        </w:rPr>
        <w:t>dos mil</w:t>
      </w:r>
      <w:r w:rsidR="00F45902" w:rsidRPr="00B77590">
        <w:rPr>
          <w:rFonts w:cs="Tahoma"/>
          <w:b/>
          <w:bCs/>
          <w:szCs w:val="22"/>
        </w:rPr>
        <w:t xml:space="preserve"> veintic</w:t>
      </w:r>
      <w:r w:rsidR="006E7E69" w:rsidRPr="00B77590">
        <w:rPr>
          <w:rFonts w:cs="Tahoma"/>
          <w:b/>
          <w:bCs/>
          <w:szCs w:val="22"/>
        </w:rPr>
        <w:t>inco</w:t>
      </w:r>
      <w:r w:rsidRPr="00B77590">
        <w:rPr>
          <w:rFonts w:cs="Tahoma"/>
          <w:szCs w:val="22"/>
        </w:rPr>
        <w:t xml:space="preserve"> </w:t>
      </w:r>
      <w:r w:rsidR="00F75D23" w:rsidRPr="00B77590">
        <w:rPr>
          <w:rFonts w:cs="Tahoma"/>
          <w:b/>
          <w:bCs/>
          <w:szCs w:val="22"/>
        </w:rPr>
        <w:t>LA PARTE RECURRENTE</w:t>
      </w:r>
      <w:r w:rsidR="00F75D23" w:rsidRPr="00B77590">
        <w:rPr>
          <w:rFonts w:cs="Tahoma"/>
          <w:szCs w:val="22"/>
        </w:rPr>
        <w:t xml:space="preserve"> interpuso el recurso de revisión en contra de la respuesta emitida por el </w:t>
      </w:r>
      <w:r w:rsidR="00F75D23" w:rsidRPr="00B77590">
        <w:rPr>
          <w:rFonts w:cs="Tahoma"/>
          <w:b/>
          <w:bCs/>
          <w:szCs w:val="22"/>
        </w:rPr>
        <w:t>SUJETO OBLIGADO</w:t>
      </w:r>
      <w:r w:rsidR="00953430" w:rsidRPr="00B77590">
        <w:rPr>
          <w:rFonts w:cs="Tahoma"/>
          <w:szCs w:val="22"/>
        </w:rPr>
        <w:t xml:space="preserve">, mismo que fue registrado en el </w:t>
      </w:r>
      <w:r w:rsidR="00953430" w:rsidRPr="00B77590">
        <w:rPr>
          <w:rFonts w:cs="Tahoma"/>
          <w:b/>
          <w:szCs w:val="22"/>
        </w:rPr>
        <w:t>SAIMEX</w:t>
      </w:r>
      <w:r w:rsidR="00953430" w:rsidRPr="00B77590">
        <w:rPr>
          <w:rFonts w:cs="Tahoma"/>
          <w:szCs w:val="22"/>
        </w:rPr>
        <w:t xml:space="preserve"> con el número de expediente </w:t>
      </w:r>
      <w:r w:rsidR="006E7E69" w:rsidRPr="00B77590">
        <w:rPr>
          <w:rFonts w:cs="Tahoma"/>
          <w:b/>
          <w:bCs/>
          <w:szCs w:val="22"/>
        </w:rPr>
        <w:t>0</w:t>
      </w:r>
      <w:r w:rsidR="008974D7" w:rsidRPr="00B77590">
        <w:rPr>
          <w:rFonts w:cs="Tahoma"/>
          <w:b/>
          <w:bCs/>
          <w:szCs w:val="22"/>
        </w:rPr>
        <w:t>8212</w:t>
      </w:r>
      <w:r w:rsidR="006E7E69" w:rsidRPr="00B77590">
        <w:rPr>
          <w:rFonts w:cs="Tahoma"/>
          <w:b/>
          <w:bCs/>
          <w:szCs w:val="22"/>
        </w:rPr>
        <w:t>/INFOEM/IP/RR/2025</w:t>
      </w:r>
      <w:r w:rsidR="00953430" w:rsidRPr="00B77590">
        <w:rPr>
          <w:rFonts w:cs="Tahoma"/>
          <w:szCs w:val="22"/>
        </w:rPr>
        <w:t>, y en el cual manifiesta lo siguiente</w:t>
      </w:r>
      <w:r w:rsidRPr="00B77590">
        <w:rPr>
          <w:rFonts w:cs="Tahoma"/>
          <w:szCs w:val="22"/>
        </w:rPr>
        <w:t>:</w:t>
      </w:r>
    </w:p>
    <w:p w14:paraId="74B30008" w14:textId="77777777" w:rsidR="00664420" w:rsidRPr="00B77590" w:rsidRDefault="00664420" w:rsidP="00F24B1F">
      <w:pPr>
        <w:tabs>
          <w:tab w:val="left" w:pos="4667"/>
        </w:tabs>
        <w:ind w:right="539"/>
        <w:rPr>
          <w:rFonts w:cs="Tahoma"/>
          <w:szCs w:val="22"/>
        </w:rPr>
      </w:pPr>
    </w:p>
    <w:p w14:paraId="69886530" w14:textId="77777777" w:rsidR="007946DA" w:rsidRPr="00B77590" w:rsidRDefault="00664420" w:rsidP="00F24B1F">
      <w:pPr>
        <w:tabs>
          <w:tab w:val="left" w:pos="4667"/>
        </w:tabs>
        <w:ind w:right="539"/>
        <w:rPr>
          <w:rFonts w:cs="Tahoma"/>
          <w:b/>
          <w:iCs/>
        </w:rPr>
      </w:pPr>
      <w:r w:rsidRPr="00B77590">
        <w:rPr>
          <w:rFonts w:cs="Tahoma"/>
          <w:b/>
          <w:iCs/>
        </w:rPr>
        <w:t>ACTO IMPUGNADO</w:t>
      </w:r>
      <w:r w:rsidR="007946DA" w:rsidRPr="00B77590">
        <w:rPr>
          <w:rFonts w:cs="Tahoma"/>
          <w:b/>
          <w:iCs/>
        </w:rPr>
        <w:t xml:space="preserve">: </w:t>
      </w:r>
    </w:p>
    <w:p w14:paraId="559B369A" w14:textId="77777777" w:rsidR="007946DA" w:rsidRPr="00B77590" w:rsidRDefault="007946DA" w:rsidP="00F24B1F">
      <w:pPr>
        <w:pStyle w:val="Puesto"/>
      </w:pPr>
    </w:p>
    <w:p w14:paraId="3E8A8A70" w14:textId="358DE0C8" w:rsidR="007946DA" w:rsidRPr="00B77590" w:rsidRDefault="007946DA" w:rsidP="00F24B1F">
      <w:pPr>
        <w:pStyle w:val="Puesto"/>
      </w:pPr>
      <w:r w:rsidRPr="00B77590">
        <w:t>“</w:t>
      </w:r>
      <w:r w:rsidR="008974D7" w:rsidRPr="00B77590">
        <w:t>SOLICITO LAS CERTIFICACIONES 2025 DEL DIRECTOR DE DESARROLLO URBANO EL DIRECTOR DE MEDIO AMBIENTE Y EL DIRECTOR DE FOMENTO ECONOMICO</w:t>
      </w:r>
      <w:r w:rsidRPr="00B77590">
        <w:t xml:space="preserve">” (sic) </w:t>
      </w:r>
    </w:p>
    <w:p w14:paraId="6279FD6B" w14:textId="77777777" w:rsidR="007946DA" w:rsidRPr="00B77590" w:rsidRDefault="007946DA" w:rsidP="00F24B1F">
      <w:pPr>
        <w:tabs>
          <w:tab w:val="left" w:pos="4667"/>
        </w:tabs>
        <w:ind w:right="539"/>
        <w:rPr>
          <w:rFonts w:cs="Tahoma"/>
          <w:b/>
          <w:iCs/>
        </w:rPr>
      </w:pPr>
    </w:p>
    <w:p w14:paraId="12153283" w14:textId="6300041E" w:rsidR="00664420" w:rsidRPr="00B77590" w:rsidRDefault="00FF7A9E" w:rsidP="00F24B1F">
      <w:pPr>
        <w:tabs>
          <w:tab w:val="left" w:pos="4667"/>
        </w:tabs>
        <w:ind w:right="539"/>
        <w:rPr>
          <w:rFonts w:cs="Tahoma"/>
          <w:b/>
          <w:iCs/>
        </w:rPr>
      </w:pPr>
      <w:r w:rsidRPr="00B77590">
        <w:rPr>
          <w:rFonts w:cs="Tahoma"/>
          <w:b/>
          <w:iCs/>
        </w:rPr>
        <w:t>RAZONES O MOTIVOS DE INCONFORMIDAD</w:t>
      </w:r>
    </w:p>
    <w:p w14:paraId="177EE3D5" w14:textId="77777777" w:rsidR="00F45902" w:rsidRPr="00B77590" w:rsidRDefault="00F45902" w:rsidP="00F24B1F">
      <w:pPr>
        <w:pStyle w:val="Puesto"/>
      </w:pPr>
    </w:p>
    <w:p w14:paraId="342DC9E8" w14:textId="01FCE7A9" w:rsidR="00194895" w:rsidRPr="00B77590" w:rsidRDefault="00194895" w:rsidP="00F24B1F">
      <w:pPr>
        <w:pStyle w:val="Puesto"/>
      </w:pPr>
      <w:r w:rsidRPr="00B77590">
        <w:t>“</w:t>
      </w:r>
      <w:r w:rsidR="008974D7" w:rsidRPr="00B77590">
        <w:t>NO ENTREGO NADA</w:t>
      </w:r>
      <w:r w:rsidRPr="00B77590">
        <w:t xml:space="preserve">” (sic) </w:t>
      </w:r>
    </w:p>
    <w:p w14:paraId="6AE8EA9A" w14:textId="77777777" w:rsidR="00664420" w:rsidRPr="00B77590" w:rsidRDefault="00664420" w:rsidP="00F24B1F">
      <w:pPr>
        <w:pStyle w:val="Puesto"/>
        <w:ind w:left="0"/>
      </w:pPr>
    </w:p>
    <w:p w14:paraId="6804DEF1" w14:textId="1FD3227A" w:rsidR="00664420" w:rsidRPr="00B77590" w:rsidRDefault="006E25BC" w:rsidP="00F24B1F">
      <w:pPr>
        <w:pStyle w:val="Ttulo3"/>
      </w:pPr>
      <w:bookmarkStart w:id="18" w:name="_Toc211449531"/>
      <w:r w:rsidRPr="00B77590">
        <w:lastRenderedPageBreak/>
        <w:t>b</w:t>
      </w:r>
      <w:r w:rsidR="00664420" w:rsidRPr="00B77590">
        <w:t>) Turno del Recurso de Revisión</w:t>
      </w:r>
      <w:bookmarkEnd w:id="18"/>
    </w:p>
    <w:p w14:paraId="1173671B" w14:textId="7E023E61" w:rsidR="00C72DAA" w:rsidRPr="00B77590" w:rsidRDefault="00C72DAA" w:rsidP="00F24B1F">
      <w:r w:rsidRPr="00B77590">
        <w:t>Con fundamento en el artículo 185, fracción I de la Ley de Transparencia y Acceso a la Información Pública del Estado de México y Municipios, el</w:t>
      </w:r>
      <w:r w:rsidR="003E62BA" w:rsidRPr="00B77590">
        <w:rPr>
          <w:b/>
          <w:bCs/>
        </w:rPr>
        <w:t xml:space="preserve"> </w:t>
      </w:r>
      <w:r w:rsidR="008974D7" w:rsidRPr="00B77590">
        <w:rPr>
          <w:b/>
          <w:bCs/>
        </w:rPr>
        <w:t xml:space="preserve">seis de julio </w:t>
      </w:r>
      <w:r w:rsidR="009A1340" w:rsidRPr="00B77590">
        <w:rPr>
          <w:rFonts w:eastAsia="Palatino Linotype" w:cs="Palatino Linotype"/>
          <w:b/>
        </w:rPr>
        <w:t xml:space="preserve">de dos mil veinticinco, </w:t>
      </w:r>
      <w:r w:rsidRPr="00B77590">
        <w:t>se turnó el recurso de revisión a través del</w:t>
      </w:r>
      <w:r w:rsidRPr="00B77590">
        <w:rPr>
          <w:rFonts w:eastAsia="Arial Unicode MS"/>
        </w:rPr>
        <w:t xml:space="preserve"> </w:t>
      </w:r>
      <w:r w:rsidRPr="00B77590">
        <w:rPr>
          <w:rFonts w:eastAsia="Arial Unicode MS"/>
          <w:b/>
          <w:bCs/>
        </w:rPr>
        <w:t>SAIMEX</w:t>
      </w:r>
      <w:r w:rsidRPr="00B77590">
        <w:t xml:space="preserve"> a la </w:t>
      </w:r>
      <w:r w:rsidRPr="00B77590">
        <w:rPr>
          <w:b/>
        </w:rPr>
        <w:t>Comisionada Sharon Cristina Morales Martínez</w:t>
      </w:r>
      <w:r w:rsidRPr="00B77590">
        <w:rPr>
          <w:bCs/>
        </w:rPr>
        <w:t xml:space="preserve">, </w:t>
      </w:r>
      <w:r w:rsidRPr="00B77590">
        <w:t xml:space="preserve">a efecto de decretar su admisión o </w:t>
      </w:r>
      <w:proofErr w:type="spellStart"/>
      <w:r w:rsidRPr="00B77590">
        <w:t>desechamiento</w:t>
      </w:r>
      <w:proofErr w:type="spellEnd"/>
      <w:r w:rsidRPr="00B77590">
        <w:t xml:space="preserve">. </w:t>
      </w:r>
    </w:p>
    <w:p w14:paraId="18F305CB" w14:textId="77777777" w:rsidR="00664420" w:rsidRPr="00B77590" w:rsidRDefault="00664420" w:rsidP="00F24B1F">
      <w:pPr>
        <w:rPr>
          <w:rFonts w:eastAsia="Batang" w:cs="Tahoma"/>
          <w:bCs/>
          <w:szCs w:val="22"/>
        </w:rPr>
      </w:pPr>
    </w:p>
    <w:p w14:paraId="3E31EC2D" w14:textId="295256A1" w:rsidR="00664420" w:rsidRPr="00B77590" w:rsidRDefault="006E25BC" w:rsidP="00F24B1F">
      <w:pPr>
        <w:pStyle w:val="Ttulo3"/>
      </w:pPr>
      <w:bookmarkStart w:id="19" w:name="_Toc211449532"/>
      <w:r w:rsidRPr="00B77590">
        <w:t>c</w:t>
      </w:r>
      <w:r w:rsidR="00664420" w:rsidRPr="00B77590">
        <w:t>) Admisión del Recurso de Revisión</w:t>
      </w:r>
      <w:bookmarkEnd w:id="19"/>
    </w:p>
    <w:p w14:paraId="240447D5" w14:textId="3A3F7F3D" w:rsidR="000E09C4" w:rsidRPr="00B77590" w:rsidRDefault="000E09C4" w:rsidP="00F24B1F">
      <w:pPr>
        <w:rPr>
          <w:rFonts w:cs="Arial"/>
        </w:rPr>
      </w:pPr>
      <w:r w:rsidRPr="00B77590">
        <w:rPr>
          <w:rFonts w:cs="Arial"/>
        </w:rPr>
        <w:t xml:space="preserve">El </w:t>
      </w:r>
      <w:r w:rsidR="008974D7" w:rsidRPr="00B77590">
        <w:rPr>
          <w:rFonts w:eastAsia="Palatino Linotype" w:cs="Palatino Linotype"/>
          <w:b/>
        </w:rPr>
        <w:t xml:space="preserve">nueve de julio </w:t>
      </w:r>
      <w:r w:rsidR="003A67CC" w:rsidRPr="00B77590">
        <w:rPr>
          <w:rFonts w:eastAsia="Palatino Linotype" w:cs="Palatino Linotype"/>
          <w:b/>
        </w:rPr>
        <w:t>d</w:t>
      </w:r>
      <w:r w:rsidR="00657603" w:rsidRPr="00B77590">
        <w:rPr>
          <w:rFonts w:eastAsia="Palatino Linotype" w:cs="Palatino Linotype"/>
          <w:b/>
        </w:rPr>
        <w:t>e dos mil veintic</w:t>
      </w:r>
      <w:r w:rsidR="009A1340" w:rsidRPr="00B77590">
        <w:rPr>
          <w:rFonts w:eastAsia="Palatino Linotype" w:cs="Palatino Linotype"/>
          <w:b/>
        </w:rPr>
        <w:t>inco</w:t>
      </w:r>
      <w:r w:rsidRPr="00B77590">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B77590">
        <w:rPr>
          <w:rFonts w:cs="Arial"/>
        </w:rPr>
        <w:t>, fracción II</w:t>
      </w:r>
      <w:r w:rsidRPr="00B77590">
        <w:rPr>
          <w:rFonts w:cs="Arial"/>
        </w:rPr>
        <w:t xml:space="preserve"> de la Ley de Transparencia y Acceso a la Información Pública del Estado de México y Municipios.</w:t>
      </w:r>
    </w:p>
    <w:p w14:paraId="34EC3F86" w14:textId="77777777" w:rsidR="00D2790D" w:rsidRPr="00B77590" w:rsidRDefault="00D2790D" w:rsidP="00F24B1F">
      <w:pPr>
        <w:rPr>
          <w:rFonts w:cs="Arial"/>
        </w:rPr>
      </w:pPr>
    </w:p>
    <w:p w14:paraId="3B820F58" w14:textId="503F9071" w:rsidR="00865CF4" w:rsidRPr="00B77590" w:rsidRDefault="0075751F" w:rsidP="00F24B1F">
      <w:pPr>
        <w:pStyle w:val="Ttulo3"/>
      </w:pPr>
      <w:bookmarkStart w:id="20" w:name="_Toc211449533"/>
      <w:r w:rsidRPr="00B77590">
        <w:t>d</w:t>
      </w:r>
      <w:r w:rsidR="00664420" w:rsidRPr="00B77590">
        <w:t xml:space="preserve">) </w:t>
      </w:r>
      <w:r w:rsidR="00865CF4" w:rsidRPr="00B77590">
        <w:t>Informe Justificado del Sujeto Obligado</w:t>
      </w:r>
      <w:bookmarkEnd w:id="20"/>
    </w:p>
    <w:p w14:paraId="20E4F1CA" w14:textId="01215ACD" w:rsidR="008974D7" w:rsidRPr="00B77590" w:rsidRDefault="008974D7" w:rsidP="00F24B1F">
      <w:pPr>
        <w:rPr>
          <w:rFonts w:cs="Tahoma"/>
          <w:bCs/>
          <w:szCs w:val="24"/>
        </w:rPr>
      </w:pPr>
      <w:r w:rsidRPr="00B77590">
        <w:rPr>
          <w:rFonts w:cs="Tahoma"/>
          <w:bCs/>
          <w:szCs w:val="24"/>
        </w:rPr>
        <w:t xml:space="preserve">El </w:t>
      </w:r>
      <w:r w:rsidR="00B702FD" w:rsidRPr="00B77590">
        <w:rPr>
          <w:rFonts w:cs="Tahoma"/>
          <w:b/>
          <w:szCs w:val="24"/>
        </w:rPr>
        <w:t>dieciséis de julio</w:t>
      </w:r>
      <w:r w:rsidRPr="00B77590">
        <w:rPr>
          <w:rFonts w:cs="Tahoma"/>
          <w:b/>
          <w:szCs w:val="24"/>
        </w:rPr>
        <w:t xml:space="preserve"> de dos mil veinticinco EL SUJETO OBLIGADO</w:t>
      </w:r>
      <w:r w:rsidRPr="00B77590">
        <w:rPr>
          <w:rFonts w:cs="Tahoma"/>
          <w:bCs/>
          <w:szCs w:val="24"/>
        </w:rPr>
        <w:t xml:space="preserve"> rindió su informe justificado a través del </w:t>
      </w:r>
      <w:r w:rsidRPr="00B77590">
        <w:rPr>
          <w:rFonts w:cs="Tahoma"/>
          <w:b/>
          <w:bCs/>
          <w:szCs w:val="24"/>
        </w:rPr>
        <w:t>SAIMEX</w:t>
      </w:r>
      <w:r w:rsidRPr="00B77590">
        <w:rPr>
          <w:rFonts w:cs="Tahoma"/>
          <w:bCs/>
          <w:szCs w:val="24"/>
        </w:rPr>
        <w:t xml:space="preserve">, </w:t>
      </w:r>
      <w:bookmarkStart w:id="21" w:name="_Hlk165379932"/>
      <w:r w:rsidRPr="00B77590">
        <w:rPr>
          <w:rFonts w:cs="Tahoma"/>
          <w:bCs/>
          <w:szCs w:val="24"/>
        </w:rPr>
        <w:t xml:space="preserve">adjuntando para ello los archivos electrónicos que a continuación se describen: </w:t>
      </w:r>
    </w:p>
    <w:p w14:paraId="0A1C84D0" w14:textId="77777777" w:rsidR="008974D7" w:rsidRPr="00B77590" w:rsidRDefault="008974D7" w:rsidP="00F24B1F">
      <w:pPr>
        <w:rPr>
          <w:rFonts w:cs="Tahoma"/>
          <w:bCs/>
          <w:szCs w:val="24"/>
        </w:rPr>
      </w:pPr>
    </w:p>
    <w:p w14:paraId="031FDC69" w14:textId="77777777" w:rsidR="008974D7" w:rsidRPr="00B77590" w:rsidRDefault="008974D7" w:rsidP="00F24B1F">
      <w:pPr>
        <w:rPr>
          <w:rFonts w:cs="Tahoma"/>
          <w:b/>
          <w:szCs w:val="24"/>
        </w:rPr>
      </w:pPr>
    </w:p>
    <w:p w14:paraId="40AA8884" w14:textId="7E4FABE6" w:rsidR="005371E5" w:rsidRPr="00B77590" w:rsidRDefault="005371E5" w:rsidP="00F24B1F">
      <w:pPr>
        <w:pStyle w:val="Prrafodelista"/>
        <w:numPr>
          <w:ilvl w:val="0"/>
          <w:numId w:val="11"/>
        </w:numPr>
        <w:rPr>
          <w:rFonts w:cs="Tahoma"/>
          <w:b/>
          <w:bCs/>
          <w:i/>
          <w:iCs/>
          <w:szCs w:val="24"/>
        </w:rPr>
      </w:pPr>
      <w:r w:rsidRPr="00B77590">
        <w:rPr>
          <w:rFonts w:cs="Tahoma"/>
          <w:b/>
          <w:bCs/>
          <w:i/>
          <w:iCs/>
          <w:szCs w:val="24"/>
        </w:rPr>
        <w:t xml:space="preserve">Certificado de competencia laboral Dir. Desarrollo Urbano.pdf, </w:t>
      </w:r>
      <w:r w:rsidRPr="00B77590">
        <w:rPr>
          <w:rFonts w:cs="Tahoma"/>
          <w:bCs/>
          <w:iCs/>
          <w:szCs w:val="24"/>
        </w:rPr>
        <w:t>el cual contiene el Certificado de Competencia Laboral en la Norma Institucional “</w:t>
      </w:r>
      <w:proofErr w:type="spellStart"/>
      <w:r w:rsidRPr="00B77590">
        <w:rPr>
          <w:rFonts w:cs="Tahoma"/>
          <w:bCs/>
          <w:i/>
          <w:iCs/>
          <w:szCs w:val="24"/>
        </w:rPr>
        <w:t>Gerenciar</w:t>
      </w:r>
      <w:proofErr w:type="spellEnd"/>
      <w:r w:rsidRPr="00B77590">
        <w:rPr>
          <w:rFonts w:cs="Tahoma"/>
          <w:bCs/>
          <w:i/>
          <w:iCs/>
          <w:szCs w:val="24"/>
        </w:rPr>
        <w:t xml:space="preserve"> el Desarrollo Urbano y Ordenamiento Territorial en el Ámbito de la Administración Pública Municipal</w:t>
      </w:r>
      <w:r w:rsidRPr="00B77590">
        <w:rPr>
          <w:rFonts w:cs="Tahoma"/>
          <w:bCs/>
          <w:iCs/>
          <w:szCs w:val="24"/>
        </w:rPr>
        <w:t xml:space="preserve">", a favor de Sergio Iván García Madrid. </w:t>
      </w:r>
    </w:p>
    <w:p w14:paraId="6944182D" w14:textId="0ABFD083" w:rsidR="005371E5" w:rsidRPr="00B77590" w:rsidRDefault="005371E5" w:rsidP="00F24B1F">
      <w:pPr>
        <w:pStyle w:val="Prrafodelista"/>
        <w:numPr>
          <w:ilvl w:val="0"/>
          <w:numId w:val="11"/>
        </w:numPr>
        <w:rPr>
          <w:rFonts w:cs="Tahoma"/>
          <w:b/>
          <w:bCs/>
          <w:i/>
          <w:iCs/>
          <w:szCs w:val="24"/>
        </w:rPr>
      </w:pPr>
      <w:r w:rsidRPr="00B77590">
        <w:rPr>
          <w:rFonts w:cs="Tahoma"/>
          <w:b/>
          <w:bCs/>
          <w:i/>
          <w:iCs/>
          <w:szCs w:val="24"/>
        </w:rPr>
        <w:t xml:space="preserve">Certificado de competencia laboral Dir. Desarrollo y Fomento Economico.pdf, </w:t>
      </w:r>
      <w:r w:rsidRPr="00B77590">
        <w:rPr>
          <w:rFonts w:cs="Tahoma"/>
          <w:bCs/>
          <w:iCs/>
          <w:szCs w:val="24"/>
        </w:rPr>
        <w:t xml:space="preserve">el cual contiene el Certificado de Competencia Laboral en el Estándar de Competencia </w:t>
      </w:r>
      <w:r w:rsidRPr="00B77590">
        <w:rPr>
          <w:rFonts w:cs="Tahoma"/>
          <w:bCs/>
          <w:i/>
          <w:iCs/>
          <w:szCs w:val="24"/>
        </w:rPr>
        <w:t xml:space="preserve">Gestión </w:t>
      </w:r>
      <w:r w:rsidRPr="00B77590">
        <w:rPr>
          <w:rFonts w:cs="Tahoma"/>
          <w:bCs/>
          <w:i/>
          <w:iCs/>
          <w:szCs w:val="24"/>
        </w:rPr>
        <w:lastRenderedPageBreak/>
        <w:t xml:space="preserve">para el otorgamiento de licencias de funcionamiento de establecimientos comerciales, </w:t>
      </w:r>
      <w:r w:rsidRPr="00B77590">
        <w:rPr>
          <w:rFonts w:cs="Tahoma"/>
          <w:bCs/>
          <w:iCs/>
          <w:szCs w:val="24"/>
        </w:rPr>
        <w:t xml:space="preserve">a favor de Gregorio Luna Guillen.  </w:t>
      </w:r>
    </w:p>
    <w:p w14:paraId="51DFD988" w14:textId="748CA5C4" w:rsidR="005371E5" w:rsidRPr="00B77590" w:rsidRDefault="005371E5" w:rsidP="00F24B1F">
      <w:pPr>
        <w:pStyle w:val="Prrafodelista"/>
        <w:numPr>
          <w:ilvl w:val="0"/>
          <w:numId w:val="11"/>
        </w:numPr>
        <w:rPr>
          <w:rFonts w:cs="Tahoma"/>
          <w:b/>
          <w:bCs/>
          <w:i/>
          <w:iCs/>
          <w:szCs w:val="24"/>
        </w:rPr>
      </w:pPr>
      <w:r w:rsidRPr="00B77590">
        <w:rPr>
          <w:rFonts w:cs="Tahoma"/>
          <w:b/>
          <w:bCs/>
          <w:i/>
          <w:iCs/>
          <w:szCs w:val="24"/>
        </w:rPr>
        <w:t xml:space="preserve">Certificado de competencia laboral Dir. Medio Ambiente.pdf, </w:t>
      </w:r>
      <w:r w:rsidRPr="00B77590">
        <w:rPr>
          <w:rFonts w:cs="Tahoma"/>
          <w:bCs/>
          <w:iCs/>
          <w:szCs w:val="24"/>
        </w:rPr>
        <w:t>el cual contiene el Certificado de Competencia Laboral en la Norma Institucional “</w:t>
      </w:r>
      <w:r w:rsidR="00777D52" w:rsidRPr="00B77590">
        <w:rPr>
          <w:rFonts w:cs="Tahoma"/>
          <w:bCs/>
          <w:i/>
          <w:iCs/>
          <w:szCs w:val="24"/>
        </w:rPr>
        <w:t>Administrar las políticas públicas municipales para la protección y preservación del medio ambiente y el desarrollo sostenible</w:t>
      </w:r>
      <w:r w:rsidRPr="00B77590">
        <w:rPr>
          <w:rFonts w:cs="Tahoma"/>
          <w:bCs/>
          <w:iCs/>
          <w:szCs w:val="24"/>
        </w:rPr>
        <w:t>"</w:t>
      </w:r>
      <w:r w:rsidR="00777D52" w:rsidRPr="00B77590">
        <w:rPr>
          <w:rFonts w:cs="Tahoma"/>
          <w:bCs/>
          <w:iCs/>
          <w:szCs w:val="24"/>
        </w:rPr>
        <w:t xml:space="preserve">; así como, el </w:t>
      </w:r>
      <w:r w:rsidRPr="00B77590">
        <w:rPr>
          <w:rFonts w:cs="Tahoma"/>
          <w:bCs/>
          <w:iCs/>
          <w:szCs w:val="24"/>
        </w:rPr>
        <w:t xml:space="preserve"> </w:t>
      </w:r>
      <w:r w:rsidR="00777D52" w:rsidRPr="00B77590">
        <w:rPr>
          <w:rFonts w:cs="Tahoma"/>
          <w:bCs/>
          <w:iCs/>
          <w:szCs w:val="24"/>
        </w:rPr>
        <w:t xml:space="preserve">Certificado de Competencia Laboral en el Estándar de Competencia </w:t>
      </w:r>
      <w:r w:rsidR="00777D52" w:rsidRPr="00B77590">
        <w:rPr>
          <w:rFonts w:cs="Tahoma"/>
          <w:bCs/>
          <w:i/>
          <w:iCs/>
          <w:szCs w:val="24"/>
        </w:rPr>
        <w:t>Ejecución de las atribuciones de Ecología y Medio Ambiente Municipal</w:t>
      </w:r>
      <w:r w:rsidR="00777D52" w:rsidRPr="00B77590">
        <w:rPr>
          <w:rFonts w:cs="Tahoma"/>
          <w:bCs/>
          <w:iCs/>
          <w:szCs w:val="24"/>
        </w:rPr>
        <w:t xml:space="preserve"> </w:t>
      </w:r>
      <w:r w:rsidRPr="00B77590">
        <w:rPr>
          <w:rFonts w:cs="Tahoma"/>
          <w:bCs/>
          <w:iCs/>
          <w:szCs w:val="24"/>
        </w:rPr>
        <w:t xml:space="preserve">a favor de </w:t>
      </w:r>
      <w:r w:rsidR="00777D52" w:rsidRPr="00B77590">
        <w:rPr>
          <w:rFonts w:cs="Tahoma"/>
          <w:bCs/>
          <w:iCs/>
          <w:szCs w:val="24"/>
        </w:rPr>
        <w:t>Alan Miguel Escalante Barrón</w:t>
      </w:r>
      <w:r w:rsidRPr="00B77590">
        <w:rPr>
          <w:rFonts w:cs="Tahoma"/>
          <w:bCs/>
          <w:iCs/>
          <w:szCs w:val="24"/>
        </w:rPr>
        <w:t xml:space="preserve">. </w:t>
      </w:r>
    </w:p>
    <w:p w14:paraId="31BF8745" w14:textId="0FDE769D" w:rsidR="005371E5" w:rsidRPr="00B77590" w:rsidRDefault="005371E5" w:rsidP="00F24B1F">
      <w:pPr>
        <w:pStyle w:val="Prrafodelista"/>
        <w:numPr>
          <w:ilvl w:val="0"/>
          <w:numId w:val="11"/>
        </w:numPr>
        <w:rPr>
          <w:rFonts w:cs="Tahoma"/>
          <w:b/>
          <w:bCs/>
          <w:i/>
          <w:iCs/>
          <w:szCs w:val="24"/>
        </w:rPr>
      </w:pPr>
      <w:r w:rsidRPr="00B77590">
        <w:rPr>
          <w:rFonts w:cs="Tahoma"/>
          <w:b/>
          <w:bCs/>
          <w:i/>
          <w:iCs/>
          <w:szCs w:val="24"/>
        </w:rPr>
        <w:t xml:space="preserve">Informe RR 8212.pdf, </w:t>
      </w:r>
      <w:r w:rsidR="00777D52" w:rsidRPr="00B77590">
        <w:rPr>
          <w:rFonts w:cs="Tahoma"/>
          <w:bCs/>
          <w:iCs/>
          <w:szCs w:val="24"/>
        </w:rPr>
        <w:t>el cual contiene el oficio del dieciséis de julio de dos mil veinticinco, por medio del cual la Coordinadora de Transparencia y Protección de Datos Personales, refiere remitir oficio signado por el servidor público habilitado de la Dirección de Administración.</w:t>
      </w:r>
    </w:p>
    <w:p w14:paraId="1BB52B93" w14:textId="70C12783" w:rsidR="005371E5" w:rsidRPr="00B77590" w:rsidRDefault="005371E5" w:rsidP="00F24B1F">
      <w:pPr>
        <w:pStyle w:val="Prrafodelista"/>
        <w:numPr>
          <w:ilvl w:val="0"/>
          <w:numId w:val="11"/>
        </w:numPr>
        <w:rPr>
          <w:rFonts w:cs="Tahoma"/>
          <w:b/>
          <w:bCs/>
          <w:i/>
          <w:iCs/>
          <w:szCs w:val="24"/>
        </w:rPr>
      </w:pPr>
      <w:r w:rsidRPr="00B77590">
        <w:rPr>
          <w:rFonts w:cs="Tahoma"/>
          <w:b/>
          <w:bCs/>
          <w:i/>
          <w:iCs/>
          <w:szCs w:val="24"/>
        </w:rPr>
        <w:t xml:space="preserve">Of. Admin.pdf, </w:t>
      </w:r>
      <w:r w:rsidR="00777D52" w:rsidRPr="00B77590">
        <w:rPr>
          <w:rFonts w:cs="Tahoma"/>
          <w:bCs/>
          <w:iCs/>
          <w:szCs w:val="24"/>
        </w:rPr>
        <w:t xml:space="preserve">el cual contiene el oficio DA/1337/2025 del catorce de julio de dos mil veinticinco, por medio del cual la Directora de Administración refiere remitir las certificaciones de competencia laboral </w:t>
      </w:r>
      <w:r w:rsidR="00777D52" w:rsidRPr="00B77590">
        <w:t xml:space="preserve">del Director de Medio Ambiente y Desarrollo Urbano. </w:t>
      </w:r>
    </w:p>
    <w:p w14:paraId="11772128" w14:textId="77777777" w:rsidR="008974D7" w:rsidRPr="00B77590" w:rsidRDefault="008974D7" w:rsidP="00F24B1F">
      <w:pPr>
        <w:rPr>
          <w:rFonts w:cs="Tahoma"/>
          <w:szCs w:val="24"/>
        </w:rPr>
      </w:pPr>
    </w:p>
    <w:bookmarkEnd w:id="21"/>
    <w:p w14:paraId="223FBEE5" w14:textId="614EE810" w:rsidR="008974D7" w:rsidRPr="00B77590" w:rsidRDefault="008974D7" w:rsidP="00F24B1F">
      <w:pPr>
        <w:rPr>
          <w:rFonts w:cs="Tahoma"/>
          <w:bCs/>
          <w:szCs w:val="24"/>
        </w:rPr>
      </w:pPr>
      <w:r w:rsidRPr="00B77590">
        <w:rPr>
          <w:rFonts w:cs="Tahoma"/>
          <w:bCs/>
          <w:szCs w:val="24"/>
        </w:rPr>
        <w:t xml:space="preserve">Esta información fue puesta a la vista de </w:t>
      </w:r>
      <w:r w:rsidRPr="00B77590">
        <w:rPr>
          <w:rFonts w:cs="Tahoma"/>
          <w:b/>
          <w:szCs w:val="24"/>
        </w:rPr>
        <w:t xml:space="preserve">LA PARTE RECURRENTE </w:t>
      </w:r>
      <w:r w:rsidRPr="00B77590">
        <w:rPr>
          <w:rFonts w:cs="Tahoma"/>
          <w:bCs/>
          <w:szCs w:val="24"/>
        </w:rPr>
        <w:t xml:space="preserve">el </w:t>
      </w:r>
      <w:r w:rsidR="00777D52" w:rsidRPr="00B77590">
        <w:rPr>
          <w:rFonts w:cs="Tahoma"/>
          <w:b/>
          <w:szCs w:val="24"/>
        </w:rPr>
        <w:t xml:space="preserve">veintitrés de septiembre </w:t>
      </w:r>
      <w:r w:rsidRPr="00B77590">
        <w:rPr>
          <w:rFonts w:cs="Tahoma"/>
          <w:b/>
          <w:szCs w:val="24"/>
        </w:rPr>
        <w:t>de dos mil veinticinco</w:t>
      </w:r>
      <w:r w:rsidRPr="00B77590">
        <w:rPr>
          <w:rFonts w:cs="Tahoma"/>
          <w:bCs/>
          <w:szCs w:val="24"/>
        </w:rPr>
        <w:t xml:space="preserve"> para que, en un plazo de tres días hábiles, manifestara lo que a su derecho conviniera, de conformidad con lo establecido en el </w:t>
      </w:r>
      <w:r w:rsidRPr="00B77590">
        <w:rPr>
          <w:rFonts w:cs="Arial"/>
        </w:rPr>
        <w:t>artículo 185, fracción III de la Ley de Transparencia y Acceso a la Información Pública del Estado de México y Municipios</w:t>
      </w:r>
      <w:r w:rsidRPr="00B77590">
        <w:rPr>
          <w:rFonts w:cs="Tahoma"/>
          <w:bCs/>
          <w:szCs w:val="24"/>
        </w:rPr>
        <w:t>.</w:t>
      </w:r>
    </w:p>
    <w:p w14:paraId="04E87C20" w14:textId="77777777" w:rsidR="009A333B" w:rsidRPr="00B77590" w:rsidRDefault="009A333B" w:rsidP="00F24B1F">
      <w:pPr>
        <w:pStyle w:val="Prrafodelista"/>
        <w:rPr>
          <w:rFonts w:cs="Tahoma"/>
          <w:b/>
          <w:bCs/>
          <w:szCs w:val="24"/>
        </w:rPr>
      </w:pPr>
    </w:p>
    <w:p w14:paraId="755B7730" w14:textId="3EA3E31D" w:rsidR="00664420" w:rsidRPr="00B77590" w:rsidRDefault="0075751F" w:rsidP="00F24B1F">
      <w:pPr>
        <w:pStyle w:val="Ttulo3"/>
        <w:rPr>
          <w:lang w:val="es-ES"/>
        </w:rPr>
      </w:pPr>
      <w:bookmarkStart w:id="22" w:name="_Toc211449534"/>
      <w:r w:rsidRPr="00B77590">
        <w:rPr>
          <w:rFonts w:eastAsia="Calibri"/>
          <w:bCs/>
          <w:lang w:eastAsia="en-US"/>
        </w:rPr>
        <w:t>e</w:t>
      </w:r>
      <w:r w:rsidR="00664420" w:rsidRPr="00B77590">
        <w:rPr>
          <w:rFonts w:eastAsia="Calibri"/>
          <w:bCs/>
          <w:lang w:eastAsia="en-US"/>
        </w:rPr>
        <w:t>)</w:t>
      </w:r>
      <w:r w:rsidR="00664420" w:rsidRPr="00B77590">
        <w:t xml:space="preserve"> </w:t>
      </w:r>
      <w:r w:rsidR="00865CF4" w:rsidRPr="00B77590">
        <w:rPr>
          <w:lang w:val="es-ES"/>
        </w:rPr>
        <w:t>Manifestaciones de la Parte Recurrente</w:t>
      </w:r>
      <w:bookmarkEnd w:id="22"/>
    </w:p>
    <w:p w14:paraId="4E8AF011" w14:textId="77777777" w:rsidR="00865CF4" w:rsidRPr="00B77590" w:rsidRDefault="00865CF4" w:rsidP="00F24B1F">
      <w:pPr>
        <w:rPr>
          <w:rFonts w:eastAsia="Arial Unicode MS" w:cs="Arial"/>
        </w:rPr>
      </w:pPr>
      <w:r w:rsidRPr="00B77590">
        <w:rPr>
          <w:rFonts w:cs="Tahoma"/>
          <w:b/>
          <w:szCs w:val="24"/>
        </w:rPr>
        <w:t xml:space="preserve">LA PARTE RECURRENTE </w:t>
      </w:r>
      <w:r w:rsidRPr="00B77590">
        <w:rPr>
          <w:rFonts w:eastAsia="Arial Unicode MS" w:cs="Arial"/>
        </w:rPr>
        <w:t>no realizó manifestación alguna dentro del término legalmente concedido para tal efecto, ni presentó pruebas o alegatos.</w:t>
      </w:r>
    </w:p>
    <w:p w14:paraId="43289D82" w14:textId="77777777" w:rsidR="00865CF4" w:rsidRPr="00B77590" w:rsidRDefault="00865CF4" w:rsidP="00F24B1F">
      <w:pPr>
        <w:rPr>
          <w:rFonts w:eastAsia="Arial Unicode MS" w:cs="Arial"/>
        </w:rPr>
      </w:pPr>
    </w:p>
    <w:p w14:paraId="12727CC0" w14:textId="77777777" w:rsidR="002973A3" w:rsidRPr="00B77590" w:rsidRDefault="002973A3" w:rsidP="00F24B1F">
      <w:pPr>
        <w:keepNext/>
        <w:keepLines/>
        <w:spacing w:line="480" w:lineRule="auto"/>
        <w:jc w:val="left"/>
        <w:outlineLvl w:val="2"/>
        <w:rPr>
          <w:rFonts w:eastAsia="Calibri"/>
          <w:b/>
          <w:szCs w:val="28"/>
        </w:rPr>
      </w:pPr>
      <w:bookmarkStart w:id="23" w:name="_Toc172051809"/>
      <w:bookmarkStart w:id="24" w:name="_Toc178101309"/>
      <w:bookmarkStart w:id="25" w:name="_Toc211449535"/>
      <w:r w:rsidRPr="00B77590">
        <w:rPr>
          <w:rFonts w:eastAsia="Calibri"/>
          <w:b/>
          <w:szCs w:val="28"/>
        </w:rPr>
        <w:t>f) Ampliación de Plazo para Resolver</w:t>
      </w:r>
      <w:bookmarkEnd w:id="23"/>
      <w:bookmarkEnd w:id="24"/>
      <w:bookmarkEnd w:id="25"/>
      <w:r w:rsidRPr="00B77590">
        <w:rPr>
          <w:rFonts w:eastAsia="Calibri"/>
          <w:b/>
          <w:szCs w:val="28"/>
        </w:rPr>
        <w:t xml:space="preserve"> </w:t>
      </w:r>
    </w:p>
    <w:p w14:paraId="4D288646" w14:textId="1F5C0A76" w:rsidR="002973A3" w:rsidRPr="00B77590" w:rsidRDefault="002973A3" w:rsidP="00F24B1F">
      <w:pPr>
        <w:rPr>
          <w:rFonts w:eastAsia="Palatino Linotype" w:cs="Palatino Linotype"/>
        </w:rPr>
      </w:pPr>
      <w:r w:rsidRPr="00B77590">
        <w:rPr>
          <w:rFonts w:eastAsia="Palatino Linotype" w:cs="Palatino Linotype"/>
        </w:rPr>
        <w:t xml:space="preserve">El </w:t>
      </w:r>
      <w:r w:rsidR="00B702FD" w:rsidRPr="00B77590">
        <w:rPr>
          <w:rFonts w:eastAsia="Palatino Linotype" w:cs="Palatino Linotype"/>
          <w:b/>
        </w:rPr>
        <w:t xml:space="preserve">cinco </w:t>
      </w:r>
      <w:r w:rsidRPr="00B77590">
        <w:rPr>
          <w:rFonts w:eastAsia="Palatino Linotype" w:cs="Palatino Linotype"/>
          <w:b/>
        </w:rPr>
        <w:t>de septiembre de dos mil veinticinco</w:t>
      </w:r>
      <w:r w:rsidRPr="00B77590">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26B411EF" w14:textId="77777777" w:rsidR="002973A3" w:rsidRPr="00B77590" w:rsidRDefault="002973A3" w:rsidP="00F24B1F">
      <w:pPr>
        <w:rPr>
          <w:rFonts w:eastAsia="Palatino Linotype" w:cs="Palatino Linotype"/>
        </w:rPr>
      </w:pPr>
    </w:p>
    <w:p w14:paraId="6520C3E1" w14:textId="77777777" w:rsidR="002973A3" w:rsidRPr="00B77590" w:rsidRDefault="002973A3" w:rsidP="00F24B1F">
      <w:pPr>
        <w:rPr>
          <w:rFonts w:cs="Arial"/>
          <w:lang w:eastAsia="es-MX"/>
        </w:rPr>
      </w:pPr>
      <w:r w:rsidRPr="00B77590">
        <w:rPr>
          <w:rFonts w:cs="Arial"/>
          <w:lang w:eastAsia="es-MX"/>
        </w:rPr>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35078893" w14:textId="77777777" w:rsidR="002973A3" w:rsidRPr="00B77590" w:rsidRDefault="002973A3" w:rsidP="00F24B1F">
      <w:pPr>
        <w:rPr>
          <w:rFonts w:cs="Arial"/>
          <w:lang w:eastAsia="es-MX"/>
        </w:rPr>
      </w:pPr>
    </w:p>
    <w:p w14:paraId="7D0F3036" w14:textId="77777777" w:rsidR="002973A3" w:rsidRPr="00B77590" w:rsidRDefault="002973A3" w:rsidP="00F24B1F">
      <w:pPr>
        <w:rPr>
          <w:rFonts w:cs="Arial"/>
          <w:lang w:eastAsia="es-MX"/>
        </w:rPr>
      </w:pPr>
      <w:r w:rsidRPr="00B77590">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AB98C64" w14:textId="77777777" w:rsidR="002973A3" w:rsidRPr="00B77590" w:rsidRDefault="002973A3" w:rsidP="00F24B1F">
      <w:pPr>
        <w:rPr>
          <w:rFonts w:cs="Arial"/>
          <w:lang w:eastAsia="es-MX"/>
        </w:rPr>
      </w:pPr>
    </w:p>
    <w:p w14:paraId="4B4BAD12" w14:textId="77777777" w:rsidR="002973A3" w:rsidRPr="00B77590" w:rsidRDefault="002973A3" w:rsidP="00F24B1F">
      <w:pPr>
        <w:rPr>
          <w:rFonts w:cs="Arial"/>
          <w:lang w:eastAsia="es-MX"/>
        </w:rPr>
      </w:pPr>
      <w:r w:rsidRPr="00B77590">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313B7617" w14:textId="77777777" w:rsidR="002973A3" w:rsidRPr="00B77590" w:rsidRDefault="002973A3" w:rsidP="00F24B1F">
      <w:pPr>
        <w:rPr>
          <w:rFonts w:cs="Arial"/>
          <w:lang w:eastAsia="es-MX"/>
        </w:rPr>
      </w:pPr>
    </w:p>
    <w:p w14:paraId="512E0F12" w14:textId="77777777" w:rsidR="002973A3" w:rsidRPr="00B77590" w:rsidRDefault="002973A3" w:rsidP="00F24B1F">
      <w:pPr>
        <w:rPr>
          <w:rFonts w:cs="Arial"/>
          <w:lang w:eastAsia="es-MX"/>
        </w:rPr>
      </w:pPr>
      <w:r w:rsidRPr="00B77590">
        <w:rPr>
          <w:rFonts w:cs="Arial"/>
          <w:lang w:eastAsia="es-MX"/>
        </w:rPr>
        <w:lastRenderedPageBreak/>
        <w:t>Por ello, excepcionalmente, si un asunto es resuelto con posterioridad a los plazos señalados por la norma, debe analizarse la razonabilidad del tiempo necesario para su resolución, atentos a los siguientes criterios:</w:t>
      </w:r>
    </w:p>
    <w:p w14:paraId="6F0500A6" w14:textId="77777777" w:rsidR="002973A3" w:rsidRPr="00B77590" w:rsidRDefault="002973A3" w:rsidP="00F24B1F">
      <w:pPr>
        <w:rPr>
          <w:rFonts w:cs="Arial"/>
          <w:lang w:eastAsia="es-MX"/>
        </w:rPr>
      </w:pPr>
    </w:p>
    <w:p w14:paraId="2DF6DBB7" w14:textId="77777777" w:rsidR="002973A3" w:rsidRPr="00B77590" w:rsidRDefault="002973A3" w:rsidP="00F24B1F">
      <w:pPr>
        <w:numPr>
          <w:ilvl w:val="0"/>
          <w:numId w:val="12"/>
        </w:numPr>
        <w:spacing w:after="160" w:line="278" w:lineRule="auto"/>
        <w:jc w:val="left"/>
        <w:rPr>
          <w:rFonts w:cs="Arial"/>
          <w:lang w:eastAsia="es-MX"/>
        </w:rPr>
      </w:pPr>
      <w:r w:rsidRPr="00B77590">
        <w:rPr>
          <w:rFonts w:cs="Arial"/>
          <w:b/>
          <w:lang w:eastAsia="es-MX"/>
        </w:rPr>
        <w:t>Complejidad del asunto:</w:t>
      </w:r>
      <w:r w:rsidRPr="00B77590">
        <w:rPr>
          <w:rFonts w:cs="Arial"/>
          <w:lang w:eastAsia="es-MX"/>
        </w:rPr>
        <w:t xml:space="preserve"> La complejidad de la prueba, la pluralidad de sujetos procesales, el tiempo transcurrido, las características y contexto del recurso.</w:t>
      </w:r>
    </w:p>
    <w:p w14:paraId="7257B53F" w14:textId="77777777" w:rsidR="002973A3" w:rsidRPr="00B77590" w:rsidRDefault="002973A3" w:rsidP="00F24B1F">
      <w:pPr>
        <w:numPr>
          <w:ilvl w:val="0"/>
          <w:numId w:val="12"/>
        </w:numPr>
        <w:spacing w:after="160" w:line="278" w:lineRule="auto"/>
        <w:jc w:val="left"/>
        <w:rPr>
          <w:rFonts w:cs="Arial"/>
          <w:lang w:eastAsia="es-MX"/>
        </w:rPr>
      </w:pPr>
      <w:r w:rsidRPr="00B77590">
        <w:rPr>
          <w:rFonts w:cs="Arial"/>
          <w:b/>
          <w:lang w:eastAsia="es-MX"/>
        </w:rPr>
        <w:t>Actividad Procesal del interesado:</w:t>
      </w:r>
      <w:r w:rsidRPr="00B77590">
        <w:rPr>
          <w:rFonts w:cs="Arial"/>
          <w:lang w:eastAsia="es-MX"/>
        </w:rPr>
        <w:t xml:space="preserve"> Acciones u omisiones del interesado.</w:t>
      </w:r>
    </w:p>
    <w:p w14:paraId="29D133D0" w14:textId="77777777" w:rsidR="002973A3" w:rsidRPr="00B77590" w:rsidRDefault="002973A3" w:rsidP="00F24B1F">
      <w:pPr>
        <w:numPr>
          <w:ilvl w:val="0"/>
          <w:numId w:val="12"/>
        </w:numPr>
        <w:spacing w:after="160" w:line="278" w:lineRule="auto"/>
        <w:jc w:val="left"/>
        <w:rPr>
          <w:rFonts w:cs="Arial"/>
          <w:lang w:eastAsia="es-MX"/>
        </w:rPr>
      </w:pPr>
      <w:r w:rsidRPr="00B77590">
        <w:rPr>
          <w:rFonts w:cs="Arial"/>
          <w:b/>
          <w:lang w:eastAsia="es-MX"/>
        </w:rPr>
        <w:t>Conducta de la Autoridad:</w:t>
      </w:r>
      <w:r w:rsidRPr="00B77590">
        <w:rPr>
          <w:rFonts w:cs="Arial"/>
          <w:lang w:eastAsia="es-MX"/>
        </w:rPr>
        <w:t xml:space="preserve"> Las Acciones u omisiones realizadas en el procedimiento. Así como si la autoridad actuó con la debida diligencia.</w:t>
      </w:r>
    </w:p>
    <w:p w14:paraId="59BD8B34" w14:textId="77777777" w:rsidR="002973A3" w:rsidRPr="00B77590" w:rsidRDefault="002973A3" w:rsidP="00F24B1F">
      <w:pPr>
        <w:numPr>
          <w:ilvl w:val="0"/>
          <w:numId w:val="12"/>
        </w:numPr>
        <w:spacing w:after="160" w:line="278" w:lineRule="auto"/>
        <w:jc w:val="left"/>
        <w:rPr>
          <w:rFonts w:cs="Arial"/>
          <w:lang w:eastAsia="es-MX"/>
        </w:rPr>
      </w:pPr>
      <w:r w:rsidRPr="00B77590">
        <w:rPr>
          <w:rFonts w:cs="Arial"/>
          <w:b/>
          <w:lang w:eastAsia="es-MX"/>
        </w:rPr>
        <w:t xml:space="preserve">La afectación generada en la situación jurídica de la persona involucrada en el proceso: </w:t>
      </w:r>
      <w:r w:rsidRPr="00B77590">
        <w:rPr>
          <w:rFonts w:cs="Arial"/>
          <w:lang w:eastAsia="es-MX"/>
        </w:rPr>
        <w:t>Violación a sus derechos humanos.</w:t>
      </w:r>
    </w:p>
    <w:p w14:paraId="57921F28" w14:textId="77777777" w:rsidR="002973A3" w:rsidRPr="00B77590" w:rsidRDefault="002973A3" w:rsidP="00F24B1F">
      <w:pPr>
        <w:rPr>
          <w:rFonts w:cs="Arial"/>
          <w:lang w:eastAsia="es-MX"/>
        </w:rPr>
      </w:pPr>
    </w:p>
    <w:p w14:paraId="1BC2367F" w14:textId="77777777" w:rsidR="002973A3" w:rsidRPr="00B77590" w:rsidRDefault="002973A3" w:rsidP="00F24B1F">
      <w:pPr>
        <w:rPr>
          <w:rFonts w:cs="Arial"/>
          <w:lang w:eastAsia="es-MX"/>
        </w:rPr>
      </w:pPr>
      <w:r w:rsidRPr="00B77590">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4B16E5F" w14:textId="77777777" w:rsidR="002973A3" w:rsidRPr="00B77590" w:rsidRDefault="002973A3" w:rsidP="00F24B1F">
      <w:pPr>
        <w:rPr>
          <w:rFonts w:cs="Arial"/>
          <w:lang w:eastAsia="es-MX"/>
        </w:rPr>
      </w:pPr>
    </w:p>
    <w:p w14:paraId="25E3E9E3" w14:textId="77777777" w:rsidR="002973A3" w:rsidRPr="00B77590" w:rsidRDefault="002973A3" w:rsidP="00F24B1F">
      <w:pPr>
        <w:rPr>
          <w:rFonts w:cs="Arial"/>
          <w:lang w:eastAsia="es-MX"/>
        </w:rPr>
      </w:pPr>
      <w:r w:rsidRPr="00B77590">
        <w:rPr>
          <w:rFonts w:cs="Arial"/>
          <w:lang w:eastAsia="es-MX"/>
        </w:rPr>
        <w:t>Argumento que encuentra sustento en la jurisprudencia P</w:t>
      </w:r>
      <w:proofErr w:type="gramStart"/>
      <w:r w:rsidRPr="00B77590">
        <w:rPr>
          <w:rFonts w:cs="Arial"/>
          <w:lang w:eastAsia="es-MX"/>
        </w:rPr>
        <w:t>./</w:t>
      </w:r>
      <w:proofErr w:type="gramEnd"/>
      <w:r w:rsidRPr="00B77590">
        <w:rPr>
          <w:rFonts w:cs="Arial"/>
          <w:lang w:eastAsia="es-MX"/>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339065DC" w14:textId="77777777" w:rsidR="002973A3" w:rsidRPr="00B77590" w:rsidRDefault="002973A3" w:rsidP="00F24B1F">
      <w:pPr>
        <w:rPr>
          <w:rFonts w:cs="Arial"/>
          <w:lang w:eastAsia="es-MX"/>
        </w:rPr>
      </w:pPr>
    </w:p>
    <w:p w14:paraId="45A06BD5" w14:textId="77777777" w:rsidR="002973A3" w:rsidRPr="00B77590" w:rsidRDefault="002973A3" w:rsidP="00F24B1F">
      <w:pPr>
        <w:rPr>
          <w:rFonts w:cs="Arial"/>
          <w:lang w:eastAsia="es-MX"/>
        </w:rPr>
      </w:pPr>
      <w:r w:rsidRPr="00B77590">
        <w:rPr>
          <w:rFonts w:cs="Arial"/>
          <w:lang w:eastAsia="es-MX"/>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655AC16" w14:textId="77777777" w:rsidR="002973A3" w:rsidRPr="00B77590" w:rsidRDefault="002973A3" w:rsidP="00F24B1F">
      <w:pPr>
        <w:rPr>
          <w:rFonts w:cs="Arial"/>
          <w:lang w:eastAsia="es-MX"/>
        </w:rPr>
      </w:pPr>
    </w:p>
    <w:p w14:paraId="0FB79C71" w14:textId="77777777" w:rsidR="002973A3" w:rsidRPr="00B77590" w:rsidRDefault="002973A3" w:rsidP="00F24B1F">
      <w:pPr>
        <w:rPr>
          <w:rFonts w:cs="Arial"/>
          <w:lang w:eastAsia="es-MX"/>
        </w:rPr>
      </w:pPr>
      <w:r w:rsidRPr="00B77590">
        <w:rPr>
          <w:rFonts w:cs="Arial"/>
          <w:lang w:eastAsia="es-MX"/>
        </w:rPr>
        <w:t>Al respecto, también son de considerar los criterios sostenidos por el Cuarto Tribunal Colegiado en Materia Administrativa del Primer Circuito, cuyos rubros y datos de identificación son los siguientes:</w:t>
      </w:r>
    </w:p>
    <w:p w14:paraId="11F9435E" w14:textId="77777777" w:rsidR="002973A3" w:rsidRPr="00B77590" w:rsidRDefault="002973A3" w:rsidP="00F24B1F">
      <w:pPr>
        <w:rPr>
          <w:rFonts w:cs="Arial"/>
          <w:lang w:eastAsia="es-MX"/>
        </w:rPr>
      </w:pPr>
    </w:p>
    <w:p w14:paraId="229A15FD" w14:textId="77777777" w:rsidR="002973A3" w:rsidRPr="00B77590" w:rsidRDefault="002973A3" w:rsidP="00F24B1F">
      <w:pPr>
        <w:spacing w:line="240" w:lineRule="auto"/>
        <w:ind w:left="567" w:right="567"/>
        <w:contextualSpacing/>
        <w:rPr>
          <w:i/>
          <w:kern w:val="28"/>
          <w:szCs w:val="56"/>
          <w:lang w:eastAsia="es-MX"/>
        </w:rPr>
      </w:pPr>
      <w:r w:rsidRPr="00B77590">
        <w:rPr>
          <w:i/>
          <w:kern w:val="28"/>
          <w:szCs w:val="56"/>
          <w:lang w:eastAsia="es-MX"/>
        </w:rPr>
        <w:t>“</w:t>
      </w:r>
      <w:r w:rsidRPr="00B77590">
        <w:rPr>
          <w:b/>
          <w:i/>
          <w:kern w:val="28"/>
          <w:szCs w:val="56"/>
          <w:lang w:eastAsia="es-MX"/>
        </w:rPr>
        <w:t>PLAZO RAZONABLE PARA RESOLVER. DIMENSIÓN Y EFECTOS DE ESTE CONCEPTO CUANDO SE ADUCE EXCESIVA CARGA DE TRABAJO</w:t>
      </w:r>
      <w:r w:rsidRPr="00B77590">
        <w:rPr>
          <w:i/>
          <w:kern w:val="28"/>
          <w:szCs w:val="56"/>
          <w:lang w:eastAsia="es-MX"/>
        </w:rPr>
        <w:t>.” consultable en el Semanario Judicial de la Federación y su gaceta, con el registro digital 2002351.</w:t>
      </w:r>
    </w:p>
    <w:p w14:paraId="0C4A3E2A" w14:textId="77777777" w:rsidR="002973A3" w:rsidRPr="00B77590" w:rsidRDefault="002973A3" w:rsidP="00F24B1F">
      <w:pPr>
        <w:ind w:left="851" w:right="616"/>
        <w:rPr>
          <w:rFonts w:cs="Arial"/>
          <w:i/>
          <w:lang w:eastAsia="es-MX"/>
        </w:rPr>
      </w:pPr>
    </w:p>
    <w:p w14:paraId="173F8E07" w14:textId="77777777" w:rsidR="002973A3" w:rsidRPr="00B77590" w:rsidRDefault="002973A3" w:rsidP="00F24B1F">
      <w:pPr>
        <w:spacing w:line="240" w:lineRule="auto"/>
        <w:ind w:left="567" w:right="567"/>
        <w:contextualSpacing/>
        <w:rPr>
          <w:rFonts w:cs="Arial"/>
          <w:kern w:val="28"/>
          <w:szCs w:val="56"/>
          <w:lang w:eastAsia="es-MX"/>
        </w:rPr>
      </w:pPr>
      <w:r w:rsidRPr="00B77590">
        <w:rPr>
          <w:rFonts w:cs="Arial"/>
          <w:i/>
          <w:kern w:val="28"/>
          <w:szCs w:val="56"/>
          <w:lang w:eastAsia="es-MX"/>
        </w:rPr>
        <w:t>“</w:t>
      </w:r>
      <w:r w:rsidRPr="00B77590">
        <w:rPr>
          <w:rFonts w:cs="Arial"/>
          <w:b/>
          <w:i/>
          <w:kern w:val="28"/>
          <w:szCs w:val="56"/>
          <w:lang w:eastAsia="es-MX"/>
        </w:rPr>
        <w:t xml:space="preserve">PLAZO RAZONABLE </w:t>
      </w:r>
      <w:r w:rsidRPr="00B77590">
        <w:rPr>
          <w:b/>
          <w:i/>
          <w:kern w:val="28"/>
          <w:szCs w:val="56"/>
          <w:lang w:eastAsia="es-MX"/>
        </w:rPr>
        <w:t>PARA</w:t>
      </w:r>
      <w:r w:rsidRPr="00B77590">
        <w:rPr>
          <w:rFonts w:cs="Arial"/>
          <w:b/>
          <w:i/>
          <w:kern w:val="28"/>
          <w:szCs w:val="56"/>
          <w:lang w:eastAsia="es-MX"/>
        </w:rPr>
        <w:t xml:space="preserve"> RESOLVER. CONCEPTO Y ELEMENTOS QUE LO INTEGRAN A LA LUZ DEL DERECHO INTERNACIONAL DE LOS DERECHOS HUMANOS</w:t>
      </w:r>
      <w:r w:rsidRPr="00B77590">
        <w:rPr>
          <w:rFonts w:cs="Arial"/>
          <w:i/>
          <w:kern w:val="28"/>
          <w:szCs w:val="56"/>
          <w:lang w:eastAsia="es-MX"/>
        </w:rPr>
        <w:t>.”, visible en el Semanario Judicial de la Federación y su gaceta, con el registro digital 2002350.</w:t>
      </w:r>
    </w:p>
    <w:p w14:paraId="7C3861EE" w14:textId="77777777" w:rsidR="002973A3" w:rsidRPr="00B77590" w:rsidRDefault="002973A3" w:rsidP="00F24B1F">
      <w:pPr>
        <w:rPr>
          <w:rFonts w:cs="Arial"/>
          <w:lang w:eastAsia="es-MX"/>
        </w:rPr>
      </w:pPr>
    </w:p>
    <w:p w14:paraId="1A11DAEE" w14:textId="77777777" w:rsidR="002973A3" w:rsidRPr="00B77590" w:rsidRDefault="002973A3" w:rsidP="00F24B1F">
      <w:pPr>
        <w:rPr>
          <w:rFonts w:cs="Arial"/>
          <w:lang w:eastAsia="es-MX"/>
        </w:rPr>
      </w:pPr>
      <w:r w:rsidRPr="00B77590">
        <w:rPr>
          <w:rFonts w:cs="Arial"/>
          <w:lang w:eastAsia="es-MX"/>
        </w:rPr>
        <w:t xml:space="preserve">Por ello, este organismo garante </w:t>
      </w:r>
      <w:r w:rsidRPr="00B77590">
        <w:rPr>
          <w:rFonts w:cs="Tahoma"/>
          <w:szCs w:val="22"/>
        </w:rPr>
        <w:t>comprometido</w:t>
      </w:r>
      <w:r w:rsidRPr="00B77590">
        <w:rPr>
          <w:rFonts w:cs="Arial"/>
          <w:lang w:eastAsia="es-MX"/>
        </w:rPr>
        <w:t xml:space="preserve"> con la tutela de los derechos humanos confiados señala que este exceso del plazo legal para resolver el asunto resulta de carácter excepcional.</w:t>
      </w:r>
    </w:p>
    <w:p w14:paraId="3A088C7E" w14:textId="77777777" w:rsidR="002973A3" w:rsidRPr="00B77590" w:rsidRDefault="002973A3" w:rsidP="00F24B1F">
      <w:pPr>
        <w:rPr>
          <w:rFonts w:cs="Arial"/>
          <w:lang w:eastAsia="es-MX"/>
        </w:rPr>
      </w:pPr>
    </w:p>
    <w:p w14:paraId="0E651988" w14:textId="7C3AB956" w:rsidR="00664420" w:rsidRPr="00B77590" w:rsidRDefault="002973A3" w:rsidP="00F24B1F">
      <w:pPr>
        <w:pStyle w:val="Ttulo3"/>
      </w:pPr>
      <w:bookmarkStart w:id="26" w:name="_Toc211449536"/>
      <w:r w:rsidRPr="00B77590">
        <w:rPr>
          <w:rFonts w:eastAsia="Calibri"/>
        </w:rPr>
        <w:lastRenderedPageBreak/>
        <w:t>g</w:t>
      </w:r>
      <w:r w:rsidR="007517BD" w:rsidRPr="00B77590">
        <w:rPr>
          <w:rFonts w:eastAsia="Calibri"/>
        </w:rPr>
        <w:t xml:space="preserve">) </w:t>
      </w:r>
      <w:r w:rsidR="00664420" w:rsidRPr="00B77590">
        <w:t>Cierre de instrucción</w:t>
      </w:r>
      <w:bookmarkEnd w:id="26"/>
    </w:p>
    <w:p w14:paraId="79AF95DC" w14:textId="6CFF6A47" w:rsidR="00664420" w:rsidRPr="00B77590" w:rsidRDefault="00BF091A" w:rsidP="00F24B1F">
      <w:r w:rsidRPr="00B77590">
        <w:rPr>
          <w:rFonts w:cs="Tahoma"/>
          <w:szCs w:val="22"/>
        </w:rPr>
        <w:t>Al no existir diligencias pendientes por desahogar</w:t>
      </w:r>
      <w:r w:rsidRPr="00B77590">
        <w:rPr>
          <w:rFonts w:cs="Arial"/>
        </w:rPr>
        <w:t xml:space="preserve">, el </w:t>
      </w:r>
      <w:bookmarkStart w:id="27" w:name="_Hlk104892386"/>
      <w:r w:rsidR="002973A3" w:rsidRPr="00B77590">
        <w:rPr>
          <w:rFonts w:cs="Arial"/>
          <w:b/>
        </w:rPr>
        <w:t xml:space="preserve">ocho de octubre </w:t>
      </w:r>
      <w:r w:rsidR="009A1340" w:rsidRPr="00B77590">
        <w:rPr>
          <w:rFonts w:cs="Arial"/>
          <w:b/>
        </w:rPr>
        <w:t xml:space="preserve">de dos mil veinticinco </w:t>
      </w:r>
      <w:bookmarkEnd w:id="27"/>
      <w:r w:rsidRPr="00B77590">
        <w:rPr>
          <w:rFonts w:cs="Arial"/>
        </w:rPr>
        <w:t xml:space="preserve">la </w:t>
      </w:r>
      <w:r w:rsidRPr="00B77590">
        <w:rPr>
          <w:rFonts w:cs="Arial"/>
          <w:b/>
          <w:bCs/>
        </w:rPr>
        <w:t xml:space="preserve">Comisionada </w:t>
      </w:r>
      <w:r w:rsidRPr="00B77590">
        <w:rPr>
          <w:b/>
        </w:rPr>
        <w:t xml:space="preserve">Sharon Cristina Morales Martínez </w:t>
      </w:r>
      <w:r w:rsidRPr="00B77590">
        <w:rPr>
          <w:rFonts w:cs="Arial"/>
        </w:rPr>
        <w:t>acordó el cierre de instrucción</w:t>
      </w:r>
      <w:r w:rsidR="0011350D" w:rsidRPr="00B77590">
        <w:rPr>
          <w:rFonts w:cs="Arial"/>
        </w:rPr>
        <w:t xml:space="preserve"> y</w:t>
      </w:r>
      <w:r w:rsidRPr="00B77590">
        <w:rPr>
          <w:rFonts w:cs="Arial"/>
        </w:rPr>
        <w:t xml:space="preserve"> </w:t>
      </w:r>
      <w:r w:rsidR="0011350D" w:rsidRPr="00B77590">
        <w:rPr>
          <w:rFonts w:cs="Arial"/>
        </w:rPr>
        <w:t xml:space="preserve">la </w:t>
      </w:r>
      <w:r w:rsidRPr="00B77590">
        <w:rPr>
          <w:rFonts w:cs="Arial"/>
        </w:rPr>
        <w:t>remisión del expediente a efecto de ser resuelto, de conformidad con lo establecido en el artículo 185 fracciones VI y VIII de la Ley de Transparencia y Acceso a la Información Pública del Estado de México y Municipios</w:t>
      </w:r>
      <w:r w:rsidRPr="00B77590">
        <w:t>.</w:t>
      </w:r>
      <w:r w:rsidR="0011350D" w:rsidRPr="00B77590">
        <w:t xml:space="preserve"> Dicho acuerdo </w:t>
      </w:r>
      <w:r w:rsidR="00664420" w:rsidRPr="00B77590">
        <w:rPr>
          <w:rFonts w:cs="Tahoma"/>
          <w:szCs w:val="22"/>
        </w:rPr>
        <w:t xml:space="preserve">fue notificado a las partes el mismo día a través del </w:t>
      </w:r>
      <w:r w:rsidR="00664420" w:rsidRPr="00B77590">
        <w:rPr>
          <w:rFonts w:cs="Tahoma"/>
          <w:b/>
          <w:bCs/>
          <w:szCs w:val="22"/>
          <w:lang w:val="es-ES"/>
        </w:rPr>
        <w:t>SAIMEX</w:t>
      </w:r>
      <w:r w:rsidR="00664420" w:rsidRPr="00B77590">
        <w:rPr>
          <w:rFonts w:cs="Tahoma"/>
          <w:szCs w:val="22"/>
        </w:rPr>
        <w:t>.</w:t>
      </w:r>
    </w:p>
    <w:p w14:paraId="741683E3" w14:textId="77777777" w:rsidR="0011350D" w:rsidRPr="00B77590" w:rsidRDefault="0011350D" w:rsidP="00F24B1F">
      <w:pPr>
        <w:rPr>
          <w:rFonts w:cs="Tahoma"/>
          <w:szCs w:val="22"/>
        </w:rPr>
      </w:pPr>
    </w:p>
    <w:p w14:paraId="7A9629DE" w14:textId="77777777" w:rsidR="00664420" w:rsidRPr="00B77590" w:rsidRDefault="00664420" w:rsidP="00F24B1F">
      <w:pPr>
        <w:pStyle w:val="Ttulo1"/>
        <w:rPr>
          <w:rFonts w:eastAsiaTheme="minorHAnsi"/>
          <w:lang w:eastAsia="en-US"/>
        </w:rPr>
      </w:pPr>
      <w:bookmarkStart w:id="28" w:name="_Toc211449537"/>
      <w:r w:rsidRPr="00B77590">
        <w:rPr>
          <w:rFonts w:eastAsiaTheme="minorHAnsi"/>
          <w:lang w:eastAsia="en-US"/>
        </w:rPr>
        <w:t>CONSIDERANDOS</w:t>
      </w:r>
      <w:bookmarkEnd w:id="28"/>
    </w:p>
    <w:p w14:paraId="6DD1243B" w14:textId="77777777" w:rsidR="00664420" w:rsidRPr="00B77590" w:rsidRDefault="00664420" w:rsidP="00F24B1F">
      <w:pPr>
        <w:contextualSpacing/>
        <w:jc w:val="center"/>
        <w:rPr>
          <w:rFonts w:eastAsiaTheme="minorHAnsi" w:cs="Tahoma"/>
          <w:b/>
          <w:szCs w:val="22"/>
          <w:lang w:eastAsia="en-US"/>
        </w:rPr>
      </w:pPr>
    </w:p>
    <w:p w14:paraId="0B67CB92" w14:textId="2E307D3B" w:rsidR="00664420" w:rsidRPr="00B77590" w:rsidRDefault="00664420" w:rsidP="00F24B1F">
      <w:pPr>
        <w:pStyle w:val="Ttulo2"/>
        <w:rPr>
          <w:rFonts w:eastAsia="Batang"/>
        </w:rPr>
      </w:pPr>
      <w:bookmarkStart w:id="29" w:name="_Toc211449538"/>
      <w:r w:rsidRPr="00B77590">
        <w:rPr>
          <w:rFonts w:eastAsia="Batang"/>
        </w:rPr>
        <w:t xml:space="preserve">PRIMERO. </w:t>
      </w:r>
      <w:proofErr w:type="spellStart"/>
      <w:r w:rsidR="00BA55A8" w:rsidRPr="00B77590">
        <w:rPr>
          <w:rFonts w:eastAsia="Batang"/>
        </w:rPr>
        <w:t>Procedibilidad</w:t>
      </w:r>
      <w:bookmarkEnd w:id="29"/>
      <w:proofErr w:type="spellEnd"/>
    </w:p>
    <w:p w14:paraId="39C52BC1" w14:textId="56FCC20D" w:rsidR="00BA55A8" w:rsidRPr="00B77590" w:rsidRDefault="00BA55A8" w:rsidP="00F24B1F">
      <w:pPr>
        <w:pStyle w:val="Ttulo3"/>
      </w:pPr>
      <w:bookmarkStart w:id="30" w:name="_Toc211449539"/>
      <w:r w:rsidRPr="00B77590">
        <w:t>a) Competencia</w:t>
      </w:r>
      <w:r w:rsidR="00150C49" w:rsidRPr="00B77590">
        <w:t xml:space="preserve"> del Instituto</w:t>
      </w:r>
      <w:bookmarkEnd w:id="30"/>
    </w:p>
    <w:p w14:paraId="56E64942" w14:textId="675688FC" w:rsidR="0011350D" w:rsidRPr="00B77590" w:rsidRDefault="0011350D" w:rsidP="00F24B1F">
      <w:pPr>
        <w:rPr>
          <w:rFonts w:cs="Arial"/>
        </w:rPr>
      </w:pPr>
      <w:r w:rsidRPr="00B77590">
        <w:t xml:space="preserve">Este Instituto de Transparencia, Acceso a la Información Pública y Protección de Datos Personales del Estado de México y Municipios es competente para conocer y resolver </w:t>
      </w:r>
      <w:r w:rsidR="005F65B7" w:rsidRPr="00B77590">
        <w:t xml:space="preserve">el </w:t>
      </w:r>
      <w:r w:rsidRPr="00B77590">
        <w:t xml:space="preserve">presente Recurso de Revisión, conforme a lo dispuesto en los artículos 6, Apartado A de la Constitución Política de los Estados Unidos Mexicanos; 5, </w:t>
      </w:r>
      <w:r w:rsidR="00F876EE" w:rsidRPr="00B77590">
        <w:rPr>
          <w:bCs/>
        </w:rPr>
        <w:t>párrafos trigésimo noveno, cuadragésimo y cuadragésimo primero, fracciones IV y V, d</w:t>
      </w:r>
      <w:r w:rsidRPr="00B77590">
        <w:t>e la Constitución Política del Estado Libre y Soberano de México; ordinal 2, fracción II, 13, 29, 36, fracciones I y II, 176, 178, 179, 181 párrafo tercero y 185 de la Ley de Transparencia y Acceso a la Información Pública del Estado de México y Municipios</w:t>
      </w:r>
      <w:r w:rsidRPr="00B7759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B77590" w:rsidRDefault="00DB1C09" w:rsidP="00F24B1F">
      <w:pPr>
        <w:rPr>
          <w:rFonts w:cs="Arial"/>
        </w:rPr>
      </w:pPr>
    </w:p>
    <w:p w14:paraId="517A2DD6" w14:textId="4169BE4D" w:rsidR="00664420" w:rsidRPr="00B77590" w:rsidRDefault="00BA55A8" w:rsidP="00F24B1F">
      <w:pPr>
        <w:pStyle w:val="Ttulo3"/>
      </w:pPr>
      <w:bookmarkStart w:id="31" w:name="_Toc211449540"/>
      <w:r w:rsidRPr="00B77590">
        <w:lastRenderedPageBreak/>
        <w:t>b)</w:t>
      </w:r>
      <w:r w:rsidR="00664420" w:rsidRPr="00B77590">
        <w:t xml:space="preserve"> </w:t>
      </w:r>
      <w:r w:rsidR="00D91CB4" w:rsidRPr="00B77590">
        <w:t>Legitimidad</w:t>
      </w:r>
      <w:r w:rsidRPr="00B77590">
        <w:t xml:space="preserve"> de la parte recurrente</w:t>
      </w:r>
      <w:bookmarkEnd w:id="31"/>
    </w:p>
    <w:p w14:paraId="26FEA382" w14:textId="0B06695C" w:rsidR="00D91CB4" w:rsidRPr="00B77590" w:rsidRDefault="00D91CB4" w:rsidP="00F24B1F">
      <w:pPr>
        <w:rPr>
          <w:rFonts w:cs="Arial"/>
          <w:bCs/>
        </w:rPr>
      </w:pPr>
      <w:r w:rsidRPr="00B77590">
        <w:rPr>
          <w:rFonts w:cs="Arial"/>
          <w:bCs/>
        </w:rPr>
        <w:t>El recurso de revisión fue interpuesto por parte legítima, ya que se presentó por la misma persona que formuló la solicitud de acceso a la Información Pública,</w:t>
      </w:r>
      <w:r w:rsidRPr="00B77590">
        <w:rPr>
          <w:rFonts w:cs="Arial"/>
          <w:b/>
          <w:bCs/>
        </w:rPr>
        <w:t xml:space="preserve"> </w:t>
      </w:r>
      <w:r w:rsidRPr="00B77590">
        <w:rPr>
          <w:rFonts w:cs="Arial"/>
        </w:rPr>
        <w:t>debido a que los datos de acceso</w:t>
      </w:r>
      <w:r w:rsidRPr="00B77590">
        <w:rPr>
          <w:rFonts w:cs="Arial"/>
          <w:b/>
          <w:bCs/>
        </w:rPr>
        <w:t xml:space="preserve"> </w:t>
      </w:r>
      <w:r w:rsidRPr="00B77590">
        <w:rPr>
          <w:rFonts w:cs="Arial"/>
          <w:b/>
        </w:rPr>
        <w:t>SAIMEX</w:t>
      </w:r>
      <w:r w:rsidRPr="00B77590">
        <w:rPr>
          <w:rFonts w:eastAsia="Calibri" w:cs="Arial"/>
          <w:lang w:eastAsia="en-US"/>
        </w:rPr>
        <w:t xml:space="preserve"> son personales e irrepetibles.</w:t>
      </w:r>
    </w:p>
    <w:p w14:paraId="2C367810" w14:textId="77777777" w:rsidR="00D91CB4" w:rsidRPr="00B77590" w:rsidRDefault="00D91CB4" w:rsidP="00F24B1F"/>
    <w:p w14:paraId="5C5FA5A8" w14:textId="77777777" w:rsidR="004565C2" w:rsidRPr="00B77590" w:rsidRDefault="004565C2" w:rsidP="00F24B1F">
      <w:pPr>
        <w:pStyle w:val="Ttulo3"/>
        <w:rPr>
          <w:rFonts w:eastAsia="Calibri"/>
          <w:lang w:eastAsia="es-ES_tradnl"/>
        </w:rPr>
      </w:pPr>
      <w:bookmarkStart w:id="32" w:name="_Toc170932820"/>
      <w:bookmarkStart w:id="33" w:name="_Toc211449541"/>
      <w:r w:rsidRPr="00B77590">
        <w:rPr>
          <w:rFonts w:eastAsia="Calibri"/>
          <w:lang w:eastAsia="es-ES_tradnl"/>
        </w:rPr>
        <w:t>c) Plazo para interponer el recurso</w:t>
      </w:r>
      <w:bookmarkEnd w:id="32"/>
      <w:bookmarkEnd w:id="33"/>
    </w:p>
    <w:p w14:paraId="2B8FF9B1" w14:textId="33045F8A" w:rsidR="00AA42E0" w:rsidRPr="00B77590" w:rsidRDefault="004565C2" w:rsidP="00F24B1F">
      <w:pPr>
        <w:rPr>
          <w:rFonts w:cs="Arial"/>
        </w:rPr>
      </w:pPr>
      <w:r w:rsidRPr="00B77590">
        <w:rPr>
          <w:rFonts w:cs="Arial"/>
          <w:b/>
        </w:rPr>
        <w:t>EL SUJETO OBLIGADO</w:t>
      </w:r>
      <w:r w:rsidRPr="00B77590">
        <w:rPr>
          <w:rFonts w:cs="Arial"/>
        </w:rPr>
        <w:t xml:space="preserve"> notificó la respuesta a la solicitud de acceso a la Información Pública el </w:t>
      </w:r>
      <w:r w:rsidR="00790F0D" w:rsidRPr="00B77590">
        <w:rPr>
          <w:rFonts w:eastAsia="Palatino Linotype" w:cs="Palatino Linotype"/>
          <w:b/>
        </w:rPr>
        <w:t xml:space="preserve">veintiséis de junio </w:t>
      </w:r>
      <w:r w:rsidR="009A1340" w:rsidRPr="00B77590">
        <w:rPr>
          <w:rFonts w:eastAsia="Palatino Linotype" w:cs="Palatino Linotype"/>
          <w:b/>
        </w:rPr>
        <w:t xml:space="preserve">de dos mil veinticinco </w:t>
      </w:r>
      <w:r w:rsidRPr="00B77590">
        <w:rPr>
          <w:rFonts w:cs="Arial"/>
        </w:rPr>
        <w:t xml:space="preserve">y el recurso </w:t>
      </w:r>
      <w:r w:rsidRPr="00B77590">
        <w:rPr>
          <w:rFonts w:eastAsia="Palatino Linotype" w:cs="Palatino Linotype"/>
        </w:rPr>
        <w:t xml:space="preserve">que nos ocupa se </w:t>
      </w:r>
      <w:r w:rsidR="00E27023" w:rsidRPr="00B77590">
        <w:rPr>
          <w:rFonts w:eastAsia="Palatino Linotype" w:cs="Palatino Linotype"/>
        </w:rPr>
        <w:t xml:space="preserve">tuvo por </w:t>
      </w:r>
      <w:r w:rsidRPr="00B77590">
        <w:rPr>
          <w:rFonts w:eastAsia="Palatino Linotype" w:cs="Palatino Linotype"/>
        </w:rPr>
        <w:t>interpu</w:t>
      </w:r>
      <w:r w:rsidR="00E27023" w:rsidRPr="00B77590">
        <w:rPr>
          <w:rFonts w:eastAsia="Palatino Linotype" w:cs="Palatino Linotype"/>
        </w:rPr>
        <w:t>esto</w:t>
      </w:r>
      <w:r w:rsidRPr="00B77590">
        <w:rPr>
          <w:rFonts w:eastAsia="Palatino Linotype" w:cs="Palatino Linotype"/>
        </w:rPr>
        <w:t xml:space="preserve"> el </w:t>
      </w:r>
      <w:r w:rsidR="00B702FD" w:rsidRPr="00B77590">
        <w:rPr>
          <w:rFonts w:eastAsia="Palatino Linotype" w:cs="Palatino Linotype"/>
          <w:b/>
        </w:rPr>
        <w:t>siete</w:t>
      </w:r>
      <w:r w:rsidR="00790F0D" w:rsidRPr="00B77590">
        <w:rPr>
          <w:rFonts w:eastAsia="Palatino Linotype" w:cs="Palatino Linotype"/>
          <w:b/>
        </w:rPr>
        <w:t xml:space="preserve"> de julio </w:t>
      </w:r>
      <w:r w:rsidR="00194895" w:rsidRPr="00B77590">
        <w:rPr>
          <w:rFonts w:eastAsia="Palatino Linotype" w:cs="Palatino Linotype"/>
          <w:b/>
        </w:rPr>
        <w:t>d</w:t>
      </w:r>
      <w:r w:rsidR="009A1340" w:rsidRPr="00B77590">
        <w:rPr>
          <w:rFonts w:eastAsia="Palatino Linotype" w:cs="Palatino Linotype"/>
          <w:b/>
        </w:rPr>
        <w:t>e dos mil veinticinco</w:t>
      </w:r>
      <w:r w:rsidRPr="00B77590">
        <w:rPr>
          <w:rFonts w:eastAsia="Palatino Linotype" w:cs="Palatino Linotype"/>
          <w:bCs/>
        </w:rPr>
        <w:t>;</w:t>
      </w:r>
      <w:r w:rsidRPr="00B77590">
        <w:rPr>
          <w:rFonts w:eastAsia="Palatino Linotype" w:cs="Palatino Linotype"/>
        </w:rPr>
        <w:t xml:space="preserve"> por lo tanto, éste se encuentra dentro del margen temporal previsto en el artículo 178 de la </w:t>
      </w:r>
      <w:r w:rsidRPr="00B77590">
        <w:rPr>
          <w:rFonts w:cs="Arial"/>
        </w:rPr>
        <w:t>Ley de Transparencia y Acceso a la Información Pública del Estado de México y Municipios</w:t>
      </w:r>
      <w:r w:rsidR="00AA42E0" w:rsidRPr="00B77590">
        <w:rPr>
          <w:rFonts w:cs="Arial"/>
        </w:rPr>
        <w:t>.</w:t>
      </w:r>
    </w:p>
    <w:p w14:paraId="41310659" w14:textId="77777777" w:rsidR="00712E69" w:rsidRPr="00B77590" w:rsidRDefault="00712E69" w:rsidP="00F24B1F">
      <w:pPr>
        <w:rPr>
          <w:rFonts w:cs="Arial"/>
        </w:rPr>
      </w:pPr>
    </w:p>
    <w:p w14:paraId="46C0EB3A" w14:textId="5A92AF42" w:rsidR="00A53315" w:rsidRPr="00B77590" w:rsidRDefault="00BA55A8" w:rsidP="00F24B1F">
      <w:pPr>
        <w:pStyle w:val="Ttulo3"/>
        <w:rPr>
          <w:rFonts w:eastAsia="Calibri"/>
          <w:lang w:eastAsia="es-ES_tradnl"/>
        </w:rPr>
      </w:pPr>
      <w:bookmarkStart w:id="34" w:name="_Toc211449542"/>
      <w:r w:rsidRPr="00B77590">
        <w:rPr>
          <w:rFonts w:eastAsia="Calibri"/>
          <w:lang w:eastAsia="es-ES_tradnl"/>
        </w:rPr>
        <w:t>d)</w:t>
      </w:r>
      <w:r w:rsidR="00D91CB4" w:rsidRPr="00B77590">
        <w:rPr>
          <w:rFonts w:eastAsia="Calibri"/>
          <w:lang w:eastAsia="es-ES_tradnl"/>
        </w:rPr>
        <w:t xml:space="preserve"> </w:t>
      </w:r>
      <w:r w:rsidR="004565C2" w:rsidRPr="00B77590">
        <w:rPr>
          <w:rFonts w:eastAsia="Calibri"/>
          <w:lang w:eastAsia="es-ES_tradnl"/>
        </w:rPr>
        <w:t>Causal de procedencia</w:t>
      </w:r>
      <w:bookmarkEnd w:id="34"/>
    </w:p>
    <w:p w14:paraId="190404A6" w14:textId="13159534" w:rsidR="00BA55A8" w:rsidRPr="00B77590" w:rsidRDefault="00BA55A8" w:rsidP="00F24B1F">
      <w:r w:rsidRPr="00B77590">
        <w:rPr>
          <w:rFonts w:cs="Arial"/>
        </w:rPr>
        <w:t xml:space="preserve">Resulta procedente la interposición del recurso de revisión, ya que </w:t>
      </w:r>
      <w:r w:rsidRPr="00B77590">
        <w:rPr>
          <w:rFonts w:eastAsia="Calibri" w:cs="Tahoma"/>
          <w:szCs w:val="22"/>
          <w:lang w:eastAsia="es-MX"/>
        </w:rPr>
        <w:t xml:space="preserve">se actualiza la causal de procedencia señalada en el artículo 179, </w:t>
      </w:r>
      <w:r w:rsidR="00D833BE" w:rsidRPr="00B77590">
        <w:rPr>
          <w:rFonts w:eastAsia="Calibri" w:cs="Tahoma"/>
          <w:szCs w:val="22"/>
          <w:lang w:eastAsia="es-MX"/>
        </w:rPr>
        <w:t xml:space="preserve">fracción </w:t>
      </w:r>
      <w:r w:rsidR="00E27023" w:rsidRPr="00B77590">
        <w:rPr>
          <w:rFonts w:eastAsia="Calibri" w:cs="Tahoma"/>
          <w:szCs w:val="22"/>
          <w:lang w:eastAsia="es-MX"/>
        </w:rPr>
        <w:t>I</w:t>
      </w:r>
      <w:r w:rsidRPr="00B77590">
        <w:rPr>
          <w:rFonts w:cs="Arial"/>
        </w:rPr>
        <w:t xml:space="preserve"> de la </w:t>
      </w:r>
      <w:r w:rsidRPr="00B77590">
        <w:t>Ley de Transparencia y Acceso a la Información Pública del Estado de México y Municipios.</w:t>
      </w:r>
    </w:p>
    <w:p w14:paraId="0EFF7141" w14:textId="77777777" w:rsidR="00362A11" w:rsidRPr="00B77590" w:rsidRDefault="00362A11" w:rsidP="00F24B1F"/>
    <w:p w14:paraId="2284D7EB" w14:textId="3EE1D036" w:rsidR="00BA55A8" w:rsidRPr="00B77590" w:rsidRDefault="00362A11" w:rsidP="00F24B1F">
      <w:pPr>
        <w:pStyle w:val="Ttulo3"/>
      </w:pPr>
      <w:bookmarkStart w:id="35" w:name="_Toc211449543"/>
      <w:r w:rsidRPr="00B77590">
        <w:t>e) Requisitos formales para la interposición del recurso</w:t>
      </w:r>
      <w:bookmarkEnd w:id="35"/>
    </w:p>
    <w:p w14:paraId="677C7009" w14:textId="77777777" w:rsidR="00185C7C" w:rsidRPr="00B77590" w:rsidRDefault="00185C7C" w:rsidP="00F24B1F">
      <w:pPr>
        <w:rPr>
          <w:rFonts w:cs="Arial"/>
        </w:rPr>
      </w:pPr>
      <w:r w:rsidRPr="00B77590">
        <w:rPr>
          <w:rFonts w:cs="Arial"/>
          <w:b/>
          <w:bCs/>
        </w:rPr>
        <w:t xml:space="preserve">LA PARTE RECURRENTE </w:t>
      </w:r>
      <w:r w:rsidRPr="00B77590">
        <w:rPr>
          <w:rFonts w:cs="Arial"/>
        </w:rPr>
        <w:t>acreditó todos y cada uno de los elementos formales exigidos por el artículo 180 de la misma normatividad.</w:t>
      </w:r>
    </w:p>
    <w:p w14:paraId="2BE2EBCD" w14:textId="77777777" w:rsidR="00185C7C" w:rsidRPr="00B77590" w:rsidRDefault="00185C7C" w:rsidP="00F24B1F">
      <w:pPr>
        <w:rPr>
          <w:rFonts w:cs="Arial"/>
        </w:rPr>
      </w:pPr>
    </w:p>
    <w:p w14:paraId="457548E9" w14:textId="3F7AF03B" w:rsidR="00C71CEF" w:rsidRPr="00B77590" w:rsidRDefault="00C71CEF" w:rsidP="00F24B1F">
      <w:pPr>
        <w:pStyle w:val="Ttulo2"/>
      </w:pPr>
      <w:bookmarkStart w:id="36" w:name="_Toc211449544"/>
      <w:r w:rsidRPr="00B77590">
        <w:lastRenderedPageBreak/>
        <w:t>SEGUNDO. Estudio de Fondo</w:t>
      </w:r>
      <w:bookmarkEnd w:id="36"/>
    </w:p>
    <w:p w14:paraId="2A308F59" w14:textId="0FF373F0" w:rsidR="00C049E2" w:rsidRPr="00B77590" w:rsidRDefault="00C71CEF" w:rsidP="00F24B1F">
      <w:pPr>
        <w:pStyle w:val="Ttulo3"/>
      </w:pPr>
      <w:bookmarkStart w:id="37" w:name="_Toc211449545"/>
      <w:r w:rsidRPr="00B77590">
        <w:t>a</w:t>
      </w:r>
      <w:r w:rsidR="00C049E2" w:rsidRPr="00B77590">
        <w:t>) Mandato de transparencia y responsabilidad del Sujeto Obligado</w:t>
      </w:r>
      <w:bookmarkEnd w:id="37"/>
    </w:p>
    <w:p w14:paraId="6901A889" w14:textId="59EEDAE1" w:rsidR="00C049E2" w:rsidRPr="00B77590" w:rsidRDefault="00C049E2" w:rsidP="00F24B1F">
      <w:pPr>
        <w:rPr>
          <w:rFonts w:eastAsia="Palatino Linotype"/>
        </w:rPr>
      </w:pPr>
      <w:r w:rsidRPr="00B77590">
        <w:rPr>
          <w:rFonts w:eastAsia="Palatino Linotype"/>
        </w:rPr>
        <w:t xml:space="preserve">El </w:t>
      </w:r>
      <w:r w:rsidR="00717E59" w:rsidRPr="00B77590">
        <w:rPr>
          <w:rFonts w:eastAsia="Palatino Linotype"/>
        </w:rPr>
        <w:t>d</w:t>
      </w:r>
      <w:r w:rsidRPr="00B77590">
        <w:rPr>
          <w:rFonts w:eastAsia="Palatino Linotype"/>
        </w:rPr>
        <w:t xml:space="preserve">erecho de </w:t>
      </w:r>
      <w:r w:rsidR="00717E59" w:rsidRPr="00B77590">
        <w:rPr>
          <w:rFonts w:eastAsia="Palatino Linotype"/>
        </w:rPr>
        <w:t>a</w:t>
      </w:r>
      <w:r w:rsidRPr="00B77590">
        <w:rPr>
          <w:rFonts w:eastAsia="Palatino Linotype"/>
        </w:rPr>
        <w:t xml:space="preserve">cceso a la </w:t>
      </w:r>
      <w:r w:rsidR="00717E59" w:rsidRPr="00B77590">
        <w:rPr>
          <w:rFonts w:eastAsia="Palatino Linotype"/>
        </w:rPr>
        <w:t>i</w:t>
      </w:r>
      <w:r w:rsidRPr="00B77590">
        <w:rPr>
          <w:rFonts w:eastAsia="Palatino Linotype"/>
        </w:rPr>
        <w:t xml:space="preserve">nformación </w:t>
      </w:r>
      <w:r w:rsidR="00717E59" w:rsidRPr="00B77590">
        <w:rPr>
          <w:rFonts w:eastAsia="Palatino Linotype"/>
        </w:rPr>
        <w:t>p</w:t>
      </w:r>
      <w:r w:rsidRPr="00B7759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B77590">
        <w:rPr>
          <w:rFonts w:eastAsia="Palatino Linotype"/>
        </w:rPr>
        <w:t>:</w:t>
      </w:r>
    </w:p>
    <w:p w14:paraId="7FAB8D32" w14:textId="77777777" w:rsidR="00C049E2" w:rsidRPr="00B77590" w:rsidRDefault="00C049E2" w:rsidP="00F24B1F">
      <w:pPr>
        <w:rPr>
          <w:rFonts w:eastAsia="Palatino Linotype"/>
        </w:rPr>
      </w:pPr>
    </w:p>
    <w:p w14:paraId="05320813" w14:textId="77777777" w:rsidR="00C049E2" w:rsidRPr="00B77590" w:rsidRDefault="00C049E2" w:rsidP="00F24B1F">
      <w:pPr>
        <w:pStyle w:val="Puesto"/>
        <w:rPr>
          <w:rFonts w:eastAsia="Palatino Linotype"/>
          <w:b/>
        </w:rPr>
      </w:pPr>
      <w:r w:rsidRPr="00B77590">
        <w:rPr>
          <w:rFonts w:eastAsia="Palatino Linotype"/>
          <w:b/>
        </w:rPr>
        <w:t>Constitución Política de los Estados Unidos Mexicanos</w:t>
      </w:r>
    </w:p>
    <w:p w14:paraId="6B6C67B6" w14:textId="77777777" w:rsidR="00C049E2" w:rsidRPr="00B77590" w:rsidRDefault="00C049E2" w:rsidP="00F24B1F">
      <w:pPr>
        <w:pStyle w:val="Puesto"/>
        <w:rPr>
          <w:rFonts w:eastAsia="Palatino Linotype"/>
          <w:b/>
        </w:rPr>
      </w:pPr>
      <w:r w:rsidRPr="00B77590">
        <w:rPr>
          <w:rFonts w:eastAsia="Palatino Linotype"/>
        </w:rPr>
        <w:t>“</w:t>
      </w:r>
      <w:r w:rsidRPr="00B77590">
        <w:rPr>
          <w:rFonts w:eastAsia="Palatino Linotype"/>
          <w:b/>
        </w:rPr>
        <w:t>Artículo 6.</w:t>
      </w:r>
    </w:p>
    <w:p w14:paraId="38D3B4C4" w14:textId="77777777" w:rsidR="00C049E2" w:rsidRPr="00B77590" w:rsidRDefault="00C049E2" w:rsidP="00F24B1F">
      <w:pPr>
        <w:pStyle w:val="Puesto"/>
        <w:rPr>
          <w:rFonts w:eastAsia="Palatino Linotype"/>
        </w:rPr>
      </w:pPr>
      <w:r w:rsidRPr="00B77590">
        <w:rPr>
          <w:rFonts w:eastAsia="Palatino Linotype"/>
        </w:rPr>
        <w:t>(…)</w:t>
      </w:r>
    </w:p>
    <w:p w14:paraId="2CCAA297" w14:textId="6602827B" w:rsidR="00C049E2" w:rsidRPr="00B77590" w:rsidRDefault="00C049E2" w:rsidP="00F24B1F">
      <w:pPr>
        <w:pStyle w:val="Puesto"/>
        <w:rPr>
          <w:rFonts w:eastAsia="Palatino Linotype"/>
        </w:rPr>
      </w:pPr>
      <w:r w:rsidRPr="00B77590">
        <w:rPr>
          <w:rFonts w:eastAsia="Palatino Linotype"/>
        </w:rPr>
        <w:t>Para efectos de lo dispuesto en el presente artículo se observará lo siguiente:</w:t>
      </w:r>
    </w:p>
    <w:p w14:paraId="74CC3718" w14:textId="77777777" w:rsidR="00C049E2" w:rsidRPr="00B77590" w:rsidRDefault="00C049E2" w:rsidP="00F24B1F">
      <w:pPr>
        <w:pStyle w:val="Puesto"/>
        <w:rPr>
          <w:rFonts w:eastAsia="Palatino Linotype"/>
        </w:rPr>
      </w:pPr>
      <w:r w:rsidRPr="00B77590">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B77590" w:rsidRDefault="00C049E2" w:rsidP="00F24B1F">
      <w:pPr>
        <w:pStyle w:val="Puesto"/>
        <w:rPr>
          <w:rFonts w:eastAsia="Palatino Linotype"/>
        </w:rPr>
      </w:pPr>
      <w:r w:rsidRPr="00B77590">
        <w:rPr>
          <w:rFonts w:eastAsia="Palatino Linotype"/>
        </w:rPr>
        <w:t xml:space="preserve">I. </w:t>
      </w:r>
      <w:r w:rsidRPr="00B77590">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B77590" w:rsidRDefault="00C049E2" w:rsidP="00F24B1F">
      <w:pPr>
        <w:pStyle w:val="Puesto"/>
        <w:rPr>
          <w:rFonts w:eastAsia="Palatino Linotype"/>
        </w:rPr>
      </w:pPr>
    </w:p>
    <w:p w14:paraId="504F12DB" w14:textId="77777777" w:rsidR="00C049E2" w:rsidRPr="00B77590" w:rsidRDefault="00C049E2" w:rsidP="00F24B1F">
      <w:pPr>
        <w:pStyle w:val="Puesto"/>
        <w:rPr>
          <w:rFonts w:eastAsia="Palatino Linotype"/>
          <w:b/>
        </w:rPr>
      </w:pPr>
      <w:r w:rsidRPr="00B77590">
        <w:rPr>
          <w:rFonts w:eastAsia="Palatino Linotype"/>
          <w:b/>
        </w:rPr>
        <w:t>Constitución Política del Estado Libre y Soberano de México</w:t>
      </w:r>
    </w:p>
    <w:p w14:paraId="04932D29" w14:textId="77777777" w:rsidR="00C049E2" w:rsidRPr="00B77590" w:rsidRDefault="00C049E2" w:rsidP="00F24B1F">
      <w:pPr>
        <w:pStyle w:val="Puesto"/>
        <w:rPr>
          <w:rFonts w:eastAsia="Palatino Linotype"/>
          <w:b/>
        </w:rPr>
      </w:pPr>
      <w:r w:rsidRPr="00B77590">
        <w:rPr>
          <w:rFonts w:eastAsia="Palatino Linotype"/>
        </w:rPr>
        <w:t>“</w:t>
      </w:r>
      <w:r w:rsidRPr="00B77590">
        <w:rPr>
          <w:rFonts w:eastAsia="Palatino Linotype"/>
          <w:b/>
        </w:rPr>
        <w:t xml:space="preserve">Artículo 5.- </w:t>
      </w:r>
    </w:p>
    <w:p w14:paraId="1D3829F4" w14:textId="77777777" w:rsidR="00C049E2" w:rsidRPr="00B77590" w:rsidRDefault="00C049E2" w:rsidP="00F24B1F">
      <w:pPr>
        <w:pStyle w:val="Puesto"/>
        <w:rPr>
          <w:rFonts w:eastAsia="Palatino Linotype"/>
        </w:rPr>
      </w:pPr>
      <w:r w:rsidRPr="00B77590">
        <w:rPr>
          <w:rFonts w:eastAsia="Palatino Linotype"/>
        </w:rPr>
        <w:t>(…)</w:t>
      </w:r>
    </w:p>
    <w:p w14:paraId="0EAE47FD" w14:textId="77777777" w:rsidR="00C049E2" w:rsidRPr="00B77590" w:rsidRDefault="00C049E2" w:rsidP="00F24B1F">
      <w:pPr>
        <w:pStyle w:val="Puesto"/>
        <w:rPr>
          <w:rFonts w:eastAsia="Palatino Linotype"/>
        </w:rPr>
      </w:pPr>
      <w:r w:rsidRPr="00B77590">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B77590" w:rsidRDefault="00C049E2" w:rsidP="00F24B1F">
      <w:pPr>
        <w:pStyle w:val="Puesto"/>
        <w:rPr>
          <w:rFonts w:eastAsia="Palatino Linotype"/>
        </w:rPr>
      </w:pPr>
      <w:r w:rsidRPr="00B77590">
        <w:rPr>
          <w:rFonts w:eastAsia="Palatino Linotype"/>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B77590" w:rsidRDefault="00C049E2" w:rsidP="00F24B1F">
      <w:pPr>
        <w:pStyle w:val="Puesto"/>
        <w:rPr>
          <w:rFonts w:eastAsia="Palatino Linotype"/>
        </w:rPr>
      </w:pPr>
      <w:r w:rsidRPr="00B77590">
        <w:rPr>
          <w:rFonts w:eastAsia="Palatino Linotype"/>
        </w:rPr>
        <w:t>Este derecho se regirá por los principios y bases siguientes:</w:t>
      </w:r>
    </w:p>
    <w:p w14:paraId="4A3E8CBA" w14:textId="77777777" w:rsidR="00C049E2" w:rsidRPr="00B77590" w:rsidRDefault="00C049E2" w:rsidP="00F24B1F">
      <w:pPr>
        <w:pStyle w:val="Puesto"/>
        <w:rPr>
          <w:rFonts w:eastAsia="Palatino Linotype"/>
        </w:rPr>
      </w:pPr>
      <w:r w:rsidRPr="00B77590">
        <w:rPr>
          <w:rFonts w:eastAsia="Palatino Linotype"/>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B77590" w:rsidRDefault="00C049E2" w:rsidP="00F24B1F">
      <w:pPr>
        <w:rPr>
          <w:rFonts w:eastAsia="Palatino Linotype"/>
          <w:b/>
          <w:i/>
        </w:rPr>
      </w:pPr>
    </w:p>
    <w:p w14:paraId="6FC1BB3B" w14:textId="3BF4A33D" w:rsidR="00C049E2" w:rsidRPr="00B77590" w:rsidRDefault="00717E59" w:rsidP="00F24B1F">
      <w:pPr>
        <w:rPr>
          <w:rFonts w:eastAsia="Palatino Linotype"/>
          <w:i/>
        </w:rPr>
      </w:pPr>
      <w:r w:rsidRPr="00B77590">
        <w:rPr>
          <w:rFonts w:eastAsia="Palatino Linotype"/>
        </w:rPr>
        <w:t xml:space="preserve">Asimismo, </w:t>
      </w:r>
      <w:r w:rsidR="00C049E2" w:rsidRPr="00B77590">
        <w:rPr>
          <w:rFonts w:eastAsia="Palatino Linotype"/>
        </w:rPr>
        <w:t>el artículo 150 de la Ley de Transparencia y Acceso a la Información Pública del Estado de México y Municipios</w:t>
      </w:r>
      <w:r w:rsidR="00057B2D" w:rsidRPr="00B77590">
        <w:rPr>
          <w:rFonts w:eastAsia="Palatino Linotype"/>
        </w:rPr>
        <w:t xml:space="preserve"> </w:t>
      </w:r>
      <w:r w:rsidR="00E9335C" w:rsidRPr="00B77590">
        <w:rPr>
          <w:rFonts w:eastAsia="Palatino Linotype"/>
        </w:rPr>
        <w:t xml:space="preserve">indica </w:t>
      </w:r>
      <w:r w:rsidR="00057B2D" w:rsidRPr="00B77590">
        <w:rPr>
          <w:rFonts w:eastAsia="Palatino Linotype"/>
        </w:rPr>
        <w:t>que</w:t>
      </w:r>
      <w:r w:rsidR="00C049E2" w:rsidRPr="00B77590">
        <w:rPr>
          <w:rFonts w:eastAsia="Palatino Linotype"/>
        </w:rPr>
        <w:t xml:space="preserve"> la solicitud es la garantía primaria del Derecho de Acceso a la Información, además, establece que se regirá </w:t>
      </w:r>
      <w:r w:rsidR="00C049E2" w:rsidRPr="00B77590">
        <w:rPr>
          <w:rFonts w:eastAsia="Palatino Linotype"/>
          <w:i/>
        </w:rPr>
        <w:t>por los principios de simplicidad, rapidez</w:t>
      </w:r>
      <w:r w:rsidR="005F65B7" w:rsidRPr="00B77590">
        <w:rPr>
          <w:rFonts w:eastAsia="Palatino Linotype"/>
          <w:i/>
        </w:rPr>
        <w:t>,</w:t>
      </w:r>
      <w:r w:rsidR="00C049E2" w:rsidRPr="00B77590">
        <w:rPr>
          <w:rFonts w:eastAsia="Palatino Linotype"/>
          <w:i/>
        </w:rPr>
        <w:t xml:space="preserve"> gratuidad del procedimiento, auxilio y orientación a los particulare</w:t>
      </w:r>
      <w:r w:rsidR="001A58B3" w:rsidRPr="00B77590">
        <w:rPr>
          <w:rFonts w:eastAsia="Palatino Linotype"/>
          <w:i/>
        </w:rPr>
        <w:t>s.</w:t>
      </w:r>
    </w:p>
    <w:p w14:paraId="033466A6" w14:textId="77777777" w:rsidR="001A58B3" w:rsidRPr="00B77590" w:rsidRDefault="001A58B3" w:rsidP="00F24B1F">
      <w:pPr>
        <w:rPr>
          <w:rFonts w:eastAsia="Palatino Linotype"/>
          <w:i/>
        </w:rPr>
      </w:pPr>
    </w:p>
    <w:p w14:paraId="04ADA10B" w14:textId="574A944A" w:rsidR="001A58B3" w:rsidRPr="00B77590" w:rsidRDefault="00233F17" w:rsidP="00F24B1F">
      <w:pPr>
        <w:rPr>
          <w:rFonts w:eastAsia="Palatino Linotype" w:cs="Palatino Linotype"/>
          <w:i/>
          <w:szCs w:val="22"/>
        </w:rPr>
      </w:pPr>
      <w:r w:rsidRPr="00B77590">
        <w:rPr>
          <w:rFonts w:eastAsia="Palatino Linotype" w:cs="Palatino Linotype"/>
        </w:rPr>
        <w:t xml:space="preserve">Por su parte, el artículo 4 de </w:t>
      </w:r>
      <w:r w:rsidR="001A58B3" w:rsidRPr="00B7759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B77590">
        <w:rPr>
          <w:rFonts w:eastAsia="Palatino Linotype" w:cs="Palatino Linotype"/>
        </w:rPr>
        <w:t>.</w:t>
      </w:r>
    </w:p>
    <w:p w14:paraId="1407DBB8" w14:textId="77777777" w:rsidR="001A58B3" w:rsidRPr="00B77590" w:rsidRDefault="001A58B3" w:rsidP="00F24B1F">
      <w:pPr>
        <w:rPr>
          <w:rFonts w:eastAsia="Palatino Linotype" w:cs="Palatino Linotype"/>
        </w:rPr>
      </w:pPr>
    </w:p>
    <w:p w14:paraId="7552AA79" w14:textId="5C52E4A4" w:rsidR="001A58B3" w:rsidRPr="00B77590" w:rsidRDefault="001A58B3" w:rsidP="00F24B1F">
      <w:pPr>
        <w:rPr>
          <w:rFonts w:eastAsia="Palatino Linotype" w:cs="Palatino Linotype"/>
        </w:rPr>
      </w:pPr>
      <w:r w:rsidRPr="00B77590">
        <w:rPr>
          <w:rFonts w:eastAsia="Palatino Linotype" w:cs="Palatino Linotype"/>
        </w:rPr>
        <w:t xml:space="preserve">Esto es, que los Sujetos Obligados </w:t>
      </w:r>
      <w:r w:rsidR="00FA5957" w:rsidRPr="00B77590">
        <w:rPr>
          <w:rFonts w:eastAsia="Palatino Linotype" w:cs="Palatino Linotype"/>
        </w:rPr>
        <w:t>deben</w:t>
      </w:r>
      <w:r w:rsidRPr="00B77590">
        <w:rPr>
          <w:rFonts w:eastAsia="Palatino Linotype" w:cs="Palatino Linotype"/>
        </w:rPr>
        <w:t xml:space="preserve"> atender las solicitudes de acceso a la información pública que se les </w:t>
      </w:r>
      <w:r w:rsidR="00FA5957" w:rsidRPr="00B77590">
        <w:rPr>
          <w:rFonts w:eastAsia="Palatino Linotype" w:cs="Palatino Linotype"/>
        </w:rPr>
        <w:t>sean realizadas,</w:t>
      </w:r>
      <w:r w:rsidRPr="00B77590">
        <w:rPr>
          <w:rFonts w:eastAsia="Palatino Linotype" w:cs="Palatino Linotype"/>
        </w:rPr>
        <w:t xml:space="preserve"> y proporcionar la información pública que obre en su poder</w:t>
      </w:r>
      <w:r w:rsidR="00FA5957" w:rsidRPr="00B77590">
        <w:rPr>
          <w:rFonts w:eastAsia="Palatino Linotype" w:cs="Palatino Linotype"/>
        </w:rPr>
        <w:t>,</w:t>
      </w:r>
      <w:r w:rsidRPr="00B77590">
        <w:rPr>
          <w:rFonts w:eastAsia="Palatino Linotype" w:cs="Palatino Linotype"/>
        </w:rPr>
        <w:t xml:space="preserve"> conforme </w:t>
      </w:r>
      <w:r w:rsidR="00FA5957" w:rsidRPr="00B77590">
        <w:rPr>
          <w:rFonts w:eastAsia="Palatino Linotype" w:cs="Palatino Linotype"/>
        </w:rPr>
        <w:t>a</w:t>
      </w:r>
      <w:r w:rsidRPr="00B77590">
        <w:rPr>
          <w:rFonts w:eastAsia="Palatino Linotype" w:cs="Palatino Linotype"/>
        </w:rPr>
        <w:t xml:space="preserve">l estado </w:t>
      </w:r>
      <w:r w:rsidR="00FA5957" w:rsidRPr="00B77590">
        <w:rPr>
          <w:rFonts w:eastAsia="Palatino Linotype" w:cs="Palatino Linotype"/>
        </w:rPr>
        <w:t xml:space="preserve">en </w:t>
      </w:r>
      <w:r w:rsidRPr="00B77590">
        <w:rPr>
          <w:rFonts w:eastAsia="Palatino Linotype" w:cs="Palatino Linotype"/>
        </w:rPr>
        <w:t>que se encuentr</w:t>
      </w:r>
      <w:r w:rsidR="00FA5957" w:rsidRPr="00B77590">
        <w:rPr>
          <w:rFonts w:eastAsia="Palatino Linotype" w:cs="Palatino Linotype"/>
        </w:rPr>
        <w:t>e, sin que sea necesario</w:t>
      </w:r>
      <w:r w:rsidRPr="00B77590">
        <w:rPr>
          <w:rFonts w:eastAsia="Palatino Linotype" w:cs="Palatino Linotype"/>
        </w:rPr>
        <w:t xml:space="preserve"> </w:t>
      </w:r>
      <w:r w:rsidR="00FA5957" w:rsidRPr="00B77590">
        <w:rPr>
          <w:rFonts w:eastAsia="Palatino Linotype" w:cs="Palatino Linotype"/>
        </w:rPr>
        <w:t>procesar</w:t>
      </w:r>
      <w:r w:rsidRPr="00B77590">
        <w:rPr>
          <w:rFonts w:eastAsia="Palatino Linotype" w:cs="Palatino Linotype"/>
        </w:rPr>
        <w:t xml:space="preserve"> la misma, ni presentarla conforme al interés del solicitante; </w:t>
      </w:r>
      <w:r w:rsidR="00FA5957" w:rsidRPr="00B77590">
        <w:rPr>
          <w:rFonts w:eastAsia="Palatino Linotype" w:cs="Palatino Linotype"/>
        </w:rPr>
        <w:t>tal y como</w:t>
      </w:r>
      <w:r w:rsidRPr="00B77590">
        <w:rPr>
          <w:rFonts w:eastAsia="Palatino Linotype" w:cs="Palatino Linotype"/>
        </w:rPr>
        <w:t xml:space="preserve"> lo establece el artículo 12 de la Ley de Transparencia y Acceso a la Información Pública del Estado de México y Municipios</w:t>
      </w:r>
      <w:r w:rsidR="00970EB3" w:rsidRPr="00B77590">
        <w:rPr>
          <w:rFonts w:eastAsia="Palatino Linotype" w:cs="Palatino Linotype"/>
        </w:rPr>
        <w:t>.</w:t>
      </w:r>
    </w:p>
    <w:p w14:paraId="73245195" w14:textId="77777777" w:rsidR="00970EB3" w:rsidRPr="00B77590" w:rsidRDefault="00970EB3" w:rsidP="00F24B1F">
      <w:pPr>
        <w:rPr>
          <w:rFonts w:eastAsia="Palatino Linotype" w:cs="Palatino Linotype"/>
        </w:rPr>
      </w:pPr>
    </w:p>
    <w:p w14:paraId="7F62D4DF" w14:textId="775730E1" w:rsidR="001A58B3" w:rsidRPr="00B77590" w:rsidRDefault="001A58B3" w:rsidP="00F24B1F">
      <w:pPr>
        <w:rPr>
          <w:rFonts w:eastAsia="Palatino Linotype" w:cs="Palatino Linotype"/>
        </w:rPr>
      </w:pPr>
      <w:r w:rsidRPr="00B77590">
        <w:rPr>
          <w:rFonts w:eastAsia="Palatino Linotype" w:cs="Palatino Linotype"/>
        </w:rPr>
        <w:lastRenderedPageBreak/>
        <w:t>Es decir, que todo sujeto obligado que genere, recopile, administre, procese, archive, posea o conserven, son responsables de la misma</w:t>
      </w:r>
      <w:r w:rsidR="00970EB3" w:rsidRPr="00B77590">
        <w:rPr>
          <w:rFonts w:eastAsia="Palatino Linotype" w:cs="Palatino Linotype"/>
        </w:rPr>
        <w:t>,</w:t>
      </w:r>
      <w:r w:rsidRPr="00B7759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B77590">
        <w:rPr>
          <w:rFonts w:eastAsia="Palatino Linotype" w:cs="Palatino Linotype"/>
        </w:rPr>
        <w:t>o</w:t>
      </w:r>
      <w:r w:rsidRPr="00B7759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B77590" w:rsidRDefault="001A58B3" w:rsidP="00F24B1F">
      <w:pPr>
        <w:rPr>
          <w:rFonts w:eastAsia="Palatino Linotype" w:cs="Palatino Linotype"/>
        </w:rPr>
      </w:pPr>
    </w:p>
    <w:p w14:paraId="04E42DFE" w14:textId="573F1198" w:rsidR="001A58B3" w:rsidRPr="00B77590" w:rsidRDefault="001A58B3" w:rsidP="00F24B1F">
      <w:pPr>
        <w:rPr>
          <w:rFonts w:eastAsia="Palatino Linotype" w:cs="Palatino Linotype"/>
        </w:rPr>
      </w:pPr>
      <w:r w:rsidRPr="00B7759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B77590">
        <w:rPr>
          <w:rFonts w:eastAsia="Palatino Linotype" w:cs="Palatino Linotype"/>
        </w:rPr>
        <w:t>, s</w:t>
      </w:r>
      <w:r w:rsidRPr="00B77590">
        <w:rPr>
          <w:rFonts w:eastAsia="Palatino Linotype" w:cs="Palatino Linotype"/>
        </w:rPr>
        <w:t xml:space="preserve">iempre y cuando no se trate de información reservada o </w:t>
      </w:r>
      <w:r w:rsidR="00331F35" w:rsidRPr="00B77590">
        <w:rPr>
          <w:rFonts w:eastAsia="Palatino Linotype" w:cs="Palatino Linotype"/>
        </w:rPr>
        <w:t>confidencial.</w:t>
      </w:r>
    </w:p>
    <w:p w14:paraId="40C5219F" w14:textId="77777777" w:rsidR="001A58B3" w:rsidRPr="00B77590" w:rsidRDefault="001A58B3" w:rsidP="00F24B1F">
      <w:pPr>
        <w:rPr>
          <w:rFonts w:eastAsia="Palatino Linotype" w:cs="Palatino Linotype"/>
        </w:rPr>
      </w:pPr>
    </w:p>
    <w:p w14:paraId="2E629608" w14:textId="01727E15" w:rsidR="00C049E2" w:rsidRPr="00B77590" w:rsidRDefault="006067C7" w:rsidP="00F24B1F">
      <w:pPr>
        <w:rPr>
          <w:rFonts w:eastAsia="Palatino Linotype"/>
        </w:rPr>
      </w:pPr>
      <w:bookmarkStart w:id="38" w:name="_heading=h.2s8eyo1" w:colFirst="0" w:colLast="0"/>
      <w:bookmarkEnd w:id="38"/>
      <w:r w:rsidRPr="00B77590">
        <w:rPr>
          <w:rFonts w:eastAsia="Palatino Linotype"/>
        </w:rPr>
        <w:t>Con base en lo anterior</w:t>
      </w:r>
      <w:r w:rsidR="00B22A80" w:rsidRPr="00B77590">
        <w:rPr>
          <w:rFonts w:eastAsia="Palatino Linotype"/>
        </w:rPr>
        <w:t>, se considera que</w:t>
      </w:r>
      <w:r w:rsidR="00C049E2" w:rsidRPr="00B77590">
        <w:rPr>
          <w:rFonts w:eastAsia="Palatino Linotype"/>
        </w:rPr>
        <w:t xml:space="preserve"> </w:t>
      </w:r>
      <w:r w:rsidR="00B22A80" w:rsidRPr="00B77590">
        <w:rPr>
          <w:rFonts w:eastAsia="Palatino Linotype"/>
          <w:b/>
          <w:bCs/>
        </w:rPr>
        <w:t>EL</w:t>
      </w:r>
      <w:r w:rsidR="00C049E2" w:rsidRPr="00B77590">
        <w:rPr>
          <w:rFonts w:eastAsia="Palatino Linotype"/>
        </w:rPr>
        <w:t xml:space="preserve"> </w:t>
      </w:r>
      <w:r w:rsidR="00C049E2" w:rsidRPr="00B77590">
        <w:rPr>
          <w:rFonts w:eastAsia="Palatino Linotype"/>
          <w:b/>
        </w:rPr>
        <w:t>SUJETO OBLIGADO</w:t>
      </w:r>
      <w:r w:rsidR="00C049E2" w:rsidRPr="00B77590">
        <w:rPr>
          <w:rFonts w:eastAsia="Palatino Linotype"/>
        </w:rPr>
        <w:t xml:space="preserve"> </w:t>
      </w:r>
      <w:r w:rsidR="00B22A80" w:rsidRPr="00B77590">
        <w:rPr>
          <w:rFonts w:eastAsia="Palatino Linotype"/>
        </w:rPr>
        <w:t xml:space="preserve">se </w:t>
      </w:r>
      <w:r w:rsidR="00717E59" w:rsidRPr="00B77590">
        <w:rPr>
          <w:rFonts w:eastAsia="Palatino Linotype"/>
        </w:rPr>
        <w:t>encontraba</w:t>
      </w:r>
      <w:r w:rsidR="00B22A80" w:rsidRPr="00B77590">
        <w:rPr>
          <w:rFonts w:eastAsia="Palatino Linotype"/>
        </w:rPr>
        <w:t xml:space="preserve"> compelido a</w:t>
      </w:r>
      <w:r w:rsidR="00C049E2" w:rsidRPr="00B77590">
        <w:rPr>
          <w:rFonts w:eastAsia="Palatino Linotype"/>
        </w:rPr>
        <w:t xml:space="preserve"> atender la solicitud de acceso a la información </w:t>
      </w:r>
      <w:r w:rsidR="00B22A80" w:rsidRPr="00B77590">
        <w:rPr>
          <w:rFonts w:eastAsia="Palatino Linotype"/>
        </w:rPr>
        <w:t xml:space="preserve">realizada por </w:t>
      </w:r>
      <w:r w:rsidR="00B22A80" w:rsidRPr="00B77590">
        <w:rPr>
          <w:rFonts w:eastAsia="Palatino Linotype"/>
          <w:b/>
          <w:bCs/>
        </w:rPr>
        <w:t>LA PARTE RECURRENTE</w:t>
      </w:r>
      <w:r w:rsidR="00331F35" w:rsidRPr="00B77590">
        <w:rPr>
          <w:rFonts w:eastAsia="Palatino Linotype"/>
        </w:rPr>
        <w:t>.</w:t>
      </w:r>
    </w:p>
    <w:p w14:paraId="1611F147" w14:textId="77777777" w:rsidR="00BD5A7C" w:rsidRPr="00B77590" w:rsidRDefault="00BD5A7C" w:rsidP="00F24B1F">
      <w:pPr>
        <w:rPr>
          <w:rFonts w:eastAsia="Palatino Linotype"/>
        </w:rPr>
      </w:pPr>
    </w:p>
    <w:p w14:paraId="51A0E8B4" w14:textId="676DCA47" w:rsidR="00664420" w:rsidRPr="00B77590" w:rsidRDefault="00C71CEF" w:rsidP="00F24B1F">
      <w:pPr>
        <w:pStyle w:val="Ttulo3"/>
        <w:rPr>
          <w:rFonts w:eastAsia="Calibri"/>
          <w:lang w:eastAsia="es-ES_tradnl"/>
        </w:rPr>
      </w:pPr>
      <w:bookmarkStart w:id="39" w:name="_Toc211449546"/>
      <w:r w:rsidRPr="00B77590">
        <w:rPr>
          <w:rFonts w:eastAsia="Calibri"/>
          <w:lang w:eastAsia="es-ES_tradnl"/>
        </w:rPr>
        <w:t>b)</w:t>
      </w:r>
      <w:r w:rsidR="00A53315" w:rsidRPr="00B77590">
        <w:rPr>
          <w:rFonts w:eastAsia="Calibri"/>
          <w:lang w:eastAsia="es-ES_tradnl"/>
        </w:rPr>
        <w:t xml:space="preserve"> </w:t>
      </w:r>
      <w:r w:rsidR="00A21A20" w:rsidRPr="00B77590">
        <w:rPr>
          <w:rFonts w:eastAsia="Calibri"/>
          <w:lang w:eastAsia="es-ES_tradnl"/>
        </w:rPr>
        <w:t>Controversia a resolver</w:t>
      </w:r>
      <w:bookmarkEnd w:id="39"/>
    </w:p>
    <w:p w14:paraId="53291818" w14:textId="2B9A4695" w:rsidR="00790F0D" w:rsidRPr="00B77590" w:rsidRDefault="00664420" w:rsidP="00F24B1F">
      <w:pPr>
        <w:rPr>
          <w:rFonts w:eastAsia="Calibri"/>
          <w:lang w:eastAsia="es-ES_tradnl"/>
        </w:rPr>
      </w:pPr>
      <w:r w:rsidRPr="00B7759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B77590">
        <w:rPr>
          <w:rFonts w:eastAsia="Calibri"/>
          <w:b/>
          <w:bCs/>
          <w:lang w:eastAsia="es-ES_tradnl"/>
        </w:rPr>
        <w:t>LA PARTE RECURRENTE</w:t>
      </w:r>
      <w:r w:rsidR="004565C2" w:rsidRPr="00B77590">
        <w:rPr>
          <w:rFonts w:eastAsia="Calibri"/>
          <w:lang w:eastAsia="es-ES_tradnl"/>
        </w:rPr>
        <w:t xml:space="preserve"> solicitó</w:t>
      </w:r>
      <w:r w:rsidR="00430170" w:rsidRPr="00B77590">
        <w:rPr>
          <w:rFonts w:eastAsia="Calibri"/>
          <w:lang w:eastAsia="es-ES_tradnl"/>
        </w:rPr>
        <w:t xml:space="preserve"> </w:t>
      </w:r>
      <w:r w:rsidR="00AB6109" w:rsidRPr="00B77590">
        <w:rPr>
          <w:rFonts w:eastAsia="Calibri"/>
          <w:lang w:eastAsia="es-ES_tradnl"/>
        </w:rPr>
        <w:t xml:space="preserve">los </w:t>
      </w:r>
      <w:r w:rsidR="00790F0D" w:rsidRPr="00B77590">
        <w:rPr>
          <w:rFonts w:eastAsia="Calibri"/>
          <w:lang w:eastAsia="es-ES_tradnl"/>
        </w:rPr>
        <w:t xml:space="preserve">certificados de competencia laboral del Director de Desarrollo Urbano, Director de Medio Ambiente y Director de Fomento Económico. </w:t>
      </w:r>
    </w:p>
    <w:p w14:paraId="2D0254D3" w14:textId="77777777" w:rsidR="00D833BE" w:rsidRPr="00B77590" w:rsidRDefault="00D833BE" w:rsidP="00F24B1F">
      <w:pPr>
        <w:rPr>
          <w:rFonts w:eastAsia="Calibri"/>
          <w:lang w:eastAsia="es-ES_tradnl"/>
        </w:rPr>
      </w:pPr>
    </w:p>
    <w:p w14:paraId="1CD41A23" w14:textId="5945BF92" w:rsidR="00790F0D" w:rsidRPr="00B77590" w:rsidRDefault="00E11AA0" w:rsidP="00F24B1F">
      <w:pPr>
        <w:rPr>
          <w:rFonts w:cs="Tahoma"/>
          <w:b/>
          <w:bCs/>
          <w:i/>
          <w:iCs/>
          <w:szCs w:val="22"/>
        </w:rPr>
      </w:pPr>
      <w:r w:rsidRPr="00B77590">
        <w:rPr>
          <w:rFonts w:eastAsiaTheme="minorHAnsi" w:cs="Tahoma"/>
          <w:bCs/>
          <w:iCs/>
          <w:szCs w:val="22"/>
          <w:lang w:eastAsia="en-US"/>
        </w:rPr>
        <w:t>Al respecto</w:t>
      </w:r>
      <w:r w:rsidR="00664420" w:rsidRPr="00B77590">
        <w:rPr>
          <w:rFonts w:eastAsiaTheme="minorHAnsi" w:cs="Tahoma"/>
          <w:bCs/>
          <w:iCs/>
          <w:szCs w:val="22"/>
          <w:lang w:eastAsia="en-US"/>
        </w:rPr>
        <w:t xml:space="preserve"> </w:t>
      </w:r>
      <w:r w:rsidR="005D5A50" w:rsidRPr="00B77590">
        <w:rPr>
          <w:rFonts w:eastAsiaTheme="minorHAnsi" w:cs="Tahoma"/>
          <w:b/>
          <w:iCs/>
          <w:szCs w:val="22"/>
          <w:lang w:eastAsia="en-US"/>
        </w:rPr>
        <w:t>EL SUJETO OBLIGADO</w:t>
      </w:r>
      <w:r w:rsidR="007437D3" w:rsidRPr="00B77590">
        <w:rPr>
          <w:rFonts w:eastAsiaTheme="minorHAnsi" w:cs="Tahoma"/>
          <w:b/>
          <w:iCs/>
          <w:szCs w:val="22"/>
          <w:lang w:eastAsia="en-US"/>
        </w:rPr>
        <w:t xml:space="preserve"> </w:t>
      </w:r>
      <w:r w:rsidR="00DF6EB8" w:rsidRPr="00B77590">
        <w:rPr>
          <w:rFonts w:cs="Tahoma"/>
          <w:szCs w:val="22"/>
          <w:lang w:val="es-ES"/>
        </w:rPr>
        <w:t xml:space="preserve">adjuntó </w:t>
      </w:r>
      <w:r w:rsidR="00790F0D" w:rsidRPr="00B77590">
        <w:rPr>
          <w:rFonts w:cs="Tahoma"/>
          <w:szCs w:val="22"/>
          <w:lang w:val="es-ES"/>
        </w:rPr>
        <w:t xml:space="preserve">a su respuesta oficio </w:t>
      </w:r>
      <w:r w:rsidR="00790F0D" w:rsidRPr="00B77590">
        <w:rPr>
          <w:rFonts w:cs="Tahoma"/>
          <w:bCs/>
          <w:iCs/>
          <w:szCs w:val="22"/>
        </w:rPr>
        <w:t xml:space="preserve">por medio del cual la Directora de Administración hizo del conocimiento que los titulares de la Dirección de </w:t>
      </w:r>
      <w:r w:rsidR="00790F0D" w:rsidRPr="00B77590">
        <w:rPr>
          <w:rFonts w:cs="Tahoma"/>
          <w:bCs/>
          <w:iCs/>
          <w:szCs w:val="22"/>
        </w:rPr>
        <w:lastRenderedPageBreak/>
        <w:t xml:space="preserve">Desarrollo Urbano y la Dirección de Medio ambientes se encuentran dentro del plazo establecido para su certificación. </w:t>
      </w:r>
    </w:p>
    <w:p w14:paraId="6F6F531B" w14:textId="77777777" w:rsidR="00790F0D" w:rsidRPr="00B77590" w:rsidRDefault="00790F0D" w:rsidP="00F24B1F">
      <w:pPr>
        <w:rPr>
          <w:rFonts w:cs="Tahoma"/>
          <w:szCs w:val="22"/>
          <w:lang w:val="es-ES"/>
        </w:rPr>
      </w:pPr>
    </w:p>
    <w:p w14:paraId="7B62F4F7" w14:textId="6487B59C" w:rsidR="00DA54C1" w:rsidRPr="00B77590" w:rsidRDefault="00CF7586" w:rsidP="00F24B1F">
      <w:pPr>
        <w:tabs>
          <w:tab w:val="left" w:pos="4962"/>
        </w:tabs>
        <w:contextualSpacing/>
        <w:rPr>
          <w:rFonts w:eastAsiaTheme="minorHAnsi" w:cs="Tahoma"/>
          <w:bCs/>
          <w:iCs/>
          <w:szCs w:val="22"/>
          <w:lang w:eastAsia="en-US"/>
        </w:rPr>
      </w:pPr>
      <w:r w:rsidRPr="00B77590">
        <w:rPr>
          <w:rFonts w:eastAsiaTheme="minorHAnsi" w:cs="Tahoma"/>
          <w:bCs/>
          <w:iCs/>
          <w:szCs w:val="22"/>
          <w:lang w:eastAsia="en-US"/>
        </w:rPr>
        <w:t xml:space="preserve">Ahora bien, en la interposición del presente recurso </w:t>
      </w:r>
      <w:r w:rsidRPr="00B77590">
        <w:rPr>
          <w:rFonts w:eastAsiaTheme="minorHAnsi" w:cs="Tahoma"/>
          <w:b/>
          <w:iCs/>
          <w:szCs w:val="22"/>
          <w:lang w:eastAsia="en-US"/>
        </w:rPr>
        <w:t>LA PARTE RECURRENTE</w:t>
      </w:r>
      <w:r w:rsidR="00237120" w:rsidRPr="00B77590">
        <w:rPr>
          <w:rFonts w:eastAsiaTheme="minorHAnsi" w:cs="Tahoma"/>
          <w:bCs/>
          <w:iCs/>
          <w:szCs w:val="22"/>
          <w:lang w:eastAsia="en-US"/>
        </w:rPr>
        <w:t xml:space="preserve"> s</w:t>
      </w:r>
      <w:r w:rsidR="00E11AA0" w:rsidRPr="00B77590">
        <w:rPr>
          <w:rFonts w:eastAsiaTheme="minorHAnsi" w:cs="Tahoma"/>
          <w:bCs/>
          <w:iCs/>
          <w:szCs w:val="22"/>
          <w:lang w:eastAsia="en-US"/>
        </w:rPr>
        <w:t xml:space="preserve">e inconformó medularmente </w:t>
      </w:r>
      <w:r w:rsidR="009D1F35" w:rsidRPr="00B77590">
        <w:rPr>
          <w:rFonts w:eastAsiaTheme="minorHAnsi" w:cs="Tahoma"/>
          <w:bCs/>
          <w:iCs/>
          <w:szCs w:val="22"/>
          <w:lang w:eastAsia="en-US"/>
        </w:rPr>
        <w:t>por la negativa de información</w:t>
      </w:r>
      <w:r w:rsidR="00D833BE" w:rsidRPr="00B77590">
        <w:rPr>
          <w:rFonts w:eastAsiaTheme="minorHAnsi" w:cs="Tahoma"/>
          <w:bCs/>
          <w:iCs/>
          <w:szCs w:val="22"/>
          <w:lang w:eastAsia="en-US"/>
        </w:rPr>
        <w:t xml:space="preserve">. </w:t>
      </w:r>
    </w:p>
    <w:p w14:paraId="62D736AD" w14:textId="77777777" w:rsidR="00DA54C1" w:rsidRPr="00B77590" w:rsidRDefault="00DA54C1" w:rsidP="00F24B1F">
      <w:pPr>
        <w:tabs>
          <w:tab w:val="left" w:pos="4962"/>
        </w:tabs>
        <w:contextualSpacing/>
        <w:rPr>
          <w:rFonts w:eastAsiaTheme="minorHAnsi" w:cs="Tahoma"/>
          <w:bCs/>
          <w:iCs/>
          <w:szCs w:val="22"/>
          <w:lang w:eastAsia="en-US"/>
        </w:rPr>
      </w:pPr>
    </w:p>
    <w:p w14:paraId="761B6B67" w14:textId="77777777" w:rsidR="00790F0D" w:rsidRPr="00B77590" w:rsidRDefault="00AB6109" w:rsidP="00F24B1F">
      <w:pPr>
        <w:tabs>
          <w:tab w:val="left" w:pos="4962"/>
        </w:tabs>
        <w:contextualSpacing/>
        <w:rPr>
          <w:rFonts w:eastAsiaTheme="minorHAnsi" w:cs="Tahoma"/>
          <w:bCs/>
          <w:iCs/>
          <w:szCs w:val="22"/>
          <w:lang w:eastAsia="en-US"/>
        </w:rPr>
      </w:pPr>
      <w:r w:rsidRPr="00B77590">
        <w:rPr>
          <w:rFonts w:eastAsiaTheme="minorHAnsi" w:cs="Tahoma"/>
          <w:bCs/>
          <w:iCs/>
          <w:szCs w:val="22"/>
          <w:lang w:eastAsia="en-US"/>
        </w:rPr>
        <w:t xml:space="preserve">Asimismo, es importante señalar que </w:t>
      </w:r>
      <w:r w:rsidRPr="00B77590">
        <w:rPr>
          <w:rFonts w:eastAsiaTheme="minorHAnsi" w:cs="Tahoma"/>
          <w:b/>
          <w:bCs/>
          <w:iCs/>
          <w:szCs w:val="22"/>
          <w:lang w:eastAsia="en-US"/>
        </w:rPr>
        <w:t>LA PARTE RECURRENTE</w:t>
      </w:r>
      <w:r w:rsidRPr="00B77590">
        <w:rPr>
          <w:rFonts w:eastAsiaTheme="minorHAnsi" w:cs="Tahoma"/>
          <w:bCs/>
          <w:iCs/>
          <w:szCs w:val="22"/>
          <w:lang w:eastAsia="en-US"/>
        </w:rPr>
        <w:t xml:space="preserve"> no realizó manifestaciones, alegatos o pruebas y por su parte </w:t>
      </w:r>
      <w:r w:rsidRPr="00B77590">
        <w:rPr>
          <w:rFonts w:eastAsiaTheme="minorHAnsi" w:cs="Tahoma"/>
          <w:b/>
          <w:bCs/>
          <w:iCs/>
          <w:szCs w:val="22"/>
          <w:lang w:eastAsia="en-US"/>
        </w:rPr>
        <w:t>EL SUJETO OBLIGADO</w:t>
      </w:r>
      <w:r w:rsidRPr="00B77590">
        <w:rPr>
          <w:rFonts w:eastAsiaTheme="minorHAnsi" w:cs="Tahoma"/>
          <w:bCs/>
          <w:iCs/>
          <w:szCs w:val="22"/>
          <w:lang w:eastAsia="en-US"/>
        </w:rPr>
        <w:t xml:space="preserve"> </w:t>
      </w:r>
      <w:r w:rsidR="00790F0D" w:rsidRPr="00B77590">
        <w:rPr>
          <w:rFonts w:eastAsiaTheme="minorHAnsi" w:cs="Tahoma"/>
          <w:bCs/>
          <w:iCs/>
          <w:szCs w:val="22"/>
          <w:lang w:eastAsia="en-US"/>
        </w:rPr>
        <w:t xml:space="preserve">mediante </w:t>
      </w:r>
      <w:r w:rsidRPr="00B77590">
        <w:rPr>
          <w:rFonts w:eastAsiaTheme="minorHAnsi" w:cs="Tahoma"/>
          <w:bCs/>
          <w:iCs/>
          <w:szCs w:val="22"/>
          <w:lang w:eastAsia="en-US"/>
        </w:rPr>
        <w:t>Informe Justificado</w:t>
      </w:r>
      <w:r w:rsidR="00790F0D" w:rsidRPr="00B77590">
        <w:rPr>
          <w:rFonts w:eastAsiaTheme="minorHAnsi" w:cs="Tahoma"/>
          <w:bCs/>
          <w:iCs/>
          <w:szCs w:val="22"/>
          <w:lang w:eastAsia="en-US"/>
        </w:rPr>
        <w:t xml:space="preserve"> hizo entrega de las siguientes certificaciones: </w:t>
      </w:r>
    </w:p>
    <w:p w14:paraId="77E404AF" w14:textId="77777777" w:rsidR="00790F0D" w:rsidRPr="00B77590" w:rsidRDefault="00790F0D" w:rsidP="00F24B1F">
      <w:pPr>
        <w:tabs>
          <w:tab w:val="left" w:pos="4962"/>
        </w:tabs>
        <w:contextualSpacing/>
        <w:rPr>
          <w:rFonts w:eastAsiaTheme="minorHAnsi" w:cs="Tahoma"/>
          <w:bCs/>
          <w:iCs/>
          <w:szCs w:val="22"/>
          <w:lang w:eastAsia="en-US"/>
        </w:rPr>
      </w:pPr>
    </w:p>
    <w:p w14:paraId="0194B799" w14:textId="77777777" w:rsidR="00790F0D" w:rsidRPr="00B77590" w:rsidRDefault="00790F0D" w:rsidP="00F24B1F">
      <w:pPr>
        <w:pStyle w:val="Prrafodelista"/>
        <w:numPr>
          <w:ilvl w:val="0"/>
          <w:numId w:val="11"/>
        </w:numPr>
        <w:rPr>
          <w:rFonts w:cs="Tahoma"/>
          <w:b/>
          <w:bCs/>
          <w:i/>
          <w:iCs/>
          <w:szCs w:val="24"/>
        </w:rPr>
      </w:pPr>
      <w:r w:rsidRPr="00B77590">
        <w:rPr>
          <w:rFonts w:cs="Tahoma"/>
          <w:bCs/>
          <w:iCs/>
          <w:szCs w:val="24"/>
        </w:rPr>
        <w:t>Certificado de Competencia Laboral en la Norma Institucional “</w:t>
      </w:r>
      <w:proofErr w:type="spellStart"/>
      <w:r w:rsidRPr="00B77590">
        <w:rPr>
          <w:rFonts w:cs="Tahoma"/>
          <w:bCs/>
          <w:i/>
          <w:iCs/>
          <w:szCs w:val="24"/>
        </w:rPr>
        <w:t>Gerenciar</w:t>
      </w:r>
      <w:proofErr w:type="spellEnd"/>
      <w:r w:rsidRPr="00B77590">
        <w:rPr>
          <w:rFonts w:cs="Tahoma"/>
          <w:bCs/>
          <w:i/>
          <w:iCs/>
          <w:szCs w:val="24"/>
        </w:rPr>
        <w:t xml:space="preserve"> el Desarrollo Urbano y Ordenamiento Territorial en el Ámbito de la Administración Pública Municipal</w:t>
      </w:r>
      <w:r w:rsidRPr="00B77590">
        <w:rPr>
          <w:rFonts w:cs="Tahoma"/>
          <w:bCs/>
          <w:iCs/>
          <w:szCs w:val="24"/>
        </w:rPr>
        <w:t xml:space="preserve">", a favor de Sergio Iván García Madrid. </w:t>
      </w:r>
    </w:p>
    <w:p w14:paraId="41540C2C" w14:textId="298C2EFD" w:rsidR="00790F0D" w:rsidRPr="00B77590" w:rsidRDefault="00790F0D" w:rsidP="00F24B1F">
      <w:pPr>
        <w:pStyle w:val="Prrafodelista"/>
        <w:numPr>
          <w:ilvl w:val="0"/>
          <w:numId w:val="11"/>
        </w:numPr>
        <w:rPr>
          <w:rFonts w:cs="Tahoma"/>
          <w:b/>
          <w:bCs/>
          <w:i/>
          <w:iCs/>
          <w:szCs w:val="24"/>
        </w:rPr>
      </w:pPr>
      <w:r w:rsidRPr="00B77590">
        <w:rPr>
          <w:rFonts w:cs="Tahoma"/>
          <w:bCs/>
          <w:iCs/>
          <w:szCs w:val="24"/>
        </w:rPr>
        <w:t xml:space="preserve">Certificado de Competencia Laboral en el Estándar de Competencia </w:t>
      </w:r>
      <w:r w:rsidRPr="00B77590">
        <w:rPr>
          <w:rFonts w:cs="Tahoma"/>
          <w:bCs/>
          <w:i/>
          <w:iCs/>
          <w:szCs w:val="24"/>
        </w:rPr>
        <w:t xml:space="preserve">Gestión para el otorgamiento de licencias de funcionamiento de establecimientos comerciales, </w:t>
      </w:r>
      <w:r w:rsidRPr="00B77590">
        <w:rPr>
          <w:rFonts w:cs="Tahoma"/>
          <w:bCs/>
          <w:iCs/>
          <w:szCs w:val="24"/>
        </w:rPr>
        <w:t xml:space="preserve">a favor de Gregorio Luna Guillen.  </w:t>
      </w:r>
    </w:p>
    <w:p w14:paraId="5063D88A" w14:textId="01F379C1" w:rsidR="00790F0D" w:rsidRPr="00B77590" w:rsidRDefault="00790F0D" w:rsidP="00F24B1F">
      <w:pPr>
        <w:pStyle w:val="Prrafodelista"/>
        <w:numPr>
          <w:ilvl w:val="0"/>
          <w:numId w:val="11"/>
        </w:numPr>
        <w:rPr>
          <w:rFonts w:cs="Tahoma"/>
          <w:b/>
          <w:bCs/>
          <w:i/>
          <w:iCs/>
          <w:szCs w:val="24"/>
        </w:rPr>
      </w:pPr>
      <w:r w:rsidRPr="00B77590">
        <w:rPr>
          <w:rFonts w:cs="Tahoma"/>
          <w:bCs/>
          <w:iCs/>
          <w:szCs w:val="24"/>
        </w:rPr>
        <w:t>Certificado de Competencia Laboral en la Norma Institucional “</w:t>
      </w:r>
      <w:r w:rsidRPr="00B77590">
        <w:rPr>
          <w:rFonts w:cs="Tahoma"/>
          <w:bCs/>
          <w:i/>
          <w:iCs/>
          <w:szCs w:val="24"/>
        </w:rPr>
        <w:t>Administrar las políticas públicas municipales para la protección y preservación del medio ambiente y el desarrollo sostenible</w:t>
      </w:r>
      <w:r w:rsidRPr="00B77590">
        <w:rPr>
          <w:rFonts w:cs="Tahoma"/>
          <w:bCs/>
          <w:iCs/>
          <w:szCs w:val="24"/>
        </w:rPr>
        <w:t xml:space="preserve">"; así como, el  Certificado de Competencia Laboral en el Estándar de Competencia </w:t>
      </w:r>
      <w:r w:rsidRPr="00B77590">
        <w:rPr>
          <w:rFonts w:cs="Tahoma"/>
          <w:bCs/>
          <w:i/>
          <w:iCs/>
          <w:szCs w:val="24"/>
        </w:rPr>
        <w:t>Ejecución de las atribuciones de Ecología y Medio Ambiente Municipal</w:t>
      </w:r>
      <w:r w:rsidRPr="00B77590">
        <w:rPr>
          <w:rFonts w:cs="Tahoma"/>
          <w:bCs/>
          <w:iCs/>
          <w:szCs w:val="24"/>
        </w:rPr>
        <w:t xml:space="preserve"> a favor de Alan Miguel Escalante Barrón. </w:t>
      </w:r>
    </w:p>
    <w:p w14:paraId="3E6951CE" w14:textId="77777777" w:rsidR="00DF6EB8" w:rsidRPr="00B77590" w:rsidRDefault="00DF6EB8" w:rsidP="00F24B1F">
      <w:pPr>
        <w:pStyle w:val="Prrafodelista"/>
        <w:widowControl w:val="0"/>
        <w:autoSpaceDE w:val="0"/>
        <w:autoSpaceDN w:val="0"/>
        <w:adjustRightInd w:val="0"/>
      </w:pPr>
    </w:p>
    <w:p w14:paraId="112FFD5F" w14:textId="1BF8C2AB" w:rsidR="0000442E" w:rsidRPr="00B77590" w:rsidRDefault="0000442E" w:rsidP="00F24B1F">
      <w:pPr>
        <w:tabs>
          <w:tab w:val="left" w:pos="4962"/>
        </w:tabs>
        <w:contextualSpacing/>
        <w:rPr>
          <w:rFonts w:eastAsiaTheme="minorHAnsi" w:cs="Tahoma"/>
          <w:bCs/>
          <w:iCs/>
          <w:szCs w:val="22"/>
          <w:lang w:eastAsia="en-US"/>
        </w:rPr>
      </w:pPr>
      <w:r w:rsidRPr="00B77590">
        <w:rPr>
          <w:rFonts w:eastAsiaTheme="minorHAnsi" w:cs="Tahoma"/>
          <w:bCs/>
          <w:iCs/>
          <w:szCs w:val="22"/>
          <w:lang w:eastAsia="en-US"/>
        </w:rPr>
        <w:t>Derivado de lo anterior, el estudio se centrará en determinar si</w:t>
      </w:r>
      <w:r w:rsidR="00790F0D" w:rsidRPr="00B77590">
        <w:rPr>
          <w:rFonts w:eastAsiaTheme="minorHAnsi" w:cs="Tahoma"/>
          <w:bCs/>
          <w:iCs/>
          <w:szCs w:val="22"/>
          <w:lang w:eastAsia="en-US"/>
        </w:rPr>
        <w:t xml:space="preserve"> con la información remitida por </w:t>
      </w:r>
      <w:r w:rsidR="00790F0D" w:rsidRPr="00B77590">
        <w:rPr>
          <w:rFonts w:eastAsiaTheme="minorHAnsi" w:cs="Tahoma"/>
          <w:b/>
          <w:bCs/>
          <w:iCs/>
          <w:szCs w:val="22"/>
          <w:lang w:eastAsia="en-US"/>
        </w:rPr>
        <w:t xml:space="preserve">EL SUJETO OBLIGADO </w:t>
      </w:r>
      <w:r w:rsidR="00790F0D" w:rsidRPr="00B77590">
        <w:rPr>
          <w:rFonts w:eastAsiaTheme="minorHAnsi" w:cs="Tahoma"/>
          <w:bCs/>
          <w:iCs/>
          <w:szCs w:val="22"/>
          <w:lang w:eastAsia="en-US"/>
        </w:rPr>
        <w:t xml:space="preserve">se </w:t>
      </w:r>
      <w:r w:rsidRPr="00B77590">
        <w:rPr>
          <w:rFonts w:eastAsiaTheme="minorHAnsi" w:cs="Tahoma"/>
          <w:bCs/>
          <w:iCs/>
          <w:szCs w:val="22"/>
          <w:lang w:eastAsia="en-US"/>
        </w:rPr>
        <w:t xml:space="preserve">colma el derecho de acceso a la información ejercido por </w:t>
      </w:r>
      <w:r w:rsidRPr="00B77590">
        <w:rPr>
          <w:rFonts w:eastAsiaTheme="minorHAnsi" w:cs="Tahoma"/>
          <w:b/>
          <w:bCs/>
          <w:iCs/>
          <w:szCs w:val="22"/>
          <w:lang w:eastAsia="en-US"/>
        </w:rPr>
        <w:t>LA PARTE RECURRENTE</w:t>
      </w:r>
      <w:r w:rsidRPr="00B77590">
        <w:rPr>
          <w:rFonts w:eastAsiaTheme="minorHAnsi" w:cs="Tahoma"/>
          <w:bCs/>
          <w:iCs/>
          <w:szCs w:val="22"/>
          <w:lang w:eastAsia="en-US"/>
        </w:rPr>
        <w:t>.</w:t>
      </w:r>
    </w:p>
    <w:p w14:paraId="58F3BE36" w14:textId="77777777" w:rsidR="006D3237" w:rsidRPr="00B77590" w:rsidRDefault="006D3237" w:rsidP="00F24B1F">
      <w:pPr>
        <w:pStyle w:val="Prrafodelista"/>
        <w:widowControl w:val="0"/>
        <w:autoSpaceDE w:val="0"/>
        <w:autoSpaceDN w:val="0"/>
        <w:adjustRightInd w:val="0"/>
        <w:ind w:left="0"/>
      </w:pPr>
    </w:p>
    <w:p w14:paraId="414FD2D5" w14:textId="4408E416" w:rsidR="00664420" w:rsidRPr="00B77590" w:rsidRDefault="00A21A20" w:rsidP="00F24B1F">
      <w:pPr>
        <w:pStyle w:val="Ttulo3"/>
      </w:pPr>
      <w:bookmarkStart w:id="40" w:name="_Toc211449547"/>
      <w:r w:rsidRPr="00B77590">
        <w:lastRenderedPageBreak/>
        <w:t>c)</w:t>
      </w:r>
      <w:r w:rsidR="00664420" w:rsidRPr="00B77590">
        <w:t xml:space="preserve"> </w:t>
      </w:r>
      <w:r w:rsidRPr="00B77590">
        <w:t>Estudio de la controversia</w:t>
      </w:r>
      <w:bookmarkEnd w:id="40"/>
    </w:p>
    <w:p w14:paraId="63245270" w14:textId="3C07F37F" w:rsidR="00C45B0A" w:rsidRPr="00B77590" w:rsidRDefault="00AB6109" w:rsidP="00F24B1F">
      <w:pPr>
        <w:rPr>
          <w:sz w:val="24"/>
          <w:szCs w:val="24"/>
          <w:lang w:eastAsia="es-MX"/>
        </w:rPr>
      </w:pPr>
      <w:r w:rsidRPr="00B77590">
        <w:rPr>
          <w:rFonts w:cs="Arial"/>
        </w:rPr>
        <w:t>Primero,</w:t>
      </w:r>
      <w:r w:rsidR="00C45B0A" w:rsidRPr="00B77590">
        <w:rPr>
          <w:rFonts w:cs="Arial"/>
        </w:rPr>
        <w:t xml:space="preserve"> se considera necesario traer a </w:t>
      </w:r>
      <w:r w:rsidR="00C45B0A" w:rsidRPr="00B77590">
        <w:rPr>
          <w:sz w:val="24"/>
          <w:szCs w:val="24"/>
          <w:lang w:eastAsia="es-MX"/>
        </w:rPr>
        <w:t>contexto la Ley Orgánica Municipal del Estado de México</w:t>
      </w:r>
      <w:r w:rsidR="00C45B0A" w:rsidRPr="00B77590">
        <w:rPr>
          <w:rStyle w:val="Refdenotaalpie"/>
          <w:sz w:val="24"/>
          <w:szCs w:val="24"/>
          <w:lang w:eastAsia="es-MX"/>
        </w:rPr>
        <w:footnoteReference w:id="3"/>
      </w:r>
      <w:r w:rsidR="00C45B0A" w:rsidRPr="00B77590">
        <w:rPr>
          <w:sz w:val="24"/>
          <w:szCs w:val="24"/>
          <w:lang w:eastAsia="es-MX"/>
        </w:rPr>
        <w:t xml:space="preserve">, que establece lo siguiente: </w:t>
      </w:r>
    </w:p>
    <w:p w14:paraId="037B8E79" w14:textId="77777777" w:rsidR="00C45B0A" w:rsidRPr="00B77590" w:rsidRDefault="00C45B0A" w:rsidP="00F24B1F">
      <w:pPr>
        <w:spacing w:line="240" w:lineRule="auto"/>
        <w:contextualSpacing/>
        <w:rPr>
          <w:sz w:val="24"/>
          <w:szCs w:val="24"/>
          <w:lang w:eastAsia="es-MX"/>
        </w:rPr>
      </w:pPr>
    </w:p>
    <w:p w14:paraId="71AEBE16" w14:textId="287B87A8" w:rsidR="00C45B0A" w:rsidRPr="00B77590" w:rsidRDefault="00C45B0A" w:rsidP="00F24B1F">
      <w:pPr>
        <w:spacing w:line="240" w:lineRule="auto"/>
        <w:ind w:left="851" w:right="899"/>
        <w:contextualSpacing/>
        <w:rPr>
          <w:b/>
          <w:i/>
          <w:sz w:val="24"/>
          <w:szCs w:val="24"/>
          <w:lang w:eastAsia="es-MX"/>
        </w:rPr>
      </w:pPr>
      <w:r w:rsidRPr="00B77590">
        <w:rPr>
          <w:i/>
          <w:sz w:val="24"/>
          <w:szCs w:val="24"/>
          <w:lang w:eastAsia="es-MX"/>
        </w:rPr>
        <w:t>“</w:t>
      </w:r>
      <w:r w:rsidRPr="00B77590">
        <w:rPr>
          <w:b/>
          <w:i/>
          <w:sz w:val="24"/>
          <w:szCs w:val="24"/>
          <w:lang w:eastAsia="es-MX"/>
        </w:rPr>
        <w:t>Artículo 32. Para ocupar las titularidades de</w:t>
      </w:r>
      <w:r w:rsidRPr="00B77590">
        <w:rPr>
          <w:i/>
          <w:sz w:val="24"/>
          <w:szCs w:val="24"/>
          <w:lang w:eastAsia="es-MX"/>
        </w:rPr>
        <w:t xml:space="preserve"> la Secretaría, la</w:t>
      </w:r>
      <w:r w:rsidRPr="00B77590">
        <w:rPr>
          <w:b/>
          <w:i/>
          <w:sz w:val="24"/>
          <w:szCs w:val="24"/>
          <w:lang w:eastAsia="es-MX"/>
        </w:rPr>
        <w:t xml:space="preserve"> </w:t>
      </w:r>
      <w:r w:rsidRPr="00B77590">
        <w:rPr>
          <w:i/>
          <w:sz w:val="24"/>
          <w:szCs w:val="24"/>
          <w:lang w:eastAsia="es-MX"/>
        </w:rPr>
        <w:t xml:space="preserve">Tesorería, la Dirección de Obras Públicas, </w:t>
      </w:r>
      <w:r w:rsidRPr="00B77590">
        <w:rPr>
          <w:b/>
          <w:i/>
          <w:sz w:val="24"/>
          <w:szCs w:val="24"/>
          <w:lang w:eastAsia="es-MX"/>
        </w:rPr>
        <w:t>de Desarrollo Económico</w:t>
      </w:r>
      <w:r w:rsidRPr="00B77590">
        <w:rPr>
          <w:i/>
          <w:sz w:val="24"/>
          <w:szCs w:val="24"/>
          <w:lang w:eastAsia="es-MX"/>
        </w:rPr>
        <w:t xml:space="preserve">, de Turismo, </w:t>
      </w:r>
      <w:r w:rsidRPr="00B77590">
        <w:rPr>
          <w:b/>
          <w:i/>
          <w:sz w:val="24"/>
          <w:szCs w:val="24"/>
          <w:lang w:eastAsia="es-MX"/>
        </w:rPr>
        <w:t>de Ecología, de Desarrollo Urbano</w:t>
      </w:r>
      <w:r w:rsidRPr="00B77590">
        <w:rPr>
          <w:i/>
          <w:sz w:val="24"/>
          <w:szCs w:val="24"/>
          <w:lang w:eastAsia="es-MX"/>
        </w:rPr>
        <w:t xml:space="preserve">, de Desarrollo Social, de las Mujeres, de la Coordinación General Municipal de Mejora Regulatoria, de la Coordinación Municipal de Protección Civil, de las unidades administrativas y de los organismos auxiliares, </w:t>
      </w:r>
      <w:r w:rsidRPr="00B77590">
        <w:rPr>
          <w:b/>
          <w:i/>
          <w:sz w:val="24"/>
          <w:szCs w:val="24"/>
          <w:lang w:eastAsia="es-MX"/>
        </w:rPr>
        <w:t xml:space="preserve">se deberán satisfacer los siguientes requisitos: </w:t>
      </w:r>
    </w:p>
    <w:p w14:paraId="57BF5424" w14:textId="77777777" w:rsidR="00C45B0A" w:rsidRPr="00B77590" w:rsidRDefault="00C45B0A" w:rsidP="00F24B1F">
      <w:pPr>
        <w:spacing w:line="240" w:lineRule="auto"/>
        <w:ind w:left="851" w:right="899"/>
        <w:contextualSpacing/>
        <w:rPr>
          <w:b/>
          <w:i/>
          <w:sz w:val="24"/>
          <w:szCs w:val="24"/>
          <w:lang w:eastAsia="es-MX"/>
        </w:rPr>
      </w:pPr>
    </w:p>
    <w:p w14:paraId="620BD68C"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I.</w:t>
      </w:r>
      <w:r w:rsidRPr="00B77590">
        <w:rPr>
          <w:i/>
          <w:sz w:val="24"/>
          <w:szCs w:val="24"/>
          <w:lang w:eastAsia="es-MX"/>
        </w:rPr>
        <w:t xml:space="preserve"> Ser persona ciudadana del Estado, en pleno uso de sus derechos; </w:t>
      </w:r>
    </w:p>
    <w:p w14:paraId="7B32A128"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II.</w:t>
      </w:r>
      <w:r w:rsidRPr="00B77590">
        <w:rPr>
          <w:i/>
          <w:sz w:val="24"/>
          <w:szCs w:val="24"/>
          <w:lang w:eastAsia="es-MX"/>
        </w:rPr>
        <w:t xml:space="preserve"> No estar inhabilitada o inhabilitado para desempeñar cargo, empleo, o comisión pública; </w:t>
      </w:r>
    </w:p>
    <w:p w14:paraId="605D75BD"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III.</w:t>
      </w:r>
      <w:r w:rsidRPr="00B77590">
        <w:rPr>
          <w:i/>
          <w:sz w:val="24"/>
          <w:szCs w:val="24"/>
          <w:lang w:eastAsia="es-MX"/>
        </w:rPr>
        <w:t xml:space="preserve"> Contar con título profesional o acreditar experiencia mínima de un año en la materia, ante la o el Presidente o el Ayuntamiento, cuando sea el caso, para el desempeño de los cargos que así lo requieran; </w:t>
      </w:r>
    </w:p>
    <w:p w14:paraId="7C7AB763" w14:textId="77777777" w:rsidR="00C45B0A" w:rsidRPr="00B77590" w:rsidRDefault="00C45B0A" w:rsidP="00F24B1F">
      <w:pPr>
        <w:spacing w:line="240" w:lineRule="auto"/>
        <w:ind w:left="851" w:right="899"/>
        <w:contextualSpacing/>
        <w:rPr>
          <w:b/>
          <w:i/>
          <w:sz w:val="24"/>
          <w:szCs w:val="24"/>
          <w:lang w:eastAsia="es-MX"/>
        </w:rPr>
      </w:pPr>
      <w:r w:rsidRPr="00B77590">
        <w:rPr>
          <w:b/>
          <w:i/>
          <w:sz w:val="24"/>
          <w:szCs w:val="24"/>
          <w:lang w:eastAsia="es-MX"/>
        </w:rPr>
        <w:t xml:space="preserve">IV. Contar con certificación de competencia laboral en la materia del cargo que se desempeñará, expedida por institución con reconocimiento de validez oficial. Este requisito deberá acreditarse dentro de los seis meses siguientes a la fecha en que inicien sus funciones; </w:t>
      </w:r>
    </w:p>
    <w:p w14:paraId="0ADA481B"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V.</w:t>
      </w:r>
      <w:r w:rsidRPr="00B77590">
        <w:rPr>
          <w:i/>
          <w:sz w:val="24"/>
          <w:szCs w:val="24"/>
          <w:lang w:eastAsia="es-MX"/>
        </w:rPr>
        <w:t xml:space="preserve"> No estar condenada o condenado por sentencia ejecutoriada por el delito de violencia política contra las mujeres en razón de género; </w:t>
      </w:r>
    </w:p>
    <w:p w14:paraId="730CE017"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VI.</w:t>
      </w:r>
      <w:r w:rsidRPr="00B77590">
        <w:rPr>
          <w:i/>
          <w:sz w:val="24"/>
          <w:szCs w:val="24"/>
          <w:lang w:eastAsia="es-MX"/>
        </w:rPr>
        <w:t xml:space="preserve"> No estar inscrito en el Registro de Deudores Alimentarios Morosos en el Estado, ni en otra entidad federativa, y </w:t>
      </w:r>
    </w:p>
    <w:p w14:paraId="4FFDB99B"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VII.</w:t>
      </w:r>
      <w:r w:rsidRPr="00B77590">
        <w:rPr>
          <w:i/>
          <w:sz w:val="24"/>
          <w:szCs w:val="24"/>
          <w:lang w:eastAsia="es-MX"/>
        </w:rPr>
        <w:t xml:space="preserve"> No estar condenada o condenado por sentencia ejecutoriada por delitos de violencia familiar, contra la libertad sexual o de violencia de género. </w:t>
      </w:r>
    </w:p>
    <w:p w14:paraId="53C654D6" w14:textId="77777777" w:rsidR="00C45B0A" w:rsidRPr="00B77590" w:rsidRDefault="00C45B0A" w:rsidP="00F24B1F">
      <w:pPr>
        <w:spacing w:line="240" w:lineRule="auto"/>
        <w:ind w:left="851" w:right="899"/>
        <w:contextualSpacing/>
        <w:rPr>
          <w:i/>
          <w:sz w:val="24"/>
          <w:szCs w:val="24"/>
          <w:lang w:eastAsia="es-MX"/>
        </w:rPr>
      </w:pPr>
    </w:p>
    <w:p w14:paraId="7AB1744C" w14:textId="77777777" w:rsidR="00C45B0A" w:rsidRPr="00B77590" w:rsidRDefault="00C45B0A" w:rsidP="00F24B1F">
      <w:pPr>
        <w:spacing w:line="240" w:lineRule="auto"/>
        <w:ind w:left="851" w:right="899"/>
        <w:contextualSpacing/>
        <w:rPr>
          <w:i/>
          <w:sz w:val="24"/>
          <w:szCs w:val="24"/>
          <w:lang w:eastAsia="es-MX"/>
        </w:rPr>
      </w:pPr>
      <w:r w:rsidRPr="00B77590">
        <w:rPr>
          <w:i/>
          <w:sz w:val="24"/>
          <w:szCs w:val="24"/>
          <w:lang w:eastAsia="es-MX"/>
        </w:rPr>
        <w:t xml:space="preserve">Vencido el plazo a que se refiere la fracción IV, la o el Presidente Municipal informará al Cabildo sobre el cumplimiento de dicha certificación laboral </w:t>
      </w:r>
      <w:r w:rsidRPr="00B77590">
        <w:rPr>
          <w:i/>
          <w:sz w:val="24"/>
          <w:szCs w:val="24"/>
          <w:lang w:eastAsia="es-MX"/>
        </w:rPr>
        <w:lastRenderedPageBreak/>
        <w:t>para que, en su caso, el Ayuntamiento tome las medidas correspondientes respecto de aquellos servidores públicos que no hubiesen cumplido.</w:t>
      </w:r>
    </w:p>
    <w:p w14:paraId="04C790A8" w14:textId="77777777" w:rsidR="00C45B0A" w:rsidRPr="00B77590" w:rsidRDefault="00C45B0A" w:rsidP="00F24B1F">
      <w:pPr>
        <w:spacing w:line="240" w:lineRule="auto"/>
        <w:ind w:left="851" w:right="899"/>
        <w:contextualSpacing/>
        <w:rPr>
          <w:i/>
          <w:sz w:val="24"/>
          <w:szCs w:val="24"/>
          <w:lang w:eastAsia="es-MX"/>
        </w:rPr>
      </w:pPr>
      <w:r w:rsidRPr="00B77590">
        <w:rPr>
          <w:i/>
          <w:sz w:val="24"/>
          <w:szCs w:val="24"/>
          <w:lang w:eastAsia="es-MX"/>
        </w:rPr>
        <w:t>…</w:t>
      </w:r>
    </w:p>
    <w:p w14:paraId="0D06C493"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 xml:space="preserve">Artículo 96 </w:t>
      </w:r>
      <w:proofErr w:type="spellStart"/>
      <w:r w:rsidRPr="00B77590">
        <w:rPr>
          <w:b/>
          <w:i/>
          <w:sz w:val="24"/>
          <w:szCs w:val="24"/>
          <w:lang w:eastAsia="es-MX"/>
        </w:rPr>
        <w:t>Quintus</w:t>
      </w:r>
      <w:proofErr w:type="spellEnd"/>
      <w:r w:rsidRPr="00B77590">
        <w:rPr>
          <w:b/>
          <w:i/>
          <w:sz w:val="24"/>
          <w:szCs w:val="24"/>
          <w:lang w:eastAsia="es-MX"/>
        </w:rPr>
        <w:t>. El Director de Desarrollo Económico o Titular de la Unidad Administrativa equivalente</w:t>
      </w:r>
      <w:r w:rsidRPr="00B77590">
        <w:rPr>
          <w:i/>
          <w:sz w:val="24"/>
          <w:szCs w:val="24"/>
          <w:lang w:eastAsia="es-MX"/>
        </w:rPr>
        <w:t xml:space="preserve">, además de los requisitos del artículo 32 de esta Ley, requiere contar con título profesional en el área económico-administrativa o contar con experiencia mínima de un año, con anterioridad a la fecha de su designación. </w:t>
      </w:r>
    </w:p>
    <w:p w14:paraId="57AFF16D" w14:textId="77777777" w:rsidR="00C45B0A" w:rsidRPr="00B77590" w:rsidRDefault="00C45B0A" w:rsidP="00F24B1F">
      <w:pPr>
        <w:spacing w:line="240" w:lineRule="auto"/>
        <w:ind w:left="851" w:right="899"/>
        <w:contextualSpacing/>
        <w:rPr>
          <w:i/>
          <w:sz w:val="24"/>
          <w:szCs w:val="24"/>
          <w:lang w:eastAsia="es-MX"/>
        </w:rPr>
      </w:pPr>
    </w:p>
    <w:p w14:paraId="13CDBB04" w14:textId="77777777" w:rsidR="00C45B0A" w:rsidRPr="00B77590" w:rsidRDefault="00C45B0A" w:rsidP="00F24B1F">
      <w:pPr>
        <w:spacing w:line="240" w:lineRule="auto"/>
        <w:ind w:left="851" w:right="899"/>
        <w:contextualSpacing/>
        <w:rPr>
          <w:i/>
          <w:sz w:val="24"/>
          <w:szCs w:val="24"/>
          <w:lang w:eastAsia="es-MX"/>
        </w:rPr>
      </w:pPr>
      <w:r w:rsidRPr="00B77590">
        <w:rPr>
          <w:i/>
          <w:sz w:val="24"/>
          <w:szCs w:val="24"/>
          <w:lang w:eastAsia="es-MX"/>
        </w:rPr>
        <w:t xml:space="preserve">Además, deberá </w:t>
      </w:r>
      <w:r w:rsidRPr="00B77590">
        <w:rPr>
          <w:b/>
          <w:i/>
          <w:sz w:val="24"/>
          <w:szCs w:val="24"/>
          <w:lang w:eastAsia="es-MX"/>
        </w:rPr>
        <w:t>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w:t>
      </w:r>
      <w:r w:rsidRPr="00B77590">
        <w:rPr>
          <w:i/>
          <w:sz w:val="24"/>
          <w:szCs w:val="24"/>
          <w:lang w:eastAsia="es-MX"/>
        </w:rPr>
        <w:t>, de conformidad con los aspectos técnicos y operativos aplicables al Estado de México.</w:t>
      </w:r>
    </w:p>
    <w:p w14:paraId="568C48D1" w14:textId="77777777" w:rsidR="00C45B0A" w:rsidRPr="00B77590" w:rsidRDefault="00C45B0A" w:rsidP="00F24B1F">
      <w:pPr>
        <w:spacing w:line="240" w:lineRule="auto"/>
        <w:ind w:left="851" w:right="899"/>
        <w:contextualSpacing/>
        <w:rPr>
          <w:i/>
          <w:sz w:val="24"/>
          <w:szCs w:val="24"/>
          <w:lang w:eastAsia="es-MX"/>
        </w:rPr>
      </w:pPr>
    </w:p>
    <w:p w14:paraId="5ED254E3"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 xml:space="preserve">Artículo 96 </w:t>
      </w:r>
      <w:proofErr w:type="spellStart"/>
      <w:r w:rsidRPr="00B77590">
        <w:rPr>
          <w:b/>
          <w:i/>
          <w:sz w:val="24"/>
          <w:szCs w:val="24"/>
          <w:lang w:eastAsia="es-MX"/>
        </w:rPr>
        <w:t>Septies</w:t>
      </w:r>
      <w:proofErr w:type="spellEnd"/>
      <w:r w:rsidRPr="00B77590">
        <w:rPr>
          <w:b/>
          <w:i/>
          <w:sz w:val="24"/>
          <w:szCs w:val="24"/>
          <w:lang w:eastAsia="es-MX"/>
        </w:rPr>
        <w:t>. El Director de Desarrollo Urbano o el Titular de la Unidad Administrativa equivalente</w:t>
      </w:r>
      <w:r w:rsidRPr="00B77590">
        <w:rPr>
          <w:i/>
          <w:sz w:val="24"/>
          <w:szCs w:val="24"/>
          <w:lang w:eastAsia="es-MX"/>
        </w:rPr>
        <w:t xml:space="preserve">, además de los requisitos establecidos en el artículo 32 de esta Ley, requiere contar con título profesional en el área de ingeniería civil-arquitectura o afín, o contar con una experiencia mínima de un año, con anterioridad a la fecha de su designación; </w:t>
      </w:r>
      <w:r w:rsidRPr="00B77590">
        <w:rPr>
          <w:b/>
          <w:i/>
          <w:sz w:val="24"/>
          <w:szCs w:val="24"/>
          <w:lang w:eastAsia="es-MX"/>
        </w:rPr>
        <w:t>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w:t>
      </w:r>
      <w:r w:rsidRPr="00B77590">
        <w:rPr>
          <w:i/>
          <w:sz w:val="24"/>
          <w:szCs w:val="24"/>
          <w:lang w:eastAsia="es-MX"/>
        </w:rPr>
        <w:t>, de conformidad con los aspectos técnicos y operativos aplicables al Estado de México.</w:t>
      </w:r>
    </w:p>
    <w:p w14:paraId="460F75EF" w14:textId="77777777" w:rsidR="00C45B0A" w:rsidRPr="00B77590" w:rsidRDefault="00C45B0A" w:rsidP="00F24B1F">
      <w:pPr>
        <w:spacing w:line="240" w:lineRule="auto"/>
        <w:ind w:left="851" w:right="899"/>
        <w:contextualSpacing/>
        <w:rPr>
          <w:i/>
          <w:sz w:val="24"/>
          <w:szCs w:val="24"/>
          <w:lang w:eastAsia="es-MX"/>
        </w:rPr>
      </w:pPr>
      <w:r w:rsidRPr="00B77590">
        <w:rPr>
          <w:i/>
          <w:sz w:val="24"/>
          <w:szCs w:val="24"/>
          <w:lang w:eastAsia="es-MX"/>
        </w:rPr>
        <w:t>…</w:t>
      </w:r>
    </w:p>
    <w:p w14:paraId="5A2C3A20" w14:textId="77777777" w:rsidR="00C45B0A" w:rsidRPr="00B77590" w:rsidRDefault="00C45B0A" w:rsidP="00F24B1F">
      <w:pPr>
        <w:spacing w:line="240" w:lineRule="auto"/>
        <w:ind w:left="851" w:right="899"/>
        <w:contextualSpacing/>
        <w:rPr>
          <w:i/>
          <w:sz w:val="24"/>
          <w:szCs w:val="24"/>
          <w:lang w:eastAsia="es-MX"/>
        </w:rPr>
      </w:pPr>
      <w:r w:rsidRPr="00B77590">
        <w:rPr>
          <w:b/>
          <w:i/>
          <w:sz w:val="24"/>
          <w:szCs w:val="24"/>
          <w:lang w:eastAsia="es-MX"/>
        </w:rPr>
        <w:t xml:space="preserve">Artículo 96 </w:t>
      </w:r>
      <w:proofErr w:type="spellStart"/>
      <w:r w:rsidRPr="00B77590">
        <w:rPr>
          <w:b/>
          <w:i/>
          <w:sz w:val="24"/>
          <w:szCs w:val="24"/>
          <w:lang w:eastAsia="es-MX"/>
        </w:rPr>
        <w:t>Nonies</w:t>
      </w:r>
      <w:proofErr w:type="spellEnd"/>
      <w:r w:rsidRPr="00B77590">
        <w:rPr>
          <w:b/>
          <w:i/>
          <w:sz w:val="24"/>
          <w:szCs w:val="24"/>
          <w:lang w:eastAsia="es-MX"/>
        </w:rPr>
        <w:t>. El Director de Ecología o el Titular de la Unidad Administrativa equivalente,</w:t>
      </w:r>
      <w:r w:rsidRPr="00B77590">
        <w:rPr>
          <w:i/>
          <w:sz w:val="24"/>
          <w:szCs w:val="24"/>
          <w:lang w:eastAsia="es-MX"/>
        </w:rPr>
        <w:t xml:space="preserve"> además de los requisitos establecidos en el artículo 32 de esta Ley, requiere contar con título profesional en el área de biología-agronomía-administración pública o afín, o contar con una experiencia mínima de un año, con anterioridad a la fecha de su designación; </w:t>
      </w:r>
      <w:r w:rsidRPr="00B77590">
        <w:rPr>
          <w:b/>
          <w:i/>
          <w:sz w:val="24"/>
          <w:szCs w:val="24"/>
          <w:lang w:eastAsia="es-MX"/>
        </w:rPr>
        <w:lastRenderedPageBreak/>
        <w:t>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w:t>
      </w:r>
      <w:r w:rsidRPr="00B77590">
        <w:rPr>
          <w:i/>
          <w:sz w:val="24"/>
          <w:szCs w:val="24"/>
          <w:lang w:eastAsia="es-MX"/>
        </w:rPr>
        <w:t>, de conformidad con los aspectos técnicos y operativos aplicables al Estado de México.</w:t>
      </w:r>
    </w:p>
    <w:p w14:paraId="6858774A" w14:textId="53108D13" w:rsidR="00C45B0A" w:rsidRPr="00B77590" w:rsidRDefault="00C45B0A" w:rsidP="00F24B1F">
      <w:pPr>
        <w:spacing w:line="240" w:lineRule="auto"/>
        <w:ind w:left="851" w:right="899"/>
        <w:contextualSpacing/>
        <w:rPr>
          <w:i/>
          <w:sz w:val="24"/>
          <w:szCs w:val="24"/>
          <w:lang w:eastAsia="es-MX"/>
        </w:rPr>
      </w:pPr>
      <w:r w:rsidRPr="00B77590">
        <w:rPr>
          <w:i/>
          <w:sz w:val="24"/>
          <w:szCs w:val="24"/>
          <w:lang w:eastAsia="es-MX"/>
        </w:rPr>
        <w:t>(Énfasis añadido)</w:t>
      </w:r>
    </w:p>
    <w:p w14:paraId="24E541AE" w14:textId="77777777" w:rsidR="00C45B0A" w:rsidRPr="00B77590" w:rsidRDefault="00C45B0A" w:rsidP="00F24B1F">
      <w:pPr>
        <w:spacing w:line="240" w:lineRule="auto"/>
        <w:jc w:val="left"/>
        <w:rPr>
          <w:rFonts w:eastAsia="Calibri" w:cs="Tahoma"/>
          <w:sz w:val="24"/>
          <w:szCs w:val="24"/>
        </w:rPr>
      </w:pPr>
    </w:p>
    <w:p w14:paraId="5D1B2F7C" w14:textId="4C2C9536" w:rsidR="00C45B0A" w:rsidRPr="00B77590" w:rsidRDefault="00C45B0A" w:rsidP="00F24B1F">
      <w:pPr>
        <w:tabs>
          <w:tab w:val="left" w:pos="8222"/>
        </w:tabs>
        <w:rPr>
          <w:sz w:val="24"/>
          <w:szCs w:val="24"/>
          <w:lang w:eastAsia="es-MX"/>
        </w:rPr>
      </w:pPr>
      <w:r w:rsidRPr="00B77590">
        <w:rPr>
          <w:rFonts w:cs="Arial"/>
          <w:sz w:val="24"/>
          <w:szCs w:val="24"/>
        </w:rPr>
        <w:t xml:space="preserve">De lo anterior se advierte que el </w:t>
      </w:r>
      <w:r w:rsidRPr="00B77590">
        <w:rPr>
          <w:b/>
          <w:i/>
          <w:sz w:val="24"/>
          <w:szCs w:val="24"/>
          <w:lang w:eastAsia="es-MX"/>
        </w:rPr>
        <w:t>Director de Desarrollo Económico, Director de Desarrollo Urbano y el Director de Ecología o el titular de las Unidades Administrativa equivalentes,</w:t>
      </w:r>
      <w:r w:rsidRPr="00B77590">
        <w:rPr>
          <w:i/>
          <w:sz w:val="24"/>
          <w:szCs w:val="24"/>
          <w:lang w:eastAsia="es-MX"/>
        </w:rPr>
        <w:t xml:space="preserve"> </w:t>
      </w:r>
      <w:r w:rsidRPr="00B77590">
        <w:rPr>
          <w:sz w:val="24"/>
          <w:szCs w:val="24"/>
          <w:lang w:eastAsia="es-MX"/>
        </w:rPr>
        <w:t xml:space="preserve">deben acreditar dentro de los seis meses siguientes a la fecha en que inicie sus funciones la certificación de competencia laboral. </w:t>
      </w:r>
    </w:p>
    <w:p w14:paraId="656520C4" w14:textId="77777777" w:rsidR="00C45B0A" w:rsidRPr="00B77590" w:rsidRDefault="00C45B0A" w:rsidP="00F24B1F">
      <w:pPr>
        <w:tabs>
          <w:tab w:val="left" w:pos="8222"/>
        </w:tabs>
        <w:rPr>
          <w:sz w:val="24"/>
          <w:szCs w:val="24"/>
          <w:lang w:eastAsia="es-MX"/>
        </w:rPr>
      </w:pPr>
    </w:p>
    <w:p w14:paraId="43298871" w14:textId="7A936F39" w:rsidR="00B27531" w:rsidRPr="00B77590" w:rsidRDefault="00C45B0A" w:rsidP="00F24B1F">
      <w:pPr>
        <w:rPr>
          <w:rFonts w:cs="Tahoma"/>
          <w:bCs/>
          <w:sz w:val="24"/>
          <w:szCs w:val="24"/>
        </w:rPr>
      </w:pPr>
      <w:r w:rsidRPr="00B77590">
        <w:rPr>
          <w:rFonts w:cs="Tahoma"/>
          <w:bCs/>
          <w:sz w:val="24"/>
          <w:szCs w:val="24"/>
        </w:rPr>
        <w:t>Ahora bien, conforme al artículo 40 del Bando Municipal de Coacalco de Berriozábal 2025</w:t>
      </w:r>
      <w:r w:rsidRPr="00B77590">
        <w:rPr>
          <w:rStyle w:val="Refdenotaalpie"/>
          <w:rFonts w:cs="Tahoma"/>
          <w:bCs/>
          <w:sz w:val="24"/>
          <w:szCs w:val="24"/>
        </w:rPr>
        <w:footnoteReference w:id="4"/>
      </w:r>
      <w:r w:rsidRPr="00B77590">
        <w:rPr>
          <w:rFonts w:cs="Tahoma"/>
          <w:bCs/>
          <w:sz w:val="24"/>
          <w:szCs w:val="24"/>
        </w:rPr>
        <w:t xml:space="preserve">,  se advierte que </w:t>
      </w:r>
      <w:r w:rsidR="00B27531" w:rsidRPr="00B77590">
        <w:rPr>
          <w:rFonts w:cs="Tahoma"/>
          <w:bCs/>
          <w:sz w:val="24"/>
          <w:szCs w:val="24"/>
        </w:rPr>
        <w:t xml:space="preserve">la Administración Pública Municipal estará integrada de la siguiente manera: </w:t>
      </w:r>
    </w:p>
    <w:p w14:paraId="051ECD94" w14:textId="77777777" w:rsidR="00B27531" w:rsidRPr="00B77590" w:rsidRDefault="00B27531" w:rsidP="00F24B1F">
      <w:pPr>
        <w:rPr>
          <w:rFonts w:cs="Tahoma"/>
          <w:bCs/>
          <w:sz w:val="24"/>
          <w:szCs w:val="24"/>
        </w:rPr>
      </w:pPr>
    </w:p>
    <w:p w14:paraId="6B837866" w14:textId="77777777" w:rsidR="00B27531" w:rsidRPr="00B77590" w:rsidRDefault="00B27531" w:rsidP="00F24B1F">
      <w:pPr>
        <w:pStyle w:val="Puesto"/>
      </w:pPr>
      <w:r w:rsidRPr="00B77590">
        <w:rPr>
          <w:b/>
        </w:rPr>
        <w:t xml:space="preserve">Artículo 40. La Administración Pública Municipal estará integrada por la Presidencia Municipal, las Dependencias </w:t>
      </w:r>
      <w:r w:rsidRPr="00B77590">
        <w:t>y Entidades</w:t>
      </w:r>
      <w:r w:rsidRPr="00B77590">
        <w:rPr>
          <w:b/>
        </w:rPr>
        <w:t xml:space="preserve"> siguientes:</w:t>
      </w:r>
      <w:r w:rsidRPr="00B77590">
        <w:t xml:space="preserve"> </w:t>
      </w:r>
    </w:p>
    <w:p w14:paraId="26B44D5E" w14:textId="77777777" w:rsidR="00B27531" w:rsidRPr="00B77590" w:rsidRDefault="00B27531" w:rsidP="00F24B1F">
      <w:pPr>
        <w:pStyle w:val="Puesto"/>
      </w:pPr>
    </w:p>
    <w:p w14:paraId="6E08CE16" w14:textId="77777777" w:rsidR="00B27531" w:rsidRPr="00B77590" w:rsidRDefault="00B27531" w:rsidP="00F24B1F">
      <w:pPr>
        <w:pStyle w:val="Puesto"/>
      </w:pPr>
      <w:r w:rsidRPr="00B77590">
        <w:rPr>
          <w:b/>
        </w:rPr>
        <w:t>I. PRESIDENCIA MUNICIPAL:</w:t>
      </w:r>
      <w:r w:rsidRPr="00B77590">
        <w:t xml:space="preserve"> </w:t>
      </w:r>
    </w:p>
    <w:p w14:paraId="6FDAC5D8" w14:textId="77777777" w:rsidR="00B27531" w:rsidRPr="00B77590" w:rsidRDefault="00B27531" w:rsidP="00F24B1F">
      <w:pPr>
        <w:pStyle w:val="Puesto"/>
      </w:pPr>
      <w:r w:rsidRPr="00B77590">
        <w:t xml:space="preserve">a) Secretaría Particular; </w:t>
      </w:r>
    </w:p>
    <w:p w14:paraId="0430B4D3" w14:textId="77777777" w:rsidR="00B27531" w:rsidRPr="00B77590" w:rsidRDefault="00B27531" w:rsidP="00F24B1F">
      <w:pPr>
        <w:pStyle w:val="Puesto"/>
      </w:pPr>
      <w:r w:rsidRPr="00B77590">
        <w:t xml:space="preserve">b) Secretaría Técnica; </w:t>
      </w:r>
    </w:p>
    <w:p w14:paraId="18848CA8" w14:textId="77777777" w:rsidR="00B27531" w:rsidRPr="00B77590" w:rsidRDefault="00B27531" w:rsidP="00F24B1F">
      <w:pPr>
        <w:pStyle w:val="Puesto"/>
      </w:pPr>
      <w:r w:rsidRPr="00B77590">
        <w:t xml:space="preserve">c) Coordinación de Mejora Regulatoria; </w:t>
      </w:r>
    </w:p>
    <w:p w14:paraId="273FF103" w14:textId="77777777" w:rsidR="00B27531" w:rsidRPr="00B77590" w:rsidRDefault="00B27531" w:rsidP="00F24B1F">
      <w:pPr>
        <w:pStyle w:val="Puesto"/>
      </w:pPr>
      <w:r w:rsidRPr="00B77590">
        <w:t xml:space="preserve">d) Coordinación de Giras y Eventos; </w:t>
      </w:r>
    </w:p>
    <w:p w14:paraId="3A2F9682" w14:textId="77777777" w:rsidR="00B27531" w:rsidRPr="00B77590" w:rsidRDefault="00B27531" w:rsidP="00F24B1F">
      <w:pPr>
        <w:pStyle w:val="Puesto"/>
      </w:pPr>
      <w:r w:rsidRPr="00B77590">
        <w:t xml:space="preserve">e) Coordinación de Logística; </w:t>
      </w:r>
    </w:p>
    <w:p w14:paraId="7DB7E2A5" w14:textId="77777777" w:rsidR="00B27531" w:rsidRPr="00B77590" w:rsidRDefault="00B27531" w:rsidP="00F24B1F">
      <w:pPr>
        <w:pStyle w:val="Puesto"/>
      </w:pPr>
      <w:r w:rsidRPr="00B77590">
        <w:t xml:space="preserve">f) Coordinación de Protección Civil y Bomberos. </w:t>
      </w:r>
    </w:p>
    <w:p w14:paraId="278BF688" w14:textId="77777777" w:rsidR="00B27531" w:rsidRPr="00B77590" w:rsidRDefault="00B27531" w:rsidP="00F24B1F">
      <w:pPr>
        <w:pStyle w:val="Puesto"/>
      </w:pPr>
    </w:p>
    <w:p w14:paraId="3F7D8397" w14:textId="77777777" w:rsidR="00B27531" w:rsidRPr="00B77590" w:rsidRDefault="00B27531" w:rsidP="00F24B1F">
      <w:pPr>
        <w:pStyle w:val="Puesto"/>
      </w:pPr>
      <w:r w:rsidRPr="00B77590">
        <w:rPr>
          <w:b/>
        </w:rPr>
        <w:t>II. DEPENDENCIAS:</w:t>
      </w:r>
      <w:r w:rsidRPr="00B77590">
        <w:t xml:space="preserve"> </w:t>
      </w:r>
    </w:p>
    <w:p w14:paraId="7D18D7EF" w14:textId="77777777" w:rsidR="00B27531" w:rsidRPr="00B77590" w:rsidRDefault="00B27531" w:rsidP="00F24B1F">
      <w:pPr>
        <w:pStyle w:val="Puesto"/>
      </w:pPr>
      <w:r w:rsidRPr="00B77590">
        <w:lastRenderedPageBreak/>
        <w:t xml:space="preserve">a) Secretaría del Ayuntamiento; </w:t>
      </w:r>
    </w:p>
    <w:p w14:paraId="3253A291" w14:textId="77777777" w:rsidR="00B27531" w:rsidRPr="00B77590" w:rsidRDefault="00B27531" w:rsidP="00F24B1F">
      <w:pPr>
        <w:pStyle w:val="Puesto"/>
      </w:pPr>
      <w:r w:rsidRPr="00B77590">
        <w:t xml:space="preserve">b) Tesorería Municipal; </w:t>
      </w:r>
    </w:p>
    <w:p w14:paraId="392EACA7" w14:textId="77777777" w:rsidR="00B27531" w:rsidRPr="00B77590" w:rsidRDefault="00B27531" w:rsidP="00F24B1F">
      <w:pPr>
        <w:pStyle w:val="Puesto"/>
      </w:pPr>
      <w:r w:rsidRPr="00B77590">
        <w:t xml:space="preserve">c) Contraloría Municipal; y </w:t>
      </w:r>
    </w:p>
    <w:p w14:paraId="42FDB8D8" w14:textId="77777777" w:rsidR="00B27531" w:rsidRPr="00B77590" w:rsidRDefault="00B27531" w:rsidP="00F24B1F">
      <w:pPr>
        <w:pStyle w:val="Puesto"/>
      </w:pPr>
    </w:p>
    <w:p w14:paraId="1AA8FDF4" w14:textId="77777777" w:rsidR="00B27531" w:rsidRPr="00B77590" w:rsidRDefault="00B27531" w:rsidP="00F24B1F">
      <w:pPr>
        <w:pStyle w:val="Puesto"/>
      </w:pPr>
      <w:r w:rsidRPr="00B77590">
        <w:t>I</w:t>
      </w:r>
      <w:r w:rsidRPr="00B77590">
        <w:rPr>
          <w:b/>
        </w:rPr>
        <w:t>II. DIRECCIONES:</w:t>
      </w:r>
      <w:r w:rsidRPr="00B77590">
        <w:t xml:space="preserve"> </w:t>
      </w:r>
    </w:p>
    <w:p w14:paraId="422A56B0" w14:textId="77777777" w:rsidR="00B27531" w:rsidRPr="00B77590" w:rsidRDefault="00B27531" w:rsidP="00F24B1F">
      <w:pPr>
        <w:pStyle w:val="Puesto"/>
      </w:pPr>
      <w:r w:rsidRPr="00B77590">
        <w:rPr>
          <w:b/>
        </w:rPr>
        <w:t xml:space="preserve">a) </w:t>
      </w:r>
      <w:r w:rsidRPr="00B77590">
        <w:t xml:space="preserve">Dirección de Administración; </w:t>
      </w:r>
    </w:p>
    <w:p w14:paraId="2B5C4ACB" w14:textId="77777777" w:rsidR="00B27531" w:rsidRPr="00B77590" w:rsidRDefault="00B27531" w:rsidP="00F24B1F">
      <w:pPr>
        <w:pStyle w:val="Puesto"/>
      </w:pPr>
      <w:r w:rsidRPr="00B77590">
        <w:rPr>
          <w:b/>
        </w:rPr>
        <w:t xml:space="preserve">b) </w:t>
      </w:r>
      <w:r w:rsidRPr="00B77590">
        <w:t xml:space="preserve">Dirección de Gobierno </w:t>
      </w:r>
    </w:p>
    <w:p w14:paraId="45CAA9DC" w14:textId="77777777" w:rsidR="00B27531" w:rsidRPr="00B77590" w:rsidRDefault="00B27531" w:rsidP="00F24B1F">
      <w:pPr>
        <w:pStyle w:val="Puesto"/>
        <w:rPr>
          <w:b/>
        </w:rPr>
      </w:pPr>
      <w:r w:rsidRPr="00B77590">
        <w:rPr>
          <w:b/>
        </w:rPr>
        <w:t xml:space="preserve">c) Dirección de Desarrollo y Fomento Económico; </w:t>
      </w:r>
    </w:p>
    <w:p w14:paraId="4A48620C" w14:textId="77777777" w:rsidR="00B27531" w:rsidRPr="00B77590" w:rsidRDefault="00B27531" w:rsidP="00F24B1F">
      <w:pPr>
        <w:pStyle w:val="Puesto"/>
      </w:pPr>
      <w:r w:rsidRPr="00B77590">
        <w:rPr>
          <w:b/>
        </w:rPr>
        <w:t xml:space="preserve">d) </w:t>
      </w:r>
      <w:r w:rsidRPr="00B77590">
        <w:t xml:space="preserve">Dirección de Servicios Públicos; </w:t>
      </w:r>
    </w:p>
    <w:p w14:paraId="7B064F8B" w14:textId="77777777" w:rsidR="00B27531" w:rsidRPr="00B77590" w:rsidRDefault="00B27531" w:rsidP="00F24B1F">
      <w:pPr>
        <w:pStyle w:val="Puesto"/>
      </w:pPr>
      <w:r w:rsidRPr="00B77590">
        <w:rPr>
          <w:b/>
        </w:rPr>
        <w:t xml:space="preserve">e) </w:t>
      </w:r>
      <w:r w:rsidRPr="00B77590">
        <w:t xml:space="preserve">Comisaría de Seguridad Pública y Tránsito Municipal; </w:t>
      </w:r>
    </w:p>
    <w:p w14:paraId="2D6FECEE" w14:textId="77777777" w:rsidR="00B27531" w:rsidRPr="00B77590" w:rsidRDefault="00B27531" w:rsidP="00F24B1F">
      <w:pPr>
        <w:pStyle w:val="Puesto"/>
      </w:pPr>
      <w:r w:rsidRPr="00B77590">
        <w:rPr>
          <w:b/>
        </w:rPr>
        <w:t xml:space="preserve">f) </w:t>
      </w:r>
      <w:r w:rsidRPr="00B77590">
        <w:t xml:space="preserve">Dirección de Desarrollo Social; </w:t>
      </w:r>
    </w:p>
    <w:p w14:paraId="10500873" w14:textId="77777777" w:rsidR="00B27531" w:rsidRPr="00B77590" w:rsidRDefault="00B27531" w:rsidP="00F24B1F">
      <w:pPr>
        <w:pStyle w:val="Puesto"/>
      </w:pPr>
      <w:r w:rsidRPr="00B77590">
        <w:rPr>
          <w:b/>
        </w:rPr>
        <w:t xml:space="preserve">g) </w:t>
      </w:r>
      <w:r w:rsidRPr="00B77590">
        <w:t xml:space="preserve">Dirección de Educación y Cultura; </w:t>
      </w:r>
    </w:p>
    <w:p w14:paraId="46C3A108" w14:textId="77777777" w:rsidR="00B27531" w:rsidRPr="00B77590" w:rsidRDefault="00B27531" w:rsidP="00F24B1F">
      <w:pPr>
        <w:pStyle w:val="Puesto"/>
        <w:rPr>
          <w:b/>
        </w:rPr>
      </w:pPr>
      <w:r w:rsidRPr="00B77590">
        <w:rPr>
          <w:b/>
        </w:rPr>
        <w:t xml:space="preserve">h) Dirección de Desarrollo Urbano; </w:t>
      </w:r>
    </w:p>
    <w:p w14:paraId="1FE7288E" w14:textId="77777777" w:rsidR="00B27531" w:rsidRPr="00B77590" w:rsidRDefault="00B27531" w:rsidP="00F24B1F">
      <w:pPr>
        <w:pStyle w:val="Puesto"/>
        <w:rPr>
          <w:b/>
        </w:rPr>
      </w:pPr>
      <w:r w:rsidRPr="00B77590">
        <w:rPr>
          <w:b/>
        </w:rPr>
        <w:t xml:space="preserve">i) Dirección de Medio Ambiente; </w:t>
      </w:r>
    </w:p>
    <w:p w14:paraId="10B25757" w14:textId="77777777" w:rsidR="00B27531" w:rsidRPr="00B77590" w:rsidRDefault="00B27531" w:rsidP="00F24B1F">
      <w:pPr>
        <w:pStyle w:val="Puesto"/>
      </w:pPr>
      <w:r w:rsidRPr="00B77590">
        <w:rPr>
          <w:b/>
        </w:rPr>
        <w:t xml:space="preserve">j) </w:t>
      </w:r>
      <w:r w:rsidRPr="00B77590">
        <w:t xml:space="preserve">Dirección de Obras Públicas; </w:t>
      </w:r>
    </w:p>
    <w:p w14:paraId="73577635" w14:textId="77777777" w:rsidR="00B27531" w:rsidRPr="00B77590" w:rsidRDefault="00B27531" w:rsidP="00F24B1F">
      <w:pPr>
        <w:pStyle w:val="Puesto"/>
      </w:pPr>
      <w:r w:rsidRPr="00B77590">
        <w:rPr>
          <w:b/>
        </w:rPr>
        <w:t xml:space="preserve">k) </w:t>
      </w:r>
      <w:r w:rsidRPr="00B77590">
        <w:t xml:space="preserve">Dirección Jurídica; </w:t>
      </w:r>
    </w:p>
    <w:p w14:paraId="4AC685A6" w14:textId="7D5ECE1B" w:rsidR="00B27531" w:rsidRPr="00B77590" w:rsidRDefault="00B27531" w:rsidP="00F24B1F">
      <w:pPr>
        <w:pStyle w:val="Puesto"/>
        <w:rPr>
          <w:rFonts w:cs="Tahoma"/>
          <w:bCs/>
          <w:sz w:val="24"/>
          <w:szCs w:val="24"/>
        </w:rPr>
      </w:pPr>
      <w:r w:rsidRPr="00B77590">
        <w:rPr>
          <w:b/>
        </w:rPr>
        <w:t xml:space="preserve">l) </w:t>
      </w:r>
      <w:r w:rsidRPr="00B77590">
        <w:t>Dirección de Comunicación Institucional; m) Dirección de Diversidad Sexual y atención LGBTTTIQ+</w:t>
      </w:r>
    </w:p>
    <w:p w14:paraId="09C16197" w14:textId="77777777" w:rsidR="00B27531" w:rsidRPr="00B77590" w:rsidRDefault="00B27531" w:rsidP="00F24B1F">
      <w:pPr>
        <w:rPr>
          <w:rFonts w:cs="Tahoma"/>
          <w:bCs/>
          <w:sz w:val="24"/>
          <w:szCs w:val="24"/>
        </w:rPr>
      </w:pPr>
    </w:p>
    <w:p w14:paraId="5AC98185" w14:textId="51F3D518" w:rsidR="00B27531" w:rsidRPr="00B77590" w:rsidRDefault="00B27531" w:rsidP="00F24B1F">
      <w:r w:rsidRPr="00B77590">
        <w:rPr>
          <w:rFonts w:cs="Tahoma"/>
          <w:bCs/>
          <w:sz w:val="24"/>
          <w:szCs w:val="24"/>
        </w:rPr>
        <w:t xml:space="preserve">De lo anterior podemos corroborar que dentro de la estructura del </w:t>
      </w:r>
      <w:r w:rsidRPr="00B77590">
        <w:rPr>
          <w:rFonts w:cs="Tahoma"/>
          <w:b/>
          <w:bCs/>
          <w:sz w:val="24"/>
          <w:szCs w:val="24"/>
        </w:rPr>
        <w:t xml:space="preserve">SUJETO OBLIGADO </w:t>
      </w:r>
      <w:r w:rsidRPr="00B77590">
        <w:rPr>
          <w:rFonts w:cs="Tahoma"/>
          <w:bCs/>
          <w:sz w:val="24"/>
          <w:szCs w:val="24"/>
        </w:rPr>
        <w:t xml:space="preserve">se encuentra consideradas la </w:t>
      </w:r>
      <w:r w:rsidRPr="00B77590">
        <w:t xml:space="preserve">Dirección de Desarrollo y Fomento Económico; Dirección de Desarrollo Urbano y Dirección de Medio Ambiente. </w:t>
      </w:r>
    </w:p>
    <w:p w14:paraId="1242CC5E" w14:textId="77777777" w:rsidR="00B27531" w:rsidRPr="00B77590" w:rsidRDefault="00B27531" w:rsidP="00F24B1F"/>
    <w:p w14:paraId="21F6C6B0" w14:textId="3C9025D4" w:rsidR="00B27531" w:rsidRPr="00B77590" w:rsidRDefault="003920C8" w:rsidP="00F24B1F">
      <w:r w:rsidRPr="00B77590">
        <w:t xml:space="preserve">Asimismo, es importante destacar que </w:t>
      </w:r>
      <w:r w:rsidR="00B27531" w:rsidRPr="00B77590">
        <w:t>conforme a la información publicada en IPOMEX</w:t>
      </w:r>
      <w:r w:rsidR="00B27531" w:rsidRPr="00B77590">
        <w:rPr>
          <w:rStyle w:val="Refdenotaalpie"/>
        </w:rPr>
        <w:footnoteReference w:id="5"/>
      </w:r>
      <w:r w:rsidR="00B27531" w:rsidRPr="00B77590">
        <w:t xml:space="preserve"> por </w:t>
      </w:r>
      <w:r w:rsidR="00B27531" w:rsidRPr="00B77590">
        <w:rPr>
          <w:b/>
        </w:rPr>
        <w:t xml:space="preserve">EL SUJETO OBLIGADO </w:t>
      </w:r>
      <w:r w:rsidR="00B27531" w:rsidRPr="00B77590">
        <w:t xml:space="preserve">se advierte que los titulares de dichas áreas son los siguientes: </w:t>
      </w:r>
    </w:p>
    <w:p w14:paraId="367817F2" w14:textId="77777777" w:rsidR="00B27531" w:rsidRPr="00B77590" w:rsidRDefault="00B27531" w:rsidP="00F24B1F"/>
    <w:p w14:paraId="383B79CE" w14:textId="28821EF9" w:rsidR="00B27531" w:rsidRPr="00B77590" w:rsidRDefault="00B27531" w:rsidP="00F24B1F">
      <w:r w:rsidRPr="00B77590">
        <w:rPr>
          <w:noProof/>
          <w:lang w:eastAsia="es-MX"/>
        </w:rPr>
        <w:drawing>
          <wp:inline distT="0" distB="0" distL="0" distR="0" wp14:anchorId="22EB1192" wp14:editId="75F97E04">
            <wp:extent cx="5742940" cy="4997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499745"/>
                    </a:xfrm>
                    <a:prstGeom prst="rect">
                      <a:avLst/>
                    </a:prstGeom>
                  </pic:spPr>
                </pic:pic>
              </a:graphicData>
            </a:graphic>
          </wp:inline>
        </w:drawing>
      </w:r>
    </w:p>
    <w:p w14:paraId="7F644CC5" w14:textId="0F0F2A5A" w:rsidR="00B27531" w:rsidRPr="00B77590" w:rsidRDefault="00B27531" w:rsidP="00F24B1F">
      <w:r w:rsidRPr="00B77590">
        <w:rPr>
          <w:noProof/>
          <w:lang w:eastAsia="es-MX"/>
        </w:rPr>
        <w:drawing>
          <wp:inline distT="0" distB="0" distL="0" distR="0" wp14:anchorId="53D87F5C" wp14:editId="249AAF69">
            <wp:extent cx="5732301" cy="332509"/>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1" b="15658"/>
                    <a:stretch/>
                  </pic:blipFill>
                  <pic:spPr bwMode="auto">
                    <a:xfrm>
                      <a:off x="0" y="0"/>
                      <a:ext cx="5742940" cy="333126"/>
                    </a:xfrm>
                    <a:prstGeom prst="rect">
                      <a:avLst/>
                    </a:prstGeom>
                    <a:ln>
                      <a:noFill/>
                    </a:ln>
                    <a:extLst>
                      <a:ext uri="{53640926-AAD7-44D8-BBD7-CCE9431645EC}">
                        <a14:shadowObscured xmlns:a14="http://schemas.microsoft.com/office/drawing/2010/main"/>
                      </a:ext>
                    </a:extLst>
                  </pic:spPr>
                </pic:pic>
              </a:graphicData>
            </a:graphic>
          </wp:inline>
        </w:drawing>
      </w:r>
    </w:p>
    <w:p w14:paraId="5D4820E4" w14:textId="6D2FBDC2" w:rsidR="00B27531" w:rsidRPr="00B77590" w:rsidRDefault="00B27531" w:rsidP="00F24B1F">
      <w:r w:rsidRPr="00B77590">
        <w:rPr>
          <w:noProof/>
          <w:lang w:eastAsia="es-MX"/>
        </w:rPr>
        <w:lastRenderedPageBreak/>
        <w:drawing>
          <wp:inline distT="0" distB="0" distL="0" distR="0" wp14:anchorId="5B8FB7A2" wp14:editId="6F4E6C07">
            <wp:extent cx="5742940" cy="3422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42940" cy="342265"/>
                    </a:xfrm>
                    <a:prstGeom prst="rect">
                      <a:avLst/>
                    </a:prstGeom>
                  </pic:spPr>
                </pic:pic>
              </a:graphicData>
            </a:graphic>
          </wp:inline>
        </w:drawing>
      </w:r>
    </w:p>
    <w:p w14:paraId="2E93430D" w14:textId="77777777" w:rsidR="00B27531" w:rsidRPr="00B77590" w:rsidRDefault="00B27531" w:rsidP="00F24B1F"/>
    <w:p w14:paraId="6655DA0F" w14:textId="77777777" w:rsidR="00D624CE" w:rsidRPr="00B77590" w:rsidRDefault="00D624CE" w:rsidP="00F24B1F">
      <w:pPr>
        <w:autoSpaceDE w:val="0"/>
        <w:autoSpaceDN w:val="0"/>
        <w:adjustRightInd w:val="0"/>
        <w:ind w:right="51"/>
        <w:rPr>
          <w:rFonts w:eastAsia="Palatino Linotype" w:cs="Palatino Linotype"/>
          <w:szCs w:val="24"/>
          <w:lang w:eastAsia="es-MX"/>
        </w:rPr>
      </w:pPr>
      <w:r w:rsidRPr="00B77590">
        <w:rPr>
          <w:rFonts w:cs="Arial"/>
        </w:rPr>
        <w:t xml:space="preserve">Ahora bien, del análisis </w:t>
      </w:r>
      <w:r w:rsidRPr="00B77590">
        <w:rPr>
          <w:rFonts w:eastAsia="Palatino Linotype" w:cs="Palatino Linotype"/>
          <w:szCs w:val="24"/>
          <w:lang w:eastAsia="es-MX"/>
        </w:rPr>
        <w:t xml:space="preserve">realizado a la respuesta se considera necesario precisar que existe pronunciamiento del servidora pública habilitada de la </w:t>
      </w:r>
      <w:r w:rsidRPr="00B77590">
        <w:rPr>
          <w:rFonts w:cs="Tahoma"/>
          <w:bCs/>
          <w:iCs/>
          <w:szCs w:val="22"/>
        </w:rPr>
        <w:t>Directora de Administración</w:t>
      </w:r>
      <w:r w:rsidRPr="00B77590">
        <w:rPr>
          <w:rFonts w:eastAsia="Palatino Linotype" w:cs="Palatino Linotype"/>
          <w:szCs w:val="24"/>
          <w:lang w:eastAsia="es-MX"/>
        </w:rPr>
        <w:t>, área que conforme el artículo 58 del Bando Municipal de Coacalco de Berriozábal 2025, le corresponde ver todas las cuestiones relacionadas con la contratación del personal.</w:t>
      </w:r>
    </w:p>
    <w:p w14:paraId="069B56AE" w14:textId="77777777" w:rsidR="00D624CE" w:rsidRPr="00B77590" w:rsidRDefault="00D624CE" w:rsidP="00F24B1F">
      <w:pPr>
        <w:autoSpaceDE w:val="0"/>
        <w:autoSpaceDN w:val="0"/>
        <w:adjustRightInd w:val="0"/>
        <w:ind w:right="51"/>
        <w:rPr>
          <w:rFonts w:eastAsiaTheme="majorEastAsia"/>
          <w:lang w:val="es-ES"/>
        </w:rPr>
      </w:pPr>
    </w:p>
    <w:p w14:paraId="105913E6" w14:textId="77777777" w:rsidR="00D624CE" w:rsidRPr="00B77590" w:rsidRDefault="00D624CE" w:rsidP="00F24B1F">
      <w:r w:rsidRPr="00B77590">
        <w:t>Derivado de lo anterior, este Órgano Garante advierte que existió el pronunciamiento por parte del servidor público habilitado del área competente</w:t>
      </w:r>
      <w:r w:rsidRPr="00B77590">
        <w:rPr>
          <w:rFonts w:cs="Tahoma"/>
          <w:szCs w:val="22"/>
          <w:lang w:val="es-ES"/>
        </w:rPr>
        <w:t>,</w:t>
      </w:r>
      <w:r w:rsidRPr="00B77590">
        <w:t xml:space="preserve"> agotando así la búsqueda exhaustiva y razonable por parte del </w:t>
      </w:r>
      <w:r w:rsidRPr="00B77590">
        <w:rPr>
          <w:b/>
        </w:rPr>
        <w:t>SUJETO OBLIGADO</w:t>
      </w:r>
      <w:r w:rsidRPr="00B77590">
        <w:t>, que para tal efecto dispone el artículo 162, de la Ley de Transparencia y Acceso a la Información Pública del Estado de México y Municipios, que índica:</w:t>
      </w:r>
    </w:p>
    <w:p w14:paraId="445D2B5B" w14:textId="77777777" w:rsidR="00D624CE" w:rsidRPr="00B77590" w:rsidRDefault="00D624CE" w:rsidP="00F24B1F"/>
    <w:p w14:paraId="455522DE" w14:textId="77777777" w:rsidR="00D624CE" w:rsidRPr="00B77590" w:rsidRDefault="00D624CE" w:rsidP="00F24B1F">
      <w:pPr>
        <w:spacing w:line="240" w:lineRule="auto"/>
        <w:ind w:left="567" w:right="567"/>
        <w:contextualSpacing/>
        <w:rPr>
          <w:i/>
          <w:kern w:val="28"/>
          <w:szCs w:val="56"/>
        </w:rPr>
      </w:pPr>
      <w:r w:rsidRPr="00B77590">
        <w:rPr>
          <w:i/>
          <w:kern w:val="28"/>
          <w:szCs w:val="56"/>
        </w:rPr>
        <w:t>“</w:t>
      </w:r>
      <w:r w:rsidRPr="00B77590">
        <w:rPr>
          <w:b/>
          <w:i/>
          <w:kern w:val="28"/>
          <w:szCs w:val="56"/>
        </w:rPr>
        <w:t xml:space="preserve">Artículo 162. </w:t>
      </w:r>
      <w:r w:rsidRPr="00B77590">
        <w:rPr>
          <w:i/>
          <w:kern w:val="28"/>
          <w:szCs w:val="56"/>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4508313D" w14:textId="77777777" w:rsidR="00D624CE" w:rsidRPr="00B77590" w:rsidRDefault="00D624CE" w:rsidP="00F24B1F">
      <w:pPr>
        <w:rPr>
          <w:rFonts w:cs="Tahoma"/>
          <w:bCs/>
          <w:sz w:val="24"/>
          <w:szCs w:val="24"/>
        </w:rPr>
      </w:pPr>
    </w:p>
    <w:p w14:paraId="68D52529" w14:textId="69051E10" w:rsidR="003920C8" w:rsidRPr="00B77590" w:rsidRDefault="00D624CE" w:rsidP="00F24B1F">
      <w:pPr>
        <w:rPr>
          <w:rFonts w:cs="Arial"/>
        </w:rPr>
      </w:pPr>
      <w:r w:rsidRPr="00B77590">
        <w:rPr>
          <w:rFonts w:cs="Tahoma"/>
          <w:bCs/>
          <w:sz w:val="24"/>
          <w:szCs w:val="24"/>
        </w:rPr>
        <w:t xml:space="preserve">Una vez precisado lo anterior, este Órgano Garante advirtió que de las documentales remitidas </w:t>
      </w:r>
      <w:r w:rsidR="003920C8" w:rsidRPr="00B77590">
        <w:rPr>
          <w:lang w:eastAsia="es-MX"/>
        </w:rPr>
        <w:t>mediante Informe Justificado</w:t>
      </w:r>
      <w:r w:rsidRPr="00B77590">
        <w:rPr>
          <w:lang w:eastAsia="es-MX"/>
        </w:rPr>
        <w:t xml:space="preserve"> por </w:t>
      </w:r>
      <w:r w:rsidR="003920C8" w:rsidRPr="00B77590">
        <w:rPr>
          <w:b/>
          <w:lang w:eastAsia="es-MX"/>
        </w:rPr>
        <w:t xml:space="preserve">EL SUJETO OBLIGADO </w:t>
      </w:r>
      <w:r w:rsidRPr="00B77590">
        <w:rPr>
          <w:lang w:eastAsia="es-MX"/>
        </w:rPr>
        <w:t>se advierte que atendió parcialmente lo solicitado, para mejor entendimiento se inserta la siguiente tabla</w:t>
      </w:r>
      <w:r w:rsidR="003920C8" w:rsidRPr="00B77590">
        <w:rPr>
          <w:rFonts w:cs="Arial"/>
        </w:rPr>
        <w:t xml:space="preserve">: </w:t>
      </w:r>
    </w:p>
    <w:p w14:paraId="53FF8A1B" w14:textId="77777777" w:rsidR="003920C8" w:rsidRPr="00B77590" w:rsidRDefault="003920C8" w:rsidP="00F24B1F">
      <w:pPr>
        <w:ind w:right="49"/>
        <w:contextualSpacing/>
        <w:rPr>
          <w:rFonts w:cs="Arial"/>
        </w:rPr>
      </w:pPr>
    </w:p>
    <w:tbl>
      <w:tblPr>
        <w:tblStyle w:val="Tablaconcuadrcula"/>
        <w:tblW w:w="0" w:type="auto"/>
        <w:tblLook w:val="04A0" w:firstRow="1" w:lastRow="0" w:firstColumn="1" w:lastColumn="0" w:noHBand="0" w:noVBand="1"/>
      </w:tblPr>
      <w:tblGrid>
        <w:gridCol w:w="3009"/>
        <w:gridCol w:w="3014"/>
        <w:gridCol w:w="3011"/>
      </w:tblGrid>
      <w:tr w:rsidR="00F24B1F" w:rsidRPr="00B77590" w14:paraId="0C7B4D12" w14:textId="77777777" w:rsidTr="00D624CE">
        <w:trPr>
          <w:tblHeader/>
        </w:trPr>
        <w:tc>
          <w:tcPr>
            <w:tcW w:w="3009" w:type="dxa"/>
            <w:shd w:val="clear" w:color="auto" w:fill="BFBFBF" w:themeFill="background1" w:themeFillShade="BF"/>
            <w:vAlign w:val="center"/>
          </w:tcPr>
          <w:p w14:paraId="0D622373" w14:textId="54FE9F84" w:rsidR="003920C8" w:rsidRPr="00B77590" w:rsidRDefault="003920C8" w:rsidP="00F24B1F">
            <w:pPr>
              <w:spacing w:line="276" w:lineRule="auto"/>
              <w:ind w:right="49"/>
              <w:contextualSpacing/>
              <w:jc w:val="center"/>
              <w:rPr>
                <w:rFonts w:cs="Arial"/>
                <w:b/>
              </w:rPr>
            </w:pPr>
            <w:r w:rsidRPr="00B77590">
              <w:rPr>
                <w:rFonts w:cs="Arial"/>
                <w:b/>
              </w:rPr>
              <w:t>Nombre del Servidor Público / Cargo</w:t>
            </w:r>
          </w:p>
        </w:tc>
        <w:tc>
          <w:tcPr>
            <w:tcW w:w="3014" w:type="dxa"/>
            <w:shd w:val="clear" w:color="auto" w:fill="BFBFBF" w:themeFill="background1" w:themeFillShade="BF"/>
            <w:vAlign w:val="center"/>
          </w:tcPr>
          <w:p w14:paraId="08F6AD00" w14:textId="0ABCA937" w:rsidR="003920C8" w:rsidRPr="00B77590" w:rsidRDefault="003920C8" w:rsidP="00F24B1F">
            <w:pPr>
              <w:spacing w:line="276" w:lineRule="auto"/>
              <w:ind w:right="49"/>
              <w:contextualSpacing/>
              <w:jc w:val="center"/>
              <w:rPr>
                <w:rFonts w:cs="Arial"/>
                <w:b/>
              </w:rPr>
            </w:pPr>
            <w:r w:rsidRPr="00B77590">
              <w:rPr>
                <w:rFonts w:cs="Arial"/>
                <w:b/>
              </w:rPr>
              <w:t xml:space="preserve">Documento Entregado </w:t>
            </w:r>
          </w:p>
        </w:tc>
        <w:tc>
          <w:tcPr>
            <w:tcW w:w="3011" w:type="dxa"/>
            <w:shd w:val="clear" w:color="auto" w:fill="BFBFBF" w:themeFill="background1" w:themeFillShade="BF"/>
            <w:vAlign w:val="center"/>
          </w:tcPr>
          <w:p w14:paraId="7A5791A4" w14:textId="771E85AE" w:rsidR="003920C8" w:rsidRPr="00B77590" w:rsidRDefault="003920C8" w:rsidP="00F24B1F">
            <w:pPr>
              <w:spacing w:line="276" w:lineRule="auto"/>
              <w:ind w:right="49"/>
              <w:contextualSpacing/>
              <w:jc w:val="center"/>
              <w:rPr>
                <w:rFonts w:cs="Arial"/>
                <w:b/>
              </w:rPr>
            </w:pPr>
            <w:r w:rsidRPr="00B77590">
              <w:rPr>
                <w:rFonts w:cs="Arial"/>
                <w:b/>
              </w:rPr>
              <w:t>Colma Sí / No</w:t>
            </w:r>
          </w:p>
        </w:tc>
      </w:tr>
      <w:tr w:rsidR="00F24B1F" w:rsidRPr="00B77590" w14:paraId="6760B270" w14:textId="77777777" w:rsidTr="003920C8">
        <w:tc>
          <w:tcPr>
            <w:tcW w:w="3009" w:type="dxa"/>
          </w:tcPr>
          <w:p w14:paraId="60FED635" w14:textId="77777777" w:rsidR="003920C8" w:rsidRPr="00B77590" w:rsidRDefault="003920C8" w:rsidP="00F24B1F">
            <w:pPr>
              <w:spacing w:line="276" w:lineRule="auto"/>
              <w:ind w:right="49"/>
              <w:contextualSpacing/>
              <w:rPr>
                <w:rFonts w:cs="Tahoma"/>
                <w:b/>
                <w:bCs/>
                <w:iCs/>
                <w:szCs w:val="24"/>
              </w:rPr>
            </w:pPr>
            <w:r w:rsidRPr="00B77590">
              <w:rPr>
                <w:rFonts w:cs="Tahoma"/>
                <w:b/>
                <w:bCs/>
                <w:iCs/>
                <w:szCs w:val="24"/>
              </w:rPr>
              <w:t>Gregorio Luna Guillen</w:t>
            </w:r>
          </w:p>
          <w:p w14:paraId="71487531" w14:textId="24CB9300" w:rsidR="003920C8" w:rsidRPr="00B77590" w:rsidRDefault="003920C8" w:rsidP="00F24B1F">
            <w:pPr>
              <w:spacing w:line="276" w:lineRule="auto"/>
              <w:ind w:right="49"/>
              <w:contextualSpacing/>
              <w:rPr>
                <w:rFonts w:cs="Arial"/>
              </w:rPr>
            </w:pPr>
            <w:r w:rsidRPr="00B77590">
              <w:rPr>
                <w:rFonts w:cs="Tahoma"/>
                <w:bCs/>
                <w:iCs/>
                <w:szCs w:val="24"/>
              </w:rPr>
              <w:lastRenderedPageBreak/>
              <w:t xml:space="preserve">Director de la Dirección de Desarrollo Urbano y Fomento Económico. </w:t>
            </w:r>
          </w:p>
        </w:tc>
        <w:tc>
          <w:tcPr>
            <w:tcW w:w="3014" w:type="dxa"/>
          </w:tcPr>
          <w:p w14:paraId="03C4C7D9" w14:textId="0D2BC949" w:rsidR="003920C8" w:rsidRPr="00B77590" w:rsidRDefault="003920C8" w:rsidP="00F24B1F">
            <w:pPr>
              <w:spacing w:line="276" w:lineRule="auto"/>
              <w:ind w:right="49"/>
              <w:contextualSpacing/>
              <w:rPr>
                <w:rFonts w:cs="Arial"/>
              </w:rPr>
            </w:pPr>
            <w:r w:rsidRPr="00B77590">
              <w:rPr>
                <w:rFonts w:cs="Tahoma"/>
                <w:bCs/>
                <w:iCs/>
                <w:szCs w:val="24"/>
              </w:rPr>
              <w:lastRenderedPageBreak/>
              <w:t xml:space="preserve">Certificado de Competencia Laboral en el Estándar de Competencia </w:t>
            </w:r>
            <w:r w:rsidRPr="00B77590">
              <w:rPr>
                <w:rFonts w:cs="Tahoma"/>
                <w:bCs/>
                <w:i/>
                <w:iCs/>
                <w:szCs w:val="24"/>
              </w:rPr>
              <w:t xml:space="preserve">Gestión para el </w:t>
            </w:r>
            <w:r w:rsidRPr="00B77590">
              <w:rPr>
                <w:rFonts w:cs="Tahoma"/>
                <w:bCs/>
                <w:i/>
                <w:iCs/>
                <w:szCs w:val="24"/>
              </w:rPr>
              <w:lastRenderedPageBreak/>
              <w:t>otorgamiento de licencias de funcionamiento de establecimientos comerciales.</w:t>
            </w:r>
          </w:p>
        </w:tc>
        <w:tc>
          <w:tcPr>
            <w:tcW w:w="3011" w:type="dxa"/>
          </w:tcPr>
          <w:p w14:paraId="0032733C" w14:textId="77777777" w:rsidR="003920C8" w:rsidRPr="00B77590" w:rsidRDefault="003920C8" w:rsidP="00F24B1F">
            <w:pPr>
              <w:spacing w:line="276" w:lineRule="auto"/>
              <w:ind w:right="49"/>
              <w:contextualSpacing/>
              <w:jc w:val="center"/>
              <w:rPr>
                <w:rFonts w:cs="Arial"/>
                <w:b/>
              </w:rPr>
            </w:pPr>
            <w:r w:rsidRPr="00B77590">
              <w:rPr>
                <w:rFonts w:cs="Arial"/>
                <w:b/>
              </w:rPr>
              <w:lastRenderedPageBreak/>
              <w:t>No</w:t>
            </w:r>
          </w:p>
          <w:p w14:paraId="2F338ACD" w14:textId="3B6C153B" w:rsidR="003920C8" w:rsidRPr="00B77590" w:rsidRDefault="003920C8" w:rsidP="00F24B1F">
            <w:pPr>
              <w:spacing w:line="276" w:lineRule="auto"/>
              <w:ind w:right="49"/>
              <w:contextualSpacing/>
              <w:jc w:val="center"/>
              <w:rPr>
                <w:rFonts w:cs="Arial"/>
              </w:rPr>
            </w:pPr>
            <w:r w:rsidRPr="00B77590">
              <w:rPr>
                <w:rFonts w:cs="Arial"/>
              </w:rPr>
              <w:t xml:space="preserve">El Sujeto Obligado omitió adjuntar Acuerdo por </w:t>
            </w:r>
            <w:r w:rsidRPr="00B77590">
              <w:rPr>
                <w:rFonts w:cs="Arial"/>
              </w:rPr>
              <w:lastRenderedPageBreak/>
              <w:t xml:space="preserve">medio del cual el Comité de Transparencia aprobó la versión pública. </w:t>
            </w:r>
          </w:p>
        </w:tc>
      </w:tr>
      <w:tr w:rsidR="00F24B1F" w:rsidRPr="00B77590" w14:paraId="7B1EABC8" w14:textId="77777777" w:rsidTr="003920C8">
        <w:tc>
          <w:tcPr>
            <w:tcW w:w="3009" w:type="dxa"/>
          </w:tcPr>
          <w:p w14:paraId="1BB061AD" w14:textId="77777777" w:rsidR="003920C8" w:rsidRPr="00B77590" w:rsidRDefault="003920C8" w:rsidP="00F24B1F">
            <w:pPr>
              <w:spacing w:line="276" w:lineRule="auto"/>
              <w:rPr>
                <w:rFonts w:cs="Arial"/>
              </w:rPr>
            </w:pPr>
            <w:r w:rsidRPr="00B77590">
              <w:rPr>
                <w:rFonts w:cs="Arial"/>
              </w:rPr>
              <w:lastRenderedPageBreak/>
              <w:t xml:space="preserve">Sergio Iván García Madrid </w:t>
            </w:r>
          </w:p>
          <w:p w14:paraId="03AA55F9" w14:textId="20C363E5" w:rsidR="003920C8" w:rsidRPr="00B77590" w:rsidRDefault="003920C8" w:rsidP="00F24B1F">
            <w:pPr>
              <w:spacing w:line="276" w:lineRule="auto"/>
              <w:rPr>
                <w:rFonts w:cs="Arial"/>
              </w:rPr>
            </w:pPr>
            <w:r w:rsidRPr="00B77590">
              <w:rPr>
                <w:rFonts w:cs="Arial"/>
              </w:rPr>
              <w:t xml:space="preserve">Director de Dirección </w:t>
            </w:r>
            <w:r w:rsidR="00593838" w:rsidRPr="00B77590">
              <w:rPr>
                <w:rFonts w:cs="Arial"/>
              </w:rPr>
              <w:t>d</w:t>
            </w:r>
            <w:r w:rsidRPr="00B77590">
              <w:rPr>
                <w:rFonts w:cs="Arial"/>
              </w:rPr>
              <w:t xml:space="preserve">e Desarrollo Urbano. </w:t>
            </w:r>
          </w:p>
        </w:tc>
        <w:tc>
          <w:tcPr>
            <w:tcW w:w="3014" w:type="dxa"/>
          </w:tcPr>
          <w:p w14:paraId="38B0D86C" w14:textId="4AB1A269" w:rsidR="003920C8" w:rsidRPr="00B77590" w:rsidRDefault="003920C8" w:rsidP="00F24B1F">
            <w:pPr>
              <w:spacing w:line="276" w:lineRule="auto"/>
              <w:ind w:right="49"/>
              <w:contextualSpacing/>
              <w:rPr>
                <w:rFonts w:cs="Arial"/>
              </w:rPr>
            </w:pPr>
            <w:r w:rsidRPr="00B77590">
              <w:rPr>
                <w:rFonts w:cs="Tahoma"/>
                <w:bCs/>
                <w:iCs/>
                <w:szCs w:val="24"/>
              </w:rPr>
              <w:t>Certificado de Competencia Laboral en la Norma Institucional “</w:t>
            </w:r>
            <w:proofErr w:type="spellStart"/>
            <w:r w:rsidRPr="00B77590">
              <w:rPr>
                <w:rFonts w:cs="Tahoma"/>
                <w:bCs/>
                <w:i/>
                <w:iCs/>
                <w:szCs w:val="24"/>
              </w:rPr>
              <w:t>Gerenciar</w:t>
            </w:r>
            <w:proofErr w:type="spellEnd"/>
            <w:r w:rsidRPr="00B77590">
              <w:rPr>
                <w:rFonts w:cs="Tahoma"/>
                <w:bCs/>
                <w:i/>
                <w:iCs/>
                <w:szCs w:val="24"/>
              </w:rPr>
              <w:t xml:space="preserve"> el Desarrollo Urbano y Ordenamiento Territorial en el Ámbito de la Administración Pública Municipal”</w:t>
            </w:r>
          </w:p>
        </w:tc>
        <w:tc>
          <w:tcPr>
            <w:tcW w:w="3011" w:type="dxa"/>
          </w:tcPr>
          <w:p w14:paraId="736B6C17" w14:textId="7566791E" w:rsidR="003920C8" w:rsidRPr="00B77590" w:rsidRDefault="003920C8" w:rsidP="00F24B1F">
            <w:pPr>
              <w:tabs>
                <w:tab w:val="left" w:pos="1833"/>
              </w:tabs>
              <w:spacing w:line="276" w:lineRule="auto"/>
              <w:ind w:right="49"/>
              <w:contextualSpacing/>
              <w:jc w:val="center"/>
              <w:rPr>
                <w:rFonts w:cs="Arial"/>
                <w:b/>
              </w:rPr>
            </w:pPr>
            <w:r w:rsidRPr="00B77590">
              <w:rPr>
                <w:rFonts w:cs="Arial"/>
                <w:b/>
              </w:rPr>
              <w:t>Sí</w:t>
            </w:r>
          </w:p>
        </w:tc>
      </w:tr>
      <w:tr w:rsidR="003920C8" w:rsidRPr="00B77590" w14:paraId="7D9C4415" w14:textId="77777777" w:rsidTr="003920C8">
        <w:tc>
          <w:tcPr>
            <w:tcW w:w="3009" w:type="dxa"/>
          </w:tcPr>
          <w:p w14:paraId="1E7EDEA0" w14:textId="77777777" w:rsidR="003920C8" w:rsidRPr="00B77590" w:rsidRDefault="003920C8" w:rsidP="00F24B1F">
            <w:pPr>
              <w:spacing w:line="276" w:lineRule="auto"/>
              <w:ind w:right="49"/>
              <w:contextualSpacing/>
              <w:rPr>
                <w:rFonts w:cs="Arial"/>
                <w:b/>
              </w:rPr>
            </w:pPr>
            <w:r w:rsidRPr="00B77590">
              <w:rPr>
                <w:rFonts w:cs="Arial"/>
                <w:b/>
              </w:rPr>
              <w:t xml:space="preserve">Alan Miguen Escalante Barrón </w:t>
            </w:r>
          </w:p>
          <w:p w14:paraId="62B11A8E" w14:textId="1B31E42C" w:rsidR="003920C8" w:rsidRPr="00B77590" w:rsidRDefault="003920C8" w:rsidP="00F24B1F">
            <w:pPr>
              <w:spacing w:line="276" w:lineRule="auto"/>
              <w:ind w:right="49"/>
              <w:contextualSpacing/>
              <w:rPr>
                <w:rFonts w:cs="Arial"/>
              </w:rPr>
            </w:pPr>
            <w:r w:rsidRPr="00B77590">
              <w:rPr>
                <w:rFonts w:cs="Arial"/>
              </w:rPr>
              <w:t>Director de Dirección de Medio Ambiente.</w:t>
            </w:r>
          </w:p>
        </w:tc>
        <w:tc>
          <w:tcPr>
            <w:tcW w:w="3014" w:type="dxa"/>
          </w:tcPr>
          <w:p w14:paraId="3F54A003" w14:textId="79CBB210" w:rsidR="003920C8" w:rsidRPr="00B77590" w:rsidRDefault="003920C8" w:rsidP="00F24B1F">
            <w:pPr>
              <w:spacing w:line="276" w:lineRule="auto"/>
              <w:ind w:right="49"/>
              <w:contextualSpacing/>
              <w:rPr>
                <w:rFonts w:cs="Arial"/>
              </w:rPr>
            </w:pPr>
            <w:r w:rsidRPr="00B77590">
              <w:rPr>
                <w:rFonts w:cs="Tahoma"/>
                <w:bCs/>
                <w:iCs/>
                <w:szCs w:val="24"/>
              </w:rPr>
              <w:t>Certificado de Competencia Laboral en la Norma Institucional “</w:t>
            </w:r>
            <w:r w:rsidRPr="00B77590">
              <w:rPr>
                <w:rFonts w:cs="Tahoma"/>
                <w:bCs/>
                <w:i/>
                <w:iCs/>
                <w:szCs w:val="24"/>
              </w:rPr>
              <w:t>Administrar las políticas públicas municipales para la protección y preservación del medio ambiente y el desarrollo sostenible</w:t>
            </w:r>
            <w:r w:rsidRPr="00B77590">
              <w:rPr>
                <w:rFonts w:cs="Tahoma"/>
                <w:bCs/>
                <w:iCs/>
                <w:szCs w:val="24"/>
              </w:rPr>
              <w:t xml:space="preserve">"; así como, el  Certificado de Competencia Laboral en el Estándar de Competencia </w:t>
            </w:r>
            <w:r w:rsidRPr="00B77590">
              <w:rPr>
                <w:rFonts w:cs="Tahoma"/>
                <w:bCs/>
                <w:i/>
                <w:iCs/>
                <w:szCs w:val="24"/>
              </w:rPr>
              <w:t>Ejecución de las atribuciones de Ecología y Medio Ambiente Municipal</w:t>
            </w:r>
            <w:r w:rsidRPr="00B77590">
              <w:rPr>
                <w:rFonts w:cs="Tahoma"/>
                <w:bCs/>
                <w:iCs/>
                <w:szCs w:val="24"/>
              </w:rPr>
              <w:t xml:space="preserve"> a favor de Alan Miguel Escalante Barrón</w:t>
            </w:r>
          </w:p>
        </w:tc>
        <w:tc>
          <w:tcPr>
            <w:tcW w:w="3011" w:type="dxa"/>
          </w:tcPr>
          <w:p w14:paraId="27E6A287" w14:textId="77777777" w:rsidR="003920C8" w:rsidRPr="00B77590" w:rsidRDefault="003920C8" w:rsidP="00F24B1F">
            <w:pPr>
              <w:spacing w:line="276" w:lineRule="auto"/>
              <w:ind w:right="49"/>
              <w:contextualSpacing/>
              <w:jc w:val="center"/>
              <w:rPr>
                <w:rFonts w:cs="Arial"/>
                <w:b/>
              </w:rPr>
            </w:pPr>
            <w:r w:rsidRPr="00B77590">
              <w:rPr>
                <w:rFonts w:cs="Arial"/>
                <w:b/>
              </w:rPr>
              <w:t>No</w:t>
            </w:r>
          </w:p>
          <w:p w14:paraId="2C8B788B" w14:textId="55F5DA6D" w:rsidR="003920C8" w:rsidRPr="00B77590" w:rsidRDefault="003920C8" w:rsidP="00F24B1F">
            <w:pPr>
              <w:spacing w:line="276" w:lineRule="auto"/>
              <w:ind w:right="49"/>
              <w:contextualSpacing/>
              <w:rPr>
                <w:rFonts w:cs="Arial"/>
              </w:rPr>
            </w:pPr>
            <w:r w:rsidRPr="00B77590">
              <w:rPr>
                <w:rFonts w:cs="Arial"/>
              </w:rPr>
              <w:t xml:space="preserve">El Sujeto Obligado omitió adjuntar Acuerdo por medio del cual el Comité de Transparencia aprobó la versión pública.  </w:t>
            </w:r>
          </w:p>
        </w:tc>
      </w:tr>
    </w:tbl>
    <w:p w14:paraId="754EBDD2" w14:textId="77777777" w:rsidR="003920C8" w:rsidRPr="00B77590" w:rsidRDefault="003920C8" w:rsidP="00F24B1F">
      <w:pPr>
        <w:rPr>
          <w:rFonts w:cs="Tahoma"/>
          <w:bCs/>
          <w:sz w:val="24"/>
          <w:szCs w:val="24"/>
        </w:rPr>
      </w:pPr>
    </w:p>
    <w:p w14:paraId="527489E2" w14:textId="784CFAD5" w:rsidR="00AB6109" w:rsidRPr="00B77590" w:rsidRDefault="00D624CE" w:rsidP="00F24B1F">
      <w:r w:rsidRPr="00B77590">
        <w:t xml:space="preserve">De lo anterior, podemos advertir que únicamente se tiene por atendido </w:t>
      </w:r>
      <w:r w:rsidR="00593838" w:rsidRPr="00B77590">
        <w:t xml:space="preserve">el requerimiento relacionado con el certificado de competencia laboral del Director de Desarrollo Urbano, ello en razón de que dicho certificado al no contenderé datos personales fue entregado de manera íntegra. </w:t>
      </w:r>
    </w:p>
    <w:p w14:paraId="3C3FA35B" w14:textId="77777777" w:rsidR="00593838" w:rsidRPr="00B77590" w:rsidRDefault="00593838" w:rsidP="00F24B1F"/>
    <w:p w14:paraId="20949A03" w14:textId="42CBFAF2" w:rsidR="0072281B" w:rsidRPr="00B77590" w:rsidRDefault="00593838" w:rsidP="00F24B1F">
      <w:pPr>
        <w:rPr>
          <w:rFonts w:cs="Arial"/>
          <w:lang w:val="es-ES_tradnl" w:eastAsia="es-MX"/>
        </w:rPr>
      </w:pPr>
      <w:r w:rsidRPr="00B77590">
        <w:t xml:space="preserve">Sin embargo, por cuanto hace a los certificados del </w:t>
      </w:r>
      <w:r w:rsidRPr="00B77590">
        <w:rPr>
          <w:rFonts w:cs="Tahoma"/>
          <w:bCs/>
          <w:iCs/>
          <w:szCs w:val="24"/>
        </w:rPr>
        <w:t xml:space="preserve">Director de la Dirección de Desarrollo Urbano y Fomento Económico y </w:t>
      </w:r>
      <w:r w:rsidRPr="00B77590">
        <w:rPr>
          <w:rFonts w:cs="Arial"/>
        </w:rPr>
        <w:t>Director de Dirección de Medio Ambiente, se advierte que</w:t>
      </w:r>
      <w:r w:rsidR="0072281B" w:rsidRPr="00B77590">
        <w:rPr>
          <w:rFonts w:cs="Arial"/>
        </w:rPr>
        <w:t xml:space="preserve"> </w:t>
      </w:r>
      <w:r w:rsidR="0072281B" w:rsidRPr="00B77590">
        <w:rPr>
          <w:rFonts w:cs="Arial"/>
          <w:b/>
        </w:rPr>
        <w:t xml:space="preserve">EL SUJETO OBLIGADO </w:t>
      </w:r>
      <w:r w:rsidR="0072281B" w:rsidRPr="00B77590">
        <w:rPr>
          <w:rFonts w:cs="Arial"/>
        </w:rPr>
        <w:t xml:space="preserve">testó la Clave Única del Registro de Población, la cual corresponde a </w:t>
      </w:r>
      <w:r w:rsidR="0072281B" w:rsidRPr="00B77590">
        <w:rPr>
          <w:rFonts w:cs="Arial"/>
          <w:lang w:val="es-ES_tradnl" w:eastAsia="es-MX"/>
        </w:rPr>
        <w:t xml:space="preserve">un dato personal ya que </w:t>
      </w:r>
      <w:r w:rsidR="0072281B" w:rsidRPr="00B77590">
        <w:rPr>
          <w:lang w:val="es-ES_tradnl" w:eastAsia="es-MX"/>
        </w:rPr>
        <w:t>tiene</w:t>
      </w:r>
      <w:r w:rsidR="0072281B" w:rsidRPr="00B77590">
        <w:rPr>
          <w:rFonts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14:paraId="7FE5364F" w14:textId="77777777" w:rsidR="0072281B" w:rsidRPr="00B77590" w:rsidRDefault="0072281B" w:rsidP="00F24B1F">
      <w:pPr>
        <w:rPr>
          <w:rFonts w:cs="Arial"/>
          <w:lang w:val="es-ES_tradnl" w:eastAsia="es-MX"/>
        </w:rPr>
      </w:pPr>
    </w:p>
    <w:p w14:paraId="17617102" w14:textId="77777777" w:rsidR="0072281B" w:rsidRPr="00B77590" w:rsidRDefault="0072281B" w:rsidP="00F24B1F">
      <w:pPr>
        <w:rPr>
          <w:rFonts w:cs="Arial"/>
          <w:lang w:val="es-ES_tradnl" w:eastAsia="es-MX"/>
        </w:rPr>
      </w:pPr>
      <w:r w:rsidRPr="00B77590">
        <w:rPr>
          <w:rFonts w:cs="Arial"/>
          <w:lang w:val="es-ES_tradnl" w:eastAsia="es-MX"/>
        </w:rPr>
        <w:t xml:space="preserve">Lo </w:t>
      </w:r>
      <w:r w:rsidRPr="00B77590">
        <w:rPr>
          <w:lang w:val="es-ES_tradnl" w:eastAsia="es-MX"/>
        </w:rPr>
        <w:t>anterior</w:t>
      </w:r>
      <w:r w:rsidRPr="00B77590">
        <w:rPr>
          <w:rFonts w:cs="Arial"/>
          <w:lang w:val="es-ES_tradnl" w:eastAsia="es-MX"/>
        </w:rPr>
        <w:t xml:space="preserve">, </w:t>
      </w:r>
      <w:r w:rsidRPr="00B77590">
        <w:rPr>
          <w:rFonts w:cs="Arial"/>
          <w:lang w:val="es-ES_tradnl"/>
        </w:rPr>
        <w:t>tiene</w:t>
      </w:r>
      <w:r w:rsidRPr="00B77590">
        <w:rPr>
          <w:rFonts w:cs="Arial"/>
          <w:lang w:val="es-ES_tradnl" w:eastAsia="es-MX"/>
        </w:rPr>
        <w:t xml:space="preserve"> sustento en los artículos 86 y 91 de la Ley General de Población, la cual señala lo siguiente:</w:t>
      </w:r>
    </w:p>
    <w:p w14:paraId="10391A65" w14:textId="77777777" w:rsidR="0072281B" w:rsidRPr="00B77590" w:rsidRDefault="0072281B" w:rsidP="00F24B1F">
      <w:pPr>
        <w:rPr>
          <w:rFonts w:cs="Arial"/>
          <w:lang w:val="es-ES_tradnl" w:eastAsia="es-MX"/>
        </w:rPr>
      </w:pPr>
    </w:p>
    <w:p w14:paraId="79B63ECC" w14:textId="77777777" w:rsidR="0072281B" w:rsidRPr="00B77590" w:rsidRDefault="0072281B" w:rsidP="00F24B1F">
      <w:pPr>
        <w:spacing w:line="240" w:lineRule="auto"/>
        <w:ind w:left="567" w:right="567"/>
        <w:contextualSpacing/>
        <w:rPr>
          <w:i/>
          <w:kern w:val="28"/>
          <w:szCs w:val="56"/>
          <w:lang w:val="es-ES_tradnl" w:eastAsia="es-MX"/>
        </w:rPr>
      </w:pPr>
      <w:r w:rsidRPr="00B77590">
        <w:rPr>
          <w:rFonts w:cs="Arial,Bold"/>
          <w:bCs/>
          <w:i/>
          <w:kern w:val="28"/>
          <w:szCs w:val="56"/>
          <w:lang w:val="es-ES_tradnl" w:eastAsia="es-MX"/>
        </w:rPr>
        <w:t>“</w:t>
      </w:r>
      <w:r w:rsidRPr="00B77590">
        <w:rPr>
          <w:rFonts w:cs="Arial,Bold"/>
          <w:b/>
          <w:bCs/>
          <w:i/>
          <w:kern w:val="28"/>
          <w:szCs w:val="56"/>
          <w:lang w:val="es-ES_tradnl" w:eastAsia="es-MX"/>
        </w:rPr>
        <w:t xml:space="preserve">Artículo 86. </w:t>
      </w:r>
      <w:r w:rsidRPr="00B77590">
        <w:rPr>
          <w:i/>
          <w:kern w:val="28"/>
          <w:szCs w:val="56"/>
          <w:lang w:val="es-ES_tradnl" w:eastAsia="es-MX"/>
        </w:rPr>
        <w:t>El Registro Nacional de Población tiene como finalidad registrar a cada una de las personas que integran la población del país, con los datos que permitan certificar y acreditar fehacientemente su identidad.</w:t>
      </w:r>
    </w:p>
    <w:p w14:paraId="5F941B75" w14:textId="77777777" w:rsidR="0072281B" w:rsidRPr="00B77590" w:rsidRDefault="0072281B" w:rsidP="00F24B1F">
      <w:pPr>
        <w:spacing w:line="240" w:lineRule="auto"/>
        <w:ind w:left="567" w:right="567"/>
        <w:contextualSpacing/>
        <w:rPr>
          <w:i/>
          <w:kern w:val="28"/>
          <w:szCs w:val="56"/>
          <w:lang w:val="es-ES_tradnl" w:eastAsia="es-MX"/>
        </w:rPr>
      </w:pPr>
      <w:r w:rsidRPr="00B77590">
        <w:rPr>
          <w:rFonts w:cs="Arial,Bold"/>
          <w:b/>
          <w:bCs/>
          <w:i/>
          <w:kern w:val="28"/>
          <w:szCs w:val="56"/>
          <w:lang w:val="es-ES_tradnl" w:eastAsia="es-MX"/>
        </w:rPr>
        <w:t xml:space="preserve">Artículo 91. </w:t>
      </w:r>
      <w:r w:rsidRPr="00B77590">
        <w:rPr>
          <w:b/>
          <w:i/>
          <w:kern w:val="28"/>
          <w:szCs w:val="56"/>
          <w:u w:val="single"/>
          <w:lang w:val="es-ES_tradnl" w:eastAsia="es-MX"/>
        </w:rPr>
        <w:t>Al incorporar a una persona en el Registro Nacional de Población</w:t>
      </w:r>
      <w:r w:rsidRPr="00B77590">
        <w:rPr>
          <w:i/>
          <w:kern w:val="28"/>
          <w:szCs w:val="56"/>
          <w:lang w:val="es-ES_tradnl" w:eastAsia="es-MX"/>
        </w:rPr>
        <w:t xml:space="preserve">, se le asignará una clave </w:t>
      </w:r>
      <w:r w:rsidRPr="00B77590">
        <w:rPr>
          <w:b/>
          <w:i/>
          <w:kern w:val="28"/>
          <w:szCs w:val="56"/>
          <w:u w:val="single"/>
          <w:lang w:val="es-ES_tradnl" w:eastAsia="es-MX"/>
        </w:rPr>
        <w:t>que se denominará Clave Única de Registro de Población</w:t>
      </w:r>
      <w:r w:rsidRPr="00B77590">
        <w:rPr>
          <w:i/>
          <w:kern w:val="28"/>
          <w:szCs w:val="56"/>
          <w:lang w:val="es-ES_tradnl" w:eastAsia="es-MX"/>
        </w:rPr>
        <w:t xml:space="preserve">. </w:t>
      </w:r>
      <w:r w:rsidRPr="00B77590">
        <w:rPr>
          <w:b/>
          <w:i/>
          <w:kern w:val="28"/>
          <w:szCs w:val="56"/>
          <w:u w:val="single"/>
          <w:lang w:val="es-ES_tradnl" w:eastAsia="es-MX"/>
        </w:rPr>
        <w:t>Esta servirá para</w:t>
      </w:r>
      <w:r w:rsidRPr="00B77590">
        <w:rPr>
          <w:i/>
          <w:kern w:val="28"/>
          <w:szCs w:val="56"/>
          <w:lang w:val="es-ES_tradnl" w:eastAsia="es-MX"/>
        </w:rPr>
        <w:t xml:space="preserve"> registrarla e </w:t>
      </w:r>
      <w:r w:rsidRPr="00B77590">
        <w:rPr>
          <w:b/>
          <w:i/>
          <w:kern w:val="28"/>
          <w:szCs w:val="56"/>
          <w:u w:val="single"/>
          <w:lang w:val="es-ES_tradnl" w:eastAsia="es-MX"/>
        </w:rPr>
        <w:t>identificarla en forma individual</w:t>
      </w:r>
      <w:r w:rsidRPr="00B77590">
        <w:rPr>
          <w:i/>
          <w:kern w:val="28"/>
          <w:szCs w:val="56"/>
          <w:lang w:val="es-ES_tradnl" w:eastAsia="es-MX"/>
        </w:rPr>
        <w:t xml:space="preserve">.” </w:t>
      </w:r>
    </w:p>
    <w:p w14:paraId="4FEE4160" w14:textId="77777777" w:rsidR="0072281B" w:rsidRPr="00B77590" w:rsidRDefault="0072281B" w:rsidP="00F24B1F">
      <w:pPr>
        <w:spacing w:line="240" w:lineRule="auto"/>
        <w:ind w:left="567" w:right="567"/>
        <w:contextualSpacing/>
        <w:rPr>
          <w:i/>
          <w:kern w:val="28"/>
          <w:szCs w:val="56"/>
          <w:lang w:val="es-ES_tradnl" w:eastAsia="es-MX"/>
        </w:rPr>
      </w:pPr>
      <w:r w:rsidRPr="00B77590">
        <w:rPr>
          <w:i/>
          <w:kern w:val="28"/>
          <w:szCs w:val="56"/>
          <w:lang w:val="es-ES_tradnl" w:eastAsia="es-MX"/>
        </w:rPr>
        <w:t>(Énfasis añadido)</w:t>
      </w:r>
    </w:p>
    <w:p w14:paraId="024EF2F8" w14:textId="77777777" w:rsidR="0072281B" w:rsidRPr="00B77590" w:rsidRDefault="0072281B" w:rsidP="00F24B1F">
      <w:pPr>
        <w:rPr>
          <w:lang w:val="es-ES_tradnl" w:eastAsia="es-MX"/>
        </w:rPr>
      </w:pPr>
    </w:p>
    <w:p w14:paraId="29CBC792" w14:textId="77777777" w:rsidR="0072281B" w:rsidRPr="00B77590" w:rsidRDefault="0072281B" w:rsidP="00F24B1F">
      <w:pPr>
        <w:rPr>
          <w:lang w:val="es-ES_tradnl" w:eastAsia="es-MX"/>
        </w:rPr>
      </w:pPr>
      <w:r w:rsidRPr="00B77590">
        <w:rPr>
          <w:lang w:val="es-ES_tradnl" w:eastAsia="es-MX"/>
        </w:rPr>
        <w:t xml:space="preserve">Ahora bien, la Clave Única de Registro de Población, está integrada de 18 elementos representados por letras y números, que se generan a partir de los datos contenidos en un documento probatorio de </w:t>
      </w:r>
      <w:r w:rsidRPr="00B77590">
        <w:rPr>
          <w:bCs/>
          <w:lang w:val="es-ES_tradnl"/>
        </w:rPr>
        <w:t>identidad</w:t>
      </w:r>
      <w:r w:rsidRPr="00B77590">
        <w:rPr>
          <w:lang w:val="es-ES_tradnl" w:eastAsia="es-MX"/>
        </w:rPr>
        <w:t xml:space="preserve"> (acta de nacimiento, carta de naturalización o documento migratorio), la </w:t>
      </w:r>
      <w:r w:rsidRPr="00B77590">
        <w:rPr>
          <w:rFonts w:cs="Arial"/>
          <w:lang w:val="es-ES_tradnl"/>
        </w:rPr>
        <w:t>cual</w:t>
      </w:r>
      <w:r w:rsidRPr="00B77590">
        <w:rPr>
          <w:lang w:val="es-ES_tradnl" w:eastAsia="es-MX"/>
        </w:rPr>
        <w:t xml:space="preserve"> se integra de</w:t>
      </w:r>
      <w:r w:rsidRPr="00B77590">
        <w:rPr>
          <w:rFonts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B77590">
        <w:rPr>
          <w:lang w:val="es-ES_tradnl" w:eastAsia="es-MX"/>
        </w:rPr>
        <w:t xml:space="preserve">; sexo; Entidad Federativa de nacimiento; consonantes internas del nombre y apellidos; un diferenciador de homonimia y siglo; y un digito verificador, que garantizan la correcta integración. </w:t>
      </w:r>
    </w:p>
    <w:p w14:paraId="09B3FDB8" w14:textId="77777777" w:rsidR="0072281B" w:rsidRPr="00B77590" w:rsidRDefault="0072281B" w:rsidP="00F24B1F">
      <w:pPr>
        <w:rPr>
          <w:lang w:val="es-ES_tradnl" w:eastAsia="es-MX"/>
        </w:rPr>
      </w:pPr>
    </w:p>
    <w:p w14:paraId="59191F82" w14:textId="77777777" w:rsidR="0072281B" w:rsidRPr="00B77590" w:rsidRDefault="0072281B" w:rsidP="00F24B1F">
      <w:pPr>
        <w:rPr>
          <w:rFonts w:cs="Arial"/>
          <w:lang w:val="es-ES_tradnl" w:eastAsia="es-MX"/>
        </w:rPr>
      </w:pPr>
      <w:r w:rsidRPr="00B77590">
        <w:rPr>
          <w:rFonts w:cs="Arial"/>
          <w:lang w:val="es-ES_tradnl" w:eastAsia="es-MX"/>
        </w:rPr>
        <w:lastRenderedPageBreak/>
        <w:t xml:space="preserve">Al respecto, el </w:t>
      </w:r>
      <w:r w:rsidRPr="00B77590">
        <w:rPr>
          <w:rFonts w:eastAsia="Arial Unicode MS" w:cs="Arial"/>
          <w:lang w:val="es-ES_tradnl"/>
        </w:rPr>
        <w:t>Instituto Nacional de Transparencia, Acceso a la Información y Protección de Datos Personales (INAI),</w:t>
      </w:r>
      <w:r w:rsidRPr="00B77590">
        <w:rPr>
          <w:rFonts w:cs="Arial"/>
          <w:lang w:val="es-ES_tradnl" w:eastAsia="es-MX"/>
        </w:rPr>
        <w:t xml:space="preserve"> a través del Criterio 18/17 de la Segunda Época, señala literalmente lo siguiente:</w:t>
      </w:r>
    </w:p>
    <w:p w14:paraId="33DAA9C0" w14:textId="77777777" w:rsidR="0072281B" w:rsidRPr="00B77590" w:rsidRDefault="0072281B" w:rsidP="00F24B1F">
      <w:pPr>
        <w:rPr>
          <w:rFonts w:cs="Arial"/>
          <w:lang w:val="es-ES_tradnl" w:eastAsia="es-MX"/>
        </w:rPr>
      </w:pPr>
    </w:p>
    <w:p w14:paraId="66AEF753" w14:textId="77777777" w:rsidR="0072281B" w:rsidRPr="00B77590" w:rsidRDefault="0072281B" w:rsidP="00F24B1F">
      <w:pPr>
        <w:spacing w:line="240" w:lineRule="auto"/>
        <w:ind w:left="567" w:right="567"/>
        <w:contextualSpacing/>
        <w:rPr>
          <w:i/>
          <w:kern w:val="28"/>
          <w:szCs w:val="56"/>
          <w:lang w:val="es-ES_tradnl" w:eastAsia="es-MX"/>
        </w:rPr>
      </w:pPr>
      <w:r w:rsidRPr="00B77590">
        <w:rPr>
          <w:i/>
          <w:kern w:val="28"/>
          <w:szCs w:val="56"/>
          <w:lang w:val="es-ES_tradnl" w:eastAsia="es-MX"/>
        </w:rPr>
        <w:t>“</w:t>
      </w:r>
      <w:r w:rsidRPr="00B77590">
        <w:rPr>
          <w:b/>
          <w:i/>
          <w:kern w:val="28"/>
          <w:szCs w:val="56"/>
          <w:lang w:val="es-ES_tradnl" w:eastAsia="es-MX"/>
        </w:rPr>
        <w:t>Clave Única de Registro de Población (CURP). La Clave Única de Registro de Población</w:t>
      </w:r>
      <w:r w:rsidRPr="00B77590">
        <w:rPr>
          <w:i/>
          <w:kern w:val="28"/>
          <w:szCs w:val="56"/>
          <w:lang w:val="es-ES_tradnl" w:eastAsia="es-MX"/>
        </w:rPr>
        <w:t xml:space="preserve">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1531D6B" w14:textId="77777777" w:rsidR="0072281B" w:rsidRPr="00B77590" w:rsidRDefault="0072281B" w:rsidP="00F24B1F">
      <w:pPr>
        <w:spacing w:line="240" w:lineRule="auto"/>
        <w:ind w:left="567" w:right="567"/>
        <w:contextualSpacing/>
        <w:rPr>
          <w:i/>
          <w:kern w:val="28"/>
          <w:szCs w:val="56"/>
          <w:lang w:val="es-ES_tradnl" w:eastAsia="es-MX"/>
        </w:rPr>
      </w:pPr>
      <w:r w:rsidRPr="00B77590">
        <w:rPr>
          <w:i/>
          <w:kern w:val="28"/>
          <w:szCs w:val="56"/>
          <w:lang w:val="es-ES_tradnl" w:eastAsia="es-MX"/>
        </w:rPr>
        <w:t xml:space="preserve"> (Énfasis añadido)</w:t>
      </w:r>
    </w:p>
    <w:p w14:paraId="4C9C6BC9" w14:textId="77777777" w:rsidR="0072281B" w:rsidRPr="00B77590" w:rsidRDefault="0072281B" w:rsidP="00F24B1F">
      <w:pPr>
        <w:autoSpaceDE w:val="0"/>
        <w:autoSpaceDN w:val="0"/>
        <w:adjustRightInd w:val="0"/>
        <w:ind w:left="851" w:right="902"/>
        <w:rPr>
          <w:rFonts w:cs="Arial"/>
          <w:lang w:val="es-ES_tradnl"/>
        </w:rPr>
      </w:pPr>
    </w:p>
    <w:p w14:paraId="3521506F" w14:textId="47D96394" w:rsidR="00FE1865" w:rsidRPr="00B77590" w:rsidRDefault="0072281B" w:rsidP="00F24B1F">
      <w:pPr>
        <w:rPr>
          <w:rFonts w:cs="Arial"/>
          <w:lang w:val="es-ES_tradnl" w:eastAsia="es-MX"/>
        </w:rPr>
      </w:pPr>
      <w:r w:rsidRPr="00B77590">
        <w:rPr>
          <w:rFonts w:cs="Arial"/>
          <w:lang w:val="es-ES_tradnl" w:eastAsia="es-MX"/>
        </w:rPr>
        <w:t xml:space="preserve">De lo anterior, se desprende que la </w:t>
      </w:r>
      <w:r w:rsidRPr="00B77590">
        <w:rPr>
          <w:lang w:val="es-ES_tradnl" w:eastAsia="es-MX"/>
        </w:rPr>
        <w:t xml:space="preserve">Clave Única de Registro de Población, </w:t>
      </w:r>
      <w:r w:rsidRPr="00B77590">
        <w:rPr>
          <w:rFonts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B77590">
        <w:rPr>
          <w:bCs/>
          <w:lang w:val="es-ES_tradnl"/>
        </w:rPr>
        <w:t>personal</w:t>
      </w:r>
      <w:r w:rsidRPr="00B77590">
        <w:rPr>
          <w:rFonts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B77590">
        <w:rPr>
          <w:rFonts w:cs="Arial"/>
          <w:lang w:val="es-ES_tradnl"/>
        </w:rPr>
        <w:t>4, fracción XI</w:t>
      </w:r>
      <w:r w:rsidRPr="00B77590">
        <w:rPr>
          <w:rFonts w:cs="Arial"/>
          <w:lang w:val="es-ES_tradnl" w:eastAsia="es-MX"/>
        </w:rPr>
        <w:t xml:space="preserve"> </w:t>
      </w:r>
      <w:r w:rsidRPr="00B77590">
        <w:rPr>
          <w:rFonts w:cs="Arial"/>
          <w:lang w:val="es-ES_tradnl"/>
        </w:rPr>
        <w:t>de la Ley de Protección de Datos Personales en Posesión de Sujetos Obligados del Estado de México y Municipios</w:t>
      </w:r>
      <w:r w:rsidRPr="00B77590">
        <w:rPr>
          <w:rFonts w:cs="Arial"/>
          <w:lang w:val="es-ES_tradnl" w:eastAsia="es-MX"/>
        </w:rPr>
        <w:t>.</w:t>
      </w:r>
    </w:p>
    <w:p w14:paraId="79CDF2C3" w14:textId="77777777" w:rsidR="00FE1865" w:rsidRPr="00B77590" w:rsidRDefault="00FE1865" w:rsidP="00F24B1F">
      <w:pPr>
        <w:rPr>
          <w:rFonts w:cs="Arial"/>
          <w:lang w:val="es-ES_tradnl" w:eastAsia="es-MX"/>
        </w:rPr>
      </w:pPr>
    </w:p>
    <w:p w14:paraId="5DE0ED60" w14:textId="3BF802F6" w:rsidR="0072281B" w:rsidRPr="00B77590" w:rsidRDefault="0072281B" w:rsidP="00F24B1F">
      <w:r w:rsidRPr="00B77590">
        <w:rPr>
          <w:rFonts w:cs="Arial"/>
        </w:rPr>
        <w:t xml:space="preserve">Por lo que, si bien es procedente clasificar la CURP como información confidencial, </w:t>
      </w:r>
      <w:r w:rsidRPr="00B77590">
        <w:rPr>
          <w:rFonts w:cs="Arial"/>
          <w:b/>
        </w:rPr>
        <w:t xml:space="preserve">EL SUJETO OBLIGADO </w:t>
      </w:r>
      <w:r w:rsidRPr="00B77590">
        <w:rPr>
          <w:rFonts w:cs="Arial"/>
        </w:rPr>
        <w:t xml:space="preserve">omitió hacer entrega del </w:t>
      </w:r>
      <w:r w:rsidR="00593838" w:rsidRPr="00B77590">
        <w:t>Ac</w:t>
      </w:r>
      <w:r w:rsidRPr="00B77590">
        <w:t xml:space="preserve">ta del Comité de Transparencia por medio del cual aprobó la versión pública de los documentos entregados; el cual debe cumplir con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w:t>
      </w:r>
      <w:r w:rsidRPr="00B77590">
        <w:lastRenderedPageBreak/>
        <w:t>Desclasificación de la Información, así como para la elaboración de Versiones Públicas, que literalmente expresan:</w:t>
      </w:r>
    </w:p>
    <w:p w14:paraId="18FF62E7" w14:textId="77777777" w:rsidR="0072281B" w:rsidRPr="00B77590" w:rsidRDefault="0072281B" w:rsidP="00F24B1F"/>
    <w:p w14:paraId="18820865" w14:textId="77777777" w:rsidR="0072281B" w:rsidRPr="00B77590" w:rsidRDefault="0072281B" w:rsidP="00F24B1F">
      <w:pPr>
        <w:jc w:val="center"/>
        <w:rPr>
          <w:b/>
          <w:i/>
          <w:szCs w:val="22"/>
        </w:rPr>
      </w:pPr>
      <w:r w:rsidRPr="00B77590">
        <w:rPr>
          <w:b/>
          <w:i/>
          <w:szCs w:val="22"/>
          <w:lang w:val="es-ES_tradnl"/>
        </w:rPr>
        <w:t>Ley de Transparencia y Acceso a la Información Pública del Estado de México y Municipios</w:t>
      </w:r>
    </w:p>
    <w:p w14:paraId="4F88C150" w14:textId="77777777" w:rsidR="0072281B" w:rsidRPr="00B77590" w:rsidRDefault="0072281B" w:rsidP="00F24B1F"/>
    <w:p w14:paraId="4C6D03DC" w14:textId="77777777" w:rsidR="0072281B" w:rsidRPr="00B77590" w:rsidRDefault="0072281B" w:rsidP="00F24B1F">
      <w:pPr>
        <w:pStyle w:val="Puesto"/>
      </w:pPr>
      <w:r w:rsidRPr="00B77590">
        <w:rPr>
          <w:b/>
        </w:rPr>
        <w:t xml:space="preserve">“Artículo 49. </w:t>
      </w:r>
      <w:r w:rsidRPr="00B77590">
        <w:t>Los Comités de Transparencia tendrán las siguientes atribuciones:</w:t>
      </w:r>
    </w:p>
    <w:p w14:paraId="0D39FB0C" w14:textId="77777777" w:rsidR="0072281B" w:rsidRPr="00B77590" w:rsidRDefault="0072281B" w:rsidP="00F24B1F">
      <w:pPr>
        <w:pStyle w:val="Puesto"/>
      </w:pPr>
      <w:r w:rsidRPr="00B77590">
        <w:rPr>
          <w:b/>
        </w:rPr>
        <w:t>VIII.</w:t>
      </w:r>
      <w:r w:rsidRPr="00B77590">
        <w:t xml:space="preserve"> Aprobar, modificar o revocar la clasificación de la información;</w:t>
      </w:r>
    </w:p>
    <w:p w14:paraId="0460B2F6" w14:textId="77777777" w:rsidR="0072281B" w:rsidRPr="00B77590" w:rsidRDefault="0072281B" w:rsidP="00F24B1F"/>
    <w:p w14:paraId="0CBE324E" w14:textId="77777777" w:rsidR="0072281B" w:rsidRPr="00B77590" w:rsidRDefault="0072281B" w:rsidP="00F24B1F">
      <w:pPr>
        <w:pStyle w:val="Puesto"/>
      </w:pPr>
      <w:r w:rsidRPr="00B77590">
        <w:rPr>
          <w:b/>
        </w:rPr>
        <w:t>Artículo 132.</w:t>
      </w:r>
      <w:r w:rsidRPr="00B77590">
        <w:t xml:space="preserve"> La clasificación de la información se llevará a cabo en el momento en que:</w:t>
      </w:r>
    </w:p>
    <w:p w14:paraId="779C90E1" w14:textId="77777777" w:rsidR="0072281B" w:rsidRPr="00B77590" w:rsidRDefault="0072281B" w:rsidP="00F24B1F">
      <w:pPr>
        <w:pStyle w:val="Puesto"/>
      </w:pPr>
      <w:r w:rsidRPr="00B77590">
        <w:rPr>
          <w:b/>
        </w:rPr>
        <w:t>I.</w:t>
      </w:r>
      <w:r w:rsidRPr="00B77590">
        <w:t xml:space="preserve"> Se reciba una solicitud de acceso a la información;</w:t>
      </w:r>
    </w:p>
    <w:p w14:paraId="4C6F10EE" w14:textId="77777777" w:rsidR="0072281B" w:rsidRPr="00B77590" w:rsidRDefault="0072281B" w:rsidP="00F24B1F">
      <w:pPr>
        <w:pStyle w:val="Puesto"/>
      </w:pPr>
      <w:r w:rsidRPr="00B77590">
        <w:rPr>
          <w:b/>
        </w:rPr>
        <w:t>II.</w:t>
      </w:r>
      <w:r w:rsidRPr="00B77590">
        <w:t xml:space="preserve"> Se determine mediante resolución de autoridad competente; o</w:t>
      </w:r>
    </w:p>
    <w:p w14:paraId="5BE96AC7" w14:textId="77777777" w:rsidR="0072281B" w:rsidRPr="00B77590" w:rsidRDefault="0072281B" w:rsidP="00F24B1F">
      <w:pPr>
        <w:pStyle w:val="Puesto"/>
        <w:rPr>
          <w:b/>
        </w:rPr>
      </w:pPr>
      <w:r w:rsidRPr="00B77590">
        <w:rPr>
          <w:b/>
          <w:bCs/>
        </w:rPr>
        <w:t>III.</w:t>
      </w:r>
      <w:r w:rsidRPr="00B77590">
        <w:t xml:space="preserve"> Se generen versiones públicas para dar cumplimiento a las obligaciones de transparencia previstas en esta Ley.</w:t>
      </w:r>
      <w:r w:rsidRPr="00B77590">
        <w:rPr>
          <w:b/>
        </w:rPr>
        <w:t>”</w:t>
      </w:r>
    </w:p>
    <w:p w14:paraId="24B238D9" w14:textId="77777777" w:rsidR="0072281B" w:rsidRPr="00B77590" w:rsidRDefault="0072281B" w:rsidP="00F24B1F"/>
    <w:p w14:paraId="643BAD87" w14:textId="77777777" w:rsidR="0072281B" w:rsidRPr="00B77590" w:rsidRDefault="0072281B" w:rsidP="00F24B1F">
      <w:pPr>
        <w:pStyle w:val="Puesto"/>
      </w:pPr>
      <w:r w:rsidRPr="00B77590">
        <w:rPr>
          <w:b/>
        </w:rPr>
        <w:t>“Segundo. -</w:t>
      </w:r>
      <w:r w:rsidRPr="00B77590">
        <w:t xml:space="preserve"> Para efectos de los presentes Lineamientos Generales, se entenderá por:</w:t>
      </w:r>
    </w:p>
    <w:p w14:paraId="607D05EF" w14:textId="77777777" w:rsidR="0072281B" w:rsidRPr="00B77590" w:rsidRDefault="0072281B" w:rsidP="00F24B1F">
      <w:pPr>
        <w:pStyle w:val="Puesto"/>
      </w:pPr>
      <w:r w:rsidRPr="00B77590">
        <w:rPr>
          <w:b/>
        </w:rPr>
        <w:t>XVIII.</w:t>
      </w:r>
      <w:r w:rsidRPr="00B77590">
        <w:t xml:space="preserve">  </w:t>
      </w:r>
      <w:r w:rsidRPr="00B77590">
        <w:rPr>
          <w:b/>
        </w:rPr>
        <w:t>Versión pública:</w:t>
      </w:r>
      <w:r w:rsidRPr="00B77590">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7597F43" w14:textId="77777777" w:rsidR="0072281B" w:rsidRPr="00B77590" w:rsidRDefault="0072281B" w:rsidP="00F24B1F">
      <w:pPr>
        <w:pStyle w:val="Puesto"/>
      </w:pPr>
    </w:p>
    <w:p w14:paraId="7F73F438" w14:textId="77777777" w:rsidR="0072281B" w:rsidRPr="00B77590" w:rsidRDefault="0072281B" w:rsidP="00F24B1F">
      <w:pPr>
        <w:pStyle w:val="Puesto"/>
        <w:rPr>
          <w:b/>
          <w:lang w:val="es-ES_tradnl" w:eastAsia="es-MX"/>
        </w:rPr>
      </w:pPr>
      <w:r w:rsidRPr="00B77590">
        <w:rPr>
          <w:b/>
          <w:lang w:val="es-ES_tradnl" w:eastAsia="es-MX"/>
        </w:rPr>
        <w:t xml:space="preserve">Lineamientos Generales en materia de Clasificación y Desclasificación de la </w:t>
      </w:r>
      <w:r w:rsidRPr="00B77590">
        <w:rPr>
          <w:b/>
          <w:lang w:val="es-ES_tradnl"/>
        </w:rPr>
        <w:t>Información</w:t>
      </w:r>
    </w:p>
    <w:p w14:paraId="1E6D021B" w14:textId="77777777" w:rsidR="0072281B" w:rsidRPr="00B77590" w:rsidRDefault="0072281B" w:rsidP="00F24B1F">
      <w:pPr>
        <w:pStyle w:val="Puesto"/>
      </w:pPr>
    </w:p>
    <w:p w14:paraId="56F67FBA" w14:textId="77777777" w:rsidR="0072281B" w:rsidRPr="00B77590" w:rsidRDefault="0072281B" w:rsidP="00F24B1F">
      <w:pPr>
        <w:pStyle w:val="Puesto"/>
      </w:pPr>
      <w:r w:rsidRPr="00B77590">
        <w:rPr>
          <w:b/>
        </w:rPr>
        <w:t>Cuarto.</w:t>
      </w:r>
      <w:r w:rsidRPr="00B77590">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98EEC12" w14:textId="77777777" w:rsidR="0072281B" w:rsidRPr="00B77590" w:rsidRDefault="0072281B" w:rsidP="00F24B1F">
      <w:pPr>
        <w:pStyle w:val="Puesto"/>
      </w:pPr>
      <w:r w:rsidRPr="00B77590">
        <w:t>Los sujetos obligados deberán aplicar, de manera estricta, las excepciones al derecho de acceso a la información y sólo podrán invocarlas cuando acrediten su procedencia.</w:t>
      </w:r>
    </w:p>
    <w:p w14:paraId="0B033ECA" w14:textId="77777777" w:rsidR="0072281B" w:rsidRPr="00B77590" w:rsidRDefault="0072281B" w:rsidP="00F24B1F"/>
    <w:p w14:paraId="168C9377" w14:textId="77777777" w:rsidR="0072281B" w:rsidRPr="00B77590" w:rsidRDefault="0072281B" w:rsidP="00F24B1F">
      <w:pPr>
        <w:pStyle w:val="Puesto"/>
      </w:pPr>
      <w:r w:rsidRPr="00B77590">
        <w:rPr>
          <w:b/>
        </w:rPr>
        <w:t>Quinto.</w:t>
      </w:r>
      <w:r w:rsidRPr="00B77590">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w:t>
      </w:r>
      <w:r w:rsidRPr="00B77590">
        <w:lastRenderedPageBreak/>
        <w:t>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A020C08" w14:textId="77777777" w:rsidR="0072281B" w:rsidRPr="00B77590" w:rsidRDefault="0072281B" w:rsidP="00F24B1F"/>
    <w:p w14:paraId="2B94538B" w14:textId="77777777" w:rsidR="0072281B" w:rsidRPr="00B77590" w:rsidRDefault="0072281B" w:rsidP="00F24B1F">
      <w:pPr>
        <w:pStyle w:val="Puesto"/>
      </w:pPr>
      <w:r w:rsidRPr="00B77590">
        <w:rPr>
          <w:b/>
        </w:rPr>
        <w:t>Sexto.</w:t>
      </w:r>
      <w:r w:rsidRPr="00B77590">
        <w:t xml:space="preserve"> Se deroga.</w:t>
      </w:r>
    </w:p>
    <w:p w14:paraId="7455BDA8" w14:textId="77777777" w:rsidR="0072281B" w:rsidRPr="00B77590" w:rsidRDefault="0072281B" w:rsidP="00F24B1F"/>
    <w:p w14:paraId="1859BEC9" w14:textId="77777777" w:rsidR="0072281B" w:rsidRPr="00B77590" w:rsidRDefault="0072281B" w:rsidP="00F24B1F">
      <w:pPr>
        <w:pStyle w:val="Puesto"/>
      </w:pPr>
      <w:r w:rsidRPr="00B77590">
        <w:rPr>
          <w:b/>
        </w:rPr>
        <w:t>Séptimo.</w:t>
      </w:r>
      <w:r w:rsidRPr="00B77590">
        <w:t xml:space="preserve"> La clasificación de la información se llevará a cabo en el momento en que:</w:t>
      </w:r>
    </w:p>
    <w:p w14:paraId="45F8D619" w14:textId="77777777" w:rsidR="0072281B" w:rsidRPr="00B77590" w:rsidRDefault="0072281B" w:rsidP="00F24B1F">
      <w:pPr>
        <w:pStyle w:val="Puesto"/>
      </w:pPr>
      <w:r w:rsidRPr="00B77590">
        <w:rPr>
          <w:b/>
        </w:rPr>
        <w:t>I.</w:t>
      </w:r>
      <w:r w:rsidRPr="00B77590">
        <w:t xml:space="preserve">        Se reciba una solicitud de acceso a la información;</w:t>
      </w:r>
    </w:p>
    <w:p w14:paraId="763A55F2" w14:textId="77777777" w:rsidR="0072281B" w:rsidRPr="00B77590" w:rsidRDefault="0072281B" w:rsidP="00F24B1F">
      <w:pPr>
        <w:pStyle w:val="Puesto"/>
      </w:pPr>
      <w:r w:rsidRPr="00B77590">
        <w:rPr>
          <w:b/>
        </w:rPr>
        <w:t>II.</w:t>
      </w:r>
      <w:r w:rsidRPr="00B77590">
        <w:t xml:space="preserve">       Se determine mediante resolución del Comité de Transparencia, el órgano garante competente, o en cumplimiento a una sentencia del Poder Judicial; o</w:t>
      </w:r>
    </w:p>
    <w:p w14:paraId="37000F17" w14:textId="77777777" w:rsidR="0072281B" w:rsidRPr="00B77590" w:rsidRDefault="0072281B" w:rsidP="00F24B1F">
      <w:pPr>
        <w:pStyle w:val="Puesto"/>
      </w:pPr>
      <w:r w:rsidRPr="00B77590">
        <w:rPr>
          <w:b/>
        </w:rPr>
        <w:t>III.</w:t>
      </w:r>
      <w:r w:rsidRPr="00B77590">
        <w:t xml:space="preserve">      Se generen versiones públicas para dar cumplimiento a las obligaciones de transparencia previstas en la Ley General, la Ley Federal y las correspondientes de las entidades federativas.</w:t>
      </w:r>
    </w:p>
    <w:p w14:paraId="184FA7AB" w14:textId="77777777" w:rsidR="0072281B" w:rsidRPr="00B77590" w:rsidRDefault="0072281B" w:rsidP="00F24B1F">
      <w:pPr>
        <w:pStyle w:val="Puesto"/>
      </w:pPr>
      <w:r w:rsidRPr="00B77590">
        <w:t xml:space="preserve">Los titulares de las áreas deberán revisar la información requerida al momento de la recepción de una solicitud de acceso, para verificar, conforme a su naturaleza, si encuadra en una causal de reserva o de confidencialidad. </w:t>
      </w:r>
    </w:p>
    <w:p w14:paraId="42E01B72" w14:textId="77777777" w:rsidR="0072281B" w:rsidRPr="00B77590" w:rsidRDefault="0072281B" w:rsidP="00F24B1F"/>
    <w:p w14:paraId="2A89B377" w14:textId="77777777" w:rsidR="0072281B" w:rsidRPr="00B77590" w:rsidRDefault="0072281B" w:rsidP="00F24B1F">
      <w:pPr>
        <w:pStyle w:val="Puesto"/>
      </w:pPr>
      <w:r w:rsidRPr="00B77590">
        <w:rPr>
          <w:b/>
        </w:rPr>
        <w:t>Octavo.</w:t>
      </w:r>
      <w:r w:rsidRPr="00B77590">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FB6A7E8" w14:textId="77777777" w:rsidR="0072281B" w:rsidRPr="00B77590" w:rsidRDefault="0072281B" w:rsidP="00F24B1F">
      <w:pPr>
        <w:pStyle w:val="Puesto"/>
      </w:pPr>
      <w:r w:rsidRPr="00B77590">
        <w:t>Para motivar la clasificación se deberán señalar las razones o circunstancias especiales que lo llevaron a concluir que el caso particular se ajusta al supuesto previsto por la norma legal invocada como fundamento.</w:t>
      </w:r>
    </w:p>
    <w:p w14:paraId="1D545AA8" w14:textId="77777777" w:rsidR="0072281B" w:rsidRPr="00B77590" w:rsidRDefault="0072281B" w:rsidP="00F24B1F">
      <w:pPr>
        <w:pStyle w:val="Puesto"/>
      </w:pPr>
      <w:r w:rsidRPr="00B77590">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48269DBF" w14:textId="77777777" w:rsidR="0072281B" w:rsidRPr="00B77590" w:rsidRDefault="0072281B" w:rsidP="00F24B1F"/>
    <w:p w14:paraId="0C7E8381" w14:textId="77777777" w:rsidR="0072281B" w:rsidRPr="00B77590" w:rsidRDefault="0072281B" w:rsidP="00F24B1F">
      <w:pPr>
        <w:pStyle w:val="Puesto"/>
      </w:pPr>
      <w:r w:rsidRPr="00B77590">
        <w:rPr>
          <w:b/>
        </w:rPr>
        <w:t>Noveno.</w:t>
      </w:r>
      <w:r w:rsidRPr="00B77590">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6C879A8B" w14:textId="77777777" w:rsidR="0072281B" w:rsidRPr="00B77590" w:rsidRDefault="0072281B" w:rsidP="00F24B1F"/>
    <w:p w14:paraId="2940A68E" w14:textId="77777777" w:rsidR="0072281B" w:rsidRPr="00B77590" w:rsidRDefault="0072281B" w:rsidP="00F24B1F">
      <w:pPr>
        <w:pStyle w:val="Puesto"/>
      </w:pPr>
      <w:r w:rsidRPr="00B77590">
        <w:rPr>
          <w:b/>
        </w:rPr>
        <w:t>Décimo.</w:t>
      </w:r>
      <w:r w:rsidRPr="00B77590">
        <w:t xml:space="preserve"> Los titulares de las áreas, deberán tener conocimiento y llevar un registro del personal que, por la naturaleza de sus atribuciones, tenga acceso a los documentos </w:t>
      </w:r>
      <w:r w:rsidRPr="00B77590">
        <w:lastRenderedPageBreak/>
        <w:t>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0426A55" w14:textId="77777777" w:rsidR="0072281B" w:rsidRPr="00B77590" w:rsidRDefault="0072281B" w:rsidP="00F24B1F">
      <w:pPr>
        <w:pStyle w:val="Puesto"/>
      </w:pPr>
      <w:r w:rsidRPr="00B77590">
        <w:t>En ausencia de los titulares de las áreas, la información será clasificada o desclasificada por la persona que lo supla, en términos de la normativa que rija la actuación del sujeto obligado.</w:t>
      </w:r>
    </w:p>
    <w:p w14:paraId="7EF6030F" w14:textId="77777777" w:rsidR="0072281B" w:rsidRPr="00B77590" w:rsidRDefault="0072281B" w:rsidP="00F24B1F">
      <w:pPr>
        <w:pStyle w:val="Puesto"/>
        <w:rPr>
          <w:b/>
        </w:rPr>
      </w:pPr>
      <w:r w:rsidRPr="00B77590">
        <w:rPr>
          <w:b/>
        </w:rPr>
        <w:t>Décimo primero.</w:t>
      </w:r>
      <w:r w:rsidRPr="00B77590">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B77590">
        <w:rPr>
          <w:b/>
        </w:rPr>
        <w:t>”</w:t>
      </w:r>
    </w:p>
    <w:p w14:paraId="3EE061E4" w14:textId="77777777" w:rsidR="0072281B" w:rsidRPr="00B77590" w:rsidRDefault="0072281B" w:rsidP="00F24B1F"/>
    <w:p w14:paraId="41184304" w14:textId="77777777" w:rsidR="0072281B" w:rsidRPr="00B77590" w:rsidRDefault="0072281B" w:rsidP="00F24B1F">
      <w:pPr>
        <w:rPr>
          <w:lang w:eastAsia="es-CO"/>
        </w:rPr>
      </w:pPr>
      <w:r w:rsidRPr="00B77590">
        <w:t xml:space="preserve">Consecuentemente, se destaca que la versión pública que elabore </w:t>
      </w:r>
      <w:r w:rsidRPr="00B77590">
        <w:rPr>
          <w:b/>
        </w:rPr>
        <w:t>EL SUJETO OBLIGADO</w:t>
      </w:r>
      <w:r w:rsidRPr="00B77590">
        <w:t xml:space="preserve"> debe cumplir con las formalidades exigidas en la Ley, por lo que para tal efecto emitirá el </w:t>
      </w:r>
      <w:r w:rsidRPr="00B77590">
        <w:rPr>
          <w:b/>
        </w:rPr>
        <w:t>Acuerdo del Comité de Transparencia</w:t>
      </w:r>
      <w:r w:rsidRPr="00B77590">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B77590">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45EE312A" w14:textId="77777777" w:rsidR="0072281B" w:rsidRPr="00B77590" w:rsidRDefault="0072281B" w:rsidP="00F24B1F"/>
    <w:p w14:paraId="087CDFBD" w14:textId="31CDC0E2" w:rsidR="0072281B" w:rsidRPr="00B77590" w:rsidRDefault="0072281B" w:rsidP="00F24B1F">
      <w:pPr>
        <w:rPr>
          <w:rFonts w:cs="Arial"/>
        </w:rPr>
      </w:pPr>
      <w:r w:rsidRPr="00B77590">
        <w:t xml:space="preserve">En consecuencia, este Órgano Garante determina ordenar el Acuerdo del Comité de Transparencia mediante el cual se apruebe la clasificación de la información, con motivo de la versión pública de las certificaciones del </w:t>
      </w:r>
      <w:r w:rsidRPr="00B77590">
        <w:rPr>
          <w:rFonts w:cs="Tahoma"/>
          <w:bCs/>
          <w:iCs/>
          <w:szCs w:val="24"/>
        </w:rPr>
        <w:t xml:space="preserve">Director de la Dirección de Desarrollo Urbano y Fomento Económico y </w:t>
      </w:r>
      <w:r w:rsidRPr="00B77590">
        <w:rPr>
          <w:rFonts w:cs="Arial"/>
        </w:rPr>
        <w:t xml:space="preserve">Director de Dirección de Medio Ambiente entregadas en respuesta. </w:t>
      </w:r>
    </w:p>
    <w:p w14:paraId="0B570D99" w14:textId="77777777" w:rsidR="00FE1865" w:rsidRPr="00B77590" w:rsidRDefault="00FE1865" w:rsidP="00F24B1F">
      <w:pPr>
        <w:rPr>
          <w:rFonts w:cs="Arial"/>
        </w:rPr>
      </w:pPr>
    </w:p>
    <w:p w14:paraId="564D4836" w14:textId="77777777" w:rsidR="00FE1865" w:rsidRPr="00B77590" w:rsidRDefault="00FE1865" w:rsidP="00F24B1F">
      <w:pPr>
        <w:rPr>
          <w:rFonts w:cs="Arial"/>
        </w:rPr>
      </w:pPr>
      <w:r w:rsidRPr="00B77590">
        <w:rPr>
          <w:rFonts w:cs="Arial"/>
        </w:rPr>
        <w:lastRenderedPageBreak/>
        <w:t xml:space="preserve">Finalmente, no se omite comentar que respecto a la fotografía y código </w:t>
      </w:r>
      <w:proofErr w:type="spellStart"/>
      <w:r w:rsidRPr="00B77590">
        <w:rPr>
          <w:rFonts w:cs="Arial"/>
        </w:rPr>
        <w:t>Qr</w:t>
      </w:r>
      <w:proofErr w:type="spellEnd"/>
      <w:r w:rsidRPr="00B77590">
        <w:rPr>
          <w:rFonts w:cs="Arial"/>
        </w:rPr>
        <w:t xml:space="preserve"> contenidos en los certificados, corresponden a información pública, conforme a los siguientes argumentos: </w:t>
      </w:r>
    </w:p>
    <w:p w14:paraId="1A3DC22C" w14:textId="77777777" w:rsidR="00FE1865" w:rsidRPr="00B77590" w:rsidRDefault="00FE1865" w:rsidP="00F24B1F">
      <w:pPr>
        <w:rPr>
          <w:rFonts w:cs="Arial"/>
        </w:rPr>
      </w:pPr>
    </w:p>
    <w:p w14:paraId="3542D0EE" w14:textId="1296E567" w:rsidR="007F7BE4" w:rsidRPr="00B77590" w:rsidRDefault="007F7BE4" w:rsidP="00F24B1F">
      <w:pPr>
        <w:pStyle w:val="Prrafodelista"/>
        <w:numPr>
          <w:ilvl w:val="0"/>
          <w:numId w:val="13"/>
        </w:numPr>
        <w:rPr>
          <w:rFonts w:cs="Arial"/>
          <w:b/>
        </w:rPr>
      </w:pPr>
      <w:r w:rsidRPr="00B77590">
        <w:rPr>
          <w:rFonts w:cs="Arial"/>
          <w:b/>
        </w:rPr>
        <w:t>Fotografía de servidores públicos</w:t>
      </w:r>
    </w:p>
    <w:p w14:paraId="556ACE4C" w14:textId="77777777" w:rsidR="007F7BE4" w:rsidRPr="00B77590" w:rsidRDefault="007F7BE4" w:rsidP="00F24B1F">
      <w:pPr>
        <w:pStyle w:val="Prrafodelista"/>
        <w:rPr>
          <w:rFonts w:cs="Arial"/>
          <w:b/>
        </w:rPr>
      </w:pPr>
    </w:p>
    <w:p w14:paraId="7DE13422" w14:textId="1CCDD063" w:rsidR="007F7BE4" w:rsidRPr="00B77590" w:rsidRDefault="007F7BE4" w:rsidP="00F24B1F">
      <w:pPr>
        <w:tabs>
          <w:tab w:val="left" w:pos="2241"/>
        </w:tabs>
        <w:rPr>
          <w:rFonts w:eastAsia="Palatino Linotype" w:cs="Palatino Linotype"/>
        </w:rPr>
      </w:pPr>
      <w:r w:rsidRPr="00B77590">
        <w:rPr>
          <w:rFonts w:eastAsia="Palatino Linotype" w:cs="Palatino Linotype"/>
        </w:rPr>
        <w:t>No pueden ser clasificadas como confidenciales cuando obran en documentos que los acredita como tal, que dan cuenta del cumplimiento de sus funciones, o que son requisitos legales para ocupar el cargo ostentado; pues su derecho a la privacidad o a la propia imagen es superado por el interés público de conocer si la persona que aparece en la documentación es quien dice ser y si cumple con los requisitos y características necesarias para el puesto. Además, esta información sirve para verificar la legitimidad y transparencia de los procesos de selección y designación de los servidores públicos, lo cual es un aspecto fundamental en un régimen democrático donde el acceso a la información pública es un derecho fundamental y un pilar para la rendición de cuentas y la lucha contra la corrupción. En este contexto, la transparencia prevalece sobre el derecho a la privacidad en la medida en que contribuye a fortalecer la confianza en las instituciones públicas y permite a los ciudadanos ejercer control sobre sus representantes y los procesos administrativos.</w:t>
      </w:r>
    </w:p>
    <w:p w14:paraId="4399FA4E" w14:textId="77777777" w:rsidR="007F7BE4" w:rsidRPr="00B77590" w:rsidRDefault="007F7BE4" w:rsidP="00F24B1F">
      <w:pPr>
        <w:rPr>
          <w:rFonts w:eastAsia="Palatino Linotype" w:cs="Palatino Linotype"/>
        </w:rPr>
      </w:pPr>
    </w:p>
    <w:p w14:paraId="05246937" w14:textId="7D791265" w:rsidR="007F7BE4" w:rsidRPr="00B77590" w:rsidRDefault="007F7BE4" w:rsidP="00F24B1F">
      <w:pPr>
        <w:rPr>
          <w:rFonts w:eastAsia="Palatino Linotype" w:cs="Palatino Linotype"/>
        </w:rPr>
      </w:pPr>
      <w:r w:rsidRPr="00B77590">
        <w:rPr>
          <w:rFonts w:eastAsia="Palatino Linotype" w:cs="Palatino Linotype"/>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w:t>
      </w:r>
    </w:p>
    <w:p w14:paraId="41EB607B" w14:textId="77777777" w:rsidR="007F7BE4" w:rsidRPr="00B77590" w:rsidRDefault="007F7BE4" w:rsidP="00F24B1F">
      <w:pPr>
        <w:rPr>
          <w:rFonts w:cs="Arial"/>
        </w:rPr>
      </w:pPr>
    </w:p>
    <w:p w14:paraId="3418F2D4" w14:textId="77777777" w:rsidR="007F7BE4" w:rsidRPr="00B77590" w:rsidRDefault="007F7BE4" w:rsidP="00F24B1F">
      <w:pPr>
        <w:pStyle w:val="Prrafodelista"/>
        <w:numPr>
          <w:ilvl w:val="0"/>
          <w:numId w:val="13"/>
        </w:numPr>
        <w:rPr>
          <w:rFonts w:cs="Arial"/>
        </w:rPr>
      </w:pPr>
      <w:r w:rsidRPr="00B77590">
        <w:rPr>
          <w:rFonts w:cs="Arial"/>
          <w:b/>
        </w:rPr>
        <w:t xml:space="preserve">Código </w:t>
      </w:r>
      <w:proofErr w:type="spellStart"/>
      <w:r w:rsidRPr="00B77590">
        <w:rPr>
          <w:rFonts w:cs="Arial"/>
          <w:b/>
        </w:rPr>
        <w:t>qr</w:t>
      </w:r>
      <w:proofErr w:type="spellEnd"/>
      <w:r w:rsidRPr="00B77590">
        <w:rPr>
          <w:rFonts w:cs="Arial"/>
          <w:b/>
        </w:rPr>
        <w:t xml:space="preserve"> contenido en certificados de competencia</w:t>
      </w:r>
    </w:p>
    <w:p w14:paraId="79ACB003" w14:textId="77777777" w:rsidR="007F7BE4" w:rsidRPr="00B77590" w:rsidRDefault="007F7BE4" w:rsidP="00F24B1F">
      <w:pPr>
        <w:rPr>
          <w:rFonts w:cs="Arial"/>
        </w:rPr>
      </w:pPr>
    </w:p>
    <w:p w14:paraId="336E7FC7" w14:textId="0F252950" w:rsidR="00FE1865" w:rsidRPr="00B77590" w:rsidRDefault="007F7BE4" w:rsidP="00F24B1F">
      <w:pPr>
        <w:rPr>
          <w:rFonts w:cs="Arial"/>
        </w:rPr>
      </w:pPr>
      <w:r w:rsidRPr="00B77590">
        <w:rPr>
          <w:rFonts w:cs="Arial"/>
        </w:rPr>
        <w:lastRenderedPageBreak/>
        <w:t xml:space="preserve">Al escanear dicho código puede redirigir </w:t>
      </w:r>
      <w:r w:rsidR="00FE1865" w:rsidRPr="00B77590">
        <w:t>información del documento al sitio web oficial en línea, donde pueden verificar si es auténtico o no, por lo tanto, no se contiene dato personal alguno, por lo tanto no actualiza el supuesto de clasificación.</w:t>
      </w:r>
    </w:p>
    <w:p w14:paraId="64A383A2" w14:textId="77777777" w:rsidR="00FE1865" w:rsidRPr="00B77590" w:rsidRDefault="00FE1865" w:rsidP="00F24B1F">
      <w:pPr>
        <w:rPr>
          <w:rFonts w:cs="Arial"/>
        </w:rPr>
      </w:pPr>
    </w:p>
    <w:p w14:paraId="210A7F35" w14:textId="77777777" w:rsidR="00D818FD" w:rsidRPr="00B77590" w:rsidRDefault="00D818FD" w:rsidP="00F24B1F">
      <w:pPr>
        <w:pStyle w:val="Ttulo3"/>
      </w:pPr>
      <w:bookmarkStart w:id="41" w:name="_Toc189732938"/>
      <w:bookmarkStart w:id="42" w:name="_Toc211449548"/>
      <w:r w:rsidRPr="00B77590">
        <w:t>e) Conclusión</w:t>
      </w:r>
      <w:bookmarkEnd w:id="41"/>
      <w:bookmarkEnd w:id="42"/>
    </w:p>
    <w:p w14:paraId="2ABEEADF" w14:textId="74AF7CE3" w:rsidR="00D818FD" w:rsidRPr="00B77590" w:rsidRDefault="00D818FD" w:rsidP="00F24B1F">
      <w:pPr>
        <w:widowControl w:val="0"/>
        <w:tabs>
          <w:tab w:val="left" w:pos="1701"/>
          <w:tab w:val="left" w:pos="1843"/>
        </w:tabs>
        <w:rPr>
          <w:rFonts w:eastAsia="Palatino Linotype" w:cs="Palatino Linotype"/>
        </w:rPr>
      </w:pPr>
      <w:r w:rsidRPr="00B77590">
        <w:rPr>
          <w:rFonts w:eastAsia="Palatino Linotype" w:cs="Palatino Linotype"/>
        </w:rPr>
        <w:t xml:space="preserve">En razón de lo anteriormente expuesto, este Instituto estima que las razones o motivos de inconformidad hechos valer por </w:t>
      </w:r>
      <w:r w:rsidRPr="00B77590">
        <w:rPr>
          <w:rFonts w:eastAsia="Aptos" w:cs="Tahoma"/>
          <w:b/>
          <w:iCs/>
          <w:szCs w:val="22"/>
          <w:lang w:eastAsia="en-US"/>
        </w:rPr>
        <w:t>LA PARTE RECURRENTE</w:t>
      </w:r>
      <w:r w:rsidRPr="00B77590">
        <w:rPr>
          <w:rFonts w:eastAsia="Aptos" w:cs="Tahoma"/>
          <w:bCs/>
          <w:iCs/>
          <w:szCs w:val="22"/>
          <w:lang w:eastAsia="en-US"/>
        </w:rPr>
        <w:t xml:space="preserve"> </w:t>
      </w:r>
      <w:r w:rsidRPr="00B77590">
        <w:rPr>
          <w:rFonts w:eastAsia="Palatino Linotype" w:cs="Palatino Linotype"/>
        </w:rPr>
        <w:t xml:space="preserve">devienen </w:t>
      </w:r>
      <w:r w:rsidRPr="00B77590">
        <w:rPr>
          <w:rFonts w:eastAsia="Palatino Linotype" w:cs="Palatino Linotype"/>
          <w:b/>
        </w:rPr>
        <w:t>fundadas</w:t>
      </w:r>
      <w:r w:rsidRPr="00B77590">
        <w:rPr>
          <w:rFonts w:eastAsia="Palatino Linotype" w:cs="Palatino Linotype"/>
        </w:rPr>
        <w:t xml:space="preserve"> y suficientes para </w:t>
      </w:r>
      <w:r w:rsidR="00FE1865" w:rsidRPr="00B77590">
        <w:rPr>
          <w:rFonts w:eastAsia="Palatino Linotype" w:cs="Palatino Linotype"/>
          <w:b/>
        </w:rPr>
        <w:t>MODIFICA</w:t>
      </w:r>
      <w:r w:rsidRPr="00B77590">
        <w:rPr>
          <w:rFonts w:eastAsia="Palatino Linotype" w:cs="Palatino Linotype"/>
        </w:rPr>
        <w:t xml:space="preserve"> la respuesta del </w:t>
      </w:r>
      <w:r w:rsidRPr="00B77590">
        <w:rPr>
          <w:rFonts w:eastAsia="Palatino Linotype" w:cs="Palatino Linotype"/>
          <w:b/>
        </w:rPr>
        <w:t>SUJETO OBLIGADO</w:t>
      </w:r>
      <w:r w:rsidRPr="00B77590">
        <w:rPr>
          <w:rFonts w:eastAsia="Palatino Linotype" w:cs="Palatino Linotype"/>
        </w:rPr>
        <w:t xml:space="preserve"> y ordenarle haga entrega de la información descrita en el presente Considerando.</w:t>
      </w:r>
    </w:p>
    <w:p w14:paraId="794545F3" w14:textId="77777777" w:rsidR="00D818FD" w:rsidRPr="00B77590" w:rsidRDefault="00D818FD" w:rsidP="00F24B1F"/>
    <w:p w14:paraId="6C4C444E" w14:textId="35A19DD6" w:rsidR="00BD5A7C" w:rsidRPr="00B77590" w:rsidRDefault="00BD5A7C" w:rsidP="00F24B1F">
      <w:pPr>
        <w:ind w:right="-93"/>
        <w:rPr>
          <w:rFonts w:cs="Tahoma"/>
          <w:bCs/>
          <w:szCs w:val="22"/>
        </w:rPr>
      </w:pPr>
      <w:bookmarkStart w:id="43" w:name="_Hlk165381027"/>
      <w:r w:rsidRPr="00B77590">
        <w:rPr>
          <w:rFonts w:cs="Tahoma"/>
          <w:bCs/>
          <w:szCs w:val="22"/>
        </w:rPr>
        <w:t xml:space="preserve">Así, con fundamento en lo establecido en los artículos 5, </w:t>
      </w:r>
      <w:r w:rsidR="00F876EE" w:rsidRPr="00B77590">
        <w:rPr>
          <w:rFonts w:cs="Tahoma"/>
          <w:bCs/>
          <w:szCs w:val="22"/>
        </w:rPr>
        <w:t xml:space="preserve">párrafos trigésimo noveno, cuadragésimo y cuadragésimo primero, fracciones IV y V </w:t>
      </w:r>
      <w:r w:rsidRPr="00B77590">
        <w:rPr>
          <w:rFonts w:cs="Tahoma"/>
          <w:bCs/>
          <w:szCs w:val="22"/>
        </w:rPr>
        <w:t>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8D3197A" w14:textId="77777777" w:rsidR="00F24B1F" w:rsidRPr="00B77590" w:rsidRDefault="00F24B1F" w:rsidP="00F24B1F">
      <w:pPr>
        <w:ind w:right="-93"/>
        <w:rPr>
          <w:rFonts w:cs="Tahoma"/>
          <w:bCs/>
          <w:szCs w:val="22"/>
        </w:rPr>
      </w:pPr>
    </w:p>
    <w:bookmarkEnd w:id="43"/>
    <w:p w14:paraId="7C13D1A0" w14:textId="77777777" w:rsidR="00BD5A7C" w:rsidRPr="00B77590" w:rsidRDefault="00BD5A7C" w:rsidP="00F24B1F"/>
    <w:p w14:paraId="5C396097" w14:textId="684A0E4F" w:rsidR="00664420" w:rsidRPr="00B77590" w:rsidRDefault="00664420" w:rsidP="00F24B1F">
      <w:pPr>
        <w:pStyle w:val="Ttulo1"/>
      </w:pPr>
      <w:bookmarkStart w:id="44" w:name="_Toc211449549"/>
      <w:r w:rsidRPr="00B77590">
        <w:t>RESUELVE</w:t>
      </w:r>
      <w:bookmarkEnd w:id="44"/>
    </w:p>
    <w:p w14:paraId="203B7093" w14:textId="77777777" w:rsidR="00664420" w:rsidRPr="00B77590" w:rsidRDefault="00664420" w:rsidP="00F24B1F">
      <w:pPr>
        <w:ind w:right="113"/>
        <w:rPr>
          <w:rFonts w:cs="Arial"/>
          <w:b/>
          <w:szCs w:val="22"/>
        </w:rPr>
      </w:pPr>
    </w:p>
    <w:p w14:paraId="5BBF57A3" w14:textId="04A1DFAC" w:rsidR="009556B0" w:rsidRPr="00B77590" w:rsidRDefault="009556B0" w:rsidP="00F24B1F">
      <w:pPr>
        <w:widowControl w:val="0"/>
        <w:rPr>
          <w:rFonts w:eastAsia="Calibri" w:cs="Tahoma"/>
          <w:bCs/>
          <w:szCs w:val="22"/>
          <w:lang w:eastAsia="en-US"/>
        </w:rPr>
      </w:pPr>
      <w:r w:rsidRPr="00B77590">
        <w:rPr>
          <w:b/>
          <w:bCs/>
        </w:rPr>
        <w:t>PRIMERO.</w:t>
      </w:r>
      <w:r w:rsidRPr="00B77590">
        <w:t xml:space="preserve"> </w:t>
      </w:r>
      <w:r w:rsidRPr="00B77590">
        <w:rPr>
          <w:rFonts w:cs="Tahoma"/>
          <w:szCs w:val="22"/>
        </w:rPr>
        <w:t xml:space="preserve">Se </w:t>
      </w:r>
      <w:r w:rsidR="00FE1865" w:rsidRPr="00B77590">
        <w:rPr>
          <w:rFonts w:cs="Tahoma"/>
          <w:b/>
          <w:bCs/>
          <w:szCs w:val="22"/>
        </w:rPr>
        <w:t>MODIFICA</w:t>
      </w:r>
      <w:r w:rsidRPr="00B77590">
        <w:rPr>
          <w:rFonts w:cs="Tahoma"/>
          <w:szCs w:val="22"/>
        </w:rPr>
        <w:t xml:space="preserve"> la respuesta entregada por el </w:t>
      </w:r>
      <w:r w:rsidRPr="00B77590">
        <w:rPr>
          <w:rFonts w:cs="Tahoma"/>
          <w:b/>
          <w:bCs/>
          <w:szCs w:val="22"/>
        </w:rPr>
        <w:t>SUJETO OBLIGADO</w:t>
      </w:r>
      <w:r w:rsidRPr="00B77590">
        <w:rPr>
          <w:rFonts w:cs="Tahoma"/>
          <w:szCs w:val="22"/>
        </w:rPr>
        <w:t xml:space="preserve"> en la solicitud de información </w:t>
      </w:r>
      <w:r w:rsidR="0072281B" w:rsidRPr="00B77590">
        <w:rPr>
          <w:rFonts w:eastAsia="Calibri" w:cs="Tahoma"/>
          <w:b/>
          <w:bCs/>
          <w:szCs w:val="22"/>
          <w:lang w:eastAsia="en-US"/>
        </w:rPr>
        <w:t>00153/COACALCO/IP/2025</w:t>
      </w:r>
      <w:r w:rsidRPr="00B77590">
        <w:rPr>
          <w:rFonts w:eastAsia="Calibri" w:cs="Tahoma"/>
          <w:b/>
          <w:bCs/>
          <w:szCs w:val="22"/>
          <w:lang w:eastAsia="en-US"/>
        </w:rPr>
        <w:t>,</w:t>
      </w:r>
      <w:r w:rsidRPr="00B77590">
        <w:rPr>
          <w:rFonts w:cs="Tahoma"/>
          <w:bCs/>
          <w:szCs w:val="22"/>
        </w:rPr>
        <w:t xml:space="preserve"> </w:t>
      </w:r>
      <w:r w:rsidRPr="00B77590">
        <w:rPr>
          <w:rFonts w:eastAsia="Calibri" w:cs="Tahoma"/>
          <w:bCs/>
          <w:szCs w:val="22"/>
          <w:lang w:eastAsia="en-US"/>
        </w:rPr>
        <w:t xml:space="preserve">por resultar </w:t>
      </w:r>
      <w:r w:rsidRPr="00B77590">
        <w:rPr>
          <w:rFonts w:eastAsia="Calibri" w:cs="Tahoma"/>
          <w:b/>
          <w:bCs/>
          <w:szCs w:val="22"/>
          <w:lang w:eastAsia="en-US"/>
        </w:rPr>
        <w:t>FUNDADAS</w:t>
      </w:r>
      <w:r w:rsidRPr="00B77590">
        <w:rPr>
          <w:rFonts w:eastAsia="Calibri" w:cs="Tahoma"/>
          <w:bCs/>
          <w:szCs w:val="22"/>
          <w:lang w:eastAsia="en-US"/>
        </w:rPr>
        <w:t xml:space="preserve"> las razones o motivos de inconformidad hechos valer por </w:t>
      </w:r>
      <w:r w:rsidRPr="00B77590">
        <w:rPr>
          <w:rFonts w:eastAsia="Calibri" w:cs="Tahoma"/>
          <w:b/>
          <w:szCs w:val="22"/>
          <w:lang w:eastAsia="en-US"/>
        </w:rPr>
        <w:t>LA PARTE RECURRENTE</w:t>
      </w:r>
      <w:r w:rsidRPr="00B77590">
        <w:rPr>
          <w:rFonts w:eastAsia="Calibri" w:cs="Tahoma"/>
          <w:bCs/>
          <w:szCs w:val="22"/>
          <w:lang w:eastAsia="en-US"/>
        </w:rPr>
        <w:t xml:space="preserve"> en el Recurso de Revisión </w:t>
      </w:r>
      <w:r w:rsidRPr="00B77590">
        <w:rPr>
          <w:rFonts w:eastAsia="Calibri"/>
          <w:b/>
          <w:lang w:eastAsia="en-US"/>
        </w:rPr>
        <w:t>0</w:t>
      </w:r>
      <w:r w:rsidR="0072281B" w:rsidRPr="00B77590">
        <w:rPr>
          <w:rFonts w:eastAsia="Calibri"/>
          <w:b/>
          <w:lang w:eastAsia="en-US"/>
        </w:rPr>
        <w:t>8212</w:t>
      </w:r>
      <w:r w:rsidRPr="00B77590">
        <w:rPr>
          <w:rFonts w:eastAsia="Calibri"/>
          <w:b/>
          <w:lang w:eastAsia="en-US"/>
        </w:rPr>
        <w:t>/INFOEM/IP/RR/2025</w:t>
      </w:r>
      <w:r w:rsidRPr="00B77590">
        <w:rPr>
          <w:rFonts w:eastAsiaTheme="minorHAnsi" w:cstheme="minorBidi"/>
          <w:szCs w:val="22"/>
          <w:lang w:eastAsia="en-US"/>
        </w:rPr>
        <w:t>,</w:t>
      </w:r>
      <w:r w:rsidRPr="00B77590">
        <w:rPr>
          <w:rFonts w:cs="Tahoma"/>
          <w:b/>
          <w:szCs w:val="22"/>
        </w:rPr>
        <w:t xml:space="preserve"> </w:t>
      </w:r>
      <w:r w:rsidRPr="00B77590">
        <w:rPr>
          <w:rFonts w:eastAsia="Calibri" w:cs="Tahoma"/>
          <w:bCs/>
          <w:szCs w:val="22"/>
          <w:lang w:eastAsia="en-US"/>
        </w:rPr>
        <w:t xml:space="preserve">en términos del considerando </w:t>
      </w:r>
      <w:r w:rsidRPr="00B77590">
        <w:rPr>
          <w:rFonts w:eastAsia="Calibri" w:cs="Tahoma"/>
          <w:b/>
          <w:szCs w:val="22"/>
          <w:lang w:eastAsia="en-US"/>
        </w:rPr>
        <w:t>SEGUNDO</w:t>
      </w:r>
      <w:r w:rsidRPr="00B77590">
        <w:rPr>
          <w:rFonts w:eastAsia="Calibri" w:cs="Tahoma"/>
          <w:bCs/>
          <w:szCs w:val="22"/>
          <w:lang w:eastAsia="en-US"/>
        </w:rPr>
        <w:t xml:space="preserve"> de la presente Resolución.</w:t>
      </w:r>
    </w:p>
    <w:p w14:paraId="5691E19A" w14:textId="77777777" w:rsidR="009556B0" w:rsidRPr="00B77590" w:rsidRDefault="009556B0" w:rsidP="00F24B1F">
      <w:pPr>
        <w:rPr>
          <w:rFonts w:eastAsia="Palatino Linotype"/>
          <w:b/>
          <w:szCs w:val="22"/>
        </w:rPr>
      </w:pPr>
    </w:p>
    <w:p w14:paraId="3588C589" w14:textId="16DF5EB9" w:rsidR="009556B0" w:rsidRPr="00B77590" w:rsidRDefault="009556B0" w:rsidP="00F24B1F">
      <w:pPr>
        <w:ind w:right="-93"/>
        <w:rPr>
          <w:rFonts w:eastAsia="Calibri" w:cs="Tahoma"/>
          <w:bCs/>
          <w:szCs w:val="22"/>
          <w:lang w:eastAsia="en-US"/>
        </w:rPr>
      </w:pPr>
      <w:r w:rsidRPr="00B77590">
        <w:rPr>
          <w:rFonts w:eastAsia="Calibri" w:cs="Tahoma"/>
          <w:b/>
          <w:bCs/>
          <w:szCs w:val="22"/>
          <w:lang w:eastAsia="en-US"/>
        </w:rPr>
        <w:lastRenderedPageBreak/>
        <w:t>SEGUNDO.</w:t>
      </w:r>
      <w:r w:rsidRPr="00B77590">
        <w:rPr>
          <w:rFonts w:eastAsia="Calibri" w:cs="Tahoma"/>
          <w:szCs w:val="22"/>
          <w:lang w:eastAsia="es-MX"/>
        </w:rPr>
        <w:t xml:space="preserve"> Se </w:t>
      </w:r>
      <w:r w:rsidRPr="00B77590">
        <w:rPr>
          <w:rFonts w:eastAsia="Calibri" w:cs="Tahoma"/>
          <w:b/>
          <w:szCs w:val="22"/>
          <w:lang w:eastAsia="es-MX"/>
        </w:rPr>
        <w:t xml:space="preserve">ORDENA </w:t>
      </w:r>
      <w:r w:rsidRPr="00B77590">
        <w:rPr>
          <w:rFonts w:eastAsia="Calibri" w:cs="Tahoma"/>
          <w:szCs w:val="22"/>
          <w:lang w:eastAsia="es-MX"/>
        </w:rPr>
        <w:t xml:space="preserve">al </w:t>
      </w:r>
      <w:r w:rsidRPr="00B77590">
        <w:rPr>
          <w:rFonts w:eastAsia="Calibri" w:cs="Tahoma"/>
          <w:b/>
          <w:bCs/>
          <w:szCs w:val="22"/>
          <w:lang w:eastAsia="es-MX"/>
        </w:rPr>
        <w:t>SUJETO OBLIGADO</w:t>
      </w:r>
      <w:r w:rsidRPr="00B77590">
        <w:rPr>
          <w:rFonts w:eastAsia="Calibri" w:cs="Tahoma"/>
          <w:szCs w:val="22"/>
          <w:lang w:eastAsia="es-MX"/>
        </w:rPr>
        <w:t xml:space="preserve">, </w:t>
      </w:r>
      <w:r w:rsidRPr="00B77590">
        <w:rPr>
          <w:rFonts w:eastAsia="Calibri" w:cs="Tahoma"/>
          <w:bCs/>
          <w:szCs w:val="22"/>
          <w:lang w:eastAsia="en-US"/>
        </w:rPr>
        <w:t xml:space="preserve">a efecto de que entregue a través del </w:t>
      </w:r>
      <w:r w:rsidRPr="00B77590">
        <w:rPr>
          <w:rFonts w:eastAsia="Calibri" w:cs="Tahoma"/>
          <w:b/>
          <w:bCs/>
          <w:szCs w:val="22"/>
          <w:lang w:eastAsia="en-US"/>
        </w:rPr>
        <w:t>SAIMEX</w:t>
      </w:r>
      <w:r w:rsidRPr="00B77590">
        <w:rPr>
          <w:rFonts w:eastAsia="Calibri" w:cs="Tahoma"/>
          <w:bCs/>
          <w:szCs w:val="22"/>
          <w:lang w:eastAsia="en-US"/>
        </w:rPr>
        <w:t>,</w:t>
      </w:r>
      <w:r w:rsidR="00906892" w:rsidRPr="00B77590">
        <w:rPr>
          <w:rFonts w:eastAsia="Calibri" w:cs="Tahoma"/>
          <w:bCs/>
          <w:szCs w:val="22"/>
          <w:lang w:eastAsia="en-US"/>
        </w:rPr>
        <w:t xml:space="preserve"> </w:t>
      </w:r>
      <w:r w:rsidRPr="00B77590">
        <w:rPr>
          <w:rFonts w:eastAsia="Calibri" w:cs="Tahoma"/>
          <w:bCs/>
          <w:szCs w:val="22"/>
          <w:lang w:eastAsia="en-US"/>
        </w:rPr>
        <w:t>lo siguiente:</w:t>
      </w:r>
    </w:p>
    <w:p w14:paraId="5B0EE485" w14:textId="77777777" w:rsidR="009556B0" w:rsidRPr="00B77590" w:rsidRDefault="009556B0" w:rsidP="00F24B1F">
      <w:pPr>
        <w:rPr>
          <w:rFonts w:eastAsia="Palatino Linotype"/>
          <w:b/>
          <w:szCs w:val="22"/>
        </w:rPr>
      </w:pPr>
    </w:p>
    <w:p w14:paraId="5E609D55" w14:textId="39BC0938" w:rsidR="00FE1865" w:rsidRPr="00B77590" w:rsidRDefault="00FE1865" w:rsidP="00F24B1F">
      <w:pPr>
        <w:pStyle w:val="Puesto"/>
        <w:rPr>
          <w:szCs w:val="22"/>
        </w:rPr>
      </w:pPr>
      <w:r w:rsidRPr="00B77590">
        <w:rPr>
          <w:szCs w:val="22"/>
        </w:rPr>
        <w:t xml:space="preserve">El Acuerdo del Comité de Transparencia mediante el cual se apruebe la clasificación de la información, con motivo de la versión pública de las </w:t>
      </w:r>
      <w:r w:rsidRPr="00B77590">
        <w:rPr>
          <w:b/>
        </w:rPr>
        <w:t xml:space="preserve">certificaciones del </w:t>
      </w:r>
      <w:r w:rsidRPr="00B77590">
        <w:rPr>
          <w:rFonts w:cs="Tahoma"/>
          <w:b/>
          <w:bCs/>
          <w:iCs/>
          <w:szCs w:val="24"/>
        </w:rPr>
        <w:t xml:space="preserve">Director de la Dirección de Desarrollo Urbano y Fomento Económico y </w:t>
      </w:r>
      <w:r w:rsidRPr="00B77590">
        <w:rPr>
          <w:rFonts w:cs="Arial"/>
          <w:b/>
        </w:rPr>
        <w:t>Director de Dirección de Medio Ambiente entregadas en respuesta</w:t>
      </w:r>
      <w:r w:rsidRPr="00B77590">
        <w:rPr>
          <w:b/>
          <w:szCs w:val="22"/>
        </w:rPr>
        <w:t>,</w:t>
      </w:r>
      <w:r w:rsidRPr="00B77590">
        <w:rPr>
          <w:szCs w:val="22"/>
        </w:rPr>
        <w:t xml:space="preserve"> en términos del artículo 49, fracción VIII de la Ley de Transparencia y Acceso a la Información Pública del Estado de México y Municipios.</w:t>
      </w:r>
    </w:p>
    <w:p w14:paraId="6798722A" w14:textId="77777777" w:rsidR="00FE1865" w:rsidRPr="00B77590" w:rsidRDefault="00FE1865" w:rsidP="00F24B1F">
      <w:pPr>
        <w:rPr>
          <w:rFonts w:eastAsia="Palatino Linotype"/>
          <w:b/>
          <w:szCs w:val="22"/>
        </w:rPr>
      </w:pPr>
    </w:p>
    <w:p w14:paraId="7B4BFD03" w14:textId="77777777" w:rsidR="009556B0" w:rsidRPr="00B77590" w:rsidRDefault="009556B0" w:rsidP="00F24B1F">
      <w:r w:rsidRPr="00B77590">
        <w:rPr>
          <w:b/>
          <w:bCs/>
        </w:rPr>
        <w:t>TERCERO.</w:t>
      </w:r>
      <w:r w:rsidRPr="00B77590">
        <w:t xml:space="preserve"> </w:t>
      </w:r>
      <w:r w:rsidRPr="00B77590">
        <w:rPr>
          <w:rFonts w:eastAsia="Palatino Linotype" w:cs="Palatino Linotype"/>
          <w:b/>
          <w:lang w:eastAsia="es-MX"/>
        </w:rPr>
        <w:t xml:space="preserve">Notifíquese </w:t>
      </w:r>
      <w:r w:rsidRPr="00B77590">
        <w:rPr>
          <w:szCs w:val="17"/>
          <w:lang w:eastAsia="es-ES_tradnl"/>
        </w:rPr>
        <w:t xml:space="preserve">vía </w:t>
      </w:r>
      <w:r w:rsidRPr="00B77590">
        <w:rPr>
          <w:rFonts w:cs="Arial"/>
        </w:rPr>
        <w:t>Sistema de Acceso a la Información Mexiquense (</w:t>
      </w:r>
      <w:r w:rsidRPr="00B77590">
        <w:rPr>
          <w:rFonts w:cs="Arial"/>
          <w:b/>
          <w:bCs/>
        </w:rPr>
        <w:t>SAIMEX)</w:t>
      </w:r>
      <w:r w:rsidRPr="00B77590">
        <w:rPr>
          <w:shd w:val="clear" w:color="auto" w:fill="FFFFFF"/>
        </w:rPr>
        <w:t xml:space="preserve"> la presente resolución al Titular de la Unidad de Transparencia del Sujeto Obligado</w:t>
      </w:r>
      <w:r w:rsidRPr="00B77590">
        <w:t xml:space="preserve">, para que conforme al artículo 186 último párrafo, 189 segundo párrafo y 194 de la Ley de Transparencia y Acceso a la Información Pública del Estado de México y Municipios, dé cumplimiento a lo ordenado dentro del plazo de </w:t>
      </w:r>
      <w:r w:rsidRPr="00B77590">
        <w:rPr>
          <w:b/>
          <w:bCs/>
        </w:rPr>
        <w:t>diez días hábiles</w:t>
      </w:r>
      <w:r w:rsidRPr="00B77590">
        <w:t xml:space="preserve">, e informe a este Instituto en un plazo de </w:t>
      </w:r>
      <w:r w:rsidRPr="00B77590">
        <w:rPr>
          <w:b/>
          <w:bCs/>
        </w:rPr>
        <w:t>tres días hábiles</w:t>
      </w:r>
      <w:r w:rsidRPr="00B77590">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365C72" w14:textId="77777777" w:rsidR="009556B0" w:rsidRPr="00B77590" w:rsidRDefault="009556B0" w:rsidP="00F24B1F"/>
    <w:p w14:paraId="19853ABD" w14:textId="77777777" w:rsidR="009556B0" w:rsidRPr="00B77590" w:rsidRDefault="009556B0" w:rsidP="00F24B1F">
      <w:r w:rsidRPr="00B77590">
        <w:rPr>
          <w:b/>
          <w:bCs/>
        </w:rPr>
        <w:t>CUARTO.</w:t>
      </w:r>
      <w:r w:rsidRPr="00B77590">
        <w:t xml:space="preserve"> Notifíquese a </w:t>
      </w:r>
      <w:r w:rsidRPr="00B77590">
        <w:rPr>
          <w:b/>
          <w:bCs/>
        </w:rPr>
        <w:t>LA PARTE RECURRENTE</w:t>
      </w:r>
      <w:r w:rsidRPr="00B77590">
        <w:t xml:space="preserve"> la presente resolución vía Sistema de Acceso a la Información Mexiquense (SAIMEX).</w:t>
      </w:r>
    </w:p>
    <w:p w14:paraId="272B166A" w14:textId="77777777" w:rsidR="009556B0" w:rsidRPr="00B77590" w:rsidRDefault="009556B0" w:rsidP="00F24B1F"/>
    <w:p w14:paraId="3B07AB5D" w14:textId="77777777" w:rsidR="009556B0" w:rsidRPr="00B77590" w:rsidRDefault="009556B0" w:rsidP="00F24B1F">
      <w:r w:rsidRPr="00B77590">
        <w:rPr>
          <w:b/>
          <w:bCs/>
        </w:rPr>
        <w:t>QUINTO</w:t>
      </w:r>
      <w:r w:rsidRPr="00B77590">
        <w:t xml:space="preserve">. Hágase del conocimiento a </w:t>
      </w:r>
      <w:r w:rsidRPr="00B77590">
        <w:rPr>
          <w:b/>
          <w:bCs/>
        </w:rPr>
        <w:t>LA PARTE RECURRENTE</w:t>
      </w:r>
      <w:r w:rsidRPr="00B77590">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1DDD7A0" w14:textId="77777777" w:rsidR="009556B0" w:rsidRPr="00B77590" w:rsidRDefault="009556B0" w:rsidP="00F24B1F">
      <w:r w:rsidRPr="00B77590">
        <w:rPr>
          <w:b/>
          <w:bCs/>
        </w:rPr>
        <w:lastRenderedPageBreak/>
        <w:t>SEXTO.</w:t>
      </w:r>
      <w:r w:rsidRPr="00B77590">
        <w:t xml:space="preserve"> De conformidad con el artículo 198 de la Ley de Transparencia y Acceso a la Información Pública del Estado de México y Municipios, el </w:t>
      </w:r>
      <w:r w:rsidRPr="00B77590">
        <w:rPr>
          <w:b/>
          <w:bCs/>
        </w:rPr>
        <w:t>SUJETO OBLIGADO</w:t>
      </w:r>
      <w:r w:rsidRPr="00B77590">
        <w:t xml:space="preserve"> podrá solicitar una ampliación de plazo de manera fundada y motivada, para el cumplimiento de la presente resolución.</w:t>
      </w:r>
    </w:p>
    <w:p w14:paraId="36A5BEC9" w14:textId="77777777" w:rsidR="009556B0" w:rsidRPr="00B77590" w:rsidRDefault="009556B0" w:rsidP="00F24B1F">
      <w:pPr>
        <w:ind w:right="113"/>
        <w:rPr>
          <w:rFonts w:cs="Arial"/>
          <w:b/>
          <w:szCs w:val="22"/>
        </w:rPr>
      </w:pPr>
    </w:p>
    <w:p w14:paraId="29332977" w14:textId="242C7DE1" w:rsidR="00FE1865" w:rsidRPr="00B77590" w:rsidRDefault="00FE1865" w:rsidP="00F24B1F">
      <w:pPr>
        <w:ind w:right="-93"/>
      </w:pPr>
      <w:r w:rsidRPr="00B7759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SÉPTIMA SESIÓN ORDINARIA, CELEBRADA EL QUINCE DE OCTUBRE DE DOS MIL VEINTICINCO</w:t>
      </w:r>
      <w:r w:rsidR="007814CE" w:rsidRPr="00B77590">
        <w:t>,</w:t>
      </w:r>
      <w:r w:rsidRPr="00B77590">
        <w:t xml:space="preserve"> ANTE EL SECRETARIO TÉCNICO DEL PLENO, ALEXIS TAPIA RAMÍREZ</w:t>
      </w:r>
    </w:p>
    <w:p w14:paraId="61F6A71D" w14:textId="2ACA7CC5" w:rsidR="009556B0" w:rsidRPr="00F24B1F" w:rsidRDefault="009556B0" w:rsidP="00F24B1F">
      <w:pPr>
        <w:ind w:right="-93"/>
        <w:rPr>
          <w:rFonts w:eastAsia="Calibri" w:cs="Tahoma"/>
          <w:szCs w:val="22"/>
          <w:lang w:val="es-ES"/>
        </w:rPr>
      </w:pPr>
      <w:r w:rsidRPr="00B77590">
        <w:rPr>
          <w:rFonts w:eastAsia="Palatino Linotype" w:cs="Palatino Linotype"/>
          <w:sz w:val="20"/>
        </w:rPr>
        <w:t>SCMM/AGZ/DEMF/RPG</w:t>
      </w:r>
    </w:p>
    <w:p w14:paraId="671CB0C5" w14:textId="77777777" w:rsidR="00664420" w:rsidRPr="00F24B1F" w:rsidRDefault="00664420" w:rsidP="00F24B1F">
      <w:pPr>
        <w:ind w:right="-93"/>
        <w:rPr>
          <w:rFonts w:eastAsia="Calibri" w:cs="Tahoma"/>
          <w:bCs/>
          <w:szCs w:val="22"/>
          <w:lang w:val="es-ES_tradnl" w:eastAsia="en-US"/>
        </w:rPr>
      </w:pPr>
    </w:p>
    <w:p w14:paraId="52B66DE7" w14:textId="77777777" w:rsidR="00664420" w:rsidRPr="00F24B1F" w:rsidRDefault="00664420" w:rsidP="00F24B1F">
      <w:pPr>
        <w:ind w:right="-93"/>
        <w:rPr>
          <w:rFonts w:eastAsia="Calibri" w:cs="Tahoma"/>
          <w:bCs/>
          <w:szCs w:val="22"/>
          <w:lang w:val="es-ES_tradnl" w:eastAsia="en-US"/>
        </w:rPr>
      </w:pPr>
    </w:p>
    <w:p w14:paraId="3BA305D1" w14:textId="77777777" w:rsidR="00664420" w:rsidRPr="00F24B1F" w:rsidRDefault="00664420" w:rsidP="00F24B1F">
      <w:pPr>
        <w:ind w:right="-93"/>
        <w:rPr>
          <w:rFonts w:eastAsia="Calibri" w:cs="Tahoma"/>
          <w:bCs/>
          <w:szCs w:val="22"/>
          <w:lang w:val="es-ES_tradnl" w:eastAsia="en-US"/>
        </w:rPr>
      </w:pPr>
    </w:p>
    <w:p w14:paraId="78230707" w14:textId="77777777" w:rsidR="00664420" w:rsidRPr="00F24B1F" w:rsidRDefault="00664420" w:rsidP="00F24B1F">
      <w:pPr>
        <w:ind w:right="-93"/>
        <w:rPr>
          <w:rFonts w:eastAsia="Calibri" w:cs="Tahoma"/>
          <w:bCs/>
          <w:szCs w:val="22"/>
          <w:lang w:val="es-ES_tradnl" w:eastAsia="en-US"/>
        </w:rPr>
      </w:pPr>
    </w:p>
    <w:p w14:paraId="72D18B28" w14:textId="77777777" w:rsidR="00664420" w:rsidRPr="00F24B1F" w:rsidRDefault="00664420" w:rsidP="00F24B1F">
      <w:pPr>
        <w:ind w:right="-93"/>
        <w:rPr>
          <w:rFonts w:eastAsia="Calibri" w:cs="Tahoma"/>
          <w:bCs/>
          <w:szCs w:val="22"/>
          <w:lang w:val="es-ES_tradnl" w:eastAsia="en-US"/>
        </w:rPr>
      </w:pPr>
    </w:p>
    <w:p w14:paraId="6BD461DC" w14:textId="77777777" w:rsidR="00664420" w:rsidRPr="00F24B1F" w:rsidRDefault="00664420" w:rsidP="00F24B1F">
      <w:pPr>
        <w:tabs>
          <w:tab w:val="center" w:pos="4568"/>
        </w:tabs>
        <w:ind w:right="-93"/>
        <w:rPr>
          <w:rFonts w:eastAsia="Calibri" w:cs="Tahoma"/>
          <w:bCs/>
          <w:szCs w:val="22"/>
          <w:lang w:eastAsia="en-US"/>
        </w:rPr>
      </w:pPr>
    </w:p>
    <w:p w14:paraId="4DBB1727" w14:textId="77777777" w:rsidR="00664420" w:rsidRPr="00F24B1F" w:rsidRDefault="00664420" w:rsidP="00F24B1F">
      <w:pPr>
        <w:tabs>
          <w:tab w:val="center" w:pos="4568"/>
        </w:tabs>
        <w:ind w:right="-93"/>
        <w:rPr>
          <w:rFonts w:eastAsia="Calibri" w:cs="Tahoma"/>
          <w:bCs/>
          <w:szCs w:val="22"/>
          <w:lang w:eastAsia="en-US"/>
        </w:rPr>
      </w:pPr>
    </w:p>
    <w:p w14:paraId="1D74121B" w14:textId="77777777" w:rsidR="00664420" w:rsidRPr="00F24B1F" w:rsidRDefault="00664420" w:rsidP="00F24B1F">
      <w:pPr>
        <w:tabs>
          <w:tab w:val="center" w:pos="4568"/>
        </w:tabs>
        <w:ind w:right="-93"/>
        <w:rPr>
          <w:rFonts w:eastAsia="Calibri" w:cs="Tahoma"/>
          <w:bCs/>
          <w:szCs w:val="22"/>
          <w:lang w:eastAsia="en-US"/>
        </w:rPr>
      </w:pPr>
    </w:p>
    <w:p w14:paraId="08E74E9C" w14:textId="77777777" w:rsidR="00664420" w:rsidRPr="00F24B1F" w:rsidRDefault="00664420" w:rsidP="00F24B1F">
      <w:pPr>
        <w:tabs>
          <w:tab w:val="center" w:pos="4568"/>
        </w:tabs>
        <w:ind w:right="-93"/>
        <w:rPr>
          <w:rFonts w:eastAsia="Calibri" w:cs="Tahoma"/>
          <w:bCs/>
          <w:szCs w:val="22"/>
          <w:lang w:eastAsia="en-US"/>
        </w:rPr>
      </w:pPr>
    </w:p>
    <w:p w14:paraId="2CBF5E03" w14:textId="77777777" w:rsidR="00664420" w:rsidRPr="00F24B1F" w:rsidRDefault="00664420" w:rsidP="00F24B1F">
      <w:pPr>
        <w:tabs>
          <w:tab w:val="center" w:pos="4568"/>
        </w:tabs>
        <w:ind w:right="-93"/>
        <w:rPr>
          <w:rFonts w:eastAsia="Calibri" w:cs="Tahoma"/>
          <w:bCs/>
          <w:szCs w:val="22"/>
          <w:lang w:eastAsia="en-US"/>
        </w:rPr>
      </w:pPr>
    </w:p>
    <w:p w14:paraId="44865A6D" w14:textId="77777777" w:rsidR="00664420" w:rsidRPr="00F24B1F" w:rsidRDefault="00664420" w:rsidP="00F24B1F">
      <w:pPr>
        <w:tabs>
          <w:tab w:val="center" w:pos="4568"/>
        </w:tabs>
        <w:ind w:right="-93"/>
        <w:rPr>
          <w:rFonts w:eastAsia="Calibri" w:cs="Tahoma"/>
          <w:bCs/>
          <w:szCs w:val="22"/>
          <w:lang w:eastAsia="en-US"/>
        </w:rPr>
      </w:pPr>
    </w:p>
    <w:p w14:paraId="7147F06B" w14:textId="77777777" w:rsidR="00664420" w:rsidRPr="00F24B1F" w:rsidRDefault="00664420" w:rsidP="00F24B1F">
      <w:pPr>
        <w:tabs>
          <w:tab w:val="center" w:pos="4568"/>
        </w:tabs>
        <w:ind w:right="-93"/>
        <w:rPr>
          <w:rFonts w:eastAsia="Calibri" w:cs="Tahoma"/>
          <w:bCs/>
          <w:szCs w:val="22"/>
          <w:lang w:eastAsia="en-US"/>
        </w:rPr>
      </w:pPr>
    </w:p>
    <w:p w14:paraId="6FDF3D7E" w14:textId="77777777" w:rsidR="00664420" w:rsidRPr="00F24B1F" w:rsidRDefault="00664420" w:rsidP="00F24B1F">
      <w:pPr>
        <w:tabs>
          <w:tab w:val="center" w:pos="4568"/>
        </w:tabs>
        <w:ind w:right="-93"/>
        <w:rPr>
          <w:rFonts w:eastAsia="Calibri" w:cs="Tahoma"/>
          <w:bCs/>
          <w:szCs w:val="22"/>
          <w:lang w:eastAsia="en-US"/>
        </w:rPr>
      </w:pPr>
    </w:p>
    <w:p w14:paraId="6246F818" w14:textId="77777777" w:rsidR="00664420" w:rsidRPr="00F24B1F" w:rsidRDefault="00664420" w:rsidP="00F24B1F">
      <w:pPr>
        <w:tabs>
          <w:tab w:val="center" w:pos="4568"/>
        </w:tabs>
        <w:ind w:right="-93"/>
        <w:rPr>
          <w:rFonts w:eastAsia="Calibri" w:cs="Tahoma"/>
          <w:bCs/>
          <w:szCs w:val="22"/>
          <w:lang w:eastAsia="en-US"/>
        </w:rPr>
      </w:pPr>
    </w:p>
    <w:p w14:paraId="57A88B28" w14:textId="77777777" w:rsidR="00664420" w:rsidRPr="00F24B1F" w:rsidRDefault="00664420" w:rsidP="00F24B1F">
      <w:pPr>
        <w:tabs>
          <w:tab w:val="center" w:pos="4568"/>
        </w:tabs>
        <w:ind w:right="-93"/>
        <w:rPr>
          <w:rFonts w:eastAsia="Calibri" w:cs="Tahoma"/>
          <w:bCs/>
          <w:szCs w:val="22"/>
          <w:lang w:eastAsia="en-US"/>
        </w:rPr>
      </w:pPr>
    </w:p>
    <w:p w14:paraId="77EF6095" w14:textId="77777777" w:rsidR="00664420" w:rsidRPr="00F24B1F" w:rsidRDefault="00664420" w:rsidP="00F24B1F">
      <w:pPr>
        <w:tabs>
          <w:tab w:val="center" w:pos="4568"/>
        </w:tabs>
        <w:ind w:right="-93"/>
        <w:rPr>
          <w:rFonts w:eastAsia="Calibri" w:cs="Tahoma"/>
          <w:bCs/>
          <w:szCs w:val="22"/>
          <w:lang w:eastAsia="en-US"/>
        </w:rPr>
      </w:pPr>
    </w:p>
    <w:p w14:paraId="35593947" w14:textId="77777777" w:rsidR="00664420" w:rsidRPr="00F24B1F" w:rsidRDefault="00664420" w:rsidP="00F24B1F">
      <w:pPr>
        <w:tabs>
          <w:tab w:val="center" w:pos="4568"/>
        </w:tabs>
        <w:ind w:right="-93"/>
        <w:rPr>
          <w:rFonts w:eastAsia="Calibri" w:cs="Tahoma"/>
          <w:bCs/>
          <w:szCs w:val="22"/>
          <w:lang w:eastAsia="en-US"/>
        </w:rPr>
      </w:pPr>
    </w:p>
    <w:p w14:paraId="3AF72A17" w14:textId="77777777" w:rsidR="00664420" w:rsidRPr="00F24B1F" w:rsidRDefault="00664420" w:rsidP="00F24B1F">
      <w:pPr>
        <w:tabs>
          <w:tab w:val="center" w:pos="4568"/>
        </w:tabs>
        <w:ind w:right="-93"/>
        <w:rPr>
          <w:rFonts w:eastAsia="Calibri" w:cs="Tahoma"/>
          <w:bCs/>
          <w:szCs w:val="22"/>
          <w:lang w:eastAsia="en-US"/>
        </w:rPr>
      </w:pPr>
    </w:p>
    <w:p w14:paraId="37169144" w14:textId="77777777" w:rsidR="00664420" w:rsidRPr="00F24B1F" w:rsidRDefault="00664420" w:rsidP="00F24B1F">
      <w:pPr>
        <w:tabs>
          <w:tab w:val="center" w:pos="4568"/>
        </w:tabs>
        <w:ind w:right="-93"/>
        <w:rPr>
          <w:rFonts w:eastAsia="Calibri" w:cs="Tahoma"/>
          <w:bCs/>
          <w:szCs w:val="22"/>
          <w:lang w:eastAsia="en-US"/>
        </w:rPr>
      </w:pPr>
    </w:p>
    <w:p w14:paraId="77CFC088" w14:textId="77777777" w:rsidR="00664420" w:rsidRPr="00F24B1F" w:rsidRDefault="00664420" w:rsidP="00F24B1F">
      <w:pPr>
        <w:tabs>
          <w:tab w:val="center" w:pos="4568"/>
        </w:tabs>
        <w:ind w:right="-93"/>
        <w:rPr>
          <w:rFonts w:eastAsia="Calibri" w:cs="Tahoma"/>
          <w:bCs/>
          <w:szCs w:val="22"/>
          <w:lang w:eastAsia="en-US"/>
        </w:rPr>
      </w:pPr>
    </w:p>
    <w:p w14:paraId="781A11A5" w14:textId="77777777" w:rsidR="00664420" w:rsidRPr="00F24B1F" w:rsidRDefault="00664420" w:rsidP="00F24B1F">
      <w:pPr>
        <w:tabs>
          <w:tab w:val="center" w:pos="4568"/>
        </w:tabs>
        <w:ind w:right="-93"/>
        <w:rPr>
          <w:rFonts w:eastAsia="Calibri" w:cs="Tahoma"/>
          <w:bCs/>
          <w:szCs w:val="22"/>
          <w:lang w:eastAsia="en-US"/>
        </w:rPr>
      </w:pPr>
    </w:p>
    <w:p w14:paraId="5B4ADFF3" w14:textId="77777777" w:rsidR="00A131AC" w:rsidRPr="00F24B1F" w:rsidRDefault="00A131AC" w:rsidP="00F24B1F"/>
    <w:sectPr w:rsidR="00A131AC" w:rsidRPr="00F24B1F"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40A38" w14:textId="77777777" w:rsidR="00B35917" w:rsidRDefault="00B35917" w:rsidP="00664420">
      <w:pPr>
        <w:spacing w:line="240" w:lineRule="auto"/>
      </w:pPr>
      <w:r>
        <w:separator/>
      </w:r>
    </w:p>
  </w:endnote>
  <w:endnote w:type="continuationSeparator" w:id="0">
    <w:p w14:paraId="1DFC143B" w14:textId="77777777" w:rsidR="00B35917" w:rsidRDefault="00B3591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593838" w:rsidRDefault="00593838">
    <w:pPr>
      <w:tabs>
        <w:tab w:val="center" w:pos="4550"/>
        <w:tab w:val="left" w:pos="5818"/>
      </w:tabs>
      <w:ind w:right="260"/>
      <w:jc w:val="right"/>
      <w:rPr>
        <w:color w:val="071320" w:themeColor="text2" w:themeShade="80"/>
        <w:sz w:val="24"/>
        <w:szCs w:val="24"/>
      </w:rPr>
    </w:pPr>
  </w:p>
  <w:p w14:paraId="1BCA7F23" w14:textId="77777777" w:rsidR="00593838" w:rsidRDefault="0059383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593838" w:rsidRDefault="00593838">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CC12B8" w:rsidRPr="00CC12B8">
      <w:rPr>
        <w:noProof/>
        <w:color w:val="0A1D30" w:themeColor="text2" w:themeShade="BF"/>
        <w:sz w:val="24"/>
        <w:szCs w:val="24"/>
        <w:lang w:val="es-ES"/>
      </w:rPr>
      <w:t>4</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CC12B8" w:rsidRPr="00CC12B8">
      <w:rPr>
        <w:noProof/>
        <w:color w:val="0A1D30" w:themeColor="text2" w:themeShade="BF"/>
        <w:sz w:val="24"/>
        <w:szCs w:val="24"/>
        <w:lang w:val="es-ES"/>
      </w:rPr>
      <w:t>31</w:t>
    </w:r>
    <w:r>
      <w:rPr>
        <w:color w:val="0A1D30" w:themeColor="text2" w:themeShade="BF"/>
        <w:sz w:val="24"/>
        <w:szCs w:val="24"/>
      </w:rPr>
      <w:fldChar w:fldCharType="end"/>
    </w:r>
  </w:p>
  <w:p w14:paraId="310E15C0" w14:textId="77777777" w:rsidR="00593838" w:rsidRDefault="005938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5D43E2" w14:textId="77777777" w:rsidR="00B35917" w:rsidRDefault="00B35917" w:rsidP="00664420">
      <w:pPr>
        <w:spacing w:line="240" w:lineRule="auto"/>
      </w:pPr>
      <w:r>
        <w:separator/>
      </w:r>
    </w:p>
  </w:footnote>
  <w:footnote w:type="continuationSeparator" w:id="0">
    <w:p w14:paraId="6E78051B" w14:textId="77777777" w:rsidR="00B35917" w:rsidRDefault="00B35917" w:rsidP="00664420">
      <w:pPr>
        <w:spacing w:line="240" w:lineRule="auto"/>
      </w:pPr>
      <w:r>
        <w:continuationSeparator/>
      </w:r>
    </w:p>
  </w:footnote>
  <w:footnote w:id="1">
    <w:p w14:paraId="6B9E7571" w14:textId="0ED9DDE7" w:rsidR="00593838" w:rsidRPr="008974D7" w:rsidRDefault="00593838">
      <w:pPr>
        <w:pStyle w:val="Textonotapie"/>
        <w:rPr>
          <w:rFonts w:eastAsia="Batang" w:cs="Tahoma"/>
          <w:i/>
          <w:sz w:val="16"/>
          <w:szCs w:val="22"/>
          <w:lang w:val="es-ES"/>
        </w:rPr>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veintidós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2">
    <w:p w14:paraId="390B3495" w14:textId="72AEEF10" w:rsidR="00B702FD" w:rsidRPr="00B702FD" w:rsidRDefault="00B702FD">
      <w:pPr>
        <w:pStyle w:val="Textonotapie"/>
      </w:pPr>
      <w:r>
        <w:rPr>
          <w:rStyle w:val="Refdenotaalpie"/>
        </w:rPr>
        <w:footnoteRef/>
      </w:r>
      <w:r>
        <w:t xml:space="preserve"> </w:t>
      </w:r>
      <w:r w:rsidRPr="002C158B">
        <w:rPr>
          <w:rFonts w:eastAsia="Batang" w:cs="Tahoma"/>
          <w:i/>
          <w:sz w:val="16"/>
          <w:szCs w:val="22"/>
          <w:lang w:val="es-ES"/>
        </w:rPr>
        <w:t xml:space="preserve">Si bien, se registró el </w:t>
      </w:r>
      <w:r>
        <w:rPr>
          <w:rFonts w:eastAsia="Batang" w:cs="Tahoma"/>
          <w:i/>
          <w:sz w:val="16"/>
          <w:szCs w:val="22"/>
          <w:lang w:val="es-ES"/>
        </w:rPr>
        <w:t xml:space="preserve">seis </w:t>
      </w:r>
      <w:r w:rsidRPr="002C158B">
        <w:rPr>
          <w:rFonts w:eastAsia="Batang" w:cs="Tahoma"/>
          <w:i/>
          <w:sz w:val="16"/>
          <w:szCs w:val="22"/>
          <w:lang w:val="es-ES"/>
        </w:rPr>
        <w:t xml:space="preserve">del mismo mes y año, a través de dicho portal, también lo es, que fue inhábil, de conformidad con </w:t>
      </w:r>
      <w:r>
        <w:rPr>
          <w:rFonts w:eastAsia="Batang" w:cs="Tahoma"/>
          <w:i/>
          <w:sz w:val="16"/>
          <w:szCs w:val="22"/>
          <w:lang w:val="es-ES"/>
        </w:rPr>
        <w:t xml:space="preserve">el </w:t>
      </w:r>
      <w:r w:rsidRPr="00B65681">
        <w:rPr>
          <w:rFonts w:eastAsia="Batang" w:cs="Tahoma"/>
          <w:i/>
          <w:sz w:val="16"/>
          <w:szCs w:val="22"/>
          <w:lang w:val="es-ES"/>
        </w:rPr>
        <w:t>Calendario Oficial en Materia de Transparencia, Acceso a la Información Pública y Protección de Datos Personales del Estado de México y Municipios, as</w:t>
      </w:r>
      <w:r>
        <w:rPr>
          <w:rFonts w:eastAsia="Batang" w:cs="Tahoma"/>
          <w:i/>
          <w:sz w:val="16"/>
          <w:szCs w:val="22"/>
          <w:lang w:val="es-ES"/>
        </w:rPr>
        <w:t>í como de labores del Instituto</w:t>
      </w:r>
      <w:r w:rsidRPr="002C158B">
        <w:rPr>
          <w:rFonts w:eastAsia="Batang" w:cs="Tahoma"/>
          <w:i/>
          <w:sz w:val="16"/>
          <w:szCs w:val="22"/>
          <w:lang w:val="es-ES"/>
        </w:rPr>
        <w:t>, por lo que, se tu</w:t>
      </w:r>
      <w:r>
        <w:rPr>
          <w:rFonts w:eastAsia="Batang" w:cs="Tahoma"/>
          <w:i/>
          <w:sz w:val="16"/>
          <w:szCs w:val="22"/>
          <w:lang w:val="es-ES"/>
        </w:rPr>
        <w:t xml:space="preserve">vo </w:t>
      </w:r>
      <w:r w:rsidRPr="002C158B">
        <w:rPr>
          <w:rFonts w:eastAsia="Batang" w:cs="Tahoma"/>
          <w:i/>
          <w:sz w:val="16"/>
          <w:szCs w:val="22"/>
          <w:lang w:val="es-ES"/>
        </w:rPr>
        <w:t>por recibido, el día hábil subsecuente</w:t>
      </w:r>
      <w:r>
        <w:rPr>
          <w:rFonts w:eastAsia="Batang" w:cs="Tahoma"/>
          <w:i/>
          <w:sz w:val="16"/>
          <w:szCs w:val="22"/>
          <w:lang w:val="es-ES"/>
        </w:rPr>
        <w:t>.</w:t>
      </w:r>
    </w:p>
  </w:footnote>
  <w:footnote w:id="3">
    <w:p w14:paraId="18152861" w14:textId="24537DB8" w:rsidR="00593838" w:rsidRPr="00C45B0A" w:rsidRDefault="00593838">
      <w:pPr>
        <w:pStyle w:val="Textonotapie"/>
        <w:rPr>
          <w:i/>
          <w:sz w:val="18"/>
        </w:rPr>
      </w:pPr>
      <w:r>
        <w:rPr>
          <w:rStyle w:val="Refdenotaalpie"/>
        </w:rPr>
        <w:footnoteRef/>
      </w:r>
      <w:r>
        <w:t xml:space="preserve"> </w:t>
      </w:r>
      <w:r w:rsidRPr="00C45B0A">
        <w:rPr>
          <w:i/>
          <w:sz w:val="18"/>
        </w:rPr>
        <w:t>https://legislacion.edomex.gob.mx/sites/legislacion.edomex.gob.mx/files/files/pdf/ley/vig/leyvig022.pdf</w:t>
      </w:r>
    </w:p>
  </w:footnote>
  <w:footnote w:id="4">
    <w:p w14:paraId="0698C02E" w14:textId="6B854465" w:rsidR="00593838" w:rsidRPr="00C45B0A" w:rsidRDefault="00593838">
      <w:pPr>
        <w:pStyle w:val="Textonotapie"/>
        <w:rPr>
          <w:i/>
          <w:sz w:val="18"/>
          <w:szCs w:val="18"/>
        </w:rPr>
      </w:pPr>
      <w:r>
        <w:rPr>
          <w:rStyle w:val="Refdenotaalpie"/>
        </w:rPr>
        <w:footnoteRef/>
      </w:r>
      <w:r>
        <w:t xml:space="preserve"> </w:t>
      </w:r>
      <w:r w:rsidRPr="00C45B0A">
        <w:rPr>
          <w:i/>
          <w:sz w:val="18"/>
          <w:szCs w:val="18"/>
        </w:rPr>
        <w:t>https://legislacion.edomex.gob.mx/sites/legislacion.edomex.gob.mx/files/files/pdf/bdo/bdo2025/bdo027.pdf</w:t>
      </w:r>
    </w:p>
  </w:footnote>
  <w:footnote w:id="5">
    <w:p w14:paraId="11ECC9EB" w14:textId="77EBE8D7" w:rsidR="00593838" w:rsidRPr="00B27531" w:rsidRDefault="00593838">
      <w:pPr>
        <w:pStyle w:val="Textonotapie"/>
        <w:rPr>
          <w:i/>
          <w:sz w:val="18"/>
          <w:szCs w:val="18"/>
        </w:rPr>
      </w:pPr>
      <w:r>
        <w:rPr>
          <w:rStyle w:val="Refdenotaalpie"/>
        </w:rPr>
        <w:footnoteRef/>
      </w:r>
      <w:r>
        <w:t xml:space="preserve"> </w:t>
      </w:r>
      <w:r w:rsidRPr="00B27531">
        <w:rPr>
          <w:i/>
          <w:sz w:val="18"/>
          <w:szCs w:val="18"/>
        </w:rPr>
        <w:t>https://ipomex.org.mx/ipomex/#/info-fraccion/10/116/22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593838" w:rsidRPr="00330DA7" w14:paraId="070A4B18" w14:textId="77777777" w:rsidTr="003F35FD">
      <w:trPr>
        <w:trHeight w:val="144"/>
        <w:jc w:val="right"/>
      </w:trPr>
      <w:tc>
        <w:tcPr>
          <w:tcW w:w="2727" w:type="dxa"/>
        </w:tcPr>
        <w:p w14:paraId="62B7493A" w14:textId="77777777" w:rsidR="00593838" w:rsidRPr="00330DA7" w:rsidRDefault="0059383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4BA0F405" w:rsidR="00593838" w:rsidRPr="00A90C72" w:rsidRDefault="00593838" w:rsidP="0089487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8212</w:t>
          </w:r>
          <w:r w:rsidRPr="006E7E69">
            <w:rPr>
              <w:rFonts w:eastAsia="Calibri" w:cs="Tahoma"/>
              <w:szCs w:val="22"/>
              <w:lang w:eastAsia="en-US"/>
            </w:rPr>
            <w:t>/INFOEM/IP/RR/2025</w:t>
          </w:r>
        </w:p>
      </w:tc>
    </w:tr>
    <w:tr w:rsidR="00593838" w:rsidRPr="00330DA7" w14:paraId="4521E058" w14:textId="77777777" w:rsidTr="003F35FD">
      <w:trPr>
        <w:trHeight w:val="283"/>
        <w:jc w:val="right"/>
      </w:trPr>
      <w:tc>
        <w:tcPr>
          <w:tcW w:w="2727" w:type="dxa"/>
        </w:tcPr>
        <w:p w14:paraId="0B68C086" w14:textId="77777777" w:rsidR="00593838" w:rsidRPr="00330DA7" w:rsidRDefault="0059383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658ED93" w:rsidR="00593838" w:rsidRPr="009233A1" w:rsidRDefault="00593838" w:rsidP="006E7E69">
          <w:pPr>
            <w:tabs>
              <w:tab w:val="right" w:pos="8838"/>
            </w:tabs>
            <w:spacing w:line="240" w:lineRule="auto"/>
            <w:ind w:left="-74" w:right="-105"/>
            <w:rPr>
              <w:rFonts w:eastAsia="Calibri" w:cs="Tahoma"/>
              <w:szCs w:val="22"/>
              <w:lang w:val="es-MX" w:eastAsia="en-US"/>
            </w:rPr>
          </w:pPr>
          <w:r w:rsidRPr="00894874">
            <w:rPr>
              <w:rFonts w:eastAsia="Calibri" w:cs="Tahoma"/>
              <w:szCs w:val="22"/>
              <w:lang w:eastAsia="en-US"/>
            </w:rPr>
            <w:t>Ayuntamiento de Coacalco de Berriozábal</w:t>
          </w:r>
        </w:p>
      </w:tc>
    </w:tr>
    <w:tr w:rsidR="00593838" w:rsidRPr="00330DA7" w14:paraId="6331D9B6" w14:textId="77777777" w:rsidTr="003F35FD">
      <w:trPr>
        <w:trHeight w:val="283"/>
        <w:jc w:val="right"/>
      </w:trPr>
      <w:tc>
        <w:tcPr>
          <w:tcW w:w="2727" w:type="dxa"/>
        </w:tcPr>
        <w:p w14:paraId="3FA86BAE" w14:textId="6568823B" w:rsidR="00593838" w:rsidRPr="00330DA7" w:rsidRDefault="0059383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593838" w:rsidRPr="00EA66FC" w:rsidRDefault="00593838"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593838" w:rsidRPr="00443C6B" w:rsidRDefault="0059383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1917885570" name="Imagen 1917885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593838" w:rsidRPr="00330DA7" w14:paraId="29CFF901" w14:textId="77777777" w:rsidTr="004D0573">
      <w:trPr>
        <w:trHeight w:val="1435"/>
      </w:trPr>
      <w:tc>
        <w:tcPr>
          <w:tcW w:w="283" w:type="dxa"/>
        </w:tcPr>
        <w:p w14:paraId="046B9F8F" w14:textId="08D561AC" w:rsidR="00593838" w:rsidRPr="00330DA7" w:rsidRDefault="00593838" w:rsidP="004D0573">
          <w:pPr>
            <w:tabs>
              <w:tab w:val="right" w:pos="4273"/>
            </w:tabs>
            <w:rPr>
              <w:rFonts w:ascii="Garamond" w:eastAsia="Calibri" w:hAnsi="Garamond"/>
              <w:szCs w:val="22"/>
              <w:lang w:eastAsia="en-US"/>
            </w:rPr>
          </w:pPr>
        </w:p>
      </w:tc>
      <w:tc>
        <w:tcPr>
          <w:tcW w:w="6379" w:type="dxa"/>
        </w:tcPr>
        <w:tbl>
          <w:tblPr>
            <w:tblStyle w:val="Tablaconcuadrcula"/>
            <w:tblW w:w="92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305"/>
            <w:gridCol w:w="3544"/>
            <w:gridCol w:w="3402"/>
          </w:tblGrid>
          <w:tr w:rsidR="00593838" w:rsidRPr="00330DA7" w14:paraId="04F272D2" w14:textId="77777777" w:rsidTr="004F4A1D">
            <w:trPr>
              <w:trHeight w:val="144"/>
            </w:trPr>
            <w:tc>
              <w:tcPr>
                <w:tcW w:w="2305" w:type="dxa"/>
              </w:tcPr>
              <w:p w14:paraId="2FD4DBF6" w14:textId="77777777" w:rsidR="00593838" w:rsidRPr="00330DA7" w:rsidRDefault="00593838" w:rsidP="004D0573">
                <w:pPr>
                  <w:tabs>
                    <w:tab w:val="right" w:pos="8838"/>
                  </w:tabs>
                  <w:spacing w:line="240"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4" w:type="dxa"/>
              </w:tcPr>
              <w:p w14:paraId="140729E3" w14:textId="2BB8D57E" w:rsidR="00593838" w:rsidRPr="004D0573" w:rsidRDefault="00593838" w:rsidP="00894874">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8212</w:t>
                </w:r>
                <w:r w:rsidRPr="006E7E69">
                  <w:rPr>
                    <w:rFonts w:eastAsia="Calibri" w:cs="Tahoma"/>
                    <w:szCs w:val="22"/>
                    <w:lang w:eastAsia="en-US"/>
                  </w:rPr>
                  <w:t>/INFOEM/IP/RR/2025</w:t>
                </w:r>
              </w:p>
            </w:tc>
            <w:tc>
              <w:tcPr>
                <w:tcW w:w="3402" w:type="dxa"/>
              </w:tcPr>
              <w:p w14:paraId="71DEA1CF" w14:textId="77777777" w:rsidR="00593838" w:rsidRDefault="00593838" w:rsidP="004D0573">
                <w:pPr>
                  <w:tabs>
                    <w:tab w:val="right" w:pos="8838"/>
                  </w:tabs>
                  <w:spacing w:line="240" w:lineRule="auto"/>
                  <w:ind w:left="-74" w:right="-105"/>
                  <w:rPr>
                    <w:rFonts w:eastAsia="Calibri" w:cs="Tahoma"/>
                    <w:szCs w:val="22"/>
                    <w:lang w:eastAsia="en-US"/>
                  </w:rPr>
                </w:pPr>
              </w:p>
            </w:tc>
          </w:tr>
          <w:tr w:rsidR="00593838" w:rsidRPr="00330DA7" w14:paraId="05C58951" w14:textId="77777777" w:rsidTr="004F4A1D">
            <w:trPr>
              <w:trHeight w:val="144"/>
            </w:trPr>
            <w:tc>
              <w:tcPr>
                <w:tcW w:w="2305" w:type="dxa"/>
              </w:tcPr>
              <w:p w14:paraId="642B9610" w14:textId="77777777" w:rsidR="00593838" w:rsidRPr="00330DA7" w:rsidRDefault="00593838" w:rsidP="004D0573">
                <w:pPr>
                  <w:tabs>
                    <w:tab w:val="right" w:pos="8838"/>
                  </w:tabs>
                  <w:spacing w:line="240"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4" w:type="dxa"/>
              </w:tcPr>
              <w:p w14:paraId="7728D15B" w14:textId="5679EB3C" w:rsidR="00593838" w:rsidRPr="004D0573" w:rsidRDefault="00CC12B8" w:rsidP="007946DA">
                <w:pPr>
                  <w:tabs>
                    <w:tab w:val="right" w:pos="8838"/>
                  </w:tabs>
                  <w:spacing w:line="240" w:lineRule="auto"/>
                  <w:ind w:left="-74" w:right="-105"/>
                  <w:rPr>
                    <w:rFonts w:eastAsia="Calibri" w:cs="Tahoma"/>
                    <w:szCs w:val="22"/>
                    <w:lang w:eastAsia="en-US"/>
                  </w:rPr>
                </w:pPr>
                <w:r>
                  <w:rPr>
                    <w:rFonts w:eastAsia="Calibri" w:cs="Tahoma"/>
                    <w:szCs w:val="22"/>
                    <w:lang w:eastAsia="en-US"/>
                  </w:rPr>
                  <w:t>XXXXXXXX XXXXXX XXXXXXX</w:t>
                </w:r>
              </w:p>
            </w:tc>
            <w:tc>
              <w:tcPr>
                <w:tcW w:w="3402" w:type="dxa"/>
              </w:tcPr>
              <w:p w14:paraId="73F47F53" w14:textId="77777777" w:rsidR="00593838" w:rsidRPr="005F19B1" w:rsidRDefault="00593838" w:rsidP="004D0573">
                <w:pPr>
                  <w:tabs>
                    <w:tab w:val="left" w:pos="3122"/>
                    <w:tab w:val="right" w:pos="8838"/>
                  </w:tabs>
                  <w:spacing w:line="240" w:lineRule="auto"/>
                  <w:ind w:left="-105" w:right="-105"/>
                  <w:rPr>
                    <w:rFonts w:eastAsia="Calibri" w:cs="Tahoma"/>
                    <w:szCs w:val="22"/>
                    <w:lang w:eastAsia="en-US"/>
                  </w:rPr>
                </w:pPr>
              </w:p>
            </w:tc>
          </w:tr>
          <w:bookmarkEnd w:id="1"/>
          <w:tr w:rsidR="00593838" w:rsidRPr="00330DA7" w14:paraId="00E6CDC1" w14:textId="77777777" w:rsidTr="004F4A1D">
            <w:trPr>
              <w:trHeight w:val="283"/>
            </w:trPr>
            <w:tc>
              <w:tcPr>
                <w:tcW w:w="2305" w:type="dxa"/>
              </w:tcPr>
              <w:p w14:paraId="0631AD24" w14:textId="77777777" w:rsidR="00593838" w:rsidRPr="00330DA7" w:rsidRDefault="00593838"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544" w:type="dxa"/>
              </w:tcPr>
              <w:p w14:paraId="3ACBE0D8" w14:textId="52A6C7B0" w:rsidR="00593838" w:rsidRPr="004D0573" w:rsidRDefault="00593838" w:rsidP="007946DA">
                <w:pPr>
                  <w:tabs>
                    <w:tab w:val="right" w:pos="8838"/>
                  </w:tabs>
                  <w:spacing w:line="240" w:lineRule="auto"/>
                  <w:ind w:left="-74" w:right="-105"/>
                  <w:rPr>
                    <w:rFonts w:eastAsia="Calibri" w:cs="Tahoma"/>
                    <w:szCs w:val="22"/>
                    <w:lang w:eastAsia="en-US"/>
                  </w:rPr>
                </w:pPr>
                <w:r w:rsidRPr="00894874">
                  <w:rPr>
                    <w:rFonts w:eastAsia="Calibri" w:cs="Tahoma"/>
                    <w:szCs w:val="22"/>
                    <w:lang w:eastAsia="en-US"/>
                  </w:rPr>
                  <w:t>Ayuntamiento de Coacalco de Berriozábal</w:t>
                </w:r>
              </w:p>
            </w:tc>
            <w:tc>
              <w:tcPr>
                <w:tcW w:w="3402" w:type="dxa"/>
              </w:tcPr>
              <w:p w14:paraId="3A7DA319" w14:textId="77777777" w:rsidR="00593838" w:rsidRPr="00A90C72" w:rsidRDefault="00593838" w:rsidP="004D0573">
                <w:pPr>
                  <w:tabs>
                    <w:tab w:val="left" w:pos="2834"/>
                    <w:tab w:val="right" w:pos="8838"/>
                  </w:tabs>
                  <w:spacing w:line="240" w:lineRule="auto"/>
                  <w:ind w:left="-108" w:right="-105"/>
                  <w:rPr>
                    <w:rFonts w:eastAsia="Calibri" w:cs="Tahoma"/>
                    <w:szCs w:val="22"/>
                    <w:lang w:eastAsia="en-US"/>
                  </w:rPr>
                </w:pPr>
              </w:p>
            </w:tc>
          </w:tr>
          <w:tr w:rsidR="00593838" w:rsidRPr="00330DA7" w14:paraId="0F6CD8D2" w14:textId="77777777" w:rsidTr="004F4A1D">
            <w:trPr>
              <w:trHeight w:val="283"/>
            </w:trPr>
            <w:tc>
              <w:tcPr>
                <w:tcW w:w="2305" w:type="dxa"/>
              </w:tcPr>
              <w:p w14:paraId="31700628" w14:textId="0565A62A" w:rsidR="00593838" w:rsidRPr="00330DA7" w:rsidRDefault="00593838"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4" w:type="dxa"/>
              </w:tcPr>
              <w:p w14:paraId="31A90A58" w14:textId="75878977" w:rsidR="00593838" w:rsidRPr="00EA66FC" w:rsidRDefault="00593838" w:rsidP="004F4A1D">
                <w:pPr>
                  <w:tabs>
                    <w:tab w:val="right" w:pos="8838"/>
                  </w:tabs>
                  <w:spacing w:line="240" w:lineRule="auto"/>
                  <w:ind w:left="-74"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593838" w:rsidRPr="00330DA7" w:rsidRDefault="00593838" w:rsidP="004D0573">
                <w:pPr>
                  <w:tabs>
                    <w:tab w:val="right" w:pos="8838"/>
                  </w:tabs>
                  <w:spacing w:line="240" w:lineRule="auto"/>
                  <w:ind w:left="-108" w:right="-105"/>
                  <w:rPr>
                    <w:rFonts w:eastAsia="Calibri" w:cs="Tahoma"/>
                    <w:szCs w:val="22"/>
                    <w:lang w:eastAsia="en-US"/>
                  </w:rPr>
                </w:pPr>
              </w:p>
            </w:tc>
          </w:tr>
        </w:tbl>
        <w:p w14:paraId="5DC6AC61" w14:textId="77777777" w:rsidR="00593838" w:rsidRPr="00330DA7" w:rsidRDefault="00593838" w:rsidP="004D0573">
          <w:pPr>
            <w:tabs>
              <w:tab w:val="right" w:pos="8838"/>
            </w:tabs>
            <w:ind w:left="-28"/>
            <w:rPr>
              <w:rFonts w:ascii="Arial" w:eastAsia="Calibri" w:hAnsi="Arial" w:cs="Arial"/>
              <w:b/>
              <w:szCs w:val="22"/>
              <w:lang w:eastAsia="en-US"/>
            </w:rPr>
          </w:pPr>
        </w:p>
      </w:tc>
    </w:tr>
  </w:tbl>
  <w:p w14:paraId="2A906731" w14:textId="77777777" w:rsidR="00593838" w:rsidRPr="00765661" w:rsidRDefault="00B35917"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BF4E84"/>
    <w:multiLevelType w:val="hybridMultilevel"/>
    <w:tmpl w:val="CAEE8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87497F"/>
    <w:multiLevelType w:val="hybridMultilevel"/>
    <w:tmpl w:val="289089B8"/>
    <w:lvl w:ilvl="0" w:tplc="6832D800">
      <w:start w:val="3"/>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0A7281"/>
    <w:multiLevelType w:val="hybridMultilevel"/>
    <w:tmpl w:val="FEDA9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7A708C4"/>
    <w:multiLevelType w:val="hybridMultilevel"/>
    <w:tmpl w:val="8E6075BA"/>
    <w:lvl w:ilvl="0" w:tplc="8746EC66">
      <w:start w:val="2"/>
      <w:numFmt w:val="bullet"/>
      <w:lvlText w:val=""/>
      <w:lvlJc w:val="left"/>
      <w:pPr>
        <w:ind w:left="720" w:hanging="360"/>
      </w:pPr>
      <w:rPr>
        <w:rFonts w:ascii="Symbol" w:eastAsia="Times New Roman"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7734C2"/>
    <w:multiLevelType w:val="multilevel"/>
    <w:tmpl w:val="0D20E698"/>
    <w:lvl w:ilvl="0">
      <w:start w:val="1"/>
      <w:numFmt w:val="bullet"/>
      <w:lvlText w:val=""/>
      <w:lvlJc w:val="left"/>
      <w:pPr>
        <w:ind w:left="360" w:hanging="360"/>
      </w:pPr>
      <w:rPr>
        <w:rFonts w:ascii="Symbol" w:hAnsi="Symbo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1655D6"/>
    <w:multiLevelType w:val="hybridMultilevel"/>
    <w:tmpl w:val="73D08DC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6000374B"/>
    <w:multiLevelType w:val="hybridMultilevel"/>
    <w:tmpl w:val="A134CC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8D17284"/>
    <w:multiLevelType w:val="multilevel"/>
    <w:tmpl w:val="FBD013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6B7B2E00"/>
    <w:multiLevelType w:val="hybridMultilevel"/>
    <w:tmpl w:val="D6504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D212F69"/>
    <w:multiLevelType w:val="hybridMultilevel"/>
    <w:tmpl w:val="381AB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8"/>
  </w:num>
  <w:num w:numId="4">
    <w:abstractNumId w:val="7"/>
  </w:num>
  <w:num w:numId="5">
    <w:abstractNumId w:val="6"/>
  </w:num>
  <w:num w:numId="6">
    <w:abstractNumId w:val="4"/>
  </w:num>
  <w:num w:numId="7">
    <w:abstractNumId w:val="10"/>
  </w:num>
  <w:num w:numId="8">
    <w:abstractNumId w:val="3"/>
  </w:num>
  <w:num w:numId="9">
    <w:abstractNumId w:val="5"/>
  </w:num>
  <w:num w:numId="10">
    <w:abstractNumId w:val="9"/>
  </w:num>
  <w:num w:numId="11">
    <w:abstractNumId w:val="11"/>
  </w:num>
  <w:num w:numId="12">
    <w:abstractNumId w:val="1"/>
  </w:num>
  <w:num w:numId="1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42E"/>
    <w:rsid w:val="0000610F"/>
    <w:rsid w:val="0000629A"/>
    <w:rsid w:val="00011232"/>
    <w:rsid w:val="00015096"/>
    <w:rsid w:val="0002630F"/>
    <w:rsid w:val="000318BC"/>
    <w:rsid w:val="00033156"/>
    <w:rsid w:val="0003785B"/>
    <w:rsid w:val="00042FBB"/>
    <w:rsid w:val="0005424A"/>
    <w:rsid w:val="00055EEC"/>
    <w:rsid w:val="00057B2D"/>
    <w:rsid w:val="00065518"/>
    <w:rsid w:val="000726A6"/>
    <w:rsid w:val="0007368A"/>
    <w:rsid w:val="00076F9E"/>
    <w:rsid w:val="000777E2"/>
    <w:rsid w:val="00080071"/>
    <w:rsid w:val="000A0798"/>
    <w:rsid w:val="000A2470"/>
    <w:rsid w:val="000B55C1"/>
    <w:rsid w:val="000C3BBA"/>
    <w:rsid w:val="000D0D67"/>
    <w:rsid w:val="000D7574"/>
    <w:rsid w:val="000E09C4"/>
    <w:rsid w:val="000E23B9"/>
    <w:rsid w:val="000F32E8"/>
    <w:rsid w:val="000F46F7"/>
    <w:rsid w:val="00103C8A"/>
    <w:rsid w:val="00107F71"/>
    <w:rsid w:val="0011350D"/>
    <w:rsid w:val="001144FB"/>
    <w:rsid w:val="00116F45"/>
    <w:rsid w:val="00117DDB"/>
    <w:rsid w:val="00127130"/>
    <w:rsid w:val="00135056"/>
    <w:rsid w:val="00141876"/>
    <w:rsid w:val="0014207B"/>
    <w:rsid w:val="00147EF3"/>
    <w:rsid w:val="00150C49"/>
    <w:rsid w:val="00156E62"/>
    <w:rsid w:val="00173DDB"/>
    <w:rsid w:val="00185C7C"/>
    <w:rsid w:val="001878E5"/>
    <w:rsid w:val="00194895"/>
    <w:rsid w:val="001A58B3"/>
    <w:rsid w:val="001B7A79"/>
    <w:rsid w:val="001C555C"/>
    <w:rsid w:val="001C6BE2"/>
    <w:rsid w:val="001C7688"/>
    <w:rsid w:val="001D2464"/>
    <w:rsid w:val="001D5BAD"/>
    <w:rsid w:val="001E0CFD"/>
    <w:rsid w:val="001F3515"/>
    <w:rsid w:val="002015AE"/>
    <w:rsid w:val="00207684"/>
    <w:rsid w:val="00211F42"/>
    <w:rsid w:val="00220643"/>
    <w:rsid w:val="00233005"/>
    <w:rsid w:val="00233F17"/>
    <w:rsid w:val="00237120"/>
    <w:rsid w:val="00245D19"/>
    <w:rsid w:val="002837A9"/>
    <w:rsid w:val="002874AA"/>
    <w:rsid w:val="00287F85"/>
    <w:rsid w:val="00293D29"/>
    <w:rsid w:val="002958FA"/>
    <w:rsid w:val="002961A6"/>
    <w:rsid w:val="002961B5"/>
    <w:rsid w:val="0029641C"/>
    <w:rsid w:val="002973A3"/>
    <w:rsid w:val="002A3601"/>
    <w:rsid w:val="002A55E4"/>
    <w:rsid w:val="002B1D44"/>
    <w:rsid w:val="002B36C6"/>
    <w:rsid w:val="002B4ED6"/>
    <w:rsid w:val="002B7C6F"/>
    <w:rsid w:val="002D111C"/>
    <w:rsid w:val="002D5933"/>
    <w:rsid w:val="002E18F0"/>
    <w:rsid w:val="002E1A68"/>
    <w:rsid w:val="002F259B"/>
    <w:rsid w:val="002F6393"/>
    <w:rsid w:val="00302476"/>
    <w:rsid w:val="00304C8C"/>
    <w:rsid w:val="00331F35"/>
    <w:rsid w:val="00335CDF"/>
    <w:rsid w:val="00341E94"/>
    <w:rsid w:val="00346BC2"/>
    <w:rsid w:val="00350EF1"/>
    <w:rsid w:val="00362A11"/>
    <w:rsid w:val="00370111"/>
    <w:rsid w:val="00386CD1"/>
    <w:rsid w:val="003920C8"/>
    <w:rsid w:val="003A3A7E"/>
    <w:rsid w:val="003A40C1"/>
    <w:rsid w:val="003A67CC"/>
    <w:rsid w:val="003B0255"/>
    <w:rsid w:val="003B0AEC"/>
    <w:rsid w:val="003B2486"/>
    <w:rsid w:val="003B5D3E"/>
    <w:rsid w:val="003E1237"/>
    <w:rsid w:val="003E62BA"/>
    <w:rsid w:val="003F35FD"/>
    <w:rsid w:val="00402D3A"/>
    <w:rsid w:val="0041385B"/>
    <w:rsid w:val="00416357"/>
    <w:rsid w:val="004221EF"/>
    <w:rsid w:val="00430170"/>
    <w:rsid w:val="00441BFA"/>
    <w:rsid w:val="00454FBD"/>
    <w:rsid w:val="004565C2"/>
    <w:rsid w:val="00475649"/>
    <w:rsid w:val="00475FF6"/>
    <w:rsid w:val="00481174"/>
    <w:rsid w:val="004B001B"/>
    <w:rsid w:val="004B528E"/>
    <w:rsid w:val="004C1963"/>
    <w:rsid w:val="004C43D3"/>
    <w:rsid w:val="004D0573"/>
    <w:rsid w:val="004D7CD8"/>
    <w:rsid w:val="004E2939"/>
    <w:rsid w:val="004E5068"/>
    <w:rsid w:val="004F4A1D"/>
    <w:rsid w:val="004F7A00"/>
    <w:rsid w:val="00502BFE"/>
    <w:rsid w:val="005122DD"/>
    <w:rsid w:val="00522385"/>
    <w:rsid w:val="00523E60"/>
    <w:rsid w:val="00523F48"/>
    <w:rsid w:val="005365FA"/>
    <w:rsid w:val="00536C50"/>
    <w:rsid w:val="005371E5"/>
    <w:rsid w:val="005432B1"/>
    <w:rsid w:val="00550AB5"/>
    <w:rsid w:val="0055624C"/>
    <w:rsid w:val="005723CB"/>
    <w:rsid w:val="00572D8F"/>
    <w:rsid w:val="00575157"/>
    <w:rsid w:val="00575400"/>
    <w:rsid w:val="0057577A"/>
    <w:rsid w:val="00590768"/>
    <w:rsid w:val="00591A20"/>
    <w:rsid w:val="0059269D"/>
    <w:rsid w:val="00593838"/>
    <w:rsid w:val="00593C1F"/>
    <w:rsid w:val="005A468E"/>
    <w:rsid w:val="005A5BF2"/>
    <w:rsid w:val="005B18AF"/>
    <w:rsid w:val="005B45A1"/>
    <w:rsid w:val="005D5A50"/>
    <w:rsid w:val="005F5301"/>
    <w:rsid w:val="005F65B7"/>
    <w:rsid w:val="00604C8C"/>
    <w:rsid w:val="006067C7"/>
    <w:rsid w:val="006159AD"/>
    <w:rsid w:val="00646436"/>
    <w:rsid w:val="00650BD0"/>
    <w:rsid w:val="00657603"/>
    <w:rsid w:val="00664420"/>
    <w:rsid w:val="00681D80"/>
    <w:rsid w:val="006A21FC"/>
    <w:rsid w:val="006A312B"/>
    <w:rsid w:val="006A646A"/>
    <w:rsid w:val="006B10B0"/>
    <w:rsid w:val="006D3237"/>
    <w:rsid w:val="006E0098"/>
    <w:rsid w:val="006E13CF"/>
    <w:rsid w:val="006E25BC"/>
    <w:rsid w:val="006E6BBC"/>
    <w:rsid w:val="006E7E69"/>
    <w:rsid w:val="006F1B75"/>
    <w:rsid w:val="006F4720"/>
    <w:rsid w:val="006F7768"/>
    <w:rsid w:val="0070237B"/>
    <w:rsid w:val="00712E69"/>
    <w:rsid w:val="00717E59"/>
    <w:rsid w:val="0072281B"/>
    <w:rsid w:val="00724F22"/>
    <w:rsid w:val="00735B49"/>
    <w:rsid w:val="007437D3"/>
    <w:rsid w:val="007517BD"/>
    <w:rsid w:val="0075751F"/>
    <w:rsid w:val="0076337C"/>
    <w:rsid w:val="00773DD6"/>
    <w:rsid w:val="00773EAB"/>
    <w:rsid w:val="00775BFC"/>
    <w:rsid w:val="00777D52"/>
    <w:rsid w:val="007814CE"/>
    <w:rsid w:val="0078661B"/>
    <w:rsid w:val="00790763"/>
    <w:rsid w:val="00790F0D"/>
    <w:rsid w:val="007946DA"/>
    <w:rsid w:val="00794BA5"/>
    <w:rsid w:val="007A2B8D"/>
    <w:rsid w:val="007A3459"/>
    <w:rsid w:val="007B6074"/>
    <w:rsid w:val="007C7C47"/>
    <w:rsid w:val="007D1C55"/>
    <w:rsid w:val="007D1C84"/>
    <w:rsid w:val="007D317F"/>
    <w:rsid w:val="007D4311"/>
    <w:rsid w:val="007E07E1"/>
    <w:rsid w:val="007F090A"/>
    <w:rsid w:val="007F5D06"/>
    <w:rsid w:val="007F7BE4"/>
    <w:rsid w:val="0080265B"/>
    <w:rsid w:val="00804F62"/>
    <w:rsid w:val="00805A6E"/>
    <w:rsid w:val="00811211"/>
    <w:rsid w:val="0082003A"/>
    <w:rsid w:val="00823BA5"/>
    <w:rsid w:val="00826C28"/>
    <w:rsid w:val="00831728"/>
    <w:rsid w:val="00860F56"/>
    <w:rsid w:val="00864CC1"/>
    <w:rsid w:val="00865CF4"/>
    <w:rsid w:val="00876DBC"/>
    <w:rsid w:val="00880617"/>
    <w:rsid w:val="00894874"/>
    <w:rsid w:val="008950DC"/>
    <w:rsid w:val="008974D7"/>
    <w:rsid w:val="008A6003"/>
    <w:rsid w:val="008A6F88"/>
    <w:rsid w:val="008B1E16"/>
    <w:rsid w:val="008E1316"/>
    <w:rsid w:val="008E6224"/>
    <w:rsid w:val="00903DBE"/>
    <w:rsid w:val="00906892"/>
    <w:rsid w:val="00910FD2"/>
    <w:rsid w:val="00911079"/>
    <w:rsid w:val="00917D63"/>
    <w:rsid w:val="009233A1"/>
    <w:rsid w:val="00931437"/>
    <w:rsid w:val="009321C0"/>
    <w:rsid w:val="00936B5A"/>
    <w:rsid w:val="00953430"/>
    <w:rsid w:val="009543FA"/>
    <w:rsid w:val="009556B0"/>
    <w:rsid w:val="00965890"/>
    <w:rsid w:val="00967191"/>
    <w:rsid w:val="00970EB3"/>
    <w:rsid w:val="0097369C"/>
    <w:rsid w:val="00976247"/>
    <w:rsid w:val="00982877"/>
    <w:rsid w:val="0098693C"/>
    <w:rsid w:val="00993ED0"/>
    <w:rsid w:val="009A1340"/>
    <w:rsid w:val="009A1D9C"/>
    <w:rsid w:val="009A2D78"/>
    <w:rsid w:val="009A2EDE"/>
    <w:rsid w:val="009A333B"/>
    <w:rsid w:val="009A7C10"/>
    <w:rsid w:val="009B2945"/>
    <w:rsid w:val="009D1F35"/>
    <w:rsid w:val="009D2BD9"/>
    <w:rsid w:val="009E2DEE"/>
    <w:rsid w:val="009E45F2"/>
    <w:rsid w:val="009E4644"/>
    <w:rsid w:val="009F4DEA"/>
    <w:rsid w:val="009F797C"/>
    <w:rsid w:val="00A131AC"/>
    <w:rsid w:val="00A16D85"/>
    <w:rsid w:val="00A21A20"/>
    <w:rsid w:val="00A35DA7"/>
    <w:rsid w:val="00A36A99"/>
    <w:rsid w:val="00A41792"/>
    <w:rsid w:val="00A53315"/>
    <w:rsid w:val="00A5739C"/>
    <w:rsid w:val="00A6091A"/>
    <w:rsid w:val="00A63966"/>
    <w:rsid w:val="00A6415E"/>
    <w:rsid w:val="00A70EF0"/>
    <w:rsid w:val="00A76102"/>
    <w:rsid w:val="00A815EA"/>
    <w:rsid w:val="00A9208D"/>
    <w:rsid w:val="00A964CC"/>
    <w:rsid w:val="00AA42E0"/>
    <w:rsid w:val="00AA6EA9"/>
    <w:rsid w:val="00AB6109"/>
    <w:rsid w:val="00AC2DB8"/>
    <w:rsid w:val="00AC3CA0"/>
    <w:rsid w:val="00AD4855"/>
    <w:rsid w:val="00AE3DA7"/>
    <w:rsid w:val="00AE5AEF"/>
    <w:rsid w:val="00AF03C4"/>
    <w:rsid w:val="00AF7FB6"/>
    <w:rsid w:val="00B00D07"/>
    <w:rsid w:val="00B136B3"/>
    <w:rsid w:val="00B137E8"/>
    <w:rsid w:val="00B169A2"/>
    <w:rsid w:val="00B22A80"/>
    <w:rsid w:val="00B23237"/>
    <w:rsid w:val="00B27531"/>
    <w:rsid w:val="00B35917"/>
    <w:rsid w:val="00B36848"/>
    <w:rsid w:val="00B61BCE"/>
    <w:rsid w:val="00B65555"/>
    <w:rsid w:val="00B702FD"/>
    <w:rsid w:val="00B77590"/>
    <w:rsid w:val="00BA1AB6"/>
    <w:rsid w:val="00BA55A8"/>
    <w:rsid w:val="00BB1346"/>
    <w:rsid w:val="00BB2ABF"/>
    <w:rsid w:val="00BB64F4"/>
    <w:rsid w:val="00BC09EE"/>
    <w:rsid w:val="00BC1202"/>
    <w:rsid w:val="00BD0C74"/>
    <w:rsid w:val="00BD2738"/>
    <w:rsid w:val="00BD3F4F"/>
    <w:rsid w:val="00BD5A7C"/>
    <w:rsid w:val="00BD74EE"/>
    <w:rsid w:val="00BE7A1B"/>
    <w:rsid w:val="00BF0221"/>
    <w:rsid w:val="00BF091A"/>
    <w:rsid w:val="00BF4EAD"/>
    <w:rsid w:val="00BF51BF"/>
    <w:rsid w:val="00C00D03"/>
    <w:rsid w:val="00C049E2"/>
    <w:rsid w:val="00C10E0C"/>
    <w:rsid w:val="00C229BF"/>
    <w:rsid w:val="00C30616"/>
    <w:rsid w:val="00C32F8C"/>
    <w:rsid w:val="00C351EC"/>
    <w:rsid w:val="00C36795"/>
    <w:rsid w:val="00C42CA7"/>
    <w:rsid w:val="00C435EF"/>
    <w:rsid w:val="00C45B0A"/>
    <w:rsid w:val="00C461EC"/>
    <w:rsid w:val="00C507D4"/>
    <w:rsid w:val="00C71CEF"/>
    <w:rsid w:val="00C72DAA"/>
    <w:rsid w:val="00C73A98"/>
    <w:rsid w:val="00C7571D"/>
    <w:rsid w:val="00C80B14"/>
    <w:rsid w:val="00CA12F3"/>
    <w:rsid w:val="00CA50B3"/>
    <w:rsid w:val="00CB1CC2"/>
    <w:rsid w:val="00CB7C31"/>
    <w:rsid w:val="00CB7E9A"/>
    <w:rsid w:val="00CC12B8"/>
    <w:rsid w:val="00CC5B40"/>
    <w:rsid w:val="00CD0B92"/>
    <w:rsid w:val="00CD2555"/>
    <w:rsid w:val="00CD3244"/>
    <w:rsid w:val="00CE1DFB"/>
    <w:rsid w:val="00CE29D3"/>
    <w:rsid w:val="00CE58F2"/>
    <w:rsid w:val="00CF2D8B"/>
    <w:rsid w:val="00CF7586"/>
    <w:rsid w:val="00CF7F0C"/>
    <w:rsid w:val="00D036D3"/>
    <w:rsid w:val="00D07C17"/>
    <w:rsid w:val="00D161C4"/>
    <w:rsid w:val="00D20F17"/>
    <w:rsid w:val="00D228A6"/>
    <w:rsid w:val="00D2790D"/>
    <w:rsid w:val="00D44B43"/>
    <w:rsid w:val="00D51ECD"/>
    <w:rsid w:val="00D53824"/>
    <w:rsid w:val="00D53CE6"/>
    <w:rsid w:val="00D5461D"/>
    <w:rsid w:val="00D55FDA"/>
    <w:rsid w:val="00D6170E"/>
    <w:rsid w:val="00D624CE"/>
    <w:rsid w:val="00D818FD"/>
    <w:rsid w:val="00D833BE"/>
    <w:rsid w:val="00D91CB4"/>
    <w:rsid w:val="00DA22DC"/>
    <w:rsid w:val="00DA54C1"/>
    <w:rsid w:val="00DA7097"/>
    <w:rsid w:val="00DB1C09"/>
    <w:rsid w:val="00DC30FA"/>
    <w:rsid w:val="00DE1133"/>
    <w:rsid w:val="00DF5F36"/>
    <w:rsid w:val="00DF6EB8"/>
    <w:rsid w:val="00E11AA0"/>
    <w:rsid w:val="00E16BF5"/>
    <w:rsid w:val="00E27023"/>
    <w:rsid w:val="00E2750A"/>
    <w:rsid w:val="00E33233"/>
    <w:rsid w:val="00E37496"/>
    <w:rsid w:val="00E37A3F"/>
    <w:rsid w:val="00E37D3C"/>
    <w:rsid w:val="00E50B4D"/>
    <w:rsid w:val="00E5180E"/>
    <w:rsid w:val="00E62E6A"/>
    <w:rsid w:val="00E719B0"/>
    <w:rsid w:val="00E73A29"/>
    <w:rsid w:val="00E83EF5"/>
    <w:rsid w:val="00E9335C"/>
    <w:rsid w:val="00EB7EF2"/>
    <w:rsid w:val="00ED1C1E"/>
    <w:rsid w:val="00EE2AF2"/>
    <w:rsid w:val="00EE7028"/>
    <w:rsid w:val="00EE77E9"/>
    <w:rsid w:val="00EF5B88"/>
    <w:rsid w:val="00EF5CB5"/>
    <w:rsid w:val="00EF6D46"/>
    <w:rsid w:val="00F07EE6"/>
    <w:rsid w:val="00F24218"/>
    <w:rsid w:val="00F24B1F"/>
    <w:rsid w:val="00F32348"/>
    <w:rsid w:val="00F33CC8"/>
    <w:rsid w:val="00F378DD"/>
    <w:rsid w:val="00F4481C"/>
    <w:rsid w:val="00F45902"/>
    <w:rsid w:val="00F52005"/>
    <w:rsid w:val="00F52089"/>
    <w:rsid w:val="00F75D23"/>
    <w:rsid w:val="00F7665B"/>
    <w:rsid w:val="00F8365A"/>
    <w:rsid w:val="00F8547A"/>
    <w:rsid w:val="00F86DF5"/>
    <w:rsid w:val="00F876EE"/>
    <w:rsid w:val="00F93742"/>
    <w:rsid w:val="00FA24A5"/>
    <w:rsid w:val="00FA5957"/>
    <w:rsid w:val="00FC3CE0"/>
    <w:rsid w:val="00FC7090"/>
    <w:rsid w:val="00FD06A8"/>
    <w:rsid w:val="00FE1865"/>
    <w:rsid w:val="00FF7A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20C8"/>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4F4A1D"/>
    <w:rPr>
      <w:color w:val="605E5C"/>
      <w:shd w:val="clear" w:color="auto" w:fill="E1DFDD"/>
    </w:rPr>
  </w:style>
  <w:style w:type="character" w:customStyle="1" w:styleId="Mencinsinresolver2">
    <w:name w:val="Mención sin resolver2"/>
    <w:basedOn w:val="Fuentedeprrafopredeter"/>
    <w:uiPriority w:val="99"/>
    <w:semiHidden/>
    <w:unhideWhenUsed/>
    <w:rsid w:val="0059269D"/>
    <w:rPr>
      <w:color w:val="605E5C"/>
      <w:shd w:val="clear" w:color="auto" w:fill="E1DFDD"/>
    </w:rPr>
  </w:style>
  <w:style w:type="table" w:customStyle="1" w:styleId="Tablaconcuadrcula1">
    <w:name w:val="Tabla con cuadrícula1"/>
    <w:basedOn w:val="Tablanormal"/>
    <w:next w:val="Tablaconcuadrcula"/>
    <w:uiPriority w:val="39"/>
    <w:rsid w:val="00C45B0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79538">
      <w:bodyDiv w:val="1"/>
      <w:marLeft w:val="0"/>
      <w:marRight w:val="0"/>
      <w:marTop w:val="0"/>
      <w:marBottom w:val="0"/>
      <w:divBdr>
        <w:top w:val="none" w:sz="0" w:space="0" w:color="auto"/>
        <w:left w:val="none" w:sz="0" w:space="0" w:color="auto"/>
        <w:bottom w:val="none" w:sz="0" w:space="0" w:color="auto"/>
        <w:right w:val="none" w:sz="0" w:space="0" w:color="auto"/>
      </w:divBdr>
    </w:div>
    <w:div w:id="69040157">
      <w:bodyDiv w:val="1"/>
      <w:marLeft w:val="0"/>
      <w:marRight w:val="0"/>
      <w:marTop w:val="0"/>
      <w:marBottom w:val="0"/>
      <w:divBdr>
        <w:top w:val="none" w:sz="0" w:space="0" w:color="auto"/>
        <w:left w:val="none" w:sz="0" w:space="0" w:color="auto"/>
        <w:bottom w:val="none" w:sz="0" w:space="0" w:color="auto"/>
        <w:right w:val="none" w:sz="0" w:space="0" w:color="auto"/>
      </w:divBdr>
    </w:div>
    <w:div w:id="184251272">
      <w:bodyDiv w:val="1"/>
      <w:marLeft w:val="0"/>
      <w:marRight w:val="0"/>
      <w:marTop w:val="0"/>
      <w:marBottom w:val="0"/>
      <w:divBdr>
        <w:top w:val="none" w:sz="0" w:space="0" w:color="auto"/>
        <w:left w:val="none" w:sz="0" w:space="0" w:color="auto"/>
        <w:bottom w:val="none" w:sz="0" w:space="0" w:color="auto"/>
        <w:right w:val="none" w:sz="0" w:space="0" w:color="auto"/>
      </w:divBdr>
    </w:div>
    <w:div w:id="197478678">
      <w:bodyDiv w:val="1"/>
      <w:marLeft w:val="0"/>
      <w:marRight w:val="0"/>
      <w:marTop w:val="0"/>
      <w:marBottom w:val="0"/>
      <w:divBdr>
        <w:top w:val="none" w:sz="0" w:space="0" w:color="auto"/>
        <w:left w:val="none" w:sz="0" w:space="0" w:color="auto"/>
        <w:bottom w:val="none" w:sz="0" w:space="0" w:color="auto"/>
        <w:right w:val="none" w:sz="0" w:space="0" w:color="auto"/>
      </w:divBdr>
    </w:div>
    <w:div w:id="221984269">
      <w:bodyDiv w:val="1"/>
      <w:marLeft w:val="0"/>
      <w:marRight w:val="0"/>
      <w:marTop w:val="0"/>
      <w:marBottom w:val="0"/>
      <w:divBdr>
        <w:top w:val="none" w:sz="0" w:space="0" w:color="auto"/>
        <w:left w:val="none" w:sz="0" w:space="0" w:color="auto"/>
        <w:bottom w:val="none" w:sz="0" w:space="0" w:color="auto"/>
        <w:right w:val="none" w:sz="0" w:space="0" w:color="auto"/>
      </w:divBdr>
      <w:divsChild>
        <w:div w:id="239946824">
          <w:marLeft w:val="0"/>
          <w:marRight w:val="0"/>
          <w:marTop w:val="0"/>
          <w:marBottom w:val="0"/>
          <w:divBdr>
            <w:top w:val="none" w:sz="0" w:space="0" w:color="auto"/>
            <w:left w:val="none" w:sz="0" w:space="0" w:color="auto"/>
            <w:bottom w:val="none" w:sz="0" w:space="0" w:color="auto"/>
            <w:right w:val="none" w:sz="0" w:space="0" w:color="auto"/>
          </w:divBdr>
        </w:div>
      </w:divsChild>
    </w:div>
    <w:div w:id="281615116">
      <w:bodyDiv w:val="1"/>
      <w:marLeft w:val="0"/>
      <w:marRight w:val="0"/>
      <w:marTop w:val="0"/>
      <w:marBottom w:val="0"/>
      <w:divBdr>
        <w:top w:val="none" w:sz="0" w:space="0" w:color="auto"/>
        <w:left w:val="none" w:sz="0" w:space="0" w:color="auto"/>
        <w:bottom w:val="none" w:sz="0" w:space="0" w:color="auto"/>
        <w:right w:val="none" w:sz="0" w:space="0" w:color="auto"/>
      </w:divBdr>
    </w:div>
    <w:div w:id="298345227">
      <w:bodyDiv w:val="1"/>
      <w:marLeft w:val="0"/>
      <w:marRight w:val="0"/>
      <w:marTop w:val="0"/>
      <w:marBottom w:val="0"/>
      <w:divBdr>
        <w:top w:val="none" w:sz="0" w:space="0" w:color="auto"/>
        <w:left w:val="none" w:sz="0" w:space="0" w:color="auto"/>
        <w:bottom w:val="none" w:sz="0" w:space="0" w:color="auto"/>
        <w:right w:val="none" w:sz="0" w:space="0" w:color="auto"/>
      </w:divBdr>
    </w:div>
    <w:div w:id="399325505">
      <w:bodyDiv w:val="1"/>
      <w:marLeft w:val="0"/>
      <w:marRight w:val="0"/>
      <w:marTop w:val="0"/>
      <w:marBottom w:val="0"/>
      <w:divBdr>
        <w:top w:val="none" w:sz="0" w:space="0" w:color="auto"/>
        <w:left w:val="none" w:sz="0" w:space="0" w:color="auto"/>
        <w:bottom w:val="none" w:sz="0" w:space="0" w:color="auto"/>
        <w:right w:val="none" w:sz="0" w:space="0" w:color="auto"/>
      </w:divBdr>
    </w:div>
    <w:div w:id="448286220">
      <w:bodyDiv w:val="1"/>
      <w:marLeft w:val="0"/>
      <w:marRight w:val="0"/>
      <w:marTop w:val="0"/>
      <w:marBottom w:val="0"/>
      <w:divBdr>
        <w:top w:val="none" w:sz="0" w:space="0" w:color="auto"/>
        <w:left w:val="none" w:sz="0" w:space="0" w:color="auto"/>
        <w:bottom w:val="none" w:sz="0" w:space="0" w:color="auto"/>
        <w:right w:val="none" w:sz="0" w:space="0" w:color="auto"/>
      </w:divBdr>
    </w:div>
    <w:div w:id="451363607">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460076015">
      <w:bodyDiv w:val="1"/>
      <w:marLeft w:val="0"/>
      <w:marRight w:val="0"/>
      <w:marTop w:val="0"/>
      <w:marBottom w:val="0"/>
      <w:divBdr>
        <w:top w:val="none" w:sz="0" w:space="0" w:color="auto"/>
        <w:left w:val="none" w:sz="0" w:space="0" w:color="auto"/>
        <w:bottom w:val="none" w:sz="0" w:space="0" w:color="auto"/>
        <w:right w:val="none" w:sz="0" w:space="0" w:color="auto"/>
      </w:divBdr>
      <w:divsChild>
        <w:div w:id="873154978">
          <w:marLeft w:val="0"/>
          <w:marRight w:val="0"/>
          <w:marTop w:val="0"/>
          <w:marBottom w:val="0"/>
          <w:divBdr>
            <w:top w:val="none" w:sz="0" w:space="0" w:color="auto"/>
            <w:left w:val="none" w:sz="0" w:space="0" w:color="auto"/>
            <w:bottom w:val="none" w:sz="0" w:space="0" w:color="auto"/>
            <w:right w:val="none" w:sz="0" w:space="0" w:color="auto"/>
          </w:divBdr>
        </w:div>
      </w:divsChild>
    </w:div>
    <w:div w:id="514343312">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62104362">
      <w:bodyDiv w:val="1"/>
      <w:marLeft w:val="0"/>
      <w:marRight w:val="0"/>
      <w:marTop w:val="0"/>
      <w:marBottom w:val="0"/>
      <w:divBdr>
        <w:top w:val="none" w:sz="0" w:space="0" w:color="auto"/>
        <w:left w:val="none" w:sz="0" w:space="0" w:color="auto"/>
        <w:bottom w:val="none" w:sz="0" w:space="0" w:color="auto"/>
        <w:right w:val="none" w:sz="0" w:space="0" w:color="auto"/>
      </w:divBdr>
    </w:div>
    <w:div w:id="686055371">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50011138">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55273614">
      <w:bodyDiv w:val="1"/>
      <w:marLeft w:val="0"/>
      <w:marRight w:val="0"/>
      <w:marTop w:val="0"/>
      <w:marBottom w:val="0"/>
      <w:divBdr>
        <w:top w:val="none" w:sz="0" w:space="0" w:color="auto"/>
        <w:left w:val="none" w:sz="0" w:space="0" w:color="auto"/>
        <w:bottom w:val="none" w:sz="0" w:space="0" w:color="auto"/>
        <w:right w:val="none" w:sz="0" w:space="0" w:color="auto"/>
      </w:divBdr>
    </w:div>
    <w:div w:id="974601365">
      <w:bodyDiv w:val="1"/>
      <w:marLeft w:val="0"/>
      <w:marRight w:val="0"/>
      <w:marTop w:val="0"/>
      <w:marBottom w:val="0"/>
      <w:divBdr>
        <w:top w:val="none" w:sz="0" w:space="0" w:color="auto"/>
        <w:left w:val="none" w:sz="0" w:space="0" w:color="auto"/>
        <w:bottom w:val="none" w:sz="0" w:space="0" w:color="auto"/>
        <w:right w:val="none" w:sz="0" w:space="0" w:color="auto"/>
      </w:divBdr>
    </w:div>
    <w:div w:id="1070694219">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79197266">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1232335">
      <w:bodyDiv w:val="1"/>
      <w:marLeft w:val="0"/>
      <w:marRight w:val="0"/>
      <w:marTop w:val="0"/>
      <w:marBottom w:val="0"/>
      <w:divBdr>
        <w:top w:val="none" w:sz="0" w:space="0" w:color="auto"/>
        <w:left w:val="none" w:sz="0" w:space="0" w:color="auto"/>
        <w:bottom w:val="none" w:sz="0" w:space="0" w:color="auto"/>
        <w:right w:val="none" w:sz="0" w:space="0" w:color="auto"/>
      </w:divBdr>
    </w:div>
    <w:div w:id="1261917257">
      <w:bodyDiv w:val="1"/>
      <w:marLeft w:val="0"/>
      <w:marRight w:val="0"/>
      <w:marTop w:val="0"/>
      <w:marBottom w:val="0"/>
      <w:divBdr>
        <w:top w:val="none" w:sz="0" w:space="0" w:color="auto"/>
        <w:left w:val="none" w:sz="0" w:space="0" w:color="auto"/>
        <w:bottom w:val="none" w:sz="0" w:space="0" w:color="auto"/>
        <w:right w:val="none" w:sz="0" w:space="0" w:color="auto"/>
      </w:divBdr>
    </w:div>
    <w:div w:id="1330717437">
      <w:bodyDiv w:val="1"/>
      <w:marLeft w:val="0"/>
      <w:marRight w:val="0"/>
      <w:marTop w:val="0"/>
      <w:marBottom w:val="0"/>
      <w:divBdr>
        <w:top w:val="none" w:sz="0" w:space="0" w:color="auto"/>
        <w:left w:val="none" w:sz="0" w:space="0" w:color="auto"/>
        <w:bottom w:val="none" w:sz="0" w:space="0" w:color="auto"/>
        <w:right w:val="none" w:sz="0" w:space="0" w:color="auto"/>
      </w:divBdr>
    </w:div>
    <w:div w:id="135268348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56219825">
      <w:bodyDiv w:val="1"/>
      <w:marLeft w:val="0"/>
      <w:marRight w:val="0"/>
      <w:marTop w:val="0"/>
      <w:marBottom w:val="0"/>
      <w:divBdr>
        <w:top w:val="none" w:sz="0" w:space="0" w:color="auto"/>
        <w:left w:val="none" w:sz="0" w:space="0" w:color="auto"/>
        <w:bottom w:val="none" w:sz="0" w:space="0" w:color="auto"/>
        <w:right w:val="none" w:sz="0" w:space="0" w:color="auto"/>
      </w:divBdr>
    </w:div>
    <w:div w:id="1505969208">
      <w:bodyDiv w:val="1"/>
      <w:marLeft w:val="0"/>
      <w:marRight w:val="0"/>
      <w:marTop w:val="0"/>
      <w:marBottom w:val="0"/>
      <w:divBdr>
        <w:top w:val="none" w:sz="0" w:space="0" w:color="auto"/>
        <w:left w:val="none" w:sz="0" w:space="0" w:color="auto"/>
        <w:bottom w:val="none" w:sz="0" w:space="0" w:color="auto"/>
        <w:right w:val="none" w:sz="0" w:space="0" w:color="auto"/>
      </w:divBdr>
      <w:divsChild>
        <w:div w:id="1500539697">
          <w:marLeft w:val="0"/>
          <w:marRight w:val="0"/>
          <w:marTop w:val="0"/>
          <w:marBottom w:val="0"/>
          <w:divBdr>
            <w:top w:val="none" w:sz="0" w:space="0" w:color="auto"/>
            <w:left w:val="none" w:sz="0" w:space="0" w:color="auto"/>
            <w:bottom w:val="none" w:sz="0" w:space="0" w:color="auto"/>
            <w:right w:val="none" w:sz="0" w:space="0" w:color="auto"/>
          </w:divBdr>
        </w:div>
      </w:divsChild>
    </w:div>
    <w:div w:id="1548299026">
      <w:bodyDiv w:val="1"/>
      <w:marLeft w:val="0"/>
      <w:marRight w:val="0"/>
      <w:marTop w:val="0"/>
      <w:marBottom w:val="0"/>
      <w:divBdr>
        <w:top w:val="none" w:sz="0" w:space="0" w:color="auto"/>
        <w:left w:val="none" w:sz="0" w:space="0" w:color="auto"/>
        <w:bottom w:val="none" w:sz="0" w:space="0" w:color="auto"/>
        <w:right w:val="none" w:sz="0" w:space="0" w:color="auto"/>
      </w:divBdr>
    </w:div>
    <w:div w:id="1594973831">
      <w:bodyDiv w:val="1"/>
      <w:marLeft w:val="0"/>
      <w:marRight w:val="0"/>
      <w:marTop w:val="0"/>
      <w:marBottom w:val="0"/>
      <w:divBdr>
        <w:top w:val="none" w:sz="0" w:space="0" w:color="auto"/>
        <w:left w:val="none" w:sz="0" w:space="0" w:color="auto"/>
        <w:bottom w:val="none" w:sz="0" w:space="0" w:color="auto"/>
        <w:right w:val="none" w:sz="0" w:space="0" w:color="auto"/>
      </w:divBdr>
    </w:div>
    <w:div w:id="1774351303">
      <w:bodyDiv w:val="1"/>
      <w:marLeft w:val="0"/>
      <w:marRight w:val="0"/>
      <w:marTop w:val="0"/>
      <w:marBottom w:val="0"/>
      <w:divBdr>
        <w:top w:val="none" w:sz="0" w:space="0" w:color="auto"/>
        <w:left w:val="none" w:sz="0" w:space="0" w:color="auto"/>
        <w:bottom w:val="none" w:sz="0" w:space="0" w:color="auto"/>
        <w:right w:val="none" w:sz="0" w:space="0" w:color="auto"/>
      </w:divBdr>
    </w:div>
    <w:div w:id="1801610949">
      <w:bodyDiv w:val="1"/>
      <w:marLeft w:val="0"/>
      <w:marRight w:val="0"/>
      <w:marTop w:val="0"/>
      <w:marBottom w:val="0"/>
      <w:divBdr>
        <w:top w:val="none" w:sz="0" w:space="0" w:color="auto"/>
        <w:left w:val="none" w:sz="0" w:space="0" w:color="auto"/>
        <w:bottom w:val="none" w:sz="0" w:space="0" w:color="auto"/>
        <w:right w:val="none" w:sz="0" w:space="0" w:color="auto"/>
      </w:divBdr>
    </w:div>
    <w:div w:id="1818449717">
      <w:bodyDiv w:val="1"/>
      <w:marLeft w:val="0"/>
      <w:marRight w:val="0"/>
      <w:marTop w:val="0"/>
      <w:marBottom w:val="0"/>
      <w:divBdr>
        <w:top w:val="none" w:sz="0" w:space="0" w:color="auto"/>
        <w:left w:val="none" w:sz="0" w:space="0" w:color="auto"/>
        <w:bottom w:val="none" w:sz="0" w:space="0" w:color="auto"/>
        <w:right w:val="none" w:sz="0" w:space="0" w:color="auto"/>
      </w:divBdr>
    </w:div>
    <w:div w:id="18380325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87064976">
      <w:bodyDiv w:val="1"/>
      <w:marLeft w:val="0"/>
      <w:marRight w:val="0"/>
      <w:marTop w:val="0"/>
      <w:marBottom w:val="0"/>
      <w:divBdr>
        <w:top w:val="none" w:sz="0" w:space="0" w:color="auto"/>
        <w:left w:val="none" w:sz="0" w:space="0" w:color="auto"/>
        <w:bottom w:val="none" w:sz="0" w:space="0" w:color="auto"/>
        <w:right w:val="none" w:sz="0" w:space="0" w:color="auto"/>
      </w:divBdr>
    </w:div>
    <w:div w:id="1902213273">
      <w:bodyDiv w:val="1"/>
      <w:marLeft w:val="0"/>
      <w:marRight w:val="0"/>
      <w:marTop w:val="0"/>
      <w:marBottom w:val="0"/>
      <w:divBdr>
        <w:top w:val="none" w:sz="0" w:space="0" w:color="auto"/>
        <w:left w:val="none" w:sz="0" w:space="0" w:color="auto"/>
        <w:bottom w:val="none" w:sz="0" w:space="0" w:color="auto"/>
        <w:right w:val="none" w:sz="0" w:space="0" w:color="auto"/>
      </w:divBdr>
    </w:div>
    <w:div w:id="1923643649">
      <w:bodyDiv w:val="1"/>
      <w:marLeft w:val="0"/>
      <w:marRight w:val="0"/>
      <w:marTop w:val="0"/>
      <w:marBottom w:val="0"/>
      <w:divBdr>
        <w:top w:val="none" w:sz="0" w:space="0" w:color="auto"/>
        <w:left w:val="none" w:sz="0" w:space="0" w:color="auto"/>
        <w:bottom w:val="none" w:sz="0" w:space="0" w:color="auto"/>
        <w:right w:val="none" w:sz="0" w:space="0" w:color="auto"/>
      </w:divBdr>
    </w:div>
    <w:div w:id="1984656208">
      <w:bodyDiv w:val="1"/>
      <w:marLeft w:val="0"/>
      <w:marRight w:val="0"/>
      <w:marTop w:val="0"/>
      <w:marBottom w:val="0"/>
      <w:divBdr>
        <w:top w:val="none" w:sz="0" w:space="0" w:color="auto"/>
        <w:left w:val="none" w:sz="0" w:space="0" w:color="auto"/>
        <w:bottom w:val="none" w:sz="0" w:space="0" w:color="auto"/>
        <w:right w:val="none" w:sz="0" w:space="0" w:color="auto"/>
      </w:divBdr>
    </w:div>
    <w:div w:id="214134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628A05-0695-4445-BEA7-DAEBFE1D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7598</Words>
  <Characters>41791</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7</cp:revision>
  <cp:lastPrinted>2025-10-17T02:40:00Z</cp:lastPrinted>
  <dcterms:created xsi:type="dcterms:W3CDTF">2025-10-08T01:33:00Z</dcterms:created>
  <dcterms:modified xsi:type="dcterms:W3CDTF">2026-01-26T20:10:00Z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