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D9AE3F" w14:textId="77777777" w:rsidR="0014657B" w:rsidRDefault="0014657B">
      <w:pPr>
        <w:widowControl w:val="0"/>
        <w:pBdr>
          <w:top w:val="nil"/>
          <w:left w:val="nil"/>
          <w:bottom w:val="nil"/>
          <w:right w:val="nil"/>
          <w:between w:val="nil"/>
        </w:pBdr>
        <w:spacing w:after="0" w:line="276" w:lineRule="auto"/>
        <w:jc w:val="left"/>
      </w:pPr>
    </w:p>
    <w:p w14:paraId="57FE8A64" w14:textId="77777777" w:rsidR="0014657B" w:rsidRDefault="0014657B">
      <w:pPr>
        <w:widowControl w:val="0"/>
        <w:pBdr>
          <w:top w:val="nil"/>
          <w:left w:val="nil"/>
          <w:bottom w:val="nil"/>
          <w:right w:val="nil"/>
          <w:between w:val="nil"/>
        </w:pBdr>
        <w:spacing w:after="0" w:line="276" w:lineRule="auto"/>
        <w:jc w:val="left"/>
      </w:pPr>
    </w:p>
    <w:p w14:paraId="5B10008F" w14:textId="77777777" w:rsidR="0014657B" w:rsidRDefault="0014657B">
      <w:pPr>
        <w:widowControl w:val="0"/>
        <w:pBdr>
          <w:top w:val="nil"/>
          <w:left w:val="nil"/>
          <w:bottom w:val="nil"/>
          <w:right w:val="nil"/>
          <w:between w:val="nil"/>
        </w:pBdr>
        <w:spacing w:after="0" w:line="276" w:lineRule="auto"/>
        <w:jc w:val="left"/>
      </w:pPr>
    </w:p>
    <w:p w14:paraId="0FF24CD0" w14:textId="77777777" w:rsidR="0014657B" w:rsidRDefault="006400E8">
      <w:pPr>
        <w:keepNext/>
        <w:keepLines/>
        <w:pBdr>
          <w:top w:val="nil"/>
          <w:left w:val="nil"/>
          <w:bottom w:val="nil"/>
          <w:right w:val="nil"/>
          <w:between w:val="nil"/>
        </w:pBdr>
        <w:spacing w:after="0" w:line="360" w:lineRule="auto"/>
        <w:jc w:val="center"/>
        <w:rPr>
          <w:color w:val="000000"/>
        </w:rPr>
      </w:pPr>
      <w:r>
        <w:rPr>
          <w:color w:val="000000"/>
        </w:rPr>
        <w:t>RESOLUCIÓN DEL RECURSO DE REVISIÓN 07816/INFOEM/IP/RR/2025</w:t>
      </w:r>
    </w:p>
    <w:p w14:paraId="5D797963" w14:textId="77777777" w:rsidR="0014657B" w:rsidRDefault="0014657B">
      <w:pPr>
        <w:spacing w:after="0" w:line="360" w:lineRule="auto"/>
      </w:pPr>
    </w:p>
    <w:sdt>
      <w:sdtPr>
        <w:id w:val="704023017"/>
        <w:docPartObj>
          <w:docPartGallery w:val="Table of Contents"/>
          <w:docPartUnique/>
        </w:docPartObj>
      </w:sdtPr>
      <w:sdtEndPr/>
      <w:sdtContent>
        <w:p w14:paraId="1832C327" w14:textId="77777777" w:rsidR="0014657B" w:rsidRDefault="006400E8">
          <w:pPr>
            <w:pBdr>
              <w:top w:val="nil"/>
              <w:left w:val="nil"/>
              <w:bottom w:val="nil"/>
              <w:right w:val="nil"/>
              <w:between w:val="nil"/>
            </w:pBdr>
            <w:tabs>
              <w:tab w:val="right" w:pos="9072"/>
            </w:tabs>
            <w:spacing w:after="0" w:line="360" w:lineRule="auto"/>
            <w:rPr>
              <w:color w:val="000000"/>
            </w:rPr>
          </w:pPr>
          <w:r>
            <w:fldChar w:fldCharType="begin"/>
          </w:r>
          <w:r>
            <w:instrText xml:space="preserve"> TOC \h \u \z \t "Heading 1,1,Heading 2,2,Heading 3,3,"</w:instrText>
          </w:r>
          <w:r>
            <w:fldChar w:fldCharType="separate"/>
          </w:r>
          <w:hyperlink w:anchor="_heading=h.k24jwvq5eofd">
            <w:r>
              <w:rPr>
                <w:color w:val="000000"/>
              </w:rPr>
              <w:t>A N T E C E D E N T E S</w:t>
            </w:r>
            <w:r>
              <w:rPr>
                <w:color w:val="000000"/>
              </w:rPr>
              <w:tab/>
              <w:t>2</w:t>
            </w:r>
          </w:hyperlink>
        </w:p>
        <w:p w14:paraId="6E757021" w14:textId="77777777" w:rsidR="0014657B" w:rsidRDefault="00933C8A">
          <w:pPr>
            <w:pBdr>
              <w:top w:val="nil"/>
              <w:left w:val="nil"/>
              <w:bottom w:val="nil"/>
              <w:right w:val="nil"/>
              <w:between w:val="nil"/>
            </w:pBdr>
            <w:tabs>
              <w:tab w:val="right" w:pos="8921"/>
            </w:tabs>
            <w:spacing w:after="0" w:line="360" w:lineRule="auto"/>
            <w:ind w:left="200"/>
            <w:jc w:val="left"/>
            <w:rPr>
              <w:color w:val="000000"/>
            </w:rPr>
          </w:pPr>
          <w:hyperlink w:anchor="_heading=h.cbwyepejsvpz">
            <w:r w:rsidR="006400E8">
              <w:rPr>
                <w:color w:val="000000"/>
              </w:rPr>
              <w:t>I. Presentación de la solicitud de información</w:t>
            </w:r>
            <w:r w:rsidR="006400E8">
              <w:rPr>
                <w:color w:val="000000"/>
              </w:rPr>
              <w:tab/>
              <w:t>2</w:t>
            </w:r>
          </w:hyperlink>
        </w:p>
        <w:p w14:paraId="2A5B8E56" w14:textId="77777777" w:rsidR="0014657B" w:rsidRDefault="00933C8A">
          <w:pPr>
            <w:pBdr>
              <w:top w:val="nil"/>
              <w:left w:val="nil"/>
              <w:bottom w:val="nil"/>
              <w:right w:val="nil"/>
              <w:between w:val="nil"/>
            </w:pBdr>
            <w:tabs>
              <w:tab w:val="right" w:pos="8921"/>
            </w:tabs>
            <w:spacing w:after="0" w:line="360" w:lineRule="auto"/>
            <w:ind w:left="200"/>
            <w:jc w:val="left"/>
            <w:rPr>
              <w:color w:val="000000"/>
            </w:rPr>
          </w:pPr>
          <w:hyperlink w:anchor="_heading=h.zhge25lkwlal">
            <w:r w:rsidR="006400E8">
              <w:rPr>
                <w:color w:val="000000"/>
              </w:rPr>
              <w:t>II. Respuesta del Sujeto Obligado</w:t>
            </w:r>
            <w:r w:rsidR="006400E8">
              <w:rPr>
                <w:color w:val="000000"/>
              </w:rPr>
              <w:tab/>
              <w:t>3</w:t>
            </w:r>
          </w:hyperlink>
        </w:p>
        <w:p w14:paraId="157045E6" w14:textId="77777777" w:rsidR="0014657B" w:rsidRDefault="00933C8A">
          <w:pPr>
            <w:pBdr>
              <w:top w:val="nil"/>
              <w:left w:val="nil"/>
              <w:bottom w:val="nil"/>
              <w:right w:val="nil"/>
              <w:between w:val="nil"/>
            </w:pBdr>
            <w:tabs>
              <w:tab w:val="right" w:pos="8921"/>
            </w:tabs>
            <w:spacing w:after="0" w:line="360" w:lineRule="auto"/>
            <w:ind w:left="200"/>
            <w:jc w:val="left"/>
            <w:rPr>
              <w:color w:val="000000"/>
            </w:rPr>
          </w:pPr>
          <w:hyperlink w:anchor="_heading=h.blmkewxfzg3">
            <w:r w:rsidR="006400E8">
              <w:rPr>
                <w:color w:val="000000"/>
              </w:rPr>
              <w:t>III. Interposición del Recurso de Revisión</w:t>
            </w:r>
            <w:r w:rsidR="006400E8">
              <w:rPr>
                <w:color w:val="000000"/>
              </w:rPr>
              <w:tab/>
              <w:t>3</w:t>
            </w:r>
          </w:hyperlink>
        </w:p>
        <w:p w14:paraId="0F363511" w14:textId="77777777" w:rsidR="0014657B" w:rsidRDefault="00933C8A">
          <w:pPr>
            <w:pBdr>
              <w:top w:val="nil"/>
              <w:left w:val="nil"/>
              <w:bottom w:val="nil"/>
              <w:right w:val="nil"/>
              <w:between w:val="nil"/>
            </w:pBdr>
            <w:tabs>
              <w:tab w:val="right" w:pos="8921"/>
            </w:tabs>
            <w:spacing w:after="0" w:line="360" w:lineRule="auto"/>
            <w:ind w:left="200"/>
            <w:jc w:val="left"/>
            <w:rPr>
              <w:color w:val="000000"/>
            </w:rPr>
          </w:pPr>
          <w:hyperlink w:anchor="_heading=h.22v5qlabbxei">
            <w:r w:rsidR="006400E8">
              <w:rPr>
                <w:color w:val="000000"/>
              </w:rPr>
              <w:t>IV. Trámite del Recurso de Revisión ante este Instituto</w:t>
            </w:r>
            <w:r w:rsidR="006400E8">
              <w:rPr>
                <w:color w:val="000000"/>
              </w:rPr>
              <w:tab/>
              <w:t>4</w:t>
            </w:r>
          </w:hyperlink>
        </w:p>
        <w:p w14:paraId="2D9E7C9B" w14:textId="77777777" w:rsidR="0014657B" w:rsidRDefault="00933C8A">
          <w:pPr>
            <w:pBdr>
              <w:top w:val="nil"/>
              <w:left w:val="nil"/>
              <w:bottom w:val="nil"/>
              <w:right w:val="nil"/>
              <w:between w:val="nil"/>
            </w:pBdr>
            <w:tabs>
              <w:tab w:val="right" w:pos="9072"/>
            </w:tabs>
            <w:spacing w:after="0" w:line="360" w:lineRule="auto"/>
            <w:rPr>
              <w:color w:val="000000"/>
            </w:rPr>
          </w:pPr>
          <w:hyperlink w:anchor="_heading=h.erly31t3xkpa">
            <w:r w:rsidR="006400E8">
              <w:rPr>
                <w:color w:val="000000"/>
              </w:rPr>
              <w:t>C O N S I D E R A N D O S</w:t>
            </w:r>
            <w:r w:rsidR="006400E8">
              <w:rPr>
                <w:color w:val="000000"/>
              </w:rPr>
              <w:tab/>
              <w:t>5</w:t>
            </w:r>
          </w:hyperlink>
        </w:p>
        <w:p w14:paraId="341F1F53" w14:textId="77777777" w:rsidR="0014657B" w:rsidRDefault="00933C8A">
          <w:pPr>
            <w:pBdr>
              <w:top w:val="nil"/>
              <w:left w:val="nil"/>
              <w:bottom w:val="nil"/>
              <w:right w:val="nil"/>
              <w:between w:val="nil"/>
            </w:pBdr>
            <w:tabs>
              <w:tab w:val="right" w:pos="8921"/>
            </w:tabs>
            <w:spacing w:after="0" w:line="360" w:lineRule="auto"/>
            <w:ind w:left="200"/>
            <w:jc w:val="left"/>
            <w:rPr>
              <w:color w:val="000000"/>
            </w:rPr>
          </w:pPr>
          <w:hyperlink w:anchor="_heading=h.hnbtw0o6m7bx">
            <w:r w:rsidR="006400E8">
              <w:rPr>
                <w:color w:val="000000"/>
              </w:rPr>
              <w:t>PRIMERO. Competencia</w:t>
            </w:r>
            <w:r w:rsidR="006400E8">
              <w:rPr>
                <w:color w:val="000000"/>
              </w:rPr>
              <w:tab/>
              <w:t>5</w:t>
            </w:r>
          </w:hyperlink>
        </w:p>
        <w:p w14:paraId="290184E7" w14:textId="77777777" w:rsidR="0014657B" w:rsidRDefault="00933C8A">
          <w:pPr>
            <w:pBdr>
              <w:top w:val="nil"/>
              <w:left w:val="nil"/>
              <w:bottom w:val="nil"/>
              <w:right w:val="nil"/>
              <w:between w:val="nil"/>
            </w:pBdr>
            <w:tabs>
              <w:tab w:val="right" w:pos="8921"/>
            </w:tabs>
            <w:spacing w:after="0" w:line="360" w:lineRule="auto"/>
            <w:ind w:left="200"/>
            <w:jc w:val="left"/>
            <w:rPr>
              <w:color w:val="000000"/>
            </w:rPr>
          </w:pPr>
          <w:hyperlink w:anchor="_heading=h.4lcxuqqhk6c0">
            <w:r w:rsidR="006400E8">
              <w:rPr>
                <w:color w:val="000000"/>
              </w:rPr>
              <w:t>SEGUNDO. Causales de improcedencia y sobreseimiento</w:t>
            </w:r>
            <w:r w:rsidR="006400E8">
              <w:rPr>
                <w:color w:val="000000"/>
              </w:rPr>
              <w:tab/>
              <w:t>5</w:t>
            </w:r>
          </w:hyperlink>
        </w:p>
        <w:p w14:paraId="3A544BEA" w14:textId="77777777" w:rsidR="0014657B" w:rsidRDefault="00933C8A">
          <w:pPr>
            <w:pBdr>
              <w:top w:val="nil"/>
              <w:left w:val="nil"/>
              <w:bottom w:val="nil"/>
              <w:right w:val="nil"/>
              <w:between w:val="nil"/>
            </w:pBdr>
            <w:tabs>
              <w:tab w:val="right" w:pos="8921"/>
            </w:tabs>
            <w:spacing w:after="0" w:line="360" w:lineRule="auto"/>
            <w:ind w:left="200"/>
            <w:jc w:val="left"/>
            <w:rPr>
              <w:color w:val="000000"/>
            </w:rPr>
          </w:pPr>
          <w:hyperlink w:anchor="_heading=h.xthpvbe8iu2v">
            <w:r w:rsidR="006400E8">
              <w:rPr>
                <w:color w:val="000000"/>
              </w:rPr>
              <w:t>TERCERO. Determinación de la Controversia</w:t>
            </w:r>
            <w:r w:rsidR="006400E8">
              <w:rPr>
                <w:color w:val="000000"/>
              </w:rPr>
              <w:tab/>
              <w:t>7</w:t>
            </w:r>
          </w:hyperlink>
        </w:p>
        <w:p w14:paraId="4EF11A1C" w14:textId="77777777" w:rsidR="0014657B" w:rsidRDefault="00933C8A">
          <w:pPr>
            <w:pBdr>
              <w:top w:val="nil"/>
              <w:left w:val="nil"/>
              <w:bottom w:val="nil"/>
              <w:right w:val="nil"/>
              <w:between w:val="nil"/>
            </w:pBdr>
            <w:tabs>
              <w:tab w:val="right" w:pos="8921"/>
            </w:tabs>
            <w:spacing w:after="0" w:line="360" w:lineRule="auto"/>
            <w:ind w:left="200"/>
            <w:jc w:val="left"/>
            <w:rPr>
              <w:color w:val="000000"/>
            </w:rPr>
          </w:pPr>
          <w:hyperlink w:anchor="_heading=h.ooytgvaqyq8l">
            <w:r w:rsidR="006400E8">
              <w:rPr>
                <w:color w:val="000000"/>
              </w:rPr>
              <w:t>CUARTO. Marco normativo aplicable en materia de transparencia y acceso a la información pública</w:t>
            </w:r>
            <w:r w:rsidR="006400E8">
              <w:rPr>
                <w:color w:val="000000"/>
              </w:rPr>
              <w:tab/>
              <w:t>8</w:t>
            </w:r>
          </w:hyperlink>
        </w:p>
        <w:p w14:paraId="128396AA" w14:textId="77777777" w:rsidR="0014657B" w:rsidRDefault="00933C8A">
          <w:pPr>
            <w:pBdr>
              <w:top w:val="nil"/>
              <w:left w:val="nil"/>
              <w:bottom w:val="nil"/>
              <w:right w:val="nil"/>
              <w:between w:val="nil"/>
            </w:pBdr>
            <w:tabs>
              <w:tab w:val="right" w:pos="8921"/>
            </w:tabs>
            <w:spacing w:after="0" w:line="360" w:lineRule="auto"/>
            <w:ind w:left="200"/>
            <w:jc w:val="left"/>
            <w:rPr>
              <w:color w:val="000000"/>
            </w:rPr>
          </w:pPr>
          <w:hyperlink w:anchor="_heading=h.gf8195odfb7w">
            <w:r w:rsidR="006400E8">
              <w:rPr>
                <w:color w:val="000000"/>
              </w:rPr>
              <w:t>QUINTO. Estudio de Fondo</w:t>
            </w:r>
            <w:r w:rsidR="006400E8">
              <w:rPr>
                <w:color w:val="000000"/>
              </w:rPr>
              <w:tab/>
              <w:t>9</w:t>
            </w:r>
          </w:hyperlink>
        </w:p>
        <w:p w14:paraId="5D37C036" w14:textId="77777777" w:rsidR="0014657B" w:rsidRDefault="00933C8A">
          <w:pPr>
            <w:pBdr>
              <w:top w:val="nil"/>
              <w:left w:val="nil"/>
              <w:bottom w:val="nil"/>
              <w:right w:val="nil"/>
              <w:between w:val="nil"/>
            </w:pBdr>
            <w:tabs>
              <w:tab w:val="right" w:pos="8921"/>
            </w:tabs>
            <w:spacing w:after="0" w:line="360" w:lineRule="auto"/>
            <w:ind w:left="200"/>
            <w:jc w:val="left"/>
            <w:rPr>
              <w:color w:val="000000"/>
            </w:rPr>
          </w:pPr>
          <w:hyperlink w:anchor="_heading=h.i9jy57jhzjlb">
            <w:r w:rsidR="006400E8">
              <w:rPr>
                <w:color w:val="000000"/>
              </w:rPr>
              <w:t>SEXTO. Decisión.</w:t>
            </w:r>
            <w:r w:rsidR="006400E8">
              <w:rPr>
                <w:color w:val="000000"/>
              </w:rPr>
              <w:tab/>
              <w:t>16</w:t>
            </w:r>
          </w:hyperlink>
        </w:p>
        <w:p w14:paraId="3ED5CA42" w14:textId="77777777" w:rsidR="0014657B" w:rsidRDefault="00933C8A">
          <w:pPr>
            <w:pBdr>
              <w:top w:val="nil"/>
              <w:left w:val="nil"/>
              <w:bottom w:val="nil"/>
              <w:right w:val="nil"/>
              <w:between w:val="nil"/>
            </w:pBdr>
            <w:tabs>
              <w:tab w:val="right" w:pos="9072"/>
            </w:tabs>
            <w:spacing w:after="0" w:line="360" w:lineRule="auto"/>
            <w:rPr>
              <w:color w:val="000000"/>
            </w:rPr>
          </w:pPr>
          <w:hyperlink w:anchor="_heading=h.e2c3iugzovt6">
            <w:r w:rsidR="006400E8">
              <w:rPr>
                <w:color w:val="000000"/>
              </w:rPr>
              <w:t>R E S U E L V E:</w:t>
            </w:r>
            <w:r w:rsidR="006400E8">
              <w:rPr>
                <w:color w:val="000000"/>
              </w:rPr>
              <w:tab/>
              <w:t>16</w:t>
            </w:r>
          </w:hyperlink>
        </w:p>
        <w:p w14:paraId="2ABD1C5F" w14:textId="77777777" w:rsidR="0014657B" w:rsidRDefault="006400E8">
          <w:pPr>
            <w:spacing w:after="0" w:line="360" w:lineRule="auto"/>
          </w:pPr>
          <w:r>
            <w:fldChar w:fldCharType="end"/>
          </w:r>
        </w:p>
      </w:sdtContent>
    </w:sdt>
    <w:p w14:paraId="33F62C8C" w14:textId="77777777" w:rsidR="0014657B" w:rsidRDefault="0014657B">
      <w:pPr>
        <w:tabs>
          <w:tab w:val="left" w:pos="8931"/>
        </w:tabs>
        <w:spacing w:after="0" w:line="360" w:lineRule="auto"/>
        <w:rPr>
          <w:color w:val="000000"/>
        </w:rPr>
      </w:pPr>
    </w:p>
    <w:p w14:paraId="0617CE01" w14:textId="77777777" w:rsidR="0014657B" w:rsidRDefault="0014657B">
      <w:pPr>
        <w:tabs>
          <w:tab w:val="left" w:pos="8931"/>
        </w:tabs>
        <w:spacing w:after="0" w:line="360" w:lineRule="auto"/>
        <w:rPr>
          <w:color w:val="000000"/>
        </w:rPr>
      </w:pPr>
    </w:p>
    <w:p w14:paraId="5A46B95B" w14:textId="77777777" w:rsidR="0014657B" w:rsidRDefault="0014657B">
      <w:pPr>
        <w:tabs>
          <w:tab w:val="left" w:pos="8931"/>
        </w:tabs>
        <w:spacing w:after="0" w:line="360" w:lineRule="auto"/>
        <w:rPr>
          <w:color w:val="000000"/>
        </w:rPr>
      </w:pPr>
    </w:p>
    <w:p w14:paraId="6641AC5A" w14:textId="77777777" w:rsidR="0014657B" w:rsidRDefault="0014657B">
      <w:pPr>
        <w:tabs>
          <w:tab w:val="left" w:pos="8931"/>
        </w:tabs>
        <w:spacing w:after="0" w:line="360" w:lineRule="auto"/>
        <w:rPr>
          <w:color w:val="000000"/>
        </w:rPr>
      </w:pPr>
    </w:p>
    <w:p w14:paraId="007DDFCD" w14:textId="77777777" w:rsidR="0014657B" w:rsidRDefault="0014657B">
      <w:pPr>
        <w:tabs>
          <w:tab w:val="left" w:pos="8931"/>
        </w:tabs>
        <w:spacing w:after="0" w:line="360" w:lineRule="auto"/>
        <w:rPr>
          <w:color w:val="000000"/>
        </w:rPr>
      </w:pPr>
    </w:p>
    <w:p w14:paraId="77FF6C8C" w14:textId="77777777" w:rsidR="0014657B" w:rsidRDefault="006400E8">
      <w:pPr>
        <w:tabs>
          <w:tab w:val="left" w:pos="8931"/>
        </w:tabs>
        <w:spacing w:after="0" w:line="360" w:lineRule="auto"/>
        <w:rPr>
          <w:color w:val="000000"/>
        </w:rPr>
      </w:pPr>
      <w:r>
        <w:rPr>
          <w:color w:val="000000"/>
        </w:rPr>
        <w:lastRenderedPageBreak/>
        <w:t xml:space="preserve">Resolución del Pleno del Instituto de Transparencia, Acceso a la Información Pública y Protección de Datos Personales del Estado de México y Municipios, con domicilio en Metepec, Estado de México, de fecha dieciocho de septiembre de dos mil veinticinco. </w:t>
      </w:r>
    </w:p>
    <w:p w14:paraId="1CF43617" w14:textId="77777777" w:rsidR="0014657B" w:rsidRDefault="006400E8">
      <w:pPr>
        <w:tabs>
          <w:tab w:val="left" w:pos="2340"/>
        </w:tabs>
        <w:spacing w:after="0" w:line="360" w:lineRule="auto"/>
        <w:rPr>
          <w:b/>
          <w:color w:val="FF0000"/>
        </w:rPr>
      </w:pPr>
      <w:r>
        <w:rPr>
          <w:b/>
          <w:color w:val="FF0000"/>
        </w:rPr>
        <w:tab/>
      </w:r>
    </w:p>
    <w:p w14:paraId="5FCBDFB4" w14:textId="77777777" w:rsidR="0014657B" w:rsidRDefault="006400E8">
      <w:pPr>
        <w:spacing w:after="0" w:line="360" w:lineRule="auto"/>
        <w:rPr>
          <w:color w:val="000000"/>
        </w:rPr>
      </w:pPr>
      <w:r>
        <w:rPr>
          <w:b/>
          <w:color w:val="000000"/>
        </w:rPr>
        <w:t xml:space="preserve">VISTO </w:t>
      </w:r>
      <w:r>
        <w:rPr>
          <w:color w:val="000000"/>
        </w:rPr>
        <w:t xml:space="preserve">el expediente electrónico conformado con motivo del Recurso de Revisión </w:t>
      </w:r>
      <w:r w:rsidRPr="00B657B0">
        <w:rPr>
          <w:b/>
          <w:color w:val="000000"/>
        </w:rPr>
        <w:t>07816/INFOEM/IP/RR/2025</w:t>
      </w:r>
      <w:r>
        <w:rPr>
          <w:color w:val="000000"/>
        </w:rPr>
        <w:t xml:space="preserve">, en contra de la respuesta del Sujeto Obligado, </w:t>
      </w:r>
      <w:r w:rsidRPr="00B657B0">
        <w:rPr>
          <w:b/>
          <w:color w:val="000000"/>
        </w:rPr>
        <w:t xml:space="preserve">Sistema Municipal Para el Desarrollo Integral de la Familia de Huehuetoca, </w:t>
      </w:r>
      <w:r>
        <w:rPr>
          <w:color w:val="000000"/>
        </w:rPr>
        <w:t xml:space="preserve">a la solicitud de acceso a la información pública </w:t>
      </w:r>
      <w:r>
        <w:t xml:space="preserve">00122/DIFHUEHUET/IP/2025 </w:t>
      </w:r>
      <w:r>
        <w:rPr>
          <w:color w:val="000000"/>
        </w:rPr>
        <w:t>se emite la presente Resolución, con base en los Antecedentes y Considerandos que se exponen a continuación:</w:t>
      </w:r>
    </w:p>
    <w:p w14:paraId="2B51E3F1" w14:textId="77777777" w:rsidR="0014657B" w:rsidRDefault="006400E8">
      <w:pPr>
        <w:tabs>
          <w:tab w:val="left" w:pos="1965"/>
        </w:tabs>
        <w:spacing w:after="0" w:line="360" w:lineRule="auto"/>
        <w:rPr>
          <w:b/>
          <w:color w:val="FF0000"/>
        </w:rPr>
      </w:pPr>
      <w:r>
        <w:rPr>
          <w:b/>
          <w:color w:val="FF0000"/>
        </w:rPr>
        <w:tab/>
      </w:r>
    </w:p>
    <w:p w14:paraId="7FA26F6F" w14:textId="77777777" w:rsidR="0014657B" w:rsidRDefault="006400E8">
      <w:pPr>
        <w:pStyle w:val="Ttulo1"/>
        <w:spacing w:before="0" w:line="360" w:lineRule="auto"/>
        <w:jc w:val="center"/>
        <w:rPr>
          <w:rFonts w:ascii="Palatino Linotype" w:eastAsia="Palatino Linotype" w:hAnsi="Palatino Linotype" w:cs="Palatino Linotype"/>
          <w:b/>
          <w:color w:val="000000"/>
          <w:sz w:val="22"/>
          <w:szCs w:val="22"/>
        </w:rPr>
      </w:pPr>
      <w:bookmarkStart w:id="0" w:name="_heading=h.k24jwvq5eofd" w:colFirst="0" w:colLast="0"/>
      <w:bookmarkEnd w:id="0"/>
      <w:r>
        <w:rPr>
          <w:rFonts w:ascii="Palatino Linotype" w:eastAsia="Palatino Linotype" w:hAnsi="Palatino Linotype" w:cs="Palatino Linotype"/>
          <w:b/>
          <w:color w:val="000000"/>
          <w:sz w:val="22"/>
          <w:szCs w:val="22"/>
        </w:rPr>
        <w:t>A N T E C E D E N T E S</w:t>
      </w:r>
    </w:p>
    <w:p w14:paraId="159A0231" w14:textId="77777777" w:rsidR="0014657B" w:rsidRDefault="0014657B">
      <w:pPr>
        <w:spacing w:after="0" w:line="360" w:lineRule="auto"/>
        <w:jc w:val="center"/>
        <w:rPr>
          <w:b/>
          <w:color w:val="000000"/>
        </w:rPr>
      </w:pPr>
    </w:p>
    <w:p w14:paraId="5052D7DC" w14:textId="77777777" w:rsidR="0014657B" w:rsidRDefault="006400E8">
      <w:pPr>
        <w:pStyle w:val="Ttulo2"/>
        <w:spacing w:before="0" w:line="360" w:lineRule="auto"/>
        <w:rPr>
          <w:rFonts w:ascii="Palatino Linotype" w:eastAsia="Palatino Linotype" w:hAnsi="Palatino Linotype" w:cs="Palatino Linotype"/>
          <w:b/>
          <w:color w:val="000000"/>
          <w:sz w:val="22"/>
          <w:szCs w:val="22"/>
        </w:rPr>
      </w:pPr>
      <w:bookmarkStart w:id="1" w:name="_heading=h.cbwyepejsvpz" w:colFirst="0" w:colLast="0"/>
      <w:bookmarkEnd w:id="1"/>
      <w:r>
        <w:rPr>
          <w:rFonts w:ascii="Palatino Linotype" w:eastAsia="Palatino Linotype" w:hAnsi="Palatino Linotype" w:cs="Palatino Linotype"/>
          <w:b/>
          <w:color w:val="000000"/>
          <w:sz w:val="22"/>
          <w:szCs w:val="22"/>
        </w:rPr>
        <w:t>I. Presentación de la solicitud de información</w:t>
      </w:r>
    </w:p>
    <w:p w14:paraId="152FE665" w14:textId="77777777" w:rsidR="0014657B" w:rsidRDefault="0014657B">
      <w:pPr>
        <w:spacing w:after="0" w:line="360" w:lineRule="auto"/>
        <w:rPr>
          <w:b/>
          <w:color w:val="000000"/>
        </w:rPr>
      </w:pPr>
    </w:p>
    <w:p w14:paraId="69A67181" w14:textId="77777777" w:rsidR="0014657B" w:rsidRDefault="006400E8">
      <w:pPr>
        <w:spacing w:after="0" w:line="360" w:lineRule="auto"/>
        <w:rPr>
          <w:color w:val="000000"/>
        </w:rPr>
      </w:pPr>
      <w:r>
        <w:rPr>
          <w:color w:val="000000"/>
        </w:rPr>
        <w:t>Con fecha dos de junio de dos mil veinticinco, la persona Solicitante presentó un requerimiento de acceso a la información, a través del Sistema de Acceso a la Información Mexiquense (SAIMEX), ante el Sistema Municipal Para el Desarrollo Integral de la Familia de Huehuetoca,</w:t>
      </w:r>
      <w:r>
        <w:rPr>
          <w:b/>
          <w:color w:val="000000"/>
        </w:rPr>
        <w:t xml:space="preserve"> </w:t>
      </w:r>
      <w:r>
        <w:rPr>
          <w:color w:val="000000"/>
        </w:rPr>
        <w:t>en los siguientes términos:</w:t>
      </w:r>
    </w:p>
    <w:p w14:paraId="315D4046" w14:textId="77777777" w:rsidR="0014657B" w:rsidRDefault="0014657B">
      <w:pPr>
        <w:tabs>
          <w:tab w:val="left" w:pos="4667"/>
        </w:tabs>
        <w:spacing w:after="0" w:line="360" w:lineRule="auto"/>
        <w:ind w:right="567"/>
        <w:rPr>
          <w:b/>
          <w:i/>
          <w:color w:val="FF0000"/>
        </w:rPr>
      </w:pPr>
    </w:p>
    <w:p w14:paraId="6177922C" w14:textId="77777777" w:rsidR="0014657B" w:rsidRDefault="006400E8">
      <w:pPr>
        <w:spacing w:after="0" w:line="360" w:lineRule="auto"/>
        <w:ind w:left="567" w:right="567"/>
        <w:rPr>
          <w:b/>
          <w:i/>
          <w:color w:val="000000"/>
          <w:sz w:val="20"/>
          <w:szCs w:val="20"/>
        </w:rPr>
      </w:pPr>
      <w:r>
        <w:rPr>
          <w:b/>
          <w:i/>
          <w:color w:val="000000"/>
          <w:sz w:val="20"/>
          <w:szCs w:val="20"/>
        </w:rPr>
        <w:t>“DESCRIPCIÓN CLARA Y PRECISA DE LA INFORMACIÓN SOLICITADA.</w:t>
      </w:r>
    </w:p>
    <w:p w14:paraId="432F8C88" w14:textId="77777777" w:rsidR="0014657B" w:rsidRDefault="006400E8">
      <w:pPr>
        <w:spacing w:after="0" w:line="360" w:lineRule="auto"/>
        <w:ind w:left="567" w:right="567"/>
        <w:rPr>
          <w:i/>
          <w:color w:val="000000"/>
          <w:sz w:val="20"/>
          <w:szCs w:val="20"/>
        </w:rPr>
      </w:pPr>
      <w:r>
        <w:rPr>
          <w:i/>
          <w:color w:val="000000"/>
          <w:sz w:val="20"/>
          <w:szCs w:val="20"/>
        </w:rPr>
        <w:t>Solicito me sea enviada la información y/o documentación en formato PDF del acuerdo al marco normativo y legalidad vigente, para así poder cotejar el proceso de evaluación. “Del Programa Anual de Evaluación (PAE</w:t>
      </w:r>
      <w:proofErr w:type="gramStart"/>
      <w:r>
        <w:rPr>
          <w:i/>
          <w:color w:val="000000"/>
          <w:sz w:val="20"/>
          <w:szCs w:val="20"/>
        </w:rPr>
        <w:t>)2024</w:t>
      </w:r>
      <w:proofErr w:type="gramEnd"/>
      <w:r>
        <w:rPr>
          <w:i/>
          <w:color w:val="000000"/>
          <w:sz w:val="20"/>
          <w:szCs w:val="20"/>
        </w:rPr>
        <w:t xml:space="preserve"> y 2025”. (Sic) </w:t>
      </w:r>
    </w:p>
    <w:p w14:paraId="122F227D" w14:textId="77777777" w:rsidR="0014657B" w:rsidRDefault="0014657B">
      <w:pPr>
        <w:spacing w:after="0" w:line="360" w:lineRule="auto"/>
        <w:ind w:right="567"/>
        <w:rPr>
          <w:i/>
          <w:color w:val="000000"/>
          <w:sz w:val="20"/>
          <w:szCs w:val="20"/>
        </w:rPr>
      </w:pPr>
    </w:p>
    <w:p w14:paraId="354ACA29" w14:textId="77777777" w:rsidR="0014657B" w:rsidRDefault="006400E8">
      <w:pPr>
        <w:spacing w:after="0" w:line="360" w:lineRule="auto"/>
        <w:ind w:left="567" w:right="567"/>
        <w:rPr>
          <w:b/>
          <w:i/>
          <w:color w:val="000000"/>
          <w:sz w:val="20"/>
          <w:szCs w:val="20"/>
        </w:rPr>
      </w:pPr>
      <w:r>
        <w:rPr>
          <w:b/>
          <w:i/>
          <w:color w:val="000000"/>
          <w:sz w:val="20"/>
          <w:szCs w:val="20"/>
        </w:rPr>
        <w:t>“MODALIDAD DE ENTREGA</w:t>
      </w:r>
    </w:p>
    <w:p w14:paraId="113A5BF1" w14:textId="77777777" w:rsidR="0014657B" w:rsidRDefault="006400E8">
      <w:pPr>
        <w:spacing w:after="0" w:line="360" w:lineRule="auto"/>
        <w:ind w:left="567" w:right="567"/>
        <w:rPr>
          <w:i/>
          <w:color w:val="000000"/>
          <w:sz w:val="20"/>
          <w:szCs w:val="20"/>
        </w:rPr>
      </w:pPr>
      <w:r>
        <w:rPr>
          <w:i/>
          <w:color w:val="000000"/>
          <w:sz w:val="20"/>
          <w:szCs w:val="20"/>
        </w:rPr>
        <w:t>A través del SAIMEX”</w:t>
      </w:r>
    </w:p>
    <w:p w14:paraId="06E5E640" w14:textId="77777777" w:rsidR="0014657B" w:rsidRDefault="0014657B">
      <w:pPr>
        <w:spacing w:after="0" w:line="360" w:lineRule="auto"/>
        <w:ind w:left="567" w:right="567"/>
        <w:rPr>
          <w:i/>
          <w:color w:val="000000"/>
          <w:sz w:val="20"/>
          <w:szCs w:val="20"/>
        </w:rPr>
      </w:pPr>
    </w:p>
    <w:p w14:paraId="3CBED37B" w14:textId="77777777" w:rsidR="0014657B" w:rsidRDefault="006400E8">
      <w:pPr>
        <w:pStyle w:val="Ttulo2"/>
        <w:spacing w:before="0" w:line="360" w:lineRule="auto"/>
        <w:rPr>
          <w:rFonts w:ascii="Palatino Linotype" w:eastAsia="Palatino Linotype" w:hAnsi="Palatino Linotype" w:cs="Palatino Linotype"/>
          <w:b/>
          <w:color w:val="000000"/>
          <w:sz w:val="22"/>
          <w:szCs w:val="22"/>
        </w:rPr>
      </w:pPr>
      <w:bookmarkStart w:id="2" w:name="_heading=h.zhge25lkwlal" w:colFirst="0" w:colLast="0"/>
      <w:bookmarkEnd w:id="2"/>
      <w:r>
        <w:rPr>
          <w:rFonts w:ascii="Palatino Linotype" w:eastAsia="Palatino Linotype" w:hAnsi="Palatino Linotype" w:cs="Palatino Linotype"/>
          <w:b/>
          <w:color w:val="000000"/>
          <w:sz w:val="22"/>
          <w:szCs w:val="22"/>
        </w:rPr>
        <w:t>II. Respuesta del Sujeto Obligado</w:t>
      </w:r>
    </w:p>
    <w:p w14:paraId="7FC3F24B" w14:textId="77777777" w:rsidR="0014657B" w:rsidRDefault="0014657B">
      <w:pPr>
        <w:spacing w:after="0" w:line="360" w:lineRule="auto"/>
        <w:rPr>
          <w:b/>
          <w:color w:val="FF0000"/>
        </w:rPr>
      </w:pPr>
    </w:p>
    <w:p w14:paraId="1B331492" w14:textId="77777777" w:rsidR="0014657B" w:rsidRDefault="006400E8">
      <w:pPr>
        <w:spacing w:after="0" w:line="360" w:lineRule="auto"/>
        <w:rPr>
          <w:color w:val="000000"/>
        </w:rPr>
      </w:pPr>
      <w:bookmarkStart w:id="3" w:name="_heading=h.5ggcaxftfv42" w:colFirst="0" w:colLast="0"/>
      <w:bookmarkEnd w:id="3"/>
      <w:r>
        <w:rPr>
          <w:color w:val="000000"/>
        </w:rPr>
        <w:t xml:space="preserve">Con fecha veinte de junio de dos mil veinticinco, el Sistema Municipal Para el Desarrollo Integral de la Familia de Huehuetoca, notificó la respuesta a la solicitud, a través del Sistema de Acceso a la Información Mexiquense (SAIMEX), mediante la digitalización de los documentos siguientes: </w:t>
      </w:r>
    </w:p>
    <w:p w14:paraId="11A8D91E" w14:textId="77777777" w:rsidR="0014657B" w:rsidRDefault="0014657B">
      <w:pPr>
        <w:spacing w:after="0" w:line="360" w:lineRule="auto"/>
        <w:rPr>
          <w:color w:val="FF0000"/>
        </w:rPr>
      </w:pPr>
    </w:p>
    <w:p w14:paraId="159E1098" w14:textId="77777777" w:rsidR="0014657B" w:rsidRDefault="006400E8">
      <w:pPr>
        <w:spacing w:after="0" w:line="360" w:lineRule="auto"/>
        <w:rPr>
          <w:color w:val="000000"/>
        </w:rPr>
      </w:pPr>
      <w:r>
        <w:rPr>
          <w:color w:val="000000"/>
        </w:rPr>
        <w:t>i) Oficio número DIF/HUE/UIPPE, del dieciséis de junio de dos mil veinticinco, suscrito por el Titular de la UIPPE, por medio del cual precisó remitir la información solicitada en formato PDF, para la evaluación del programa presupuestal.</w:t>
      </w:r>
    </w:p>
    <w:p w14:paraId="6BEF4FA3" w14:textId="77777777" w:rsidR="0014657B" w:rsidRDefault="0014657B">
      <w:pPr>
        <w:spacing w:after="0" w:line="360" w:lineRule="auto"/>
        <w:rPr>
          <w:color w:val="000000"/>
        </w:rPr>
      </w:pPr>
    </w:p>
    <w:p w14:paraId="56CF17CD" w14:textId="77777777" w:rsidR="0014657B" w:rsidRDefault="006400E8">
      <w:pPr>
        <w:spacing w:after="0" w:line="360" w:lineRule="auto"/>
        <w:rPr>
          <w:color w:val="000000"/>
        </w:rPr>
      </w:pPr>
      <w:r>
        <w:rPr>
          <w:color w:val="000000"/>
        </w:rPr>
        <w:t xml:space="preserve">ii) Adjuntó la digitalización de los Lineamientos Generales para la Evaluación de Programas Presupuestarios Municipales </w:t>
      </w:r>
    </w:p>
    <w:p w14:paraId="61D0E96A" w14:textId="77777777" w:rsidR="0014657B" w:rsidRDefault="0014657B">
      <w:pPr>
        <w:spacing w:after="0" w:line="360" w:lineRule="auto"/>
        <w:ind w:right="567"/>
        <w:rPr>
          <w:color w:val="FF0000"/>
        </w:rPr>
      </w:pPr>
    </w:p>
    <w:p w14:paraId="26976E76" w14:textId="77777777" w:rsidR="0014657B" w:rsidRDefault="006400E8">
      <w:pPr>
        <w:pStyle w:val="Ttulo2"/>
        <w:spacing w:before="0" w:line="360" w:lineRule="auto"/>
        <w:rPr>
          <w:rFonts w:ascii="Palatino Linotype" w:eastAsia="Palatino Linotype" w:hAnsi="Palatino Linotype" w:cs="Palatino Linotype"/>
          <w:b/>
          <w:color w:val="000000"/>
          <w:sz w:val="22"/>
          <w:szCs w:val="22"/>
        </w:rPr>
      </w:pPr>
      <w:bookmarkStart w:id="4" w:name="_heading=h.blmkewxfzg3" w:colFirst="0" w:colLast="0"/>
      <w:bookmarkEnd w:id="4"/>
      <w:r>
        <w:rPr>
          <w:rFonts w:ascii="Palatino Linotype" w:eastAsia="Palatino Linotype" w:hAnsi="Palatino Linotype" w:cs="Palatino Linotype"/>
          <w:b/>
          <w:color w:val="000000"/>
          <w:sz w:val="22"/>
          <w:szCs w:val="22"/>
        </w:rPr>
        <w:t>III. Interposición del Recurso de Revisión</w:t>
      </w:r>
    </w:p>
    <w:p w14:paraId="1A756E60" w14:textId="77777777" w:rsidR="0014657B" w:rsidRDefault="0014657B">
      <w:pPr>
        <w:spacing w:after="0" w:line="360" w:lineRule="auto"/>
        <w:rPr>
          <w:color w:val="FF0000"/>
        </w:rPr>
      </w:pPr>
    </w:p>
    <w:p w14:paraId="2618139F" w14:textId="77777777" w:rsidR="0014657B" w:rsidRDefault="006400E8">
      <w:pPr>
        <w:widowControl w:val="0"/>
        <w:spacing w:after="0" w:line="360" w:lineRule="auto"/>
        <w:rPr>
          <w:color w:val="000000"/>
        </w:rPr>
      </w:pPr>
      <w:r>
        <w:rPr>
          <w:color w:val="000000"/>
        </w:rPr>
        <w:t>Con fecha veintiséis de junio de dos mil veinticinco, se recibió en este Instituto, a través del Sistema de Acceso a la Información Mexiquense (SAIMEX), el Recurso de Revisión interpuesto por la parte Recurrente, en contra de la respuesta del Sujeto Obligado</w:t>
      </w:r>
      <w:r>
        <w:t>,</w:t>
      </w:r>
      <w:r>
        <w:rPr>
          <w:b/>
        </w:rPr>
        <w:t xml:space="preserve"> </w:t>
      </w:r>
      <w:r>
        <w:rPr>
          <w:color w:val="000000"/>
        </w:rPr>
        <w:t>en los siguientes términos:</w:t>
      </w:r>
    </w:p>
    <w:p w14:paraId="04B57DD4" w14:textId="77777777" w:rsidR="0014657B" w:rsidRDefault="0014657B">
      <w:pPr>
        <w:tabs>
          <w:tab w:val="left" w:pos="4667"/>
        </w:tabs>
        <w:spacing w:after="0" w:line="360" w:lineRule="auto"/>
        <w:ind w:left="567" w:right="567"/>
        <w:rPr>
          <w:b/>
          <w:i/>
          <w:color w:val="FF0000"/>
          <w:sz w:val="20"/>
          <w:szCs w:val="20"/>
        </w:rPr>
      </w:pPr>
    </w:p>
    <w:p w14:paraId="41A8D0EF" w14:textId="77777777" w:rsidR="0014657B" w:rsidRDefault="006400E8">
      <w:pPr>
        <w:tabs>
          <w:tab w:val="left" w:pos="4667"/>
        </w:tabs>
        <w:spacing w:after="0" w:line="360" w:lineRule="auto"/>
        <w:ind w:left="567" w:right="567"/>
        <w:rPr>
          <w:b/>
          <w:i/>
          <w:color w:val="000000"/>
          <w:sz w:val="20"/>
          <w:szCs w:val="20"/>
        </w:rPr>
      </w:pPr>
      <w:r>
        <w:rPr>
          <w:b/>
          <w:i/>
          <w:color w:val="000000"/>
          <w:sz w:val="20"/>
          <w:szCs w:val="20"/>
        </w:rPr>
        <w:t>“ACTO IMPUGNADO</w:t>
      </w:r>
    </w:p>
    <w:p w14:paraId="04642D08" w14:textId="77777777" w:rsidR="0014657B" w:rsidRDefault="006400E8">
      <w:pPr>
        <w:tabs>
          <w:tab w:val="left" w:pos="4667"/>
        </w:tabs>
        <w:spacing w:after="0" w:line="360" w:lineRule="auto"/>
        <w:ind w:left="567" w:right="567"/>
        <w:rPr>
          <w:i/>
          <w:color w:val="000000"/>
          <w:sz w:val="20"/>
          <w:szCs w:val="20"/>
        </w:rPr>
      </w:pPr>
      <w:r>
        <w:rPr>
          <w:i/>
          <w:color w:val="000000"/>
          <w:sz w:val="20"/>
          <w:szCs w:val="20"/>
        </w:rPr>
        <w:t xml:space="preserve">No dieron contestación a lo que se </w:t>
      </w:r>
      <w:proofErr w:type="spellStart"/>
      <w:r>
        <w:rPr>
          <w:i/>
          <w:color w:val="000000"/>
          <w:sz w:val="20"/>
          <w:szCs w:val="20"/>
        </w:rPr>
        <w:t>solicito</w:t>
      </w:r>
      <w:proofErr w:type="spellEnd"/>
      <w:r>
        <w:rPr>
          <w:i/>
          <w:color w:val="000000"/>
          <w:sz w:val="20"/>
          <w:szCs w:val="20"/>
        </w:rPr>
        <w:t>” (Sic.)</w:t>
      </w:r>
    </w:p>
    <w:p w14:paraId="122034F8" w14:textId="77777777" w:rsidR="0014657B" w:rsidRDefault="0014657B">
      <w:pPr>
        <w:tabs>
          <w:tab w:val="left" w:pos="4667"/>
        </w:tabs>
        <w:spacing w:after="0" w:line="360" w:lineRule="auto"/>
        <w:ind w:left="567" w:right="567"/>
        <w:rPr>
          <w:i/>
          <w:color w:val="FF0000"/>
          <w:sz w:val="20"/>
          <w:szCs w:val="20"/>
        </w:rPr>
      </w:pPr>
    </w:p>
    <w:p w14:paraId="789CD63F" w14:textId="77777777" w:rsidR="0014657B" w:rsidRDefault="0014657B">
      <w:pPr>
        <w:tabs>
          <w:tab w:val="left" w:pos="4667"/>
        </w:tabs>
        <w:spacing w:after="0" w:line="360" w:lineRule="auto"/>
        <w:ind w:left="567" w:right="567"/>
        <w:rPr>
          <w:i/>
          <w:color w:val="FF0000"/>
          <w:sz w:val="20"/>
          <w:szCs w:val="20"/>
        </w:rPr>
      </w:pPr>
    </w:p>
    <w:p w14:paraId="33D42C05" w14:textId="77777777" w:rsidR="0014657B" w:rsidRDefault="006400E8">
      <w:pPr>
        <w:tabs>
          <w:tab w:val="left" w:pos="4667"/>
        </w:tabs>
        <w:spacing w:after="0" w:line="360" w:lineRule="auto"/>
        <w:ind w:left="567" w:right="567"/>
        <w:rPr>
          <w:b/>
          <w:i/>
          <w:color w:val="000000"/>
          <w:sz w:val="20"/>
          <w:szCs w:val="20"/>
        </w:rPr>
      </w:pPr>
      <w:r>
        <w:rPr>
          <w:b/>
          <w:i/>
          <w:color w:val="000000"/>
          <w:sz w:val="20"/>
          <w:szCs w:val="20"/>
        </w:rPr>
        <w:lastRenderedPageBreak/>
        <w:t>“RAZONES O MOTIVOS DE LA INCONFORMIDAD</w:t>
      </w:r>
    </w:p>
    <w:p w14:paraId="6DA97C7A" w14:textId="77777777" w:rsidR="0014657B" w:rsidRDefault="006400E8">
      <w:pPr>
        <w:tabs>
          <w:tab w:val="left" w:pos="4667"/>
        </w:tabs>
        <w:spacing w:after="0" w:line="360" w:lineRule="auto"/>
        <w:ind w:left="567" w:right="567"/>
        <w:rPr>
          <w:i/>
          <w:color w:val="000000"/>
          <w:sz w:val="20"/>
          <w:szCs w:val="20"/>
        </w:rPr>
      </w:pPr>
      <w:r>
        <w:rPr>
          <w:i/>
          <w:color w:val="000000"/>
          <w:sz w:val="20"/>
          <w:szCs w:val="20"/>
        </w:rPr>
        <w:t xml:space="preserve">No dieron contestación a lo que se </w:t>
      </w:r>
      <w:proofErr w:type="spellStart"/>
      <w:r>
        <w:rPr>
          <w:i/>
          <w:color w:val="000000"/>
          <w:sz w:val="20"/>
          <w:szCs w:val="20"/>
        </w:rPr>
        <w:t>solicito</w:t>
      </w:r>
      <w:proofErr w:type="spellEnd"/>
      <w:r>
        <w:rPr>
          <w:i/>
          <w:color w:val="000000"/>
          <w:sz w:val="20"/>
          <w:szCs w:val="20"/>
        </w:rPr>
        <w:t>, ya que los documentos que emiten no corresponde con lo solicitado.” (Sic.)</w:t>
      </w:r>
    </w:p>
    <w:p w14:paraId="1A194B29" w14:textId="77777777" w:rsidR="0014657B" w:rsidRDefault="0014657B">
      <w:pPr>
        <w:tabs>
          <w:tab w:val="left" w:pos="4667"/>
        </w:tabs>
        <w:spacing w:after="0" w:line="360" w:lineRule="auto"/>
        <w:ind w:right="567"/>
        <w:rPr>
          <w:i/>
          <w:color w:val="000000"/>
          <w:sz w:val="20"/>
          <w:szCs w:val="20"/>
        </w:rPr>
      </w:pPr>
    </w:p>
    <w:p w14:paraId="57651AAA" w14:textId="77777777" w:rsidR="0014657B" w:rsidRDefault="006400E8">
      <w:pPr>
        <w:pStyle w:val="Ttulo2"/>
        <w:spacing w:before="0" w:line="360" w:lineRule="auto"/>
        <w:rPr>
          <w:rFonts w:ascii="Palatino Linotype" w:eastAsia="Palatino Linotype" w:hAnsi="Palatino Linotype" w:cs="Palatino Linotype"/>
          <w:b/>
          <w:color w:val="000000"/>
          <w:sz w:val="22"/>
          <w:szCs w:val="22"/>
        </w:rPr>
      </w:pPr>
      <w:bookmarkStart w:id="5" w:name="_heading=h.22v5qlabbxei" w:colFirst="0" w:colLast="0"/>
      <w:bookmarkEnd w:id="5"/>
      <w:r>
        <w:rPr>
          <w:rFonts w:ascii="Palatino Linotype" w:eastAsia="Palatino Linotype" w:hAnsi="Palatino Linotype" w:cs="Palatino Linotype"/>
          <w:b/>
          <w:color w:val="000000"/>
          <w:sz w:val="22"/>
          <w:szCs w:val="22"/>
        </w:rPr>
        <w:t>IV. Trámite del Recurso de Revisión ante este Instituto</w:t>
      </w:r>
    </w:p>
    <w:p w14:paraId="5CBCE37E" w14:textId="77777777" w:rsidR="0014657B" w:rsidRDefault="0014657B">
      <w:pPr>
        <w:spacing w:after="0" w:line="360" w:lineRule="auto"/>
        <w:rPr>
          <w:b/>
          <w:color w:val="FF0000"/>
        </w:rPr>
      </w:pPr>
    </w:p>
    <w:p w14:paraId="55703CA7" w14:textId="77777777" w:rsidR="0014657B" w:rsidRDefault="006400E8">
      <w:pPr>
        <w:spacing w:after="0" w:line="360" w:lineRule="auto"/>
        <w:rPr>
          <w:b/>
          <w:color w:val="000000"/>
        </w:rPr>
      </w:pPr>
      <w:bookmarkStart w:id="6" w:name="_heading=h.9ivtvuy02oag" w:colFirst="0" w:colLast="0"/>
      <w:bookmarkEnd w:id="6"/>
      <w:r>
        <w:rPr>
          <w:b/>
          <w:color w:val="000000"/>
        </w:rPr>
        <w:t>a) Turno del Medio de Impugnación.</w:t>
      </w:r>
      <w:r>
        <w:rPr>
          <w:b/>
        </w:rPr>
        <w:t xml:space="preserve"> </w:t>
      </w:r>
      <w:r>
        <w:rPr>
          <w:color w:val="000000"/>
        </w:rPr>
        <w:t xml:space="preserve">El veintiséis de junio de dos mil veinticinco, el Sistema de Acceso a la Información Mexiquense (SAIMEX), asignó el número de expediente </w:t>
      </w:r>
      <w:r>
        <w:rPr>
          <w:b/>
          <w:color w:val="000000"/>
        </w:rPr>
        <w:t>07816/INFOEM/IP/RR/2025</w:t>
      </w:r>
      <w:r>
        <w:rPr>
          <w:color w:val="000000"/>
        </w:rPr>
        <w:t xml:space="preserve">, al Medio de Impugnación que nos ocupa, con base en el sistema aprobado por el Pleno de este Órgano Garante y lo turnó al </w:t>
      </w:r>
      <w:r>
        <w:rPr>
          <w:b/>
          <w:color w:val="000000"/>
        </w:rPr>
        <w:t>Comisionado Ponente Luis Gustavo Parra Noriega</w:t>
      </w:r>
      <w:r>
        <w:rPr>
          <w:color w:val="000000"/>
        </w:rPr>
        <w:t>, para los efectos del artículo 185, fracción I de la Ley de Transparencia y Acceso a la Información Pública del Estado de México y Municipios.</w:t>
      </w:r>
    </w:p>
    <w:p w14:paraId="4DD3B160" w14:textId="77777777" w:rsidR="0014657B" w:rsidRDefault="0014657B">
      <w:pPr>
        <w:spacing w:after="0" w:line="360" w:lineRule="auto"/>
        <w:rPr>
          <w:color w:val="FF0000"/>
        </w:rPr>
      </w:pPr>
    </w:p>
    <w:p w14:paraId="4D48A07E" w14:textId="77777777" w:rsidR="0014657B" w:rsidRDefault="006400E8">
      <w:pPr>
        <w:spacing w:after="0" w:line="360" w:lineRule="auto"/>
        <w:rPr>
          <w:color w:val="000000"/>
        </w:rPr>
      </w:pPr>
      <w:bookmarkStart w:id="7" w:name="_heading=h.bouxvg77pet1" w:colFirst="0" w:colLast="0"/>
      <w:bookmarkEnd w:id="7"/>
      <w:r>
        <w:rPr>
          <w:b/>
          <w:color w:val="000000"/>
        </w:rPr>
        <w:t>b) Admisión del Recurso de Revisión.</w:t>
      </w:r>
      <w:r>
        <w:rPr>
          <w:b/>
        </w:rPr>
        <w:t xml:space="preserve"> </w:t>
      </w:r>
      <w:r>
        <w:rPr>
          <w:color w:val="000000"/>
        </w:rPr>
        <w:t xml:space="preserve">El primero de julio de dos mil veinticinco, se acordó la admisión del Recurso de Revisión interpuesto por el Recurrente en contra del Sujeto Obligado, en términos del artículo 185, fracciones I y II de la Ley de Transparencia y Acceso a la Información Pública del Estado de México y Municipios, el cual fue debidamente notificado a las partes, el mismo día, a través del Sistema de Acceso a la Información Mexiquense (SAIMEX), en el que se les otorgó un plazo de siete días hábiles posteriores a la misma, para que manifestaran lo que a su derecho conviniera y formularan alegatos. </w:t>
      </w:r>
    </w:p>
    <w:p w14:paraId="7641DBD6" w14:textId="77777777" w:rsidR="0014657B" w:rsidRDefault="0014657B">
      <w:pPr>
        <w:spacing w:after="0" w:line="360" w:lineRule="auto"/>
        <w:rPr>
          <w:b/>
          <w:color w:val="000000"/>
        </w:rPr>
      </w:pPr>
    </w:p>
    <w:p w14:paraId="579B8751" w14:textId="77777777" w:rsidR="0014657B" w:rsidRDefault="006400E8">
      <w:pPr>
        <w:tabs>
          <w:tab w:val="left" w:pos="3261"/>
        </w:tabs>
        <w:spacing w:after="0" w:line="360" w:lineRule="auto"/>
      </w:pPr>
      <w:bookmarkStart w:id="8" w:name="_heading=h.ngkx1wqm8fmj" w:colFirst="0" w:colLast="0"/>
      <w:bookmarkEnd w:id="8"/>
      <w:r>
        <w:rPr>
          <w:b/>
          <w:color w:val="000000"/>
        </w:rPr>
        <w:t>c) Informe Justificado o Manifestaciones.</w:t>
      </w:r>
      <w:r>
        <w:t xml:space="preserve"> Las partes fueron omisas en realizar manifestaciones o alegatos </w:t>
      </w:r>
    </w:p>
    <w:p w14:paraId="04A321E5" w14:textId="77777777" w:rsidR="0014657B" w:rsidRDefault="0014657B">
      <w:pPr>
        <w:tabs>
          <w:tab w:val="left" w:pos="3261"/>
        </w:tabs>
        <w:spacing w:after="0" w:line="360" w:lineRule="auto"/>
      </w:pPr>
    </w:p>
    <w:p w14:paraId="0157FE26" w14:textId="77777777" w:rsidR="0014657B" w:rsidRDefault="006400E8">
      <w:pPr>
        <w:spacing w:after="0" w:line="360" w:lineRule="auto"/>
        <w:ind w:right="-28"/>
        <w:rPr>
          <w:color w:val="000000"/>
        </w:rPr>
      </w:pPr>
      <w:bookmarkStart w:id="9" w:name="_heading=h.tlvyewxbqvi" w:colFirst="0" w:colLast="0"/>
      <w:bookmarkEnd w:id="9"/>
      <w:r>
        <w:rPr>
          <w:b/>
          <w:color w:val="000000"/>
        </w:rPr>
        <w:t>d) Cierre de instrucción.</w:t>
      </w:r>
      <w:r>
        <w:rPr>
          <w:color w:val="000000"/>
        </w:rPr>
        <w:t xml:space="preserve"> El</w:t>
      </w:r>
      <w:r>
        <w:t xml:space="preserve"> quince de julio</w:t>
      </w:r>
      <w:r>
        <w:rPr>
          <w:color w:val="000000"/>
        </w:rPr>
        <w:t xml:space="preserve"> de dos mil veinticinco, al no existir diligencias pendientes por desahogar, se emitió el acuerdo por medio del cual se declaró cerrada la </w:t>
      </w:r>
      <w:r>
        <w:rPr>
          <w:color w:val="000000"/>
        </w:rPr>
        <w:lastRenderedPageBreak/>
        <w:t xml:space="preserve">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Sistema de Acceso a la Información Mexiquense (SAIMEX). </w:t>
      </w:r>
    </w:p>
    <w:p w14:paraId="27BDB4E0" w14:textId="77777777" w:rsidR="0014657B" w:rsidRDefault="0014657B">
      <w:pPr>
        <w:spacing w:after="0" w:line="360" w:lineRule="auto"/>
        <w:ind w:right="-28"/>
        <w:rPr>
          <w:color w:val="000000"/>
          <w:highlight w:val="red"/>
        </w:rPr>
      </w:pPr>
    </w:p>
    <w:p w14:paraId="33D0AA47" w14:textId="77777777" w:rsidR="0014657B" w:rsidRDefault="006400E8">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a los siguientes:</w:t>
      </w:r>
    </w:p>
    <w:p w14:paraId="67212DE9" w14:textId="77777777" w:rsidR="0014657B" w:rsidRDefault="0014657B">
      <w:pPr>
        <w:spacing w:after="0" w:line="360" w:lineRule="auto"/>
        <w:rPr>
          <w:color w:val="000000"/>
        </w:rPr>
      </w:pPr>
    </w:p>
    <w:p w14:paraId="7EEB2A1B" w14:textId="77777777" w:rsidR="0014657B" w:rsidRDefault="006400E8">
      <w:pPr>
        <w:pStyle w:val="Ttulo1"/>
        <w:spacing w:before="0" w:line="360" w:lineRule="auto"/>
        <w:jc w:val="center"/>
        <w:rPr>
          <w:rFonts w:ascii="Palatino Linotype" w:eastAsia="Palatino Linotype" w:hAnsi="Palatino Linotype" w:cs="Palatino Linotype"/>
          <w:b/>
          <w:color w:val="000000"/>
          <w:sz w:val="22"/>
          <w:szCs w:val="22"/>
        </w:rPr>
      </w:pPr>
      <w:bookmarkStart w:id="10" w:name="_heading=h.erly31t3xkpa" w:colFirst="0" w:colLast="0"/>
      <w:bookmarkEnd w:id="10"/>
      <w:r>
        <w:rPr>
          <w:rFonts w:ascii="Palatino Linotype" w:eastAsia="Palatino Linotype" w:hAnsi="Palatino Linotype" w:cs="Palatino Linotype"/>
          <w:b/>
          <w:color w:val="000000"/>
          <w:sz w:val="22"/>
          <w:szCs w:val="22"/>
        </w:rPr>
        <w:t>C O N S I D E R A N D O S</w:t>
      </w:r>
    </w:p>
    <w:p w14:paraId="1EBB49E4" w14:textId="77777777" w:rsidR="0014657B" w:rsidRDefault="0014657B">
      <w:pPr>
        <w:spacing w:after="0" w:line="360" w:lineRule="auto"/>
        <w:jc w:val="center"/>
        <w:rPr>
          <w:b/>
          <w:color w:val="000000"/>
        </w:rPr>
      </w:pPr>
    </w:p>
    <w:p w14:paraId="120E81E1" w14:textId="77777777" w:rsidR="0014657B" w:rsidRDefault="006400E8">
      <w:pPr>
        <w:pStyle w:val="Ttulo2"/>
        <w:spacing w:before="0" w:line="360" w:lineRule="auto"/>
        <w:rPr>
          <w:rFonts w:ascii="Palatino Linotype" w:eastAsia="Palatino Linotype" w:hAnsi="Palatino Linotype" w:cs="Palatino Linotype"/>
          <w:b/>
          <w:color w:val="000000"/>
          <w:sz w:val="22"/>
          <w:szCs w:val="22"/>
        </w:rPr>
      </w:pPr>
      <w:bookmarkStart w:id="11" w:name="_heading=h.hnbtw0o6m7bx" w:colFirst="0" w:colLast="0"/>
      <w:bookmarkEnd w:id="11"/>
      <w:r>
        <w:rPr>
          <w:rFonts w:ascii="Palatino Linotype" w:eastAsia="Palatino Linotype" w:hAnsi="Palatino Linotype" w:cs="Palatino Linotype"/>
          <w:b/>
          <w:color w:val="000000"/>
          <w:sz w:val="22"/>
          <w:szCs w:val="22"/>
        </w:rPr>
        <w:t>PRIMERO. Competencia</w:t>
      </w:r>
    </w:p>
    <w:p w14:paraId="5199443E" w14:textId="77777777" w:rsidR="0014657B" w:rsidRDefault="0014657B">
      <w:pPr>
        <w:spacing w:after="0" w:line="360" w:lineRule="auto"/>
        <w:rPr>
          <w:b/>
          <w:color w:val="FF0000"/>
        </w:rPr>
      </w:pPr>
    </w:p>
    <w:p w14:paraId="7FDBDE81" w14:textId="77777777" w:rsidR="0014657B" w:rsidRDefault="006400E8">
      <w:pPr>
        <w:spacing w:after="0" w:line="360" w:lineRule="auto"/>
        <w:rPr>
          <w:color w:val="000000"/>
        </w:rPr>
      </w:pPr>
      <w:r>
        <w:rPr>
          <w:color w:val="000000"/>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noveno, cuadragésimo y cuadragésimo primero, fracciones I, II, III, IV y V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30F3EEDB" w14:textId="77777777" w:rsidR="0014657B" w:rsidRDefault="0014657B">
      <w:pPr>
        <w:spacing w:after="0" w:line="360" w:lineRule="auto"/>
        <w:rPr>
          <w:b/>
          <w:color w:val="000000"/>
        </w:rPr>
      </w:pPr>
    </w:p>
    <w:p w14:paraId="191F01EE" w14:textId="77777777" w:rsidR="0014657B" w:rsidRDefault="006400E8">
      <w:pPr>
        <w:pStyle w:val="Ttulo2"/>
        <w:spacing w:before="0" w:line="360" w:lineRule="auto"/>
        <w:rPr>
          <w:rFonts w:ascii="Palatino Linotype" w:eastAsia="Palatino Linotype" w:hAnsi="Palatino Linotype" w:cs="Palatino Linotype"/>
          <w:b/>
          <w:color w:val="000000"/>
          <w:sz w:val="22"/>
          <w:szCs w:val="22"/>
        </w:rPr>
      </w:pPr>
      <w:bookmarkStart w:id="12" w:name="_heading=h.4lcxuqqhk6c0" w:colFirst="0" w:colLast="0"/>
      <w:bookmarkEnd w:id="12"/>
      <w:r>
        <w:rPr>
          <w:rFonts w:ascii="Palatino Linotype" w:eastAsia="Palatino Linotype" w:hAnsi="Palatino Linotype" w:cs="Palatino Linotype"/>
          <w:b/>
          <w:color w:val="000000"/>
          <w:sz w:val="22"/>
          <w:szCs w:val="22"/>
        </w:rPr>
        <w:lastRenderedPageBreak/>
        <w:t xml:space="preserve">SEGUNDO. Causales de improcedencia y sobreseimiento </w:t>
      </w:r>
    </w:p>
    <w:p w14:paraId="5599CE0B" w14:textId="77777777" w:rsidR="0014657B" w:rsidRDefault="0014657B">
      <w:pPr>
        <w:spacing w:after="0" w:line="360" w:lineRule="auto"/>
        <w:rPr>
          <w:color w:val="000000"/>
        </w:rPr>
      </w:pPr>
    </w:p>
    <w:p w14:paraId="088259E3" w14:textId="77777777" w:rsidR="0014657B" w:rsidRDefault="006400E8">
      <w:pPr>
        <w:spacing w:after="0" w:line="360" w:lineRule="auto"/>
        <w:rPr>
          <w:color w:val="000000"/>
        </w:rPr>
      </w:pPr>
      <w:r>
        <w:rPr>
          <w:color w:val="000000"/>
        </w:rPr>
        <w:t xml:space="preserve">De las constancias que forma parte del Recurso de Revisión que se analiza, se advierte que previo al estudio del fondo de la </w:t>
      </w:r>
      <w:proofErr w:type="spellStart"/>
      <w:r>
        <w:rPr>
          <w:i/>
          <w:color w:val="000000"/>
        </w:rPr>
        <w:t>litis</w:t>
      </w:r>
      <w:proofErr w:type="spellEnd"/>
      <w:r>
        <w:rPr>
          <w:color w:val="000000"/>
        </w:rPr>
        <w:t>, es necesario estudiar las causales de improcedencia y sobreseimiento que se adviertan, para determinar lo que en Derecho proceda.</w:t>
      </w:r>
    </w:p>
    <w:p w14:paraId="0BBEFD6F" w14:textId="77777777" w:rsidR="0014657B" w:rsidRDefault="0014657B">
      <w:pPr>
        <w:spacing w:after="0" w:line="360" w:lineRule="auto"/>
        <w:rPr>
          <w:b/>
          <w:color w:val="000000"/>
        </w:rPr>
      </w:pPr>
    </w:p>
    <w:p w14:paraId="390D45FE" w14:textId="77777777" w:rsidR="0014657B" w:rsidRDefault="006400E8">
      <w:pPr>
        <w:spacing w:after="0" w:line="360" w:lineRule="auto"/>
        <w:rPr>
          <w:b/>
          <w:color w:val="000000"/>
        </w:rPr>
      </w:pPr>
      <w:r>
        <w:rPr>
          <w:b/>
          <w:color w:val="000000"/>
        </w:rPr>
        <w:t>Causales de improcedencia</w:t>
      </w:r>
    </w:p>
    <w:p w14:paraId="4D4303BB" w14:textId="77777777" w:rsidR="0014657B" w:rsidRDefault="0014657B">
      <w:pPr>
        <w:spacing w:after="0" w:line="360" w:lineRule="auto"/>
        <w:rPr>
          <w:color w:val="000000"/>
        </w:rPr>
      </w:pPr>
    </w:p>
    <w:p w14:paraId="1EF2EA56" w14:textId="77777777" w:rsidR="0014657B" w:rsidRDefault="006400E8">
      <w:pPr>
        <w:spacing w:after="0" w:line="360" w:lineRule="auto"/>
        <w:rPr>
          <w:color w:val="000000"/>
        </w:rPr>
      </w:pPr>
      <w:r>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6814B111" w14:textId="77777777" w:rsidR="0014657B" w:rsidRDefault="0014657B">
      <w:pPr>
        <w:spacing w:after="0" w:line="360" w:lineRule="auto"/>
        <w:rPr>
          <w:color w:val="000000"/>
        </w:rPr>
      </w:pPr>
    </w:p>
    <w:p w14:paraId="7CD9D27B" w14:textId="77777777" w:rsidR="0014657B" w:rsidRDefault="006400E8">
      <w:pPr>
        <w:spacing w:after="0" w:line="360" w:lineRule="auto"/>
        <w:rPr>
          <w:color w:val="000000"/>
        </w:rPr>
      </w:pPr>
      <w:r>
        <w:rPr>
          <w:color w:val="000000"/>
        </w:rPr>
        <w:t>En el presente caso, </w:t>
      </w:r>
      <w:r>
        <w:rPr>
          <w:b/>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4B6CBBCF" w14:textId="77777777" w:rsidR="0014657B" w:rsidRDefault="0014657B">
      <w:pPr>
        <w:spacing w:after="0" w:line="360" w:lineRule="auto"/>
        <w:rPr>
          <w:color w:val="000000"/>
        </w:rPr>
      </w:pPr>
    </w:p>
    <w:p w14:paraId="256DC93F" w14:textId="77777777" w:rsidR="0014657B" w:rsidRDefault="006400E8">
      <w:pPr>
        <w:spacing w:after="0" w:line="360" w:lineRule="auto"/>
        <w:rPr>
          <w:color w:val="000000"/>
        </w:rPr>
      </w:pPr>
      <w:r>
        <w:rPr>
          <w:color w:val="000000"/>
        </w:rPr>
        <w:lastRenderedPageBreak/>
        <w:t>Conforme a lo anterior, se actualiza la causal de procedencia señalada en el artículo 179, fracción VI, de la Ley de la materia, toda vez que el Solicitante se inconformó con la entrega información que no corresponde con lo solicitado.</w:t>
      </w:r>
    </w:p>
    <w:p w14:paraId="7FCE2F94" w14:textId="77777777" w:rsidR="0014657B" w:rsidRDefault="0014657B">
      <w:pPr>
        <w:spacing w:after="0" w:line="360" w:lineRule="auto"/>
        <w:rPr>
          <w:color w:val="000000"/>
        </w:rPr>
      </w:pPr>
    </w:p>
    <w:p w14:paraId="24043BBA" w14:textId="77777777" w:rsidR="0014657B" w:rsidRDefault="006400E8">
      <w:pPr>
        <w:spacing w:after="0" w:line="360" w:lineRule="auto"/>
        <w:rPr>
          <w:color w:val="0D0D0D"/>
        </w:rPr>
      </w:pPr>
      <w:r>
        <w:rPr>
          <w:b/>
          <w:color w:val="0D0D0D"/>
        </w:rPr>
        <w:t>Causales de sobreseimiento</w:t>
      </w:r>
    </w:p>
    <w:p w14:paraId="517404E5" w14:textId="77777777" w:rsidR="0014657B" w:rsidRDefault="0014657B">
      <w:pPr>
        <w:spacing w:after="0" w:line="360" w:lineRule="auto"/>
        <w:rPr>
          <w:color w:val="0D0D0D"/>
        </w:rPr>
      </w:pPr>
    </w:p>
    <w:p w14:paraId="6AEC931D" w14:textId="77777777" w:rsidR="0014657B" w:rsidRDefault="006400E8">
      <w:pPr>
        <w:spacing w:after="0" w:line="360" w:lineRule="auto"/>
        <w:rPr>
          <w:color w:val="0D0D0D"/>
        </w:rPr>
      </w:pPr>
      <w:r>
        <w:rPr>
          <w:color w:val="0D0D0D"/>
        </w:rPr>
        <w:t>Por ser de previo y especial pronunciamiento, este Instituto analiza si se actualiza alguna causal de sobreseimiento.</w:t>
      </w:r>
    </w:p>
    <w:p w14:paraId="10D4BC25" w14:textId="77777777" w:rsidR="0014657B" w:rsidRDefault="0014657B">
      <w:pPr>
        <w:spacing w:after="0" w:line="360" w:lineRule="auto"/>
        <w:rPr>
          <w:color w:val="0D0D0D"/>
        </w:rPr>
      </w:pPr>
    </w:p>
    <w:p w14:paraId="4C428D9D" w14:textId="77777777" w:rsidR="0014657B" w:rsidRDefault="006400E8">
      <w:pPr>
        <w:spacing w:after="0" w:line="360" w:lineRule="auto"/>
        <w:rPr>
          <w:color w:val="000000"/>
        </w:rPr>
      </w:pPr>
      <w:r>
        <w:rPr>
          <w:color w:val="0D0D0D"/>
        </w:rPr>
        <w:t>Sobre el tema, e</w:t>
      </w:r>
      <w:r>
        <w:rPr>
          <w:color w:val="000000"/>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303FA663" w14:textId="77777777" w:rsidR="0014657B" w:rsidRDefault="0014657B">
      <w:pPr>
        <w:spacing w:after="0" w:line="360" w:lineRule="auto"/>
        <w:rPr>
          <w:color w:val="000000"/>
        </w:rPr>
      </w:pPr>
    </w:p>
    <w:p w14:paraId="14DF0274" w14:textId="77777777" w:rsidR="0014657B" w:rsidRDefault="006400E8">
      <w:pPr>
        <w:spacing w:after="0" w:line="360" w:lineRule="auto"/>
        <w:rPr>
          <w:color w:val="0D0D0D"/>
        </w:rPr>
      </w:pPr>
      <w:r>
        <w:rPr>
          <w:color w:val="0D0D0D"/>
        </w:rPr>
        <w:t xml:space="preserve">Por tales motivos, se considera procedente entrar al fondo del presente asunto. </w:t>
      </w:r>
    </w:p>
    <w:p w14:paraId="4A6DD17D" w14:textId="77777777" w:rsidR="0014657B" w:rsidRDefault="0014657B">
      <w:pPr>
        <w:spacing w:after="0" w:line="360" w:lineRule="auto"/>
        <w:rPr>
          <w:b/>
          <w:color w:val="000000"/>
        </w:rPr>
      </w:pPr>
    </w:p>
    <w:p w14:paraId="720A8ED6" w14:textId="77777777" w:rsidR="0014657B" w:rsidRDefault="006400E8">
      <w:pPr>
        <w:pStyle w:val="Ttulo2"/>
        <w:spacing w:before="0" w:line="360" w:lineRule="auto"/>
        <w:rPr>
          <w:rFonts w:ascii="Palatino Linotype" w:eastAsia="Palatino Linotype" w:hAnsi="Palatino Linotype" w:cs="Palatino Linotype"/>
          <w:b/>
          <w:color w:val="000000"/>
          <w:sz w:val="22"/>
          <w:szCs w:val="22"/>
        </w:rPr>
      </w:pPr>
      <w:bookmarkStart w:id="13" w:name="_heading=h.xthpvbe8iu2v" w:colFirst="0" w:colLast="0"/>
      <w:bookmarkEnd w:id="13"/>
      <w:r>
        <w:rPr>
          <w:rFonts w:ascii="Palatino Linotype" w:eastAsia="Palatino Linotype" w:hAnsi="Palatino Linotype" w:cs="Palatino Linotype"/>
          <w:b/>
          <w:color w:val="000000"/>
          <w:sz w:val="22"/>
          <w:szCs w:val="22"/>
        </w:rPr>
        <w:t>TERCERO. Determinación de la Controversia</w:t>
      </w:r>
    </w:p>
    <w:p w14:paraId="1A168D33" w14:textId="77777777" w:rsidR="0014657B" w:rsidRDefault="0014657B">
      <w:pPr>
        <w:spacing w:after="0" w:line="360" w:lineRule="auto"/>
        <w:rPr>
          <w:color w:val="FF0000"/>
          <w:highlight w:val="yellow"/>
        </w:rPr>
      </w:pPr>
    </w:p>
    <w:p w14:paraId="6E338EE7" w14:textId="77777777" w:rsidR="0014657B" w:rsidRDefault="006400E8">
      <w:pPr>
        <w:spacing w:after="0" w:line="360" w:lineRule="auto"/>
        <w:rPr>
          <w:color w:val="000000"/>
        </w:rPr>
      </w:pPr>
      <w:r>
        <w:rPr>
          <w:color w:val="000000"/>
        </w:rPr>
        <w:t xml:space="preserve">Una vez realizado el estudio de las constancias que integran el expediente en que se actúa, se desprende que el Recurrente requirió las bases para cotejar el proceso de evaluación del Programa Anual de Evaluación de dos mil veinticuatro y dos mil veinticinco. </w:t>
      </w:r>
    </w:p>
    <w:p w14:paraId="4AFE28A8" w14:textId="77777777" w:rsidR="0014657B" w:rsidRDefault="006400E8">
      <w:pPr>
        <w:spacing w:after="0" w:line="360" w:lineRule="auto"/>
        <w:ind w:right="-28"/>
        <w:rPr>
          <w:color w:val="000000"/>
        </w:rPr>
      </w:pPr>
      <w:bookmarkStart w:id="14" w:name="_heading=h.nrm8aft12iq1" w:colFirst="0" w:colLast="0"/>
      <w:bookmarkEnd w:id="14"/>
      <w:r>
        <w:rPr>
          <w:color w:val="000000"/>
        </w:rPr>
        <w:lastRenderedPageBreak/>
        <w:t xml:space="preserve">En respuesta, el Sujeto Obligado, por medio de la Unidad de Información, Planeación, Programación y Evaluación proporcionó los Lineamientos Generales para la Evaluación de Programas Presupuestarios Municipales, ante dicha circunstancia, el Particular se inconformó de la entrega de información que no corresponde con lo solicitado, al precisar que los documentos que remitieron no atendían lo solicitado, lo cual  actualiza la causal de procedencia prevista en la fracción VI, del artículo 179 de la Ley de Transparencia y Acceso a la Información Pública del Estado de México y Municipios. Así las cosas, una vez admitido y notificado el Recurso de Revisión a las partes, estas fueron omisas en manifestarse. </w:t>
      </w:r>
    </w:p>
    <w:p w14:paraId="136A8EE0" w14:textId="77777777" w:rsidR="0014657B" w:rsidRDefault="0014657B">
      <w:pPr>
        <w:spacing w:after="0" w:line="360" w:lineRule="auto"/>
        <w:ind w:right="-28"/>
        <w:rPr>
          <w:color w:val="000000"/>
        </w:rPr>
      </w:pPr>
    </w:p>
    <w:p w14:paraId="79F7D2AE" w14:textId="77777777" w:rsidR="0014657B" w:rsidRDefault="006400E8">
      <w:pPr>
        <w:tabs>
          <w:tab w:val="left" w:pos="4962"/>
        </w:tabs>
        <w:spacing w:after="0" w:line="360" w:lineRule="auto"/>
        <w:rPr>
          <w:color w:val="000000"/>
        </w:rPr>
      </w:pPr>
      <w:r>
        <w:rPr>
          <w:color w:val="000000"/>
        </w:rPr>
        <w:t xml:space="preserve">Lo anterior, se desprende de las documentales que obran en el expediente de referencia, materia de la presente resolución, consistente en: la solicitud de acceso a la información, la respuesta y el escrito </w:t>
      </w:r>
      <w:proofErr w:type="spellStart"/>
      <w:r>
        <w:rPr>
          <w:color w:val="000000"/>
        </w:rPr>
        <w:t>recursal</w:t>
      </w:r>
      <w:proofErr w:type="spellEnd"/>
      <w:r>
        <w:rPr>
          <w:color w:val="000000"/>
        </w:rPr>
        <w:t>; instrumentales que se toman en cuenta a efecto de resolver el presente medio de impugnación, conforme a lo dispuesto por el artículo 185, fracción IV, de la Ley de Transparencia y Acceso a la Información Pública del Estado de México y Municipios.</w:t>
      </w:r>
    </w:p>
    <w:p w14:paraId="335A5CF7" w14:textId="77777777" w:rsidR="0014657B" w:rsidRDefault="0014657B">
      <w:pPr>
        <w:spacing w:after="0" w:line="360" w:lineRule="auto"/>
        <w:rPr>
          <w:b/>
          <w:color w:val="000000"/>
        </w:rPr>
      </w:pPr>
    </w:p>
    <w:p w14:paraId="2CAD3E08" w14:textId="77777777" w:rsidR="0014657B" w:rsidRDefault="006400E8">
      <w:pPr>
        <w:pStyle w:val="Ttulo2"/>
        <w:spacing w:before="0" w:line="360" w:lineRule="auto"/>
        <w:rPr>
          <w:rFonts w:ascii="Palatino Linotype" w:eastAsia="Palatino Linotype" w:hAnsi="Palatino Linotype" w:cs="Palatino Linotype"/>
          <w:b/>
          <w:color w:val="000000"/>
          <w:sz w:val="22"/>
          <w:szCs w:val="22"/>
        </w:rPr>
      </w:pPr>
      <w:bookmarkStart w:id="15" w:name="_heading=h.ooytgvaqyq8l" w:colFirst="0" w:colLast="0"/>
      <w:bookmarkEnd w:id="15"/>
      <w:r>
        <w:rPr>
          <w:rFonts w:ascii="Palatino Linotype" w:eastAsia="Palatino Linotype" w:hAnsi="Palatino Linotype" w:cs="Palatino Linotype"/>
          <w:b/>
          <w:color w:val="000000"/>
          <w:sz w:val="22"/>
          <w:szCs w:val="22"/>
        </w:rPr>
        <w:t>CUARTO. Marco normativo aplicable en materia de transparencia y acceso a la información pública</w:t>
      </w:r>
    </w:p>
    <w:p w14:paraId="0D318BA1" w14:textId="77777777" w:rsidR="0014657B" w:rsidRDefault="0014657B">
      <w:pPr>
        <w:spacing w:after="0" w:line="360" w:lineRule="auto"/>
        <w:rPr>
          <w:color w:val="FF0000"/>
        </w:rPr>
      </w:pPr>
    </w:p>
    <w:p w14:paraId="40C66758" w14:textId="77777777" w:rsidR="0014657B" w:rsidRDefault="006400E8">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16777C3B" w14:textId="77777777" w:rsidR="0014657B" w:rsidRDefault="0014657B">
      <w:pPr>
        <w:spacing w:after="0" w:line="360" w:lineRule="auto"/>
        <w:rPr>
          <w:color w:val="000000"/>
        </w:rPr>
      </w:pPr>
    </w:p>
    <w:p w14:paraId="00E58E12" w14:textId="77777777" w:rsidR="0014657B" w:rsidRDefault="006400E8">
      <w:pPr>
        <w:spacing w:after="0" w:line="360" w:lineRule="auto"/>
        <w:rPr>
          <w:color w:val="000000"/>
        </w:rPr>
      </w:pPr>
      <w:r>
        <w:rPr>
          <w:color w:val="000000"/>
        </w:rPr>
        <w:t xml:space="preserve">En materia local, el artículo 5°, fracción I de la Constitución Política del Estado Libre y Soberano de México, es coincidente con la Constitución Federal, en el sentido de la </w:t>
      </w:r>
      <w:r>
        <w:rPr>
          <w:color w:val="000000"/>
        </w:rPr>
        <w:lastRenderedPageBreak/>
        <w:t>publicidad de toda la información, con la única restricción de proteger el interés público, así como la información referente a la intimidad de la vida privada y la imagen de las personas, con las excepciones que establezca la ley reglamentaria.</w:t>
      </w:r>
    </w:p>
    <w:p w14:paraId="01880995" w14:textId="77777777" w:rsidR="0014657B" w:rsidRDefault="0014657B">
      <w:pPr>
        <w:spacing w:after="0" w:line="360" w:lineRule="auto"/>
        <w:rPr>
          <w:color w:val="000000"/>
        </w:rPr>
      </w:pPr>
    </w:p>
    <w:p w14:paraId="5AE43FB8" w14:textId="77777777" w:rsidR="0014657B" w:rsidRDefault="006400E8">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14:paraId="016D49BA" w14:textId="77777777" w:rsidR="0014657B" w:rsidRDefault="0014657B">
      <w:pPr>
        <w:spacing w:after="0" w:line="360" w:lineRule="auto"/>
        <w:rPr>
          <w:color w:val="000000"/>
        </w:rPr>
      </w:pPr>
    </w:p>
    <w:p w14:paraId="58B22190" w14:textId="77777777" w:rsidR="0014657B" w:rsidRDefault="006400E8">
      <w:pPr>
        <w:spacing w:after="0" w:line="360" w:lineRule="auto"/>
        <w:rPr>
          <w:color w:val="000000"/>
        </w:rPr>
      </w:pPr>
      <w:r>
        <w:rPr>
          <w:color w:val="000000"/>
        </w:rPr>
        <w:t>El artículo 12, que, quienes generen, recopilen, administren, manejen, procesen, archiven o conserven información pública serán responsables de la misma.</w:t>
      </w:r>
    </w:p>
    <w:p w14:paraId="44BE659C" w14:textId="77777777" w:rsidR="0014657B" w:rsidRDefault="0014657B">
      <w:pPr>
        <w:spacing w:after="0" w:line="360" w:lineRule="auto"/>
        <w:rPr>
          <w:color w:val="000000"/>
        </w:rPr>
      </w:pPr>
    </w:p>
    <w:p w14:paraId="574CDDDF" w14:textId="77777777" w:rsidR="0014657B" w:rsidRDefault="006400E8">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3AE8A9CD" w14:textId="77777777" w:rsidR="0014657B" w:rsidRDefault="0014657B">
      <w:pPr>
        <w:spacing w:after="0" w:line="360" w:lineRule="auto"/>
        <w:rPr>
          <w:color w:val="000000"/>
        </w:rPr>
      </w:pPr>
    </w:p>
    <w:p w14:paraId="0AC6E5A2" w14:textId="77777777" w:rsidR="0014657B" w:rsidRDefault="006400E8">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B642842" w14:textId="77777777" w:rsidR="0014657B" w:rsidRDefault="0014657B">
      <w:pPr>
        <w:spacing w:after="0" w:line="360" w:lineRule="auto"/>
        <w:rPr>
          <w:color w:val="FF0000"/>
        </w:rPr>
      </w:pPr>
    </w:p>
    <w:p w14:paraId="1C692C7E" w14:textId="77777777" w:rsidR="0014657B" w:rsidRDefault="006400E8">
      <w:pPr>
        <w:pStyle w:val="Ttulo2"/>
        <w:spacing w:before="0" w:line="360" w:lineRule="auto"/>
        <w:rPr>
          <w:rFonts w:ascii="Palatino Linotype" w:eastAsia="Palatino Linotype" w:hAnsi="Palatino Linotype" w:cs="Palatino Linotype"/>
          <w:b/>
          <w:color w:val="000000"/>
          <w:sz w:val="22"/>
          <w:szCs w:val="22"/>
        </w:rPr>
      </w:pPr>
      <w:bookmarkStart w:id="16" w:name="_heading=h.gf8195odfb7w" w:colFirst="0" w:colLast="0"/>
      <w:bookmarkEnd w:id="16"/>
      <w:r>
        <w:rPr>
          <w:rFonts w:ascii="Palatino Linotype" w:eastAsia="Palatino Linotype" w:hAnsi="Palatino Linotype" w:cs="Palatino Linotype"/>
          <w:b/>
          <w:color w:val="000000"/>
          <w:sz w:val="22"/>
          <w:szCs w:val="22"/>
        </w:rPr>
        <w:t>QUINTO. Estudio de Fondo</w:t>
      </w:r>
    </w:p>
    <w:p w14:paraId="09DCA050" w14:textId="77777777" w:rsidR="0014657B" w:rsidRDefault="0014657B">
      <w:pPr>
        <w:spacing w:after="0" w:line="360" w:lineRule="auto"/>
        <w:rPr>
          <w:b/>
          <w:color w:val="000000"/>
        </w:rPr>
      </w:pPr>
    </w:p>
    <w:p w14:paraId="6FFEDBED" w14:textId="77777777" w:rsidR="0014657B" w:rsidRDefault="006400E8">
      <w:pPr>
        <w:spacing w:after="0" w:line="360" w:lineRule="auto"/>
        <w:rPr>
          <w:color w:val="000000"/>
        </w:rPr>
      </w:pPr>
      <w:r>
        <w:rPr>
          <w:color w:val="000000"/>
        </w:rPr>
        <w:t>Expuestas las posturas de las partes, se procede al análisis del agravio hecho valer por la persona Recurrente, concerniente a la entrega de información que no corresponde con lo solicitado; para lo cual, en un principio es necesario contextualizar la solicitud de información.</w:t>
      </w:r>
    </w:p>
    <w:p w14:paraId="1F47FC26" w14:textId="77777777" w:rsidR="0014657B" w:rsidRDefault="006400E8">
      <w:pPr>
        <w:spacing w:after="0" w:line="360" w:lineRule="auto"/>
        <w:rPr>
          <w:b/>
          <w:color w:val="000000"/>
        </w:rPr>
      </w:pPr>
      <w:r>
        <w:rPr>
          <w:color w:val="000000"/>
        </w:rPr>
        <w:lastRenderedPageBreak/>
        <w:t xml:space="preserve">Sobre el tema, cabe precisar que de conformidad con los artículos 6°, apartado A, de la Constitución Política de los Estados Unidos Mexicanos, 5° de la Constitución Política del Estado Libre y Soberano de México, y 4° de la Ley de Transparencia y Acceso a la Información Pública del Estado de México y Municipios, </w:t>
      </w:r>
      <w:r>
        <w:rPr>
          <w:b/>
          <w:color w:val="000000"/>
        </w:rPr>
        <w:t>toda la información generada, obtenida, adquirida, transformada o en posesión de los sujetos obligados es pública y accesible a cualquier persona.</w:t>
      </w:r>
    </w:p>
    <w:p w14:paraId="27A10AC2" w14:textId="77777777" w:rsidR="0014657B" w:rsidRDefault="0014657B">
      <w:pPr>
        <w:spacing w:after="0" w:line="360" w:lineRule="auto"/>
        <w:rPr>
          <w:color w:val="000000"/>
        </w:rPr>
      </w:pPr>
    </w:p>
    <w:p w14:paraId="68267CDB" w14:textId="77777777" w:rsidR="0014657B" w:rsidRDefault="006400E8">
      <w:pPr>
        <w:spacing w:after="0" w:line="360" w:lineRule="auto"/>
        <w:rPr>
          <w:color w:val="000000"/>
        </w:rPr>
      </w:pPr>
      <w:r>
        <w:rPr>
          <w:color w:val="000000"/>
        </w:rPr>
        <w:t>Ahora bien, el artículo 18 de la Ley de Transparencia y Acceso a la Información Pública del Estado de México y Municipios, contempla que los sujetos obligados deberán documentar todo acto que derive del ejercicio de sus facultades, competencias o funciones.</w:t>
      </w:r>
    </w:p>
    <w:p w14:paraId="2790C93B" w14:textId="77777777" w:rsidR="0014657B" w:rsidRDefault="0014657B">
      <w:pPr>
        <w:spacing w:after="0" w:line="360" w:lineRule="auto"/>
        <w:rPr>
          <w:color w:val="000000"/>
        </w:rPr>
      </w:pPr>
    </w:p>
    <w:p w14:paraId="7884B6F2" w14:textId="77777777" w:rsidR="0014657B" w:rsidRDefault="006400E8">
      <w:pPr>
        <w:spacing w:after="0" w:line="360" w:lineRule="auto"/>
        <w:rPr>
          <w:color w:val="000000"/>
        </w:rPr>
      </w:pPr>
      <w:r>
        <w:rPr>
          <w:color w:val="000000"/>
        </w:rPr>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166B4BF1" w14:textId="77777777" w:rsidR="0014657B" w:rsidRDefault="0014657B">
      <w:pPr>
        <w:spacing w:after="0" w:line="360" w:lineRule="auto"/>
        <w:rPr>
          <w:color w:val="000000"/>
        </w:rPr>
      </w:pPr>
    </w:p>
    <w:p w14:paraId="2D4D10ED" w14:textId="77777777" w:rsidR="0014657B" w:rsidRDefault="006400E8">
      <w:pPr>
        <w:spacing w:after="0" w:line="360" w:lineRule="auto"/>
        <w:rPr>
          <w:color w:val="000000"/>
        </w:rPr>
      </w:pPr>
      <w:r>
        <w:rPr>
          <w:color w:val="000000"/>
        </w:rPr>
        <w:t xml:space="preserve">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 </w:t>
      </w:r>
    </w:p>
    <w:p w14:paraId="008F2CAB" w14:textId="77777777" w:rsidR="0014657B" w:rsidRDefault="006400E8">
      <w:pPr>
        <w:spacing w:after="0" w:line="360" w:lineRule="auto"/>
        <w:rPr>
          <w:color w:val="000000"/>
        </w:rPr>
      </w:pPr>
      <w:r>
        <w:rPr>
          <w:color w:val="000000"/>
        </w:rPr>
        <w:t xml:space="preserve"> </w:t>
      </w:r>
    </w:p>
    <w:p w14:paraId="0FB14410" w14:textId="77777777" w:rsidR="0014657B" w:rsidRDefault="006400E8">
      <w:pPr>
        <w:spacing w:after="0" w:line="360" w:lineRule="auto"/>
        <w:rPr>
          <w:color w:val="000000"/>
        </w:rPr>
      </w:pPr>
      <w:bookmarkStart w:id="17" w:name="_heading=h.undog2p1albs" w:colFirst="0" w:colLast="0"/>
      <w:bookmarkEnd w:id="17"/>
      <w:r>
        <w:rPr>
          <w:color w:val="000000"/>
        </w:rPr>
        <w:lastRenderedPageBreak/>
        <w:t xml:space="preserve">Ahora bien, conforme a los artículos 10 y 20 de la Ley de Planeación del Estado de México y Municipios, precisa que la evaluación corresponde al proceso que tiene como finalidad determinar el grado de eficacia y eficiencia, con que han sido empleados los recursos destinados a alcanzar los objetivos previstos, adoptando las medidas correctivas que garanticen el cumplimiento adecuado de las metas y para tal efecto, las Unidades de Información, Planeación, Programación y Evaluación, de las dependencias en materia de planeación democrática, deberán verificar que los programas y la asignación de recursos guarden relación con los objetivos, metas y prioridades de los planes y programas y la evaluación de su ejecución, cumplir con el Plan Nacional de Desarrollo, el Plan de Desarrollo del Estado de México, la Agenda Digital, el Plan de Desarrollo Municipal y los programas que de éstos deriven, así como reportar periódicamente los resultados de la ejecución de los planes y programas al Comité de Planeación para el Desarrollo del Estado de México, con base en la coordinación establecida en el Sistema de Planeación Democrática para el Desarrollo del Estado de México y Municipios. </w:t>
      </w:r>
    </w:p>
    <w:p w14:paraId="1E8CC62C" w14:textId="77777777" w:rsidR="0014657B" w:rsidRDefault="0014657B">
      <w:pPr>
        <w:spacing w:after="0" w:line="360" w:lineRule="auto"/>
        <w:rPr>
          <w:color w:val="000000"/>
        </w:rPr>
      </w:pPr>
    </w:p>
    <w:p w14:paraId="199B5958" w14:textId="77777777" w:rsidR="0014657B" w:rsidRDefault="006400E8">
      <w:pPr>
        <w:spacing w:after="0" w:line="360" w:lineRule="auto"/>
        <w:rPr>
          <w:color w:val="000000"/>
        </w:rPr>
      </w:pPr>
      <w:r>
        <w:rPr>
          <w:color w:val="000000"/>
        </w:rPr>
        <w:t xml:space="preserve">En esa consecución de ideas, conforme a la Sección Primera, Segunda y Quinta de los Lineamientos Generales para la Evaluación de los Programas Presupuestarios Municipales, que son de observancia para todas las dependencias administrativas y Organismos Auxiliares, tienen por objeto regular la evaluación de los programas y proyectos presupuestarios municipales y para tal efecto los sujetos evaluados, deberán elaborar y proponer anualmente a la Unidad de Información, Planeación, Programación y Evaluación, los objetivos estratégicos de los Programas presupuestarios. </w:t>
      </w:r>
    </w:p>
    <w:p w14:paraId="77BF4E82" w14:textId="77777777" w:rsidR="0014657B" w:rsidRDefault="0014657B">
      <w:pPr>
        <w:spacing w:after="0" w:line="360" w:lineRule="auto"/>
        <w:rPr>
          <w:color w:val="000000"/>
        </w:rPr>
      </w:pPr>
    </w:p>
    <w:p w14:paraId="0133C901" w14:textId="77777777" w:rsidR="0014657B" w:rsidRDefault="006400E8">
      <w:pPr>
        <w:spacing w:after="0" w:line="360" w:lineRule="auto"/>
        <w:rPr>
          <w:color w:val="000000"/>
        </w:rPr>
      </w:pPr>
      <w:bookmarkStart w:id="18" w:name="_heading=h.49pjj3vptzqj" w:colFirst="0" w:colLast="0"/>
      <w:bookmarkEnd w:id="18"/>
      <w:r>
        <w:rPr>
          <w:color w:val="000000"/>
        </w:rPr>
        <w:t xml:space="preserve">Conforme a lo anterior, la sección Décima Secta y Vigésima Cuarta de los Lineamientos referidos, precisan que la evaluación de los programas presupuestarios, deberán realizarse </w:t>
      </w:r>
      <w:r>
        <w:rPr>
          <w:color w:val="000000"/>
        </w:rPr>
        <w:lastRenderedPageBreak/>
        <w:t xml:space="preserve">conforme a los estándares normativos, mediante trabajo de campo y de administración del cual se integrará el informe correspondiente de conformidad con los criterios establecidos en materia de diseño programático, en materia de proceso,  en materia de consistencia y resultados, en materia de desempeño y de impacto, mismos que integrarán los </w:t>
      </w:r>
      <w:r>
        <w:rPr>
          <w:b/>
          <w:color w:val="000000"/>
        </w:rPr>
        <w:t>Términos de Referencia</w:t>
      </w:r>
      <w:r>
        <w:rPr>
          <w:color w:val="000000"/>
        </w:rPr>
        <w:t xml:space="preserve"> para la evaluación del Diseño Programático, la evaluación de Procesos y la  evaluación de Consistencia y Resultados, por lo que </w:t>
      </w:r>
      <w:r>
        <w:rPr>
          <w:b/>
          <w:color w:val="000000"/>
        </w:rPr>
        <w:t>se trata del documento que plantea las bases mínimas y específicas de acuerdo al tipo de evaluación y programa a evaluar con base a las especificaciones técnicas, objetivos de la evaluación, así como la normatividad aplicable;</w:t>
      </w:r>
      <w:r>
        <w:rPr>
          <w:color w:val="000000"/>
        </w:rPr>
        <w:t xml:space="preserve"> así</w:t>
      </w:r>
      <w:r>
        <w:rPr>
          <w:b/>
          <w:color w:val="000000"/>
        </w:rPr>
        <w:t xml:space="preserve"> </w:t>
      </w:r>
      <w:r>
        <w:rPr>
          <w:color w:val="000000"/>
        </w:rPr>
        <w:t xml:space="preserve">se darán a conocer a través de la página de internet, en un lugar visible y de fácil acceso, los documentos y resultados de todas las evaluaciones aplicadas a los programas presupuestarios que ejecutan . </w:t>
      </w:r>
    </w:p>
    <w:p w14:paraId="3AB2D94C" w14:textId="77777777" w:rsidR="0014657B" w:rsidRDefault="0014657B">
      <w:pPr>
        <w:spacing w:after="0" w:line="360" w:lineRule="auto"/>
        <w:rPr>
          <w:color w:val="000000"/>
        </w:rPr>
      </w:pPr>
    </w:p>
    <w:p w14:paraId="7A46F958" w14:textId="77777777" w:rsidR="0014657B" w:rsidRDefault="006400E8">
      <w:pPr>
        <w:spacing w:after="0" w:line="360" w:lineRule="auto"/>
        <w:ind w:right="-93"/>
        <w:rPr>
          <w:color w:val="000000"/>
        </w:rPr>
      </w:pPr>
      <w:r>
        <w:rPr>
          <w:color w:val="000000"/>
        </w:rPr>
        <w:t xml:space="preserve">Finalmente, conforme al Transitorio Segundo de los Lineamientos multicitados, precisa que para el caso del Programa Anual de Evaluación del presente ejercicio fiscal, es decir, dos mil veinticinco, la Unidad de Información, Planeación, Programación y Evaluación o área encargada deberá emitir el Programa Anual de Evaluación deberá publicarlo a más tardar el último día hábil del mes de abril de dos mil veinticinco, mientras que los modelos de </w:t>
      </w:r>
      <w:r>
        <w:rPr>
          <w:b/>
          <w:color w:val="000000"/>
        </w:rPr>
        <w:t>Términos de Referencia</w:t>
      </w:r>
      <w:r>
        <w:rPr>
          <w:color w:val="000000"/>
        </w:rPr>
        <w:t xml:space="preserve">, se deberán dar a conocer a más tardar el último día hábil del mes de mayo de dos mil veinticinco.  </w:t>
      </w:r>
    </w:p>
    <w:p w14:paraId="0FD8AE3E" w14:textId="77777777" w:rsidR="0014657B" w:rsidRDefault="0014657B">
      <w:pPr>
        <w:spacing w:after="0" w:line="360" w:lineRule="auto"/>
        <w:ind w:right="-93"/>
        <w:rPr>
          <w:color w:val="000000"/>
        </w:rPr>
      </w:pPr>
    </w:p>
    <w:p w14:paraId="06A12B03" w14:textId="77777777" w:rsidR="0014657B" w:rsidRDefault="006400E8">
      <w:pPr>
        <w:spacing w:after="0" w:line="360" w:lineRule="auto"/>
        <w:ind w:right="-93"/>
        <w:rPr>
          <w:color w:val="000000"/>
        </w:rPr>
      </w:pPr>
      <w:r>
        <w:rPr>
          <w:color w:val="000000"/>
        </w:rPr>
        <w:t xml:space="preserve">Ahora bien, es de señalar que los Particulares no son peritos en la materia y no saben </w:t>
      </w:r>
      <w:proofErr w:type="spellStart"/>
      <w:r>
        <w:rPr>
          <w:color w:val="000000"/>
        </w:rPr>
        <w:t>como</w:t>
      </w:r>
      <w:proofErr w:type="spellEnd"/>
      <w:r>
        <w:rPr>
          <w:color w:val="000000"/>
        </w:rPr>
        <w:t xml:space="preserve"> genera los documentos el Sujeto Obligado, por lo que se logra vislumbrar que su pretensión, en el presente caso, es obtener, los Términos de Referencia relacionados con el Programa Anual de Evaluación del Ejercicio Fiscal dos mil veinticuatro y dos mil veinticinco, toda vez </w:t>
      </w:r>
      <w:r>
        <w:rPr>
          <w:color w:val="000000"/>
        </w:rPr>
        <w:lastRenderedPageBreak/>
        <w:t>que estos contienen las bases y las formas en que se realizara la evaluación de los programas presupuestarios.</w:t>
      </w:r>
    </w:p>
    <w:p w14:paraId="6FFBC530" w14:textId="77777777" w:rsidR="0014657B" w:rsidRDefault="0014657B">
      <w:pPr>
        <w:spacing w:after="0" w:line="360" w:lineRule="auto"/>
        <w:ind w:right="-93"/>
        <w:rPr>
          <w:color w:val="000000"/>
        </w:rPr>
      </w:pPr>
    </w:p>
    <w:p w14:paraId="28C8BDFF" w14:textId="77777777" w:rsidR="0014657B" w:rsidRDefault="006400E8">
      <w:pPr>
        <w:spacing w:after="0" w:line="360" w:lineRule="auto"/>
        <w:ind w:right="-93"/>
        <w:rPr>
          <w:color w:val="000000"/>
        </w:rPr>
      </w:pPr>
      <w:r>
        <w:rPr>
          <w:color w:val="000000"/>
        </w:rPr>
        <w:t xml:space="preserve">Ahora bien, se procede analizar la información proporcionada por el Sujeto Obligado, para lo cual, sabe señalar que este, turno la solicitud de información, a la </w:t>
      </w:r>
      <w:r>
        <w:rPr>
          <w:b/>
          <w:color w:val="000000"/>
        </w:rPr>
        <w:t>Unidad de Información, Planeación, Programación y Evaluación</w:t>
      </w:r>
      <w:r>
        <w:rPr>
          <w:color w:val="000000"/>
        </w:rPr>
        <w:t xml:space="preserve">; por lo que, resulta necesario hacer referencia al procedimiento de búsqueda que deben de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w:t>
      </w:r>
    </w:p>
    <w:p w14:paraId="382DA758" w14:textId="77777777" w:rsidR="0014657B" w:rsidRDefault="0014657B">
      <w:pPr>
        <w:spacing w:after="0" w:line="360" w:lineRule="auto"/>
        <w:ind w:right="-93"/>
        <w:rPr>
          <w:color w:val="000000"/>
        </w:rPr>
      </w:pPr>
    </w:p>
    <w:p w14:paraId="4A79AE4A" w14:textId="77777777" w:rsidR="0014657B" w:rsidRDefault="006400E8">
      <w:pPr>
        <w:spacing w:after="0" w:line="360" w:lineRule="auto"/>
      </w:pPr>
      <w:r>
        <w:t xml:space="preserve">Conforme a lo expuesto en párrafos anteriores, se advierte que el Sujeto Obligado, cumplió con el procedimiento de búsqueda previsto en el artículo 162 de la Ley de Transparencia y Acceso a la Información Pública del Estado de México y Municipios, toda vez que turnó la solicitud de información al área competente para conocer sobre lo solicitado, a saber, la Unidad de Información, Planeación, Programación y Evaluación (UIPPE). </w:t>
      </w:r>
    </w:p>
    <w:p w14:paraId="39202620" w14:textId="77777777" w:rsidR="0014657B" w:rsidRDefault="0014657B">
      <w:pPr>
        <w:spacing w:after="0" w:line="360" w:lineRule="auto"/>
        <w:rPr>
          <w:color w:val="000000"/>
        </w:rPr>
      </w:pPr>
    </w:p>
    <w:p w14:paraId="216359EA" w14:textId="77777777" w:rsidR="0014657B" w:rsidRDefault="006400E8">
      <w:pPr>
        <w:spacing w:after="0" w:line="360" w:lineRule="auto"/>
      </w:pPr>
      <w:r>
        <w:t xml:space="preserve">Sin menoscabar lo anterior, en respuesta la UIPPE precisó remitir la información solicitada, para la evaluación del programa presupuestal y para tal efecto adjuntó la digitalización de los Lineamientos Generales para la  Evaluación de Programas Presupuestarios Municipales, situación que resulta incongruente, pues la pretensión de la persona recurrente es acceder a los términos de referencia respectivos, conforme a las características particulares de cada </w:t>
      </w:r>
      <w:r>
        <w:lastRenderedPageBreak/>
        <w:t xml:space="preserve">evaluación de los programas presupuestarios, mismo que plantea las bases mínimas y específicas de acuerdo al tipo de evaluación y programa a evaluar con las especificaciones técnicas, objetivos y la normatividad aplicable para poder cotejar el Programa Anual de Evaluación (PAE) de dos mil veinticuatro y dos mil veinticinco, y no únicamente la normatividad aplicable. </w:t>
      </w:r>
    </w:p>
    <w:p w14:paraId="7B7D3A00" w14:textId="77777777" w:rsidR="0014657B" w:rsidRDefault="0014657B">
      <w:pPr>
        <w:spacing w:after="0" w:line="360" w:lineRule="auto"/>
      </w:pPr>
    </w:p>
    <w:p w14:paraId="0E270398" w14:textId="77777777" w:rsidR="0014657B" w:rsidRDefault="006400E8">
      <w:pPr>
        <w:spacing w:after="0" w:line="360" w:lineRule="auto"/>
      </w:pPr>
      <w:r>
        <w:t xml:space="preserve">Sobre el tema el artículo 1.8, fracción IX, del Código Administrativo del Estado de México, establece que para que un acto administrativo tenga validez, deberá guardar congruencia con lo solicitado. Situación que se robustece, con el Criterio de Interpretación, con clave de control SO/002/2017, de la Segunda Época, emitido por el Instituto Nacional de Transparencia, Acceso a la Información y Protección de Datos Personales, que establece que todo acto administrativo debe apegarse al principio de congruencia, entendiendo por éste que exista concordancia entre el requerimiento formulado por el particular y la respuesta proporcionada por el sujeto obligado, lo cual en materia de transparencia y acceso a la información pública se traduce en que, las respuestas que emitan los sujetos obligados, deben guardar una relación lógica con lo solicitado, analizando y decidiendo –de manera íntegra- sobre todos los puntos requeridos, a fin de satisfacer la solicitud correspondiente; por lo que, en el presente, se considera que el agravio es </w:t>
      </w:r>
      <w:r>
        <w:rPr>
          <w:b/>
        </w:rPr>
        <w:t>FUNDADO</w:t>
      </w:r>
      <w:r>
        <w:t xml:space="preserve">,  pues la respuesta entregada por el Sujeto Obligado no guarda relación con lo peticionado. </w:t>
      </w:r>
    </w:p>
    <w:p w14:paraId="09C19FC9" w14:textId="77777777" w:rsidR="0014657B" w:rsidRDefault="0014657B">
      <w:pPr>
        <w:spacing w:after="0" w:line="360" w:lineRule="auto"/>
      </w:pPr>
    </w:p>
    <w:p w14:paraId="641B9305" w14:textId="77777777" w:rsidR="0014657B" w:rsidRDefault="006400E8">
      <w:pPr>
        <w:spacing w:after="0" w:line="360" w:lineRule="auto"/>
        <w:ind w:right="-28"/>
      </w:pPr>
      <w:r>
        <w:t xml:space="preserve">Así, se logra vislumbrar que, para atender el requerimiento de información, el Sujeto Obligado, deberá </w:t>
      </w:r>
      <w:r>
        <w:rPr>
          <w:color w:val="000000"/>
        </w:rPr>
        <w:t xml:space="preserve">proporcionar  los Términos de Referencia generados para los Programas Anuales de Evaluación de los ejercicios fiscales dos mil veinticuatro y dos mil veinticinco, </w:t>
      </w:r>
      <w:r w:rsidRPr="00A16146">
        <w:rPr>
          <w:color w:val="000000"/>
        </w:rPr>
        <w:t>preferentemente en formato PDF o en el que se encuentre; d</w:t>
      </w:r>
      <w:r w:rsidRPr="00A16146">
        <w:t>icha</w:t>
      </w:r>
      <w:r>
        <w:t xml:space="preserve"> situación toma sustento en el artículo 12 de la Ley de Transparencia y Acceso a la Información Pública del Estado de </w:t>
      </w:r>
      <w:r>
        <w:lastRenderedPageBreak/>
        <w:t>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10E41F14" w14:textId="77777777" w:rsidR="0014657B" w:rsidRDefault="0014657B">
      <w:pPr>
        <w:spacing w:after="0" w:line="360" w:lineRule="auto"/>
        <w:rPr>
          <w:color w:val="FF0000"/>
        </w:rPr>
      </w:pPr>
    </w:p>
    <w:p w14:paraId="1A890A33" w14:textId="77777777" w:rsidR="0014657B" w:rsidRDefault="006400E8">
      <w:pPr>
        <w:spacing w:after="0" w:line="360" w:lineRule="auto"/>
      </w:pPr>
      <w:r>
        <w:t xml:space="preserve">De esta manera, el derecho de acceso a la información pública se satisface en aquellos casos en que se entregue el soporte documental en el que conste la información solicitada, sin necesidad de elaborar documentos </w:t>
      </w:r>
      <w:r>
        <w:rPr>
          <w:i/>
        </w:rPr>
        <w:t>ad hoc</w:t>
      </w:r>
      <w:r>
        <w:t>; lo cual, de conformidad con en el artículo 160 de la Ley de Transparencia y Acceso a la Información Pública del Estado de México y Municipios, el cual refiere que los sujetos obligados deberán entregar la información que obre en sus archivos.</w:t>
      </w:r>
    </w:p>
    <w:p w14:paraId="16590864" w14:textId="77777777" w:rsidR="0014657B" w:rsidRDefault="0014657B">
      <w:pPr>
        <w:spacing w:after="0" w:line="360" w:lineRule="auto"/>
      </w:pPr>
    </w:p>
    <w:p w14:paraId="70A3B134" w14:textId="77777777" w:rsidR="0014657B" w:rsidRDefault="006400E8">
      <w:pPr>
        <w:spacing w:after="0" w:line="360" w:lineRule="auto"/>
      </w:pPr>
      <w:r>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entregar la información previamente referida. Cabe señalar que los documentos que conforman la información solicitada, al ser documentos base, no contienen información clasificable, por lo que deberá entregarlos en versión íntegra.</w:t>
      </w:r>
    </w:p>
    <w:p w14:paraId="52D1FFAA" w14:textId="77777777" w:rsidR="0014657B" w:rsidRDefault="0014657B">
      <w:pPr>
        <w:spacing w:after="0" w:line="360" w:lineRule="auto"/>
      </w:pPr>
    </w:p>
    <w:p w14:paraId="5D4A0CA0" w14:textId="45D3B7D2" w:rsidR="0014657B" w:rsidRDefault="001052B5">
      <w:pPr>
        <w:pStyle w:val="Ttulo2"/>
        <w:spacing w:before="0" w:line="360" w:lineRule="auto"/>
        <w:rPr>
          <w:rFonts w:ascii="Palatino Linotype" w:eastAsia="Palatino Linotype" w:hAnsi="Palatino Linotype" w:cs="Palatino Linotype"/>
          <w:b/>
          <w:color w:val="000000"/>
          <w:sz w:val="22"/>
          <w:szCs w:val="22"/>
        </w:rPr>
      </w:pPr>
      <w:bookmarkStart w:id="19" w:name="_heading=h.i9jy57jhzjlb" w:colFirst="0" w:colLast="0"/>
      <w:bookmarkEnd w:id="19"/>
      <w:r>
        <w:rPr>
          <w:rFonts w:ascii="Palatino Linotype" w:eastAsia="Palatino Linotype" w:hAnsi="Palatino Linotype" w:cs="Palatino Linotype"/>
          <w:b/>
          <w:color w:val="000000"/>
          <w:sz w:val="22"/>
          <w:szCs w:val="22"/>
        </w:rPr>
        <w:t>SEXTO. Decisión</w:t>
      </w:r>
    </w:p>
    <w:p w14:paraId="7CD3373B" w14:textId="77777777" w:rsidR="0014657B" w:rsidRDefault="0014657B">
      <w:pPr>
        <w:spacing w:after="0" w:line="360" w:lineRule="auto"/>
        <w:rPr>
          <w:b/>
          <w:color w:val="000000"/>
        </w:rPr>
      </w:pPr>
    </w:p>
    <w:p w14:paraId="4DFABBDB" w14:textId="77777777" w:rsidR="0014657B" w:rsidRDefault="006400E8">
      <w:pPr>
        <w:spacing w:after="0" w:line="360" w:lineRule="auto"/>
      </w:pPr>
      <w:r>
        <w:t xml:space="preserve">Con fundamento en el artículo 186, fracción III, de la Ley de Transparencia y Acceso a la Información Pública del Estado de México y Municipios, este Instituto considera procedente </w:t>
      </w:r>
      <w:r>
        <w:rPr>
          <w:b/>
        </w:rPr>
        <w:t>REVOCAR</w:t>
      </w:r>
      <w:r>
        <w:t xml:space="preserve"> la respuesta otorgada por el Sujeto Obligado a la solicitud de información 00122/DIFHUEHUET/IP/2025, a efecto de que entregue, la información solicitada.</w:t>
      </w:r>
    </w:p>
    <w:p w14:paraId="2705B047" w14:textId="4C173047" w:rsidR="0014657B" w:rsidRDefault="006400E8">
      <w:pPr>
        <w:spacing w:after="0" w:line="360" w:lineRule="auto"/>
        <w:rPr>
          <w:b/>
          <w:color w:val="000000"/>
        </w:rPr>
      </w:pPr>
      <w:r>
        <w:rPr>
          <w:b/>
          <w:color w:val="000000"/>
        </w:rPr>
        <w:lastRenderedPageBreak/>
        <w:t>Términos de la Resolución p</w:t>
      </w:r>
      <w:r w:rsidR="001052B5">
        <w:rPr>
          <w:b/>
          <w:color w:val="000000"/>
        </w:rPr>
        <w:t>ara conocimiento del Particular</w:t>
      </w:r>
    </w:p>
    <w:p w14:paraId="204866F7" w14:textId="77777777" w:rsidR="0014657B" w:rsidRDefault="0014657B">
      <w:pPr>
        <w:spacing w:after="0" w:line="360" w:lineRule="auto"/>
        <w:rPr>
          <w:b/>
          <w:color w:val="000000"/>
        </w:rPr>
      </w:pPr>
    </w:p>
    <w:p w14:paraId="14A2DD09" w14:textId="77777777" w:rsidR="0014657B" w:rsidRDefault="006400E8">
      <w:pPr>
        <w:spacing w:after="0" w:line="360" w:lineRule="auto"/>
      </w:pPr>
      <w:r>
        <w:t>Se le hace del conocimiento al Particular, que, en el presente caso, se le da la razón pues el Sujeto Obligado no proporcionó la información requerida, por lo que deberá hacer entrega de la información. Finalmente, la labor del Instituto, es apoyar a la población a acceder a la información pública y garantizar la protección de sus datos personales.</w:t>
      </w:r>
    </w:p>
    <w:p w14:paraId="47066ACD" w14:textId="77777777" w:rsidR="0014657B" w:rsidRDefault="0014657B">
      <w:pPr>
        <w:spacing w:after="0" w:line="360" w:lineRule="auto"/>
      </w:pPr>
    </w:p>
    <w:p w14:paraId="5C3C0DB7" w14:textId="77777777" w:rsidR="0014657B" w:rsidRDefault="006400E8">
      <w:pPr>
        <w:spacing w:after="0" w:line="360" w:lineRule="auto"/>
        <w:rPr>
          <w:color w:val="000000"/>
        </w:rPr>
      </w:pPr>
      <w:r>
        <w:rPr>
          <w:color w:val="000000"/>
        </w:rPr>
        <w:t>Por lo expuesto y fundado, este Pleno:</w:t>
      </w:r>
    </w:p>
    <w:p w14:paraId="06E71E1E" w14:textId="77777777" w:rsidR="0014657B" w:rsidRDefault="0014657B">
      <w:pPr>
        <w:spacing w:after="0" w:line="360" w:lineRule="auto"/>
        <w:rPr>
          <w:color w:val="000000"/>
        </w:rPr>
      </w:pPr>
    </w:p>
    <w:p w14:paraId="6B7B294E" w14:textId="37D20535" w:rsidR="0014657B" w:rsidRDefault="001052B5">
      <w:pPr>
        <w:pStyle w:val="Ttulo1"/>
        <w:spacing w:before="0" w:line="360" w:lineRule="auto"/>
        <w:jc w:val="center"/>
        <w:rPr>
          <w:rFonts w:ascii="Palatino Linotype" w:eastAsia="Palatino Linotype" w:hAnsi="Palatino Linotype" w:cs="Palatino Linotype"/>
          <w:b/>
          <w:color w:val="000000"/>
          <w:sz w:val="22"/>
          <w:szCs w:val="22"/>
        </w:rPr>
      </w:pPr>
      <w:bookmarkStart w:id="20" w:name="_heading=h.e2c3iugzovt6" w:colFirst="0" w:colLast="0"/>
      <w:bookmarkEnd w:id="20"/>
      <w:r>
        <w:rPr>
          <w:rFonts w:ascii="Palatino Linotype" w:eastAsia="Palatino Linotype" w:hAnsi="Palatino Linotype" w:cs="Palatino Linotype"/>
          <w:b/>
          <w:color w:val="000000"/>
          <w:sz w:val="22"/>
          <w:szCs w:val="22"/>
        </w:rPr>
        <w:t>R E S U E L V E</w:t>
      </w:r>
    </w:p>
    <w:p w14:paraId="6EEC8F51" w14:textId="77777777" w:rsidR="0014657B" w:rsidRDefault="0014657B">
      <w:pPr>
        <w:spacing w:after="0" w:line="360" w:lineRule="auto"/>
        <w:ind w:right="-91"/>
        <w:jc w:val="center"/>
        <w:rPr>
          <w:b/>
          <w:color w:val="000000"/>
        </w:rPr>
      </w:pPr>
    </w:p>
    <w:p w14:paraId="04430B8B" w14:textId="77777777" w:rsidR="0014657B" w:rsidRDefault="006400E8">
      <w:pPr>
        <w:spacing w:after="0" w:line="360" w:lineRule="auto"/>
      </w:pPr>
      <w:r>
        <w:rPr>
          <w:b/>
        </w:rPr>
        <w:t xml:space="preserve">PRIMERO. </w:t>
      </w:r>
      <w:r>
        <w:t xml:space="preserve">Se </w:t>
      </w:r>
      <w:r>
        <w:rPr>
          <w:b/>
        </w:rPr>
        <w:t xml:space="preserve">REVOCA </w:t>
      </w:r>
      <w:r>
        <w:t>la respuesta entregada por el Sistema Municipal Para el Desarrollo Integral de la Familia de Huehuetoca, a la solicitud de información 00122/DIFHUEHUET/IP/2025</w:t>
      </w:r>
      <w:r>
        <w:rPr>
          <w:color w:val="000000"/>
        </w:rPr>
        <w:t>,</w:t>
      </w:r>
      <w:r>
        <w:t xml:space="preserve"> por resultar </w:t>
      </w:r>
      <w:r>
        <w:rPr>
          <w:b/>
        </w:rPr>
        <w:t xml:space="preserve">FUNDADAS </w:t>
      </w:r>
      <w:r>
        <w:t>las razones o motivos de inconformidad hechos valer por la persona Recurrente, en términos de los considerandos QUINTO y SEXTO de la presente Resolución.</w:t>
      </w:r>
    </w:p>
    <w:p w14:paraId="1B1E8361" w14:textId="77777777" w:rsidR="0014657B" w:rsidRDefault="0014657B">
      <w:pPr>
        <w:spacing w:after="0" w:line="360" w:lineRule="auto"/>
      </w:pPr>
    </w:p>
    <w:p w14:paraId="7CA2D655" w14:textId="77777777" w:rsidR="0014657B" w:rsidRDefault="006400E8">
      <w:pPr>
        <w:spacing w:after="0" w:line="360" w:lineRule="auto"/>
        <w:rPr>
          <w:color w:val="000000"/>
        </w:rPr>
      </w:pPr>
      <w:r>
        <w:rPr>
          <w:b/>
        </w:rPr>
        <w:t xml:space="preserve">SEGUNDO. </w:t>
      </w:r>
      <w:r>
        <w:t xml:space="preserve">Se </w:t>
      </w:r>
      <w:r>
        <w:rPr>
          <w:b/>
        </w:rPr>
        <w:t>ORDENA</w:t>
      </w:r>
      <w:r>
        <w:t xml:space="preserve"> al Sujeto Obligado</w:t>
      </w:r>
      <w:r>
        <w:rPr>
          <w:b/>
        </w:rPr>
        <w:t xml:space="preserve">, </w:t>
      </w:r>
      <w:r>
        <w:t>a efecto de que previa búsqueda exhaustiva y razonable en los archivos de las unidades administrativas competentes, entregue a través del Sistema de Acceso a la Información Mexiquense (SAIMEX), preferentemente en formato PDF o en el que se haya generado, los documentos con los que contara al dos de junio de dos mil veinticinco, donde conste lo siguiente:</w:t>
      </w:r>
    </w:p>
    <w:p w14:paraId="0E0580A1" w14:textId="77777777" w:rsidR="0014657B" w:rsidRDefault="0014657B">
      <w:pPr>
        <w:spacing w:after="0" w:line="360" w:lineRule="auto"/>
        <w:ind w:right="-30"/>
        <w:rPr>
          <w:color w:val="000000"/>
        </w:rPr>
      </w:pPr>
    </w:p>
    <w:p w14:paraId="04245CCF" w14:textId="77777777" w:rsidR="0014657B" w:rsidRDefault="006400E8">
      <w:pPr>
        <w:numPr>
          <w:ilvl w:val="0"/>
          <w:numId w:val="1"/>
        </w:numPr>
        <w:spacing w:after="0" w:line="360" w:lineRule="auto"/>
        <w:rPr>
          <w:color w:val="000000"/>
        </w:rPr>
      </w:pPr>
      <w:r>
        <w:rPr>
          <w:color w:val="000000"/>
        </w:rPr>
        <w:t>Los Términos de Referencia (</w:t>
      </w:r>
      <w:proofErr w:type="spellStart"/>
      <w:r>
        <w:rPr>
          <w:color w:val="000000"/>
        </w:rPr>
        <w:t>TdR</w:t>
      </w:r>
      <w:proofErr w:type="spellEnd"/>
      <w:r>
        <w:rPr>
          <w:color w:val="000000"/>
        </w:rPr>
        <w:t xml:space="preserve">) generados para el Programa Anual de Evaluación del ejercicio fiscal dos mil veinticuatro y del dos mil veinticinco.  </w:t>
      </w:r>
    </w:p>
    <w:p w14:paraId="02092D25" w14:textId="77777777" w:rsidR="0014657B" w:rsidRDefault="006400E8">
      <w:pPr>
        <w:spacing w:after="0" w:line="360" w:lineRule="auto"/>
        <w:ind w:right="-28"/>
        <w:rPr>
          <w:color w:val="000000"/>
        </w:rPr>
      </w:pPr>
      <w:r>
        <w:rPr>
          <w:b/>
        </w:rPr>
        <w:lastRenderedPageBreak/>
        <w:t xml:space="preserve">TERCERO. NOTIFÍQUESE POR SAIMEX </w:t>
      </w:r>
      <w: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 </w:t>
      </w:r>
      <w:r>
        <w:rPr>
          <w:color w:val="000000"/>
        </w:rPr>
        <w:t xml:space="preserve">De conformidad con el artículo 198 de la </w:t>
      </w:r>
      <w:r>
        <w:t>Ley de la materia</w:t>
      </w:r>
      <w:r>
        <w:rPr>
          <w:color w:val="000000"/>
        </w:rPr>
        <w:t>, de considerarlo procedente, el Sujeto Obligado de manera fundada y motivada, podrá solicitar una ampliación de plazo para el cumplimiento de la presente resolución.</w:t>
      </w:r>
    </w:p>
    <w:p w14:paraId="3515A3E8" w14:textId="77777777" w:rsidR="0014657B" w:rsidRDefault="0014657B">
      <w:pPr>
        <w:spacing w:after="0" w:line="360" w:lineRule="auto"/>
        <w:rPr>
          <w:color w:val="000000"/>
        </w:rPr>
      </w:pPr>
    </w:p>
    <w:p w14:paraId="1A3DCF5B" w14:textId="77777777" w:rsidR="0014657B" w:rsidRDefault="006400E8">
      <w:pPr>
        <w:spacing w:after="0" w:line="360" w:lineRule="auto"/>
        <w:rPr>
          <w:color w:val="000000"/>
        </w:rPr>
      </w:pPr>
      <w:r>
        <w:rPr>
          <w:b/>
          <w:color w:val="000000"/>
        </w:rPr>
        <w:t xml:space="preserve">CUARTO. </w:t>
      </w:r>
      <w:r>
        <w:rPr>
          <w:b/>
        </w:rPr>
        <w:t>NOTIFÍQUESE POR SAIMEX</w:t>
      </w:r>
      <w:r>
        <w:rPr>
          <w:color w:val="000000"/>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 </w:t>
      </w:r>
    </w:p>
    <w:p w14:paraId="504898E5" w14:textId="77777777" w:rsidR="0014657B" w:rsidRDefault="0014657B">
      <w:pPr>
        <w:spacing w:after="0" w:line="360" w:lineRule="auto"/>
      </w:pPr>
    </w:p>
    <w:p w14:paraId="0C1E63EF" w14:textId="1022B387" w:rsidR="0014657B" w:rsidRDefault="006400E8">
      <w:pPr>
        <w:spacing w:after="0" w:line="360" w:lineRule="auto"/>
      </w:pPr>
      <w:r>
        <w:t xml:space="preserve">ASÍ LO RESUELVE, POR </w:t>
      </w:r>
      <w:r>
        <w:rPr>
          <w:b/>
        </w:rPr>
        <w:t>UNANIMIDAD</w:t>
      </w:r>
      <w: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bookmarkStart w:id="21" w:name="_GoBack"/>
      <w:bookmarkEnd w:id="21"/>
      <w:r w:rsidR="00A16146">
        <w:t xml:space="preserve"> </w:t>
      </w:r>
      <w:r w:rsidR="001052B5">
        <w:t>(</w:t>
      </w:r>
      <w:r w:rsidR="00A16146">
        <w:t>AUSENCIA JUSTIFICADA</w:t>
      </w:r>
      <w:r w:rsidR="001052B5">
        <w:t>)</w:t>
      </w:r>
      <w:r>
        <w:t xml:space="preserve">, LUIS GUSTAVO PARRA NORIEGA Y GUADALUPE RAMÍREZ PEÑA, EN LA TRIGÉSIMA TERCERA SESIÓN ORDINARIA, CELEBRADA EL DIECIOCHO DE SEPTIEMBRE DE DOS </w:t>
      </w:r>
      <w:r>
        <w:lastRenderedPageBreak/>
        <w:t>MIL VEINTICINCO, ANTE EL SECRETARIO TÉCNICO DEL PLENO, ALEXIS TAPIA RAMÍREZ.</w:t>
      </w:r>
    </w:p>
    <w:p w14:paraId="04EC7A08" w14:textId="77777777" w:rsidR="0014657B" w:rsidRDefault="0014657B">
      <w:pPr>
        <w:spacing w:after="0" w:line="360" w:lineRule="auto"/>
        <w:rPr>
          <w:color w:val="FF0000"/>
        </w:rPr>
      </w:pPr>
    </w:p>
    <w:p w14:paraId="7F122CD7" w14:textId="77777777" w:rsidR="0014657B" w:rsidRDefault="0014657B">
      <w:pPr>
        <w:spacing w:after="0" w:line="360" w:lineRule="auto"/>
        <w:rPr>
          <w:color w:val="FF0000"/>
        </w:rPr>
      </w:pPr>
    </w:p>
    <w:p w14:paraId="774F2D30" w14:textId="77777777" w:rsidR="0014657B" w:rsidRDefault="0014657B">
      <w:pPr>
        <w:spacing w:after="0" w:line="360" w:lineRule="auto"/>
        <w:rPr>
          <w:color w:val="FF0000"/>
        </w:rPr>
      </w:pPr>
    </w:p>
    <w:p w14:paraId="338578A8" w14:textId="77777777" w:rsidR="0014657B" w:rsidRDefault="0014657B">
      <w:pPr>
        <w:spacing w:after="0" w:line="360" w:lineRule="auto"/>
        <w:rPr>
          <w:color w:val="FF0000"/>
        </w:rPr>
      </w:pPr>
    </w:p>
    <w:p w14:paraId="2272A65D" w14:textId="77777777" w:rsidR="0014657B" w:rsidRDefault="0014657B">
      <w:pPr>
        <w:spacing w:after="0" w:line="360" w:lineRule="auto"/>
        <w:rPr>
          <w:color w:val="FF0000"/>
        </w:rPr>
      </w:pPr>
    </w:p>
    <w:p w14:paraId="236515C1" w14:textId="77777777" w:rsidR="0014657B" w:rsidRDefault="0014657B">
      <w:pPr>
        <w:spacing w:after="0" w:line="360" w:lineRule="auto"/>
        <w:rPr>
          <w:color w:val="FF0000"/>
        </w:rPr>
      </w:pPr>
    </w:p>
    <w:p w14:paraId="78004A07" w14:textId="77777777" w:rsidR="0014657B" w:rsidRDefault="0014657B">
      <w:pPr>
        <w:spacing w:after="0" w:line="360" w:lineRule="auto"/>
        <w:rPr>
          <w:color w:val="FF0000"/>
        </w:rPr>
      </w:pPr>
    </w:p>
    <w:p w14:paraId="3E24E23C" w14:textId="77777777" w:rsidR="0014657B" w:rsidRDefault="0014657B">
      <w:pPr>
        <w:spacing w:after="0" w:line="360" w:lineRule="auto"/>
        <w:rPr>
          <w:color w:val="FF0000"/>
        </w:rPr>
      </w:pPr>
    </w:p>
    <w:p w14:paraId="2807DCA8" w14:textId="77777777" w:rsidR="0014657B" w:rsidRDefault="0014657B">
      <w:pPr>
        <w:spacing w:after="0" w:line="360" w:lineRule="auto"/>
        <w:rPr>
          <w:color w:val="FF0000"/>
        </w:rPr>
      </w:pPr>
    </w:p>
    <w:p w14:paraId="50A8F019" w14:textId="77777777" w:rsidR="0014657B" w:rsidRDefault="0014657B">
      <w:pPr>
        <w:spacing w:after="0" w:line="360" w:lineRule="auto"/>
        <w:rPr>
          <w:color w:val="FF0000"/>
        </w:rPr>
      </w:pPr>
    </w:p>
    <w:p w14:paraId="7C0FCB77" w14:textId="77777777" w:rsidR="0014657B" w:rsidRDefault="0014657B">
      <w:pPr>
        <w:spacing w:after="0" w:line="360" w:lineRule="auto"/>
        <w:rPr>
          <w:color w:val="FF0000"/>
        </w:rPr>
      </w:pPr>
    </w:p>
    <w:p w14:paraId="04FD9303" w14:textId="77777777" w:rsidR="0014657B" w:rsidRDefault="0014657B">
      <w:pPr>
        <w:spacing w:after="0" w:line="360" w:lineRule="auto"/>
        <w:rPr>
          <w:color w:val="FF0000"/>
        </w:rPr>
      </w:pPr>
    </w:p>
    <w:p w14:paraId="12CF7303" w14:textId="77777777" w:rsidR="001052B5" w:rsidRDefault="001052B5">
      <w:pPr>
        <w:spacing w:after="0" w:line="360" w:lineRule="auto"/>
        <w:rPr>
          <w:color w:val="FF0000"/>
        </w:rPr>
      </w:pPr>
    </w:p>
    <w:p w14:paraId="3B7BED44" w14:textId="77777777" w:rsidR="001052B5" w:rsidRDefault="001052B5">
      <w:pPr>
        <w:spacing w:after="0" w:line="360" w:lineRule="auto"/>
        <w:rPr>
          <w:color w:val="FF0000"/>
        </w:rPr>
      </w:pPr>
    </w:p>
    <w:p w14:paraId="1C4A25DE" w14:textId="77777777" w:rsidR="001052B5" w:rsidRDefault="001052B5">
      <w:pPr>
        <w:spacing w:after="0" w:line="360" w:lineRule="auto"/>
        <w:rPr>
          <w:color w:val="FF0000"/>
        </w:rPr>
      </w:pPr>
    </w:p>
    <w:p w14:paraId="639B7928" w14:textId="77777777" w:rsidR="001052B5" w:rsidRDefault="001052B5">
      <w:pPr>
        <w:spacing w:after="0" w:line="360" w:lineRule="auto"/>
        <w:rPr>
          <w:color w:val="FF0000"/>
        </w:rPr>
      </w:pPr>
    </w:p>
    <w:p w14:paraId="5E83E69F" w14:textId="77777777" w:rsidR="001052B5" w:rsidRDefault="001052B5">
      <w:pPr>
        <w:spacing w:after="0" w:line="360" w:lineRule="auto"/>
        <w:rPr>
          <w:color w:val="FF0000"/>
        </w:rPr>
      </w:pPr>
    </w:p>
    <w:p w14:paraId="05333B9B" w14:textId="77777777" w:rsidR="001052B5" w:rsidRDefault="001052B5">
      <w:pPr>
        <w:spacing w:after="0" w:line="360" w:lineRule="auto"/>
        <w:rPr>
          <w:color w:val="FF0000"/>
        </w:rPr>
      </w:pPr>
    </w:p>
    <w:p w14:paraId="1982549F" w14:textId="77777777" w:rsidR="001052B5" w:rsidRDefault="001052B5">
      <w:pPr>
        <w:spacing w:after="0" w:line="360" w:lineRule="auto"/>
        <w:rPr>
          <w:color w:val="FF0000"/>
        </w:rPr>
      </w:pPr>
    </w:p>
    <w:p w14:paraId="37F50ACA" w14:textId="77777777" w:rsidR="001052B5" w:rsidRDefault="001052B5">
      <w:pPr>
        <w:spacing w:after="0" w:line="360" w:lineRule="auto"/>
        <w:rPr>
          <w:color w:val="FF0000"/>
        </w:rPr>
      </w:pPr>
    </w:p>
    <w:p w14:paraId="4EABB59B" w14:textId="77777777" w:rsidR="001052B5" w:rsidRDefault="001052B5">
      <w:pPr>
        <w:spacing w:after="0" w:line="360" w:lineRule="auto"/>
        <w:rPr>
          <w:color w:val="FF0000"/>
        </w:rPr>
      </w:pPr>
    </w:p>
    <w:p w14:paraId="2C62ED6D" w14:textId="77777777" w:rsidR="001052B5" w:rsidRDefault="001052B5">
      <w:pPr>
        <w:spacing w:after="0" w:line="360" w:lineRule="auto"/>
        <w:rPr>
          <w:color w:val="FF0000"/>
        </w:rPr>
      </w:pPr>
    </w:p>
    <w:p w14:paraId="6A3B3A93" w14:textId="77777777" w:rsidR="001052B5" w:rsidRDefault="001052B5">
      <w:pPr>
        <w:spacing w:after="0" w:line="360" w:lineRule="auto"/>
        <w:rPr>
          <w:color w:val="FF0000"/>
        </w:rPr>
      </w:pPr>
    </w:p>
    <w:p w14:paraId="7D42FA48" w14:textId="77777777" w:rsidR="001052B5" w:rsidRDefault="001052B5">
      <w:pPr>
        <w:spacing w:after="0" w:line="360" w:lineRule="auto"/>
        <w:rPr>
          <w:color w:val="FF0000"/>
        </w:rPr>
      </w:pPr>
    </w:p>
    <w:sectPr w:rsidR="001052B5">
      <w:headerReference w:type="even" r:id="rId8"/>
      <w:headerReference w:type="default" r:id="rId9"/>
      <w:footerReference w:type="even" r:id="rId10"/>
      <w:footerReference w:type="default" r:id="rId11"/>
      <w:headerReference w:type="first" r:id="rId12"/>
      <w:footerReference w:type="first" r:id="rId13"/>
      <w:pgSz w:w="12240" w:h="15840"/>
      <w:pgMar w:top="2410" w:right="1608" w:bottom="1560" w:left="1701" w:header="993"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78816A" w14:textId="77777777" w:rsidR="00933C8A" w:rsidRDefault="00933C8A">
      <w:pPr>
        <w:spacing w:after="0" w:line="240" w:lineRule="auto"/>
      </w:pPr>
      <w:r>
        <w:separator/>
      </w:r>
    </w:p>
  </w:endnote>
  <w:endnote w:type="continuationSeparator" w:id="0">
    <w:p w14:paraId="350899A9" w14:textId="77777777" w:rsidR="00933C8A" w:rsidRDefault="00933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embedRegular r:id="rId1" w:fontKey="{829298F2-660D-4526-9E50-234187391268}"/>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198532FC-4911-4CB5-B2CD-87C54FB94183}"/>
    <w:embedBold r:id="rId3" w:fontKey="{5C47898C-EFF6-4FEE-9C9B-22E597E379BA}"/>
    <w:embedItalic r:id="rId4" w:fontKey="{33DE6CBC-F21A-4EC1-940F-A69A17BCBDA6}"/>
    <w:embedBoldItalic r:id="rId5" w:fontKey="{E4EB4701-5F67-41DC-8D93-FA7299B62083}"/>
  </w:font>
  <w:font w:name="Calibri">
    <w:panose1 w:val="020F0502020204030204"/>
    <w:charset w:val="00"/>
    <w:family w:val="swiss"/>
    <w:pitch w:val="variable"/>
    <w:sig w:usb0="E4002EFF" w:usb1="C200247B" w:usb2="00000009" w:usb3="00000000" w:csb0="000001FF" w:csb1="00000000"/>
    <w:embedRegular r:id="rId6" w:fontKey="{6BB4F9B3-3143-42BE-8153-A1C869834FA5}"/>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2FF6CBAA-89BE-4CDE-B386-DB71FD2D2959}"/>
  </w:font>
  <w:font w:name="Georgia">
    <w:panose1 w:val="02040502050405020303"/>
    <w:charset w:val="00"/>
    <w:family w:val="roman"/>
    <w:pitch w:val="variable"/>
    <w:sig w:usb0="00000287" w:usb1="00000000" w:usb2="00000000" w:usb3="00000000" w:csb0="0000009F" w:csb1="00000000"/>
    <w:embedRegular r:id="rId8" w:fontKey="{040239E3-9E44-4970-A0FA-2037CDE68E1E}"/>
    <w:embedItalic r:id="rId9" w:fontKey="{193A9D35-3CA4-434D-B974-6235016455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088A1" w14:textId="77777777" w:rsidR="0014657B" w:rsidRDefault="006400E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sidR="00EC52A8">
      <w:rPr>
        <w:b/>
        <w:color w:val="000000"/>
        <w:sz w:val="24"/>
        <w:szCs w:val="24"/>
      </w:rPr>
      <w:fldChar w:fldCharType="separate"/>
    </w:r>
    <w:r w:rsidR="00EC52A8">
      <w:rPr>
        <w:b/>
        <w:noProof/>
        <w:color w:val="000000"/>
        <w:sz w:val="24"/>
        <w:szCs w:val="24"/>
      </w:rPr>
      <w:t>19</w:t>
    </w:r>
    <w:r>
      <w:rPr>
        <w:b/>
        <w:color w:val="000000"/>
        <w:sz w:val="24"/>
        <w:szCs w:val="24"/>
      </w:rPr>
      <w:fldChar w:fldCharType="end"/>
    </w:r>
  </w:p>
  <w:p w14:paraId="13465F1C" w14:textId="77777777" w:rsidR="0014657B" w:rsidRDefault="0014657B">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87FB87" w14:textId="77777777" w:rsidR="0014657B" w:rsidRDefault="006400E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C52A8">
      <w:rPr>
        <w:b/>
        <w:noProof/>
        <w:color w:val="000000"/>
        <w:sz w:val="24"/>
        <w:szCs w:val="24"/>
      </w:rPr>
      <w:t>19</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C52A8">
      <w:rPr>
        <w:b/>
        <w:noProof/>
        <w:color w:val="000000"/>
        <w:sz w:val="24"/>
        <w:szCs w:val="24"/>
      </w:rPr>
      <w:t>19</w:t>
    </w:r>
    <w:r>
      <w:rPr>
        <w:b/>
        <w:color w:val="000000"/>
        <w:sz w:val="24"/>
        <w:szCs w:val="24"/>
      </w:rPr>
      <w:fldChar w:fldCharType="end"/>
    </w:r>
  </w:p>
  <w:p w14:paraId="20C94E86" w14:textId="77777777" w:rsidR="0014657B" w:rsidRDefault="0014657B">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3EBFD" w14:textId="77777777" w:rsidR="0014657B" w:rsidRDefault="006400E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C52A8">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C52A8">
      <w:rPr>
        <w:b/>
        <w:noProof/>
        <w:color w:val="000000"/>
        <w:sz w:val="24"/>
        <w:szCs w:val="24"/>
      </w:rPr>
      <w:t>19</w:t>
    </w:r>
    <w:r>
      <w:rPr>
        <w:b/>
        <w:color w:val="000000"/>
        <w:sz w:val="24"/>
        <w:szCs w:val="24"/>
      </w:rPr>
      <w:fldChar w:fldCharType="end"/>
    </w:r>
  </w:p>
  <w:p w14:paraId="7ED10839" w14:textId="77777777" w:rsidR="0014657B" w:rsidRDefault="0014657B">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8EC4FE" w14:textId="77777777" w:rsidR="00933C8A" w:rsidRDefault="00933C8A">
      <w:pPr>
        <w:spacing w:after="0" w:line="240" w:lineRule="auto"/>
      </w:pPr>
      <w:r>
        <w:separator/>
      </w:r>
    </w:p>
  </w:footnote>
  <w:footnote w:type="continuationSeparator" w:id="0">
    <w:p w14:paraId="5BD64A33" w14:textId="77777777" w:rsidR="00933C8A" w:rsidRDefault="00933C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2EE40" w14:textId="77777777" w:rsidR="0014657B" w:rsidRDefault="0014657B">
    <w:pPr>
      <w:widowControl w:val="0"/>
      <w:pBdr>
        <w:top w:val="nil"/>
        <w:left w:val="nil"/>
        <w:bottom w:val="nil"/>
        <w:right w:val="nil"/>
        <w:between w:val="nil"/>
      </w:pBdr>
      <w:spacing w:after="0" w:line="276" w:lineRule="auto"/>
      <w:jc w:val="left"/>
      <w:rPr>
        <w:color w:val="FF0000"/>
      </w:rPr>
    </w:pPr>
  </w:p>
  <w:tbl>
    <w:tblPr>
      <w:tblStyle w:val="a5"/>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14657B" w14:paraId="5700C12B" w14:textId="77777777">
      <w:trPr>
        <w:trHeight w:val="132"/>
      </w:trPr>
      <w:tc>
        <w:tcPr>
          <w:tcW w:w="2691" w:type="dxa"/>
        </w:tcPr>
        <w:p w14:paraId="3B9ACB84" w14:textId="77777777" w:rsidR="0014657B" w:rsidRDefault="006400E8">
          <w:pPr>
            <w:tabs>
              <w:tab w:val="right" w:pos="8838"/>
            </w:tabs>
            <w:ind w:right="-105"/>
            <w:rPr>
              <w:b/>
            </w:rPr>
          </w:pPr>
          <w:r>
            <w:rPr>
              <w:b/>
            </w:rPr>
            <w:t>Recurso de Revisión:</w:t>
          </w:r>
        </w:p>
      </w:tc>
      <w:tc>
        <w:tcPr>
          <w:tcW w:w="3405" w:type="dxa"/>
        </w:tcPr>
        <w:p w14:paraId="3C7E5E9F" w14:textId="77777777" w:rsidR="0014657B" w:rsidRDefault="006400E8">
          <w:pPr>
            <w:tabs>
              <w:tab w:val="right" w:pos="8838"/>
            </w:tabs>
            <w:ind w:left="-28" w:right="-32"/>
          </w:pPr>
          <w:r>
            <w:t>03846/INFOEM/IP/RR/2020</w:t>
          </w:r>
        </w:p>
      </w:tc>
    </w:tr>
    <w:tr w:rsidR="0014657B" w14:paraId="231A9BBB" w14:textId="77777777">
      <w:trPr>
        <w:trHeight w:val="261"/>
      </w:trPr>
      <w:tc>
        <w:tcPr>
          <w:tcW w:w="2691" w:type="dxa"/>
        </w:tcPr>
        <w:p w14:paraId="52FF6C6E" w14:textId="77777777" w:rsidR="0014657B" w:rsidRDefault="006400E8">
          <w:pPr>
            <w:tabs>
              <w:tab w:val="right" w:pos="8838"/>
            </w:tabs>
            <w:ind w:right="-105"/>
            <w:rPr>
              <w:b/>
            </w:rPr>
          </w:pPr>
          <w:r>
            <w:rPr>
              <w:b/>
            </w:rPr>
            <w:t>Sujeto Obligado:</w:t>
          </w:r>
        </w:p>
      </w:tc>
      <w:tc>
        <w:tcPr>
          <w:tcW w:w="3405" w:type="dxa"/>
        </w:tcPr>
        <w:p w14:paraId="2BEFA1B0" w14:textId="77777777" w:rsidR="0014657B" w:rsidRDefault="006400E8">
          <w:pPr>
            <w:tabs>
              <w:tab w:val="right" w:pos="8838"/>
            </w:tabs>
            <w:ind w:right="-32"/>
          </w:pPr>
          <w:r>
            <w:t xml:space="preserve">Ayuntamiento de </w:t>
          </w:r>
          <w:proofErr w:type="spellStart"/>
          <w:r>
            <w:t>Temascalcingo</w:t>
          </w:r>
          <w:proofErr w:type="spellEnd"/>
        </w:p>
      </w:tc>
    </w:tr>
    <w:tr w:rsidR="0014657B" w14:paraId="37E62C4A" w14:textId="77777777">
      <w:trPr>
        <w:trHeight w:val="261"/>
      </w:trPr>
      <w:tc>
        <w:tcPr>
          <w:tcW w:w="2691" w:type="dxa"/>
        </w:tcPr>
        <w:p w14:paraId="4ED510A7" w14:textId="77777777" w:rsidR="0014657B" w:rsidRDefault="006400E8">
          <w:pPr>
            <w:tabs>
              <w:tab w:val="right" w:pos="8838"/>
            </w:tabs>
            <w:ind w:right="-105"/>
            <w:rPr>
              <w:b/>
            </w:rPr>
          </w:pPr>
          <w:r>
            <w:rPr>
              <w:b/>
            </w:rPr>
            <w:t>Comisionado Ponente:</w:t>
          </w:r>
        </w:p>
      </w:tc>
      <w:tc>
        <w:tcPr>
          <w:tcW w:w="3405" w:type="dxa"/>
        </w:tcPr>
        <w:p w14:paraId="5EECA797" w14:textId="77777777" w:rsidR="0014657B" w:rsidRDefault="006400E8">
          <w:pPr>
            <w:tabs>
              <w:tab w:val="right" w:pos="8838"/>
            </w:tabs>
            <w:ind w:right="-32"/>
            <w:rPr>
              <w:b/>
            </w:rPr>
          </w:pPr>
          <w:r>
            <w:t>Luis Gustavo Parra Noriega</w:t>
          </w:r>
        </w:p>
      </w:tc>
    </w:tr>
  </w:tbl>
  <w:p w14:paraId="143DE3F5" w14:textId="77777777" w:rsidR="0014657B" w:rsidRDefault="00933C8A">
    <w:pPr>
      <w:pBdr>
        <w:top w:val="nil"/>
        <w:left w:val="nil"/>
        <w:bottom w:val="nil"/>
        <w:right w:val="nil"/>
        <w:between w:val="nil"/>
      </w:pBdr>
      <w:tabs>
        <w:tab w:val="center" w:pos="4419"/>
        <w:tab w:val="right" w:pos="8838"/>
      </w:tabs>
      <w:spacing w:after="0" w:line="240" w:lineRule="auto"/>
      <w:rPr>
        <w:color w:val="000000"/>
      </w:rPr>
    </w:pPr>
    <w:r>
      <w:rPr>
        <w:color w:val="000000"/>
      </w:rPr>
      <w:pict w14:anchorId="482201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1099EC" w14:textId="77777777" w:rsidR="0014657B" w:rsidRDefault="006400E8">
    <w:pPr>
      <w:tabs>
        <w:tab w:val="left" w:pos="3913"/>
      </w:tabs>
      <w:rPr>
        <w:sz w:val="2"/>
        <w:szCs w:val="2"/>
      </w:rPr>
    </w:pPr>
    <w:r>
      <w:tab/>
    </w:r>
  </w:p>
  <w:tbl>
    <w:tblPr>
      <w:tblStyle w:val="a6"/>
      <w:tblW w:w="6803"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2"/>
    </w:tblGrid>
    <w:tr w:rsidR="0014657B" w14:paraId="5C896438" w14:textId="77777777">
      <w:trPr>
        <w:trHeight w:val="138"/>
      </w:trPr>
      <w:tc>
        <w:tcPr>
          <w:tcW w:w="2551" w:type="dxa"/>
          <w:vAlign w:val="center"/>
        </w:tcPr>
        <w:p w14:paraId="62EDBB7D" w14:textId="77777777" w:rsidR="0014657B" w:rsidRDefault="006400E8">
          <w:pPr>
            <w:tabs>
              <w:tab w:val="right" w:pos="8838"/>
            </w:tabs>
            <w:ind w:right="-105"/>
            <w:jc w:val="left"/>
            <w:rPr>
              <w:b/>
            </w:rPr>
          </w:pPr>
          <w:r>
            <w:rPr>
              <w:b/>
            </w:rPr>
            <w:t>Recurso de Revisión:</w:t>
          </w:r>
        </w:p>
      </w:tc>
      <w:tc>
        <w:tcPr>
          <w:tcW w:w="4252" w:type="dxa"/>
        </w:tcPr>
        <w:p w14:paraId="553E928F" w14:textId="77777777" w:rsidR="0014657B" w:rsidRDefault="006400E8">
          <w:pPr>
            <w:tabs>
              <w:tab w:val="right" w:pos="8838"/>
            </w:tabs>
            <w:ind w:left="-113" w:right="57"/>
            <w:rPr>
              <w:color w:val="000000"/>
            </w:rPr>
          </w:pPr>
          <w:r>
            <w:rPr>
              <w:color w:val="000000"/>
            </w:rPr>
            <w:t>07816/INFOEM/IP/RR/2025</w:t>
          </w:r>
        </w:p>
      </w:tc>
    </w:tr>
    <w:tr w:rsidR="0014657B" w14:paraId="7994B66C" w14:textId="77777777">
      <w:trPr>
        <w:trHeight w:val="273"/>
      </w:trPr>
      <w:tc>
        <w:tcPr>
          <w:tcW w:w="2551" w:type="dxa"/>
        </w:tcPr>
        <w:p w14:paraId="1DD6A43E" w14:textId="77777777" w:rsidR="0014657B" w:rsidRDefault="006400E8">
          <w:pPr>
            <w:tabs>
              <w:tab w:val="right" w:pos="8838"/>
            </w:tabs>
            <w:ind w:right="-105"/>
            <w:rPr>
              <w:b/>
            </w:rPr>
          </w:pPr>
          <w:r>
            <w:rPr>
              <w:b/>
            </w:rPr>
            <w:t>Sujeto Obligado:</w:t>
          </w:r>
        </w:p>
      </w:tc>
      <w:tc>
        <w:tcPr>
          <w:tcW w:w="4252" w:type="dxa"/>
        </w:tcPr>
        <w:p w14:paraId="4E67A794" w14:textId="77777777" w:rsidR="0014657B" w:rsidRDefault="006400E8">
          <w:pPr>
            <w:tabs>
              <w:tab w:val="left" w:pos="2728"/>
              <w:tab w:val="right" w:pos="8838"/>
            </w:tabs>
            <w:ind w:left="-113" w:right="1450"/>
          </w:pPr>
          <w:r>
            <w:rPr>
              <w:color w:val="000000"/>
            </w:rPr>
            <w:t>Sistema Municipal Para el Desarrollo Integral de la Familia de Huehuetoca</w:t>
          </w:r>
        </w:p>
      </w:tc>
    </w:tr>
    <w:tr w:rsidR="0014657B" w14:paraId="0395AAD8" w14:textId="77777777">
      <w:trPr>
        <w:trHeight w:val="273"/>
      </w:trPr>
      <w:tc>
        <w:tcPr>
          <w:tcW w:w="2551" w:type="dxa"/>
        </w:tcPr>
        <w:p w14:paraId="59274F62" w14:textId="77777777" w:rsidR="0014657B" w:rsidRDefault="006400E8">
          <w:pPr>
            <w:tabs>
              <w:tab w:val="right" w:pos="8838"/>
            </w:tabs>
            <w:ind w:right="-105"/>
            <w:rPr>
              <w:b/>
            </w:rPr>
          </w:pPr>
          <w:r>
            <w:rPr>
              <w:b/>
            </w:rPr>
            <w:t>Comisionado Ponente:</w:t>
          </w:r>
        </w:p>
      </w:tc>
      <w:tc>
        <w:tcPr>
          <w:tcW w:w="4252" w:type="dxa"/>
        </w:tcPr>
        <w:p w14:paraId="541D5012" w14:textId="77777777" w:rsidR="0014657B" w:rsidRDefault="006400E8">
          <w:pPr>
            <w:tabs>
              <w:tab w:val="right" w:pos="8838"/>
            </w:tabs>
            <w:ind w:left="-113" w:right="-170"/>
            <w:rPr>
              <w:b/>
            </w:rPr>
          </w:pPr>
          <w:r>
            <w:t>Luis Gustavo Parra Noriega</w:t>
          </w:r>
        </w:p>
      </w:tc>
    </w:tr>
  </w:tbl>
  <w:p w14:paraId="1FC7CDF4" w14:textId="77777777" w:rsidR="0014657B" w:rsidRDefault="00933C8A">
    <w:pPr>
      <w:pBdr>
        <w:top w:val="nil"/>
        <w:left w:val="nil"/>
        <w:bottom w:val="nil"/>
        <w:right w:val="nil"/>
        <w:between w:val="nil"/>
      </w:pBdr>
      <w:tabs>
        <w:tab w:val="center" w:pos="4419"/>
        <w:tab w:val="right" w:pos="8838"/>
      </w:tabs>
      <w:spacing w:after="0" w:line="240" w:lineRule="auto"/>
      <w:rPr>
        <w:color w:val="000000"/>
      </w:rPr>
    </w:pPr>
    <w:r>
      <w:rPr>
        <w:color w:val="000000"/>
      </w:rPr>
      <w:pict w14:anchorId="5BA31C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MARCA DE AGUA - HOJA RESOLUCIÓN" style="position:absolute;left:0;text-align:left;margin-left:-90.6pt;margin-top:-122.05pt;width:663.5pt;height:12in;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A56FCB" w14:textId="77777777" w:rsidR="0014657B" w:rsidRDefault="0014657B">
    <w:pPr>
      <w:widowControl w:val="0"/>
      <w:pBdr>
        <w:top w:val="nil"/>
        <w:left w:val="nil"/>
        <w:bottom w:val="nil"/>
        <w:right w:val="nil"/>
        <w:between w:val="nil"/>
      </w:pBdr>
      <w:spacing w:after="0" w:line="276" w:lineRule="auto"/>
      <w:jc w:val="left"/>
      <w:rPr>
        <w:color w:val="000000"/>
      </w:rPr>
    </w:pPr>
  </w:p>
  <w:tbl>
    <w:tblPr>
      <w:tblStyle w:val="a7"/>
      <w:tblW w:w="5528"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551"/>
      <w:gridCol w:w="2977"/>
    </w:tblGrid>
    <w:tr w:rsidR="0014657B" w14:paraId="33DEE1F2" w14:textId="77777777">
      <w:trPr>
        <w:trHeight w:val="132"/>
      </w:trPr>
      <w:tc>
        <w:tcPr>
          <w:tcW w:w="2551" w:type="dxa"/>
        </w:tcPr>
        <w:p w14:paraId="16BE9BCF" w14:textId="77777777" w:rsidR="0014657B" w:rsidRDefault="006400E8">
          <w:pPr>
            <w:tabs>
              <w:tab w:val="right" w:pos="8838"/>
            </w:tabs>
            <w:ind w:right="-105"/>
            <w:rPr>
              <w:b/>
            </w:rPr>
          </w:pPr>
          <w:r>
            <w:rPr>
              <w:b/>
            </w:rPr>
            <w:t>Recurso de Revisión:</w:t>
          </w:r>
        </w:p>
      </w:tc>
      <w:tc>
        <w:tcPr>
          <w:tcW w:w="2977" w:type="dxa"/>
        </w:tcPr>
        <w:p w14:paraId="296C1E9B" w14:textId="77777777" w:rsidR="0014657B" w:rsidRDefault="006400E8">
          <w:pPr>
            <w:tabs>
              <w:tab w:val="right" w:pos="8838"/>
            </w:tabs>
            <w:ind w:left="-113" w:right="-32"/>
          </w:pPr>
          <w:r>
            <w:rPr>
              <w:color w:val="000000"/>
            </w:rPr>
            <w:t>07816/INFOEM/IP/RR/2025</w:t>
          </w:r>
        </w:p>
      </w:tc>
    </w:tr>
    <w:tr w:rsidR="0014657B" w14:paraId="58FE9CD9" w14:textId="77777777">
      <w:trPr>
        <w:trHeight w:val="132"/>
      </w:trPr>
      <w:tc>
        <w:tcPr>
          <w:tcW w:w="2551" w:type="dxa"/>
        </w:tcPr>
        <w:p w14:paraId="088EDF41" w14:textId="77777777" w:rsidR="0014657B" w:rsidRDefault="006400E8">
          <w:pPr>
            <w:tabs>
              <w:tab w:val="left" w:pos="1875"/>
            </w:tabs>
            <w:ind w:right="-105"/>
            <w:rPr>
              <w:b/>
            </w:rPr>
          </w:pPr>
          <w:r>
            <w:rPr>
              <w:b/>
            </w:rPr>
            <w:t>Recurrente:</w:t>
          </w:r>
          <w:r>
            <w:rPr>
              <w:b/>
            </w:rPr>
            <w:tab/>
          </w:r>
        </w:p>
      </w:tc>
      <w:tc>
        <w:tcPr>
          <w:tcW w:w="2977" w:type="dxa"/>
        </w:tcPr>
        <w:p w14:paraId="6C176806" w14:textId="77777777" w:rsidR="0014657B" w:rsidRDefault="0014657B">
          <w:pPr>
            <w:tabs>
              <w:tab w:val="right" w:pos="8838"/>
            </w:tabs>
            <w:ind w:left="-108"/>
          </w:pPr>
        </w:p>
      </w:tc>
    </w:tr>
    <w:tr w:rsidR="0014657B" w14:paraId="48AE4DF5" w14:textId="77777777">
      <w:trPr>
        <w:trHeight w:val="261"/>
      </w:trPr>
      <w:tc>
        <w:tcPr>
          <w:tcW w:w="2551" w:type="dxa"/>
        </w:tcPr>
        <w:p w14:paraId="3AD4159C" w14:textId="77777777" w:rsidR="0014657B" w:rsidRDefault="006400E8">
          <w:pPr>
            <w:tabs>
              <w:tab w:val="right" w:pos="8838"/>
            </w:tabs>
            <w:ind w:right="-105"/>
            <w:rPr>
              <w:b/>
            </w:rPr>
          </w:pPr>
          <w:r>
            <w:rPr>
              <w:b/>
            </w:rPr>
            <w:t>Sujeto Obligado:</w:t>
          </w:r>
        </w:p>
      </w:tc>
      <w:tc>
        <w:tcPr>
          <w:tcW w:w="2977" w:type="dxa"/>
        </w:tcPr>
        <w:p w14:paraId="754DE746" w14:textId="77777777" w:rsidR="0014657B" w:rsidRDefault="006400E8">
          <w:pPr>
            <w:tabs>
              <w:tab w:val="right" w:pos="8838"/>
            </w:tabs>
            <w:ind w:left="-113" w:right="33"/>
          </w:pPr>
          <w:r>
            <w:rPr>
              <w:color w:val="000000"/>
            </w:rPr>
            <w:t>Sistema Municipal Para el Desarrollo Integral de la Familia de Huehuetoca</w:t>
          </w:r>
        </w:p>
      </w:tc>
    </w:tr>
    <w:tr w:rsidR="0014657B" w14:paraId="3100B879" w14:textId="77777777">
      <w:trPr>
        <w:trHeight w:val="261"/>
      </w:trPr>
      <w:tc>
        <w:tcPr>
          <w:tcW w:w="2551" w:type="dxa"/>
        </w:tcPr>
        <w:p w14:paraId="61F18EA3" w14:textId="77777777" w:rsidR="0014657B" w:rsidRDefault="006400E8">
          <w:pPr>
            <w:tabs>
              <w:tab w:val="right" w:pos="8838"/>
            </w:tabs>
            <w:ind w:right="-105"/>
            <w:rPr>
              <w:b/>
            </w:rPr>
          </w:pPr>
          <w:r>
            <w:rPr>
              <w:b/>
            </w:rPr>
            <w:t>Comisionado Ponente:</w:t>
          </w:r>
        </w:p>
      </w:tc>
      <w:tc>
        <w:tcPr>
          <w:tcW w:w="2977" w:type="dxa"/>
        </w:tcPr>
        <w:p w14:paraId="0AF9ECDE" w14:textId="77777777" w:rsidR="0014657B" w:rsidRDefault="006400E8">
          <w:pPr>
            <w:tabs>
              <w:tab w:val="right" w:pos="8838"/>
            </w:tabs>
            <w:ind w:left="-113" w:right="-32"/>
            <w:rPr>
              <w:b/>
            </w:rPr>
          </w:pPr>
          <w:r>
            <w:t>Luis Gustavo Parra Noriega</w:t>
          </w:r>
        </w:p>
      </w:tc>
    </w:tr>
  </w:tbl>
  <w:p w14:paraId="03B1B9CD" w14:textId="77777777" w:rsidR="0014657B" w:rsidRDefault="00933C8A">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1B9B5B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MARCA DE AGUA - HOJA RESOLUCIÓN" style="position:absolute;left:0;text-align:left;margin-left:-89.1pt;margin-top:-123.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5242C6"/>
    <w:multiLevelType w:val="multilevel"/>
    <w:tmpl w:val="C8CA73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57B"/>
    <w:rsid w:val="001052B5"/>
    <w:rsid w:val="0014657B"/>
    <w:rsid w:val="006400E8"/>
    <w:rsid w:val="00933C8A"/>
    <w:rsid w:val="00A16146"/>
    <w:rsid w:val="00B657B0"/>
    <w:rsid w:val="00EC52A8"/>
    <w:rsid w:val="00EE4D84"/>
    <w:rsid w:val="00F24B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BCC8C9"/>
  <w15:docId w15:val="{2036FA72-5E10-4834-8A08-4893D822B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rFonts w:ascii="Calibri" w:eastAsia="Calibri" w:hAnsi="Calibri" w:cs="Calibri"/>
      <w:color w:val="2F5496"/>
      <w:sz w:val="32"/>
      <w:szCs w:val="32"/>
    </w:rPr>
  </w:style>
  <w:style w:type="paragraph" w:styleId="Ttulo2">
    <w:name w:val="heading 2"/>
    <w:basedOn w:val="Normal"/>
    <w:next w:val="Normal"/>
    <w:uiPriority w:val="9"/>
    <w:unhideWhenUsed/>
    <w:qFormat/>
    <w:pPr>
      <w:keepNext/>
      <w:keepLines/>
      <w:spacing w:before="40" w:after="0"/>
      <w:outlineLvl w:val="1"/>
    </w:pPr>
    <w:rPr>
      <w:rFonts w:ascii="Calibri" w:eastAsia="Calibri" w:hAnsi="Calibri" w:cs="Calibri"/>
      <w:color w:val="2F5496"/>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paragraph" w:styleId="Encabezado">
    <w:name w:val="header"/>
    <w:basedOn w:val="Normal"/>
    <w:link w:val="EncabezadoCar"/>
    <w:uiPriority w:val="99"/>
    <w:unhideWhenUsed/>
    <w:rsid w:val="00DB3D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3DC5"/>
    <w:rPr>
      <w:rFonts w:ascii="Palatino Linotype" w:hAnsi="Palatino Linotype"/>
      <w:color w:val="000000" w:themeColor="text1"/>
      <w:kern w:val="0"/>
    </w:rPr>
  </w:style>
  <w:style w:type="paragraph" w:styleId="Piedepgina">
    <w:name w:val="footer"/>
    <w:basedOn w:val="Normal"/>
    <w:link w:val="PiedepginaCar"/>
    <w:uiPriority w:val="99"/>
    <w:unhideWhenUsed/>
    <w:rsid w:val="00DB3D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3DC5"/>
    <w:rPr>
      <w:rFonts w:ascii="Palatino Linotype" w:hAnsi="Palatino Linotype"/>
      <w:color w:val="000000" w:themeColor="text1"/>
      <w:kern w:val="0"/>
    </w:rPr>
  </w:style>
  <w:style w:type="table" w:styleId="Tablaconcuadrcula">
    <w:name w:val="Table Grid"/>
    <w:basedOn w:val="Tablanormal"/>
    <w:uiPriority w:val="59"/>
    <w:qFormat/>
    <w:rsid w:val="00DB3DC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B3DC5"/>
    <w:rPr>
      <w:rFonts w:ascii="Times New Roman" w:hAnsi="Times New Roman" w:cs="Times New Roman"/>
      <w:sz w:val="24"/>
      <w:szCs w:val="24"/>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B3DC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DB3DC5"/>
    <w:rPr>
      <w:rFonts w:ascii="Palatino Linotype" w:hAnsi="Palatino Linotype"/>
      <w:color w:val="000000" w:themeColor="text1"/>
      <w:kern w:val="0"/>
    </w:rPr>
  </w:style>
  <w:style w:type="character" w:styleId="Hipervnculo">
    <w:name w:val="Hyperlink"/>
    <w:aliases w:val="Hipervínculo1,Hipervínculo11,Hipervínculo12,Hipervínculo13,Hipervínculo14,Hipervínculo15"/>
    <w:basedOn w:val="Fuentedeprrafopredeter"/>
    <w:uiPriority w:val="99"/>
    <w:unhideWhenUsed/>
    <w:qFormat/>
    <w:rsid w:val="004500E2"/>
    <w:rPr>
      <w:color w:val="0563C1" w:themeColor="hyperlink"/>
      <w:u w:val="single"/>
    </w:rPr>
  </w:style>
  <w:style w:type="character" w:customStyle="1" w:styleId="Mencinsinresolver1">
    <w:name w:val="Mención sin resolver1"/>
    <w:basedOn w:val="Fuentedeprrafopredeter"/>
    <w:uiPriority w:val="99"/>
    <w:semiHidden/>
    <w:unhideWhenUsed/>
    <w:rsid w:val="004500E2"/>
    <w:rPr>
      <w:color w:val="605E5C"/>
      <w:shd w:val="clear" w:color="auto" w:fill="E1DFDD"/>
    </w:rPr>
  </w:style>
  <w:style w:type="character" w:styleId="Hipervnculovisitado">
    <w:name w:val="FollowedHyperlink"/>
    <w:basedOn w:val="Fuentedeprrafopredeter"/>
    <w:uiPriority w:val="99"/>
    <w:semiHidden/>
    <w:unhideWhenUsed/>
    <w:rsid w:val="00254F36"/>
    <w:rPr>
      <w:color w:val="954F72" w:themeColor="followedHyperlink"/>
      <w:u w:val="single"/>
    </w:rPr>
  </w:style>
  <w:style w:type="table" w:customStyle="1" w:styleId="Tablaconcuadrcula3">
    <w:name w:val="Tabla con cuadrícula3"/>
    <w:basedOn w:val="Tablanormal"/>
    <w:next w:val="Tablaconcuadrcula"/>
    <w:uiPriority w:val="59"/>
    <w:rsid w:val="00837B92"/>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uiPriority w:val="9"/>
    <w:rsid w:val="00076681"/>
    <w:rPr>
      <w:rFonts w:asciiTheme="majorHAnsi" w:eastAsiaTheme="majorEastAsia" w:hAnsiTheme="majorHAnsi" w:cstheme="majorBidi"/>
      <w:color w:val="2F5496" w:themeColor="accent1" w:themeShade="BF"/>
      <w:kern w:val="0"/>
      <w:sz w:val="32"/>
      <w:szCs w:val="32"/>
    </w:rPr>
  </w:style>
  <w:style w:type="paragraph" w:styleId="TtulodeTDC">
    <w:name w:val="TOC Heading"/>
    <w:next w:val="Normal"/>
    <w:uiPriority w:val="39"/>
    <w:unhideWhenUsed/>
    <w:qFormat/>
    <w:rsid w:val="00076681"/>
    <w:pPr>
      <w:jc w:val="left"/>
    </w:pPr>
  </w:style>
  <w:style w:type="paragraph" w:styleId="TDC1">
    <w:name w:val="toc 1"/>
    <w:basedOn w:val="Normal"/>
    <w:next w:val="Normal"/>
    <w:autoRedefine/>
    <w:uiPriority w:val="39"/>
    <w:unhideWhenUsed/>
    <w:rsid w:val="00076681"/>
    <w:pPr>
      <w:tabs>
        <w:tab w:val="right" w:leader="dot" w:pos="9072"/>
      </w:tabs>
      <w:spacing w:after="100" w:line="360" w:lineRule="auto"/>
    </w:pPr>
    <w:rPr>
      <w:rFonts w:ascii="Times New Roman" w:eastAsia="Times New Roman" w:hAnsi="Times New Roman" w:cs="Times New Roman"/>
      <w:sz w:val="20"/>
      <w:szCs w:val="20"/>
      <w:lang w:eastAsia="es-ES"/>
    </w:rPr>
  </w:style>
  <w:style w:type="paragraph" w:styleId="TDC2">
    <w:name w:val="toc 2"/>
    <w:basedOn w:val="Normal"/>
    <w:next w:val="Normal"/>
    <w:autoRedefine/>
    <w:uiPriority w:val="39"/>
    <w:unhideWhenUsed/>
    <w:rsid w:val="00076681"/>
    <w:pPr>
      <w:spacing w:after="100" w:line="240" w:lineRule="auto"/>
      <w:ind w:left="200"/>
      <w:jc w:val="left"/>
    </w:pPr>
    <w:rPr>
      <w:rFonts w:ascii="Times New Roman" w:eastAsia="Times New Roman" w:hAnsi="Times New Roman" w:cs="Times New Roman"/>
      <w:sz w:val="20"/>
      <w:szCs w:val="20"/>
      <w:lang w:eastAsia="es-ES"/>
    </w:rPr>
  </w:style>
  <w:style w:type="character" w:customStyle="1" w:styleId="Ttulo2Car">
    <w:name w:val="Título 2 Car"/>
    <w:basedOn w:val="Fuentedeprrafopredeter"/>
    <w:uiPriority w:val="9"/>
    <w:rsid w:val="00076681"/>
    <w:rPr>
      <w:rFonts w:asciiTheme="majorHAnsi" w:eastAsiaTheme="majorEastAsia" w:hAnsiTheme="majorHAnsi" w:cstheme="majorBidi"/>
      <w:color w:val="2F5496" w:themeColor="accent1" w:themeShade="BF"/>
      <w:kern w:val="0"/>
      <w:sz w:val="26"/>
      <w:szCs w:val="26"/>
    </w:rPr>
  </w:style>
  <w:style w:type="character" w:customStyle="1" w:styleId="Mencinsinresolver2">
    <w:name w:val="Mención sin resolver2"/>
    <w:basedOn w:val="Fuentedeprrafopredeter"/>
    <w:uiPriority w:val="99"/>
    <w:semiHidden/>
    <w:unhideWhenUsed/>
    <w:rsid w:val="00B417C3"/>
    <w:rPr>
      <w:color w:val="605E5C"/>
      <w:shd w:val="clear" w:color="auto" w:fill="E1DFDD"/>
    </w:rPr>
  </w:style>
  <w:style w:type="character" w:customStyle="1" w:styleId="Mencinsinresolver3">
    <w:name w:val="Mención sin resolver3"/>
    <w:basedOn w:val="Fuentedeprrafopredeter"/>
    <w:uiPriority w:val="99"/>
    <w:semiHidden/>
    <w:unhideWhenUsed/>
    <w:rsid w:val="009A627C"/>
    <w:rPr>
      <w:color w:val="605E5C"/>
      <w:shd w:val="clear" w:color="auto" w:fill="E1DFDD"/>
    </w:rPr>
  </w:style>
  <w:style w:type="character" w:customStyle="1" w:styleId="Mencinsinresolver4">
    <w:name w:val="Mención sin resolver4"/>
    <w:basedOn w:val="Fuentedeprrafopredeter"/>
    <w:uiPriority w:val="99"/>
    <w:semiHidden/>
    <w:unhideWhenUsed/>
    <w:rsid w:val="00655864"/>
    <w:rPr>
      <w:color w:val="605E5C"/>
      <w:shd w:val="clear" w:color="auto" w:fill="E1DFDD"/>
    </w:rPr>
  </w:style>
  <w:style w:type="character" w:customStyle="1" w:styleId="Mencinsinresolver5">
    <w:name w:val="Mención sin resolver5"/>
    <w:basedOn w:val="Fuentedeprrafopredeter"/>
    <w:uiPriority w:val="99"/>
    <w:semiHidden/>
    <w:unhideWhenUsed/>
    <w:rsid w:val="00515CD4"/>
    <w:rPr>
      <w:color w:val="605E5C"/>
      <w:shd w:val="clear" w:color="auto" w:fill="E1DFDD"/>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9+GseGtGzcbycvZ4JuTplc3dTQ==">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4176</Words>
  <Characters>22974</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PEÑA VARA</dc:creator>
  <cp:lastModifiedBy>USUARIO</cp:lastModifiedBy>
  <cp:revision>3</cp:revision>
  <cp:lastPrinted>2025-09-19T00:05:00Z</cp:lastPrinted>
  <dcterms:created xsi:type="dcterms:W3CDTF">2025-09-19T00:04:00Z</dcterms:created>
  <dcterms:modified xsi:type="dcterms:W3CDTF">2025-09-19T00:05:00Z</dcterms:modified>
</cp:coreProperties>
</file>