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D" w:rsidRPr="0024200F" w:rsidRDefault="007F0C0D" w:rsidP="007F0C0D">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8B3A75">
        <w:rPr>
          <w:rFonts w:ascii="Palatino Linotype" w:hAnsi="Palatino Linotype"/>
        </w:rPr>
        <w:t>seis de marzo</w:t>
      </w:r>
      <w:r>
        <w:rPr>
          <w:rFonts w:ascii="Palatino Linotype" w:hAnsi="Palatino Linotype"/>
        </w:rPr>
        <w:t xml:space="preserve"> de dos mil veinticinco.</w:t>
      </w:r>
    </w:p>
    <w:p w:rsidR="007F0C0D" w:rsidRPr="0024200F" w:rsidRDefault="007F0C0D" w:rsidP="007F0C0D">
      <w:pPr>
        <w:spacing w:line="360" w:lineRule="auto"/>
        <w:jc w:val="both"/>
        <w:rPr>
          <w:rFonts w:ascii="Palatino Linotype" w:hAnsi="Palatino Linotype"/>
        </w:rPr>
      </w:pPr>
    </w:p>
    <w:p w:rsidR="007F0C0D" w:rsidRPr="002C3EC8" w:rsidRDefault="007F0C0D" w:rsidP="007F0C0D">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bookmarkStart w:id="0" w:name="_GoBack"/>
      <w:r w:rsidR="008B3A75">
        <w:rPr>
          <w:rFonts w:ascii="Palatino Linotype" w:hAnsi="Palatino Linotype" w:cs="Arial"/>
          <w:b/>
          <w:bCs/>
          <w:lang w:eastAsia="es-MX"/>
        </w:rPr>
        <w:t>00535/INFOEM/IP/RR/2025</w:t>
      </w:r>
      <w:bookmarkEnd w:id="0"/>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8B3A75" w:rsidRPr="008B3A75">
        <w:rPr>
          <w:rFonts w:ascii="Palatino Linotype" w:hAnsi="Palatino Linotype"/>
          <w:b/>
        </w:rPr>
        <w:t>Sistema Municipal Para el Desarrollo Integral de la Familia de Toluca</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7F0C0D" w:rsidRDefault="007F0C0D" w:rsidP="007F0C0D">
      <w:pPr>
        <w:pStyle w:val="infoemcitas"/>
        <w:jc w:val="center"/>
        <w:rPr>
          <w:b/>
          <w:bCs/>
          <w:i w:val="0"/>
          <w:iCs/>
          <w:sz w:val="28"/>
          <w:szCs w:val="28"/>
        </w:rPr>
      </w:pPr>
    </w:p>
    <w:p w:rsidR="007F0C0D" w:rsidRDefault="007F0C0D" w:rsidP="007F0C0D">
      <w:pPr>
        <w:pStyle w:val="infoemcitas"/>
        <w:jc w:val="center"/>
        <w:rPr>
          <w:b/>
          <w:bCs/>
          <w:i w:val="0"/>
          <w:iCs/>
          <w:sz w:val="28"/>
          <w:szCs w:val="28"/>
        </w:rPr>
      </w:pPr>
      <w:r w:rsidRPr="002C3EC8">
        <w:rPr>
          <w:b/>
          <w:bCs/>
          <w:i w:val="0"/>
          <w:iCs/>
          <w:sz w:val="28"/>
          <w:szCs w:val="28"/>
        </w:rPr>
        <w:t>A N T E C E D E N T E S   D E L   A S U N T O</w:t>
      </w:r>
    </w:p>
    <w:p w:rsidR="007F0C0D" w:rsidRPr="002C3EC8" w:rsidRDefault="007F0C0D" w:rsidP="007F0C0D">
      <w:pPr>
        <w:pStyle w:val="infoemcitas"/>
        <w:jc w:val="center"/>
        <w:rPr>
          <w:b/>
          <w:bCs/>
          <w:i w:val="0"/>
          <w:iCs/>
          <w:sz w:val="28"/>
          <w:szCs w:val="28"/>
        </w:rPr>
      </w:pPr>
    </w:p>
    <w:p w:rsidR="007F0C0D" w:rsidRPr="002C3EC8" w:rsidRDefault="007F0C0D" w:rsidP="007F0C0D">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7F0C0D" w:rsidRPr="00D705FF" w:rsidRDefault="007F0C0D" w:rsidP="007F0C0D">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8B3A75">
        <w:rPr>
          <w:rFonts w:ascii="Palatino Linotype" w:hAnsi="Palatino Linotype" w:cs="Arial"/>
          <w:b/>
        </w:rPr>
        <w:t>trece de enero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8B3A75">
        <w:rPr>
          <w:rFonts w:ascii="Palatino Linotype" w:hAnsi="Palatino Linotype" w:cs="Arial"/>
          <w:b/>
        </w:rPr>
        <w:t>00006/DIFTOLUCA/IP/2025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7F0C0D" w:rsidRPr="001C7F6F" w:rsidRDefault="007F0C0D" w:rsidP="007F0C0D">
      <w:pPr>
        <w:pStyle w:val="INFOEM"/>
        <w:rPr>
          <w:lang w:val="es-ES_tradnl" w:eastAsia="es-ES"/>
        </w:rPr>
      </w:pPr>
      <w:r w:rsidRPr="00D705FF">
        <w:rPr>
          <w:lang w:val="es-ES_tradnl" w:eastAsia="es-ES"/>
        </w:rPr>
        <w:lastRenderedPageBreak/>
        <w:t>“</w:t>
      </w:r>
      <w:r w:rsidR="008B3A75" w:rsidRPr="008B3A75">
        <w:rPr>
          <w:lang w:val="es-ES" w:eastAsia="es-ES"/>
        </w:rPr>
        <w:t>Cuantos costo el. Evento de día de reyes, los contratos realizados para el evento de luz sonido, artistas, carpa tas, mobiliario, juguetes dulces, lunchs, los contratos firmados para la adquisición, el presupuesto autorizado y ejercido de uqe partida salio las factura pagadas y los contratos con provedores</w:t>
      </w:r>
      <w:r w:rsidRPr="00D705FF">
        <w:rPr>
          <w:lang w:val="es-ES_tradnl" w:eastAsia="es-ES"/>
        </w:rPr>
        <w:t>” (Sic)</w:t>
      </w:r>
    </w:p>
    <w:p w:rsidR="007F0C0D" w:rsidRPr="002C3EC8" w:rsidRDefault="007F0C0D" w:rsidP="007F0C0D">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7F0C0D" w:rsidRDefault="007F0C0D" w:rsidP="007F0C0D">
      <w:pPr>
        <w:spacing w:before="240" w:line="360" w:lineRule="auto"/>
        <w:jc w:val="both"/>
        <w:rPr>
          <w:rFonts w:ascii="Palatino Linotype" w:hAnsi="Palatino Linotype" w:cs="Arial"/>
          <w:b/>
          <w:sz w:val="28"/>
        </w:rPr>
      </w:pPr>
    </w:p>
    <w:p w:rsidR="007F0C0D" w:rsidRDefault="007F0C0D" w:rsidP="007F0C0D">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7F0C0D" w:rsidRPr="00C0731C" w:rsidRDefault="007F0C0D" w:rsidP="007F0C0D">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8B3A75">
        <w:rPr>
          <w:rFonts w:ascii="Palatino Linotype" w:hAnsi="Palatino Linotype" w:cs="Arial"/>
          <w:b/>
          <w:sz w:val="24"/>
        </w:rPr>
        <w:t>veintitrés</w:t>
      </w:r>
      <w:r>
        <w:rPr>
          <w:rFonts w:ascii="Palatino Linotype" w:hAnsi="Palatino Linotype" w:cs="Arial"/>
          <w:b/>
          <w:sz w:val="24"/>
        </w:rPr>
        <w:t xml:space="preserve"> de enero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7F0C0D" w:rsidRPr="00E818A5" w:rsidRDefault="007F0C0D" w:rsidP="007F0C0D">
      <w:pPr>
        <w:spacing w:line="360" w:lineRule="auto"/>
        <w:jc w:val="both"/>
        <w:rPr>
          <w:rFonts w:ascii="Palatino Linotype" w:hAnsi="Palatino Linotype" w:cs="Arial"/>
        </w:rPr>
      </w:pPr>
    </w:p>
    <w:p w:rsidR="007F0C0D" w:rsidRDefault="007F0C0D" w:rsidP="008B3A75">
      <w:pPr>
        <w:ind w:left="567" w:right="567"/>
        <w:jc w:val="both"/>
        <w:rPr>
          <w:rFonts w:ascii="Palatino Linotype" w:hAnsi="Palatino Linotype" w:cs="Arial"/>
          <w:i/>
        </w:rPr>
      </w:pPr>
      <w:r>
        <w:rPr>
          <w:rFonts w:ascii="Palatino Linotype" w:hAnsi="Palatino Linotype" w:cs="Arial"/>
          <w:i/>
        </w:rPr>
        <w:t>“</w:t>
      </w:r>
      <w:r w:rsidR="008B3A75" w:rsidRPr="008B3A75">
        <w:rPr>
          <w:rFonts w:ascii="Palatino Linotype" w:hAnsi="Palatino Linotype" w:cs="Arial"/>
          <w:i/>
        </w:rPr>
        <w:t xml:space="preserve">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w:t>
      </w:r>
      <w:r w:rsidRPr="00667998">
        <w:rPr>
          <w:rFonts w:ascii="Palatino Linotype" w:hAnsi="Palatino Linotype" w:cs="Arial"/>
          <w:i/>
        </w:rPr>
        <w:t>“(Sic).</w:t>
      </w:r>
    </w:p>
    <w:p w:rsidR="007F0C0D" w:rsidRDefault="007F0C0D" w:rsidP="007F0C0D">
      <w:pPr>
        <w:spacing w:line="360" w:lineRule="auto"/>
        <w:ind w:right="567"/>
        <w:jc w:val="both"/>
        <w:rPr>
          <w:rFonts w:ascii="Palatino Linotype" w:hAnsi="Palatino Linotype" w:cs="Arial"/>
        </w:rPr>
      </w:pPr>
    </w:p>
    <w:p w:rsidR="007F0C0D" w:rsidRDefault="007F0C0D" w:rsidP="007F0C0D">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el archivo electrónico denominado “</w:t>
      </w:r>
      <w:r w:rsidR="008B3A75" w:rsidRPr="008B3A75">
        <w:rPr>
          <w:rFonts w:ascii="Palatino Linotype" w:hAnsi="Palatino Linotype" w:cs="Arial"/>
          <w:b/>
          <w:i/>
        </w:rPr>
        <w:t>RESPUESTA UIPPE 006-2025.pdf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rsidR="007F0C0D" w:rsidRDefault="007F0C0D" w:rsidP="007F0C0D">
      <w:pPr>
        <w:spacing w:line="360" w:lineRule="auto"/>
        <w:jc w:val="both"/>
        <w:rPr>
          <w:rFonts w:ascii="Palatino Linotype" w:hAnsi="Palatino Linotype" w:cs="Arial"/>
        </w:rPr>
      </w:pPr>
    </w:p>
    <w:p w:rsidR="007F0C0D" w:rsidRPr="002C3EC8" w:rsidRDefault="007F0C0D" w:rsidP="007F0C0D">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7F0C0D" w:rsidRDefault="007F0C0D" w:rsidP="007F0C0D">
      <w:pPr>
        <w:spacing w:before="240" w:line="360" w:lineRule="auto"/>
        <w:jc w:val="both"/>
        <w:rPr>
          <w:rFonts w:ascii="Palatino Linotype" w:hAnsi="Palatino Linotype" w:cs="Arial"/>
        </w:rPr>
      </w:pPr>
      <w:r>
        <w:rPr>
          <w:rFonts w:ascii="Palatino Linotype" w:hAnsi="Palatino Linotype" w:cs="Arial"/>
        </w:rPr>
        <w:lastRenderedPageBreak/>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8B3A75">
        <w:rPr>
          <w:rFonts w:ascii="Palatino Linotype" w:hAnsi="Palatino Linotype" w:cs="Arial"/>
          <w:b/>
        </w:rPr>
        <w:t>tres de febrero</w:t>
      </w:r>
      <w:r>
        <w:rPr>
          <w:rFonts w:ascii="Palatino Linotype" w:hAnsi="Palatino Linotype" w:cs="Arial"/>
          <w:b/>
        </w:rPr>
        <w:t xml:space="preserve"> de dos mil veinticinco</w:t>
      </w:r>
      <w:r w:rsidRPr="002C3EC8">
        <w:rPr>
          <w:rFonts w:ascii="Palatino Linotype" w:hAnsi="Palatino Linotype" w:cs="Arial"/>
        </w:rPr>
        <w:t xml:space="preserve">, </w:t>
      </w:r>
      <w:r w:rsidR="008B3A75">
        <w:rPr>
          <w:rFonts w:ascii="Palatino Linotype" w:hAnsi="Palatino Linotype" w:cs="Arial"/>
        </w:rPr>
        <w:t xml:space="preserve">mismo que se tuvo por presentado al día hábil siguiente,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8B3A75">
        <w:rPr>
          <w:rFonts w:ascii="Palatino Linotype" w:hAnsi="Palatino Linotype" w:cs="Arial"/>
          <w:b/>
        </w:rPr>
        <w:t>00535/INFOEM/IP/RR/2025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8B3A75" w:rsidRDefault="007F0C0D" w:rsidP="007F0C0D">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8B3A75" w:rsidRPr="007E4713" w:rsidRDefault="008B3A75" w:rsidP="008B3A75">
      <w:pPr>
        <w:pStyle w:val="INFOEM"/>
        <w:ind w:left="720"/>
      </w:pPr>
      <w:r w:rsidRPr="007E4713">
        <w:t>“</w:t>
      </w:r>
      <w:r w:rsidRPr="008B3A75">
        <w:t>No atiende mi solicitud</w:t>
      </w:r>
      <w:r>
        <w:t>” (sic)</w:t>
      </w:r>
    </w:p>
    <w:p w:rsidR="007F0C0D" w:rsidRPr="0033050B" w:rsidRDefault="007F0C0D" w:rsidP="007F0C0D">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7F0C0D" w:rsidRPr="007E4713" w:rsidRDefault="007F0C0D" w:rsidP="008B3A75">
      <w:pPr>
        <w:pStyle w:val="INFOEM"/>
        <w:ind w:left="709"/>
      </w:pPr>
      <w:r w:rsidRPr="007E4713">
        <w:t>“</w:t>
      </w:r>
      <w:r w:rsidR="008B3A75" w:rsidRPr="008B3A75">
        <w:t>No atiende lo que se pide</w:t>
      </w:r>
      <w:r>
        <w:t>” (sic)</w:t>
      </w:r>
    </w:p>
    <w:p w:rsidR="007F0C0D" w:rsidRDefault="007F0C0D" w:rsidP="007F0C0D">
      <w:pPr>
        <w:spacing w:line="360" w:lineRule="auto"/>
        <w:jc w:val="both"/>
        <w:rPr>
          <w:rFonts w:ascii="Palatino Linotype" w:hAnsi="Palatino Linotype" w:cs="Arial"/>
        </w:rPr>
      </w:pPr>
    </w:p>
    <w:p w:rsidR="007F0C0D" w:rsidRPr="002C3EC8" w:rsidRDefault="007F0C0D" w:rsidP="007F0C0D">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7F0C0D" w:rsidRDefault="007F0C0D" w:rsidP="007F0C0D">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0C60A7">
        <w:rPr>
          <w:rFonts w:ascii="Palatino Linotype" w:hAnsi="Palatino Linotype"/>
          <w:b/>
        </w:rPr>
        <w:t>seis de febrero</w:t>
      </w:r>
      <w:r>
        <w:rPr>
          <w:rFonts w:ascii="Palatino Linotype" w:hAnsi="Palatino Linotype"/>
          <w:b/>
        </w:rPr>
        <w:t xml:space="preserve"> de dos mil veinticinco</w:t>
      </w:r>
      <w:r w:rsidRPr="002C3EC8">
        <w:rPr>
          <w:rFonts w:ascii="Palatino Linotype" w:hAnsi="Palatino Linotype"/>
        </w:rPr>
        <w:t>, determinándose en ellos, un plazo de siete días para que las partes manifestaran lo que a su derecho corresponda en términos del numeral ya citado.</w:t>
      </w:r>
    </w:p>
    <w:p w:rsidR="007F0C0D" w:rsidRPr="004C20B7" w:rsidRDefault="007F0C0D" w:rsidP="007F0C0D">
      <w:pPr>
        <w:spacing w:before="240" w:line="360" w:lineRule="auto"/>
        <w:jc w:val="both"/>
        <w:rPr>
          <w:rFonts w:ascii="Palatino Linotype" w:hAnsi="Palatino Linotype" w:cs="Arial"/>
          <w:sz w:val="28"/>
        </w:rPr>
      </w:pPr>
    </w:p>
    <w:p w:rsidR="007F0C0D" w:rsidRPr="00E52C83" w:rsidRDefault="007F0C0D" w:rsidP="007F0C0D">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7F0C0D" w:rsidRPr="00590166" w:rsidRDefault="007F0C0D" w:rsidP="007F0C0D">
      <w:pPr>
        <w:spacing w:line="360" w:lineRule="auto"/>
        <w:jc w:val="both"/>
        <w:rPr>
          <w:rFonts w:ascii="Palatino Linotype" w:hAnsi="Palatino Linotype"/>
        </w:rPr>
      </w:pPr>
      <w:r w:rsidRPr="00D32665">
        <w:rPr>
          <w:rFonts w:ascii="Palatino Linotype" w:hAnsi="Palatino Linotype" w:cs="Arial"/>
        </w:rPr>
        <w:lastRenderedPageBreak/>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0C60A7">
        <w:rPr>
          <w:rFonts w:ascii="Palatino Linotype" w:hAnsi="Palatino Linotype" w:cs="Arial"/>
        </w:rPr>
        <w:t>dieciocho de febrero</w:t>
      </w:r>
      <w:r>
        <w:rPr>
          <w:rFonts w:ascii="Palatino Linotype" w:hAnsi="Palatino Linotype" w:cs="Arial"/>
        </w:rPr>
        <w:t xml:space="preserve"> de dos mil veinticinco</w:t>
      </w:r>
      <w:r w:rsidRPr="00D32665">
        <w:rPr>
          <w:rFonts w:ascii="Palatino Linotype" w:hAnsi="Palatino Linotype" w:cs="Arial"/>
        </w:rPr>
        <w:t>, por medio del archivo electrónico “</w:t>
      </w:r>
      <w:r w:rsidR="000C60A7" w:rsidRPr="000C60A7">
        <w:rPr>
          <w:rFonts w:ascii="Palatino Linotype" w:hAnsi="Palatino Linotype" w:cs="Arial"/>
          <w:b/>
          <w:i/>
        </w:rPr>
        <w:t>Informes Justificados RR535 S 0006.pdf</w:t>
      </w:r>
      <w:r w:rsidRPr="00D32665">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en el que sustancialmente ratifica su respuesta, mismo que fue</w:t>
      </w:r>
      <w:r w:rsidRPr="00D32665">
        <w:rPr>
          <w:rFonts w:ascii="Palatino Linotype" w:hAnsi="Palatino Linotype" w:cs="Arial"/>
        </w:rPr>
        <w:t xml:space="preserve"> puesto a la vista en fecha </w:t>
      </w:r>
      <w:r w:rsidR="000C60A7">
        <w:rPr>
          <w:rFonts w:ascii="Palatino Linotype" w:hAnsi="Palatino Linotype" w:cs="Arial"/>
        </w:rPr>
        <w:t>veinticuatro</w:t>
      </w:r>
      <w:r>
        <w:rPr>
          <w:rFonts w:ascii="Palatino Linotype" w:hAnsi="Palatino Linotype" w:cs="Arial"/>
        </w:rPr>
        <w:t xml:space="preserve"> de febrero de dos mil veinticinco</w:t>
      </w:r>
      <w:r w:rsidRPr="00D32665">
        <w:rPr>
          <w:rFonts w:ascii="Palatino Linotype" w:hAnsi="Palatino Linotype" w:cs="Arial"/>
          <w:b/>
          <w:i/>
        </w:rPr>
        <w:t>.</w:t>
      </w:r>
    </w:p>
    <w:p w:rsidR="007F0C0D" w:rsidRPr="00D32665" w:rsidRDefault="007F0C0D" w:rsidP="007F0C0D">
      <w:pPr>
        <w:spacing w:line="360" w:lineRule="auto"/>
        <w:jc w:val="both"/>
        <w:rPr>
          <w:rFonts w:ascii="Palatino Linotype" w:hAnsi="Palatino Linotype"/>
        </w:rPr>
      </w:pPr>
    </w:p>
    <w:p w:rsidR="007F0C0D" w:rsidRPr="00D32665" w:rsidRDefault="007F0C0D" w:rsidP="007F0C0D">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7F0C0D" w:rsidRDefault="007F0C0D" w:rsidP="007F0C0D">
      <w:pPr>
        <w:spacing w:line="360" w:lineRule="auto"/>
        <w:jc w:val="both"/>
        <w:rPr>
          <w:rFonts w:ascii="Palatino Linotype" w:hAnsi="Palatino Linotype" w:cs="Arial"/>
          <w:b/>
          <w:sz w:val="28"/>
          <w:szCs w:val="28"/>
        </w:rPr>
      </w:pPr>
    </w:p>
    <w:p w:rsidR="007F0C0D" w:rsidRPr="002C3EC8" w:rsidRDefault="007F0C0D" w:rsidP="007F0C0D">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7F0C0D" w:rsidRDefault="007F0C0D" w:rsidP="007F0C0D">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0C60A7">
        <w:rPr>
          <w:rFonts w:ascii="Palatino Linotype" w:hAnsi="Palatino Linotype" w:cs="Arial"/>
          <w:b/>
        </w:rPr>
        <w:t>veintiocho de febrero</w:t>
      </w:r>
      <w:r>
        <w:rPr>
          <w:rFonts w:ascii="Palatino Linotype" w:hAnsi="Palatino Linotype" w:cs="Arial"/>
          <w:b/>
        </w:rPr>
        <w:t xml:space="preserve">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7F0C0D" w:rsidRDefault="007F0C0D" w:rsidP="007F0C0D">
      <w:pPr>
        <w:spacing w:line="360" w:lineRule="auto"/>
        <w:jc w:val="both"/>
        <w:rPr>
          <w:rFonts w:ascii="Palatino Linotype" w:hAnsi="Palatino Linotype" w:cs="Arial"/>
          <w:b/>
          <w:sz w:val="28"/>
          <w:szCs w:val="28"/>
        </w:rPr>
      </w:pPr>
    </w:p>
    <w:p w:rsidR="007F0C0D" w:rsidRPr="0024200F" w:rsidRDefault="007F0C0D" w:rsidP="007F0C0D">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7F0C0D" w:rsidRPr="00825F67" w:rsidRDefault="007F0C0D" w:rsidP="007F0C0D">
      <w:pPr>
        <w:spacing w:line="360" w:lineRule="auto"/>
        <w:ind w:right="49"/>
        <w:jc w:val="both"/>
        <w:rPr>
          <w:rFonts w:ascii="Palatino Linotype" w:hAnsi="Palatino Linotype"/>
          <w:szCs w:val="28"/>
        </w:rPr>
      </w:pPr>
    </w:p>
    <w:p w:rsidR="007F0C0D" w:rsidRPr="002C3EC8" w:rsidRDefault="007F0C0D" w:rsidP="007F0C0D">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7F0C0D" w:rsidRPr="007C6AB6" w:rsidRDefault="007F0C0D" w:rsidP="007F0C0D">
      <w:pPr>
        <w:tabs>
          <w:tab w:val="left" w:pos="3402"/>
        </w:tabs>
        <w:spacing w:line="360" w:lineRule="auto"/>
        <w:jc w:val="both"/>
        <w:rPr>
          <w:rFonts w:ascii="Palatino Linotype" w:hAnsi="Palatino Linotype"/>
        </w:rPr>
      </w:pPr>
      <w:r w:rsidRPr="007C6AB6">
        <w:rPr>
          <w:rFonts w:ascii="Palatino Linotype" w:hAnsi="Palatino Linotype"/>
        </w:rPr>
        <w:lastRenderedPageBreak/>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7F0C0D" w:rsidRPr="002C3EC8" w:rsidRDefault="007F0C0D" w:rsidP="007F0C0D">
      <w:pPr>
        <w:spacing w:before="240" w:line="360" w:lineRule="auto"/>
        <w:jc w:val="both"/>
        <w:rPr>
          <w:rFonts w:ascii="Palatino Linotype" w:eastAsia="Calibri" w:hAnsi="Palatino Linotype"/>
          <w:b/>
          <w:color w:val="000000" w:themeColor="text1"/>
        </w:rPr>
      </w:pPr>
    </w:p>
    <w:p w:rsidR="007F0C0D" w:rsidRPr="002C3EC8" w:rsidRDefault="007F0C0D" w:rsidP="007F0C0D">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7F0C0D" w:rsidRDefault="007F0C0D" w:rsidP="007F0C0D">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7F0C0D" w:rsidRPr="00821CCD" w:rsidRDefault="007F0C0D" w:rsidP="007F0C0D">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lastRenderedPageBreak/>
        <w:t>El Recurso de Revisión en estudio contiene los elementos normativos de validez exigidos en la Ley de Transparencia y Acceso a la Información Pública del Estado de México y Municipios, establecidos en el artículo 180 que enuncia:</w:t>
      </w:r>
    </w:p>
    <w:p w:rsidR="007F0C0D" w:rsidRPr="00821CCD" w:rsidRDefault="007F0C0D" w:rsidP="007F0C0D">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7F0C0D" w:rsidRPr="00821CCD" w:rsidRDefault="007F0C0D" w:rsidP="007F0C0D">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7F0C0D" w:rsidRPr="00821CCD" w:rsidRDefault="007F0C0D" w:rsidP="007F0C0D">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7F0C0D" w:rsidRPr="00821CCD" w:rsidRDefault="007F0C0D" w:rsidP="007F0C0D">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7F0C0D" w:rsidRPr="00821CCD" w:rsidRDefault="007F0C0D" w:rsidP="007F0C0D">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7F0C0D" w:rsidRPr="00821CCD" w:rsidRDefault="007F0C0D" w:rsidP="007F0C0D">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7F0C0D" w:rsidRPr="00821CCD" w:rsidRDefault="007F0C0D" w:rsidP="007F0C0D">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7F0C0D" w:rsidRPr="00821CCD" w:rsidRDefault="007F0C0D" w:rsidP="007F0C0D">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7F0C0D" w:rsidRPr="00821CCD" w:rsidRDefault="007F0C0D" w:rsidP="007F0C0D">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7F0C0D" w:rsidRPr="00821CCD" w:rsidRDefault="007F0C0D" w:rsidP="007F0C0D">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7F0C0D" w:rsidRPr="00821CCD" w:rsidRDefault="007F0C0D" w:rsidP="007F0C0D">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7F0C0D" w:rsidRPr="00821CCD" w:rsidRDefault="007F0C0D" w:rsidP="007F0C0D">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7F0C0D" w:rsidRPr="00821CCD" w:rsidRDefault="007F0C0D" w:rsidP="007F0C0D">
      <w:pPr>
        <w:autoSpaceDE w:val="0"/>
        <w:autoSpaceDN w:val="0"/>
        <w:adjustRightInd w:val="0"/>
        <w:spacing w:before="240" w:line="360" w:lineRule="auto"/>
        <w:jc w:val="both"/>
        <w:rPr>
          <w:rFonts w:ascii="Palatino Linotype" w:hAnsi="Palatino Linotype"/>
        </w:rPr>
      </w:pPr>
    </w:p>
    <w:p w:rsidR="007F0C0D" w:rsidRPr="00821CCD" w:rsidRDefault="007F0C0D" w:rsidP="007F0C0D">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7F0C0D" w:rsidRPr="00821CCD" w:rsidTr="000C60A7">
        <w:trPr>
          <w:trHeight w:val="1360"/>
        </w:trPr>
        <w:tc>
          <w:tcPr>
            <w:tcW w:w="7982" w:type="dxa"/>
          </w:tcPr>
          <w:p w:rsidR="007F0C0D" w:rsidRPr="00821CCD" w:rsidRDefault="007F0C0D" w:rsidP="000C60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7F0C0D" w:rsidRPr="00821CCD" w:rsidRDefault="007F0C0D" w:rsidP="007F0C0D">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7F0C0D" w:rsidRPr="00821CCD" w:rsidTr="000C60A7">
        <w:trPr>
          <w:jc w:val="center"/>
        </w:trPr>
        <w:tc>
          <w:tcPr>
            <w:tcW w:w="8075" w:type="dxa"/>
          </w:tcPr>
          <w:p w:rsidR="007F0C0D" w:rsidRPr="00821CCD" w:rsidRDefault="007F0C0D" w:rsidP="000C60A7">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7F0C0D" w:rsidRPr="00821CCD" w:rsidRDefault="007F0C0D" w:rsidP="000C60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7F0C0D" w:rsidRPr="00821CCD" w:rsidRDefault="007F0C0D" w:rsidP="000C60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7F0C0D" w:rsidRPr="00821CCD" w:rsidRDefault="007F0C0D" w:rsidP="000C60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7F0C0D" w:rsidRPr="00821CCD" w:rsidRDefault="007F0C0D" w:rsidP="000C60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7F0C0D" w:rsidRPr="00821CCD" w:rsidRDefault="007F0C0D" w:rsidP="000C60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7F0C0D" w:rsidRPr="00821CCD" w:rsidRDefault="007F0C0D" w:rsidP="000C60A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7F0C0D" w:rsidRPr="00821CCD" w:rsidRDefault="007F0C0D" w:rsidP="000C60A7">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7F0C0D" w:rsidRPr="00821CCD" w:rsidRDefault="007F0C0D" w:rsidP="000C60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7F0C0D" w:rsidRPr="00821CCD" w:rsidRDefault="007F0C0D" w:rsidP="000C60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7F0C0D" w:rsidRPr="00821CCD" w:rsidRDefault="007F0C0D" w:rsidP="000C60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Toda persona en el Estado de México, tiene derecho al libre acceso a la información plural y oportuna, así como a buscar recibir y difundir información e ideas de toda índole por cualquier medio de expresión.</w:t>
            </w:r>
          </w:p>
          <w:p w:rsidR="007F0C0D" w:rsidRPr="00821CCD" w:rsidRDefault="007F0C0D" w:rsidP="000C60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7F0C0D" w:rsidRPr="00821CCD" w:rsidRDefault="007F0C0D" w:rsidP="000C60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7F0C0D" w:rsidRPr="00821CCD" w:rsidRDefault="007F0C0D" w:rsidP="000C60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7F0C0D" w:rsidRPr="00821CCD" w:rsidRDefault="007F0C0D" w:rsidP="000C60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7F0C0D" w:rsidRPr="00821CCD" w:rsidRDefault="007F0C0D" w:rsidP="000C60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7F0C0D" w:rsidRPr="00821CCD" w:rsidRDefault="007F0C0D" w:rsidP="000C60A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7F0C0D" w:rsidRPr="00821CCD" w:rsidRDefault="007F0C0D" w:rsidP="000C60A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7F0C0D" w:rsidRPr="00821CCD" w:rsidRDefault="007F0C0D" w:rsidP="007F0C0D">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7F0C0D" w:rsidRPr="00821CCD" w:rsidRDefault="007F0C0D" w:rsidP="007F0C0D">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rsidR="007F0C0D" w:rsidRPr="00FF46DA" w:rsidRDefault="007F0C0D" w:rsidP="007F0C0D">
      <w:pPr>
        <w:pStyle w:val="Prrafodelista"/>
        <w:autoSpaceDE w:val="0"/>
        <w:autoSpaceDN w:val="0"/>
        <w:adjustRightInd w:val="0"/>
        <w:spacing w:before="240" w:after="160" w:line="360" w:lineRule="auto"/>
        <w:ind w:left="0"/>
        <w:jc w:val="both"/>
        <w:rPr>
          <w:rFonts w:ascii="Palatino Linotype" w:hAnsi="Palatino Linotype" w:cs="Arial"/>
        </w:rPr>
      </w:pPr>
    </w:p>
    <w:p w:rsidR="007F0C0D" w:rsidRPr="002C3EC8" w:rsidRDefault="007F0C0D" w:rsidP="007F0C0D">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7F0C0D" w:rsidRPr="002C3EC8" w:rsidRDefault="007F0C0D" w:rsidP="007F0C0D">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procedibilidad, los cuales deben estudiarse </w:t>
      </w:r>
      <w:r w:rsidRPr="002C3EC8">
        <w:rPr>
          <w:rFonts w:ascii="Palatino Linotype" w:hAnsi="Palatino Linotype" w:cs="Arial"/>
        </w:rPr>
        <w:lastRenderedPageBreak/>
        <w:t>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7F0C0D" w:rsidRPr="002C3EC8" w:rsidRDefault="007F0C0D" w:rsidP="007F0C0D">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7F0C0D" w:rsidRDefault="007F0C0D" w:rsidP="007F0C0D">
      <w:pPr>
        <w:tabs>
          <w:tab w:val="left" w:pos="709"/>
        </w:tabs>
        <w:spacing w:before="240" w:line="360" w:lineRule="auto"/>
        <w:ind w:right="51"/>
        <w:jc w:val="both"/>
        <w:rPr>
          <w:rFonts w:ascii="Palatino Linotype" w:hAnsi="Palatino Linotype"/>
          <w:b/>
          <w:sz w:val="28"/>
          <w:szCs w:val="28"/>
        </w:rPr>
      </w:pPr>
    </w:p>
    <w:p w:rsidR="007F0C0D" w:rsidRPr="002C3EC8" w:rsidRDefault="007F0C0D" w:rsidP="007F0C0D">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7F0C0D" w:rsidRPr="007379EE" w:rsidRDefault="007F0C0D" w:rsidP="007F0C0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7F0C0D" w:rsidRDefault="007F0C0D" w:rsidP="007F0C0D">
      <w:pPr>
        <w:autoSpaceDE w:val="0"/>
        <w:autoSpaceDN w:val="0"/>
        <w:adjustRightInd w:val="0"/>
        <w:ind w:right="567"/>
        <w:rPr>
          <w:rFonts w:ascii="Palatino Linotype" w:eastAsia="Calibri" w:hAnsi="Palatino Linotype" w:cs="Arial"/>
        </w:rPr>
      </w:pPr>
    </w:p>
    <w:p w:rsidR="007F0C0D" w:rsidRDefault="007F0C0D" w:rsidP="007F0C0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7F0C0D" w:rsidRDefault="007F0C0D" w:rsidP="007F0C0D">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rsidR="007F0C0D" w:rsidRPr="000C60A7" w:rsidRDefault="007F0C0D" w:rsidP="007F0C0D">
      <w:pPr>
        <w:pStyle w:val="Citas"/>
        <w:numPr>
          <w:ilvl w:val="0"/>
          <w:numId w:val="5"/>
        </w:numPr>
        <w:spacing w:before="0" w:after="0" w:line="240" w:lineRule="auto"/>
        <w:rPr>
          <w:b/>
        </w:rPr>
      </w:pPr>
      <w:r w:rsidRPr="000C60A7">
        <w:rPr>
          <w:b/>
        </w:rPr>
        <w:t xml:space="preserve">La negativa a la información solicitada; </w:t>
      </w:r>
    </w:p>
    <w:p w:rsidR="007F0C0D" w:rsidRDefault="007F0C0D" w:rsidP="007F0C0D">
      <w:pPr>
        <w:pStyle w:val="Citas"/>
        <w:numPr>
          <w:ilvl w:val="0"/>
          <w:numId w:val="5"/>
        </w:numPr>
        <w:spacing w:before="0" w:after="0" w:line="240" w:lineRule="auto"/>
      </w:pPr>
      <w:r w:rsidRPr="002E7A81">
        <w:t xml:space="preserve">La clasificación de la información; </w:t>
      </w:r>
    </w:p>
    <w:p w:rsidR="007F0C0D" w:rsidRDefault="007F0C0D" w:rsidP="007F0C0D">
      <w:pPr>
        <w:pStyle w:val="Citas"/>
        <w:numPr>
          <w:ilvl w:val="0"/>
          <w:numId w:val="5"/>
        </w:numPr>
        <w:spacing w:before="0" w:after="0" w:line="240" w:lineRule="auto"/>
      </w:pPr>
      <w:r w:rsidRPr="002E7A81">
        <w:t xml:space="preserve">La declaración de inexistencia de la información; </w:t>
      </w:r>
    </w:p>
    <w:p w:rsidR="007F0C0D" w:rsidRDefault="007F0C0D" w:rsidP="007F0C0D">
      <w:pPr>
        <w:pStyle w:val="Citas"/>
        <w:numPr>
          <w:ilvl w:val="0"/>
          <w:numId w:val="5"/>
        </w:numPr>
        <w:spacing w:before="0" w:after="0" w:line="240" w:lineRule="auto"/>
      </w:pPr>
      <w:r w:rsidRPr="002E7A81">
        <w:t xml:space="preserve">La declaración de incompetencia por el sujeto obligado; </w:t>
      </w:r>
    </w:p>
    <w:p w:rsidR="007F0C0D" w:rsidRPr="000C60A7" w:rsidRDefault="007F0C0D" w:rsidP="007F0C0D">
      <w:pPr>
        <w:pStyle w:val="Citas"/>
        <w:numPr>
          <w:ilvl w:val="0"/>
          <w:numId w:val="5"/>
        </w:numPr>
        <w:spacing w:before="0" w:after="0" w:line="240" w:lineRule="auto"/>
      </w:pPr>
      <w:r w:rsidRPr="000C60A7">
        <w:t xml:space="preserve">La entrega de información incompleta; </w:t>
      </w:r>
    </w:p>
    <w:p w:rsidR="007F0C0D" w:rsidRDefault="007F0C0D" w:rsidP="007F0C0D">
      <w:pPr>
        <w:pStyle w:val="Citas"/>
        <w:numPr>
          <w:ilvl w:val="0"/>
          <w:numId w:val="5"/>
        </w:numPr>
        <w:spacing w:before="0" w:after="0" w:line="240" w:lineRule="auto"/>
      </w:pPr>
      <w:r w:rsidRPr="002E7A81">
        <w:t xml:space="preserve">La entrega de información que no corresponda con lo solicitado; </w:t>
      </w:r>
    </w:p>
    <w:p w:rsidR="007F0C0D" w:rsidRDefault="007F0C0D" w:rsidP="007F0C0D">
      <w:pPr>
        <w:pStyle w:val="Citas"/>
        <w:numPr>
          <w:ilvl w:val="0"/>
          <w:numId w:val="5"/>
        </w:numPr>
        <w:spacing w:before="0" w:after="0" w:line="240" w:lineRule="auto"/>
      </w:pPr>
      <w:r w:rsidRPr="002E7A81">
        <w:t xml:space="preserve">La falta de respuesta a una solicitud de acceso a la información; </w:t>
      </w:r>
    </w:p>
    <w:p w:rsidR="007F0C0D" w:rsidRDefault="007F0C0D" w:rsidP="007F0C0D">
      <w:pPr>
        <w:pStyle w:val="Citas"/>
        <w:numPr>
          <w:ilvl w:val="0"/>
          <w:numId w:val="5"/>
        </w:numPr>
        <w:spacing w:before="0" w:after="0" w:line="240" w:lineRule="auto"/>
      </w:pPr>
      <w:r w:rsidRPr="002E7A81">
        <w:t xml:space="preserve">La notificación, entrega o puesta a disposición de información en una modalidad o formato distinto al solicitado; </w:t>
      </w:r>
    </w:p>
    <w:p w:rsidR="007F0C0D" w:rsidRDefault="007F0C0D" w:rsidP="007F0C0D">
      <w:pPr>
        <w:pStyle w:val="Citas"/>
        <w:numPr>
          <w:ilvl w:val="0"/>
          <w:numId w:val="5"/>
        </w:numPr>
        <w:spacing w:before="0" w:after="0" w:line="240" w:lineRule="auto"/>
      </w:pPr>
      <w:r w:rsidRPr="002E7A81">
        <w:t xml:space="preserve">La entrega o puesta a disposición de información en un formato incomprensible y/o no accesible para el solicitante; </w:t>
      </w:r>
    </w:p>
    <w:p w:rsidR="007F0C0D" w:rsidRDefault="007F0C0D" w:rsidP="007F0C0D">
      <w:pPr>
        <w:pStyle w:val="Citas"/>
        <w:numPr>
          <w:ilvl w:val="0"/>
          <w:numId w:val="5"/>
        </w:numPr>
        <w:spacing w:before="0" w:after="0" w:line="240" w:lineRule="auto"/>
      </w:pPr>
      <w:r w:rsidRPr="002E7A81">
        <w:t xml:space="preserve">Los costos o tiempos de entrega de la información; </w:t>
      </w:r>
    </w:p>
    <w:p w:rsidR="007F0C0D" w:rsidRDefault="007F0C0D" w:rsidP="007F0C0D">
      <w:pPr>
        <w:pStyle w:val="Citas"/>
        <w:numPr>
          <w:ilvl w:val="0"/>
          <w:numId w:val="5"/>
        </w:numPr>
        <w:spacing w:before="0" w:after="0" w:line="240" w:lineRule="auto"/>
      </w:pPr>
      <w:r w:rsidRPr="002E7A81">
        <w:t xml:space="preserve">La falta de trámite a una solicitud; </w:t>
      </w:r>
    </w:p>
    <w:p w:rsidR="007F0C0D" w:rsidRDefault="007F0C0D" w:rsidP="007F0C0D">
      <w:pPr>
        <w:pStyle w:val="Citas"/>
        <w:numPr>
          <w:ilvl w:val="0"/>
          <w:numId w:val="5"/>
        </w:numPr>
        <w:spacing w:before="0" w:after="0" w:line="240" w:lineRule="auto"/>
      </w:pPr>
      <w:r w:rsidRPr="002E7A81">
        <w:t xml:space="preserve">La negativa a permitir la consulta directa de la información; </w:t>
      </w:r>
    </w:p>
    <w:p w:rsidR="007F0C0D" w:rsidRDefault="007F0C0D" w:rsidP="007F0C0D">
      <w:pPr>
        <w:pStyle w:val="Citas"/>
        <w:numPr>
          <w:ilvl w:val="0"/>
          <w:numId w:val="5"/>
        </w:numPr>
        <w:spacing w:before="0" w:after="0" w:line="240" w:lineRule="auto"/>
      </w:pPr>
      <w:r w:rsidRPr="002E7A81">
        <w:lastRenderedPageBreak/>
        <w:t xml:space="preserve">La falta, deficiencia o insuficiencia de la fundamentación y/o motivación en la respuesta; y </w:t>
      </w:r>
    </w:p>
    <w:p w:rsidR="007F0C0D" w:rsidRDefault="007F0C0D" w:rsidP="007F0C0D">
      <w:pPr>
        <w:pStyle w:val="Citas"/>
        <w:numPr>
          <w:ilvl w:val="0"/>
          <w:numId w:val="5"/>
        </w:numPr>
        <w:spacing w:before="0" w:after="0" w:line="240" w:lineRule="auto"/>
      </w:pPr>
      <w:r w:rsidRPr="002E7A81">
        <w:t xml:space="preserve">La orientación a un trámite específico. </w:t>
      </w:r>
    </w:p>
    <w:p w:rsidR="007F0C0D" w:rsidRPr="007379EE" w:rsidRDefault="007F0C0D" w:rsidP="007F0C0D">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7F0C0D" w:rsidRDefault="007F0C0D" w:rsidP="007F0C0D">
      <w:pPr>
        <w:autoSpaceDE w:val="0"/>
        <w:autoSpaceDN w:val="0"/>
        <w:adjustRightInd w:val="0"/>
        <w:ind w:right="567"/>
        <w:rPr>
          <w:rFonts w:ascii="Palatino Linotype" w:eastAsia="Calibri" w:hAnsi="Palatino Linotype" w:cs="Arial"/>
        </w:rPr>
      </w:pPr>
    </w:p>
    <w:p w:rsidR="007F0C0D" w:rsidRDefault="007F0C0D" w:rsidP="007F0C0D">
      <w:pPr>
        <w:autoSpaceDE w:val="0"/>
        <w:autoSpaceDN w:val="0"/>
        <w:adjustRightInd w:val="0"/>
        <w:ind w:right="567"/>
        <w:rPr>
          <w:rFonts w:ascii="Palatino Linotype" w:eastAsia="Calibri" w:hAnsi="Palatino Linotype" w:cs="Arial"/>
        </w:rPr>
      </w:pPr>
    </w:p>
    <w:p w:rsidR="007F0C0D" w:rsidRPr="00CA5FE5" w:rsidRDefault="007F0C0D" w:rsidP="007F0C0D">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rsidR="000C60A7" w:rsidRDefault="000C60A7" w:rsidP="000C60A7">
      <w:pPr>
        <w:pStyle w:val="Prrafodelista"/>
        <w:numPr>
          <w:ilvl w:val="0"/>
          <w:numId w:val="3"/>
        </w:numPr>
        <w:tabs>
          <w:tab w:val="left" w:pos="1828"/>
        </w:tabs>
        <w:spacing w:line="360" w:lineRule="auto"/>
        <w:ind w:left="426"/>
        <w:jc w:val="both"/>
        <w:rPr>
          <w:rFonts w:ascii="Palatino Linotype" w:hAnsi="Palatino Linotype" w:cs="Tahoma"/>
          <w:bCs/>
        </w:rPr>
      </w:pPr>
      <w:r w:rsidRPr="000C60A7">
        <w:rPr>
          <w:rFonts w:ascii="Palatino Linotype" w:hAnsi="Palatino Linotype" w:cs="Tahoma"/>
          <w:bCs/>
        </w:rPr>
        <w:t>Cuanto costo el</w:t>
      </w:r>
      <w:r>
        <w:rPr>
          <w:rFonts w:ascii="Palatino Linotype" w:hAnsi="Palatino Linotype" w:cs="Tahoma"/>
          <w:bCs/>
        </w:rPr>
        <w:t xml:space="preserve"> evento de día de reyes.</w:t>
      </w:r>
    </w:p>
    <w:p w:rsidR="000C60A7" w:rsidRDefault="000C60A7" w:rsidP="000C60A7">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C</w:t>
      </w:r>
      <w:r w:rsidRPr="000C60A7">
        <w:rPr>
          <w:rFonts w:ascii="Palatino Linotype" w:hAnsi="Palatino Linotype" w:cs="Tahoma"/>
          <w:bCs/>
        </w:rPr>
        <w:t>ontratos realizados para el evento de luz</w:t>
      </w:r>
      <w:r>
        <w:rPr>
          <w:rFonts w:ascii="Palatino Linotype" w:hAnsi="Palatino Linotype" w:cs="Tahoma"/>
          <w:bCs/>
        </w:rPr>
        <w:t>,</w:t>
      </w:r>
      <w:r w:rsidRPr="000C60A7">
        <w:rPr>
          <w:rFonts w:ascii="Palatino Linotype" w:hAnsi="Palatino Linotype" w:cs="Tahoma"/>
          <w:bCs/>
        </w:rPr>
        <w:t xml:space="preserve"> sonido, artistas, carpa, mobiliario, juguetes</w:t>
      </w:r>
      <w:r>
        <w:rPr>
          <w:rFonts w:ascii="Palatino Linotype" w:hAnsi="Palatino Linotype" w:cs="Tahoma"/>
          <w:bCs/>
        </w:rPr>
        <w:t>,</w:t>
      </w:r>
      <w:r w:rsidRPr="000C60A7">
        <w:rPr>
          <w:rFonts w:ascii="Palatino Linotype" w:hAnsi="Palatino Linotype" w:cs="Tahoma"/>
          <w:bCs/>
        </w:rPr>
        <w:t xml:space="preserve"> dulces, lunch</w:t>
      </w:r>
      <w:r>
        <w:rPr>
          <w:rFonts w:ascii="Palatino Linotype" w:hAnsi="Palatino Linotype" w:cs="Tahoma"/>
          <w:bCs/>
        </w:rPr>
        <w:t>.</w:t>
      </w:r>
    </w:p>
    <w:p w:rsidR="000C60A7" w:rsidRDefault="000C60A7" w:rsidP="000C60A7">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C</w:t>
      </w:r>
      <w:r w:rsidRPr="000C60A7">
        <w:rPr>
          <w:rFonts w:ascii="Palatino Linotype" w:hAnsi="Palatino Linotype" w:cs="Tahoma"/>
          <w:bCs/>
        </w:rPr>
        <w:t>ontratos fi</w:t>
      </w:r>
      <w:r>
        <w:rPr>
          <w:rFonts w:ascii="Palatino Linotype" w:hAnsi="Palatino Linotype" w:cs="Tahoma"/>
          <w:bCs/>
        </w:rPr>
        <w:t>rmados para la adquisición</w:t>
      </w:r>
    </w:p>
    <w:p w:rsidR="000C60A7" w:rsidRDefault="000C60A7" w:rsidP="000C60A7">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P</w:t>
      </w:r>
      <w:r w:rsidRPr="000C60A7">
        <w:rPr>
          <w:rFonts w:ascii="Palatino Linotype" w:hAnsi="Palatino Linotype" w:cs="Tahoma"/>
          <w:bCs/>
        </w:rPr>
        <w:t>resupuesto autorizado y ejercido</w:t>
      </w:r>
      <w:r>
        <w:rPr>
          <w:rFonts w:ascii="Palatino Linotype" w:hAnsi="Palatino Linotype" w:cs="Tahoma"/>
          <w:bCs/>
        </w:rPr>
        <w:t>.</w:t>
      </w:r>
    </w:p>
    <w:p w:rsidR="000C60A7" w:rsidRDefault="000C60A7" w:rsidP="000C60A7">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P</w:t>
      </w:r>
      <w:r w:rsidRPr="000C60A7">
        <w:rPr>
          <w:rFonts w:ascii="Palatino Linotype" w:hAnsi="Palatino Linotype" w:cs="Tahoma"/>
          <w:bCs/>
        </w:rPr>
        <w:t>artida</w:t>
      </w:r>
      <w:r>
        <w:rPr>
          <w:rFonts w:ascii="Palatino Linotype" w:hAnsi="Palatino Linotype" w:cs="Tahoma"/>
          <w:bCs/>
        </w:rPr>
        <w:t xml:space="preserve"> de la que provino el dinero</w:t>
      </w:r>
      <w:r w:rsidRPr="000C60A7">
        <w:rPr>
          <w:rFonts w:ascii="Palatino Linotype" w:hAnsi="Palatino Linotype" w:cs="Tahoma"/>
          <w:bCs/>
        </w:rPr>
        <w:t xml:space="preserve"> </w:t>
      </w:r>
    </w:p>
    <w:p w:rsidR="00262823" w:rsidRDefault="00262823" w:rsidP="000C60A7">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Facturas pagadas</w:t>
      </w:r>
    </w:p>
    <w:p w:rsidR="007F0C0D" w:rsidRPr="000C60A7" w:rsidRDefault="000C60A7" w:rsidP="000C60A7">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C</w:t>
      </w:r>
      <w:r w:rsidRPr="000C60A7">
        <w:rPr>
          <w:rFonts w:ascii="Palatino Linotype" w:hAnsi="Palatino Linotype" w:cs="Tahoma"/>
          <w:bCs/>
        </w:rPr>
        <w:t>ontratos con proveedores</w:t>
      </w:r>
      <w:r w:rsidR="007F0C0D" w:rsidRPr="000C60A7">
        <w:rPr>
          <w:rFonts w:ascii="Palatino Linotype" w:hAnsi="Palatino Linotype" w:cs="Tahoma"/>
          <w:bCs/>
        </w:rPr>
        <w:t>.</w:t>
      </w:r>
    </w:p>
    <w:p w:rsidR="007F0C0D" w:rsidRPr="001106D5" w:rsidRDefault="007F0C0D" w:rsidP="007F0C0D">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8B3A75">
        <w:rPr>
          <w:rFonts w:ascii="Palatino Linotype" w:hAnsi="Palatino Linotype" w:cs="Arial"/>
          <w:b/>
        </w:rPr>
        <w:t>00006/DIFTOLUCA/IP/2025</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rsidR="007F0C0D" w:rsidRPr="00E2427C" w:rsidRDefault="000C60A7" w:rsidP="000C60A7">
      <w:pPr>
        <w:pStyle w:val="Sinespaciado"/>
        <w:numPr>
          <w:ilvl w:val="0"/>
          <w:numId w:val="1"/>
        </w:numPr>
        <w:spacing w:before="240" w:line="360" w:lineRule="auto"/>
        <w:jc w:val="both"/>
        <w:rPr>
          <w:rFonts w:ascii="Palatino Linotype" w:hAnsi="Palatino Linotype" w:cs="Arial"/>
          <w:b/>
          <w:i/>
          <w:sz w:val="24"/>
        </w:rPr>
      </w:pPr>
      <w:r w:rsidRPr="000C60A7">
        <w:rPr>
          <w:rFonts w:ascii="Palatino Linotype" w:hAnsi="Palatino Linotype" w:cs="Arial"/>
          <w:b/>
          <w:i/>
          <w:sz w:val="24"/>
        </w:rPr>
        <w:t>RESPUESTA UIPPE 006-2025.pdf</w:t>
      </w:r>
      <w:r w:rsidR="007F0C0D" w:rsidRPr="00E2427C">
        <w:rPr>
          <w:rFonts w:ascii="Palatino Linotype" w:hAnsi="Palatino Linotype" w:cs="Arial"/>
          <w:b/>
          <w:i/>
          <w:sz w:val="24"/>
        </w:rPr>
        <w:t xml:space="preserve">: </w:t>
      </w:r>
      <w:r w:rsidR="007F0C0D" w:rsidRPr="00E2427C">
        <w:rPr>
          <w:rFonts w:ascii="Palatino Linotype" w:hAnsi="Palatino Linotype" w:cs="Arial"/>
          <w:sz w:val="24"/>
        </w:rPr>
        <w:t xml:space="preserve">constante de </w:t>
      </w:r>
      <w:r w:rsidR="007F0C0D">
        <w:rPr>
          <w:rFonts w:ascii="Palatino Linotype" w:hAnsi="Palatino Linotype" w:cs="Arial"/>
          <w:sz w:val="24"/>
        </w:rPr>
        <w:t>dos fojas</w:t>
      </w:r>
      <w:r w:rsidR="007F0C0D" w:rsidRPr="00E2427C">
        <w:rPr>
          <w:rFonts w:ascii="Palatino Linotype" w:hAnsi="Palatino Linotype" w:cs="Arial"/>
          <w:sz w:val="24"/>
        </w:rPr>
        <w:t xml:space="preserve">, en formato pdf, contiene </w:t>
      </w:r>
      <w:r>
        <w:rPr>
          <w:rFonts w:ascii="Palatino Linotype" w:hAnsi="Palatino Linotype" w:cs="Arial"/>
          <w:sz w:val="24"/>
        </w:rPr>
        <w:t xml:space="preserve">el oficio número 200B10500/062/2025, de fecha veintidós de enero de dos mil veinticinco, </w:t>
      </w:r>
      <w:r w:rsidR="007D6649">
        <w:rPr>
          <w:rFonts w:ascii="Palatino Linotype" w:hAnsi="Palatino Linotype" w:cs="Arial"/>
          <w:sz w:val="24"/>
        </w:rPr>
        <w:t xml:space="preserve">firmado por el Director de Administración y Tesorería, </w:t>
      </w:r>
      <w:r>
        <w:rPr>
          <w:rFonts w:ascii="Palatino Linotype" w:hAnsi="Palatino Linotype" w:cs="Arial"/>
          <w:sz w:val="24"/>
        </w:rPr>
        <w:t>en el que refiere lo siguiente</w:t>
      </w:r>
      <w:r w:rsidR="007F0C0D" w:rsidRPr="00E2427C">
        <w:rPr>
          <w:rFonts w:ascii="Palatino Linotype" w:hAnsi="Palatino Linotype" w:cs="Arial"/>
          <w:sz w:val="24"/>
        </w:rPr>
        <w:t>:</w:t>
      </w:r>
    </w:p>
    <w:p w:rsidR="007F0C0D" w:rsidRDefault="007F0C0D" w:rsidP="000C60A7">
      <w:pPr>
        <w:pStyle w:val="INFOEM"/>
      </w:pPr>
      <w:r>
        <w:lastRenderedPageBreak/>
        <w:t>“…</w:t>
      </w:r>
      <w:r w:rsidR="000C60A7">
        <w:t>En términos de lo dispuesto por l</w:t>
      </w:r>
      <w:r w:rsidR="005772F5">
        <w:t>os artículos 4, 6, 23 fracción IV</w:t>
      </w:r>
      <w:r w:rsidR="000C60A7">
        <w:t>,</w:t>
      </w:r>
      <w:r w:rsidR="005772F5">
        <w:t xml:space="preserve"> </w:t>
      </w:r>
      <w:r w:rsidR="000C60A7">
        <w:t xml:space="preserve">24 fracciones </w:t>
      </w:r>
      <w:r w:rsidR="005772F5">
        <w:t>VL, VIR, XL, XLV</w:t>
      </w:r>
      <w:r w:rsidR="000C60A7">
        <w:t xml:space="preserve">, 53 fracción , </w:t>
      </w:r>
      <w:r w:rsidR="005772F5">
        <w:t>LV, V VL, y 16</w:t>
      </w:r>
      <w:r w:rsidR="000C60A7">
        <w:t xml:space="preserve">3 de la Ley de Transparencia y Acceso a la </w:t>
      </w:r>
      <w:r w:rsidR="005772F5">
        <w:t>Información</w:t>
      </w:r>
      <w:r w:rsidR="000C60A7">
        <w:t xml:space="preserve"> Pública del Estado de México y Municipios, </w:t>
      </w:r>
      <w:r w:rsidR="000C60A7" w:rsidRPr="007D6649">
        <w:rPr>
          <w:b/>
          <w:u w:val="single"/>
        </w:rPr>
        <w:t xml:space="preserve">le comunico que la información objeto de la solicitud, se encuentra publicada en la fracción </w:t>
      </w:r>
      <w:r w:rsidR="005772F5" w:rsidRPr="007D6649">
        <w:rPr>
          <w:b/>
          <w:u w:val="single"/>
        </w:rPr>
        <w:t xml:space="preserve">IXXTX </w:t>
      </w:r>
      <w:r w:rsidR="000C60A7" w:rsidRPr="007D6649">
        <w:rPr>
          <w:b/>
          <w:u w:val="single"/>
        </w:rPr>
        <w:t xml:space="preserve">denominada "Resultados de procedimientos de adjudicación directa, licitación pública e invitación </w:t>
      </w:r>
      <w:r w:rsidR="005772F5" w:rsidRPr="007D6649">
        <w:rPr>
          <w:b/>
          <w:u w:val="single"/>
        </w:rPr>
        <w:t>restringida</w:t>
      </w:r>
      <w:r w:rsidR="000C60A7" w:rsidRPr="007D6649">
        <w:rPr>
          <w:b/>
          <w:u w:val="single"/>
        </w:rPr>
        <w:t xml:space="preserve">" así como en la </w:t>
      </w:r>
      <w:r w:rsidR="005772F5" w:rsidRPr="007D6649">
        <w:rPr>
          <w:b/>
          <w:u w:val="single"/>
        </w:rPr>
        <w:t>f</w:t>
      </w:r>
      <w:r w:rsidR="000C60A7" w:rsidRPr="007D6649">
        <w:rPr>
          <w:b/>
          <w:u w:val="single"/>
        </w:rPr>
        <w:t xml:space="preserve">racción </w:t>
      </w:r>
      <w:r w:rsidR="005772F5" w:rsidRPr="007D6649">
        <w:rPr>
          <w:b/>
          <w:u w:val="single"/>
        </w:rPr>
        <w:t xml:space="preserve">XXXVL </w:t>
      </w:r>
      <w:r w:rsidR="000C60A7" w:rsidRPr="007D6649">
        <w:rPr>
          <w:b/>
          <w:u w:val="single"/>
        </w:rPr>
        <w:t>denominada</w:t>
      </w:r>
      <w:r w:rsidR="005772F5" w:rsidRPr="007D6649">
        <w:rPr>
          <w:b/>
          <w:u w:val="single"/>
        </w:rPr>
        <w:t xml:space="preserve"> </w:t>
      </w:r>
      <w:r w:rsidR="000C60A7" w:rsidRPr="007D6649">
        <w:rPr>
          <w:b/>
          <w:u w:val="single"/>
        </w:rPr>
        <w:t xml:space="preserve">"Resultados de procedimientos de licitación pública e invitación a cuando menos tres personas realizados" </w:t>
      </w:r>
      <w:r w:rsidR="000C60A7">
        <w:t xml:space="preserve">del sistema de </w:t>
      </w:r>
      <w:r w:rsidR="005772F5">
        <w:t>Información</w:t>
      </w:r>
      <w:r w:rsidR="000C60A7">
        <w:t xml:space="preserve"> pública de oficio Mexiquense (</w:t>
      </w:r>
      <w:r w:rsidR="005772F5">
        <w:t>IPOMEX)</w:t>
      </w:r>
      <w:r w:rsidR="000C60A7">
        <w:t xml:space="preserve"> de este sujeto obligado; la cual puede ser consultada en la siguiente dirección electrónica</w:t>
      </w:r>
      <w:r w:rsidR="00994052">
        <w:t>.</w:t>
      </w:r>
    </w:p>
    <w:p w:rsidR="005772F5" w:rsidRDefault="005772F5" w:rsidP="000C60A7">
      <w:pPr>
        <w:pStyle w:val="INFOEM"/>
      </w:pPr>
      <w:r>
        <w:rPr>
          <w:noProof/>
          <w:lang w:eastAsia="es-MX"/>
        </w:rPr>
        <w:drawing>
          <wp:inline distT="0" distB="0" distL="0" distR="0">
            <wp:extent cx="4591050" cy="4407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D0E202.tmp"/>
                    <pic:cNvPicPr/>
                  </pic:nvPicPr>
                  <pic:blipFill>
                    <a:blip r:embed="rId8">
                      <a:extLst>
                        <a:ext uri="{28A0092B-C50C-407E-A947-70E740481C1C}">
                          <a14:useLocalDpi xmlns:a14="http://schemas.microsoft.com/office/drawing/2010/main" val="0"/>
                        </a:ext>
                      </a:extLst>
                    </a:blip>
                    <a:stretch>
                      <a:fillRect/>
                    </a:stretch>
                  </pic:blipFill>
                  <pic:spPr>
                    <a:xfrm>
                      <a:off x="0" y="0"/>
                      <a:ext cx="4644046" cy="445829"/>
                    </a:xfrm>
                    <a:prstGeom prst="rect">
                      <a:avLst/>
                    </a:prstGeom>
                  </pic:spPr>
                </pic:pic>
              </a:graphicData>
            </a:graphic>
          </wp:inline>
        </w:drawing>
      </w:r>
    </w:p>
    <w:p w:rsidR="00994052" w:rsidRDefault="00994052" w:rsidP="00994052">
      <w:pPr>
        <w:pStyle w:val="INFOEM"/>
      </w:pPr>
      <w:r>
        <w:t>.…” (Sic)</w:t>
      </w:r>
    </w:p>
    <w:p w:rsidR="00994052" w:rsidRDefault="00994052" w:rsidP="000C60A7">
      <w:pPr>
        <w:pStyle w:val="INFOEM"/>
      </w:pPr>
    </w:p>
    <w:p w:rsidR="007F0C0D" w:rsidRPr="009D673D" w:rsidRDefault="007F0C0D" w:rsidP="007F0C0D">
      <w:pPr>
        <w:spacing w:line="360" w:lineRule="auto"/>
        <w:jc w:val="both"/>
        <w:rPr>
          <w:rFonts w:ascii="Palatino Linotype" w:eastAsia="Calibri" w:hAnsi="Palatino Linotype" w:cs="Tahoma"/>
          <w:bCs/>
          <w:szCs w:val="22"/>
          <w:lang w:val="es-ES_tradnl" w:eastAsia="es-MX"/>
        </w:rPr>
      </w:pPr>
      <w:r>
        <w:rPr>
          <w:rFonts w:ascii="Palatino Linotype" w:eastAsia="Calibri" w:hAnsi="Palatino Linotype" w:cs="Tahoma"/>
          <w:bCs/>
          <w:szCs w:val="22"/>
          <w:lang w:val="es-ES_tradnl" w:eastAsia="es-MX"/>
        </w:rPr>
        <w:t>En primer término</w:t>
      </w:r>
      <w:r w:rsidRPr="009D673D">
        <w:rPr>
          <w:rFonts w:ascii="Palatino Linotype" w:eastAsia="Calibri" w:hAnsi="Palatino Linotype" w:cs="Tahoma"/>
          <w:bCs/>
          <w:szCs w:val="22"/>
          <w:lang w:val="es-ES_tradnl" w:eastAsia="es-MX"/>
        </w:rPr>
        <w:t xml:space="preserve">, se debe precisar que dicho medio electrónico se encuentra en un formato cerrado, es decir que, para </w:t>
      </w:r>
      <w:r w:rsidRPr="009D673D">
        <w:rPr>
          <w:rFonts w:ascii="Palatino Linotype" w:eastAsia="Calibri" w:hAnsi="Palatino Linotype" w:cs="Tahoma"/>
          <w:b/>
          <w:bCs/>
          <w:szCs w:val="22"/>
          <w:lang w:val="es-ES_tradnl" w:eastAsia="es-MX"/>
        </w:rPr>
        <w:t xml:space="preserve">LA PARTE RECURRENTE </w:t>
      </w:r>
      <w:r w:rsidRPr="009D673D">
        <w:rPr>
          <w:rFonts w:ascii="Palatino Linotype" w:eastAsia="Calibri" w:hAnsi="Palatino Linotype" w:cs="Tahoma"/>
          <w:bCs/>
          <w:szCs w:val="22"/>
          <w:lang w:val="es-ES_tradnl" w:eastAsia="es-MX"/>
        </w:rPr>
        <w:t xml:space="preserve">implica realizar una transcripción de la totalidad de los caracteres que integran </w:t>
      </w:r>
      <w:r>
        <w:rPr>
          <w:rFonts w:ascii="Palatino Linotype" w:eastAsia="Calibri" w:hAnsi="Palatino Linotype" w:cs="Tahoma"/>
          <w:bCs/>
          <w:szCs w:val="22"/>
          <w:lang w:val="es-ES_tradnl" w:eastAsia="es-MX"/>
        </w:rPr>
        <w:t>las ligas electrónicas</w:t>
      </w:r>
      <w:r w:rsidRPr="009D673D">
        <w:rPr>
          <w:rFonts w:ascii="Palatino Linotype" w:eastAsia="Calibri" w:hAnsi="Palatino Linotype" w:cs="Tahoma"/>
          <w:bCs/>
          <w:szCs w:val="22"/>
          <w:lang w:val="es-ES_tradnl" w:eastAsia="es-MX"/>
        </w:rPr>
        <w:t>, lo cual puede llevar a errores técnicos y humanos que impidan o dificulten a los solicitantes allegarse de la información que conforme a su derecho sea requerida.</w:t>
      </w:r>
    </w:p>
    <w:p w:rsidR="007F0C0D" w:rsidRPr="009D673D" w:rsidRDefault="007F0C0D" w:rsidP="007F0C0D">
      <w:pPr>
        <w:spacing w:line="360" w:lineRule="auto"/>
        <w:jc w:val="both"/>
        <w:rPr>
          <w:rFonts w:ascii="Palatino Linotype" w:eastAsia="Calibri" w:hAnsi="Palatino Linotype" w:cs="Tahoma"/>
          <w:bCs/>
          <w:szCs w:val="22"/>
          <w:lang w:val="es-ES_tradnl" w:eastAsia="es-MX"/>
        </w:rPr>
      </w:pPr>
    </w:p>
    <w:p w:rsidR="007F0C0D" w:rsidRPr="009D673D" w:rsidRDefault="007F0C0D" w:rsidP="007F0C0D">
      <w:pPr>
        <w:spacing w:line="360" w:lineRule="auto"/>
        <w:jc w:val="both"/>
        <w:rPr>
          <w:rFonts w:ascii="Palatino Linotype" w:eastAsia="Calibri" w:hAnsi="Palatino Linotype" w:cs="Tahoma"/>
          <w:b/>
          <w:bCs/>
          <w:i/>
          <w:szCs w:val="22"/>
          <w:lang w:val="es-ES_tradnl" w:eastAsia="es-MX"/>
        </w:rPr>
      </w:pPr>
      <w:r w:rsidRPr="009D673D">
        <w:rPr>
          <w:rFonts w:ascii="Palatino Linotype" w:eastAsia="Calibri" w:hAnsi="Palatino Linotype" w:cs="Tahoma"/>
          <w:bCs/>
          <w:szCs w:val="22"/>
          <w:lang w:val="es-ES_tradnl" w:eastAsia="es-MX"/>
        </w:rPr>
        <w:t>Al respecto la Carta Internacional de Datos Abiertos; prevé que: “</w:t>
      </w:r>
      <w:r w:rsidRPr="009D673D">
        <w:rPr>
          <w:rFonts w:ascii="Palatino Linotype" w:eastAsia="Calibri" w:hAnsi="Palatino Linotype" w:cs="Tahoma"/>
          <w:bCs/>
          <w:i/>
          <w:szCs w:val="22"/>
          <w:lang w:val="es-ES_tradnl" w:eastAsia="es-MX"/>
        </w:rPr>
        <w:t>los</w:t>
      </w:r>
      <w:r w:rsidRPr="009D673D">
        <w:rPr>
          <w:rFonts w:ascii="Palatino Linotype" w:eastAsia="Calibri" w:hAnsi="Palatino Linotype" w:cs="Tahoma"/>
          <w:bCs/>
          <w:szCs w:val="22"/>
          <w:lang w:val="es-ES_tradnl" w:eastAsia="es-MX"/>
        </w:rPr>
        <w:t xml:space="preserve"> </w:t>
      </w:r>
      <w:r w:rsidRPr="009D673D">
        <w:rPr>
          <w:rFonts w:ascii="Palatino Linotype" w:eastAsia="Calibri" w:hAnsi="Palatino Linotype" w:cs="Tahoma"/>
          <w:bCs/>
          <w:i/>
          <w:szCs w:val="22"/>
          <w:lang w:val="es-ES_tradnl" w:eastAsia="es-MX"/>
        </w:rPr>
        <w:t>Datos abiertos son datos digitales que son puestos a disposición con las características técnicas y jurídicas necesarias para que puedan ser usados, reutilizados y redistribuidos libremente por cualquier persona, en cualquier momento y en cualquier lugar”.</w:t>
      </w:r>
    </w:p>
    <w:p w:rsidR="007F0C0D" w:rsidRPr="009D673D" w:rsidRDefault="007F0C0D" w:rsidP="007F0C0D">
      <w:pPr>
        <w:spacing w:line="360" w:lineRule="auto"/>
        <w:jc w:val="both"/>
        <w:rPr>
          <w:rFonts w:ascii="Palatino Linotype" w:eastAsia="Calibri" w:hAnsi="Palatino Linotype" w:cs="Tahoma"/>
          <w:b/>
          <w:bCs/>
          <w:i/>
          <w:szCs w:val="22"/>
          <w:lang w:val="es-ES_tradnl" w:eastAsia="es-MX"/>
        </w:rPr>
      </w:pPr>
    </w:p>
    <w:p w:rsidR="007F0C0D" w:rsidRPr="009D673D" w:rsidRDefault="007F0C0D" w:rsidP="007F0C0D">
      <w:pPr>
        <w:spacing w:line="360" w:lineRule="auto"/>
        <w:jc w:val="both"/>
        <w:rPr>
          <w:rFonts w:ascii="Palatino Linotype" w:eastAsia="Calibri" w:hAnsi="Palatino Linotype" w:cs="Tahoma"/>
          <w:bCs/>
          <w:szCs w:val="22"/>
          <w:lang w:val="es-ES_tradnl" w:eastAsia="es-MX"/>
        </w:rPr>
      </w:pPr>
      <w:r w:rsidRPr="009D673D">
        <w:rPr>
          <w:rFonts w:ascii="Palatino Linotype" w:eastAsia="Calibri" w:hAnsi="Palatino Linotype" w:cs="Tahoma"/>
          <w:bCs/>
          <w:szCs w:val="22"/>
          <w:lang w:val="es-ES_tradnl" w:eastAsia="es-MX"/>
        </w:rPr>
        <w:t>Por su parte, el Decreto por el que se establece la regulación en materia de Datos Abiertos, publicado en el Diario Oficial de la Federación el veinte de febrero de dos mil quince, indica en su artículo segundo lo siguiente:</w:t>
      </w:r>
    </w:p>
    <w:p w:rsidR="007F0C0D" w:rsidRPr="009D673D" w:rsidRDefault="007F0C0D" w:rsidP="007F0C0D">
      <w:pPr>
        <w:spacing w:line="360" w:lineRule="auto"/>
        <w:jc w:val="both"/>
        <w:rPr>
          <w:rFonts w:ascii="Palatino Linotype" w:eastAsia="Calibri" w:hAnsi="Palatino Linotype" w:cs="Tahoma"/>
          <w:bCs/>
          <w:szCs w:val="22"/>
          <w:lang w:val="es-ES_tradnl" w:eastAsia="es-MX"/>
        </w:rPr>
      </w:pPr>
    </w:p>
    <w:p w:rsidR="007F0C0D" w:rsidRPr="009D673D" w:rsidRDefault="007F0C0D" w:rsidP="007F0C0D">
      <w:pPr>
        <w:ind w:left="567" w:right="616"/>
        <w:jc w:val="both"/>
        <w:rPr>
          <w:rFonts w:ascii="Palatino Linotype" w:eastAsia="Calibri" w:hAnsi="Palatino Linotype" w:cs="Tahoma"/>
          <w:b/>
          <w:bCs/>
          <w:i/>
          <w:szCs w:val="22"/>
          <w:lang w:val="es-ES_tradnl" w:eastAsia="es-MX"/>
        </w:rPr>
      </w:pPr>
      <w:r w:rsidRPr="009D673D">
        <w:rPr>
          <w:rFonts w:ascii="Palatino Linotype" w:eastAsia="Calibri" w:hAnsi="Palatino Linotype" w:cs="Tahoma"/>
          <w:b/>
          <w:bCs/>
          <w:i/>
          <w:szCs w:val="22"/>
          <w:lang w:val="es-ES_tradnl" w:eastAsia="es-MX"/>
        </w:rPr>
        <w:t>ARTÍCULO SEGUNDO. -Para los efectos del presente Decreto, se entenderá por:</w:t>
      </w:r>
    </w:p>
    <w:p w:rsidR="007F0C0D" w:rsidRPr="009D673D" w:rsidRDefault="007F0C0D" w:rsidP="007F0C0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Tahoma"/>
          <w:bCs/>
          <w:i/>
          <w:szCs w:val="22"/>
          <w:lang w:val="es-ES_tradnl" w:eastAsia="es-MX"/>
        </w:rPr>
        <w:t>I al IV…</w:t>
      </w:r>
    </w:p>
    <w:p w:rsidR="007F0C0D" w:rsidRPr="009D673D" w:rsidRDefault="007F0C0D" w:rsidP="007F0C0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Tahoma"/>
          <w:b/>
          <w:bCs/>
          <w:i/>
          <w:szCs w:val="22"/>
          <w:lang w:val="es-ES_tradnl" w:eastAsia="es-MX"/>
        </w:rPr>
        <w:t>V. Datos abiertos</w:t>
      </w:r>
      <w:r w:rsidRPr="009D673D">
        <w:rPr>
          <w:rFonts w:ascii="Palatino Linotype" w:eastAsia="Calibri" w:hAnsi="Palatino Linotype" w:cs="Tahoma"/>
          <w:bCs/>
          <w:i/>
          <w:szCs w:val="22"/>
          <w:lang w:val="es-ES_tradnl" w:eastAsia="es-MX"/>
        </w:rPr>
        <w:t xml:space="preserve">: los datos digitales de carácter público que son accesibles en línea, y pueden </w:t>
      </w:r>
      <w:r w:rsidRPr="009D673D">
        <w:rPr>
          <w:rFonts w:ascii="Palatino Linotype" w:eastAsia="Calibri" w:hAnsi="Palatino Linotype" w:cs="Tahoma"/>
          <w:b/>
          <w:bCs/>
          <w:i/>
          <w:szCs w:val="22"/>
          <w:u w:val="single"/>
          <w:lang w:val="es-ES_tradnl" w:eastAsia="es-MX"/>
        </w:rPr>
        <w:t>ser usados, reutilizados y redistribuidos</w:t>
      </w:r>
      <w:r w:rsidRPr="009D673D">
        <w:rPr>
          <w:rFonts w:ascii="Palatino Linotype" w:eastAsia="Calibri" w:hAnsi="Palatino Linotype" w:cs="Tahoma"/>
          <w:bCs/>
          <w:i/>
          <w:szCs w:val="22"/>
          <w:lang w:val="es-ES_tradnl" w:eastAsia="es-MX"/>
        </w:rPr>
        <w:t>, por cualquier interesado</w:t>
      </w:r>
    </w:p>
    <w:p w:rsidR="007F0C0D" w:rsidRPr="009D673D" w:rsidRDefault="007F0C0D" w:rsidP="007F0C0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Tahoma"/>
          <w:bCs/>
          <w:i/>
          <w:szCs w:val="22"/>
          <w:lang w:val="es-ES_tradnl" w:eastAsia="es-MX"/>
        </w:rPr>
        <w:t>VI al VIII…</w:t>
      </w:r>
    </w:p>
    <w:p w:rsidR="007F0C0D" w:rsidRPr="009D673D" w:rsidRDefault="007F0C0D" w:rsidP="007F0C0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Tahoma"/>
          <w:b/>
          <w:bCs/>
          <w:i/>
          <w:szCs w:val="22"/>
          <w:lang w:val="es-ES_tradnl" w:eastAsia="es-MX"/>
        </w:rPr>
        <w:t>IX. Formato Abierto:</w:t>
      </w:r>
      <w:r w:rsidRPr="009D673D">
        <w:rPr>
          <w:rFonts w:ascii="Palatino Linotype" w:eastAsia="Calibri" w:hAnsi="Palatino Linotype" w:cs="Tahoma"/>
          <w:bCs/>
          <w:i/>
          <w:szCs w:val="22"/>
          <w:lang w:val="es-ES_tradnl" w:eastAsia="es-MX"/>
        </w:rPr>
        <w:t xml:space="preserve"> el conjunto de características técnicas y de presentación que corresponden a la estructura lógica usada para almacenar datos en un archivo digital, cuyas especificaciones técnicas están disponibles públicamente, </w:t>
      </w:r>
      <w:r w:rsidRPr="009D673D">
        <w:rPr>
          <w:rFonts w:ascii="Palatino Linotype" w:eastAsia="Calibri" w:hAnsi="Palatino Linotype" w:cs="Tahoma"/>
          <w:b/>
          <w:bCs/>
          <w:i/>
          <w:szCs w:val="22"/>
          <w:u w:val="single"/>
          <w:lang w:val="es-ES_tradnl" w:eastAsia="es-MX"/>
        </w:rPr>
        <w:t>que no suponen una dificultad de acceso y que su aplicación y reproducción no estén condicionadas a contraprestación alguna</w:t>
      </w:r>
      <w:r w:rsidRPr="009D673D">
        <w:rPr>
          <w:rFonts w:ascii="Palatino Linotype" w:eastAsia="Calibri" w:hAnsi="Palatino Linotype" w:cs="Tahoma"/>
          <w:bCs/>
          <w:i/>
          <w:szCs w:val="22"/>
          <w:lang w:val="es-ES_tradnl" w:eastAsia="es-MX"/>
        </w:rPr>
        <w:t>;</w:t>
      </w:r>
    </w:p>
    <w:p w:rsidR="007F0C0D" w:rsidRPr="009D673D" w:rsidRDefault="007F0C0D" w:rsidP="007F0C0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Tahoma"/>
          <w:bCs/>
          <w:i/>
          <w:szCs w:val="22"/>
          <w:lang w:val="es-ES_tradnl" w:eastAsia="es-MX"/>
        </w:rPr>
        <w:t>X al XII…</w:t>
      </w:r>
    </w:p>
    <w:p w:rsidR="007F0C0D" w:rsidRPr="009D673D" w:rsidRDefault="007F0C0D" w:rsidP="007F0C0D">
      <w:pPr>
        <w:spacing w:line="360" w:lineRule="auto"/>
        <w:ind w:left="567"/>
        <w:jc w:val="both"/>
        <w:rPr>
          <w:rFonts w:ascii="Palatino Linotype" w:eastAsia="Calibri" w:hAnsi="Palatino Linotype" w:cs="Tahoma"/>
          <w:bCs/>
          <w:szCs w:val="22"/>
          <w:lang w:val="es-ES_tradnl" w:eastAsia="es-MX"/>
        </w:rPr>
      </w:pPr>
    </w:p>
    <w:p w:rsidR="007F0C0D" w:rsidRPr="009D673D" w:rsidRDefault="007F0C0D" w:rsidP="007F0C0D">
      <w:pPr>
        <w:spacing w:line="360" w:lineRule="auto"/>
        <w:jc w:val="both"/>
        <w:rPr>
          <w:rFonts w:ascii="Palatino Linotype" w:eastAsia="Calibri" w:hAnsi="Palatino Linotype" w:cs="Tahoma"/>
          <w:bCs/>
          <w:szCs w:val="22"/>
          <w:lang w:val="es-ES_tradnl" w:eastAsia="es-MX"/>
        </w:rPr>
      </w:pPr>
      <w:r w:rsidRPr="009D673D">
        <w:rPr>
          <w:rFonts w:ascii="Palatino Linotype" w:eastAsia="Calibri" w:hAnsi="Palatino Linotype" w:cs="Tahoma"/>
          <w:bCs/>
          <w:szCs w:val="22"/>
          <w:lang w:val="es-ES_tradnl" w:eastAsia="es-MX"/>
        </w:rPr>
        <w:t>Lo anterior, se robustece con lo dispuesto por la Ley de Transparencia y Acceso a la Información Pública del Estado de México y Municipios; la cual establece en su artículo 3°, fracción VIII, lo siguiente:</w:t>
      </w:r>
    </w:p>
    <w:p w:rsidR="007F0C0D" w:rsidRPr="009D673D" w:rsidRDefault="007F0C0D" w:rsidP="007F0C0D">
      <w:pPr>
        <w:jc w:val="both"/>
        <w:rPr>
          <w:rFonts w:ascii="Palatino Linotype" w:eastAsia="Calibri" w:hAnsi="Palatino Linotype" w:cs="Tahoma"/>
          <w:bCs/>
          <w:szCs w:val="22"/>
          <w:lang w:val="es-ES_tradnl" w:eastAsia="es-MX"/>
        </w:rPr>
      </w:pPr>
    </w:p>
    <w:p w:rsidR="007F0C0D" w:rsidRPr="009D673D" w:rsidRDefault="007F0C0D" w:rsidP="007F0C0D">
      <w:pPr>
        <w:ind w:left="567" w:right="616"/>
        <w:jc w:val="both"/>
        <w:rPr>
          <w:rFonts w:ascii="Palatino Linotype" w:eastAsia="Calibri" w:hAnsi="Palatino Linotype" w:cs="Calibri"/>
          <w:b/>
          <w:i/>
          <w:szCs w:val="22"/>
          <w:lang w:val="es-ES_tradnl" w:eastAsia="es-MX"/>
        </w:rPr>
      </w:pPr>
      <w:r w:rsidRPr="009D673D">
        <w:rPr>
          <w:rFonts w:ascii="Palatino Linotype" w:eastAsia="Calibri" w:hAnsi="Palatino Linotype" w:cs="Calibri"/>
          <w:b/>
          <w:i/>
          <w:szCs w:val="22"/>
          <w:lang w:val="es-ES_tradnl" w:eastAsia="es-MX"/>
        </w:rPr>
        <w:t>Artículo 3. Para los efectos de la presente Ley se entenderá por:</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i/>
          <w:szCs w:val="22"/>
          <w:lang w:val="es-ES_tradnl" w:eastAsia="es-MX"/>
        </w:rPr>
        <w:t>I al VII…</w:t>
      </w:r>
    </w:p>
    <w:p w:rsidR="007F0C0D" w:rsidRPr="009D673D" w:rsidRDefault="007F0C0D" w:rsidP="007F0C0D">
      <w:pPr>
        <w:ind w:left="567" w:right="616"/>
        <w:jc w:val="both"/>
        <w:rPr>
          <w:rFonts w:ascii="Palatino Linotype" w:eastAsia="Calibri" w:hAnsi="Palatino Linotype" w:cs="Tahoma"/>
          <w:bCs/>
          <w:i/>
          <w:szCs w:val="22"/>
          <w:lang w:val="es-ES_tradnl" w:eastAsia="es-MX"/>
        </w:rPr>
      </w:pPr>
      <w:r w:rsidRPr="009D673D">
        <w:rPr>
          <w:rFonts w:ascii="Palatino Linotype" w:eastAsia="Calibri" w:hAnsi="Palatino Linotype" w:cs="Calibri"/>
          <w:b/>
          <w:i/>
          <w:szCs w:val="22"/>
          <w:lang w:val="es-ES_tradnl" w:eastAsia="es-MX"/>
        </w:rPr>
        <w:t>VIII. Datos abiertos</w:t>
      </w:r>
      <w:r w:rsidRPr="009D673D">
        <w:rPr>
          <w:rFonts w:ascii="Palatino Linotype" w:eastAsia="Calibri" w:hAnsi="Palatino Linotype" w:cs="Calibri"/>
          <w:i/>
          <w:szCs w:val="22"/>
          <w:lang w:val="es-ES_tradnl" w:eastAsia="es-MX"/>
        </w:rPr>
        <w:t xml:space="preserve">: Los datos digitales de carácter público </w:t>
      </w:r>
      <w:r w:rsidRPr="009D673D">
        <w:rPr>
          <w:rFonts w:ascii="Palatino Linotype" w:eastAsia="Calibri" w:hAnsi="Palatino Linotype" w:cs="Calibri"/>
          <w:b/>
          <w:i/>
          <w:szCs w:val="22"/>
          <w:lang w:val="es-ES_tradnl" w:eastAsia="es-MX"/>
        </w:rPr>
        <w:t>que son accesibles</w:t>
      </w:r>
      <w:r w:rsidRPr="009D673D">
        <w:rPr>
          <w:rFonts w:ascii="Palatino Linotype" w:eastAsia="Calibri" w:hAnsi="Palatino Linotype" w:cs="Calibri"/>
          <w:i/>
          <w:szCs w:val="22"/>
          <w:lang w:val="es-ES_tradnl" w:eastAsia="es-MX"/>
        </w:rPr>
        <w:t xml:space="preserve"> en línea </w:t>
      </w:r>
      <w:r w:rsidRPr="009D673D">
        <w:rPr>
          <w:rFonts w:ascii="Palatino Linotype" w:eastAsia="Calibri" w:hAnsi="Palatino Linotype" w:cs="Calibri"/>
          <w:b/>
          <w:i/>
          <w:szCs w:val="22"/>
          <w:lang w:val="es-ES_tradnl" w:eastAsia="es-MX"/>
        </w:rPr>
        <w:t xml:space="preserve">que pueden </w:t>
      </w:r>
      <w:r w:rsidRPr="009D673D">
        <w:rPr>
          <w:rFonts w:ascii="Palatino Linotype" w:eastAsia="Calibri" w:hAnsi="Palatino Linotype" w:cs="Calibri"/>
          <w:b/>
          <w:i/>
          <w:szCs w:val="22"/>
          <w:u w:val="single"/>
          <w:lang w:val="es-ES_tradnl" w:eastAsia="es-MX"/>
        </w:rPr>
        <w:t>ser usados, reutilizados y redistribuidos</w:t>
      </w:r>
      <w:r w:rsidRPr="009D673D">
        <w:rPr>
          <w:rFonts w:ascii="Palatino Linotype" w:eastAsia="Calibri" w:hAnsi="Palatino Linotype" w:cs="Calibri"/>
          <w:i/>
          <w:szCs w:val="22"/>
          <w:lang w:val="es-ES_tradnl" w:eastAsia="es-MX"/>
        </w:rPr>
        <w:t xml:space="preserve"> por cualquier interesado y que tienen las siguientes características:</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 xml:space="preserve">a) Accesibles: </w:t>
      </w:r>
      <w:r w:rsidRPr="009D673D">
        <w:rPr>
          <w:rFonts w:ascii="Palatino Linotype" w:eastAsia="Calibri" w:hAnsi="Palatino Linotype" w:cs="Calibri"/>
          <w:i/>
          <w:szCs w:val="22"/>
          <w:lang w:val="es-ES_tradnl" w:eastAsia="es-MX"/>
        </w:rPr>
        <w:t>Los datos están disponibles para la gama más amplia de usuarios, para cualquier propósito;</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lastRenderedPageBreak/>
        <w:t>b) Integrales</w:t>
      </w:r>
      <w:r w:rsidRPr="009D673D">
        <w:rPr>
          <w:rFonts w:ascii="Palatino Linotype" w:eastAsia="Calibri" w:hAnsi="Palatino Linotype" w:cs="Calibri"/>
          <w:i/>
          <w:szCs w:val="22"/>
          <w:lang w:val="es-ES_tradnl" w:eastAsia="es-MX"/>
        </w:rPr>
        <w:t>: Contienen el tema que describen a detalle y con los metadatos necesarios;</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c) Gratuitos</w:t>
      </w:r>
      <w:r w:rsidRPr="009D673D">
        <w:rPr>
          <w:rFonts w:ascii="Palatino Linotype" w:eastAsia="Calibri" w:hAnsi="Palatino Linotype" w:cs="Calibri"/>
          <w:i/>
          <w:szCs w:val="22"/>
          <w:lang w:val="es-ES_tradnl" w:eastAsia="es-MX"/>
        </w:rPr>
        <w:t xml:space="preserve">: Se obtienen sin entregar a cambio contraprestación alguna; </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d) No discriminatorios:</w:t>
      </w:r>
      <w:r w:rsidRPr="009D673D">
        <w:rPr>
          <w:rFonts w:ascii="Palatino Linotype" w:eastAsia="Calibri" w:hAnsi="Palatino Linotype" w:cs="Calibri"/>
          <w:i/>
          <w:szCs w:val="22"/>
          <w:lang w:val="es-ES_tradnl" w:eastAsia="es-MX"/>
        </w:rPr>
        <w:t xml:space="preserve"> Los datos están disponibles para cualquier persona, sin necesidad de registro; </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e) Oportunos</w:t>
      </w:r>
      <w:r w:rsidRPr="009D673D">
        <w:rPr>
          <w:rFonts w:ascii="Palatino Linotype" w:eastAsia="Calibri" w:hAnsi="Palatino Linotype" w:cs="Calibri"/>
          <w:i/>
          <w:szCs w:val="22"/>
          <w:lang w:val="es-ES_tradnl" w:eastAsia="es-MX"/>
        </w:rPr>
        <w:t xml:space="preserve">: Son actualizados, periódicamente, conforme se generen; </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f) Permanentes</w:t>
      </w:r>
      <w:r w:rsidRPr="009D673D">
        <w:rPr>
          <w:rFonts w:ascii="Palatino Linotype" w:eastAsia="Calibri" w:hAnsi="Palatino Linotype" w:cs="Calibri"/>
          <w:i/>
          <w:szCs w:val="22"/>
          <w:lang w:val="es-ES_tradnl" w:eastAsia="es-MX"/>
        </w:rPr>
        <w:t xml:space="preserve">: Se conservan en el tiempo, para lo cual, las versiones históricas relevantes para uso público se mantendrán disponibles con identificadores adecuados al efecto; </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g) Primarios</w:t>
      </w:r>
      <w:r w:rsidRPr="009D673D">
        <w:rPr>
          <w:rFonts w:ascii="Palatino Linotype" w:eastAsia="Calibri" w:hAnsi="Palatino Linotype" w:cs="Calibri"/>
          <w:i/>
          <w:szCs w:val="22"/>
          <w:lang w:val="es-ES_tradnl" w:eastAsia="es-MX"/>
        </w:rPr>
        <w:t xml:space="preserve">: Provienen de la fuente de origen con el máximo nivel de desagregación posible; </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h) Legibles por máquinas</w:t>
      </w:r>
      <w:r w:rsidRPr="009D673D">
        <w:rPr>
          <w:rFonts w:ascii="Palatino Linotype" w:eastAsia="Calibri" w:hAnsi="Palatino Linotype" w:cs="Calibri"/>
          <w:i/>
          <w:szCs w:val="22"/>
          <w:lang w:val="es-ES_tradnl" w:eastAsia="es-MX"/>
        </w:rPr>
        <w:t xml:space="preserve">: Deberán estar estructurados, total o parcialmente, para ser procesados e interpretados por equipos electrónicos de manera automática; </w:t>
      </w:r>
    </w:p>
    <w:p w:rsidR="007F0C0D" w:rsidRPr="009D673D" w:rsidRDefault="007F0C0D" w:rsidP="007F0C0D">
      <w:pPr>
        <w:ind w:left="567" w:right="616"/>
        <w:jc w:val="both"/>
        <w:rPr>
          <w:rFonts w:ascii="Palatino Linotype" w:eastAsia="Calibri" w:hAnsi="Palatino Linotype" w:cs="Calibri"/>
          <w:b/>
          <w:i/>
          <w:szCs w:val="22"/>
          <w:lang w:val="es-ES_tradnl" w:eastAsia="es-MX"/>
        </w:rPr>
      </w:pPr>
      <w:r w:rsidRPr="009D673D">
        <w:rPr>
          <w:rFonts w:ascii="Palatino Linotype" w:eastAsia="Calibri" w:hAnsi="Palatino Linotype" w:cs="Calibri"/>
          <w:b/>
          <w:i/>
          <w:szCs w:val="22"/>
          <w:lang w:val="es-ES_tradnl" w:eastAsia="es-MX"/>
        </w:rPr>
        <w:t>i) En formatos abiertos</w:t>
      </w:r>
      <w:r w:rsidRPr="009D673D">
        <w:rPr>
          <w:rFonts w:ascii="Palatino Linotype" w:eastAsia="Calibri" w:hAnsi="Palatino Linotype" w:cs="Calibri"/>
          <w:i/>
          <w:szCs w:val="22"/>
          <w:lang w:val="es-ES_tradnl" w:eastAsia="es-MX"/>
        </w:rPr>
        <w:t>: Los datos estarán disponibles c</w:t>
      </w:r>
      <w:r w:rsidRPr="009D673D">
        <w:rPr>
          <w:rFonts w:ascii="Palatino Linotype" w:eastAsia="Calibri" w:hAnsi="Palatino Linotype" w:cs="Calibri"/>
          <w:b/>
          <w:i/>
          <w:szCs w:val="22"/>
          <w:lang w:val="es-ES_tradnl" w:eastAsia="es-MX"/>
        </w:rPr>
        <w:t xml:space="preserve">on el conjunto de características técnicas y de presentación </w:t>
      </w:r>
      <w:r w:rsidRPr="009D673D">
        <w:rPr>
          <w:rFonts w:ascii="Palatino Linotype" w:eastAsia="Calibri" w:hAnsi="Palatino Linotype" w:cs="Calibri"/>
          <w:i/>
          <w:szCs w:val="22"/>
          <w:lang w:val="es-ES_tradnl" w:eastAsia="es-MX"/>
        </w:rPr>
        <w:t xml:space="preserve">que corresponden a la estructura lógica usada para almacenar datos en un archivo digital, </w:t>
      </w:r>
      <w:r w:rsidRPr="009D673D">
        <w:rPr>
          <w:rFonts w:ascii="Palatino Linotype" w:eastAsia="Calibri" w:hAnsi="Palatino Linotype" w:cs="Calibri"/>
          <w:b/>
          <w:i/>
          <w:szCs w:val="22"/>
          <w:lang w:val="es-ES_tradnl" w:eastAsia="es-MX"/>
        </w:rPr>
        <w:t>cuyas especificaciones técnicas están disponibles públicamente</w:t>
      </w:r>
      <w:r w:rsidRPr="009D673D">
        <w:rPr>
          <w:rFonts w:ascii="Palatino Linotype" w:eastAsia="Calibri" w:hAnsi="Palatino Linotype" w:cs="Calibri"/>
          <w:i/>
          <w:szCs w:val="22"/>
          <w:lang w:val="es-ES_tradnl" w:eastAsia="es-MX"/>
        </w:rPr>
        <w:t xml:space="preserve">, que </w:t>
      </w:r>
      <w:r w:rsidRPr="009D673D">
        <w:rPr>
          <w:rFonts w:ascii="Palatino Linotype" w:eastAsia="Calibri" w:hAnsi="Palatino Linotype" w:cs="Calibri"/>
          <w:b/>
          <w:i/>
          <w:szCs w:val="22"/>
          <w:lang w:val="es-ES_tradnl" w:eastAsia="es-MX"/>
        </w:rPr>
        <w:t xml:space="preserve">no suponen una dificultad de acceso y </w:t>
      </w:r>
      <w:r w:rsidRPr="009D673D">
        <w:rPr>
          <w:rFonts w:ascii="Palatino Linotype" w:eastAsia="Calibri" w:hAnsi="Palatino Linotype" w:cs="Calibri"/>
          <w:b/>
          <w:i/>
          <w:szCs w:val="22"/>
          <w:u w:val="single"/>
          <w:lang w:val="es-ES_tradnl" w:eastAsia="es-MX"/>
        </w:rPr>
        <w:t>que su aplicación y reproducción no estén condicionadas</w:t>
      </w:r>
      <w:r w:rsidRPr="009D673D">
        <w:rPr>
          <w:rFonts w:ascii="Palatino Linotype" w:eastAsia="Calibri" w:hAnsi="Palatino Linotype" w:cs="Calibri"/>
          <w:b/>
          <w:i/>
          <w:szCs w:val="22"/>
          <w:lang w:val="es-ES_tradnl" w:eastAsia="es-MX"/>
        </w:rPr>
        <w:t xml:space="preserve"> a contraprestación alguna; y </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b/>
          <w:i/>
          <w:szCs w:val="22"/>
          <w:lang w:val="es-ES_tradnl" w:eastAsia="es-MX"/>
        </w:rPr>
        <w:t>j) De libre uso:</w:t>
      </w:r>
      <w:r w:rsidRPr="009D673D">
        <w:rPr>
          <w:rFonts w:ascii="Palatino Linotype" w:eastAsia="Calibri" w:hAnsi="Palatino Linotype" w:cs="Calibri"/>
          <w:i/>
          <w:szCs w:val="22"/>
          <w:lang w:val="es-ES_tradnl" w:eastAsia="es-MX"/>
        </w:rPr>
        <w:t xml:space="preserve"> Citan la fuente de origen como único requerimiento para ser utilizados libremente.</w:t>
      </w:r>
    </w:p>
    <w:p w:rsidR="007F0C0D" w:rsidRPr="009D673D" w:rsidRDefault="007F0C0D" w:rsidP="007F0C0D">
      <w:pPr>
        <w:ind w:left="567" w:right="616"/>
        <w:jc w:val="both"/>
        <w:rPr>
          <w:rFonts w:ascii="Palatino Linotype" w:eastAsia="Calibri" w:hAnsi="Palatino Linotype" w:cs="Calibri"/>
          <w:i/>
          <w:szCs w:val="22"/>
          <w:lang w:val="es-ES_tradnl" w:eastAsia="es-MX"/>
        </w:rPr>
      </w:pPr>
      <w:r w:rsidRPr="009D673D">
        <w:rPr>
          <w:rFonts w:ascii="Palatino Linotype" w:eastAsia="Calibri" w:hAnsi="Palatino Linotype" w:cs="Calibri"/>
          <w:i/>
          <w:szCs w:val="22"/>
          <w:lang w:val="es-ES_tradnl" w:eastAsia="es-MX"/>
        </w:rPr>
        <w:t>IX al XLV…</w:t>
      </w:r>
    </w:p>
    <w:p w:rsidR="007F0C0D" w:rsidRDefault="007F0C0D" w:rsidP="007F0C0D">
      <w:pPr>
        <w:spacing w:line="360" w:lineRule="auto"/>
        <w:jc w:val="both"/>
        <w:rPr>
          <w:rFonts w:ascii="Palatino Linotype" w:hAnsi="Palatino Linotype" w:cs="Arial"/>
          <w:bCs/>
        </w:rPr>
      </w:pPr>
    </w:p>
    <w:p w:rsidR="007F0C0D" w:rsidRPr="00AB3BF1" w:rsidRDefault="007F0C0D" w:rsidP="007F0C0D">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5772F5" w:rsidRPr="005772F5">
        <w:rPr>
          <w:rFonts w:ascii="Palatino Linotype" w:hAnsi="Palatino Linotype"/>
          <w:i/>
        </w:rPr>
        <w:t>No atiende lo que se pide</w:t>
      </w:r>
      <w:r w:rsidRPr="00205720">
        <w:rPr>
          <w:rFonts w:ascii="Palatino Linotype" w:hAnsi="Palatino Linotype"/>
          <w:i/>
        </w:rPr>
        <w:t>” (Sic).</w:t>
      </w:r>
    </w:p>
    <w:p w:rsidR="007F0C0D" w:rsidRDefault="007F0C0D" w:rsidP="007F0C0D">
      <w:pPr>
        <w:spacing w:line="360" w:lineRule="auto"/>
        <w:jc w:val="both"/>
        <w:rPr>
          <w:rFonts w:ascii="Palatino Linotype" w:hAnsi="Palatino Linotype"/>
          <w:i/>
        </w:rPr>
      </w:pPr>
      <w:r>
        <w:rPr>
          <w:rFonts w:ascii="Palatino Linotype" w:hAnsi="Palatino Linotype"/>
          <w:i/>
        </w:rPr>
        <w:t xml:space="preserve"> </w:t>
      </w:r>
    </w:p>
    <w:p w:rsidR="007F0C0D" w:rsidRPr="005A71B5" w:rsidRDefault="007F0C0D" w:rsidP="007F0C0D">
      <w:pPr>
        <w:autoSpaceDE w:val="0"/>
        <w:autoSpaceDN w:val="0"/>
        <w:adjustRightInd w:val="0"/>
        <w:spacing w:line="360" w:lineRule="auto"/>
        <w:jc w:val="both"/>
        <w:rPr>
          <w:rFonts w:ascii="Palatino Linotype" w:hAnsi="Palatino Linotype" w:cs="Arial"/>
          <w:sz w:val="28"/>
        </w:rPr>
      </w:pPr>
      <w:r w:rsidRPr="00590166">
        <w:rPr>
          <w:rFonts w:ascii="Palatino Linotype" w:eastAsia="Calibri" w:hAnsi="Palatino Linotype" w:cs="Calibri"/>
          <w:lang w:val="es-ES_tradnl" w:eastAsia="es-MX"/>
        </w:rPr>
        <w:t xml:space="preserve">De las constancias que obran en el expediente electrónico del SAIMEX, se advierte que el Sujeto Obligado rindió su informe justificado por medio del archivo electrónico denominado </w:t>
      </w:r>
      <w:r w:rsidRPr="00590166">
        <w:rPr>
          <w:rFonts w:ascii="Palatino Linotype" w:eastAsia="Calibri" w:hAnsi="Palatino Linotype" w:cs="Calibri"/>
          <w:b/>
          <w:i/>
          <w:lang w:val="es-ES_tradnl" w:eastAsia="es-MX"/>
        </w:rPr>
        <w:t>“</w:t>
      </w:r>
      <w:r w:rsidR="005772F5" w:rsidRPr="005772F5">
        <w:rPr>
          <w:rFonts w:ascii="Palatino Linotype" w:eastAsia="Calibri" w:hAnsi="Palatino Linotype" w:cs="Calibri"/>
          <w:b/>
          <w:i/>
          <w:lang w:val="es-ES_tradnl" w:eastAsia="es-MX"/>
        </w:rPr>
        <w:t>Informes Justificados RR535 S 0006.pdf</w:t>
      </w:r>
      <w:r w:rsidRPr="00590166">
        <w:rPr>
          <w:rFonts w:ascii="Palatino Linotype" w:eastAsia="Calibri" w:hAnsi="Palatino Linotype" w:cs="Calibri"/>
          <w:b/>
          <w:i/>
          <w:lang w:val="es-ES_tradnl" w:eastAsia="es-MX"/>
        </w:rPr>
        <w:t xml:space="preserve">”, </w:t>
      </w:r>
      <w:r>
        <w:rPr>
          <w:rFonts w:ascii="Palatino Linotype" w:eastAsia="Calibri" w:hAnsi="Palatino Linotype" w:cs="Calibri"/>
          <w:lang w:val="es-ES_tradnl" w:eastAsia="es-MX"/>
        </w:rPr>
        <w:t xml:space="preserve">firmado por el Titular de la </w:t>
      </w:r>
      <w:r>
        <w:rPr>
          <w:rFonts w:ascii="Palatino Linotype" w:eastAsia="Calibri" w:hAnsi="Palatino Linotype" w:cs="Calibri"/>
          <w:lang w:val="es-ES_tradnl" w:eastAsia="es-MX"/>
        </w:rPr>
        <w:lastRenderedPageBreak/>
        <w:t xml:space="preserve">Unidad de Transparencia, </w:t>
      </w:r>
      <w:r w:rsidRPr="00590166">
        <w:rPr>
          <w:rFonts w:ascii="Palatino Linotype" w:eastAsia="Calibri" w:hAnsi="Palatino Linotype" w:cs="Calibri"/>
          <w:lang w:val="es-ES_tradnl" w:eastAsia="es-MX"/>
        </w:rPr>
        <w:t>en el que sustancialmente ratifica su respuesta</w:t>
      </w:r>
      <w:r>
        <w:rPr>
          <w:rFonts w:ascii="Palatino Linotype" w:eastAsia="Calibri" w:hAnsi="Palatino Linotype" w:cs="Calibri"/>
          <w:lang w:val="es-ES_tradnl" w:eastAsia="es-MX"/>
        </w:rPr>
        <w:t xml:space="preserve"> y requiere se confirme la respuesta</w:t>
      </w:r>
      <w:r w:rsidRPr="00590166">
        <w:rPr>
          <w:rFonts w:ascii="Palatino Linotype" w:eastAsia="Calibri" w:hAnsi="Palatino Linotype" w:cs="Calibri"/>
          <w:lang w:val="es-ES_tradnl" w:eastAsia="es-MX"/>
        </w:rPr>
        <w:t>.</w:t>
      </w:r>
    </w:p>
    <w:p w:rsidR="007F0C0D" w:rsidRDefault="007F0C0D" w:rsidP="007F0C0D">
      <w:pPr>
        <w:spacing w:line="360" w:lineRule="auto"/>
        <w:jc w:val="both"/>
        <w:rPr>
          <w:rFonts w:ascii="Palatino Linotype" w:eastAsia="Calibri" w:hAnsi="Palatino Linotype" w:cs="Tahoma"/>
          <w:bCs/>
        </w:rPr>
      </w:pPr>
      <w:r>
        <w:rPr>
          <w:rFonts w:ascii="Palatino Linotype" w:hAnsi="Palatino Linotype" w:cs="Arial"/>
        </w:rPr>
        <w:t xml:space="preserve"> </w:t>
      </w:r>
    </w:p>
    <w:p w:rsidR="00590A49" w:rsidRDefault="00AA4A15" w:rsidP="00590A49">
      <w:pPr>
        <w:spacing w:line="360" w:lineRule="auto"/>
        <w:jc w:val="both"/>
        <w:rPr>
          <w:rFonts w:ascii="Palatino Linotype" w:hAnsi="Palatino Linotype"/>
          <w:bCs/>
        </w:rPr>
      </w:pPr>
      <w:r w:rsidRPr="009F1CD4">
        <w:rPr>
          <w:rFonts w:ascii="Palatino Linotype" w:hAnsi="Palatino Linotype"/>
          <w:color w:val="000000"/>
        </w:rPr>
        <w:t xml:space="preserve">En primer término, y </w:t>
      </w:r>
      <w:r w:rsidRPr="009F1CD4">
        <w:rPr>
          <w:rFonts w:ascii="Palatino Linotype" w:hAnsi="Palatino Linotype" w:cs="Arial"/>
        </w:rPr>
        <w:t xml:space="preserve">en alusión a los requerimientos formulados por el particular, </w:t>
      </w:r>
      <w:r w:rsidR="00590A49" w:rsidRPr="009F1CD4">
        <w:rPr>
          <w:rFonts w:ascii="Palatino Linotype" w:hAnsi="Palatino Linotype"/>
          <w:bCs/>
        </w:rPr>
        <w:t>resulta</w:t>
      </w:r>
      <w:r w:rsidR="00590A49" w:rsidRPr="0039499D">
        <w:rPr>
          <w:rFonts w:ascii="Palatino Linotype" w:hAnsi="Palatino Linotype"/>
          <w:bCs/>
        </w:rPr>
        <w:t xml:space="preserve"> necesario precisar respecto </w:t>
      </w:r>
      <w:r w:rsidR="00590A49">
        <w:rPr>
          <w:rFonts w:ascii="Palatino Linotype" w:hAnsi="Palatino Linotype"/>
          <w:bCs/>
        </w:rPr>
        <w:t>a las obligaciones de transparencia comunes</w:t>
      </w:r>
      <w:r w:rsidR="00590A49" w:rsidRPr="0039499D">
        <w:rPr>
          <w:rFonts w:ascii="Palatino Linotype" w:hAnsi="Palatino Linotype"/>
          <w:bCs/>
        </w:rPr>
        <w:t xml:space="preserve">, que la Ley </w:t>
      </w:r>
      <w:r w:rsidR="00590A49">
        <w:rPr>
          <w:rFonts w:ascii="Palatino Linotype" w:hAnsi="Palatino Linotype"/>
          <w:bCs/>
        </w:rPr>
        <w:t>de Transparencia y Acceso a la Información Pública en su artículo 92</w:t>
      </w:r>
      <w:r w:rsidR="00590A49" w:rsidRPr="0039499D">
        <w:rPr>
          <w:rFonts w:ascii="Palatino Linotype" w:hAnsi="Palatino Linotype"/>
          <w:bCs/>
        </w:rPr>
        <w:t xml:space="preserve"> </w:t>
      </w:r>
      <w:r w:rsidR="00590A49">
        <w:rPr>
          <w:rFonts w:ascii="Palatino Linotype" w:hAnsi="Palatino Linotype"/>
          <w:bCs/>
        </w:rPr>
        <w:t>fracción XXIX</w:t>
      </w:r>
      <w:r w:rsidR="00590A49" w:rsidRPr="0039499D">
        <w:rPr>
          <w:rFonts w:ascii="Palatino Linotype" w:hAnsi="Palatino Linotype"/>
          <w:bCs/>
        </w:rPr>
        <w:t>, establece lo siguiente:</w:t>
      </w:r>
    </w:p>
    <w:p w:rsidR="00590A49" w:rsidRDefault="00590A49" w:rsidP="00590A49">
      <w:pPr>
        <w:spacing w:line="360" w:lineRule="auto"/>
        <w:ind w:left="567"/>
        <w:jc w:val="both"/>
        <w:rPr>
          <w:rFonts w:ascii="Palatino Linotype" w:hAnsi="Palatino Linotype"/>
          <w:b/>
          <w:bCs/>
          <w:i/>
        </w:rPr>
      </w:pPr>
      <w:r w:rsidRPr="00990BF3">
        <w:rPr>
          <w:rFonts w:ascii="Palatino Linotype" w:hAnsi="Palatino Linotype"/>
          <w:b/>
          <w:bCs/>
          <w:i/>
        </w:rPr>
        <w:t>ARTÍCULO 9</w:t>
      </w:r>
      <w:r>
        <w:rPr>
          <w:rFonts w:ascii="Palatino Linotype" w:hAnsi="Palatino Linotype"/>
          <w:b/>
          <w:bCs/>
          <w:i/>
        </w:rPr>
        <w:t>2</w:t>
      </w:r>
      <w:r w:rsidRPr="00990BF3">
        <w:rPr>
          <w:rFonts w:ascii="Palatino Linotype" w:hAnsi="Palatino Linotype"/>
          <w:b/>
          <w:bCs/>
          <w:i/>
        </w:rPr>
        <w:t xml:space="preserve">. Son obligaciones de </w:t>
      </w:r>
      <w:r>
        <w:rPr>
          <w:rFonts w:ascii="Palatino Linotype" w:hAnsi="Palatino Linotype"/>
          <w:b/>
          <w:bCs/>
          <w:i/>
        </w:rPr>
        <w:t>transparencia comunes</w:t>
      </w:r>
      <w:r w:rsidRPr="00990BF3">
        <w:rPr>
          <w:rFonts w:ascii="Palatino Linotype" w:hAnsi="Palatino Linotype"/>
          <w:b/>
          <w:bCs/>
          <w:i/>
        </w:rPr>
        <w:t>:</w:t>
      </w:r>
    </w:p>
    <w:p w:rsidR="00590A49" w:rsidRDefault="00590A49" w:rsidP="00590A49">
      <w:pPr>
        <w:spacing w:line="360" w:lineRule="auto"/>
        <w:ind w:left="567"/>
        <w:jc w:val="both"/>
        <w:rPr>
          <w:rFonts w:ascii="Palatino Linotype" w:hAnsi="Palatino Linotype"/>
          <w:bCs/>
          <w:i/>
        </w:rPr>
      </w:pPr>
      <w:r>
        <w:rPr>
          <w:rFonts w:ascii="Palatino Linotype" w:hAnsi="Palatino Linotype"/>
          <w:bCs/>
          <w:i/>
        </w:rPr>
        <w:t>(…)</w:t>
      </w:r>
    </w:p>
    <w:p w:rsidR="00590A49" w:rsidRPr="009F1CD4" w:rsidRDefault="00590A49" w:rsidP="00590A49">
      <w:pPr>
        <w:spacing w:line="360" w:lineRule="auto"/>
        <w:ind w:left="567"/>
        <w:jc w:val="both"/>
        <w:rPr>
          <w:rFonts w:ascii="Palatino Linotype" w:hAnsi="Palatino Linotype"/>
          <w:bCs/>
          <w:i/>
        </w:rPr>
      </w:pPr>
      <w:r w:rsidRPr="009F1CD4">
        <w:rPr>
          <w:rFonts w:ascii="Palatino Linotype" w:hAnsi="Palatino Linotype"/>
          <w:bCs/>
          <w:i/>
        </w:rPr>
        <w:t xml:space="preserve">XXIX. </w:t>
      </w:r>
      <w:r w:rsidRPr="009F1CD4">
        <w:rPr>
          <w:rFonts w:ascii="Palatino Linotype" w:hAnsi="Palatino Linotype"/>
          <w:b/>
          <w:bCs/>
          <w:i/>
        </w:rPr>
        <w:t>La información sobre los procesos y resultados sobre procedimientos de adjudicación directa, invitación restringida y licitación</w:t>
      </w:r>
      <w:r w:rsidRPr="009F1CD4">
        <w:rPr>
          <w:rFonts w:ascii="Palatino Linotype" w:hAnsi="Palatino Linotype"/>
          <w:bCs/>
          <w:i/>
        </w:rPr>
        <w:t xml:space="preserve"> de cualquier naturaleza, incluyendo la versión pública del expediente respectivo y de </w:t>
      </w:r>
      <w:r w:rsidRPr="009F1CD4">
        <w:rPr>
          <w:rFonts w:ascii="Palatino Linotype" w:hAnsi="Palatino Linotype"/>
          <w:b/>
          <w:bCs/>
          <w:i/>
        </w:rPr>
        <w:t>los contratos celebrados</w:t>
      </w:r>
      <w:r w:rsidRPr="009F1CD4">
        <w:rPr>
          <w:rFonts w:ascii="Palatino Linotype" w:hAnsi="Palatino Linotype"/>
          <w:bCs/>
          <w:i/>
        </w:rPr>
        <w:t xml:space="preserve">, que deberán contener, por los menos, lo siguiente: </w:t>
      </w:r>
    </w:p>
    <w:p w:rsidR="00590A49" w:rsidRPr="00787319" w:rsidRDefault="00590A49" w:rsidP="00590A49">
      <w:pPr>
        <w:spacing w:line="360" w:lineRule="auto"/>
        <w:ind w:left="567"/>
        <w:jc w:val="both"/>
        <w:rPr>
          <w:rFonts w:ascii="Palatino Linotype" w:hAnsi="Palatino Linotype"/>
          <w:b/>
          <w:bCs/>
          <w:i/>
        </w:rPr>
      </w:pPr>
      <w:r w:rsidRPr="00787319">
        <w:rPr>
          <w:rFonts w:ascii="Palatino Linotype" w:hAnsi="Palatino Linotype"/>
          <w:b/>
          <w:bCs/>
          <w:i/>
        </w:rPr>
        <w:t xml:space="preserve">a) De licitaciones públicas o procedimientos de invitación restringida: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t xml:space="preserve">1) La convocatoria o invitación emitida, así como los fundamentos legales aplicados para llevarla a cabo;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t xml:space="preserve">2) Los nombres de los participantes o invitados;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t xml:space="preserve">3) El nombre del ganador y las razones que lo justifican;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t xml:space="preserve">4) El área solicitante y la responsable de su ejecución;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t xml:space="preserve">5) Las convocatorias e invitaciones emitidas; 6) Los dictámenes y fallo de adjudicación;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t xml:space="preserve">7) El contrato y, en su caso, sus anexos;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t xml:space="preserve">8) Los mecanismos de vigilancia y supervisión, incluyendo en su caso, los estudios de impacto urbano y ambiental, según corresponda;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lastRenderedPageBreak/>
        <w:t xml:space="preserve">9) La partida presupuestal, de conformidad con el clasificador por objeto del gasto, en el caso de ser aplicable;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t xml:space="preserve">10) Origen de los recursos especificando si son federales, estatales o municipales, así como el tipo de fondo de participación o aportación respectiva;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t xml:space="preserve">11) Los convenios modificatorios que, en su caso, sean firmados, precisando el objeto y la fecha de celebración; </w:t>
      </w:r>
    </w:p>
    <w:p w:rsidR="00590A49" w:rsidRDefault="00590A49" w:rsidP="00590A49">
      <w:pPr>
        <w:spacing w:line="360" w:lineRule="auto"/>
        <w:ind w:left="993"/>
        <w:jc w:val="both"/>
        <w:rPr>
          <w:rFonts w:ascii="Palatino Linotype" w:hAnsi="Palatino Linotype"/>
          <w:bCs/>
          <w:i/>
        </w:rPr>
      </w:pPr>
      <w:r w:rsidRPr="00C8583D">
        <w:rPr>
          <w:rFonts w:ascii="Palatino Linotype" w:hAnsi="Palatino Linotype"/>
          <w:bCs/>
          <w:i/>
        </w:rPr>
        <w:t>12) Los informes de avance físico y financiero sobre las obras o servicios</w:t>
      </w:r>
      <w:r>
        <w:rPr>
          <w:rFonts w:ascii="Palatino Linotype" w:hAnsi="Palatino Linotype"/>
          <w:bCs/>
          <w:i/>
        </w:rPr>
        <w:t xml:space="preserve"> </w:t>
      </w:r>
      <w:r w:rsidRPr="00787319">
        <w:rPr>
          <w:rFonts w:ascii="Palatino Linotype" w:hAnsi="Palatino Linotype"/>
          <w:bCs/>
          <w:i/>
        </w:rPr>
        <w:t xml:space="preserve">contratados;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13) El convenio de terminación; y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14) El finiquito. </w:t>
      </w:r>
    </w:p>
    <w:p w:rsidR="00590A49" w:rsidRPr="00787319" w:rsidRDefault="00590A49" w:rsidP="00590A49">
      <w:pPr>
        <w:spacing w:line="360" w:lineRule="auto"/>
        <w:ind w:left="567"/>
        <w:jc w:val="both"/>
        <w:rPr>
          <w:rFonts w:ascii="Palatino Linotype" w:hAnsi="Palatino Linotype"/>
          <w:b/>
          <w:bCs/>
          <w:i/>
        </w:rPr>
      </w:pPr>
      <w:r w:rsidRPr="00787319">
        <w:rPr>
          <w:rFonts w:ascii="Palatino Linotype" w:hAnsi="Palatino Linotype"/>
          <w:b/>
          <w:bCs/>
          <w:i/>
        </w:rPr>
        <w:t xml:space="preserve">b) De las adjudicaciones directas: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1) La propuesta enviada por el participante;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2) Los motivos y fundamentos legales aplicados para llevarla a cabo;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3) La autorización del ejercicio de la opción;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4) En su caso, las cotizaciones consideradas, especificando los nombres de los proveedores y sus montos;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5) El nombre de la persona física o jurídica colectiva adjudicada;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6) La unidad administrativa solicitante y la responsable de su ejecución;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7) El número, fecha, el monto del contrato y el plazo de entrega o de ejecución de los servicios u obra;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8) Los mecanismos de vigilancia y supervisión, incluyendo, en su caso, los estudios de impacto urbano y ambiental, según corresponda;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9) Los informes de avance sobre las obras o servicios contratados;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 xml:space="preserve">10) El convenio de terminación; y </w:t>
      </w:r>
    </w:p>
    <w:p w:rsidR="00590A49" w:rsidRDefault="00590A49" w:rsidP="00590A49">
      <w:pPr>
        <w:spacing w:line="360" w:lineRule="auto"/>
        <w:ind w:left="993"/>
        <w:jc w:val="both"/>
        <w:rPr>
          <w:rFonts w:ascii="Palatino Linotype" w:hAnsi="Palatino Linotype"/>
          <w:bCs/>
          <w:i/>
        </w:rPr>
      </w:pPr>
      <w:r w:rsidRPr="00787319">
        <w:rPr>
          <w:rFonts w:ascii="Palatino Linotype" w:hAnsi="Palatino Linotype"/>
          <w:bCs/>
          <w:i/>
        </w:rPr>
        <w:t>11) El finiquito.</w:t>
      </w:r>
    </w:p>
    <w:p w:rsidR="00590A49" w:rsidRDefault="00590A49" w:rsidP="00590A49">
      <w:pPr>
        <w:tabs>
          <w:tab w:val="left" w:pos="851"/>
        </w:tabs>
        <w:spacing w:before="120" w:after="120"/>
        <w:ind w:left="851" w:right="851"/>
        <w:jc w:val="both"/>
        <w:rPr>
          <w:rFonts w:ascii="Palatino Linotype" w:hAnsi="Palatino Linotype"/>
          <w:bCs/>
          <w:i/>
        </w:rPr>
      </w:pPr>
      <w:r>
        <w:rPr>
          <w:rFonts w:ascii="Palatino Linotype" w:hAnsi="Palatino Linotype"/>
          <w:bCs/>
          <w:i/>
        </w:rPr>
        <w:lastRenderedPageBreak/>
        <w:t>(…)</w:t>
      </w:r>
    </w:p>
    <w:p w:rsidR="00590A49" w:rsidRPr="00E9605E" w:rsidRDefault="00590A49" w:rsidP="00590A49">
      <w:pPr>
        <w:tabs>
          <w:tab w:val="left" w:pos="851"/>
        </w:tabs>
        <w:spacing w:before="120" w:after="120"/>
        <w:ind w:left="851" w:right="851"/>
        <w:jc w:val="both"/>
        <w:rPr>
          <w:rFonts w:ascii="Palatino Linotype" w:hAnsi="Palatino Linotype" w:cs="Arial"/>
          <w:bCs/>
          <w:i/>
        </w:rPr>
      </w:pPr>
      <w:r w:rsidRPr="004D09D0">
        <w:rPr>
          <w:rFonts w:ascii="Palatino Linotype" w:hAnsi="Palatino Linotype" w:cs="Arial"/>
          <w:bCs/>
          <w:i/>
        </w:rPr>
        <w:t xml:space="preserve">XXXII. Las concesiones, </w:t>
      </w:r>
      <w:r w:rsidRPr="001D694B">
        <w:rPr>
          <w:rFonts w:ascii="Palatino Linotype" w:hAnsi="Palatino Linotype" w:cs="Arial"/>
          <w:b/>
          <w:i/>
          <w:u w:val="single"/>
        </w:rPr>
        <w:t>contratos,</w:t>
      </w:r>
      <w:r w:rsidRPr="004D09D0">
        <w:rPr>
          <w:rFonts w:ascii="Palatino Linotype" w:hAnsi="Palatino Linotype" w:cs="Arial"/>
          <w:b/>
          <w:i/>
        </w:rPr>
        <w:t xml:space="preserve"> </w:t>
      </w:r>
      <w:r w:rsidRPr="001D694B">
        <w:rPr>
          <w:rFonts w:ascii="Palatino Linotype" w:hAnsi="Palatino Linotype" w:cs="Arial"/>
          <w:i/>
        </w:rPr>
        <w:t>convenios</w:t>
      </w:r>
      <w:r w:rsidRPr="004D09D0">
        <w:rPr>
          <w:rFonts w:ascii="Palatino Linotype" w:hAnsi="Palatino Linotype" w:cs="Arial"/>
          <w:bCs/>
          <w:i/>
        </w:rPr>
        <w:t xml:space="preserve">, permisos, licencias o autorizaciones otorgados, </w:t>
      </w:r>
      <w:r w:rsidRPr="004D09D0">
        <w:rPr>
          <w:rFonts w:ascii="Palatino Linotype" w:hAnsi="Palatino Linotype" w:cs="Arial"/>
          <w:b/>
          <w:i/>
          <w:u w:val="single"/>
        </w:rPr>
        <w:t>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4D09D0">
        <w:rPr>
          <w:rFonts w:ascii="Palatino Linotype" w:hAnsi="Palatino Linotype" w:cs="Arial"/>
          <w:bCs/>
          <w:i/>
        </w:rPr>
        <w:t>;</w:t>
      </w:r>
    </w:p>
    <w:p w:rsidR="00590A49" w:rsidRDefault="00590A49" w:rsidP="00590A49">
      <w:pPr>
        <w:spacing w:line="360" w:lineRule="auto"/>
        <w:ind w:left="567"/>
        <w:jc w:val="both"/>
        <w:rPr>
          <w:rFonts w:ascii="Palatino Linotype" w:hAnsi="Palatino Linotype"/>
          <w:b/>
          <w:bCs/>
          <w:i/>
        </w:rPr>
      </w:pPr>
    </w:p>
    <w:p w:rsidR="00590A49" w:rsidRPr="00787319" w:rsidRDefault="00590A49" w:rsidP="00590A49">
      <w:pPr>
        <w:spacing w:line="360" w:lineRule="auto"/>
        <w:ind w:left="567"/>
        <w:jc w:val="both"/>
        <w:rPr>
          <w:rFonts w:ascii="Palatino Linotype" w:hAnsi="Palatino Linotype"/>
          <w:b/>
          <w:bCs/>
          <w:i/>
        </w:rPr>
      </w:pPr>
      <w:r w:rsidRPr="00787319">
        <w:rPr>
          <w:rFonts w:ascii="Palatino Linotype" w:hAnsi="Palatino Linotype"/>
          <w:b/>
          <w:bCs/>
          <w:i/>
        </w:rPr>
        <w:t>XXXVI. Padrón de proveedores y contratistas;</w:t>
      </w:r>
    </w:p>
    <w:p w:rsidR="00590A49" w:rsidRPr="0039499D" w:rsidRDefault="00590A49" w:rsidP="00590A49">
      <w:pPr>
        <w:spacing w:line="360" w:lineRule="auto"/>
        <w:ind w:left="567"/>
        <w:jc w:val="both"/>
        <w:rPr>
          <w:rFonts w:ascii="Palatino Linotype" w:hAnsi="Palatino Linotype"/>
          <w:bCs/>
          <w:i/>
        </w:rPr>
      </w:pPr>
      <w:r>
        <w:rPr>
          <w:rFonts w:ascii="Palatino Linotype" w:hAnsi="Palatino Linotype"/>
          <w:bCs/>
          <w:i/>
        </w:rPr>
        <w:t>(…)</w:t>
      </w:r>
    </w:p>
    <w:p w:rsidR="00590A49" w:rsidRDefault="00590A49" w:rsidP="00590A49">
      <w:pPr>
        <w:spacing w:line="360" w:lineRule="auto"/>
        <w:jc w:val="both"/>
        <w:rPr>
          <w:rFonts w:ascii="Palatino Linotype" w:eastAsia="MS Mincho" w:hAnsi="Palatino Linotype" w:cs="Tahoma"/>
          <w:lang w:val="es-ES_tradnl"/>
        </w:rPr>
      </w:pPr>
    </w:p>
    <w:p w:rsidR="00590A49" w:rsidRPr="006D26F5" w:rsidRDefault="00590A49" w:rsidP="00590A49">
      <w:pPr>
        <w:ind w:left="851" w:right="850"/>
        <w:jc w:val="both"/>
        <w:rPr>
          <w:rFonts w:ascii="Palatino Linotype" w:eastAsia="Arial" w:hAnsi="Palatino Linotype" w:cs="Arial"/>
          <w:iCs/>
        </w:rPr>
      </w:pPr>
      <w:r>
        <w:rPr>
          <w:rFonts w:ascii="Palatino Linotype" w:eastAsia="MS Mincho" w:hAnsi="Palatino Linotype" w:cs="Tahoma"/>
          <w:lang w:val="es-ES_tradnl"/>
        </w:rPr>
        <w:t xml:space="preserve"> </w:t>
      </w:r>
    </w:p>
    <w:p w:rsidR="00590A49" w:rsidRDefault="00590A49" w:rsidP="00590A49">
      <w:pPr>
        <w:spacing w:line="360" w:lineRule="auto"/>
        <w:jc w:val="both"/>
        <w:rPr>
          <w:rFonts w:ascii="Palatino Linotype" w:hAnsi="Palatino Linotype"/>
        </w:rPr>
      </w:pPr>
      <w:r w:rsidRPr="00FA29BE">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lo anterior, conforme a las acciones del </w:t>
      </w:r>
      <w:r w:rsidRPr="00FA29BE">
        <w:rPr>
          <w:rFonts w:ascii="Palatino Linotype" w:hAnsi="Palatino Linotype"/>
          <w:b/>
        </w:rPr>
        <w:t>Sujeto Obligado</w:t>
      </w:r>
      <w:r w:rsidRPr="00FA29BE">
        <w:rPr>
          <w:rFonts w:ascii="Palatino Linotype" w:hAnsi="Palatino Linotype"/>
        </w:rPr>
        <w:t xml:space="preserve">, se establece que éste vulnera el derecho de acceso a la información pública del </w:t>
      </w:r>
      <w:r w:rsidRPr="00FA29BE">
        <w:rPr>
          <w:rFonts w:ascii="Palatino Linotype" w:hAnsi="Palatino Linotype"/>
          <w:b/>
        </w:rPr>
        <w:t>Recurrente</w:t>
      </w:r>
      <w:r w:rsidRPr="00FA29BE">
        <w:rPr>
          <w:rFonts w:ascii="Palatino Linotype" w:hAnsi="Palatino Linotype"/>
        </w:rPr>
        <w:t xml:space="preserve">, toda vez que </w:t>
      </w:r>
      <w:r>
        <w:rPr>
          <w:rFonts w:ascii="Palatino Linotype" w:hAnsi="Palatino Linotype"/>
        </w:rPr>
        <w:t>hace entrega parcialmente de la información.</w:t>
      </w:r>
    </w:p>
    <w:p w:rsidR="00254DAF" w:rsidRDefault="00254DAF" w:rsidP="00254DAF">
      <w:pPr>
        <w:spacing w:line="360" w:lineRule="auto"/>
        <w:jc w:val="both"/>
        <w:rPr>
          <w:rFonts w:ascii="Palatino Linotype" w:hAnsi="Palatino Linotype" w:cs="Tahoma"/>
        </w:rPr>
      </w:pPr>
    </w:p>
    <w:p w:rsidR="00254DAF" w:rsidRDefault="00254DAF" w:rsidP="00254DAF">
      <w:pPr>
        <w:spacing w:line="360" w:lineRule="auto"/>
        <w:jc w:val="both"/>
        <w:rPr>
          <w:rFonts w:ascii="Palatino Linotype" w:hAnsi="Palatino Linotype" w:cs="Tahoma"/>
        </w:rPr>
      </w:pPr>
      <w:r w:rsidRPr="000C7EBF">
        <w:rPr>
          <w:rFonts w:ascii="Palatino Linotype" w:hAnsi="Palatino Linotype" w:cs="Tahoma"/>
        </w:rPr>
        <w:t xml:space="preserve">Atento a lo anterior, resulta claro que existe fuente obligacional que constriñe al </w:t>
      </w:r>
      <w:r w:rsidRPr="000C7EBF">
        <w:rPr>
          <w:rFonts w:ascii="Palatino Linotype" w:hAnsi="Palatino Linotype" w:cs="Tahoma"/>
          <w:b/>
        </w:rPr>
        <w:t>Sujeto Obligado</w:t>
      </w:r>
      <w:r w:rsidRPr="000C7EBF">
        <w:rPr>
          <w:rFonts w:ascii="Palatino Linotype" w:hAnsi="Palatino Linotype" w:cs="Tahoma"/>
        </w:rPr>
        <w:t xml:space="preserve"> a generar</w:t>
      </w:r>
      <w:r>
        <w:rPr>
          <w:rFonts w:ascii="Palatino Linotype" w:hAnsi="Palatino Linotype" w:cs="Tahoma"/>
        </w:rPr>
        <w:t xml:space="preserve"> administrar y poseer</w:t>
      </w:r>
      <w:r w:rsidRPr="000C7EBF">
        <w:rPr>
          <w:rFonts w:ascii="Palatino Linotype" w:hAnsi="Palatino Linotype" w:cs="Tahoma"/>
        </w:rPr>
        <w:t xml:space="preserve"> la información interés del Particular, en consecuencia, la información solicitada; debe obrar en los archivos del </w:t>
      </w:r>
      <w:r w:rsidRPr="000C7EBF">
        <w:rPr>
          <w:rFonts w:ascii="Palatino Linotype" w:hAnsi="Palatino Linotype" w:cs="Tahoma"/>
          <w:b/>
        </w:rPr>
        <w:t>Sujeto Obligado</w:t>
      </w:r>
      <w:r w:rsidRPr="000C7EBF">
        <w:rPr>
          <w:rFonts w:ascii="Palatino Linotype" w:hAnsi="Palatino Linotype" w:cs="Tahoma"/>
        </w:rPr>
        <w:t>.</w:t>
      </w:r>
      <w:r>
        <w:rPr>
          <w:rFonts w:ascii="Palatino Linotype" w:hAnsi="Palatino Linotype" w:cs="Tahoma"/>
        </w:rPr>
        <w:t xml:space="preserve"> </w:t>
      </w:r>
    </w:p>
    <w:p w:rsidR="00254DAF" w:rsidRPr="00254DAF" w:rsidRDefault="00254DAF" w:rsidP="00254DAF">
      <w:pPr>
        <w:pStyle w:val="Prrafodelista"/>
        <w:numPr>
          <w:ilvl w:val="0"/>
          <w:numId w:val="12"/>
        </w:numPr>
        <w:spacing w:line="360" w:lineRule="auto"/>
        <w:jc w:val="both"/>
        <w:rPr>
          <w:rFonts w:ascii="Palatino Linotype" w:hAnsi="Palatino Linotype"/>
        </w:rPr>
      </w:pPr>
      <w:r w:rsidRPr="00254DAF">
        <w:rPr>
          <w:rFonts w:ascii="Palatino Linotype" w:hAnsi="Palatino Linotype" w:cs="Tahoma"/>
        </w:rPr>
        <w:t xml:space="preserve">El contrato es definido como </w:t>
      </w:r>
      <w:r w:rsidRPr="00254DAF">
        <w:rPr>
          <w:rFonts w:ascii="Palatino Linotype" w:hAnsi="Palatino Linotype"/>
        </w:rPr>
        <w:t xml:space="preserve">un acto jurídico bilateral que se constituye por el acuerdo de voluntades de dos o más personas y que produce ciertas </w:t>
      </w:r>
      <w:r w:rsidRPr="00254DAF">
        <w:rPr>
          <w:rFonts w:ascii="Palatino Linotype" w:hAnsi="Palatino Linotype"/>
        </w:rPr>
        <w:lastRenderedPageBreak/>
        <w:t>consecuencias jurídicas (creación o transmisión de derechos y obligaciones), debido al reconocimiento de una norma de derecho.</w:t>
      </w:r>
    </w:p>
    <w:p w:rsidR="00254DAF" w:rsidRPr="000C7EBF" w:rsidRDefault="00254DAF" w:rsidP="00254DAF">
      <w:pPr>
        <w:spacing w:line="360" w:lineRule="auto"/>
        <w:jc w:val="both"/>
        <w:rPr>
          <w:rFonts w:ascii="Palatino Linotype" w:hAnsi="Palatino Linotype" w:cs="Tahoma"/>
        </w:rPr>
      </w:pPr>
    </w:p>
    <w:p w:rsidR="00254DAF" w:rsidRDefault="00254DAF" w:rsidP="00254DAF">
      <w:pPr>
        <w:spacing w:line="360" w:lineRule="auto"/>
        <w:ind w:right="141"/>
        <w:jc w:val="both"/>
        <w:rPr>
          <w:rFonts w:ascii="Palatino Linotype" w:hAnsi="Palatino Linotype" w:cs="Tahoma"/>
        </w:rPr>
      </w:pPr>
      <w:r w:rsidRPr="000C7EBF">
        <w:rPr>
          <w:rFonts w:ascii="Palatino Linotype" w:hAnsi="Palatino Linotype" w:cs="Tahoma"/>
        </w:rPr>
        <w:t>En este sentido, de acuerdo a la naturaleza de la información solicitada se concluye que esta es de interés general y de alcance público, puesto que la ciudadan</w:t>
      </w:r>
      <w:r>
        <w:rPr>
          <w:rFonts w:ascii="Palatino Linotype" w:hAnsi="Palatino Linotype" w:cs="Tahoma"/>
        </w:rPr>
        <w:t>ía tiene derecho a saber los gastos realizados por los sujetos obligados</w:t>
      </w:r>
      <w:r w:rsidRPr="000C7EBF">
        <w:rPr>
          <w:rFonts w:ascii="Palatino Linotype" w:hAnsi="Palatino Linotype" w:cs="Tahoma"/>
        </w:rPr>
        <w:t xml:space="preserve">, esto es, su acceso permite transparentar </w:t>
      </w:r>
      <w:r>
        <w:rPr>
          <w:rFonts w:ascii="Palatino Linotype" w:hAnsi="Palatino Linotype" w:cs="Tahoma"/>
        </w:rPr>
        <w:t>las erogaciones del servicio público.</w:t>
      </w:r>
    </w:p>
    <w:p w:rsidR="00254DAF" w:rsidRDefault="00254DAF" w:rsidP="00590A49">
      <w:pPr>
        <w:spacing w:line="360" w:lineRule="auto"/>
        <w:jc w:val="both"/>
        <w:rPr>
          <w:rFonts w:ascii="Palatino Linotype" w:hAnsi="Palatino Linotype"/>
        </w:rPr>
      </w:pPr>
    </w:p>
    <w:p w:rsidR="00AA4A15" w:rsidRPr="00262823" w:rsidRDefault="00AA4A15" w:rsidP="00590A49">
      <w:pPr>
        <w:autoSpaceDE w:val="0"/>
        <w:autoSpaceDN w:val="0"/>
        <w:adjustRightInd w:val="0"/>
        <w:spacing w:before="240" w:line="360" w:lineRule="auto"/>
        <w:jc w:val="both"/>
        <w:rPr>
          <w:rFonts w:ascii="Palatino Linotype" w:hAnsi="Palatino Linotype" w:cs="Arial"/>
        </w:rPr>
      </w:pPr>
      <w:r w:rsidRPr="00262823">
        <w:rPr>
          <w:rFonts w:ascii="Palatino Linotype" w:hAnsi="Palatino Linotype" w:cs="Arial"/>
        </w:rPr>
        <w:t>A mayor abundamiento, debe observarse lo establecido en los artículos 1, fracción III</w:t>
      </w:r>
      <w:r w:rsidR="00254DAF" w:rsidRPr="00262823">
        <w:rPr>
          <w:rFonts w:ascii="Palatino Linotype" w:hAnsi="Palatino Linotype" w:cs="Arial"/>
        </w:rPr>
        <w:t xml:space="preserve"> y</w:t>
      </w:r>
      <w:r w:rsidRPr="00262823">
        <w:rPr>
          <w:rFonts w:ascii="Palatino Linotype" w:hAnsi="Palatino Linotype" w:cs="Arial"/>
        </w:rPr>
        <w:t xml:space="preserve"> </w:t>
      </w:r>
      <w:r w:rsidR="00254DAF" w:rsidRPr="00262823">
        <w:rPr>
          <w:rFonts w:ascii="Palatino Linotype" w:hAnsi="Palatino Linotype" w:cs="Arial"/>
        </w:rPr>
        <w:t xml:space="preserve">22 </w:t>
      </w:r>
      <w:r w:rsidRPr="00262823">
        <w:rPr>
          <w:rFonts w:ascii="Palatino Linotype" w:hAnsi="Palatino Linotype" w:cs="Arial"/>
        </w:rPr>
        <w:t>de la Ley de Contratación Pública del Estado de México y Municipios, los cuales se transcriben a continuación:</w:t>
      </w:r>
    </w:p>
    <w:p w:rsidR="00AA4A15" w:rsidRPr="00262823" w:rsidRDefault="00AA4A15" w:rsidP="00AA4A15">
      <w:pPr>
        <w:jc w:val="both"/>
        <w:rPr>
          <w:rFonts w:ascii="Palatino Linotype" w:hAnsi="Palatino Linotype" w:cs="Arial"/>
        </w:rPr>
      </w:pPr>
    </w:p>
    <w:p w:rsidR="00AA4A15" w:rsidRPr="00262823" w:rsidRDefault="00AA4A15" w:rsidP="00C77373">
      <w:pPr>
        <w:ind w:left="567" w:right="567"/>
        <w:jc w:val="both"/>
        <w:rPr>
          <w:rFonts w:ascii="Palatino Linotype" w:hAnsi="Palatino Linotype" w:cs="Arial"/>
          <w:sz w:val="19"/>
          <w:szCs w:val="19"/>
        </w:rPr>
      </w:pPr>
      <w:r w:rsidRPr="00262823">
        <w:rPr>
          <w:rFonts w:ascii="Palatino Linotype" w:hAnsi="Palatino Linotype" w:cs="Arial"/>
          <w:b/>
          <w:bCs/>
          <w:i/>
          <w:iCs/>
        </w:rPr>
        <w:t>“Artículo 1</w:t>
      </w:r>
      <w:r w:rsidRPr="00262823">
        <w:rPr>
          <w:rFonts w:ascii="Palatino Linotype" w:hAnsi="Palatino Linotype" w:cs="Arial"/>
          <w:i/>
          <w:iCs/>
        </w:rPr>
        <w:t>.- </w:t>
      </w:r>
      <w:r w:rsidRPr="00262823">
        <w:rPr>
          <w:rFonts w:ascii="Palatino Linotype" w:hAnsi="Palatino Linotype" w:cs="Arial"/>
          <w:b/>
          <w:bCs/>
          <w:i/>
          <w:iCs/>
          <w:u w:val="single"/>
        </w:rPr>
        <w:t>Esta Ley tiene por objeto regular los actos relativos a</w:t>
      </w:r>
      <w:r w:rsidRPr="00262823">
        <w:rPr>
          <w:rFonts w:ascii="Palatino Linotype" w:hAnsi="Palatino Linotype" w:cs="Arial"/>
          <w:i/>
          <w:iCs/>
        </w:rPr>
        <w:t> la planeación, programación, presupuestación, ejecución y control de </w:t>
      </w:r>
      <w:r w:rsidRPr="00262823">
        <w:rPr>
          <w:rFonts w:ascii="Palatino Linotype" w:hAnsi="Palatino Linotype" w:cs="Arial"/>
          <w:b/>
          <w:bCs/>
          <w:i/>
          <w:iCs/>
          <w:u w:val="single"/>
        </w:rPr>
        <w:t>la adquisición, enajenación y arrendamiento de bienes, y la contratación de servicios de cualquier naturaleza</w:t>
      </w:r>
      <w:r w:rsidRPr="00262823">
        <w:rPr>
          <w:rFonts w:ascii="Palatino Linotype" w:hAnsi="Palatino Linotype" w:cs="Arial"/>
          <w:i/>
          <w:iCs/>
        </w:rPr>
        <w:t>, </w:t>
      </w:r>
      <w:r w:rsidRPr="00262823">
        <w:rPr>
          <w:rFonts w:ascii="Palatino Linotype" w:hAnsi="Palatino Linotype" w:cs="Arial"/>
          <w:b/>
          <w:bCs/>
          <w:i/>
          <w:iCs/>
          <w:u w:val="single"/>
        </w:rPr>
        <w:t>que realicen</w:t>
      </w:r>
      <w:r w:rsidRPr="00262823">
        <w:rPr>
          <w:rFonts w:ascii="Palatino Linotype" w:hAnsi="Palatino Linotype" w:cs="Arial"/>
          <w:i/>
          <w:iCs/>
        </w:rPr>
        <w:t>:</w:t>
      </w:r>
    </w:p>
    <w:p w:rsidR="00AA4A15" w:rsidRPr="00262823" w:rsidRDefault="00AA4A15" w:rsidP="00C77373">
      <w:pPr>
        <w:ind w:left="567" w:right="567"/>
        <w:jc w:val="both"/>
        <w:rPr>
          <w:rFonts w:ascii="Palatino Linotype" w:hAnsi="Palatino Linotype" w:cs="Arial"/>
          <w:sz w:val="19"/>
          <w:szCs w:val="19"/>
        </w:rPr>
      </w:pPr>
      <w:r w:rsidRPr="00262823">
        <w:rPr>
          <w:rFonts w:ascii="Palatino Linotype" w:hAnsi="Palatino Linotype" w:cs="Arial"/>
          <w:i/>
          <w:iCs/>
        </w:rPr>
        <w:t>…</w:t>
      </w:r>
    </w:p>
    <w:p w:rsidR="00AA4A15" w:rsidRPr="00262823" w:rsidRDefault="00AA4A15" w:rsidP="00C77373">
      <w:pPr>
        <w:ind w:left="567" w:right="567"/>
        <w:jc w:val="both"/>
        <w:rPr>
          <w:rFonts w:ascii="Palatino Linotype" w:hAnsi="Palatino Linotype" w:cs="Arial"/>
          <w:sz w:val="19"/>
          <w:szCs w:val="19"/>
        </w:rPr>
      </w:pPr>
      <w:r w:rsidRPr="00262823">
        <w:rPr>
          <w:rFonts w:ascii="Palatino Linotype" w:hAnsi="Palatino Linotype" w:cs="Arial"/>
          <w:b/>
          <w:bCs/>
          <w:i/>
          <w:iCs/>
        </w:rPr>
        <w:t>III. </w:t>
      </w:r>
      <w:r w:rsidRPr="00262823">
        <w:rPr>
          <w:rFonts w:ascii="Palatino Linotype" w:hAnsi="Palatino Linotype" w:cs="Arial"/>
          <w:b/>
          <w:bCs/>
          <w:i/>
          <w:iCs/>
          <w:u w:val="single"/>
        </w:rPr>
        <w:t>Los ayuntamientos de los municipios del Estado</w:t>
      </w:r>
      <w:r w:rsidRPr="00262823">
        <w:rPr>
          <w:rFonts w:ascii="Palatino Linotype" w:hAnsi="Palatino Linotype" w:cs="Arial"/>
          <w:i/>
          <w:iCs/>
        </w:rPr>
        <w:t>.</w:t>
      </w:r>
    </w:p>
    <w:p w:rsidR="00AA4A15" w:rsidRPr="00825A38" w:rsidRDefault="00AA4A15" w:rsidP="00C77373">
      <w:pPr>
        <w:ind w:left="567" w:right="567"/>
        <w:jc w:val="both"/>
        <w:rPr>
          <w:rFonts w:ascii="Palatino Linotype" w:hAnsi="Palatino Linotype" w:cs="Arial"/>
          <w:b/>
          <w:bCs/>
          <w:i/>
          <w:iCs/>
          <w:highlight w:val="yellow"/>
        </w:rPr>
      </w:pPr>
    </w:p>
    <w:p w:rsidR="00AA4A15" w:rsidRPr="00825A38" w:rsidRDefault="00AA4A15" w:rsidP="00C77373">
      <w:pPr>
        <w:ind w:left="567" w:right="567"/>
        <w:jc w:val="both"/>
        <w:rPr>
          <w:rFonts w:ascii="Palatino Linotype" w:hAnsi="Palatino Linotype" w:cs="Arial"/>
          <w:b/>
          <w:bCs/>
          <w:i/>
          <w:iCs/>
          <w:highlight w:val="yellow"/>
        </w:rPr>
      </w:pPr>
    </w:p>
    <w:p w:rsidR="00254DAF" w:rsidRPr="00FC3DC5" w:rsidRDefault="00254DAF" w:rsidP="00C77373">
      <w:pPr>
        <w:pStyle w:val="Citas"/>
        <w:spacing w:after="0" w:line="240" w:lineRule="auto"/>
        <w:jc w:val="center"/>
        <w:rPr>
          <w:b/>
        </w:rPr>
      </w:pPr>
      <w:r w:rsidRPr="00FC3DC5">
        <w:rPr>
          <w:b/>
        </w:rPr>
        <w:t>CAPÍTULO QUINTO</w:t>
      </w:r>
    </w:p>
    <w:p w:rsidR="00254DAF" w:rsidRPr="00FC3DC5" w:rsidRDefault="00254DAF" w:rsidP="00C77373">
      <w:pPr>
        <w:pStyle w:val="Citas"/>
        <w:spacing w:after="0" w:line="240" w:lineRule="auto"/>
        <w:jc w:val="center"/>
        <w:rPr>
          <w:b/>
        </w:rPr>
      </w:pPr>
      <w:r w:rsidRPr="00FC3DC5">
        <w:rPr>
          <w:b/>
        </w:rPr>
        <w:t>DE LA INTEGRACIÓN Y FUNCIONES DE LOS COMITÉS</w:t>
      </w:r>
    </w:p>
    <w:p w:rsidR="00254DAF" w:rsidRDefault="00254DAF" w:rsidP="00C77373">
      <w:pPr>
        <w:pStyle w:val="Citas"/>
        <w:spacing w:after="0" w:line="240" w:lineRule="auto"/>
      </w:pPr>
      <w:r w:rsidRPr="0028210F">
        <w:rPr>
          <w:b/>
        </w:rPr>
        <w:t>Artículo 22.-</w:t>
      </w:r>
      <w:r>
        <w:t xml:space="preserve"> </w:t>
      </w:r>
      <w:r w:rsidRPr="0028210F">
        <w:rPr>
          <w:b/>
          <w:u w:val="single"/>
        </w:rPr>
        <w:t xml:space="preserve">Los comités son órganos colegiados con facultades de opinión, que tienen por objeto auxiliar a </w:t>
      </w:r>
      <w:r>
        <w:t xml:space="preserve">la Secretaría, entidades, tribunales administrativos y </w:t>
      </w:r>
      <w:r w:rsidRPr="0028210F">
        <w:rPr>
          <w:b/>
          <w:u w:val="single"/>
        </w:rPr>
        <w:t>ayuntamientos</w:t>
      </w:r>
      <w:r>
        <w:t xml:space="preserve">, en la substanciación de los procedimientos de adquisiciones y de servicios, de conformidad con el Reglamento y los manuales de operación. </w:t>
      </w:r>
    </w:p>
    <w:p w:rsidR="00254DAF" w:rsidRPr="0028210F" w:rsidRDefault="00254DAF" w:rsidP="00C77373">
      <w:pPr>
        <w:pStyle w:val="Citas"/>
        <w:spacing w:after="0" w:line="240" w:lineRule="auto"/>
        <w:rPr>
          <w:b/>
          <w:u w:val="single"/>
        </w:rPr>
      </w:pPr>
      <w:r>
        <w:lastRenderedPageBreak/>
        <w:t xml:space="preserve">En la Secretaría, en cada entidad, tribunal administrativo y </w:t>
      </w:r>
      <w:r w:rsidRPr="0028210F">
        <w:rPr>
          <w:b/>
          <w:u w:val="single"/>
        </w:rPr>
        <w:t xml:space="preserve">ayuntamiento se constituirá un comité de adquisiciones y servicios. </w:t>
      </w:r>
    </w:p>
    <w:p w:rsidR="00254DAF" w:rsidRPr="0028210F" w:rsidRDefault="00254DAF" w:rsidP="00C77373">
      <w:pPr>
        <w:pStyle w:val="Citas"/>
        <w:spacing w:after="0" w:line="240" w:lineRule="auto"/>
        <w:rPr>
          <w:b/>
          <w:u w:val="single"/>
        </w:rPr>
      </w:pPr>
      <w:r>
        <w:t xml:space="preserve">La Secretaría, las entidades, los tribunales administrativos y los </w:t>
      </w:r>
      <w:r w:rsidRPr="0028210F">
        <w:rPr>
          <w:b/>
          <w:u w:val="single"/>
        </w:rPr>
        <w:t xml:space="preserve">ayuntamientos se auxiliarán de un comité de arrendamientos, adquisiciones de inmuebles y enajenaciones. </w:t>
      </w:r>
    </w:p>
    <w:p w:rsidR="00254DAF" w:rsidRPr="0028210F" w:rsidRDefault="00254DAF" w:rsidP="00C77373">
      <w:pPr>
        <w:pStyle w:val="Citas"/>
        <w:spacing w:after="0" w:line="240" w:lineRule="auto"/>
        <w:rPr>
          <w:b/>
          <w:u w:val="single"/>
        </w:rPr>
      </w:pPr>
      <w:r w:rsidRPr="0028210F">
        <w:rPr>
          <w:b/>
        </w:rPr>
        <w:t>Artículo 23.-</w:t>
      </w:r>
      <w:r>
        <w:t xml:space="preserve"> </w:t>
      </w:r>
      <w:r w:rsidRPr="0028210F">
        <w:rPr>
          <w:b/>
          <w:u w:val="single"/>
        </w:rPr>
        <w:t xml:space="preserve">Los comités de adquisiciones y de servicios tendrán las funciones siguientes: </w:t>
      </w:r>
    </w:p>
    <w:p w:rsidR="00254DAF" w:rsidRDefault="00254DAF" w:rsidP="00C77373">
      <w:pPr>
        <w:pStyle w:val="Citas"/>
        <w:numPr>
          <w:ilvl w:val="0"/>
          <w:numId w:val="18"/>
        </w:numPr>
        <w:spacing w:after="0" w:line="240" w:lineRule="auto"/>
      </w:pPr>
      <w:r>
        <w:t xml:space="preserve">Dictaminar sobre la procedencia de los casos de excepción al procedimiento de licitación pública. </w:t>
      </w:r>
    </w:p>
    <w:p w:rsidR="00254DAF" w:rsidRDefault="00254DAF" w:rsidP="00C77373">
      <w:pPr>
        <w:pStyle w:val="Citas"/>
        <w:numPr>
          <w:ilvl w:val="0"/>
          <w:numId w:val="18"/>
        </w:numPr>
        <w:spacing w:after="0" w:line="240" w:lineRule="auto"/>
      </w:pPr>
      <w:r>
        <w:t xml:space="preserve">Participar en los procedimientos de licitación, invitación restringida y adjudicación directa, hasta dejarlos en estado de dictar el fallo correspondiente, incluidos los que tengan que desahogarse bajo la modalidad de subasta inversa. </w:t>
      </w:r>
    </w:p>
    <w:p w:rsidR="00254DAF" w:rsidRDefault="00254DAF" w:rsidP="00C77373">
      <w:pPr>
        <w:pStyle w:val="Citas"/>
        <w:numPr>
          <w:ilvl w:val="0"/>
          <w:numId w:val="18"/>
        </w:numPr>
        <w:spacing w:after="0" w:line="240" w:lineRule="auto"/>
      </w:pPr>
      <w:r>
        <w:t xml:space="preserve">Emitir los dictámenes de adjudicación. </w:t>
      </w:r>
    </w:p>
    <w:p w:rsidR="00254DAF" w:rsidRDefault="00254DAF" w:rsidP="00C77373">
      <w:pPr>
        <w:pStyle w:val="Citas"/>
        <w:numPr>
          <w:ilvl w:val="0"/>
          <w:numId w:val="18"/>
        </w:numPr>
        <w:spacing w:after="0" w:line="240" w:lineRule="auto"/>
      </w:pPr>
      <w:r>
        <w:t xml:space="preserve">Las demás que establezca el reglamento de esta Ley. </w:t>
      </w:r>
    </w:p>
    <w:p w:rsidR="00254DAF" w:rsidRDefault="00254DAF" w:rsidP="00C77373">
      <w:pPr>
        <w:jc w:val="both"/>
        <w:rPr>
          <w:rFonts w:ascii="Palatino Linotype" w:hAnsi="Palatino Linotype"/>
          <w:lang w:val="es-MX"/>
        </w:rPr>
      </w:pPr>
    </w:p>
    <w:p w:rsidR="00254DAF" w:rsidRDefault="00254DAF" w:rsidP="00C77373">
      <w:pPr>
        <w:spacing w:line="360" w:lineRule="auto"/>
        <w:jc w:val="both"/>
        <w:rPr>
          <w:rFonts w:ascii="Palatino Linotype" w:hAnsi="Palatino Linotype"/>
          <w:lang w:val="es-MX"/>
        </w:rPr>
      </w:pPr>
      <w:r>
        <w:rPr>
          <w:rFonts w:ascii="Palatino Linotype" w:hAnsi="Palatino Linotype"/>
          <w:lang w:val="es-MX"/>
        </w:rPr>
        <w:t xml:space="preserve">Por otro lado, el Reglamento de la Ley de Ley de Contratación Pública del Estado de México y Municipios, establece lo siguiente: </w:t>
      </w:r>
    </w:p>
    <w:p w:rsidR="00254DAF" w:rsidRPr="00295F4E" w:rsidRDefault="00254DAF" w:rsidP="00C77373">
      <w:pPr>
        <w:pStyle w:val="Citas"/>
        <w:spacing w:after="0" w:line="240" w:lineRule="auto"/>
        <w:jc w:val="center"/>
        <w:rPr>
          <w:b/>
        </w:rPr>
      </w:pPr>
      <w:r w:rsidRPr="00295F4E">
        <w:rPr>
          <w:b/>
        </w:rPr>
        <w:t>CAPÍTULO PRIMERO</w:t>
      </w:r>
    </w:p>
    <w:p w:rsidR="00254DAF" w:rsidRPr="00295F4E" w:rsidRDefault="00254DAF" w:rsidP="00C77373">
      <w:pPr>
        <w:pStyle w:val="Citas"/>
        <w:spacing w:after="0" w:line="240" w:lineRule="auto"/>
        <w:jc w:val="center"/>
        <w:rPr>
          <w:b/>
        </w:rPr>
      </w:pPr>
      <w:r w:rsidRPr="00295F4E">
        <w:rPr>
          <w:b/>
        </w:rPr>
        <w:t>DEL COMITÉ DE ADQUISICIONES Y SERVICIOS</w:t>
      </w:r>
    </w:p>
    <w:p w:rsidR="00254DAF" w:rsidRDefault="00254DAF" w:rsidP="00C77373">
      <w:pPr>
        <w:pStyle w:val="Citas"/>
        <w:spacing w:after="0" w:line="240" w:lineRule="auto"/>
      </w:pPr>
      <w:r w:rsidRPr="00295F4E">
        <w:rPr>
          <w:b/>
        </w:rPr>
        <w:t>Artículo 43.-</w:t>
      </w:r>
      <w:r>
        <w:t xml:space="preserve"> La Secretaría, organismos auxiliares, tribunales administrativos y </w:t>
      </w:r>
      <w:r w:rsidRPr="00295F4E">
        <w:rPr>
          <w:b/>
          <w:u w:val="single"/>
        </w:rPr>
        <w:t>municipios, se auxiliarán de un Comité de Adquisiciones y Servicios, para la substanciación de los procedimientos de adquisición</w:t>
      </w:r>
      <w:r>
        <w:t xml:space="preserve"> regulados en la Ley. </w:t>
      </w:r>
    </w:p>
    <w:p w:rsidR="00254DAF" w:rsidRDefault="00254DAF" w:rsidP="00C77373">
      <w:pPr>
        <w:pStyle w:val="Citas"/>
        <w:spacing w:after="0" w:line="240" w:lineRule="auto"/>
      </w:pPr>
      <w:r w:rsidRPr="00295F4E">
        <w:rPr>
          <w:b/>
        </w:rPr>
        <w:t>Artículo 44.-</w:t>
      </w:r>
      <w:r>
        <w:t xml:space="preserve"> El Comité de Adquisiciones y Servicios se integrará por: </w:t>
      </w:r>
    </w:p>
    <w:p w:rsidR="00254DAF" w:rsidRDefault="00254DAF" w:rsidP="00C77373">
      <w:pPr>
        <w:pStyle w:val="Citas"/>
        <w:numPr>
          <w:ilvl w:val="0"/>
          <w:numId w:val="19"/>
        </w:numPr>
        <w:spacing w:after="0" w:line="240" w:lineRule="auto"/>
      </w:pPr>
      <w:r>
        <w:t xml:space="preserve">En la Secretaría, por el titular del área encargada de operar el sistema de adquisiciones de las dependencias del Poder Ejecutivo, y en los organismos auxiliares, tribunales administrativos y municipios, por el titular de la unidad administrativa, quien fungirá como presidente; </w:t>
      </w:r>
    </w:p>
    <w:p w:rsidR="00254DAF" w:rsidRDefault="00254DAF" w:rsidP="00C77373">
      <w:pPr>
        <w:pStyle w:val="Citas"/>
        <w:numPr>
          <w:ilvl w:val="0"/>
          <w:numId w:val="19"/>
        </w:numPr>
        <w:spacing w:after="0" w:line="240" w:lineRule="auto"/>
      </w:pPr>
      <w:r>
        <w:lastRenderedPageBreak/>
        <w:t xml:space="preserve">Un representante del área financiera de la Secretaría, entidad, tribunal administrativo o municipio, con función de vocal; </w:t>
      </w:r>
    </w:p>
    <w:p w:rsidR="00254DAF" w:rsidRDefault="00254DAF" w:rsidP="00C77373">
      <w:pPr>
        <w:pStyle w:val="Citas"/>
        <w:numPr>
          <w:ilvl w:val="0"/>
          <w:numId w:val="19"/>
        </w:numPr>
        <w:spacing w:after="0" w:line="240" w:lineRule="auto"/>
      </w:pPr>
      <w:r>
        <w:t>Un representante de cada dependencia o unidad administrativa interesada en la adquisición de los bienes o contratación del servicio, con función de vocal;</w:t>
      </w:r>
    </w:p>
    <w:p w:rsidR="00254DAF" w:rsidRDefault="00254DAF" w:rsidP="00C77373">
      <w:pPr>
        <w:pStyle w:val="Citas"/>
        <w:numPr>
          <w:ilvl w:val="0"/>
          <w:numId w:val="19"/>
        </w:numPr>
        <w:spacing w:after="0" w:line="240" w:lineRule="auto"/>
      </w:pPr>
      <w:r>
        <w:t>Un representante de la Consejería Jurídica o del área jurídica respectiva o quien lleve a cabo las funciones de esta naturaleza, con función de vocal;</w:t>
      </w:r>
    </w:p>
    <w:p w:rsidR="00254DAF" w:rsidRDefault="00254DAF" w:rsidP="00C77373">
      <w:pPr>
        <w:pStyle w:val="Citas"/>
        <w:numPr>
          <w:ilvl w:val="0"/>
          <w:numId w:val="19"/>
        </w:numPr>
        <w:spacing w:after="0" w:line="240" w:lineRule="auto"/>
      </w:pPr>
      <w:r>
        <w:t>Un representante del Órgano de Control, con función de vocal; y</w:t>
      </w:r>
    </w:p>
    <w:p w:rsidR="00254DAF" w:rsidRDefault="00254DAF" w:rsidP="00C77373">
      <w:pPr>
        <w:pStyle w:val="Citas"/>
        <w:numPr>
          <w:ilvl w:val="0"/>
          <w:numId w:val="19"/>
        </w:numPr>
        <w:spacing w:after="0" w:line="240" w:lineRule="auto"/>
      </w:pPr>
      <w:r>
        <w:t xml:space="preserve">Un secretario ejecutivo, que será designado por el presidente. </w:t>
      </w:r>
    </w:p>
    <w:p w:rsidR="00254DAF" w:rsidRDefault="00254DAF" w:rsidP="00C77373">
      <w:pPr>
        <w:pStyle w:val="Citas"/>
        <w:spacing w:after="0" w:line="240" w:lineRule="auto"/>
      </w:pPr>
      <w:r>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rsidR="00254DAF" w:rsidRDefault="00254DAF" w:rsidP="00C77373">
      <w:pPr>
        <w:pStyle w:val="Citas"/>
        <w:spacing w:after="0" w:line="240" w:lineRule="auto"/>
        <w:rPr>
          <w:lang w:val="es-ES"/>
        </w:rPr>
      </w:pPr>
      <w:r>
        <w:t xml:space="preserve">Los integrantes del comité tendrán derecho a voz y voto a excepción de los indicados en las fracciones V y VI, quienes sólo participarán con voz, debiendo fundamentar y motivar el sentido de su opinión, a </w:t>
      </w:r>
      <w:r w:rsidRPr="00295F4E">
        <w:rPr>
          <w:lang w:val="es-ES"/>
        </w:rPr>
        <w:t xml:space="preserve">efecto de que sea incluida en el acta correspondiente. En caso de empate, el presidente tendrá voto de calidad. </w:t>
      </w:r>
    </w:p>
    <w:p w:rsidR="00254DAF" w:rsidRDefault="00254DAF" w:rsidP="00C77373">
      <w:pPr>
        <w:pStyle w:val="Citas"/>
        <w:spacing w:after="0" w:line="240" w:lineRule="auto"/>
        <w:rPr>
          <w:lang w:val="es-ES"/>
        </w:rPr>
      </w:pPr>
      <w:r w:rsidRPr="00295F4E">
        <w:rPr>
          <w:lang w:val="es-ES"/>
        </w:rPr>
        <w:t xml:space="preserve">A las sesiones del comité podrá invitarse a cualquier persona cuya intervención se considere necesaria por el secretario ejecutivo, para aclarar aspectos técnicos o administrativos relacionados con los asuntos sometidos al comité. </w:t>
      </w:r>
    </w:p>
    <w:p w:rsidR="00254DAF" w:rsidRDefault="00254DAF" w:rsidP="00C77373">
      <w:pPr>
        <w:pStyle w:val="Citas"/>
        <w:spacing w:after="0" w:line="240" w:lineRule="auto"/>
        <w:rPr>
          <w:lang w:val="es-ES"/>
        </w:rPr>
      </w:pPr>
      <w:r w:rsidRPr="00295F4E">
        <w:rPr>
          <w:lang w:val="es-ES"/>
        </w:rPr>
        <w:t>Los integrantes del comité designarán por escrito a sus respectivos suplentes, y sólo participarán en ausencia del titular. Los cargos de los integrantes del comité serán honoríficos.</w:t>
      </w:r>
    </w:p>
    <w:p w:rsidR="00254DAF" w:rsidRDefault="00254DAF" w:rsidP="00C77373">
      <w:pPr>
        <w:pStyle w:val="Citas"/>
        <w:spacing w:after="0" w:line="240" w:lineRule="auto"/>
        <w:rPr>
          <w:lang w:val="es-ES"/>
        </w:rPr>
      </w:pPr>
      <w:r w:rsidRPr="00295F4E">
        <w:rPr>
          <w:b/>
          <w:lang w:val="es-ES"/>
        </w:rPr>
        <w:t>Artículo 45.-</w:t>
      </w:r>
      <w:r w:rsidRPr="00295F4E">
        <w:rPr>
          <w:lang w:val="es-ES"/>
        </w:rPr>
        <w:t xml:space="preserve"> Además de las señaladas en la Ley, el comité tendrá las funciones siguientes: </w:t>
      </w:r>
    </w:p>
    <w:p w:rsidR="00254DAF" w:rsidRDefault="00254DAF" w:rsidP="00C77373">
      <w:pPr>
        <w:pStyle w:val="Citas"/>
        <w:numPr>
          <w:ilvl w:val="0"/>
          <w:numId w:val="20"/>
        </w:numPr>
        <w:spacing w:after="0" w:line="240" w:lineRule="auto"/>
        <w:rPr>
          <w:lang w:val="es-ES"/>
        </w:rPr>
      </w:pPr>
      <w:r>
        <w:rPr>
          <w:lang w:val="es-ES"/>
        </w:rPr>
        <w:t>Expedir su manual de operación;</w:t>
      </w:r>
    </w:p>
    <w:p w:rsidR="00254DAF" w:rsidRPr="00295F4E" w:rsidRDefault="00254DAF" w:rsidP="00C77373">
      <w:pPr>
        <w:pStyle w:val="Citas"/>
        <w:numPr>
          <w:ilvl w:val="0"/>
          <w:numId w:val="20"/>
        </w:numPr>
        <w:spacing w:after="0" w:line="240" w:lineRule="auto"/>
      </w:pPr>
      <w:r w:rsidRPr="00295F4E">
        <w:rPr>
          <w:lang w:val="es-ES"/>
        </w:rPr>
        <w:t>Analizar y evaluar las propuestas técnicas y económicas presentadas dentro de</w:t>
      </w:r>
      <w:r>
        <w:rPr>
          <w:lang w:val="es-ES"/>
        </w:rPr>
        <w:t>l procedimiento de adquisición;</w:t>
      </w:r>
    </w:p>
    <w:p w:rsidR="00254DAF" w:rsidRPr="00295F4E" w:rsidRDefault="00254DAF" w:rsidP="00C77373">
      <w:pPr>
        <w:pStyle w:val="Citas"/>
        <w:numPr>
          <w:ilvl w:val="0"/>
          <w:numId w:val="20"/>
        </w:numPr>
        <w:spacing w:after="0" w:line="240" w:lineRule="auto"/>
      </w:pPr>
      <w:r w:rsidRPr="00295F4E">
        <w:rPr>
          <w:lang w:val="es-ES"/>
        </w:rPr>
        <w:lastRenderedPageBreak/>
        <w:t xml:space="preserve">Solicitar asesoría técnica cuando así se requiera, a las cámaras de comercio, de industria, de servicios o de las confederaciones que las agrupan, colegios profesionales, instituciones de investigación o entidades similares; </w:t>
      </w:r>
    </w:p>
    <w:p w:rsidR="00254DAF" w:rsidRPr="00295F4E" w:rsidRDefault="00254DAF" w:rsidP="00C77373">
      <w:pPr>
        <w:pStyle w:val="Citas"/>
        <w:numPr>
          <w:ilvl w:val="0"/>
          <w:numId w:val="20"/>
        </w:numPr>
        <w:spacing w:after="0" w:line="240" w:lineRule="auto"/>
      </w:pPr>
      <w:r w:rsidRPr="00295F4E">
        <w:rPr>
          <w:lang w:val="es-ES"/>
        </w:rPr>
        <w:t xml:space="preserve">Implementar acciones que considere necesarias para el mejoramiento del procedimiento de adquisición; </w:t>
      </w:r>
    </w:p>
    <w:p w:rsidR="00254DAF" w:rsidRPr="00295F4E" w:rsidRDefault="00254DAF" w:rsidP="00C77373">
      <w:pPr>
        <w:pStyle w:val="Citas"/>
        <w:numPr>
          <w:ilvl w:val="0"/>
          <w:numId w:val="20"/>
        </w:numPr>
        <w:spacing w:after="0" w:line="240" w:lineRule="auto"/>
      </w:pPr>
      <w:r w:rsidRPr="00295F4E">
        <w:rPr>
          <w:lang w:val="es-ES"/>
        </w:rPr>
        <w:t xml:space="preserve">Emitir el dictamen de adjudicación; </w:t>
      </w:r>
    </w:p>
    <w:p w:rsidR="00254DAF" w:rsidRPr="00295F4E" w:rsidRDefault="00254DAF" w:rsidP="00C77373">
      <w:pPr>
        <w:pStyle w:val="Citas"/>
        <w:numPr>
          <w:ilvl w:val="0"/>
          <w:numId w:val="20"/>
        </w:numPr>
        <w:spacing w:after="0" w:line="240" w:lineRule="auto"/>
      </w:pPr>
      <w:r w:rsidRPr="00295F4E">
        <w:rPr>
          <w:lang w:val="es-ES"/>
        </w:rPr>
        <w:t xml:space="preserve"> Crear subcomités y grupos de trabajo de orden administrativo y técnico que considere necesarios para el desarrollo de sus funciones; y </w:t>
      </w:r>
    </w:p>
    <w:p w:rsidR="00254DAF" w:rsidRPr="00295F4E" w:rsidRDefault="00254DAF" w:rsidP="00C77373">
      <w:pPr>
        <w:pStyle w:val="Citas"/>
        <w:numPr>
          <w:ilvl w:val="0"/>
          <w:numId w:val="20"/>
        </w:numPr>
        <w:spacing w:after="0" w:line="240" w:lineRule="auto"/>
      </w:pPr>
      <w:r w:rsidRPr="00295F4E">
        <w:rPr>
          <w:lang w:val="es-ES"/>
        </w:rPr>
        <w:t xml:space="preserve">Las demás que sean necesarias para el cumplimiento de sus funciones. </w:t>
      </w:r>
    </w:p>
    <w:p w:rsidR="00254DAF" w:rsidRDefault="00254DAF" w:rsidP="00C77373">
      <w:pPr>
        <w:pStyle w:val="Citas"/>
        <w:spacing w:after="0" w:line="240" w:lineRule="auto"/>
        <w:rPr>
          <w:lang w:val="es-ES"/>
        </w:rPr>
      </w:pPr>
      <w:r w:rsidRPr="00295F4E">
        <w:rPr>
          <w:b/>
          <w:lang w:val="es-ES"/>
        </w:rPr>
        <w:t>Artículo 46.-</w:t>
      </w:r>
      <w:r w:rsidRPr="00295F4E">
        <w:rPr>
          <w:lang w:val="es-ES"/>
        </w:rPr>
        <w:t xml:space="preserve"> Los integrantes del comité tendrán las siguientes funciones: </w:t>
      </w:r>
    </w:p>
    <w:p w:rsidR="00254DAF" w:rsidRDefault="00254DAF" w:rsidP="00C77373">
      <w:pPr>
        <w:pStyle w:val="Citas"/>
        <w:numPr>
          <w:ilvl w:val="0"/>
          <w:numId w:val="21"/>
        </w:numPr>
        <w:spacing w:after="0" w:line="240" w:lineRule="auto"/>
        <w:rPr>
          <w:lang w:val="es-ES"/>
        </w:rPr>
      </w:pPr>
      <w:r w:rsidRPr="00295F4E">
        <w:rPr>
          <w:lang w:val="es-ES"/>
        </w:rPr>
        <w:t>Presidente: Representar legalmente al comité, autorizar la convocatoria y el orden del día de las sesiones; convocar a sus integrantes cuando sea necesario y emitir su voto, así como firmar las actas de los actos e</w:t>
      </w:r>
      <w:r>
        <w:rPr>
          <w:lang w:val="es-ES"/>
        </w:rPr>
        <w:t xml:space="preserve">n los que haya participado; </w:t>
      </w:r>
    </w:p>
    <w:p w:rsidR="00254DAF" w:rsidRPr="00295F4E" w:rsidRDefault="00254DAF" w:rsidP="00C77373">
      <w:pPr>
        <w:pStyle w:val="Citas"/>
        <w:numPr>
          <w:ilvl w:val="0"/>
          <w:numId w:val="21"/>
        </w:numPr>
        <w:spacing w:after="0" w:line="240" w:lineRule="auto"/>
      </w:pPr>
      <w:r w:rsidRPr="00295F4E">
        <w:rPr>
          <w:lang w:val="es-ES"/>
        </w:rPr>
        <w:t xml:space="preserve">Secretario ejecutivo: Vigilar la elaboración y expedición de la convocatoria a sesión, orden del día y de los listados de los asuntos que se tratarán, integrando, de ser el caso, los soportes documentales necesarios, así como remitirlos a cada integrante del comité. Estará facultado para tomar las medidas necesarias para el cumplimiento de los acuerdos del comité, informando el seguimiento de los asuntos en trámite; levantar acta de cada una de las sesiones, asentando los acuerdos del comité, asegurándose que el archivo de documentos se integre y se mantenga actualizado, así como firmar las actas de los actos en los que haya participado; y </w:t>
      </w:r>
    </w:p>
    <w:p w:rsidR="00254DAF" w:rsidRPr="00295F4E" w:rsidRDefault="00254DAF" w:rsidP="00C77373">
      <w:pPr>
        <w:pStyle w:val="Citas"/>
        <w:numPr>
          <w:ilvl w:val="0"/>
          <w:numId w:val="21"/>
        </w:numPr>
        <w:spacing w:after="0" w:line="240" w:lineRule="auto"/>
      </w:pPr>
      <w:r w:rsidRPr="00295F4E">
        <w:rPr>
          <w:lang w:val="es-ES"/>
        </w:rPr>
        <w:t>Vocales: Remitir al secretario ejecutivo antes de la sesión, los documentos relativos a los asuntos que se deban someter a la consideración del comité; analizar el orden del día y los</w:t>
      </w:r>
      <w:r>
        <w:rPr>
          <w:lang w:val="es-ES"/>
        </w:rPr>
        <w:t xml:space="preserve"> </w:t>
      </w:r>
      <w:r w:rsidRPr="00295F4E">
        <w:rPr>
          <w:lang w:val="es-ES"/>
        </w:rPr>
        <w:t>asuntos a tratar, emitir los comentarios fundados y motivados que estimen pertinentes, y emitir su voto quienes tengan derecho a ello, así como firmar las actas de los actos en los que haya participado.</w:t>
      </w:r>
    </w:p>
    <w:p w:rsidR="00254DAF" w:rsidRDefault="00254DAF" w:rsidP="00C77373">
      <w:pPr>
        <w:pStyle w:val="Citas"/>
        <w:spacing w:after="0" w:line="240" w:lineRule="auto"/>
        <w:rPr>
          <w:lang w:val="es-ES"/>
        </w:rPr>
      </w:pPr>
      <w:r w:rsidRPr="00295F4E">
        <w:rPr>
          <w:lang w:val="es-ES"/>
        </w:rPr>
        <w:t>El comité, para el mejor desempeño de sus funciones, podrá asistirse de asesores, a fin de allegarse de la información necesaria sobre la materia de los asuntos que se traten al seno del mismo.</w:t>
      </w:r>
    </w:p>
    <w:p w:rsidR="00254DAF" w:rsidRDefault="00254DAF" w:rsidP="00C77373">
      <w:pPr>
        <w:pStyle w:val="Citas"/>
        <w:spacing w:after="0" w:line="240" w:lineRule="auto"/>
        <w:rPr>
          <w:lang w:val="es-ES"/>
        </w:rPr>
      </w:pPr>
      <w:r w:rsidRPr="00295F4E">
        <w:rPr>
          <w:b/>
          <w:lang w:val="es-ES"/>
        </w:rPr>
        <w:lastRenderedPageBreak/>
        <w:t>Artículo 47.-</w:t>
      </w:r>
      <w:r w:rsidRPr="00295F4E">
        <w:rPr>
          <w:lang w:val="es-ES"/>
        </w:rPr>
        <w:t xml:space="preserve"> </w:t>
      </w:r>
      <w:r w:rsidRPr="00295F4E">
        <w:rPr>
          <w:b/>
          <w:u w:val="single"/>
          <w:lang w:val="es-ES"/>
        </w:rPr>
        <w:t>El comité sesionará cuando sea convocado por el presidente</w:t>
      </w:r>
      <w:r w:rsidRPr="00295F4E">
        <w:rPr>
          <w:lang w:val="es-ES"/>
        </w:rPr>
        <w:t>, o cuando lo solicite alguno de sus integrantes.</w:t>
      </w:r>
    </w:p>
    <w:p w:rsidR="00254DAF" w:rsidRPr="00295F4E" w:rsidRDefault="00254DAF" w:rsidP="00C77373">
      <w:pPr>
        <w:pStyle w:val="Citas"/>
        <w:spacing w:after="0" w:line="240" w:lineRule="auto"/>
        <w:rPr>
          <w:b/>
          <w:u w:val="single"/>
        </w:rPr>
      </w:pPr>
      <w:r w:rsidRPr="00295F4E">
        <w:rPr>
          <w:b/>
          <w:u w:val="single"/>
        </w:rPr>
        <w:t xml:space="preserve">Artículo 48.- Las sesiones del comité se desarrollarán de la siguiente forma: </w:t>
      </w:r>
    </w:p>
    <w:p w:rsidR="00254DAF" w:rsidRDefault="00254DAF" w:rsidP="00C77373">
      <w:pPr>
        <w:pStyle w:val="Citas"/>
        <w:numPr>
          <w:ilvl w:val="0"/>
          <w:numId w:val="22"/>
        </w:numPr>
        <w:spacing w:after="0" w:line="240" w:lineRule="auto"/>
        <w:rPr>
          <w:lang w:val="es-ES"/>
        </w:rPr>
      </w:pPr>
      <w:r w:rsidRPr="00295F4E">
        <w:rPr>
          <w:b/>
          <w:u w:val="single"/>
          <w:lang w:val="es-ES"/>
        </w:rPr>
        <w:t>Ordinarias, por lo menos cada quince días,</w:t>
      </w:r>
      <w:r w:rsidRPr="00295F4E">
        <w:rPr>
          <w:lang w:val="es-ES"/>
        </w:rPr>
        <w:t xml:space="preserve"> salvo que no existan asuntos por tratar; </w:t>
      </w:r>
    </w:p>
    <w:p w:rsidR="00254DAF" w:rsidRPr="00295F4E" w:rsidRDefault="00254DAF" w:rsidP="00C77373">
      <w:pPr>
        <w:pStyle w:val="Citas"/>
        <w:numPr>
          <w:ilvl w:val="0"/>
          <w:numId w:val="22"/>
        </w:numPr>
        <w:spacing w:after="0" w:line="240" w:lineRule="auto"/>
        <w:rPr>
          <w:b/>
          <w:u w:val="single"/>
        </w:rPr>
      </w:pPr>
      <w:r w:rsidRPr="00295F4E">
        <w:rPr>
          <w:b/>
          <w:u w:val="single"/>
          <w:lang w:val="es-ES"/>
        </w:rPr>
        <w:t xml:space="preserve">Extraordinarias, cuando se requieran; </w:t>
      </w:r>
    </w:p>
    <w:p w:rsidR="00254DAF" w:rsidRPr="00295F4E" w:rsidRDefault="00254DAF" w:rsidP="00C77373">
      <w:pPr>
        <w:pStyle w:val="Citas"/>
        <w:numPr>
          <w:ilvl w:val="0"/>
          <w:numId w:val="22"/>
        </w:numPr>
        <w:spacing w:after="0" w:line="240" w:lineRule="auto"/>
      </w:pPr>
      <w:r w:rsidRPr="00295F4E">
        <w:rPr>
          <w:lang w:val="es-ES"/>
        </w:rPr>
        <w:t xml:space="preserve">Se celebrarán cuando asista la mayoría de los integrantes con derecho a voto. En ausencia del presidente o de su suplente, las sesiones no podrán llevarse a cabo; </w:t>
      </w:r>
    </w:p>
    <w:p w:rsidR="00254DAF" w:rsidRPr="00295F4E" w:rsidRDefault="00254DAF" w:rsidP="00C77373">
      <w:pPr>
        <w:pStyle w:val="Citas"/>
        <w:numPr>
          <w:ilvl w:val="0"/>
          <w:numId w:val="22"/>
        </w:numPr>
        <w:spacing w:after="0" w:line="240" w:lineRule="auto"/>
      </w:pPr>
      <w:r w:rsidRPr="00295F4E">
        <w:rPr>
          <w:lang w:val="es-ES"/>
        </w:rPr>
        <w:t>Se realizarán previa convocatoria y se desarrollarán conforme al orden del día enviado a los integrantes del comité. Sus acuerdos se tomarán por mayoría de votos o unanimidad. En caso de empate el presidente tendrá voto de calidad. Los documentos correspondientes de cada sesión, se entregarán previamente a los integrantes del comité conjuntamente con el orden del día, con una anticipación de al menos tres días para las ordinarias y un d</w:t>
      </w:r>
      <w:r w:rsidR="00262823">
        <w:rPr>
          <w:lang w:val="es-ES"/>
        </w:rPr>
        <w:t xml:space="preserve">ía para las extraordinarias; </w:t>
      </w:r>
    </w:p>
    <w:p w:rsidR="00254DAF" w:rsidRPr="00295F4E" w:rsidRDefault="00254DAF" w:rsidP="00C77373">
      <w:pPr>
        <w:pStyle w:val="Citas"/>
        <w:numPr>
          <w:ilvl w:val="0"/>
          <w:numId w:val="22"/>
        </w:numPr>
        <w:spacing w:after="0" w:line="240" w:lineRule="auto"/>
      </w:pPr>
      <w:r w:rsidRPr="00254DAF">
        <w:rPr>
          <w:lang w:val="es-ES"/>
        </w:rPr>
        <w:t xml:space="preserve">Al término de cada sesión se levantará acta que será firmada por los integrantes del comité que hubieran asistido a la sesión. En dicha acta se deberá señalar el sentido del acuerdo tomado por los integrantes y los comentarios fundados y motivados relevantes de cada caso. </w:t>
      </w:r>
      <w:r w:rsidRPr="00295F4E">
        <w:rPr>
          <w:lang w:val="es-ES"/>
        </w:rPr>
        <w:t xml:space="preserve">Los asesores y los invitados firmarán el acta como constancia de su participación; </w:t>
      </w:r>
    </w:p>
    <w:p w:rsidR="00254DAF" w:rsidRPr="00295F4E" w:rsidRDefault="00254DAF" w:rsidP="00C77373">
      <w:pPr>
        <w:pStyle w:val="Citas"/>
        <w:numPr>
          <w:ilvl w:val="0"/>
          <w:numId w:val="22"/>
        </w:numPr>
        <w:spacing w:after="0" w:line="240" w:lineRule="auto"/>
      </w:pPr>
      <w:r w:rsidRPr="00295F4E">
        <w:rPr>
          <w:lang w:val="es-ES"/>
        </w:rPr>
        <w:t xml:space="preserve">En las sesiones ordinarias deberá incluirse dentro del orden del día, un punto relacionado con el seguimiento de acuerdos anteriores y uno correspondiente a asuntos generales en el que sólo podrán incluirse asuntos de carácter informativo; y </w:t>
      </w:r>
    </w:p>
    <w:p w:rsidR="00254DAF" w:rsidRPr="00295F4E" w:rsidRDefault="00254DAF" w:rsidP="00C77373">
      <w:pPr>
        <w:pStyle w:val="Citas"/>
        <w:numPr>
          <w:ilvl w:val="0"/>
          <w:numId w:val="22"/>
        </w:numPr>
        <w:spacing w:after="0" w:line="240" w:lineRule="auto"/>
        <w:rPr>
          <w:b/>
          <w:u w:val="single"/>
        </w:rPr>
      </w:pPr>
      <w:r w:rsidRPr="00295F4E">
        <w:rPr>
          <w:b/>
          <w:u w:val="single"/>
          <w:lang w:val="es-ES"/>
        </w:rPr>
        <w:t>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rsidR="00254DAF" w:rsidRDefault="00254DAF" w:rsidP="00C77373">
      <w:pPr>
        <w:pStyle w:val="Citas"/>
        <w:spacing w:after="0" w:line="240" w:lineRule="auto"/>
      </w:pPr>
      <w:r w:rsidRPr="00295F4E">
        <w:rPr>
          <w:b/>
        </w:rPr>
        <w:lastRenderedPageBreak/>
        <w:t>Artículo 49.-</w:t>
      </w:r>
      <w:r>
        <w:t xml:space="preserve"> La información y documentación que se presente para la instauración y substanciación del procedimiento de adquisición de que se trate, será responsabilidad de quien la emita.</w:t>
      </w:r>
    </w:p>
    <w:p w:rsidR="00254DAF" w:rsidRDefault="00254DAF" w:rsidP="00254DAF">
      <w:pPr>
        <w:pStyle w:val="Prrafodelista"/>
        <w:spacing w:line="360" w:lineRule="auto"/>
        <w:ind w:left="1080"/>
        <w:jc w:val="center"/>
        <w:rPr>
          <w:rFonts w:ascii="Palatino Linotype" w:hAnsi="Palatino Linotype" w:cs="Tahoma"/>
        </w:rPr>
      </w:pPr>
    </w:p>
    <w:p w:rsidR="00254DAF" w:rsidRDefault="00254DAF" w:rsidP="00254DAF">
      <w:pPr>
        <w:pStyle w:val="Prrafodelista"/>
        <w:numPr>
          <w:ilvl w:val="0"/>
          <w:numId w:val="16"/>
        </w:numPr>
        <w:spacing w:line="360" w:lineRule="auto"/>
        <w:jc w:val="both"/>
        <w:rPr>
          <w:rFonts w:ascii="Palatino Linotype" w:hAnsi="Palatino Linotype" w:cs="Tahoma"/>
        </w:rPr>
      </w:pPr>
      <w:r>
        <w:rPr>
          <w:rFonts w:ascii="Palatino Linotype" w:hAnsi="Palatino Linotype" w:cs="Tahoma"/>
        </w:rPr>
        <w:t>El Sujeto es competente para generar y poseer la información solicitada</w:t>
      </w:r>
      <w:r w:rsidR="00262823">
        <w:rPr>
          <w:rFonts w:ascii="Palatino Linotype" w:hAnsi="Palatino Linotype" w:cs="Tahoma"/>
        </w:rPr>
        <w:t>, aunado a ello, en respuesta admitió contar con la información</w:t>
      </w:r>
      <w:r>
        <w:rPr>
          <w:rFonts w:ascii="Palatino Linotype" w:hAnsi="Palatino Linotype" w:cs="Tahoma"/>
        </w:rPr>
        <w:t>.</w:t>
      </w:r>
    </w:p>
    <w:p w:rsidR="00262823" w:rsidRPr="008E6824" w:rsidRDefault="00262823" w:rsidP="00262823">
      <w:pPr>
        <w:spacing w:before="240" w:after="240" w:line="360" w:lineRule="auto"/>
        <w:ind w:right="49"/>
        <w:jc w:val="both"/>
        <w:rPr>
          <w:rFonts w:ascii="Palatino Linotype" w:eastAsia="Palatino Linotype" w:hAnsi="Palatino Linotype" w:cs="Palatino Linotype"/>
        </w:rPr>
      </w:pPr>
      <w:r w:rsidRPr="008E6824">
        <w:rPr>
          <w:rFonts w:ascii="Palatino Linotype" w:eastAsia="Palatino Linotype" w:hAnsi="Palatino Linotype" w:cs="Palatino Linotype"/>
        </w:rPr>
        <w:t xml:space="preserve">Ahora bien, sobre la naturaleza de la información, es de mencionar que el particular peticionó el costo </w:t>
      </w:r>
      <w:r w:rsidR="00554D56">
        <w:rPr>
          <w:rFonts w:ascii="Palatino Linotype" w:eastAsia="Palatino Linotype" w:hAnsi="Palatino Linotype" w:cs="Palatino Linotype"/>
        </w:rPr>
        <w:t>del evento de Día de Reyes</w:t>
      </w:r>
      <w:r w:rsidR="00C77373">
        <w:rPr>
          <w:rFonts w:ascii="Palatino Linotype" w:eastAsia="Palatino Linotype" w:hAnsi="Palatino Linotype" w:cs="Palatino Linotype"/>
        </w:rPr>
        <w:t xml:space="preserve"> 2025</w:t>
      </w:r>
      <w:r w:rsidRPr="008E6824">
        <w:rPr>
          <w:rFonts w:ascii="Palatino Linotype" w:eastAsia="Palatino Linotype" w:hAnsi="Palatino Linotype" w:cs="Palatino Linotype"/>
        </w:rPr>
        <w:t>, acompañado facturas</w:t>
      </w:r>
      <w:r w:rsidRPr="008E6824">
        <w:rPr>
          <w:rFonts w:ascii="Palatino Linotype" w:hAnsi="Palatino Linotype"/>
          <w:lang w:val="es-ES_tradnl"/>
        </w:rPr>
        <w:t xml:space="preserve"> o contratos, </w:t>
      </w:r>
      <w:r w:rsidRPr="008E6824">
        <w:rPr>
          <w:rFonts w:ascii="Palatino Linotype" w:eastAsia="Palatino Linotype" w:hAnsi="Palatino Linotype" w:cs="Palatino Linotype"/>
        </w:rPr>
        <w:t>resulta importante señalar que este término se encuentra definido en el Glosario de Términos Hacendarios que emite el Instituto Hacendario del Estado de México, el cual expresa lo siguiente:</w:t>
      </w:r>
    </w:p>
    <w:p w:rsidR="00262823" w:rsidRPr="008E6824" w:rsidRDefault="00262823" w:rsidP="00262823">
      <w:pPr>
        <w:ind w:left="851" w:right="851"/>
        <w:jc w:val="both"/>
        <w:rPr>
          <w:rFonts w:ascii="Palatino Linotype" w:eastAsia="Palatino Linotype" w:hAnsi="Palatino Linotype" w:cs="Palatino Linotype"/>
          <w:b/>
          <w:i/>
        </w:rPr>
      </w:pPr>
      <w:r w:rsidRPr="008E6824">
        <w:rPr>
          <w:rFonts w:ascii="Palatino Linotype" w:eastAsia="Palatino Linotype" w:hAnsi="Palatino Linotype" w:cs="Palatino Linotype"/>
          <w:i/>
        </w:rPr>
        <w:t>“</w:t>
      </w:r>
      <w:r w:rsidRPr="008E6824">
        <w:rPr>
          <w:rFonts w:ascii="Palatino Linotype" w:eastAsia="Palatino Linotype" w:hAnsi="Palatino Linotype" w:cs="Palatino Linotype"/>
          <w:b/>
          <w:i/>
        </w:rPr>
        <w:t>FACTURA</w:t>
      </w:r>
    </w:p>
    <w:p w:rsidR="00262823" w:rsidRPr="008E6824" w:rsidRDefault="00262823" w:rsidP="00262823">
      <w:pPr>
        <w:ind w:left="851" w:right="851"/>
        <w:jc w:val="both"/>
        <w:rPr>
          <w:rFonts w:ascii="Palatino Linotype" w:eastAsia="Palatino Linotype" w:hAnsi="Palatino Linotype" w:cs="Palatino Linotype"/>
          <w:i/>
        </w:rPr>
      </w:pPr>
      <w:r w:rsidRPr="008E6824">
        <w:rPr>
          <w:rFonts w:ascii="Palatino Linotype" w:eastAsia="Palatino Linotype" w:hAnsi="Palatino Linotype" w:cs="Palatino Linotype"/>
          <w:i/>
        </w:rPr>
        <w:t xml:space="preserve">Es el documento fiscal que emite la persona física o moral para </w:t>
      </w:r>
      <w:r w:rsidRPr="008E6824">
        <w:rPr>
          <w:rFonts w:ascii="Palatino Linotype" w:eastAsia="Palatino Linotype" w:hAnsi="Palatino Linotype" w:cs="Palatino Linotype"/>
          <w:b/>
          <w:i/>
          <w:u w:val="single"/>
        </w:rPr>
        <w:t>comprobar la venta o adquisición de un bien y/o servicio</w:t>
      </w:r>
      <w:r w:rsidRPr="008E6824">
        <w:rPr>
          <w:rFonts w:ascii="Palatino Linotype" w:eastAsia="Palatino Linotype" w:hAnsi="Palatino Linotype" w:cs="Palatino Linotype"/>
          <w:i/>
        </w:rPr>
        <w:t>.” (Sic) (Énfasis añadido)</w:t>
      </w:r>
    </w:p>
    <w:p w:rsidR="00262823" w:rsidRPr="008E6824" w:rsidRDefault="00262823" w:rsidP="00262823">
      <w:pPr>
        <w:ind w:left="851" w:right="851"/>
        <w:jc w:val="both"/>
        <w:rPr>
          <w:rFonts w:ascii="Palatino Linotype" w:eastAsia="Palatino Linotype" w:hAnsi="Palatino Linotype" w:cs="Palatino Linotype"/>
          <w:i/>
        </w:rPr>
      </w:pPr>
    </w:p>
    <w:p w:rsidR="00262823" w:rsidRDefault="00262823" w:rsidP="00262823">
      <w:pPr>
        <w:spacing w:line="360" w:lineRule="auto"/>
        <w:jc w:val="both"/>
        <w:rPr>
          <w:rFonts w:ascii="Palatino Linotype" w:eastAsia="Palatino Linotype" w:hAnsi="Palatino Linotype" w:cs="Palatino Linotype"/>
        </w:rPr>
      </w:pPr>
    </w:p>
    <w:p w:rsidR="00262823" w:rsidRPr="008E6824" w:rsidRDefault="00262823" w:rsidP="00262823">
      <w:pPr>
        <w:spacing w:line="360" w:lineRule="auto"/>
        <w:jc w:val="both"/>
        <w:rPr>
          <w:rFonts w:ascii="Palatino Linotype" w:eastAsia="Palatino Linotype" w:hAnsi="Palatino Linotype" w:cs="Palatino Linotype"/>
        </w:rPr>
      </w:pPr>
      <w:r w:rsidRPr="008E6824">
        <w:rPr>
          <w:rFonts w:ascii="Palatino Linotype" w:eastAsia="Palatino Linotype" w:hAnsi="Palatino Linotype" w:cs="Palatino Linotype"/>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8E6824">
        <w:rPr>
          <w:rFonts w:ascii="Palatino Linotype" w:eastAsia="Palatino Linotype" w:hAnsi="Palatino Linotype" w:cs="Palatino Linotype"/>
          <w:color w:val="000000"/>
        </w:rPr>
        <w:t xml:space="preserve">os recursos económicos del Estado, de los Municipios, así como de los Organismos Autónomos, se administrarán con eficiencia, eficacia y honradez, para cumplir con los objetivos y programas a los que estén destinados. </w:t>
      </w:r>
    </w:p>
    <w:p w:rsidR="00262823" w:rsidRDefault="00262823" w:rsidP="00262823">
      <w:pPr>
        <w:spacing w:line="360" w:lineRule="auto"/>
        <w:ind w:right="49"/>
        <w:contextualSpacing/>
        <w:jc w:val="both"/>
        <w:rPr>
          <w:rFonts w:ascii="Palatino Linotype" w:hAnsi="Palatino Linotype" w:cs="Arial"/>
        </w:rPr>
      </w:pPr>
    </w:p>
    <w:p w:rsidR="00262823" w:rsidRDefault="00262823" w:rsidP="00262823">
      <w:pPr>
        <w:spacing w:line="360" w:lineRule="auto"/>
        <w:ind w:right="49"/>
        <w:contextualSpacing/>
        <w:jc w:val="both"/>
        <w:rPr>
          <w:rFonts w:ascii="Palatino Linotype" w:hAnsi="Palatino Linotype" w:cs="Arial"/>
        </w:rPr>
      </w:pPr>
      <w:r>
        <w:rPr>
          <w:rFonts w:ascii="Palatino Linotype" w:hAnsi="Palatino Linotype" w:cs="Arial"/>
        </w:rPr>
        <w:t>Ahora bien, el Código Fiscal de Federación en su artículo 29- A, establece los requisitos con los que debe contar un Comprobante Fiscal Digital,  el cual son los siguientes:</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lastRenderedPageBreak/>
        <w:t xml:space="preserve">Clave del Registro Federal de Contribuyentes de quien los expida.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Régimen Fiscal en que tributen conforme a la Ley del ISR.</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Sí se tiene más de un local o establecimiento, se deberá señalar el domicilio del local o establecimiento en el que se expidan las Facturas Electrónicas.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Contener el número de folio.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Sello digital del contribuyente que lo expide.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Lugar y fecha de expedición.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 Clave del Registro Federal de Contribuyentes de la persona a favor de quien se expida.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Cantidad, unidad de medida y clase de los bienes, mercancías o descripción del servicio o del uso o goce que amparen.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Valor unitario consignado en número.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Importe total señalado en número o en letra.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Señalamiento expreso cuando la contraprestación se pague en una sola exhibición o en parcialidades.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Cuando proceda, se indicará el monto de los impuestos trasladados desglosados por tasa de impuesto y, en su caso, el monto de los impuestos retenidos. </w:t>
      </w:r>
    </w:p>
    <w:p w:rsidR="00262823" w:rsidRDefault="00262823" w:rsidP="00C77373">
      <w:pPr>
        <w:pStyle w:val="Citas"/>
        <w:numPr>
          <w:ilvl w:val="0"/>
          <w:numId w:val="26"/>
        </w:numPr>
        <w:spacing w:before="0" w:after="0" w:line="240" w:lineRule="auto"/>
        <w:ind w:right="474" w:hanging="153"/>
        <w:rPr>
          <w:lang w:eastAsia="es-ES"/>
        </w:rPr>
      </w:pPr>
      <w:r w:rsidRPr="00327237">
        <w:rPr>
          <w:lang w:eastAsia="es-ES"/>
        </w:rPr>
        <w:t xml:space="preserve">Forma en que se realizó el pago (efectivo, transferencia electrónica de fondos, cheque nominativo o tarjeta de débito, de crédito, de servicio o la denominada monedero electrónico, indicando al menos los últimos cuatro dígitos del número de cuenta o de la tarjeta correspondiente). </w:t>
      </w:r>
    </w:p>
    <w:p w:rsidR="00262823" w:rsidRPr="00327237" w:rsidRDefault="00262823" w:rsidP="00C77373">
      <w:pPr>
        <w:pStyle w:val="Citas"/>
        <w:numPr>
          <w:ilvl w:val="0"/>
          <w:numId w:val="26"/>
        </w:numPr>
        <w:spacing w:before="0" w:after="0" w:line="240" w:lineRule="auto"/>
        <w:ind w:right="474" w:hanging="153"/>
        <w:rPr>
          <w:lang w:eastAsia="es-ES"/>
        </w:rPr>
      </w:pPr>
      <w:r w:rsidRPr="00327237">
        <w:rPr>
          <w:lang w:eastAsia="es-ES"/>
        </w:rPr>
        <w:t>Número y fecha del documento aduanero, tratándose de ventas de primera mano de mercancías de importación.</w:t>
      </w:r>
    </w:p>
    <w:p w:rsidR="00C77373" w:rsidRDefault="00C77373" w:rsidP="00262823">
      <w:pPr>
        <w:spacing w:line="360" w:lineRule="auto"/>
        <w:ind w:right="49"/>
        <w:contextualSpacing/>
        <w:jc w:val="both"/>
        <w:rPr>
          <w:rFonts w:ascii="Palatino Linotype" w:hAnsi="Palatino Linotype" w:cs="Arial"/>
        </w:rPr>
      </w:pPr>
    </w:p>
    <w:p w:rsidR="00262823" w:rsidRDefault="00262823" w:rsidP="00262823">
      <w:pPr>
        <w:spacing w:line="360" w:lineRule="auto"/>
        <w:ind w:right="49"/>
        <w:contextualSpacing/>
        <w:jc w:val="both"/>
        <w:rPr>
          <w:rFonts w:ascii="Palatino Linotype" w:hAnsi="Palatino Linotype" w:cs="Arial"/>
        </w:rPr>
      </w:pPr>
      <w:r>
        <w:rPr>
          <w:rFonts w:ascii="Palatino Linotype" w:hAnsi="Palatino Linotype" w:cs="Arial"/>
        </w:rPr>
        <w:t>Por otro lado, en el portal de internet del Servicio de Administración Tributaria establece los requisitos de las facturas</w:t>
      </w:r>
      <w:r>
        <w:rPr>
          <w:rStyle w:val="Refdenotaalpie"/>
          <w:rFonts w:ascii="Palatino Linotype" w:hAnsi="Palatino Linotype" w:cs="Arial"/>
        </w:rPr>
        <w:footnoteReference w:id="2"/>
      </w:r>
      <w:r>
        <w:rPr>
          <w:rFonts w:ascii="Palatino Linotype" w:hAnsi="Palatino Linotype" w:cs="Arial"/>
        </w:rPr>
        <w:t>, tal como se desprende:</w:t>
      </w:r>
    </w:p>
    <w:p w:rsidR="00262823" w:rsidRPr="008D208C" w:rsidRDefault="00262823" w:rsidP="00C77373">
      <w:pPr>
        <w:pStyle w:val="INFOEM"/>
        <w:spacing w:before="0" w:after="0" w:line="240" w:lineRule="auto"/>
        <w:rPr>
          <w:sz w:val="24"/>
          <w:lang w:val="es-ES" w:eastAsia="es-ES"/>
        </w:rPr>
      </w:pPr>
      <w:r w:rsidRPr="008D208C">
        <w:rPr>
          <w:sz w:val="24"/>
          <w:lang w:val="es-ES" w:eastAsia="es-ES"/>
        </w:rPr>
        <w:t>Requisitos que deben reunir las facturas que recibas:</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Clave del Registro Federal de Contribuyentes de quien los expida.</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Régimen Fiscal en que tributen conforme a la Ley del ISR.</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Sí se tiene más de un local o establecimiento, se deberá señalar el domicilio del local o establecimiento en el que se expidan las Facturas.</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Contener el número de folio asignado por el SAT y el sello digital del SAT.</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Sello digital del contribuyente que lo expide.</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Lugar y fecha de expedición.</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lastRenderedPageBreak/>
        <w:t>Clave del Registro Federal de Contribuyentes de la persona a favor de quien se expida.</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Nombre denominación o razón social de la persona a favor de quien se expide el comprobante.</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Régimen fiscal del receptor de comprobante.</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Código postal del domicilio fiscal del receptor del comprobante.</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Uso del comprobante.</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Cantidad, unidad de medida y clase de los bienes, mercancías o descripción del servicio o del uso o goce que amparen*.</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Valor unitario consignado en número.</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Importe total señalado en número o en letra.</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Señalamiento expreso cuando la prestación se pague en una sola exhibición o en parcialidades.</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Cuando proceda, se indicará el monto de los impuestos trasladados, desglosados por tasa de impuesto y, en su caso, el monto de los impuestos retenidos.</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Forma en que se realizó el pago (efectivo, transferencia electrónica de fondos, cheque nominativos o tarjeta de débito, de crédito, de servicio o la denominada monedero electrónico que autorice el Servicio de Administración Tributaria).</w:t>
      </w:r>
    </w:p>
    <w:p w:rsidR="00262823" w:rsidRPr="008D208C" w:rsidRDefault="00262823" w:rsidP="00C77373">
      <w:pPr>
        <w:pStyle w:val="INFOEM"/>
        <w:numPr>
          <w:ilvl w:val="1"/>
          <w:numId w:val="27"/>
        </w:numPr>
        <w:spacing w:before="0" w:after="0" w:line="240" w:lineRule="auto"/>
        <w:ind w:left="1276"/>
        <w:rPr>
          <w:sz w:val="24"/>
          <w:lang w:val="es-ES" w:eastAsia="es-ES"/>
        </w:rPr>
      </w:pPr>
      <w:r w:rsidRPr="008D208C">
        <w:rPr>
          <w:sz w:val="24"/>
          <w:lang w:val="es-ES" w:eastAsia="es-ES"/>
        </w:rPr>
        <w:t>Número y fecha del documento aduanero, tratándose de ventas de primera mano de mercancías de importación.</w:t>
      </w:r>
    </w:p>
    <w:p w:rsidR="00262823" w:rsidRPr="008D208C" w:rsidRDefault="00262823" w:rsidP="00C77373">
      <w:pPr>
        <w:pStyle w:val="INFOEM"/>
        <w:numPr>
          <w:ilvl w:val="0"/>
          <w:numId w:val="27"/>
        </w:numPr>
        <w:spacing w:before="0" w:after="0" w:line="240" w:lineRule="auto"/>
        <w:ind w:left="1276"/>
        <w:rPr>
          <w:sz w:val="24"/>
          <w:lang w:val="es-ES" w:eastAsia="es-ES"/>
        </w:rPr>
      </w:pPr>
      <w:r w:rsidRPr="008D208C">
        <w:rPr>
          <w:sz w:val="24"/>
          <w:lang w:val="es-ES" w:eastAsia="es-ES"/>
        </w:rPr>
        <w:t>*Nota: El SAT pone a tu disposición una herramienta en la que podrás identificar la clave del Producto o Servicio que deseas facturar, para lo cual, deberás dar clic aquí.</w:t>
      </w:r>
    </w:p>
    <w:p w:rsidR="00262823" w:rsidRPr="008D208C" w:rsidRDefault="00262823" w:rsidP="00C77373">
      <w:pPr>
        <w:pStyle w:val="INFOEM"/>
        <w:spacing w:before="0" w:after="0" w:line="240" w:lineRule="auto"/>
        <w:ind w:left="1276"/>
        <w:rPr>
          <w:sz w:val="24"/>
          <w:lang w:val="es-ES" w:eastAsia="es-ES"/>
        </w:rPr>
      </w:pPr>
    </w:p>
    <w:p w:rsidR="00262823" w:rsidRPr="008D208C" w:rsidRDefault="00262823" w:rsidP="00C77373">
      <w:pPr>
        <w:pStyle w:val="INFOEM"/>
        <w:spacing w:before="0" w:after="0" w:line="240" w:lineRule="auto"/>
        <w:rPr>
          <w:b/>
          <w:sz w:val="24"/>
          <w:lang w:val="es-ES" w:eastAsia="es-ES"/>
        </w:rPr>
      </w:pPr>
      <w:r w:rsidRPr="008D208C">
        <w:rPr>
          <w:b/>
          <w:sz w:val="24"/>
          <w:lang w:val="es-ES" w:eastAsia="es-ES"/>
        </w:rPr>
        <w:t>Además, debe contener los siguientes datos:</w:t>
      </w:r>
    </w:p>
    <w:p w:rsidR="00262823" w:rsidRPr="008D208C" w:rsidRDefault="00262823" w:rsidP="00C77373">
      <w:pPr>
        <w:pStyle w:val="INFOEM"/>
        <w:numPr>
          <w:ilvl w:val="1"/>
          <w:numId w:val="28"/>
        </w:numPr>
        <w:spacing w:before="0" w:after="0" w:line="240" w:lineRule="auto"/>
        <w:ind w:left="1418"/>
        <w:rPr>
          <w:sz w:val="24"/>
          <w:lang w:val="es-ES" w:eastAsia="es-ES"/>
        </w:rPr>
      </w:pPr>
      <w:r w:rsidRPr="008D208C">
        <w:rPr>
          <w:sz w:val="24"/>
          <w:lang w:val="es-ES" w:eastAsia="es-ES"/>
        </w:rPr>
        <w:t>Fecha y hora de certificación.</w:t>
      </w:r>
    </w:p>
    <w:p w:rsidR="00262823" w:rsidRPr="008D208C" w:rsidRDefault="00262823" w:rsidP="00C77373">
      <w:pPr>
        <w:pStyle w:val="INFOEM"/>
        <w:numPr>
          <w:ilvl w:val="1"/>
          <w:numId w:val="28"/>
        </w:numPr>
        <w:spacing w:before="0" w:after="0" w:line="240" w:lineRule="auto"/>
        <w:ind w:left="1418"/>
        <w:rPr>
          <w:sz w:val="24"/>
          <w:lang w:val="es-ES" w:eastAsia="es-ES"/>
        </w:rPr>
      </w:pPr>
      <w:r w:rsidRPr="008D208C">
        <w:rPr>
          <w:sz w:val="24"/>
          <w:lang w:val="es-ES" w:eastAsia="es-ES"/>
        </w:rPr>
        <w:t>Número de serie del certificado digital del SAT con el que se realizó el sellado.</w:t>
      </w:r>
    </w:p>
    <w:p w:rsidR="00262823" w:rsidRPr="008D208C" w:rsidRDefault="00262823" w:rsidP="00C77373">
      <w:pPr>
        <w:pStyle w:val="INFOEM"/>
        <w:spacing w:before="0" w:after="0" w:line="240" w:lineRule="auto"/>
        <w:ind w:left="1276"/>
        <w:rPr>
          <w:sz w:val="24"/>
          <w:lang w:val="es-ES" w:eastAsia="es-ES"/>
        </w:rPr>
      </w:pPr>
    </w:p>
    <w:p w:rsidR="00262823" w:rsidRPr="008D208C" w:rsidRDefault="00262823" w:rsidP="00C77373">
      <w:pPr>
        <w:pStyle w:val="INFOEM"/>
        <w:spacing w:before="0" w:after="0" w:line="240" w:lineRule="auto"/>
        <w:rPr>
          <w:b/>
          <w:sz w:val="24"/>
          <w:lang w:val="es-ES" w:eastAsia="es-ES"/>
        </w:rPr>
      </w:pPr>
      <w:r w:rsidRPr="008D208C">
        <w:rPr>
          <w:b/>
          <w:sz w:val="24"/>
          <w:lang w:val="es-ES" w:eastAsia="es-ES"/>
        </w:rPr>
        <w:t>La representación impresa además debe contener los requisitos contenidos en la Resolución Miscelánea Fiscal vigente:</w:t>
      </w:r>
    </w:p>
    <w:p w:rsidR="00262823" w:rsidRPr="008D208C" w:rsidRDefault="00262823" w:rsidP="00C77373">
      <w:pPr>
        <w:pStyle w:val="INFOEM"/>
        <w:numPr>
          <w:ilvl w:val="1"/>
          <w:numId w:val="29"/>
        </w:numPr>
        <w:spacing w:before="0" w:after="0" w:line="240" w:lineRule="auto"/>
        <w:ind w:left="1418"/>
        <w:rPr>
          <w:sz w:val="24"/>
          <w:lang w:val="es-ES" w:eastAsia="es-ES"/>
        </w:rPr>
      </w:pPr>
      <w:r w:rsidRPr="008D208C">
        <w:rPr>
          <w:sz w:val="24"/>
          <w:lang w:val="es-ES" w:eastAsia="es-ES"/>
        </w:rPr>
        <w:t>Código de barras generado conforme al rubro I.D del Anexo 20 o el número de folio fiscal del comprobante.</w:t>
      </w:r>
    </w:p>
    <w:p w:rsidR="00262823" w:rsidRPr="008D208C" w:rsidRDefault="00262823" w:rsidP="00C77373">
      <w:pPr>
        <w:pStyle w:val="INFOEM"/>
        <w:numPr>
          <w:ilvl w:val="1"/>
          <w:numId w:val="29"/>
        </w:numPr>
        <w:spacing w:before="0" w:after="0" w:line="240" w:lineRule="auto"/>
        <w:ind w:left="1418"/>
        <w:rPr>
          <w:sz w:val="24"/>
          <w:lang w:val="es-ES" w:eastAsia="es-ES"/>
        </w:rPr>
      </w:pPr>
      <w:r w:rsidRPr="008D208C">
        <w:rPr>
          <w:sz w:val="24"/>
          <w:lang w:val="es-ES" w:eastAsia="es-ES"/>
        </w:rPr>
        <w:t>Número de serie del CSD del emisor y del SAT.</w:t>
      </w:r>
    </w:p>
    <w:p w:rsidR="00262823" w:rsidRPr="008D208C" w:rsidRDefault="00262823" w:rsidP="00C77373">
      <w:pPr>
        <w:pStyle w:val="INFOEM"/>
        <w:numPr>
          <w:ilvl w:val="1"/>
          <w:numId w:val="29"/>
        </w:numPr>
        <w:spacing w:before="0" w:after="0" w:line="240" w:lineRule="auto"/>
        <w:ind w:left="1418"/>
        <w:rPr>
          <w:b/>
          <w:sz w:val="24"/>
          <w:lang w:val="es-ES" w:eastAsia="es-ES"/>
        </w:rPr>
      </w:pPr>
      <w:r w:rsidRPr="008D208C">
        <w:rPr>
          <w:b/>
          <w:sz w:val="24"/>
          <w:lang w:val="es-ES" w:eastAsia="es-ES"/>
        </w:rPr>
        <w:lastRenderedPageBreak/>
        <w:t>La leyenda “Este documento es una representación impresa de un CFDI”.</w:t>
      </w:r>
    </w:p>
    <w:p w:rsidR="00262823" w:rsidRPr="008D208C" w:rsidRDefault="00262823" w:rsidP="00C77373">
      <w:pPr>
        <w:pStyle w:val="INFOEM"/>
        <w:numPr>
          <w:ilvl w:val="1"/>
          <w:numId w:val="29"/>
        </w:numPr>
        <w:spacing w:before="0" w:after="0" w:line="240" w:lineRule="auto"/>
        <w:ind w:left="1418"/>
        <w:rPr>
          <w:sz w:val="24"/>
          <w:lang w:val="es-ES" w:eastAsia="es-ES"/>
        </w:rPr>
      </w:pPr>
      <w:r w:rsidRPr="008D208C">
        <w:rPr>
          <w:sz w:val="24"/>
          <w:lang w:val="es-ES" w:eastAsia="es-ES"/>
        </w:rPr>
        <w:t>Fecha y hora de emisión y de certificación de la Factura en adición a lo señalado en el artículo 29-A, fracción III del CFF.</w:t>
      </w:r>
    </w:p>
    <w:p w:rsidR="00262823" w:rsidRPr="008D208C" w:rsidRDefault="00262823" w:rsidP="00C77373">
      <w:pPr>
        <w:pStyle w:val="INFOEM"/>
        <w:numPr>
          <w:ilvl w:val="1"/>
          <w:numId w:val="29"/>
        </w:numPr>
        <w:spacing w:before="0" w:after="0" w:line="240" w:lineRule="auto"/>
        <w:ind w:left="1418"/>
        <w:rPr>
          <w:sz w:val="24"/>
          <w:lang w:val="es-ES" w:eastAsia="es-ES"/>
        </w:rPr>
      </w:pPr>
      <w:r w:rsidRPr="008D208C">
        <w:rPr>
          <w:sz w:val="24"/>
          <w:lang w:val="es-ES" w:eastAsia="es-ES"/>
        </w:rPr>
        <w:t>Cadena original del complemento de certificación digital del SAT.</w:t>
      </w:r>
    </w:p>
    <w:p w:rsidR="00C77373" w:rsidRDefault="00C77373" w:rsidP="00C77373">
      <w:pPr>
        <w:widowControl w:val="0"/>
        <w:spacing w:line="360" w:lineRule="auto"/>
        <w:jc w:val="both"/>
        <w:rPr>
          <w:rFonts w:ascii="Palatino Linotype" w:hAnsi="Palatino Linotype" w:cs="Tahoma"/>
        </w:rPr>
      </w:pPr>
    </w:p>
    <w:p w:rsidR="00C77373" w:rsidRDefault="00C77373" w:rsidP="00C77373">
      <w:pPr>
        <w:widowControl w:val="0"/>
        <w:spacing w:line="360" w:lineRule="auto"/>
        <w:jc w:val="both"/>
        <w:rPr>
          <w:rFonts w:ascii="Palatino Linotype" w:hAnsi="Palatino Linotype"/>
        </w:rPr>
      </w:pPr>
      <w:r>
        <w:rPr>
          <w:rFonts w:ascii="Palatino Linotype" w:hAnsi="Palatino Linotype" w:cs="Tahoma"/>
        </w:rPr>
        <w:t>Por cuanto hace a la partida presupuestal de la que provino el dinero para pagar dicho evento,</w:t>
      </w:r>
      <w:r w:rsidR="00C27F75">
        <w:rPr>
          <w:rFonts w:ascii="Palatino Linotype" w:hAnsi="Palatino Linotype" w:cs="Tahoma"/>
        </w:rPr>
        <w:t xml:space="preserve"> así como el presupuesto autorizado y ejercido,</w:t>
      </w:r>
      <w:r>
        <w:rPr>
          <w:rFonts w:ascii="Palatino Linotype" w:hAnsi="Palatino Linotype" w:cs="Tahoma"/>
        </w:rPr>
        <w:t xml:space="preserve"> </w:t>
      </w:r>
      <w:r>
        <w:rPr>
          <w:rFonts w:ascii="Palatino Linotype" w:eastAsia="Palatino Linotype" w:hAnsi="Palatino Linotype" w:cs="Palatino Linotype"/>
          <w:color w:val="000000"/>
        </w:rPr>
        <w:t xml:space="preserve">se tiene que cada área del </w:t>
      </w:r>
      <w:r w:rsidR="00C27F75">
        <w:rPr>
          <w:rFonts w:ascii="Palatino Linotype" w:eastAsia="Palatino Linotype" w:hAnsi="Palatino Linotype" w:cs="Palatino Linotype"/>
          <w:color w:val="000000"/>
        </w:rPr>
        <w:t>Sistema Municipal para el Desarrollo Integral de la Familia</w:t>
      </w:r>
      <w:r>
        <w:rPr>
          <w:rFonts w:ascii="Palatino Linotype" w:eastAsia="Palatino Linotype" w:hAnsi="Palatino Linotype" w:cs="Palatino Linotype"/>
          <w:color w:val="000000"/>
        </w:rPr>
        <w:t xml:space="preserve"> se encarga de realizar un anteproyecto de presupuesto con base a resultados de la dependencia a su cargo. </w:t>
      </w:r>
      <w:r w:rsidRPr="00513771">
        <w:rPr>
          <w:rFonts w:ascii="Palatino Linotype" w:eastAsia="Palatino Linotype" w:hAnsi="Palatino Linotype" w:cs="Palatino Linotype"/>
          <w:color w:val="000000"/>
        </w:rPr>
        <w:t xml:space="preserve">Sin embargo, quien se encarga de </w:t>
      </w:r>
      <w:r w:rsidRPr="00513771">
        <w:rPr>
          <w:rFonts w:ascii="Palatino Linotype" w:hAnsi="Palatino Linotype"/>
        </w:rPr>
        <w:t>coordinar la presupuestación, programación y ejercicio del gasto de la Administración Pú</w:t>
      </w:r>
      <w:r w:rsidR="001A55ED">
        <w:rPr>
          <w:rFonts w:ascii="Palatino Linotype" w:hAnsi="Palatino Linotype"/>
        </w:rPr>
        <w:t xml:space="preserve">blica Municipal es la Tesorería, en este caso la Dirección de Administración y Tesorería del Sujeto Obligado, área que ya realizó pronunciamiento. </w:t>
      </w:r>
    </w:p>
    <w:p w:rsidR="00955DCC" w:rsidRDefault="00955DCC" w:rsidP="00C77373">
      <w:pPr>
        <w:widowControl w:val="0"/>
        <w:spacing w:line="360" w:lineRule="auto"/>
        <w:jc w:val="both"/>
        <w:rPr>
          <w:rFonts w:ascii="Palatino Linotype" w:hAnsi="Palatino Linotype"/>
        </w:rPr>
      </w:pPr>
      <w:r>
        <w:rPr>
          <w:rFonts w:ascii="Palatino Linotype" w:hAnsi="Palatino Linotype"/>
        </w:rPr>
        <w:t>En primer termino, una partida presupuestal es una</w:t>
      </w:r>
    </w:p>
    <w:p w:rsidR="00C77373" w:rsidRDefault="00C77373" w:rsidP="00C77373">
      <w:pPr>
        <w:widowControl w:val="0"/>
        <w:spacing w:line="360" w:lineRule="auto"/>
        <w:jc w:val="both"/>
        <w:rPr>
          <w:rFonts w:ascii="Palatino Linotype" w:eastAsia="Palatino Linotype" w:hAnsi="Palatino Linotype" w:cs="Palatino Linotype"/>
          <w:color w:val="000000"/>
        </w:rPr>
      </w:pPr>
    </w:p>
    <w:p w:rsidR="00C77373" w:rsidRPr="003051C0" w:rsidRDefault="00C77373" w:rsidP="00C77373">
      <w:pPr>
        <w:widowControl w:val="0"/>
        <w:spacing w:line="360" w:lineRule="auto"/>
        <w:jc w:val="both"/>
        <w:rPr>
          <w:rFonts w:ascii="Palatino Linotype" w:eastAsia="Palatino Linotype" w:hAnsi="Palatino Linotype" w:cs="Palatino Linotype"/>
          <w:color w:val="000000"/>
        </w:rPr>
      </w:pPr>
      <w:r w:rsidRPr="00C544BF">
        <w:rPr>
          <w:rFonts w:ascii="Palatino Linotype" w:eastAsia="Palatino Linotype" w:hAnsi="Palatino Linotype" w:cs="Palatino Linotype"/>
          <w:b/>
          <w:color w:val="000000"/>
          <w:u w:val="single"/>
        </w:rPr>
        <w:t>Existen 4 tipos de cl</w:t>
      </w:r>
      <w:r w:rsidR="003051C0">
        <w:rPr>
          <w:rFonts w:ascii="Palatino Linotype" w:eastAsia="Palatino Linotype" w:hAnsi="Palatino Linotype" w:cs="Palatino Linotype"/>
          <w:b/>
          <w:color w:val="000000"/>
          <w:u w:val="single"/>
        </w:rPr>
        <w:t xml:space="preserve">asificaciones del gasto público, </w:t>
      </w:r>
      <w:r w:rsidR="003051C0">
        <w:rPr>
          <w:rFonts w:ascii="Palatino Linotype" w:eastAsia="Palatino Linotype" w:hAnsi="Palatino Linotype" w:cs="Palatino Linotype"/>
          <w:color w:val="000000"/>
        </w:rPr>
        <w:t>conforme al Presupuesto de Egresos del Gobierno del Estado de México para el Ejercicio Fiscal 2025:</w:t>
      </w:r>
    </w:p>
    <w:p w:rsidR="003051C0" w:rsidRDefault="003051C0" w:rsidP="003051C0">
      <w:pPr>
        <w:pStyle w:val="INFOEM"/>
      </w:pPr>
      <w:r w:rsidRPr="003051C0">
        <w:t>Artículo 4. Para efectos del presente Decreto se entenderá por:</w:t>
      </w:r>
    </w:p>
    <w:p w:rsidR="003051C0" w:rsidRDefault="003051C0" w:rsidP="003051C0">
      <w:pPr>
        <w:pStyle w:val="INFOEM"/>
      </w:pPr>
      <w:r w:rsidRPr="003051C0">
        <w:rPr>
          <w:b/>
        </w:rPr>
        <w:t>Clasificación Administrativa:</w:t>
      </w:r>
      <w:r w:rsidRPr="003051C0">
        <w:t xml:space="preserve"> A la identificación presupuestal asignada a las unidades administrativas; </w:t>
      </w:r>
    </w:p>
    <w:p w:rsidR="003051C0" w:rsidRDefault="003051C0" w:rsidP="003051C0">
      <w:pPr>
        <w:pStyle w:val="INFOEM"/>
      </w:pPr>
      <w:r w:rsidRPr="003051C0">
        <w:rPr>
          <w:b/>
        </w:rPr>
        <w:t>Clasificación Funcional Programática:</w:t>
      </w:r>
      <w:r w:rsidRPr="003051C0">
        <w:t xml:space="preserve"> A la presentación del Presupuesto según la naturaleza de los servicios gubernamentales brindados a la población, que permite organizar, en forma representativa y homogénea, los recursos en los Programas presupuestarios; </w:t>
      </w:r>
    </w:p>
    <w:p w:rsidR="003051C0" w:rsidRDefault="003051C0" w:rsidP="003051C0">
      <w:pPr>
        <w:pStyle w:val="INFOEM"/>
      </w:pPr>
      <w:r w:rsidRPr="003051C0">
        <w:rPr>
          <w:b/>
        </w:rPr>
        <w:lastRenderedPageBreak/>
        <w:t>Clasificación Económica:</w:t>
      </w:r>
      <w:r w:rsidRPr="003051C0">
        <w:t xml:space="preserve"> A la presentación del presupuesto mediante capítulos, en función del objeto del gasto; </w:t>
      </w:r>
    </w:p>
    <w:p w:rsidR="003051C0" w:rsidRDefault="003051C0" w:rsidP="003051C0">
      <w:pPr>
        <w:pStyle w:val="INFOEM"/>
      </w:pPr>
      <w:r w:rsidRPr="003051C0">
        <w:rPr>
          <w:b/>
        </w:rPr>
        <w:t>Clasificación por Fuente de Financiamiento:</w:t>
      </w:r>
      <w:r w:rsidRPr="003051C0">
        <w:t xml:space="preserve"> A la identificación de la fuente u origen del ingreso que financia el gasto y precisa la orientación específica de cada fuente a efecto de controlar su aplicación; </w:t>
      </w:r>
    </w:p>
    <w:p w:rsidR="0048680B" w:rsidRDefault="0048680B" w:rsidP="003051C0">
      <w:pPr>
        <w:pStyle w:val="INFOEM"/>
      </w:pPr>
      <w:r>
        <w:rPr>
          <w:b/>
        </w:rPr>
        <w:t>…</w:t>
      </w:r>
    </w:p>
    <w:p w:rsidR="0048680B" w:rsidRPr="0048680B" w:rsidRDefault="0048680B" w:rsidP="0048680B">
      <w:pPr>
        <w:pStyle w:val="INFOEM"/>
      </w:pPr>
      <w:r w:rsidRPr="0048680B">
        <w:rPr>
          <w:b/>
          <w:bCs/>
        </w:rPr>
        <w:t xml:space="preserve">ESTADO ANALÍTICO DEL EJERCICIO DEL PRESUPUESTO DE EGRESOS </w:t>
      </w:r>
    </w:p>
    <w:p w:rsidR="0048680B" w:rsidRPr="0048680B" w:rsidRDefault="0048680B" w:rsidP="0048680B">
      <w:pPr>
        <w:pStyle w:val="INFOEM"/>
      </w:pPr>
      <w:r w:rsidRPr="0048680B">
        <w:rPr>
          <w:b/>
          <w:bCs/>
        </w:rPr>
        <w:t xml:space="preserve">FINALIDAD </w:t>
      </w:r>
    </w:p>
    <w:p w:rsidR="0048680B" w:rsidRPr="0048680B" w:rsidRDefault="0048680B" w:rsidP="0048680B">
      <w:pPr>
        <w:pStyle w:val="INFOEM"/>
        <w:rPr>
          <w:u w:val="single"/>
        </w:rPr>
      </w:pPr>
      <w:r w:rsidRPr="0048680B">
        <w:rPr>
          <w:u w:val="single"/>
        </w:rPr>
        <w:t xml:space="preserve">Su finalidad es realizar periódicamente el seguimiento del ejercicio de los egresos presupuestarios. Dichos Estados deben mostrar, a una fecha determinada del ejercicio del Presupuesto de Egresos, los movimientos y la situación de cada cuenta de las distintas clasificaciones, de acuerdo con los diferentes grados de desagregación de las mismas que se requiera. </w:t>
      </w:r>
    </w:p>
    <w:p w:rsidR="0048680B" w:rsidRPr="0048680B" w:rsidRDefault="0048680B" w:rsidP="0048680B">
      <w:pPr>
        <w:pStyle w:val="INFOEM"/>
      </w:pPr>
      <w:r w:rsidRPr="0048680B">
        <w:t xml:space="preserve">Los estados e informes agregados, en general, tienen como propósito aportar información pertinente, clara, confiable y oportuna a los responsables de la gestión política y económica del Estado para ser utilizada en la toma de decisiones gubernamentales en general y sobre finanzas públicas en particular, así como para ser utilizada por los analistas y la sociedad en general. </w:t>
      </w:r>
    </w:p>
    <w:p w:rsidR="0048680B" w:rsidRPr="0048680B" w:rsidRDefault="0048680B" w:rsidP="0048680B">
      <w:pPr>
        <w:pStyle w:val="INFOEM"/>
      </w:pPr>
      <w:r w:rsidRPr="0048680B">
        <w:t xml:space="preserve">La clasificación de la información presupuestaria a generar será al menos la siguiente: </w:t>
      </w:r>
    </w:p>
    <w:p w:rsidR="0048680B" w:rsidRPr="0048680B" w:rsidRDefault="0048680B" w:rsidP="0048680B">
      <w:pPr>
        <w:pStyle w:val="INFOEM"/>
        <w:numPr>
          <w:ilvl w:val="0"/>
          <w:numId w:val="33"/>
        </w:numPr>
      </w:pPr>
      <w:r w:rsidRPr="0048680B">
        <w:t xml:space="preserve">Clasificación por Objeto del Gasto (Capítulo y Concepto). </w:t>
      </w:r>
    </w:p>
    <w:p w:rsidR="0048680B" w:rsidRPr="0048680B" w:rsidRDefault="0048680B" w:rsidP="0048680B">
      <w:pPr>
        <w:pStyle w:val="INFOEM"/>
        <w:numPr>
          <w:ilvl w:val="0"/>
          <w:numId w:val="33"/>
        </w:numPr>
      </w:pPr>
      <w:r w:rsidRPr="0048680B">
        <w:t xml:space="preserve">Clasificación Económica (por Tipo de Gasto). </w:t>
      </w:r>
    </w:p>
    <w:p w:rsidR="0048680B" w:rsidRPr="0048680B" w:rsidRDefault="0048680B" w:rsidP="0048680B">
      <w:pPr>
        <w:pStyle w:val="INFOEM"/>
        <w:numPr>
          <w:ilvl w:val="0"/>
          <w:numId w:val="33"/>
        </w:numPr>
      </w:pPr>
      <w:r w:rsidRPr="0048680B">
        <w:lastRenderedPageBreak/>
        <w:t xml:space="preserve">Clasificación Administrativa. </w:t>
      </w:r>
    </w:p>
    <w:p w:rsidR="0048680B" w:rsidRPr="0048680B" w:rsidRDefault="0048680B" w:rsidP="0048680B">
      <w:pPr>
        <w:pStyle w:val="INFOEM"/>
        <w:numPr>
          <w:ilvl w:val="0"/>
          <w:numId w:val="33"/>
        </w:numPr>
      </w:pPr>
      <w:r w:rsidRPr="0048680B">
        <w:t xml:space="preserve">Clasificación Funcional (Finalidad y Función). </w:t>
      </w:r>
    </w:p>
    <w:p w:rsidR="003051C0" w:rsidRDefault="003051C0" w:rsidP="00C77373">
      <w:pPr>
        <w:widowControl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rsidR="00C77373" w:rsidRDefault="00C77373" w:rsidP="00C77373">
      <w:pPr>
        <w:widowControl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Esto viene a colación ya que</w:t>
      </w:r>
      <w:r w:rsidR="003051C0">
        <w:rPr>
          <w:rFonts w:ascii="Palatino Linotype" w:eastAsia="Palatino Linotype" w:hAnsi="Palatino Linotype" w:cs="Palatino Linotype"/>
          <w:color w:val="000000"/>
        </w:rPr>
        <w:t>, de manera enunciativa más no limitativa,</w:t>
      </w:r>
      <w:r>
        <w:rPr>
          <w:rFonts w:ascii="Palatino Linotype" w:eastAsia="Palatino Linotype" w:hAnsi="Palatino Linotype" w:cs="Palatino Linotype"/>
          <w:color w:val="000000"/>
        </w:rPr>
        <w:t xml:space="preserve"> los documentos que da</w:t>
      </w:r>
      <w:r w:rsidR="003051C0">
        <w:rPr>
          <w:rFonts w:ascii="Palatino Linotype" w:eastAsia="Palatino Linotype" w:hAnsi="Palatino Linotype" w:cs="Palatino Linotype"/>
          <w:color w:val="000000"/>
        </w:rPr>
        <w:t>n</w:t>
      </w:r>
      <w:r>
        <w:rPr>
          <w:rFonts w:ascii="Palatino Linotype" w:eastAsia="Palatino Linotype" w:hAnsi="Palatino Linotype" w:cs="Palatino Linotype"/>
          <w:color w:val="000000"/>
        </w:rPr>
        <w:t xml:space="preserve"> cuentan de la información que solicita la parte Recurrente es el Estado Analítico del Ejercicio del Presupuesto de Egresos Detallado – LDF Clasificación Funcional (Finalidad y Función), ya que este responde al cuestionamiento ¿para qué se gasta?; y el Estado Analítico del Presupuesto de Egresos Clasificación Económica (por tipo de gasto), responde a la pregunta ¿en qué se gasta?</w:t>
      </w:r>
    </w:p>
    <w:p w:rsidR="00447236" w:rsidRDefault="00447236" w:rsidP="00C77373">
      <w:pPr>
        <w:widowControl w:val="0"/>
        <w:spacing w:line="360" w:lineRule="auto"/>
        <w:jc w:val="both"/>
        <w:rPr>
          <w:rFonts w:ascii="Palatino Linotype" w:eastAsia="Palatino Linotype" w:hAnsi="Palatino Linotype" w:cs="Palatino Linotype"/>
          <w:color w:val="000000"/>
        </w:rPr>
      </w:pPr>
    </w:p>
    <w:p w:rsidR="00447236" w:rsidRDefault="003051C0" w:rsidP="00447236">
      <w:pPr>
        <w:widowControl w:val="0"/>
        <w:spacing w:line="360" w:lineRule="auto"/>
        <w:jc w:val="both"/>
        <w:rPr>
          <w:rFonts w:ascii="Palatino Linotype" w:eastAsia="Palatino Linotype" w:hAnsi="Palatino Linotype" w:cs="Palatino Linotype"/>
          <w:color w:val="000000"/>
        </w:rPr>
      </w:pPr>
      <w:r>
        <w:rPr>
          <w:rFonts w:ascii="Palatino Linotype" w:hAnsi="Palatino Linotype" w:cs="Tahoma"/>
        </w:rPr>
        <w:t xml:space="preserve">Por otro lado, el </w:t>
      </w:r>
      <w:r w:rsidR="00447236">
        <w:rPr>
          <w:rFonts w:ascii="Palatino Linotype" w:eastAsia="Palatino Linotype" w:hAnsi="Palatino Linotype" w:cs="Palatino Linotype"/>
          <w:color w:val="000000"/>
        </w:rPr>
        <w:t>Manual Único de Contabilidad Gubernamental para las Dependencias y Entidades Públicas del Gobierno y Municipios del Estado de México, establece lo siguiente:</w:t>
      </w:r>
    </w:p>
    <w:p w:rsidR="005553CF" w:rsidRDefault="005553CF" w:rsidP="005553CF">
      <w:pPr>
        <w:widowControl w:val="0"/>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14:anchorId="753DAE96" wp14:editId="5A5F9678">
            <wp:extent cx="5038725" cy="2494924"/>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8026C3.tmp"/>
                    <pic:cNvPicPr/>
                  </pic:nvPicPr>
                  <pic:blipFill>
                    <a:blip r:embed="rId9">
                      <a:extLst>
                        <a:ext uri="{28A0092B-C50C-407E-A947-70E740481C1C}">
                          <a14:useLocalDpi xmlns:a14="http://schemas.microsoft.com/office/drawing/2010/main" val="0"/>
                        </a:ext>
                      </a:extLst>
                    </a:blip>
                    <a:stretch>
                      <a:fillRect/>
                    </a:stretch>
                  </pic:blipFill>
                  <pic:spPr>
                    <a:xfrm>
                      <a:off x="0" y="0"/>
                      <a:ext cx="5051842" cy="2501419"/>
                    </a:xfrm>
                    <a:prstGeom prst="rect">
                      <a:avLst/>
                    </a:prstGeom>
                  </pic:spPr>
                </pic:pic>
              </a:graphicData>
            </a:graphic>
          </wp:inline>
        </w:drawing>
      </w:r>
    </w:p>
    <w:p w:rsidR="005553CF" w:rsidRDefault="005553CF" w:rsidP="005553CF">
      <w:pPr>
        <w:widowControl w:val="0"/>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lastRenderedPageBreak/>
        <w:drawing>
          <wp:inline distT="0" distB="0" distL="0" distR="0" wp14:anchorId="201C5BAD" wp14:editId="7AF5CCC4">
            <wp:extent cx="5133975" cy="3139693"/>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80D5AA.tmp"/>
                    <pic:cNvPicPr/>
                  </pic:nvPicPr>
                  <pic:blipFill>
                    <a:blip r:embed="rId10">
                      <a:extLst>
                        <a:ext uri="{28A0092B-C50C-407E-A947-70E740481C1C}">
                          <a14:useLocalDpi xmlns:a14="http://schemas.microsoft.com/office/drawing/2010/main" val="0"/>
                        </a:ext>
                      </a:extLst>
                    </a:blip>
                    <a:stretch>
                      <a:fillRect/>
                    </a:stretch>
                  </pic:blipFill>
                  <pic:spPr>
                    <a:xfrm>
                      <a:off x="0" y="0"/>
                      <a:ext cx="5141128" cy="3144067"/>
                    </a:xfrm>
                    <a:prstGeom prst="rect">
                      <a:avLst/>
                    </a:prstGeom>
                  </pic:spPr>
                </pic:pic>
              </a:graphicData>
            </a:graphic>
          </wp:inline>
        </w:drawing>
      </w:r>
    </w:p>
    <w:p w:rsidR="005553CF" w:rsidRDefault="005553CF" w:rsidP="005553CF">
      <w:pPr>
        <w:widowControl w:val="0"/>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14:anchorId="42BD8200" wp14:editId="7B310B25">
            <wp:extent cx="5105400" cy="333719"/>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802890.tmp"/>
                    <pic:cNvPicPr/>
                  </pic:nvPicPr>
                  <pic:blipFill>
                    <a:blip r:embed="rId11">
                      <a:extLst>
                        <a:ext uri="{28A0092B-C50C-407E-A947-70E740481C1C}">
                          <a14:useLocalDpi xmlns:a14="http://schemas.microsoft.com/office/drawing/2010/main" val="0"/>
                        </a:ext>
                      </a:extLst>
                    </a:blip>
                    <a:stretch>
                      <a:fillRect/>
                    </a:stretch>
                  </pic:blipFill>
                  <pic:spPr>
                    <a:xfrm>
                      <a:off x="0" y="0"/>
                      <a:ext cx="5354456" cy="349999"/>
                    </a:xfrm>
                    <a:prstGeom prst="rect">
                      <a:avLst/>
                    </a:prstGeom>
                  </pic:spPr>
                </pic:pic>
              </a:graphicData>
            </a:graphic>
          </wp:inline>
        </w:drawing>
      </w:r>
    </w:p>
    <w:p w:rsidR="005553CF" w:rsidRDefault="005553CF" w:rsidP="005553CF">
      <w:pPr>
        <w:widowControl w:val="0"/>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14:anchorId="23857FC8" wp14:editId="5383E084">
            <wp:extent cx="5210175" cy="1498385"/>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804C32.tmp"/>
                    <pic:cNvPicPr/>
                  </pic:nvPicPr>
                  <pic:blipFill>
                    <a:blip r:embed="rId12">
                      <a:extLst>
                        <a:ext uri="{28A0092B-C50C-407E-A947-70E740481C1C}">
                          <a14:useLocalDpi xmlns:a14="http://schemas.microsoft.com/office/drawing/2010/main" val="0"/>
                        </a:ext>
                      </a:extLst>
                    </a:blip>
                    <a:stretch>
                      <a:fillRect/>
                    </a:stretch>
                  </pic:blipFill>
                  <pic:spPr>
                    <a:xfrm>
                      <a:off x="0" y="0"/>
                      <a:ext cx="5252271" cy="1510491"/>
                    </a:xfrm>
                    <a:prstGeom prst="rect">
                      <a:avLst/>
                    </a:prstGeom>
                  </pic:spPr>
                </pic:pic>
              </a:graphicData>
            </a:graphic>
          </wp:inline>
        </w:drawing>
      </w:r>
    </w:p>
    <w:p w:rsidR="005553CF" w:rsidRPr="00FA547B" w:rsidRDefault="005553CF" w:rsidP="005553CF">
      <w:pPr>
        <w:widowControl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lastRenderedPageBreak/>
        <w:drawing>
          <wp:anchor distT="0" distB="0" distL="114300" distR="114300" simplePos="0" relativeHeight="251659264" behindDoc="0" locked="0" layoutInCell="1" allowOverlap="1" wp14:anchorId="3FC1864E" wp14:editId="7E4A450F">
            <wp:simplePos x="1076325" y="1666875"/>
            <wp:positionH relativeFrom="margin">
              <wp:align>right</wp:align>
            </wp:positionH>
            <wp:positionV relativeFrom="paragraph">
              <wp:align>top</wp:align>
            </wp:positionV>
            <wp:extent cx="5794375" cy="11906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8071D2.tmp"/>
                    <pic:cNvPicPr/>
                  </pic:nvPicPr>
                  <pic:blipFill>
                    <a:blip r:embed="rId13">
                      <a:extLst>
                        <a:ext uri="{28A0092B-C50C-407E-A947-70E740481C1C}">
                          <a14:useLocalDpi xmlns:a14="http://schemas.microsoft.com/office/drawing/2010/main" val="0"/>
                        </a:ext>
                      </a:extLst>
                    </a:blip>
                    <a:stretch>
                      <a:fillRect/>
                    </a:stretch>
                  </pic:blipFill>
                  <pic:spPr>
                    <a:xfrm>
                      <a:off x="0" y="0"/>
                      <a:ext cx="5794375" cy="1190625"/>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noProof/>
          <w:color w:val="000000"/>
          <w:lang w:val="es-MX" w:eastAsia="es-MX"/>
        </w:rPr>
        <w:drawing>
          <wp:inline distT="0" distB="0" distL="0" distR="0" wp14:anchorId="0548FF06" wp14:editId="5C6C3F34">
            <wp:extent cx="5760720" cy="4055745"/>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80EEDB.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4055745"/>
                    </a:xfrm>
                    <a:prstGeom prst="rect">
                      <a:avLst/>
                    </a:prstGeom>
                  </pic:spPr>
                </pic:pic>
              </a:graphicData>
            </a:graphic>
          </wp:inline>
        </w:drawing>
      </w:r>
      <w:r>
        <w:rPr>
          <w:rFonts w:ascii="Palatino Linotype" w:eastAsia="Palatino Linotype" w:hAnsi="Palatino Linotype" w:cs="Palatino Linotype"/>
          <w:color w:val="000000"/>
        </w:rPr>
        <w:br w:type="textWrapping" w:clear="all"/>
      </w:r>
      <w:r>
        <w:rPr>
          <w:rFonts w:ascii="Palatino Linotype" w:hAnsi="Palatino Linotype"/>
          <w:noProof/>
          <w:lang w:val="es-MX" w:eastAsia="es-MX"/>
        </w:rPr>
        <w:drawing>
          <wp:inline distT="0" distB="0" distL="0" distR="0" wp14:anchorId="37BDBFD8" wp14:editId="057596E4">
            <wp:extent cx="5760720" cy="3454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806FD4.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345440"/>
                    </a:xfrm>
                    <a:prstGeom prst="rect">
                      <a:avLst/>
                    </a:prstGeom>
                  </pic:spPr>
                </pic:pic>
              </a:graphicData>
            </a:graphic>
          </wp:inline>
        </w:drawing>
      </w:r>
    </w:p>
    <w:p w:rsidR="005553CF" w:rsidRDefault="005553CF" w:rsidP="005553CF">
      <w:pPr>
        <w:spacing w:line="360" w:lineRule="auto"/>
        <w:jc w:val="both"/>
        <w:rPr>
          <w:rFonts w:ascii="Palatino Linotype" w:hAnsi="Palatino Linotype"/>
        </w:rPr>
      </w:pPr>
    </w:p>
    <w:p w:rsidR="005553CF" w:rsidRDefault="005553CF" w:rsidP="005553CF">
      <w:pPr>
        <w:spacing w:line="360" w:lineRule="auto"/>
        <w:jc w:val="both"/>
        <w:rPr>
          <w:rFonts w:ascii="Palatino Linotype" w:hAnsi="Palatino Linotype"/>
        </w:rPr>
      </w:pPr>
    </w:p>
    <w:p w:rsidR="005553CF" w:rsidRDefault="005553CF" w:rsidP="005553CF">
      <w:pPr>
        <w:spacing w:line="360" w:lineRule="auto"/>
        <w:jc w:val="both"/>
        <w:rPr>
          <w:rFonts w:ascii="Palatino Linotype" w:hAnsi="Palatino Linotype"/>
        </w:rPr>
      </w:pPr>
    </w:p>
    <w:p w:rsidR="005553CF" w:rsidRPr="00C572D8" w:rsidRDefault="005553CF" w:rsidP="005553CF">
      <w:pPr>
        <w:spacing w:line="360" w:lineRule="auto"/>
        <w:jc w:val="center"/>
        <w:rPr>
          <w:rFonts w:ascii="Palatino Linotype" w:hAnsi="Palatino Linotype"/>
        </w:rPr>
      </w:pPr>
      <w:r>
        <w:rPr>
          <w:rFonts w:ascii="Palatino Linotype" w:hAnsi="Palatino Linotype"/>
          <w:noProof/>
          <w:lang w:val="es-MX"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2672715</wp:posOffset>
                </wp:positionH>
                <wp:positionV relativeFrom="paragraph">
                  <wp:posOffset>1273809</wp:posOffset>
                </wp:positionV>
                <wp:extent cx="1447800" cy="200025"/>
                <wp:effectExtent l="19050" t="19050" r="19050" b="28575"/>
                <wp:wrapNone/>
                <wp:docPr id="6" name="Rectángulo 6"/>
                <wp:cNvGraphicFramePr/>
                <a:graphic xmlns:a="http://schemas.openxmlformats.org/drawingml/2006/main">
                  <a:graphicData uri="http://schemas.microsoft.com/office/word/2010/wordprocessingShape">
                    <wps:wsp>
                      <wps:cNvSpPr/>
                      <wps:spPr>
                        <a:xfrm>
                          <a:off x="0" y="0"/>
                          <a:ext cx="1447800" cy="2000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3626A45" id="Rectángulo 6" o:spid="_x0000_s1026" style="position:absolute;margin-left:210.45pt;margin-top:100.3pt;width:114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FoQIAAJEFAAAOAAAAZHJzL2Uyb0RvYy54bWysVM1u2zAMvg/YOwi6r3aCpumMOkXQIsOA&#10;oC3aDj0rshQbkEVNUuJkb7Nn2YuNkmw36Iodhl1sUSQ/ih9/rq4PrSJ7YV0DuqSTs5wSoTlUjd6W&#10;9Nvz6tMlJc4zXTEFWpT0KBy9Xnz8cNWZQkyhBlUJSxBEu6IzJa29N0WWOV6LlrkzMEKjUoJtmUfR&#10;brPKsg7RW5VN8/wi68BWxgIXzuHtbVLSRcSXUnB/L6UTnqiS4tt8/Nr43YRvtrhixdYyUze8fwb7&#10;h1e0rNEYdIS6ZZ6RnW3+gGobbsGB9Gcc2gykbLiIOWA2k/xNNk81MyLmguQ4M9Lk/h8sv9s/WNJU&#10;Jb2gRLMWS/SIpP36qbc7BeQiENQZV6Ddk3mwveTwGLI9SNuGP+ZBDpHU40iqOHjC8XJyfj6/zJF7&#10;jjosWT6dBdDs1dtY578IaEk4lNRi/Mgl26+dT6aDSQimYdUohfesUJp0CHo5m8+ihwPVVEEblM5u&#10;NzfKkj3D2q9WGDmWGwOfmKGkNL4m5Jiyiid/VCIFeBQS6cE8pilCaEwxwjLOhfaTpKpZJVK02Wmw&#10;wSPmrDQCBmSJrxyxe4DBMoEM2ImB3j64itjXo3P+t4cl59EjRgbtR+e20WDfA1CYVR852Q8kJWoC&#10;Sxuojtg8FtJUOcNXDVZwzZx/YBbHCIuOq8Hf40cqwEpBf6KkBvvjvftgj92NWko6HMuSuu87ZgUl&#10;6qvGvv+M7RTmOArns/kUBXuq2Zxq9K69Aaz+BJeQ4fEY7L0ajtJC+4IbZBmiooppjrFLyr0dhBuf&#10;1gXuIC6Wy2iGs2uYX+snwwN4YDV06PPhhVnTt7HHAbiDYYRZ8aabk23w1LDceZBNbPVXXnu+ce5j&#10;4/Q7KiyWUzlavW7SxW8AAAD//wMAUEsDBBQABgAIAAAAIQA9/zEo3gAAAAsBAAAPAAAAZHJzL2Rv&#10;d25yZXYueG1sTI9NS8NAEIbvgv9hGcGL2E1jCW2aTRGLeCsYpV4n2W0S3J0N2W0b/fVOT/Y47zy8&#10;H8VmclaczBh6TwrmswSEocbrnloFnx+vj0sQISJptJ6Mgh8TYFPe3hSYa3+md3OqYivYhEKOCroY&#10;h1zK0HTGYZj5wRD/Dn50GPkcW6lHPLO5szJNkkw67IkTOhzMS2ea7+roFNT7wf4etu5r2lcZ4e5t&#10;h7R9UOr+bnpeg4hmiv8wXOpzdSi5U+2PpIOwChZpsmJUwSUGBBPZYslKzcpTOgdZFvJ6Q/kHAAD/&#10;/wMAUEsBAi0AFAAGAAgAAAAhALaDOJL+AAAA4QEAABMAAAAAAAAAAAAAAAAAAAAAAFtDb250ZW50&#10;X1R5cGVzXS54bWxQSwECLQAUAAYACAAAACEAOP0h/9YAAACUAQAACwAAAAAAAAAAAAAAAAAvAQAA&#10;X3JlbHMvLnJlbHNQSwECLQAUAAYACAAAACEAl/rXRaECAACRBQAADgAAAAAAAAAAAAAAAAAuAgAA&#10;ZHJzL2Uyb0RvYy54bWxQSwECLQAUAAYACAAAACEAPf8xKN4AAAALAQAADwAAAAAAAAAAAAAAAAD7&#10;BAAAZHJzL2Rvd25yZXYueG1sUEsFBgAAAAAEAAQA8wAAAAYGAAAAAA==&#10;" filled="f" strokecolor="red" strokeweight="2.25pt"/>
            </w:pict>
          </mc:Fallback>
        </mc:AlternateContent>
      </w:r>
      <w:r>
        <w:rPr>
          <w:rFonts w:ascii="Palatino Linotype" w:hAnsi="Palatino Linotype"/>
          <w:noProof/>
          <w:lang w:val="es-MX" w:eastAsia="es-MX"/>
        </w:rPr>
        <w:drawing>
          <wp:inline distT="0" distB="0" distL="0" distR="0" wp14:anchorId="4C8913EB" wp14:editId="41CDF9EF">
            <wp:extent cx="4676775" cy="3035367"/>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8077C9.tmp"/>
                    <pic:cNvPicPr/>
                  </pic:nvPicPr>
                  <pic:blipFill>
                    <a:blip r:embed="rId16">
                      <a:extLst>
                        <a:ext uri="{28A0092B-C50C-407E-A947-70E740481C1C}">
                          <a14:useLocalDpi xmlns:a14="http://schemas.microsoft.com/office/drawing/2010/main" val="0"/>
                        </a:ext>
                      </a:extLst>
                    </a:blip>
                    <a:stretch>
                      <a:fillRect/>
                    </a:stretch>
                  </pic:blipFill>
                  <pic:spPr>
                    <a:xfrm>
                      <a:off x="0" y="0"/>
                      <a:ext cx="4704181" cy="3053154"/>
                    </a:xfrm>
                    <a:prstGeom prst="rect">
                      <a:avLst/>
                    </a:prstGeom>
                  </pic:spPr>
                </pic:pic>
              </a:graphicData>
            </a:graphic>
          </wp:inline>
        </w:drawing>
      </w:r>
    </w:p>
    <w:p w:rsidR="005553CF" w:rsidRDefault="005553CF" w:rsidP="005553CF">
      <w:pPr>
        <w:spacing w:line="360" w:lineRule="auto"/>
        <w:jc w:val="center"/>
        <w:rPr>
          <w:rFonts w:ascii="Palatino Linotype" w:hAnsi="Palatino Linotype"/>
        </w:rPr>
      </w:pPr>
      <w:r>
        <w:rPr>
          <w:rFonts w:ascii="Palatino Linotype" w:hAnsi="Palatino Linotype"/>
          <w:noProof/>
          <w:lang w:val="es-MX" w:eastAsia="es-MX"/>
        </w:rPr>
        <w:drawing>
          <wp:inline distT="0" distB="0" distL="0" distR="0" wp14:anchorId="15FA1E51" wp14:editId="3769D0C2">
            <wp:extent cx="4076700" cy="3303331"/>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580A875.tmp"/>
                    <pic:cNvPicPr/>
                  </pic:nvPicPr>
                  <pic:blipFill>
                    <a:blip r:embed="rId17">
                      <a:extLst>
                        <a:ext uri="{28A0092B-C50C-407E-A947-70E740481C1C}">
                          <a14:useLocalDpi xmlns:a14="http://schemas.microsoft.com/office/drawing/2010/main" val="0"/>
                        </a:ext>
                      </a:extLst>
                    </a:blip>
                    <a:stretch>
                      <a:fillRect/>
                    </a:stretch>
                  </pic:blipFill>
                  <pic:spPr>
                    <a:xfrm>
                      <a:off x="0" y="0"/>
                      <a:ext cx="4102823" cy="3324499"/>
                    </a:xfrm>
                    <a:prstGeom prst="rect">
                      <a:avLst/>
                    </a:prstGeom>
                  </pic:spPr>
                </pic:pic>
              </a:graphicData>
            </a:graphic>
          </wp:inline>
        </w:drawing>
      </w:r>
    </w:p>
    <w:p w:rsidR="005553CF" w:rsidRDefault="005553CF" w:rsidP="005553CF">
      <w:pPr>
        <w:spacing w:line="360" w:lineRule="auto"/>
        <w:jc w:val="both"/>
        <w:rPr>
          <w:rFonts w:ascii="Palatino Linotype" w:hAnsi="Palatino Linotype"/>
        </w:rPr>
      </w:pPr>
    </w:p>
    <w:p w:rsidR="005553CF" w:rsidRDefault="005553CF" w:rsidP="005553CF">
      <w:pPr>
        <w:spacing w:line="360" w:lineRule="auto"/>
        <w:jc w:val="center"/>
        <w:rPr>
          <w:rFonts w:ascii="Palatino Linotype" w:hAnsi="Palatino Linotype"/>
        </w:rPr>
      </w:pPr>
      <w:r>
        <w:rPr>
          <w:rFonts w:ascii="Palatino Linotype" w:hAnsi="Palatino Linotype"/>
          <w:noProof/>
          <w:lang w:val="es-MX" w:eastAsia="es-MX"/>
        </w:rPr>
        <w:lastRenderedPageBreak/>
        <w:drawing>
          <wp:inline distT="0" distB="0" distL="0" distR="0" wp14:anchorId="717A7951" wp14:editId="028D0646">
            <wp:extent cx="3905250" cy="3000826"/>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807A2E.tmp"/>
                    <pic:cNvPicPr/>
                  </pic:nvPicPr>
                  <pic:blipFill>
                    <a:blip r:embed="rId18">
                      <a:extLst>
                        <a:ext uri="{28A0092B-C50C-407E-A947-70E740481C1C}">
                          <a14:useLocalDpi xmlns:a14="http://schemas.microsoft.com/office/drawing/2010/main" val="0"/>
                        </a:ext>
                      </a:extLst>
                    </a:blip>
                    <a:stretch>
                      <a:fillRect/>
                    </a:stretch>
                  </pic:blipFill>
                  <pic:spPr>
                    <a:xfrm>
                      <a:off x="0" y="0"/>
                      <a:ext cx="3915428" cy="3008647"/>
                    </a:xfrm>
                    <a:prstGeom prst="rect">
                      <a:avLst/>
                    </a:prstGeom>
                  </pic:spPr>
                </pic:pic>
              </a:graphicData>
            </a:graphic>
          </wp:inline>
        </w:drawing>
      </w:r>
    </w:p>
    <w:p w:rsidR="005553CF" w:rsidRDefault="005553CF" w:rsidP="005553CF">
      <w:pPr>
        <w:spacing w:line="360" w:lineRule="auto"/>
        <w:jc w:val="both"/>
        <w:rPr>
          <w:rFonts w:ascii="Palatino Linotype" w:hAnsi="Palatino Linotype"/>
        </w:rPr>
      </w:pPr>
    </w:p>
    <w:p w:rsidR="00C77373" w:rsidRDefault="00C77373" w:rsidP="00254DAF">
      <w:pPr>
        <w:spacing w:before="240" w:line="360" w:lineRule="auto"/>
        <w:jc w:val="both"/>
        <w:rPr>
          <w:rFonts w:ascii="Palatino Linotype" w:hAnsi="Palatino Linotype" w:cs="Tahoma"/>
        </w:rPr>
      </w:pPr>
    </w:p>
    <w:p w:rsidR="007F0C0D" w:rsidRPr="006F1142" w:rsidRDefault="007F0C0D" w:rsidP="007F0C0D">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rsidR="007F0C0D" w:rsidRPr="00177253" w:rsidRDefault="007F0C0D" w:rsidP="007F0C0D">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6"/>
        <w:gridCol w:w="4202"/>
        <w:gridCol w:w="1643"/>
      </w:tblGrid>
      <w:tr w:rsidR="007F0C0D" w:rsidTr="007D6649">
        <w:trPr>
          <w:trHeight w:val="408"/>
        </w:trPr>
        <w:tc>
          <w:tcPr>
            <w:tcW w:w="3246" w:type="dxa"/>
            <w:shd w:val="clear" w:color="auto" w:fill="E7E6E6" w:themeFill="background2"/>
          </w:tcPr>
          <w:p w:rsidR="007F0C0D" w:rsidRPr="00E80E99" w:rsidRDefault="007F0C0D" w:rsidP="000C60A7">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202" w:type="dxa"/>
            <w:shd w:val="clear" w:color="auto" w:fill="E7E6E6" w:themeFill="background2"/>
          </w:tcPr>
          <w:p w:rsidR="007F0C0D" w:rsidRPr="00E80E99" w:rsidRDefault="007F0C0D" w:rsidP="000C60A7">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643" w:type="dxa"/>
            <w:shd w:val="clear" w:color="auto" w:fill="E7E6E6" w:themeFill="background2"/>
          </w:tcPr>
          <w:p w:rsidR="007F0C0D" w:rsidRPr="00E80E99" w:rsidRDefault="007F0C0D" w:rsidP="000C60A7">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7D6649" w:rsidTr="007D6649">
        <w:trPr>
          <w:trHeight w:val="1234"/>
        </w:trPr>
        <w:tc>
          <w:tcPr>
            <w:tcW w:w="3246" w:type="dxa"/>
          </w:tcPr>
          <w:p w:rsidR="007D6649" w:rsidRPr="007D6649" w:rsidRDefault="007D6649" w:rsidP="007D6649">
            <w:pPr>
              <w:tabs>
                <w:tab w:val="left" w:pos="1828"/>
              </w:tabs>
              <w:jc w:val="both"/>
              <w:rPr>
                <w:rFonts w:ascii="Palatino Linotype" w:hAnsi="Palatino Linotype" w:cs="Tahoma"/>
                <w:bCs/>
                <w:sz w:val="22"/>
              </w:rPr>
            </w:pPr>
            <w:r w:rsidRPr="007D6649">
              <w:rPr>
                <w:rFonts w:ascii="Palatino Linotype" w:hAnsi="Palatino Linotype" w:cs="Tahoma"/>
                <w:bCs/>
                <w:sz w:val="22"/>
              </w:rPr>
              <w:t>Cuanto costo el evento de día de reyes.</w:t>
            </w:r>
          </w:p>
        </w:tc>
        <w:tc>
          <w:tcPr>
            <w:tcW w:w="4202" w:type="dxa"/>
            <w:vMerge w:val="restart"/>
          </w:tcPr>
          <w:p w:rsidR="007D6649" w:rsidRPr="00E729B8" w:rsidRDefault="007D6649" w:rsidP="007D6649">
            <w:pPr>
              <w:jc w:val="both"/>
              <w:rPr>
                <w:rFonts w:ascii="Palatino Linotype" w:hAnsi="Palatino Linotype"/>
                <w:b/>
                <w:color w:val="000000"/>
              </w:rPr>
            </w:pPr>
            <w:r>
              <w:rPr>
                <w:rFonts w:ascii="Palatino Linotype" w:hAnsi="Palatino Linotype" w:cs="Arial"/>
              </w:rPr>
              <w:t>El Director de Administración y Tesorería, remitió una liga en datos cerrados, así mismo, refiere que en la liga se encuentra la información objeto de la solicitud.</w:t>
            </w:r>
          </w:p>
        </w:tc>
        <w:tc>
          <w:tcPr>
            <w:tcW w:w="1643" w:type="dxa"/>
            <w:vMerge w:val="restart"/>
          </w:tcPr>
          <w:p w:rsidR="007D6649" w:rsidRDefault="007D6649" w:rsidP="000C60A7">
            <w:pPr>
              <w:jc w:val="center"/>
              <w:rPr>
                <w:rFonts w:ascii="Palatino Linotype" w:hAnsi="Palatino Linotype"/>
                <w:b/>
                <w:i/>
              </w:rPr>
            </w:pPr>
            <w:r w:rsidRPr="007D6649">
              <w:rPr>
                <w:rFonts w:ascii="Palatino Linotype" w:hAnsi="Palatino Linotype"/>
                <w:b/>
                <w:i/>
              </w:rPr>
              <w:t>No</w:t>
            </w:r>
          </w:p>
          <w:p w:rsidR="007D6649" w:rsidRPr="007D6649" w:rsidRDefault="007D6649" w:rsidP="000C60A7">
            <w:pPr>
              <w:jc w:val="center"/>
              <w:rPr>
                <w:rFonts w:ascii="Palatino Linotype" w:hAnsi="Palatino Linotype"/>
                <w:b/>
                <w:i/>
              </w:rPr>
            </w:pPr>
            <w:r w:rsidRPr="007D6649">
              <w:rPr>
                <w:rFonts w:ascii="Palatino Linotype" w:hAnsi="Palatino Linotype"/>
                <w:i/>
              </w:rPr>
              <w:t xml:space="preserve">Admite contar con la información, sin embargo, la liga se encuentra en </w:t>
            </w:r>
            <w:r w:rsidRPr="007D6649">
              <w:rPr>
                <w:rFonts w:ascii="Palatino Linotype" w:hAnsi="Palatino Linotype"/>
                <w:i/>
              </w:rPr>
              <w:lastRenderedPageBreak/>
              <w:t>datos cerrados</w:t>
            </w:r>
            <w:r>
              <w:rPr>
                <w:rFonts w:ascii="Palatino Linotype" w:hAnsi="Palatino Linotype"/>
                <w:b/>
                <w:i/>
              </w:rPr>
              <w:t>.</w:t>
            </w:r>
          </w:p>
        </w:tc>
      </w:tr>
      <w:tr w:rsidR="007D6649" w:rsidTr="007D6649">
        <w:trPr>
          <w:trHeight w:val="1234"/>
        </w:trPr>
        <w:tc>
          <w:tcPr>
            <w:tcW w:w="3246" w:type="dxa"/>
          </w:tcPr>
          <w:p w:rsidR="007D6649" w:rsidRPr="007D6649" w:rsidRDefault="007D6649" w:rsidP="007D6649">
            <w:pPr>
              <w:tabs>
                <w:tab w:val="left" w:pos="1828"/>
              </w:tabs>
              <w:jc w:val="both"/>
              <w:rPr>
                <w:rFonts w:ascii="Palatino Linotype" w:hAnsi="Palatino Linotype" w:cs="Tahoma"/>
                <w:bCs/>
                <w:sz w:val="22"/>
              </w:rPr>
            </w:pPr>
            <w:r w:rsidRPr="007D6649">
              <w:rPr>
                <w:rFonts w:ascii="Palatino Linotype" w:hAnsi="Palatino Linotype" w:cs="Tahoma"/>
                <w:bCs/>
                <w:sz w:val="22"/>
              </w:rPr>
              <w:t>Contratos realizados para el evento de luz, sonido, artistas, carpa, mobiliario, juguetes, dulces, lunch.</w:t>
            </w:r>
          </w:p>
          <w:p w:rsidR="007D6649" w:rsidRPr="007D6649" w:rsidRDefault="007D6649" w:rsidP="007D6649">
            <w:pPr>
              <w:tabs>
                <w:tab w:val="left" w:pos="1828"/>
              </w:tabs>
              <w:jc w:val="both"/>
              <w:rPr>
                <w:rFonts w:ascii="Palatino Linotype" w:hAnsi="Palatino Linotype" w:cs="Tahoma"/>
                <w:bCs/>
                <w:sz w:val="22"/>
              </w:rPr>
            </w:pPr>
          </w:p>
        </w:tc>
        <w:tc>
          <w:tcPr>
            <w:tcW w:w="4202" w:type="dxa"/>
            <w:vMerge/>
          </w:tcPr>
          <w:p w:rsidR="007D6649" w:rsidRPr="000E2974" w:rsidRDefault="007D6649" w:rsidP="000C60A7">
            <w:pPr>
              <w:jc w:val="both"/>
              <w:rPr>
                <w:rFonts w:ascii="Palatino Linotype" w:hAnsi="Palatino Linotype"/>
                <w:color w:val="000000"/>
                <w:lang w:val="es-MX"/>
              </w:rPr>
            </w:pPr>
          </w:p>
        </w:tc>
        <w:tc>
          <w:tcPr>
            <w:tcW w:w="1643" w:type="dxa"/>
            <w:vMerge/>
          </w:tcPr>
          <w:p w:rsidR="007D6649" w:rsidRPr="001D033E" w:rsidRDefault="007D6649" w:rsidP="000C60A7">
            <w:pPr>
              <w:jc w:val="center"/>
              <w:rPr>
                <w:rFonts w:ascii="Palatino Linotype" w:hAnsi="Palatino Linotype"/>
                <w:i/>
              </w:rPr>
            </w:pPr>
          </w:p>
        </w:tc>
      </w:tr>
      <w:tr w:rsidR="007D6649" w:rsidTr="007D6649">
        <w:trPr>
          <w:trHeight w:val="1234"/>
        </w:trPr>
        <w:tc>
          <w:tcPr>
            <w:tcW w:w="3246" w:type="dxa"/>
          </w:tcPr>
          <w:p w:rsidR="007D6649" w:rsidRPr="007D6649" w:rsidRDefault="007D6649" w:rsidP="007D6649">
            <w:pPr>
              <w:tabs>
                <w:tab w:val="left" w:pos="1828"/>
              </w:tabs>
              <w:jc w:val="both"/>
              <w:rPr>
                <w:rFonts w:ascii="Palatino Linotype" w:hAnsi="Palatino Linotype" w:cs="Tahoma"/>
                <w:bCs/>
                <w:sz w:val="22"/>
              </w:rPr>
            </w:pPr>
            <w:r w:rsidRPr="007D6649">
              <w:rPr>
                <w:rFonts w:ascii="Palatino Linotype" w:hAnsi="Palatino Linotype" w:cs="Tahoma"/>
                <w:bCs/>
                <w:sz w:val="22"/>
              </w:rPr>
              <w:t>Contratos firmados para la adquisición</w:t>
            </w:r>
          </w:p>
          <w:p w:rsidR="007D6649" w:rsidRPr="007D6649" w:rsidRDefault="007D6649" w:rsidP="007D6649">
            <w:pPr>
              <w:tabs>
                <w:tab w:val="left" w:pos="1828"/>
              </w:tabs>
              <w:jc w:val="both"/>
              <w:rPr>
                <w:rFonts w:ascii="Palatino Linotype" w:hAnsi="Palatino Linotype" w:cs="Tahoma"/>
                <w:bCs/>
                <w:sz w:val="22"/>
              </w:rPr>
            </w:pPr>
          </w:p>
        </w:tc>
        <w:tc>
          <w:tcPr>
            <w:tcW w:w="4202" w:type="dxa"/>
            <w:vMerge/>
          </w:tcPr>
          <w:p w:rsidR="007D6649" w:rsidRPr="00BF5AB4" w:rsidRDefault="007D6649" w:rsidP="000C60A7">
            <w:pPr>
              <w:jc w:val="both"/>
              <w:rPr>
                <w:rFonts w:ascii="Palatino Linotype" w:hAnsi="Palatino Linotype"/>
                <w:color w:val="000000"/>
              </w:rPr>
            </w:pPr>
          </w:p>
        </w:tc>
        <w:tc>
          <w:tcPr>
            <w:tcW w:w="1643" w:type="dxa"/>
            <w:vMerge/>
          </w:tcPr>
          <w:p w:rsidR="007D6649" w:rsidRPr="00BF5AB4" w:rsidRDefault="007D6649" w:rsidP="000C60A7">
            <w:pPr>
              <w:jc w:val="center"/>
              <w:rPr>
                <w:rFonts w:ascii="Palatino Linotype" w:hAnsi="Palatino Linotype"/>
                <w:b/>
                <w:i/>
              </w:rPr>
            </w:pPr>
          </w:p>
        </w:tc>
      </w:tr>
      <w:tr w:rsidR="007D6649" w:rsidTr="007D6649">
        <w:trPr>
          <w:trHeight w:val="1234"/>
        </w:trPr>
        <w:tc>
          <w:tcPr>
            <w:tcW w:w="3246" w:type="dxa"/>
          </w:tcPr>
          <w:p w:rsidR="007D6649" w:rsidRPr="007D6649" w:rsidRDefault="007D6649" w:rsidP="007D6649">
            <w:pPr>
              <w:tabs>
                <w:tab w:val="left" w:pos="1828"/>
              </w:tabs>
              <w:jc w:val="both"/>
              <w:rPr>
                <w:rFonts w:ascii="Palatino Linotype" w:hAnsi="Palatino Linotype" w:cs="Tahoma"/>
                <w:bCs/>
                <w:sz w:val="22"/>
              </w:rPr>
            </w:pPr>
            <w:r w:rsidRPr="007D6649">
              <w:rPr>
                <w:rFonts w:ascii="Palatino Linotype" w:hAnsi="Palatino Linotype" w:cs="Tahoma"/>
                <w:bCs/>
                <w:sz w:val="22"/>
              </w:rPr>
              <w:t>Presupuesto autorizado y ejercido</w:t>
            </w:r>
          </w:p>
        </w:tc>
        <w:tc>
          <w:tcPr>
            <w:tcW w:w="4202" w:type="dxa"/>
            <w:vMerge/>
          </w:tcPr>
          <w:p w:rsidR="007D6649" w:rsidRPr="00BF5AB4" w:rsidRDefault="007D6649" w:rsidP="000C60A7">
            <w:pPr>
              <w:jc w:val="both"/>
              <w:rPr>
                <w:rFonts w:ascii="Palatino Linotype" w:hAnsi="Palatino Linotype"/>
                <w:color w:val="000000"/>
              </w:rPr>
            </w:pPr>
          </w:p>
        </w:tc>
        <w:tc>
          <w:tcPr>
            <w:tcW w:w="1643" w:type="dxa"/>
            <w:vMerge/>
          </w:tcPr>
          <w:p w:rsidR="007D6649" w:rsidRPr="00BF5AB4" w:rsidRDefault="007D6649" w:rsidP="000C60A7">
            <w:pPr>
              <w:jc w:val="center"/>
              <w:rPr>
                <w:rFonts w:ascii="Palatino Linotype" w:hAnsi="Palatino Linotype"/>
                <w:b/>
                <w:i/>
              </w:rPr>
            </w:pPr>
          </w:p>
        </w:tc>
      </w:tr>
      <w:tr w:rsidR="007D6649" w:rsidTr="007D6649">
        <w:trPr>
          <w:trHeight w:val="1234"/>
        </w:trPr>
        <w:tc>
          <w:tcPr>
            <w:tcW w:w="3246" w:type="dxa"/>
          </w:tcPr>
          <w:p w:rsidR="007D6649" w:rsidRPr="007D6649" w:rsidRDefault="007D6649" w:rsidP="007D6649">
            <w:pPr>
              <w:tabs>
                <w:tab w:val="left" w:pos="1828"/>
              </w:tabs>
              <w:jc w:val="both"/>
              <w:rPr>
                <w:rFonts w:ascii="Palatino Linotype" w:hAnsi="Palatino Linotype" w:cs="Tahoma"/>
                <w:bCs/>
                <w:sz w:val="22"/>
              </w:rPr>
            </w:pPr>
            <w:r w:rsidRPr="007D6649">
              <w:rPr>
                <w:rFonts w:ascii="Palatino Linotype" w:hAnsi="Palatino Linotype" w:cs="Tahoma"/>
                <w:bCs/>
                <w:sz w:val="22"/>
              </w:rPr>
              <w:t>Partida de la que provino el dinero para pagar las facturas</w:t>
            </w:r>
          </w:p>
        </w:tc>
        <w:tc>
          <w:tcPr>
            <w:tcW w:w="4202" w:type="dxa"/>
            <w:vMerge/>
          </w:tcPr>
          <w:p w:rsidR="007D6649" w:rsidRPr="00BF5AB4" w:rsidRDefault="007D6649" w:rsidP="000C60A7">
            <w:pPr>
              <w:jc w:val="both"/>
              <w:rPr>
                <w:rFonts w:ascii="Palatino Linotype" w:hAnsi="Palatino Linotype"/>
                <w:color w:val="000000"/>
              </w:rPr>
            </w:pPr>
          </w:p>
        </w:tc>
        <w:tc>
          <w:tcPr>
            <w:tcW w:w="1643" w:type="dxa"/>
            <w:vMerge/>
          </w:tcPr>
          <w:p w:rsidR="007D6649" w:rsidRPr="00BF5AB4" w:rsidRDefault="007D6649" w:rsidP="000C60A7">
            <w:pPr>
              <w:jc w:val="center"/>
              <w:rPr>
                <w:rFonts w:ascii="Palatino Linotype" w:hAnsi="Palatino Linotype"/>
                <w:b/>
                <w:i/>
              </w:rPr>
            </w:pPr>
          </w:p>
        </w:tc>
      </w:tr>
      <w:tr w:rsidR="007D6649" w:rsidTr="007D6649">
        <w:trPr>
          <w:trHeight w:val="1234"/>
        </w:trPr>
        <w:tc>
          <w:tcPr>
            <w:tcW w:w="3246" w:type="dxa"/>
          </w:tcPr>
          <w:p w:rsidR="007D6649" w:rsidRPr="007D6649" w:rsidRDefault="007D6649" w:rsidP="007D6649">
            <w:pPr>
              <w:tabs>
                <w:tab w:val="left" w:pos="1828"/>
              </w:tabs>
              <w:jc w:val="both"/>
              <w:rPr>
                <w:rFonts w:ascii="Palatino Linotype" w:hAnsi="Palatino Linotype" w:cs="Tahoma"/>
                <w:bCs/>
                <w:sz w:val="22"/>
              </w:rPr>
            </w:pPr>
            <w:r w:rsidRPr="007D6649">
              <w:rPr>
                <w:rFonts w:ascii="Palatino Linotype" w:hAnsi="Palatino Linotype" w:cs="Tahoma"/>
                <w:bCs/>
                <w:sz w:val="22"/>
              </w:rPr>
              <w:t>Contratos con proveedores</w:t>
            </w:r>
          </w:p>
        </w:tc>
        <w:tc>
          <w:tcPr>
            <w:tcW w:w="4202" w:type="dxa"/>
            <w:vMerge/>
          </w:tcPr>
          <w:p w:rsidR="007D6649" w:rsidRPr="00BF5AB4" w:rsidRDefault="007D6649" w:rsidP="000C60A7">
            <w:pPr>
              <w:jc w:val="both"/>
              <w:rPr>
                <w:rFonts w:ascii="Palatino Linotype" w:hAnsi="Palatino Linotype"/>
                <w:color w:val="000000"/>
              </w:rPr>
            </w:pPr>
          </w:p>
        </w:tc>
        <w:tc>
          <w:tcPr>
            <w:tcW w:w="1643" w:type="dxa"/>
            <w:vMerge/>
          </w:tcPr>
          <w:p w:rsidR="007D6649" w:rsidRPr="00BF5AB4" w:rsidRDefault="007D6649" w:rsidP="000C60A7">
            <w:pPr>
              <w:jc w:val="center"/>
              <w:rPr>
                <w:rFonts w:ascii="Palatino Linotype" w:hAnsi="Palatino Linotype"/>
                <w:b/>
                <w:i/>
              </w:rPr>
            </w:pPr>
          </w:p>
        </w:tc>
      </w:tr>
    </w:tbl>
    <w:p w:rsidR="007F0C0D" w:rsidRDefault="007F0C0D" w:rsidP="007F0C0D">
      <w:pPr>
        <w:spacing w:line="360" w:lineRule="auto"/>
        <w:jc w:val="both"/>
        <w:rPr>
          <w:rFonts w:ascii="Palatino Linotype" w:hAnsi="Palatino Linotype"/>
          <w:color w:val="000000"/>
        </w:rPr>
      </w:pPr>
    </w:p>
    <w:p w:rsidR="007F0C0D" w:rsidRPr="000E2974" w:rsidRDefault="007F0C0D" w:rsidP="007F0C0D">
      <w:pPr>
        <w:spacing w:line="360" w:lineRule="auto"/>
        <w:jc w:val="both"/>
        <w:rPr>
          <w:rFonts w:ascii="Palatino Linotype" w:hAnsi="Palatino Linotype"/>
          <w:color w:val="000000"/>
        </w:rPr>
      </w:pPr>
    </w:p>
    <w:p w:rsidR="00590A49" w:rsidRPr="00532A84" w:rsidRDefault="00590A49" w:rsidP="00590A49">
      <w:pPr>
        <w:pBdr>
          <w:top w:val="nil"/>
          <w:left w:val="nil"/>
          <w:bottom w:val="nil"/>
          <w:right w:val="nil"/>
          <w:between w:val="nil"/>
        </w:pBdr>
        <w:spacing w:line="360" w:lineRule="auto"/>
        <w:contextualSpacing/>
        <w:jc w:val="both"/>
        <w:rPr>
          <w:rFonts w:ascii="Palatino Linotype" w:hAnsi="Palatino Linotype"/>
        </w:rPr>
      </w:pPr>
      <w:r>
        <w:rPr>
          <w:rFonts w:ascii="Palatino Linotype" w:hAnsi="Palatino Linotype"/>
          <w:bCs/>
        </w:rPr>
        <w:t>Atento a ello, e</w:t>
      </w:r>
      <w:r w:rsidRPr="00532A84">
        <w:rPr>
          <w:rFonts w:ascii="Palatino Linotype" w:hAnsi="Palatino Linotype"/>
          <w:bCs/>
        </w:rPr>
        <w:t xml:space="preserve">s importante señalar que </w:t>
      </w:r>
      <w:r w:rsidRPr="00532A84">
        <w:rPr>
          <w:rFonts w:ascii="Palatino Linotype" w:hAnsi="Palatino Linotype"/>
        </w:rPr>
        <w:t>el artículo 4, párrafo segundo, de la Ley de Transparencia y Acceso a la Información Pública del Estado de México y Municipios, dispone:</w:t>
      </w:r>
    </w:p>
    <w:p w:rsidR="00590A49" w:rsidRPr="00532A84" w:rsidRDefault="00590A49" w:rsidP="00590A49">
      <w:pPr>
        <w:pBdr>
          <w:top w:val="nil"/>
          <w:left w:val="nil"/>
          <w:bottom w:val="nil"/>
          <w:right w:val="nil"/>
          <w:between w:val="nil"/>
        </w:pBdr>
        <w:spacing w:line="360" w:lineRule="auto"/>
        <w:contextualSpacing/>
        <w:jc w:val="both"/>
        <w:rPr>
          <w:rFonts w:ascii="Palatino Linotype" w:hAnsi="Palatino Linotype"/>
        </w:rPr>
      </w:pPr>
    </w:p>
    <w:p w:rsidR="00590A49" w:rsidRPr="00532A84" w:rsidRDefault="00590A49" w:rsidP="00590A49">
      <w:pPr>
        <w:pBdr>
          <w:top w:val="nil"/>
          <w:left w:val="nil"/>
          <w:bottom w:val="nil"/>
          <w:right w:val="nil"/>
          <w:between w:val="nil"/>
        </w:pBdr>
        <w:ind w:left="567" w:right="616"/>
        <w:contextualSpacing/>
        <w:jc w:val="both"/>
        <w:rPr>
          <w:rFonts w:ascii="Palatino Linotype" w:hAnsi="Palatino Linotype"/>
          <w:i/>
        </w:rPr>
      </w:pPr>
      <w:r w:rsidRPr="00532A84">
        <w:rPr>
          <w:rFonts w:ascii="Palatino Linotype" w:hAnsi="Palatino Linotype"/>
          <w:b/>
          <w:i/>
        </w:rPr>
        <w:t>Artículo 4. (</w:t>
      </w:r>
      <w:r w:rsidRPr="00532A84">
        <w:rPr>
          <w:rFonts w:ascii="Palatino Linotype" w:hAnsi="Palatino Linotype"/>
          <w:i/>
        </w:rPr>
        <w:t>…)</w:t>
      </w:r>
    </w:p>
    <w:p w:rsidR="00590A49" w:rsidRPr="00532A84" w:rsidRDefault="00590A49" w:rsidP="00590A49">
      <w:pPr>
        <w:pBdr>
          <w:top w:val="nil"/>
          <w:left w:val="nil"/>
          <w:bottom w:val="nil"/>
          <w:right w:val="nil"/>
          <w:between w:val="nil"/>
        </w:pBdr>
        <w:ind w:left="567" w:right="616"/>
        <w:contextualSpacing/>
        <w:jc w:val="both"/>
        <w:rPr>
          <w:rFonts w:ascii="Palatino Linotype" w:hAnsi="Palatino Linotype"/>
          <w:i/>
        </w:rPr>
      </w:pPr>
      <w:r w:rsidRPr="00532A84">
        <w:rPr>
          <w:rFonts w:ascii="Palatino Linotype" w:hAnsi="Palatino Linotype"/>
          <w:i/>
        </w:rPr>
        <w:t xml:space="preserve"> </w:t>
      </w:r>
    </w:p>
    <w:p w:rsidR="00590A49" w:rsidRPr="00532A84" w:rsidRDefault="00590A49" w:rsidP="00590A49">
      <w:pPr>
        <w:pBdr>
          <w:top w:val="nil"/>
          <w:left w:val="nil"/>
          <w:bottom w:val="nil"/>
          <w:right w:val="nil"/>
          <w:between w:val="nil"/>
        </w:pBdr>
        <w:ind w:left="567" w:right="616"/>
        <w:contextualSpacing/>
        <w:jc w:val="both"/>
        <w:rPr>
          <w:rFonts w:ascii="Palatino Linotype" w:hAnsi="Palatino Linotype"/>
          <w:i/>
        </w:rPr>
      </w:pPr>
      <w:r w:rsidRPr="00532A84">
        <w:rPr>
          <w:rFonts w:ascii="Palatino Linotype" w:hAnsi="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w:t>
      </w:r>
      <w:r w:rsidRPr="00532A84">
        <w:rPr>
          <w:rFonts w:ascii="Palatino Linotype" w:hAnsi="Palatino Linotype"/>
          <w:i/>
        </w:rPr>
        <w:lastRenderedPageBreak/>
        <w:t xml:space="preserve">presente Ley y demás disposiciones de la materia, privilegiando el principio de máxima publicidad de la información. </w:t>
      </w:r>
    </w:p>
    <w:p w:rsidR="00590A49" w:rsidRPr="00532A84" w:rsidRDefault="00590A49" w:rsidP="00590A49">
      <w:pPr>
        <w:pBdr>
          <w:top w:val="nil"/>
          <w:left w:val="nil"/>
          <w:bottom w:val="nil"/>
          <w:right w:val="nil"/>
          <w:between w:val="nil"/>
        </w:pBdr>
        <w:ind w:left="567" w:right="616"/>
        <w:contextualSpacing/>
        <w:jc w:val="both"/>
        <w:rPr>
          <w:rFonts w:ascii="Palatino Linotype" w:hAnsi="Palatino Linotype"/>
          <w:i/>
        </w:rPr>
      </w:pPr>
    </w:p>
    <w:p w:rsidR="00590A49" w:rsidRPr="00532A84" w:rsidRDefault="00590A49" w:rsidP="00590A49">
      <w:pPr>
        <w:pBdr>
          <w:top w:val="nil"/>
          <w:left w:val="nil"/>
          <w:bottom w:val="nil"/>
          <w:right w:val="nil"/>
          <w:between w:val="nil"/>
        </w:pBdr>
        <w:ind w:left="567" w:right="616"/>
        <w:contextualSpacing/>
        <w:jc w:val="both"/>
        <w:rPr>
          <w:rFonts w:ascii="Palatino Linotype" w:hAnsi="Palatino Linotype"/>
          <w:i/>
        </w:rPr>
      </w:pPr>
      <w:r w:rsidRPr="00532A84">
        <w:rPr>
          <w:rFonts w:ascii="Palatino Linotype" w:hAnsi="Palatino Linotype"/>
          <w:i/>
        </w:rPr>
        <w:t>Solo podrá ser clasificada excepcionalmente como reservada temporalmente por razones de interés público, en los términos de las causas legítimas y estrictamente necesarias previstas por esta Ley.</w:t>
      </w:r>
    </w:p>
    <w:p w:rsidR="00590A49" w:rsidRPr="00532A84" w:rsidRDefault="00590A49" w:rsidP="00590A49">
      <w:pPr>
        <w:pBdr>
          <w:top w:val="nil"/>
          <w:left w:val="nil"/>
          <w:bottom w:val="nil"/>
          <w:right w:val="nil"/>
          <w:between w:val="nil"/>
        </w:pBdr>
        <w:spacing w:line="360" w:lineRule="auto"/>
        <w:contextualSpacing/>
        <w:jc w:val="both"/>
        <w:rPr>
          <w:rFonts w:ascii="Palatino Linotype" w:hAnsi="Palatino Linotype"/>
        </w:rPr>
      </w:pPr>
    </w:p>
    <w:p w:rsidR="00590A49" w:rsidRDefault="00590A49" w:rsidP="00590A49">
      <w:pPr>
        <w:spacing w:line="360" w:lineRule="auto"/>
        <w:jc w:val="both"/>
        <w:rPr>
          <w:rFonts w:ascii="Palatino Linotype" w:hAnsi="Palatino Linotype" w:cs="Arial"/>
        </w:rPr>
      </w:pPr>
      <w:r w:rsidRPr="00532A84">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590A49" w:rsidRPr="00532A84" w:rsidRDefault="00590A49" w:rsidP="00590A49">
      <w:pPr>
        <w:spacing w:line="360" w:lineRule="auto"/>
        <w:jc w:val="both"/>
        <w:rPr>
          <w:rFonts w:ascii="Palatino Linotype" w:hAnsi="Palatino Linotype" w:cs="Arial"/>
          <w:i/>
        </w:rPr>
      </w:pPr>
    </w:p>
    <w:p w:rsidR="00590A49" w:rsidRPr="00532A84" w:rsidRDefault="00590A49" w:rsidP="00590A49">
      <w:pPr>
        <w:spacing w:line="360" w:lineRule="auto"/>
        <w:jc w:val="both"/>
        <w:rPr>
          <w:rFonts w:ascii="Palatino Linotype" w:hAnsi="Palatino Linotype" w:cs="Arial"/>
        </w:rPr>
      </w:pPr>
      <w:r w:rsidRPr="00886AD6">
        <w:rPr>
          <w:rFonts w:ascii="Palatino Linotype" w:hAnsi="Palatino Linotype" w:cs="Arial"/>
        </w:rPr>
        <w:t>Por su parte, el artículo 12, de la Ley de la materia establece que los Sujetos Obligados sólo proporcionarán</w:t>
      </w:r>
      <w:r w:rsidRPr="00532A84">
        <w:rPr>
          <w:rFonts w:ascii="Palatino Linotype" w:hAnsi="Palatino Linotype" w:cs="Arial"/>
        </w:rPr>
        <w:t xml:space="preserve">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590A49" w:rsidRPr="00532A84" w:rsidRDefault="00590A49" w:rsidP="00590A49">
      <w:pPr>
        <w:ind w:right="567"/>
        <w:jc w:val="both"/>
        <w:rPr>
          <w:rFonts w:ascii="Palatino Linotype" w:hAnsi="Palatino Linotype" w:cs="Arial"/>
        </w:rPr>
      </w:pPr>
    </w:p>
    <w:p w:rsidR="00590A49" w:rsidRPr="00532A84" w:rsidRDefault="00590A49" w:rsidP="00590A49">
      <w:pPr>
        <w:ind w:left="567" w:right="567"/>
        <w:jc w:val="both"/>
        <w:rPr>
          <w:rFonts w:ascii="Palatino Linotype" w:hAnsi="Palatino Linotype" w:cs="Arial"/>
          <w:i/>
          <w:color w:val="000000"/>
        </w:rPr>
      </w:pPr>
      <w:r w:rsidRPr="00532A84">
        <w:rPr>
          <w:rFonts w:ascii="Palatino Linotype" w:hAnsi="Palatino Linotype" w:cs="Arial"/>
          <w:b/>
          <w:i/>
          <w:color w:val="000000"/>
        </w:rPr>
        <w:t>Artículo 12.</w:t>
      </w:r>
      <w:r w:rsidRPr="00532A84">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w:t>
      </w:r>
    </w:p>
    <w:p w:rsidR="00590A49" w:rsidRPr="00532A84" w:rsidRDefault="00590A49" w:rsidP="00590A49">
      <w:pPr>
        <w:ind w:left="567" w:right="567"/>
        <w:jc w:val="both"/>
        <w:rPr>
          <w:rFonts w:ascii="Palatino Linotype" w:hAnsi="Palatino Linotype" w:cs="Arial"/>
          <w:i/>
        </w:rPr>
      </w:pPr>
    </w:p>
    <w:p w:rsidR="00590A49" w:rsidRPr="00532A84" w:rsidRDefault="00590A49" w:rsidP="00590A49">
      <w:pPr>
        <w:ind w:left="567" w:right="567"/>
        <w:jc w:val="both"/>
        <w:rPr>
          <w:rFonts w:ascii="Palatino Linotype" w:hAnsi="Palatino Linotype" w:cs="Arial"/>
          <w:i/>
        </w:rPr>
      </w:pPr>
      <w:r w:rsidRPr="00532A84">
        <w:rPr>
          <w:rFonts w:ascii="Palatino Linotype" w:hAnsi="Palatino Linotype" w:cs="Arial"/>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590A49" w:rsidRPr="00532A84" w:rsidRDefault="00590A49" w:rsidP="00590A49">
      <w:pPr>
        <w:spacing w:line="360" w:lineRule="auto"/>
        <w:jc w:val="both"/>
        <w:rPr>
          <w:rFonts w:ascii="Palatino Linotype" w:hAnsi="Palatino Linotype" w:cs="Arial"/>
          <w:color w:val="000000"/>
        </w:rPr>
      </w:pPr>
    </w:p>
    <w:p w:rsidR="00590A49" w:rsidRPr="00532A84" w:rsidRDefault="00590A49" w:rsidP="00590A49">
      <w:pPr>
        <w:spacing w:line="360" w:lineRule="auto"/>
        <w:jc w:val="both"/>
        <w:rPr>
          <w:rFonts w:ascii="Palatino Linotype" w:hAnsi="Palatino Linotype" w:cs="Arial"/>
          <w:color w:val="000000"/>
        </w:rPr>
      </w:pPr>
      <w:r w:rsidRPr="00532A84">
        <w:rPr>
          <w:rFonts w:ascii="Palatino Linotype" w:hAnsi="Palatino Linotype" w:cs="Arial"/>
          <w:color w:val="000000"/>
        </w:rPr>
        <w:lastRenderedPageBreak/>
        <w:t>En síntesis, el derecho de acceso a la información pública se satisface en aquellos casos en que se entregue el soporte documental en que conste la información pública, toda vez que, los Sujetos Obligados</w:t>
      </w:r>
      <w:r w:rsidRPr="00532A84">
        <w:rPr>
          <w:rFonts w:ascii="Palatino Linotype" w:hAnsi="Palatino Linotype" w:cs="Arial"/>
          <w:b/>
          <w:color w:val="000000"/>
        </w:rPr>
        <w:t xml:space="preserve"> </w:t>
      </w:r>
      <w:r w:rsidRPr="00532A84">
        <w:rPr>
          <w:rFonts w:ascii="Palatino Linotype" w:hAnsi="Palatino Linotype" w:cs="Arial"/>
          <w:color w:val="000000"/>
        </w:rPr>
        <w:t xml:space="preserve">no tienen el deber de generar, poseer o administrar la información pública con el grado de detalle solicitado; esto es, que no tienen el deber de generar un documento </w:t>
      </w:r>
      <w:r w:rsidRPr="00532A84">
        <w:rPr>
          <w:rFonts w:ascii="Palatino Linotype" w:hAnsi="Palatino Linotype" w:cs="Arial"/>
          <w:i/>
          <w:color w:val="000000"/>
        </w:rPr>
        <w:t>ad hoc</w:t>
      </w:r>
      <w:r w:rsidRPr="00532A84">
        <w:rPr>
          <w:rFonts w:ascii="Palatino Linotype" w:hAnsi="Palatino Linotype" w:cs="Arial"/>
          <w:color w:val="000000"/>
        </w:rPr>
        <w:t>, para satisfacer el derecho de acceso a la información pública.</w:t>
      </w:r>
    </w:p>
    <w:p w:rsidR="00590A49" w:rsidRPr="00532A84" w:rsidRDefault="00590A49" w:rsidP="00590A49">
      <w:pPr>
        <w:spacing w:line="360" w:lineRule="auto"/>
        <w:jc w:val="both"/>
        <w:rPr>
          <w:rFonts w:ascii="Palatino Linotype" w:hAnsi="Palatino Linotype" w:cs="Arial"/>
          <w:color w:val="000000"/>
        </w:rPr>
      </w:pPr>
    </w:p>
    <w:p w:rsidR="00590A49" w:rsidRPr="00532A84" w:rsidRDefault="00590A49" w:rsidP="00590A49">
      <w:pPr>
        <w:spacing w:line="360" w:lineRule="auto"/>
        <w:jc w:val="both"/>
        <w:rPr>
          <w:rFonts w:ascii="Palatino Linotype" w:hAnsi="Palatino Linotype"/>
          <w:b/>
          <w:bCs/>
          <w:color w:val="000000"/>
        </w:rPr>
      </w:pPr>
      <w:r w:rsidRPr="00532A84">
        <w:rPr>
          <w:rFonts w:ascii="Palatino Linotype" w:hAnsi="Palatino Linotype" w:cs="Arial"/>
          <w:color w:val="000000"/>
        </w:rPr>
        <w:t xml:space="preserve">Como apoyo a lo anterior, es aplicable el Criterio 03-17, emitido por </w:t>
      </w:r>
      <w:r w:rsidRPr="00532A84">
        <w:rPr>
          <w:rFonts w:ascii="Palatino Linotype" w:eastAsia="Arial Unicode MS" w:hAnsi="Palatino Linotype" w:cs="Arial"/>
          <w:color w:val="000000"/>
        </w:rPr>
        <w:t>el Instituto Nacional de Transparencia, Acceso a la Información y Protección de Datos Personales,</w:t>
      </w:r>
      <w:r w:rsidRPr="00532A84">
        <w:rPr>
          <w:rFonts w:ascii="Palatino Linotype" w:hAnsi="Palatino Linotype"/>
          <w:bCs/>
          <w:color w:val="000000"/>
        </w:rPr>
        <w:t xml:space="preserve"> que dice:</w:t>
      </w:r>
      <w:r w:rsidRPr="00532A84">
        <w:rPr>
          <w:rFonts w:ascii="Palatino Linotype" w:hAnsi="Palatino Linotype"/>
          <w:b/>
          <w:bCs/>
          <w:color w:val="000000"/>
        </w:rPr>
        <w:t xml:space="preserve"> </w:t>
      </w:r>
    </w:p>
    <w:p w:rsidR="00590A49" w:rsidRPr="00532A84" w:rsidRDefault="00590A49" w:rsidP="00590A49">
      <w:pPr>
        <w:spacing w:line="360" w:lineRule="auto"/>
        <w:rPr>
          <w:rFonts w:ascii="Palatino Linotype" w:hAnsi="Palatino Linotype"/>
        </w:rPr>
      </w:pPr>
    </w:p>
    <w:p w:rsidR="00590A49" w:rsidRPr="00532A84" w:rsidRDefault="00590A49" w:rsidP="00590A49">
      <w:pPr>
        <w:ind w:left="851" w:right="850"/>
        <w:jc w:val="both"/>
        <w:rPr>
          <w:rFonts w:ascii="Palatino Linotype" w:hAnsi="Palatino Linotype" w:cs="Arial"/>
          <w:color w:val="000000"/>
          <w:sz w:val="2"/>
        </w:rPr>
      </w:pPr>
    </w:p>
    <w:p w:rsidR="00590A49" w:rsidRPr="00532A84" w:rsidRDefault="00590A49" w:rsidP="00590A49">
      <w:pPr>
        <w:ind w:left="567" w:right="567"/>
        <w:jc w:val="both"/>
        <w:rPr>
          <w:rFonts w:ascii="Palatino Linotype" w:hAnsi="Palatino Linotype" w:cs="Arial"/>
          <w:i/>
          <w:color w:val="000000"/>
        </w:rPr>
      </w:pPr>
      <w:r w:rsidRPr="00532A84">
        <w:rPr>
          <w:rFonts w:ascii="Palatino Linotype" w:hAnsi="Palatino Linotype" w:cs="Arial"/>
          <w:b/>
          <w:i/>
          <w:color w:val="000000"/>
        </w:rPr>
        <w:t>No existe obligación de elaborar documentos ad hoc para atender las solicitudes de acceso a la información.</w:t>
      </w:r>
      <w:r w:rsidRPr="00532A84">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590A49" w:rsidRPr="00532A84" w:rsidRDefault="00590A49" w:rsidP="00590A49">
      <w:pPr>
        <w:ind w:left="567" w:right="567"/>
        <w:jc w:val="both"/>
        <w:rPr>
          <w:rFonts w:ascii="Palatino Linotype" w:hAnsi="Palatino Linotype" w:cs="Arial"/>
          <w:i/>
          <w:color w:val="000000"/>
          <w:sz w:val="2"/>
        </w:rPr>
      </w:pPr>
    </w:p>
    <w:p w:rsidR="00590A49" w:rsidRPr="00532A84" w:rsidRDefault="00590A49" w:rsidP="00590A49">
      <w:pPr>
        <w:spacing w:line="360" w:lineRule="auto"/>
        <w:jc w:val="both"/>
        <w:rPr>
          <w:rFonts w:ascii="Palatino Linotype" w:hAnsi="Palatino Linotype" w:cs="Arial"/>
          <w:color w:val="000000" w:themeColor="text1"/>
        </w:rPr>
      </w:pPr>
    </w:p>
    <w:p w:rsidR="00590A49" w:rsidRDefault="00590A49" w:rsidP="00590A49">
      <w:pPr>
        <w:spacing w:line="360" w:lineRule="auto"/>
        <w:jc w:val="both"/>
        <w:rPr>
          <w:rFonts w:ascii="Palatino Linotype" w:hAnsi="Palatino Linotype" w:cs="Arial"/>
          <w:color w:val="000000" w:themeColor="text1"/>
        </w:rPr>
      </w:pPr>
      <w:r w:rsidRPr="00532A84">
        <w:rPr>
          <w:rFonts w:ascii="Palatino Linotype" w:hAnsi="Palatino Linotype" w:cs="Arial"/>
          <w:color w:val="000000" w:themeColor="text1"/>
        </w:rPr>
        <w:t xml:space="preserve">Asimismo, el artículo 24, de la Ley de la materia, dispone que los Sujetos Obligados sólo proporcionarán la información pública que </w:t>
      </w:r>
      <w:r w:rsidRPr="00532A84">
        <w:rPr>
          <w:rFonts w:ascii="Palatino Linotype" w:hAnsi="Palatino Linotype" w:cs="Arial"/>
        </w:rPr>
        <w:t>generen</w:t>
      </w:r>
      <w:r w:rsidRPr="00532A84">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7F0C0D" w:rsidRPr="009E63DA" w:rsidRDefault="007F0C0D" w:rsidP="007F0C0D">
      <w:pPr>
        <w:ind w:left="567" w:right="567"/>
        <w:jc w:val="both"/>
        <w:rPr>
          <w:rFonts w:ascii="Palatino Linotype" w:eastAsia="Calibri" w:hAnsi="Palatino Linotype" w:cs="Arial"/>
          <w:i/>
          <w:color w:val="000000"/>
          <w:sz w:val="2"/>
          <w:lang w:val="es-ES_tradnl" w:eastAsia="es-MX"/>
        </w:rPr>
      </w:pPr>
    </w:p>
    <w:p w:rsidR="007F0C0D" w:rsidRDefault="007F0C0D" w:rsidP="007F0C0D">
      <w:pPr>
        <w:rPr>
          <w:rFonts w:ascii="Palatino Linotype" w:hAnsi="Palatino Linotype" w:cs="Arial"/>
          <w:noProof/>
          <w:color w:val="000000"/>
          <w:lang w:eastAsia="es-MX"/>
        </w:rPr>
      </w:pPr>
    </w:p>
    <w:p w:rsidR="007F0C0D" w:rsidRDefault="007F0C0D" w:rsidP="007F0C0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F0C0D" w:rsidRDefault="007F0C0D" w:rsidP="007F0C0D">
      <w:pPr>
        <w:rPr>
          <w:rFonts w:ascii="Palatino Linotype" w:hAnsi="Palatino Linotype" w:cs="Arial"/>
          <w:noProof/>
          <w:color w:val="000000"/>
          <w:lang w:eastAsia="es-MX"/>
        </w:rPr>
      </w:pPr>
    </w:p>
    <w:p w:rsidR="00590A49" w:rsidRPr="007D6649" w:rsidRDefault="007D6649" w:rsidP="007D6649">
      <w:pPr>
        <w:rPr>
          <w:rFonts w:ascii="Palatino Linotype" w:eastAsia="Calibri" w:hAnsi="Palatino Linotype" w:cs="Calibri"/>
          <w:b/>
          <w:i/>
          <w:sz w:val="28"/>
          <w:szCs w:val="22"/>
          <w:lang w:val="es-ES_tradnl" w:eastAsia="es-MX"/>
        </w:rPr>
      </w:pPr>
      <w:r>
        <w:rPr>
          <w:rFonts w:ascii="Palatino Linotype" w:eastAsia="Calibri" w:hAnsi="Palatino Linotype" w:cs="Calibri"/>
          <w:b/>
          <w:i/>
          <w:sz w:val="28"/>
          <w:szCs w:val="22"/>
          <w:lang w:val="es-ES_tradnl" w:eastAsia="es-MX"/>
        </w:rPr>
        <w:t>Versión Pública General</w:t>
      </w:r>
    </w:p>
    <w:p w:rsidR="00590A49" w:rsidRDefault="00590A49" w:rsidP="00590A49">
      <w:pPr>
        <w:tabs>
          <w:tab w:val="left" w:pos="7938"/>
        </w:tabs>
        <w:spacing w:before="240" w:after="240" w:line="360" w:lineRule="auto"/>
        <w:jc w:val="both"/>
        <w:rPr>
          <w:rFonts w:ascii="Palatino Linotype" w:eastAsia="Arial Unicode MS" w:hAnsi="Palatino Linotype" w:cs="Arial"/>
        </w:rPr>
      </w:pPr>
      <w:r>
        <w:rPr>
          <w:rFonts w:ascii="Palatino Linotype" w:eastAsia="Arial Unicode MS" w:hAnsi="Palatino Linotype" w:cs="Arial"/>
        </w:rPr>
        <w:t>N</w:t>
      </w:r>
      <w:r w:rsidRPr="001571EB">
        <w:rPr>
          <w:rFonts w:ascii="Palatino Linotype" w:eastAsia="Arial Unicode MS" w:hAnsi="Palatino Linotype" w:cs="Arial"/>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590A49" w:rsidRPr="00E60DEF" w:rsidRDefault="00590A49" w:rsidP="00590A49">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rsidR="00590A49" w:rsidRPr="00E60DEF" w:rsidRDefault="00590A49" w:rsidP="00590A49">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rsidR="00590A49" w:rsidRPr="001571EB" w:rsidRDefault="00590A49" w:rsidP="00590A49">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rsidR="00590A49" w:rsidRPr="001571EB" w:rsidRDefault="00590A49" w:rsidP="00590A49">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rsidR="00590A49" w:rsidRPr="001571EB" w:rsidRDefault="00590A49" w:rsidP="00590A49">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rsidR="00590A49" w:rsidRPr="001571EB" w:rsidRDefault="00590A49" w:rsidP="00590A49">
      <w:pPr>
        <w:spacing w:before="240" w:line="360" w:lineRule="auto"/>
        <w:ind w:left="851" w:right="851"/>
        <w:jc w:val="both"/>
        <w:rPr>
          <w:rFonts w:ascii="Palatino Linotype" w:hAnsi="Palatino Linotype" w:cs="Arial"/>
          <w:b/>
          <w:i/>
        </w:rPr>
      </w:pPr>
      <w:r w:rsidRPr="001571EB">
        <w:rPr>
          <w:rFonts w:ascii="Palatino Linotype" w:hAnsi="Palatino Linotype" w:cs="Arial"/>
          <w:i/>
        </w:rPr>
        <w:lastRenderedPageBreak/>
        <w:t xml:space="preserve">Artículo 122. </w:t>
      </w:r>
      <w:r w:rsidRPr="00E60DEF">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rsidR="00590A49" w:rsidRPr="001571EB" w:rsidRDefault="00590A49" w:rsidP="00590A49">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rsidR="00590A49" w:rsidRPr="001571EB" w:rsidRDefault="00590A49" w:rsidP="00590A49">
      <w:pPr>
        <w:spacing w:before="240" w:line="360" w:lineRule="auto"/>
        <w:ind w:left="851" w:right="851"/>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rsidR="00590A49" w:rsidRPr="001571EB" w:rsidRDefault="00590A49" w:rsidP="00590A49">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rsidR="00590A49" w:rsidRPr="00E60DEF" w:rsidRDefault="00590A49" w:rsidP="00590A49">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rsidR="00590A49" w:rsidRPr="001571EB" w:rsidRDefault="00590A49" w:rsidP="00590A49">
      <w:pPr>
        <w:spacing w:before="240" w:line="360" w:lineRule="auto"/>
        <w:ind w:left="851" w:right="851"/>
        <w:jc w:val="both"/>
        <w:rPr>
          <w:rFonts w:ascii="Palatino Linotype" w:hAnsi="Palatino Linotype" w:cs="Arial"/>
          <w:b/>
          <w:i/>
        </w:rPr>
      </w:pPr>
      <w:r>
        <w:rPr>
          <w:rFonts w:ascii="Palatino Linotype" w:hAnsi="Palatino Linotype" w:cs="Arial"/>
          <w:b/>
          <w:i/>
        </w:rPr>
        <w:t>(…)</w:t>
      </w:r>
    </w:p>
    <w:p w:rsidR="00590A49" w:rsidRDefault="00590A49" w:rsidP="00590A49">
      <w:pPr>
        <w:spacing w:before="240" w:line="360" w:lineRule="auto"/>
        <w:ind w:left="851" w:right="851"/>
        <w:jc w:val="both"/>
        <w:rPr>
          <w:rFonts w:ascii="Palatino Linotype" w:hAnsi="Palatino Linotype" w:cs="Arial"/>
          <w:b/>
          <w:i/>
        </w:rPr>
      </w:pPr>
      <w:r w:rsidRPr="00E60DEF">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rsidR="00590A49" w:rsidRDefault="00590A49" w:rsidP="00590A49">
      <w:pPr>
        <w:spacing w:line="360" w:lineRule="auto"/>
        <w:ind w:right="51"/>
        <w:jc w:val="both"/>
        <w:rPr>
          <w:rFonts w:ascii="Palatino Linotype" w:eastAsia="Arial Unicode MS" w:hAnsi="Palatino Linotype" w:cs="Arial"/>
        </w:rPr>
      </w:pPr>
    </w:p>
    <w:p w:rsidR="00590A49" w:rsidRPr="001571EB" w:rsidRDefault="00590A49" w:rsidP="00590A49">
      <w:pPr>
        <w:spacing w:line="360" w:lineRule="auto"/>
        <w:ind w:right="51"/>
        <w:jc w:val="both"/>
        <w:rPr>
          <w:rFonts w:ascii="Palatino Linotype" w:hAnsi="Palatino Linotype" w:cs="Arial"/>
        </w:rPr>
      </w:pPr>
      <w:r w:rsidRPr="001571EB">
        <w:rPr>
          <w:rFonts w:ascii="Palatino Linotype" w:eastAsia="Arial Unicode MS" w:hAnsi="Palatino Linotype" w:cs="Arial"/>
        </w:rPr>
        <w:t xml:space="preserve">Verbigracia, previo a poner a disposición la información correspondiente debe considerarse que tiene carácter de confidencial </w:t>
      </w:r>
      <w:r w:rsidRPr="001571EB">
        <w:rPr>
          <w:rFonts w:ascii="Palatino Linotype" w:hAnsi="Palatino Linotype" w:cs="Arial"/>
        </w:rPr>
        <w:t xml:space="preserve">el </w:t>
      </w:r>
      <w:r w:rsidRPr="00BA3B27">
        <w:rPr>
          <w:rFonts w:ascii="Palatino Linotype" w:hAnsi="Palatino Linotype" w:cs="Arial"/>
          <w:b/>
        </w:rPr>
        <w:t>Registro Federal de Contribuyentes (RFC) que no sean de proveedores</w:t>
      </w:r>
      <w:r w:rsidRPr="001571EB">
        <w:rPr>
          <w:rFonts w:ascii="Palatino Linotype" w:hAnsi="Palatino Linotype" w:cs="Arial"/>
        </w:rPr>
        <w:t xml:space="preserve">, cuenta bancaria, la Clave Única de Registro de Población (CURP), domicilio particular, teléfono particular, el nombre de las personas </w:t>
      </w:r>
      <w:r w:rsidRPr="001571EB">
        <w:rPr>
          <w:rFonts w:ascii="Palatino Linotype" w:hAnsi="Palatino Linotype" w:cs="Arial"/>
        </w:rPr>
        <w:lastRenderedPageBreak/>
        <w:t>físicas que no tengan la calidad de servidor público  o aquellos que no reciban recursos públicos, entre otros considerados como datos personales en términos de la normatividad aplicable.</w:t>
      </w:r>
    </w:p>
    <w:p w:rsidR="00590A49" w:rsidRDefault="00590A49" w:rsidP="00590A49">
      <w:pPr>
        <w:spacing w:before="240" w:after="240" w:line="360" w:lineRule="auto"/>
        <w:ind w:right="-91"/>
        <w:jc w:val="both"/>
        <w:rPr>
          <w:rFonts w:ascii="Palatino Linotype" w:hAnsi="Palatino Linotype" w:cs="Arial"/>
          <w:lang w:eastAsia="es-MX"/>
        </w:rPr>
      </w:pPr>
      <w:r w:rsidRPr="001571EB">
        <w:rPr>
          <w:rFonts w:ascii="Palatino Linotype" w:hAnsi="Palatino Linotype" w:cs="Arial"/>
          <w:lang w:eastAsia="es-MX"/>
        </w:rPr>
        <w:t xml:space="preserve">Lo anterior es compartido por el ahora </w:t>
      </w:r>
      <w:r w:rsidRPr="001571EB">
        <w:rPr>
          <w:rFonts w:ascii="Palatino Linotype" w:hAnsi="Palatino Linotype" w:cs="Arial"/>
          <w:b/>
          <w:bCs/>
          <w:lang w:eastAsia="es-MX"/>
        </w:rPr>
        <w:t>Instituto Nacional de Transparencia, Acceso a la Información y Protección de Datos Personales</w:t>
      </w:r>
      <w:r w:rsidRPr="001571EB">
        <w:rPr>
          <w:rFonts w:ascii="Palatino Linotype" w:hAnsi="Palatino Linotype" w:cs="Arial"/>
          <w:lang w:eastAsia="es-MX"/>
        </w:rPr>
        <w:t xml:space="preserve"> (INAI), conforme al criterio </w:t>
      </w:r>
      <w:r>
        <w:rPr>
          <w:rFonts w:ascii="Palatino Linotype" w:hAnsi="Palatino Linotype" w:cs="Arial"/>
          <w:b/>
          <w:lang w:eastAsia="es-MX"/>
        </w:rPr>
        <w:t>004/2021</w:t>
      </w:r>
      <w:r w:rsidRPr="00E60DEF">
        <w:rPr>
          <w:rFonts w:ascii="Palatino Linotype" w:hAnsi="Palatino Linotype" w:cs="Arial"/>
          <w:b/>
          <w:lang w:eastAsia="es-MX"/>
        </w:rPr>
        <w:t>,</w:t>
      </w:r>
      <w:r w:rsidRPr="001571EB">
        <w:rPr>
          <w:rFonts w:ascii="Palatino Linotype" w:hAnsi="Palatino Linotype" w:cs="Arial"/>
          <w:lang w:eastAsia="es-MX"/>
        </w:rPr>
        <w:t xml:space="preserve"> el cual es del tenor literal siguiente:</w:t>
      </w:r>
    </w:p>
    <w:p w:rsidR="00590A49" w:rsidRDefault="00590A49" w:rsidP="00590A49">
      <w:pPr>
        <w:autoSpaceDE w:val="0"/>
        <w:autoSpaceDN w:val="0"/>
        <w:adjustRightInd w:val="0"/>
        <w:spacing w:before="240" w:line="360" w:lineRule="auto"/>
        <w:ind w:left="851" w:right="851"/>
        <w:jc w:val="center"/>
        <w:rPr>
          <w:rFonts w:ascii="Palatino Linotype" w:hAnsi="Palatino Linotype" w:cs="Arial"/>
          <w:b/>
          <w:bCs/>
          <w:i/>
        </w:rPr>
      </w:pPr>
      <w:r w:rsidRPr="001571EB">
        <w:rPr>
          <w:rFonts w:ascii="Palatino Linotype" w:hAnsi="Palatino Linotype" w:cs="Arial"/>
          <w:bCs/>
          <w:i/>
        </w:rPr>
        <w:t>“</w:t>
      </w:r>
      <w:r w:rsidRPr="00BA3B27">
        <w:rPr>
          <w:rFonts w:ascii="Palatino Linotype" w:hAnsi="Palatino Linotype" w:cs="Arial"/>
          <w:b/>
          <w:bCs/>
          <w:i/>
        </w:rPr>
        <w:t>Registro Federal de Contribuyentes (RFC) de personas fís</w:t>
      </w:r>
      <w:r>
        <w:rPr>
          <w:rFonts w:ascii="Palatino Linotype" w:hAnsi="Palatino Linotype" w:cs="Arial"/>
          <w:b/>
          <w:bCs/>
          <w:i/>
        </w:rPr>
        <w:t>icas proveedores o contratistas</w:t>
      </w:r>
      <w:r w:rsidRPr="001571EB">
        <w:rPr>
          <w:rFonts w:ascii="Palatino Linotype" w:hAnsi="Palatino Linotype" w:cs="Arial"/>
          <w:b/>
          <w:bCs/>
          <w:i/>
        </w:rPr>
        <w:t>.</w:t>
      </w:r>
    </w:p>
    <w:p w:rsidR="00590A49" w:rsidRDefault="00590A49" w:rsidP="00590A49">
      <w:pPr>
        <w:autoSpaceDE w:val="0"/>
        <w:autoSpaceDN w:val="0"/>
        <w:adjustRightInd w:val="0"/>
        <w:spacing w:before="240" w:line="360" w:lineRule="auto"/>
        <w:ind w:left="851" w:right="851"/>
        <w:jc w:val="both"/>
        <w:rPr>
          <w:rFonts w:ascii="Palatino Linotype" w:hAnsi="Palatino Linotype" w:cs="Arial"/>
          <w:bCs/>
          <w:i/>
        </w:rPr>
      </w:pPr>
      <w:r w:rsidRPr="00BA3B27">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rsidR="00590A49" w:rsidRPr="00BA3B27" w:rsidRDefault="00590A49" w:rsidP="00590A49">
      <w:pPr>
        <w:autoSpaceDE w:val="0"/>
        <w:autoSpaceDN w:val="0"/>
        <w:adjustRightInd w:val="0"/>
        <w:spacing w:before="240" w:line="360" w:lineRule="auto"/>
        <w:ind w:left="851" w:right="851"/>
        <w:jc w:val="both"/>
        <w:rPr>
          <w:rFonts w:ascii="Palatino Linotype" w:hAnsi="Palatino Linotype" w:cs="Arial"/>
          <w:b/>
          <w:i/>
        </w:rPr>
      </w:pPr>
      <w:r w:rsidRPr="00BA3B27">
        <w:rPr>
          <w:rFonts w:ascii="Palatino Linotype" w:hAnsi="Palatino Linotype" w:cs="Arial"/>
          <w:b/>
          <w:i/>
        </w:rPr>
        <w:t>Precedentes:</w:t>
      </w:r>
    </w:p>
    <w:p w:rsidR="00590A49" w:rsidRPr="00BA3B27" w:rsidRDefault="00590A49" w:rsidP="00590A49">
      <w:pPr>
        <w:numPr>
          <w:ilvl w:val="0"/>
          <w:numId w:val="10"/>
        </w:numPr>
        <w:autoSpaceDE w:val="0"/>
        <w:autoSpaceDN w:val="0"/>
        <w:adjustRightInd w:val="0"/>
        <w:spacing w:before="240" w:after="160" w:line="360" w:lineRule="auto"/>
        <w:ind w:right="851"/>
        <w:jc w:val="both"/>
        <w:rPr>
          <w:rFonts w:ascii="Palatino Linotype" w:hAnsi="Palatino Linotype" w:cs="Arial"/>
          <w:i/>
        </w:rPr>
      </w:pPr>
      <w:r w:rsidRPr="00BA3B27">
        <w:rPr>
          <w:rFonts w:ascii="Palatino Linotype" w:hAnsi="Palatino Linotype" w:cs="Arial"/>
          <w:i/>
        </w:rPr>
        <w:t>Acceso a la información Pública. RRA 3639/19.</w:t>
      </w:r>
      <w:r w:rsidRPr="00BA3B27">
        <w:rPr>
          <w:rFonts w:ascii="Palatino Linotype" w:hAnsi="Palatino Linotype" w:cs="Arial"/>
          <w:bCs/>
          <w:i/>
        </w:rPr>
        <w:t xml:space="preserve"> </w:t>
      </w:r>
      <w:r w:rsidRPr="00BA3B27">
        <w:rPr>
          <w:rFonts w:ascii="Palatino Linotype" w:hAnsi="Palatino Linotype" w:cs="Arial"/>
          <w:i/>
        </w:rPr>
        <w:t>Sesión del 10 de julio de 2019. Votación por mayoría. Con voto disidente del Comisionado Joel Salas Suárez. Instituto para la Protección del Ahorro Bancario. Comisionada Ponente María Patricia Kurczyn Villalobos.</w:t>
      </w:r>
    </w:p>
    <w:p w:rsidR="00590A49" w:rsidRPr="00BA3B27" w:rsidRDefault="00590A49" w:rsidP="00590A49">
      <w:pPr>
        <w:numPr>
          <w:ilvl w:val="0"/>
          <w:numId w:val="10"/>
        </w:numPr>
        <w:autoSpaceDE w:val="0"/>
        <w:autoSpaceDN w:val="0"/>
        <w:adjustRightInd w:val="0"/>
        <w:spacing w:before="240" w:after="160" w:line="360" w:lineRule="auto"/>
        <w:ind w:right="851"/>
        <w:jc w:val="both"/>
        <w:rPr>
          <w:rFonts w:ascii="Palatino Linotype" w:hAnsi="Palatino Linotype" w:cs="Arial"/>
          <w:bCs/>
          <w:i/>
        </w:rPr>
      </w:pPr>
      <w:r w:rsidRPr="00BA3B27">
        <w:rPr>
          <w:rFonts w:ascii="Palatino Linotype" w:hAnsi="Palatino Linotype" w:cs="Arial"/>
          <w:i/>
        </w:rPr>
        <w:t>Acceso a la información Pública. RRA 7709/19.</w:t>
      </w:r>
      <w:r w:rsidRPr="00BA3B27">
        <w:rPr>
          <w:rFonts w:ascii="Palatino Linotype" w:hAnsi="Palatino Linotype" w:cs="Arial"/>
          <w:bCs/>
          <w:i/>
        </w:rPr>
        <w:t xml:space="preserve"> </w:t>
      </w:r>
      <w:r w:rsidRPr="00BA3B27">
        <w:rPr>
          <w:rFonts w:ascii="Palatino Linotype" w:hAnsi="Palatino Linotype" w:cs="Arial"/>
          <w:i/>
        </w:rPr>
        <w:t xml:space="preserve">Sesión del 13 de agosto de 2019. Votación por unanimidad. Con voto particular de la Comisionada </w:t>
      </w:r>
      <w:r w:rsidRPr="00BA3B27">
        <w:rPr>
          <w:rFonts w:ascii="Palatino Linotype" w:hAnsi="Palatino Linotype" w:cs="Arial"/>
          <w:i/>
        </w:rPr>
        <w:lastRenderedPageBreak/>
        <w:t>Josefina Román Vergara. Suprema Corte de Justicia de la Nación. Comisionada Ponente Josefina Román Vergara.</w:t>
      </w:r>
    </w:p>
    <w:p w:rsidR="00590A49" w:rsidRPr="00BA3B27" w:rsidRDefault="00590A49" w:rsidP="00590A49">
      <w:pPr>
        <w:numPr>
          <w:ilvl w:val="0"/>
          <w:numId w:val="10"/>
        </w:numPr>
        <w:autoSpaceDE w:val="0"/>
        <w:autoSpaceDN w:val="0"/>
        <w:adjustRightInd w:val="0"/>
        <w:spacing w:before="240" w:after="160" w:line="360" w:lineRule="auto"/>
        <w:ind w:left="851" w:right="851"/>
        <w:jc w:val="both"/>
        <w:rPr>
          <w:rFonts w:ascii="Palatino Linotype" w:hAnsi="Palatino Linotype" w:cs="Arial"/>
          <w:b/>
          <w:i/>
        </w:rPr>
      </w:pPr>
      <w:r w:rsidRPr="00BA3B27">
        <w:rPr>
          <w:rFonts w:ascii="Palatino Linotype" w:hAnsi="Palatino Linotype" w:cs="Arial"/>
          <w:i/>
        </w:rPr>
        <w:t>Acceso a la información Pública. RRA 5774/19.</w:t>
      </w:r>
      <w:r w:rsidRPr="00BA3B27">
        <w:rPr>
          <w:rFonts w:ascii="Palatino Linotype" w:hAnsi="Palatino Linotype" w:cs="Arial"/>
          <w:bCs/>
          <w:i/>
        </w:rPr>
        <w:t xml:space="preserve"> </w:t>
      </w:r>
      <w:r w:rsidRPr="00BA3B27">
        <w:rPr>
          <w:rFonts w:ascii="Palatino Linotype" w:hAnsi="Palatino Linotype" w:cs="Arial"/>
          <w:i/>
        </w:rPr>
        <w:t>Sesión del 21 de agosto de 2019. Votación por mayoría. Con voto disidente del Comisionado Joel Salas Suárez. Secretaría de Marina. Comisionada Ponente Blanca Lilia Ibarra Cadena.” [Sic]</w:t>
      </w:r>
    </w:p>
    <w:p w:rsidR="00590A49" w:rsidRPr="001571EB" w:rsidRDefault="00590A49" w:rsidP="00590A49">
      <w:pPr>
        <w:autoSpaceDE w:val="0"/>
        <w:autoSpaceDN w:val="0"/>
        <w:adjustRightInd w:val="0"/>
        <w:spacing w:before="120" w:after="120"/>
        <w:ind w:left="567" w:right="850"/>
        <w:jc w:val="both"/>
        <w:rPr>
          <w:rFonts w:ascii="Palatino Linotype" w:hAnsi="Palatino Linotype" w:cs="Arial"/>
          <w:i/>
        </w:rPr>
      </w:pPr>
    </w:p>
    <w:p w:rsidR="00590A49" w:rsidRPr="001571EB" w:rsidRDefault="00590A49" w:rsidP="00590A49">
      <w:pPr>
        <w:spacing w:before="240" w:after="240" w:line="360" w:lineRule="auto"/>
        <w:jc w:val="both"/>
        <w:rPr>
          <w:rFonts w:ascii="Palatino Linotype" w:hAnsi="Palatino Linotype" w:cs="Arial"/>
          <w:lang w:eastAsia="es-MX"/>
        </w:rPr>
      </w:pPr>
      <w:r w:rsidRPr="001571EB">
        <w:rPr>
          <w:rFonts w:ascii="Palatino Linotype" w:hAnsi="Palatino Linotype" w:cs="Arial"/>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rsidR="00590A49" w:rsidRPr="001571EB" w:rsidRDefault="00590A49" w:rsidP="00590A49">
      <w:pPr>
        <w:spacing w:before="240" w:after="240" w:line="360" w:lineRule="auto"/>
        <w:jc w:val="both"/>
        <w:rPr>
          <w:rFonts w:ascii="Palatino Linotype" w:eastAsia="Calibri" w:hAnsi="Palatino Linotype" w:cs="Arial"/>
          <w:lang w:eastAsia="es-MX"/>
        </w:rPr>
      </w:pPr>
      <w:r w:rsidRPr="001571EB">
        <w:rPr>
          <w:rFonts w:ascii="Palatino Linotype" w:hAnsi="Palatino Linotype" w:cs="Arial"/>
          <w:lang w:eastAsia="es-MX"/>
        </w:rPr>
        <w:t xml:space="preserve">En cuanto a la </w:t>
      </w:r>
      <w:r w:rsidRPr="001571EB">
        <w:rPr>
          <w:rFonts w:ascii="Palatino Linotype" w:hAnsi="Palatino Linotype" w:cs="Arial"/>
        </w:rPr>
        <w:t xml:space="preserve">Clave Única de Registro de Población (CURP) en virtud de que éste se </w:t>
      </w:r>
      <w:r w:rsidRPr="001571EB">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590A49" w:rsidRDefault="00590A49" w:rsidP="00590A49">
      <w:pPr>
        <w:spacing w:before="240" w:after="240" w:line="360" w:lineRule="auto"/>
        <w:ind w:right="-91"/>
        <w:jc w:val="both"/>
        <w:rPr>
          <w:rFonts w:ascii="Palatino Linotype" w:hAnsi="Palatino Linotype" w:cs="Arial"/>
        </w:rPr>
      </w:pPr>
      <w:r w:rsidRPr="001571EB">
        <w:rPr>
          <w:rFonts w:ascii="Palatino Linotype" w:hAnsi="Palatino Linotype" w:cs="Arial"/>
        </w:rPr>
        <w:t xml:space="preserve">Argumento que es compartido por el </w:t>
      </w:r>
      <w:r w:rsidRPr="001571EB">
        <w:rPr>
          <w:rStyle w:val="Textoennegrita"/>
          <w:rFonts w:ascii="Palatino Linotype" w:hAnsi="Palatino Linotype" w:cs="Arial"/>
        </w:rPr>
        <w:t xml:space="preserve">Instituto Nacional de Transparencia, Acceso a la Información y Protección de Datos Personales, conforme al </w:t>
      </w:r>
      <w:r w:rsidRPr="001571EB">
        <w:rPr>
          <w:rFonts w:ascii="Palatino Linotype" w:hAnsi="Palatino Linotype" w:cs="Arial"/>
        </w:rPr>
        <w:t xml:space="preserve">criterio número 18/17 el cual refiere: </w:t>
      </w:r>
    </w:p>
    <w:p w:rsidR="00590A49" w:rsidRDefault="00590A49" w:rsidP="00590A49">
      <w:pPr>
        <w:autoSpaceDE w:val="0"/>
        <w:autoSpaceDN w:val="0"/>
        <w:adjustRightInd w:val="0"/>
        <w:spacing w:before="240" w:line="360" w:lineRule="auto"/>
        <w:ind w:left="851" w:right="851"/>
        <w:jc w:val="center"/>
        <w:rPr>
          <w:rFonts w:ascii="Palatino Linotype" w:hAnsi="Palatino Linotype" w:cs="Arial"/>
          <w:b/>
          <w:bCs/>
          <w:i/>
          <w:lang w:eastAsia="es-MX"/>
        </w:rPr>
      </w:pPr>
      <w:r w:rsidRPr="001571EB">
        <w:rPr>
          <w:rFonts w:ascii="Palatino Linotype" w:hAnsi="Palatino Linotype" w:cs="Arial"/>
          <w:bCs/>
          <w:i/>
          <w:lang w:eastAsia="es-MX"/>
        </w:rPr>
        <w:t>“</w:t>
      </w:r>
      <w:r w:rsidRPr="001571EB">
        <w:rPr>
          <w:rFonts w:ascii="Palatino Linotype" w:hAnsi="Palatino Linotype" w:cs="Arial"/>
          <w:b/>
          <w:bCs/>
          <w:i/>
          <w:lang w:eastAsia="es-MX"/>
        </w:rPr>
        <w:t>CLAVE ÚNICA DE REGISTRO DE POBLACIÓN (CURP).</w:t>
      </w:r>
    </w:p>
    <w:p w:rsidR="00590A49" w:rsidRPr="001571EB" w:rsidRDefault="00590A49" w:rsidP="00590A49">
      <w:pPr>
        <w:autoSpaceDE w:val="0"/>
        <w:autoSpaceDN w:val="0"/>
        <w:adjustRightInd w:val="0"/>
        <w:spacing w:before="240" w:line="360" w:lineRule="auto"/>
        <w:ind w:left="851" w:right="851"/>
        <w:jc w:val="both"/>
        <w:rPr>
          <w:rFonts w:ascii="Palatino Linotype" w:hAnsi="Palatino Linotype" w:cs="Arial"/>
          <w:b/>
          <w:bCs/>
          <w:i/>
          <w:lang w:eastAsia="es-MX"/>
        </w:rPr>
      </w:pPr>
      <w:r w:rsidRPr="001571EB">
        <w:rPr>
          <w:rFonts w:ascii="Palatino Linotype" w:hAnsi="Palatino Linotype" w:cs="Arial"/>
          <w:bCs/>
          <w:i/>
          <w:lang w:eastAsia="es-MX"/>
        </w:rPr>
        <w:lastRenderedPageBreak/>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590A49" w:rsidRPr="001571EB" w:rsidRDefault="00590A49" w:rsidP="00590A49">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i/>
          <w:lang w:eastAsia="es-MX"/>
        </w:rPr>
        <w:t xml:space="preserve"> </w:t>
      </w:r>
      <w:r w:rsidRPr="001571EB">
        <w:rPr>
          <w:rFonts w:ascii="Palatino Linotype" w:hAnsi="Palatino Linotype" w:cs="Arial"/>
          <w:b/>
          <w:i/>
          <w:lang w:eastAsia="es-MX"/>
        </w:rPr>
        <w:t>Resoluciones:</w:t>
      </w:r>
    </w:p>
    <w:p w:rsidR="00590A49" w:rsidRPr="001571EB" w:rsidRDefault="00590A49" w:rsidP="00590A49">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3995/16. </w:t>
      </w:r>
      <w:r w:rsidRPr="001571EB">
        <w:rPr>
          <w:rFonts w:ascii="Palatino Linotype" w:hAnsi="Palatino Linotype" w:cs="Arial"/>
          <w:i/>
          <w:lang w:eastAsia="es-MX"/>
        </w:rPr>
        <w:t>Secretaría de la Defensa Nacional. 1 de febrero de 2017. Por unanimidad. Comisionado Ponente Rosendoevgueni Monterrey Chepov.</w:t>
      </w:r>
    </w:p>
    <w:p w:rsidR="00590A49" w:rsidRPr="001571EB" w:rsidRDefault="00590A49" w:rsidP="00590A49">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w:t>
      </w:r>
      <w:r w:rsidRPr="001571EB">
        <w:rPr>
          <w:rFonts w:ascii="Palatino Linotype" w:hAnsi="Palatino Linotype" w:cs="Arial"/>
          <w:b/>
          <w:bCs/>
          <w:i/>
          <w:lang w:eastAsia="es-MX"/>
        </w:rPr>
        <w:t xml:space="preserve">0937/17. </w:t>
      </w:r>
      <w:r w:rsidRPr="001571EB">
        <w:rPr>
          <w:rFonts w:ascii="Palatino Linotype" w:hAnsi="Palatino Linotype" w:cs="Arial"/>
          <w:bCs/>
          <w:i/>
          <w:lang w:eastAsia="es-MX"/>
        </w:rPr>
        <w:t xml:space="preserve">Senado de la República. </w:t>
      </w:r>
      <w:r w:rsidRPr="001571EB">
        <w:rPr>
          <w:rFonts w:ascii="Palatino Linotype" w:hAnsi="Palatino Linotype" w:cs="Arial"/>
          <w:bCs/>
          <w:i/>
          <w:lang w:val="es-ES_tradnl" w:eastAsia="es-MX"/>
        </w:rPr>
        <w:t xml:space="preserve">15 de marzo de 2017. Por unanimidad. Comisionada Ponente Ximena Puente de la Mora. </w:t>
      </w:r>
    </w:p>
    <w:p w:rsidR="00590A49" w:rsidRDefault="00590A49" w:rsidP="00590A49">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0478/17. </w:t>
      </w:r>
      <w:r w:rsidRPr="001571EB">
        <w:rPr>
          <w:rFonts w:ascii="Palatino Linotype" w:hAnsi="Palatino Linotype" w:cs="Arial"/>
          <w:i/>
          <w:lang w:eastAsia="es-MX"/>
        </w:rPr>
        <w:t>Secretaría de Relaciones Exteriores. 26 de abril de 2017. Por unanimidad. Comisionada Ponente Areli Cano Guadiana.</w:t>
      </w:r>
      <w:r>
        <w:rPr>
          <w:rFonts w:ascii="Palatino Linotype" w:hAnsi="Palatino Linotype" w:cs="Arial"/>
          <w:i/>
          <w:lang w:eastAsia="es-MX"/>
        </w:rPr>
        <w:t xml:space="preserve">” </w:t>
      </w:r>
      <w:r>
        <w:rPr>
          <w:rFonts w:ascii="Palatino Linotype" w:hAnsi="Palatino Linotype" w:cs="Arial"/>
          <w:b/>
          <w:i/>
          <w:lang w:eastAsia="es-MX"/>
        </w:rPr>
        <w:t>[Sic]</w:t>
      </w:r>
    </w:p>
    <w:p w:rsidR="00590A49" w:rsidRDefault="00590A49" w:rsidP="00590A49">
      <w:pPr>
        <w:spacing w:line="360" w:lineRule="auto"/>
        <w:ind w:right="51"/>
        <w:jc w:val="both"/>
        <w:rPr>
          <w:rFonts w:ascii="Palatino Linotype" w:hAnsi="Palatino Linotype" w:cs="Arial"/>
        </w:rPr>
      </w:pPr>
    </w:p>
    <w:p w:rsidR="003A002D" w:rsidRPr="00032831" w:rsidRDefault="003A002D" w:rsidP="003A002D">
      <w:pPr>
        <w:spacing w:line="360" w:lineRule="auto"/>
        <w:jc w:val="both"/>
        <w:rPr>
          <w:rFonts w:ascii="Palatino Linotype" w:eastAsia="Calibri" w:hAnsi="Palatino Linotype"/>
          <w:color w:val="000000"/>
        </w:rPr>
      </w:pPr>
      <w:r w:rsidRPr="00032831">
        <w:rPr>
          <w:rFonts w:ascii="Palatino Linotype" w:eastAsia="Calibri" w:hAnsi="Palatino Linotype"/>
          <w:color w:val="000000"/>
        </w:rPr>
        <w:t xml:space="preserve">Asimismo, el artículo 2°, fracción III, de la Ley General de Títulos y Operaciones de Crédito establece que los actos y las operaciones que regula esta Ley General, se regirán por los </w:t>
      </w:r>
      <w:r w:rsidRPr="00032831">
        <w:rPr>
          <w:rFonts w:ascii="Palatino Linotype" w:eastAsia="Calibri" w:hAnsi="Palatino Linotype"/>
          <w:b/>
          <w:bCs/>
          <w:color w:val="000000"/>
        </w:rPr>
        <w:t>usos bancarios y mercantiles</w:t>
      </w:r>
      <w:r w:rsidRPr="00032831">
        <w:rPr>
          <w:rFonts w:ascii="Palatino Linotype" w:eastAsia="Calibri" w:hAnsi="Palatino Linotype"/>
          <w:color w:val="000000"/>
        </w:rPr>
        <w:t xml:space="preserve">, es así que, a manera de contextualización la cuenta bancaria y estado de cuenta se definen como: </w:t>
      </w:r>
    </w:p>
    <w:p w:rsidR="003A002D" w:rsidRPr="00032831" w:rsidRDefault="003A002D" w:rsidP="003A002D">
      <w:pPr>
        <w:spacing w:line="360" w:lineRule="auto"/>
        <w:jc w:val="both"/>
        <w:rPr>
          <w:rFonts w:ascii="Palatino Linotype" w:eastAsia="Calibri" w:hAnsi="Palatino Linotype"/>
          <w:color w:val="000000"/>
        </w:rPr>
      </w:pPr>
    </w:p>
    <w:p w:rsidR="003A002D" w:rsidRPr="00032831" w:rsidRDefault="003A002D" w:rsidP="003A002D">
      <w:pPr>
        <w:numPr>
          <w:ilvl w:val="0"/>
          <w:numId w:val="30"/>
        </w:numPr>
        <w:spacing w:line="360" w:lineRule="auto"/>
        <w:contextualSpacing/>
        <w:jc w:val="both"/>
        <w:rPr>
          <w:rFonts w:ascii="Palatino Linotype" w:hAnsi="Palatino Linotype"/>
          <w:color w:val="000000"/>
        </w:rPr>
      </w:pPr>
      <w:r w:rsidRPr="00032831">
        <w:rPr>
          <w:rFonts w:ascii="Palatino Linotype" w:hAnsi="Palatino Linotype"/>
          <w:b/>
          <w:bCs/>
          <w:color w:val="000000"/>
        </w:rPr>
        <w:t>Cuenta bancaria:</w:t>
      </w:r>
      <w:r w:rsidRPr="00032831">
        <w:rPr>
          <w:rFonts w:ascii="Palatino Linotype" w:hAnsi="Palatino Linotype"/>
          <w:color w:val="000000"/>
        </w:rPr>
        <w:t xml:space="preserve"> Una cuenta bancaria es un registro que mantiene un banco, en el que guarda dinero y contabiliza todas las entradas y salidas de efectivo, así como los créditos en curso, inversiones y productos relacionados.</w:t>
      </w:r>
    </w:p>
    <w:p w:rsidR="003A002D" w:rsidRPr="00C8686C" w:rsidRDefault="003A002D" w:rsidP="003A002D">
      <w:pPr>
        <w:spacing w:line="360" w:lineRule="auto"/>
        <w:ind w:right="51"/>
        <w:jc w:val="both"/>
        <w:rPr>
          <w:rFonts w:ascii="Palatino Linotype" w:hAnsi="Palatino Linotype" w:cs="Arial"/>
        </w:rPr>
      </w:pPr>
    </w:p>
    <w:p w:rsidR="003A002D" w:rsidRPr="00032831" w:rsidRDefault="003A002D" w:rsidP="003A002D">
      <w:pPr>
        <w:spacing w:line="360" w:lineRule="auto"/>
        <w:jc w:val="both"/>
        <w:rPr>
          <w:rFonts w:ascii="Palatino Linotype" w:eastAsia="Calibri" w:hAnsi="Palatino Linotype" w:cs="Tahoma"/>
          <w:bCs/>
          <w:color w:val="000000"/>
        </w:rPr>
      </w:pPr>
      <w:r w:rsidRPr="00032831">
        <w:rPr>
          <w:rFonts w:ascii="Palatino Linotype" w:eastAsia="Calibri" w:hAnsi="Palatino Linotype" w:cs="Tahoma"/>
          <w:bCs/>
          <w:color w:val="000000"/>
        </w:rPr>
        <w:t xml:space="preserve">En relación a los </w:t>
      </w:r>
      <w:r w:rsidRPr="00032831">
        <w:rPr>
          <w:rFonts w:ascii="Palatino Linotype" w:eastAsia="Calibri" w:hAnsi="Palatino Linotype" w:cs="Tahoma"/>
          <w:b/>
          <w:bCs/>
          <w:color w:val="000000"/>
          <w:u w:val="single"/>
        </w:rPr>
        <w:t>números de cuenta bancarias</w:t>
      </w:r>
      <w:r w:rsidRPr="00032831">
        <w:rPr>
          <w:rFonts w:ascii="Palatino Linotype" w:eastAsia="Calibri" w:hAnsi="Palatino Linotype" w:cs="Tahoma"/>
          <w:bCs/>
          <w:color w:val="000000"/>
        </w:rPr>
        <w:t xml:space="preserve"> del </w:t>
      </w:r>
      <w:r w:rsidRPr="00032831">
        <w:rPr>
          <w:rFonts w:ascii="Palatino Linotype" w:eastAsia="Calibri" w:hAnsi="Palatino Linotype" w:cs="Tahoma"/>
          <w:b/>
          <w:bCs/>
          <w:color w:val="000000"/>
        </w:rPr>
        <w:t>Sujeto Obligado</w:t>
      </w:r>
      <w:r w:rsidRPr="00032831">
        <w:rPr>
          <w:rFonts w:ascii="Palatino Linotype" w:eastAsia="Calibri" w:hAnsi="Palatino Linotype" w:cs="Tahoma"/>
          <w:bCs/>
          <w:color w:val="000000"/>
        </w:rPr>
        <w:t xml:space="preserve">, en </w:t>
      </w:r>
      <w:r w:rsidRPr="00032831">
        <w:rPr>
          <w:rFonts w:ascii="Palatino Linotype" w:hAnsi="Palatino Linotype"/>
        </w:rPr>
        <w:t xml:space="preserve">donde se transfieren recursos públicos, </w:t>
      </w:r>
      <w:r w:rsidRPr="00032831">
        <w:rPr>
          <w:rFonts w:ascii="Palatino Linotype" w:hAnsi="Palatino Linotype"/>
          <w:b/>
          <w:u w:val="single"/>
        </w:rPr>
        <w:t>son considerados como información pública</w:t>
      </w:r>
      <w:r w:rsidRPr="00032831">
        <w:rPr>
          <w:rFonts w:ascii="Palatino Linotype" w:hAnsi="Palatino Linotype"/>
        </w:rPr>
        <w:t>,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w:t>
      </w:r>
    </w:p>
    <w:p w:rsidR="003A002D" w:rsidRPr="00C8686C" w:rsidRDefault="003A002D" w:rsidP="003A002D">
      <w:pPr>
        <w:spacing w:line="360" w:lineRule="auto"/>
        <w:jc w:val="both"/>
        <w:rPr>
          <w:rFonts w:ascii="Palatino Linotype" w:hAnsi="Palatino Linotype"/>
        </w:rPr>
      </w:pPr>
    </w:p>
    <w:p w:rsidR="003A002D" w:rsidRPr="00C8686C" w:rsidRDefault="003A002D" w:rsidP="003A002D">
      <w:pPr>
        <w:ind w:left="567" w:right="567"/>
        <w:jc w:val="both"/>
        <w:rPr>
          <w:rFonts w:ascii="Palatino Linotype" w:hAnsi="Palatino Linotype"/>
          <w:i/>
          <w:iCs/>
          <w:szCs w:val="20"/>
        </w:rPr>
      </w:pPr>
      <w:r w:rsidRPr="00C8686C">
        <w:rPr>
          <w:rFonts w:ascii="Palatino Linotype" w:hAnsi="Palatino Linotype"/>
          <w:b/>
          <w:i/>
          <w:iCs/>
          <w:szCs w:val="20"/>
        </w:rPr>
        <w:t>“Cuentas bancarias y/o CLABE interbancaria de sujetos obligados que reciben y/o transfieren recursos públicos, son información pública.</w:t>
      </w:r>
      <w:r w:rsidRPr="00C8686C">
        <w:rPr>
          <w:rFonts w:ascii="Palatino Linotype" w:hAnsi="Palatino Linotype"/>
          <w:i/>
          <w:iCs/>
          <w:szCs w:val="20"/>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3A002D" w:rsidRPr="00C8686C" w:rsidRDefault="003A002D" w:rsidP="003A002D">
      <w:pPr>
        <w:spacing w:line="360" w:lineRule="auto"/>
        <w:ind w:right="51"/>
        <w:jc w:val="both"/>
        <w:rPr>
          <w:rFonts w:ascii="Palatino Linotype" w:hAnsi="Palatino Linotype" w:cs="Arial"/>
        </w:rPr>
      </w:pPr>
    </w:p>
    <w:p w:rsidR="003A002D" w:rsidRPr="00032831" w:rsidRDefault="003A002D" w:rsidP="003A002D">
      <w:pPr>
        <w:spacing w:line="360" w:lineRule="auto"/>
        <w:jc w:val="both"/>
        <w:rPr>
          <w:rFonts w:ascii="Palatino Linotype" w:hAnsi="Palatino Linotype"/>
        </w:rPr>
      </w:pPr>
      <w:r w:rsidRPr="00032831">
        <w:rPr>
          <w:rFonts w:ascii="Palatino Linotype" w:hAnsi="Palatino Linotype" w:cs="Arial"/>
        </w:rPr>
        <w:t xml:space="preserve">Por otro lado, el </w:t>
      </w:r>
      <w:r w:rsidRPr="00032831">
        <w:rPr>
          <w:rFonts w:ascii="Palatino Linotype" w:hAnsi="Palatino Linotype"/>
        </w:rPr>
        <w:t>Criterio 11/17 establece que el número de cuenta de particulares es información confidencial, del Instituto Nacional de Transparencia, Acceso a la Información y Protección de Datos Personales, que a la letra precisa:</w:t>
      </w:r>
    </w:p>
    <w:p w:rsidR="003A002D" w:rsidRPr="00C8686C" w:rsidRDefault="003A002D" w:rsidP="003A002D">
      <w:pPr>
        <w:pStyle w:val="Citas"/>
        <w:rPr>
          <w:b/>
        </w:rPr>
      </w:pPr>
      <w:bookmarkStart w:id="1" w:name="_Toc103270313"/>
      <w:r w:rsidRPr="00C8686C">
        <w:rPr>
          <w:b/>
        </w:rPr>
        <w:t>CRITERIO: 10/17.- Cuentas bancarias y/o CLABE interbancaria de personas físicas y morales privadas.</w:t>
      </w:r>
      <w:bookmarkEnd w:id="1"/>
    </w:p>
    <w:p w:rsidR="003A002D" w:rsidRPr="00C8686C" w:rsidRDefault="003A002D" w:rsidP="003A002D">
      <w:pPr>
        <w:pStyle w:val="Citas"/>
      </w:pPr>
      <w:r w:rsidRPr="00220CF2">
        <w:rPr>
          <w:b/>
        </w:rPr>
        <w:t>El número de cuenta bancaria y/o CLABE interbancaria de particulares es información confidencial</w:t>
      </w:r>
      <w:r w:rsidRPr="00C8686C">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w:t>
      </w:r>
      <w:r w:rsidRPr="00C8686C">
        <w:lastRenderedPageBreak/>
        <w:t xml:space="preserve">Información Pública y 113 de la Ley Federal de Transparencia y Acceso a la Información Pública. </w:t>
      </w:r>
    </w:p>
    <w:p w:rsidR="003A002D" w:rsidRDefault="003A002D" w:rsidP="003A002D">
      <w:pPr>
        <w:spacing w:line="360" w:lineRule="auto"/>
        <w:ind w:right="51"/>
        <w:jc w:val="both"/>
        <w:rPr>
          <w:b/>
        </w:rPr>
      </w:pPr>
      <w:r w:rsidRPr="001B5F06">
        <w:rPr>
          <w:rFonts w:ascii="Palatino Linotype" w:hAnsi="Palatino Linotype" w:cs="Arial"/>
        </w:rPr>
        <w:t>El nombre, firma y rubrica del apoderado legal, se consideran públicos de conformidad con el criterio 01/19 reiterado vigente del INAI</w:t>
      </w:r>
      <w:r>
        <w:rPr>
          <w:rFonts w:ascii="Palatino Linotype" w:hAnsi="Palatino Linotype" w:cs="Arial"/>
        </w:rPr>
        <w:t>:</w:t>
      </w:r>
    </w:p>
    <w:p w:rsidR="003A002D" w:rsidRPr="001B5F06" w:rsidRDefault="003A002D" w:rsidP="003A002D">
      <w:pPr>
        <w:pStyle w:val="INFOEM"/>
        <w:rPr>
          <w:bCs/>
        </w:rPr>
      </w:pPr>
      <w:r w:rsidRPr="001B5F06">
        <w:rPr>
          <w:b/>
        </w:rPr>
        <w:t>Datos de identificación del representante o apoderado legal.</w:t>
      </w:r>
      <w:r w:rsidRPr="001B5F06">
        <w:t xml:space="preserve"> </w:t>
      </w:r>
      <w:r w:rsidRPr="001B5F06">
        <w:rPr>
          <w:b/>
        </w:rPr>
        <w:t xml:space="preserve">Naturaleza jurídica. </w:t>
      </w:r>
      <w:r w:rsidRPr="001B5F06">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3A002D" w:rsidRPr="001B5F06" w:rsidRDefault="003A002D" w:rsidP="003A002D">
      <w:pPr>
        <w:pStyle w:val="INFOEM"/>
        <w:rPr>
          <w:b/>
        </w:rPr>
      </w:pPr>
      <w:r w:rsidRPr="001B5F06">
        <w:rPr>
          <w:b/>
        </w:rPr>
        <w:t>Precedentes:</w:t>
      </w:r>
    </w:p>
    <w:p w:rsidR="003A002D" w:rsidRPr="001B5F06" w:rsidRDefault="003A002D" w:rsidP="003A002D">
      <w:pPr>
        <w:pStyle w:val="INFOEM"/>
        <w:numPr>
          <w:ilvl w:val="0"/>
          <w:numId w:val="31"/>
        </w:numPr>
      </w:pPr>
      <w:r w:rsidRPr="001B5F06">
        <w:t xml:space="preserve">Acceso a la información pública. RRA 3104/16. Sesión del 01 de noviembre del 2016. Votación por unanimidad. Sin votos disidentes o particulares. Secretaría de la Defensa Nacional. Comisionado Ponente </w:t>
      </w:r>
      <w:r w:rsidRPr="001B5F06">
        <w:rPr>
          <w:lang w:val="es-ES"/>
        </w:rPr>
        <w:t>Oscar Mauricio Guerra Ford.</w:t>
      </w:r>
    </w:p>
    <w:p w:rsidR="003A002D" w:rsidRPr="001B5F06" w:rsidRDefault="003A002D" w:rsidP="003A002D">
      <w:pPr>
        <w:pStyle w:val="INFOEM"/>
        <w:numPr>
          <w:ilvl w:val="0"/>
          <w:numId w:val="31"/>
        </w:numPr>
        <w:rPr>
          <w:b/>
          <w:bCs/>
        </w:rPr>
      </w:pPr>
      <w:r w:rsidRPr="001B5F06">
        <w:t>Acceso a la información pública. RRA 2923/16. Sesión del 13 de diciembre de 2016. Votación por unanimidad. Sin votos disidentes o particulares. Administración Portuaria Integral de Lázaro Cárdenas, S.A. de C.V. Comisionada Ponente María Patricia Kurczyn Villalobos.</w:t>
      </w:r>
    </w:p>
    <w:p w:rsidR="003A002D" w:rsidRPr="001B5F06" w:rsidRDefault="003A002D" w:rsidP="003A002D">
      <w:pPr>
        <w:pStyle w:val="INFOEM"/>
        <w:numPr>
          <w:ilvl w:val="0"/>
          <w:numId w:val="31"/>
        </w:numPr>
      </w:pPr>
      <w:r w:rsidRPr="001B5F06">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3A002D" w:rsidRDefault="003A002D" w:rsidP="00590A49">
      <w:pPr>
        <w:spacing w:line="360" w:lineRule="auto"/>
        <w:ind w:right="51"/>
        <w:jc w:val="both"/>
        <w:rPr>
          <w:rFonts w:ascii="Palatino Linotype" w:hAnsi="Palatino Linotype" w:cs="Arial"/>
        </w:rPr>
      </w:pPr>
    </w:p>
    <w:p w:rsidR="00590A49" w:rsidRDefault="00590A49" w:rsidP="00590A49">
      <w:pPr>
        <w:spacing w:line="360" w:lineRule="auto"/>
        <w:ind w:right="51"/>
        <w:jc w:val="both"/>
        <w:rPr>
          <w:rFonts w:ascii="Palatino Linotype" w:hAnsi="Palatino Linotype" w:cs="Arial"/>
        </w:rPr>
      </w:pPr>
      <w:r w:rsidRPr="001571EB">
        <w:rPr>
          <w:rFonts w:ascii="Palatino Linotype" w:hAnsi="Palatino Linotype" w:cs="Arial"/>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rPr>
        <w:t>LINEAMIENTOS GENERALES EN MATERIA DE CLASIFICACIÓN Y DESCLASIFICACIÓN DE LA INFORMACIÓN, ASÍ COMO PARA LA ELABORACIÓN DE VERSIONES PÚBLICAS,</w:t>
      </w:r>
      <w:r w:rsidRPr="001571EB">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rsidR="008A4996" w:rsidRDefault="008A4996" w:rsidP="007F0C0D">
      <w:pPr>
        <w:spacing w:line="360" w:lineRule="auto"/>
        <w:jc w:val="both"/>
        <w:rPr>
          <w:rFonts w:ascii="Palatino Linotype" w:eastAsiaTheme="minorHAnsi" w:hAnsi="Palatino Linotype" w:cstheme="minorBidi"/>
          <w:lang w:val="es-MX" w:eastAsia="en-US"/>
        </w:rPr>
      </w:pPr>
    </w:p>
    <w:p w:rsidR="007F0C0D" w:rsidRPr="009A71E1" w:rsidRDefault="007F0C0D" w:rsidP="007F0C0D">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sidR="007D6649">
        <w:rPr>
          <w:rFonts w:ascii="Palatino Linotype" w:eastAsiaTheme="minorHAnsi" w:hAnsi="Palatino Linotype" w:cstheme="minorBidi"/>
          <w:lang w:val="es-MX" w:eastAsia="en-US"/>
        </w:rPr>
        <w:t xml:space="preserve">primera </w:t>
      </w:r>
      <w:r w:rsidRPr="009A71E1">
        <w:rPr>
          <w:rFonts w:ascii="Palatino Linotype" w:eastAsiaTheme="minorHAnsi" w:hAnsi="Palatino Linotype" w:cstheme="minorBidi"/>
          <w:lang w:val="es-MX" w:eastAsia="en-US"/>
        </w:rPr>
        <w:t xml:space="preserve">hipótesis del artículo 186 fracción III de la Ley de Transparencia y Acceso a la Información Pública del Estado de México y Municipios, se </w:t>
      </w:r>
      <w:r w:rsidR="00281C51">
        <w:rPr>
          <w:rFonts w:ascii="Palatino Linotype" w:eastAsiaTheme="minorHAnsi" w:hAnsi="Palatino Linotype" w:cstheme="minorBidi"/>
          <w:b/>
          <w:lang w:val="es-MX" w:eastAsia="en-US"/>
        </w:rPr>
        <w:t>RE</w:t>
      </w:r>
      <w:r w:rsidR="007D6649">
        <w:rPr>
          <w:rFonts w:ascii="Palatino Linotype" w:eastAsiaTheme="minorHAnsi" w:hAnsi="Palatino Linotype" w:cstheme="minorBidi"/>
          <w:b/>
          <w:lang w:val="es-MX" w:eastAsia="en-US"/>
        </w:rPr>
        <w:t>VO</w:t>
      </w:r>
      <w:r>
        <w:rPr>
          <w:rFonts w:ascii="Palatino Linotype" w:eastAsiaTheme="minorHAnsi" w:hAnsi="Palatino Linotype" w:cstheme="minorBidi"/>
          <w:b/>
          <w:lang w:val="es-MX" w:eastAsia="en-US"/>
        </w:rPr>
        <w:t>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sidR="008B3A75">
        <w:rPr>
          <w:rFonts w:ascii="Palatino Linotype" w:hAnsi="Palatino Linotype"/>
          <w:b/>
          <w:bCs/>
        </w:rPr>
        <w:t>00006/DIFTOLUCA/IP/2025</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rsidR="007F0C0D" w:rsidRPr="009A71E1" w:rsidRDefault="007F0C0D" w:rsidP="007F0C0D">
      <w:pPr>
        <w:spacing w:line="360" w:lineRule="auto"/>
        <w:jc w:val="both"/>
        <w:rPr>
          <w:rFonts w:ascii="Palatino Linotype" w:eastAsiaTheme="minorHAnsi" w:hAnsi="Palatino Linotype" w:cstheme="minorBidi"/>
          <w:lang w:val="es-MX" w:eastAsia="en-US"/>
        </w:rPr>
      </w:pPr>
    </w:p>
    <w:p w:rsidR="007F0C0D" w:rsidRDefault="007F0C0D" w:rsidP="007F0C0D">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7F0C0D" w:rsidRDefault="007F0C0D" w:rsidP="007F0C0D">
      <w:pPr>
        <w:spacing w:line="360" w:lineRule="auto"/>
        <w:jc w:val="both"/>
        <w:rPr>
          <w:rFonts w:ascii="Palatino Linotype" w:hAnsi="Palatino Linotype"/>
          <w:lang w:val="es-MX"/>
        </w:rPr>
      </w:pPr>
    </w:p>
    <w:p w:rsidR="007F0C0D" w:rsidRPr="009A71E1" w:rsidRDefault="007F0C0D" w:rsidP="007F0C0D">
      <w:pPr>
        <w:spacing w:line="360" w:lineRule="auto"/>
        <w:jc w:val="both"/>
        <w:rPr>
          <w:rFonts w:ascii="Palatino Linotype" w:hAnsi="Palatino Linotype"/>
          <w:lang w:val="es-MX"/>
        </w:rPr>
      </w:pPr>
    </w:p>
    <w:p w:rsidR="007F0C0D" w:rsidRPr="009A71E1" w:rsidRDefault="007F0C0D" w:rsidP="007F0C0D">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7F0C0D" w:rsidRDefault="007F0C0D" w:rsidP="007F0C0D">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7F0C0D" w:rsidRPr="00165D42" w:rsidRDefault="007F0C0D" w:rsidP="007F0C0D">
      <w:pPr>
        <w:spacing w:line="360" w:lineRule="auto"/>
        <w:jc w:val="both"/>
        <w:rPr>
          <w:rFonts w:ascii="Palatino Linotype" w:hAnsi="Palatino Linotype" w:cs="Arial"/>
        </w:rPr>
      </w:pPr>
      <w:r w:rsidRPr="008C27E8">
        <w:rPr>
          <w:rFonts w:ascii="Palatino Linotype" w:hAnsi="Palatino Linotype" w:cs="Arial"/>
          <w:b/>
          <w:sz w:val="28"/>
          <w:szCs w:val="28"/>
        </w:rPr>
        <w:lastRenderedPageBreak/>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sidR="007D6649">
        <w:rPr>
          <w:rFonts w:ascii="Palatino Linotype" w:hAnsi="Palatino Linotype" w:cs="Arial"/>
          <w:b/>
        </w:rPr>
        <w:t>REVO</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sidR="008B3A75">
        <w:rPr>
          <w:rFonts w:ascii="Palatino Linotype" w:hAnsi="Palatino Linotype"/>
          <w:b/>
          <w:bCs/>
        </w:rPr>
        <w:t>00006/DIFTOLUCA/IP/2025</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w:t>
      </w:r>
      <w:r w:rsidRPr="00165D42">
        <w:rPr>
          <w:rFonts w:ascii="Palatino Linotype" w:hAnsi="Palatino Linotype" w:cs="Arial"/>
          <w:b/>
        </w:rPr>
        <w:t xml:space="preserve">fundados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rsidR="007F0C0D" w:rsidRPr="00165D42" w:rsidRDefault="007F0C0D" w:rsidP="007F0C0D">
      <w:pPr>
        <w:spacing w:line="360" w:lineRule="auto"/>
        <w:jc w:val="both"/>
        <w:rPr>
          <w:rFonts w:ascii="Palatino Linotype" w:hAnsi="Palatino Linotype" w:cs="Arial"/>
        </w:rPr>
      </w:pPr>
    </w:p>
    <w:p w:rsidR="007F0C0D" w:rsidRDefault="007F0C0D" w:rsidP="007F0C0D">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de </w:t>
      </w:r>
      <w:r w:rsidRPr="00165D42">
        <w:rPr>
          <w:rFonts w:ascii="Palatino Linotype" w:hAnsi="Palatino Linotype" w:cs="Tahoma"/>
        </w:rPr>
        <w:t>lo siguiente:</w:t>
      </w:r>
    </w:p>
    <w:p w:rsidR="007F0C0D" w:rsidRPr="007D6649" w:rsidRDefault="007D6649" w:rsidP="007D6649">
      <w:pPr>
        <w:pStyle w:val="Prrafodelista"/>
        <w:numPr>
          <w:ilvl w:val="0"/>
          <w:numId w:val="25"/>
        </w:numPr>
        <w:spacing w:line="360" w:lineRule="auto"/>
        <w:jc w:val="both"/>
        <w:rPr>
          <w:rFonts w:ascii="Palatino Linotype" w:hAnsi="Palatino Linotype" w:cs="Arial"/>
        </w:rPr>
      </w:pPr>
      <w:r>
        <w:rPr>
          <w:rFonts w:ascii="Palatino Linotype" w:hAnsi="Palatino Linotype" w:cs="Arial"/>
        </w:rPr>
        <w:t xml:space="preserve">Del </w:t>
      </w:r>
      <w:r w:rsidR="00262823">
        <w:rPr>
          <w:rFonts w:ascii="Palatino Linotype" w:hAnsi="Palatino Linotype" w:cs="Arial"/>
        </w:rPr>
        <w:t>evento</w:t>
      </w:r>
      <w:r>
        <w:rPr>
          <w:rFonts w:ascii="Palatino Linotype" w:hAnsi="Palatino Linotype" w:cs="Arial"/>
        </w:rPr>
        <w:t xml:space="preserve"> “Día de Reyes” 2025:</w:t>
      </w:r>
    </w:p>
    <w:p w:rsidR="007F0C0D" w:rsidRDefault="007D6649" w:rsidP="007F0C0D">
      <w:pPr>
        <w:pStyle w:val="Prrafodelista"/>
        <w:numPr>
          <w:ilvl w:val="3"/>
          <w:numId w:val="4"/>
        </w:numPr>
        <w:spacing w:before="240" w:line="360" w:lineRule="auto"/>
        <w:ind w:left="567" w:right="72"/>
        <w:jc w:val="both"/>
        <w:rPr>
          <w:rFonts w:ascii="Palatino Linotype" w:hAnsi="Palatino Linotype" w:cs="Arial"/>
        </w:rPr>
      </w:pPr>
      <w:r>
        <w:rPr>
          <w:rFonts w:ascii="Palatino Linotype" w:hAnsi="Palatino Linotype" w:cs="Arial"/>
        </w:rPr>
        <w:t xml:space="preserve">Contratos </w:t>
      </w:r>
      <w:r w:rsidR="00262823">
        <w:rPr>
          <w:rFonts w:ascii="Palatino Linotype" w:hAnsi="Palatino Linotype" w:cs="Arial"/>
        </w:rPr>
        <w:t xml:space="preserve">de adquisición de bienes y servicios, incluyendo luces, sonido, artistas, carpas, mobiliario, juguetes, dulces y lunch. </w:t>
      </w:r>
    </w:p>
    <w:p w:rsidR="00262823" w:rsidRDefault="005553CF" w:rsidP="007F0C0D">
      <w:pPr>
        <w:pStyle w:val="Prrafodelista"/>
        <w:numPr>
          <w:ilvl w:val="3"/>
          <w:numId w:val="4"/>
        </w:numPr>
        <w:spacing w:before="240" w:line="360" w:lineRule="auto"/>
        <w:ind w:left="567" w:right="72"/>
        <w:jc w:val="both"/>
        <w:rPr>
          <w:rFonts w:ascii="Palatino Linotype" w:hAnsi="Palatino Linotype" w:cs="Arial"/>
        </w:rPr>
      </w:pPr>
      <w:r>
        <w:rPr>
          <w:rFonts w:ascii="Palatino Linotype" w:hAnsi="Palatino Linotype" w:cs="Arial"/>
        </w:rPr>
        <w:t xml:space="preserve">Documentos donde </w:t>
      </w:r>
      <w:r w:rsidR="00CC7774">
        <w:rPr>
          <w:rFonts w:ascii="Palatino Linotype" w:hAnsi="Palatino Linotype" w:cs="Arial"/>
        </w:rPr>
        <w:t>conste</w:t>
      </w:r>
      <w:r>
        <w:rPr>
          <w:rFonts w:ascii="Palatino Linotype" w:hAnsi="Palatino Linotype" w:cs="Arial"/>
        </w:rPr>
        <w:t xml:space="preserve"> </w:t>
      </w:r>
      <w:r w:rsidR="00732EE8">
        <w:rPr>
          <w:rFonts w:ascii="Palatino Linotype" w:hAnsi="Palatino Linotype" w:cs="Arial"/>
        </w:rPr>
        <w:t>la partida presupuestal, así como el p</w:t>
      </w:r>
      <w:r w:rsidR="00262823">
        <w:rPr>
          <w:rFonts w:ascii="Palatino Linotype" w:hAnsi="Palatino Linotype" w:cs="Arial"/>
        </w:rPr>
        <w:t>r</w:t>
      </w:r>
      <w:r w:rsidR="00CC7774">
        <w:rPr>
          <w:rFonts w:ascii="Palatino Linotype" w:hAnsi="Palatino Linotype" w:cs="Arial"/>
        </w:rPr>
        <w:t>esupuesto autorizado y ejercido.</w:t>
      </w:r>
    </w:p>
    <w:p w:rsidR="00262823" w:rsidRDefault="00262823" w:rsidP="007F0C0D">
      <w:pPr>
        <w:pStyle w:val="Prrafodelista"/>
        <w:numPr>
          <w:ilvl w:val="3"/>
          <w:numId w:val="4"/>
        </w:numPr>
        <w:spacing w:before="240" w:line="360" w:lineRule="auto"/>
        <w:ind w:left="567" w:right="72"/>
        <w:jc w:val="both"/>
        <w:rPr>
          <w:rFonts w:ascii="Palatino Linotype" w:hAnsi="Palatino Linotype" w:cs="Arial"/>
        </w:rPr>
      </w:pPr>
      <w:r>
        <w:rPr>
          <w:rFonts w:ascii="Palatino Linotype" w:hAnsi="Palatino Linotype" w:cs="Arial"/>
        </w:rPr>
        <w:t>Facturas pagadas a los proveedores.</w:t>
      </w:r>
    </w:p>
    <w:p w:rsidR="007F0C0D" w:rsidRDefault="007F0C0D" w:rsidP="007F0C0D">
      <w:pPr>
        <w:pStyle w:val="INFOEM"/>
        <w:spacing w:before="0" w:after="0"/>
        <w:ind w:left="720" w:right="567"/>
        <w:rPr>
          <w:sz w:val="24"/>
          <w:szCs w:val="24"/>
        </w:rPr>
      </w:pPr>
    </w:p>
    <w:p w:rsidR="007F0C0D" w:rsidRDefault="007F0C0D" w:rsidP="007F0C0D">
      <w:pPr>
        <w:pStyle w:val="INFOEM"/>
        <w:spacing w:before="0" w:after="0"/>
        <w:ind w:left="720" w:right="567"/>
        <w:rPr>
          <w:sz w:val="24"/>
          <w:szCs w:val="24"/>
        </w:rPr>
      </w:pPr>
      <w:r w:rsidRPr="00C960DD">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7F0C0D" w:rsidRPr="00FF7BF1" w:rsidRDefault="007F0C0D" w:rsidP="007F0C0D">
      <w:pPr>
        <w:pStyle w:val="INFOEM"/>
        <w:spacing w:before="0" w:after="0"/>
        <w:ind w:left="720" w:right="567"/>
        <w:rPr>
          <w:sz w:val="24"/>
          <w:szCs w:val="24"/>
        </w:rPr>
      </w:pPr>
    </w:p>
    <w:p w:rsidR="007F0C0D" w:rsidRPr="00DC5E29" w:rsidRDefault="007F0C0D" w:rsidP="007F0C0D">
      <w:pPr>
        <w:spacing w:line="360" w:lineRule="auto"/>
        <w:jc w:val="both"/>
        <w:rPr>
          <w:rFonts w:ascii="Palatino Linotype" w:hAnsi="Palatino Linotype" w:cs="Tahoma"/>
          <w:bCs/>
        </w:rPr>
      </w:pPr>
      <w:r w:rsidRPr="00DC5E29">
        <w:rPr>
          <w:rFonts w:ascii="Palatino Linotype" w:hAnsi="Palatino Linotype" w:cs="Arial"/>
          <w:b/>
          <w:sz w:val="28"/>
        </w:rPr>
        <w:lastRenderedPageBreak/>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(SAIMEX),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F0C0D" w:rsidRPr="00DC5E29" w:rsidRDefault="007F0C0D" w:rsidP="007F0C0D">
      <w:pPr>
        <w:spacing w:line="360" w:lineRule="auto"/>
        <w:ind w:right="-595"/>
        <w:jc w:val="both"/>
        <w:rPr>
          <w:rFonts w:ascii="Palatino Linotype" w:hAnsi="Palatino Linotype" w:cs="Tahoma"/>
          <w:bCs/>
        </w:rPr>
      </w:pPr>
    </w:p>
    <w:p w:rsidR="007F0C0D" w:rsidRDefault="007F0C0D" w:rsidP="007F0C0D">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7F0C0D" w:rsidRPr="00DC5E29" w:rsidRDefault="007F0C0D" w:rsidP="007F0C0D">
      <w:pPr>
        <w:autoSpaceDE w:val="0"/>
        <w:autoSpaceDN w:val="0"/>
        <w:adjustRightInd w:val="0"/>
        <w:spacing w:line="360" w:lineRule="auto"/>
        <w:jc w:val="both"/>
        <w:rPr>
          <w:rFonts w:ascii="Palatino Linotype" w:hAnsi="Palatino Linotype" w:cs="Arial"/>
        </w:rPr>
      </w:pPr>
    </w:p>
    <w:p w:rsidR="007F0C0D" w:rsidRDefault="007F0C0D" w:rsidP="007F0C0D">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7F0C0D" w:rsidRDefault="007F0C0D" w:rsidP="007F0C0D">
      <w:pPr>
        <w:spacing w:line="360" w:lineRule="auto"/>
        <w:jc w:val="both"/>
        <w:rPr>
          <w:rFonts w:ascii="Palatino Linotype" w:hAnsi="Palatino Linotype" w:cs="Arial"/>
        </w:rPr>
      </w:pPr>
    </w:p>
    <w:p w:rsidR="007F0C0D" w:rsidRPr="007C3942" w:rsidRDefault="007F0C0D" w:rsidP="007F0C0D">
      <w:pPr>
        <w:spacing w:line="360" w:lineRule="auto"/>
        <w:jc w:val="both"/>
        <w:rPr>
          <w:rFonts w:ascii="Palatino Linotype" w:hAnsi="Palatino Linotype" w:cs="Arial"/>
        </w:rPr>
      </w:pPr>
      <w:r w:rsidRPr="007C3942">
        <w:rPr>
          <w:rFonts w:ascii="Palatino Linotype" w:hAnsi="Palatino Linotype" w:cs="Arial"/>
        </w:rPr>
        <w:lastRenderedPageBreak/>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sidR="00F05CA7">
        <w:rPr>
          <w:rFonts w:ascii="Palatino Linotype" w:hAnsi="Palatino Linotype" w:cs="Arial"/>
        </w:rPr>
        <w:t xml:space="preserve">OCTAVA </w:t>
      </w:r>
      <w:r w:rsidRPr="007C3942">
        <w:rPr>
          <w:rFonts w:ascii="Palatino Linotype" w:hAnsi="Palatino Linotype" w:cs="Arial"/>
        </w:rPr>
        <w:t>SESIÓN ORDINARIA CELEBRADA EL</w:t>
      </w:r>
      <w:r>
        <w:rPr>
          <w:rFonts w:ascii="Palatino Linotype" w:hAnsi="Palatino Linotype" w:cs="Arial"/>
        </w:rPr>
        <w:t xml:space="preserve"> </w:t>
      </w:r>
      <w:r w:rsidR="00F05CA7">
        <w:rPr>
          <w:rFonts w:ascii="Palatino Linotype" w:hAnsi="Palatino Linotype" w:cs="Arial"/>
        </w:rPr>
        <w:t>SEIS DE MARZO</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r w:rsidR="005F49BB" w:rsidRPr="007C3942">
        <w:rPr>
          <w:rFonts w:ascii="Palatino Linotype" w:hAnsi="Palatino Linotype" w:cs="Arial"/>
        </w:rPr>
        <w:t>--</w:t>
      </w:r>
      <w:r w:rsidR="005F49BB">
        <w:rPr>
          <w:rFonts w:ascii="Palatino Linotype" w:hAnsi="Palatino Linotype" w:cs="Arial"/>
        </w:rPr>
        <w:t>-----------------</w:t>
      </w:r>
    </w:p>
    <w:p w:rsidR="007F0C0D" w:rsidRDefault="007F0C0D" w:rsidP="007F0C0D">
      <w:pPr>
        <w:spacing w:line="360" w:lineRule="auto"/>
        <w:jc w:val="both"/>
        <w:rPr>
          <w:rFonts w:ascii="Palatino Linotype" w:hAnsi="Palatino Linotype" w:cs="Arial"/>
          <w:sz w:val="16"/>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00F05CA7">
        <w:rPr>
          <w:rFonts w:ascii="Palatino Linotype" w:hAnsi="Palatino Linotype" w:cs="Arial"/>
          <w:sz w:val="16"/>
        </w:rPr>
        <w:t>JMV/CCR</w:t>
      </w:r>
      <w:r w:rsidR="00A710B6">
        <w:rPr>
          <w:rFonts w:ascii="Palatino Linotype" w:hAnsi="Palatino Linotype" w:cs="Arial"/>
          <w:sz w:val="16"/>
        </w:rPr>
        <w:t>/LMST</w:t>
      </w:r>
    </w:p>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7F0C0D" w:rsidRDefault="007F0C0D" w:rsidP="007F0C0D"/>
    <w:p w:rsidR="00C60214" w:rsidRDefault="00C60214"/>
    <w:sectPr w:rsidR="00C60214" w:rsidSect="000C60A7">
      <w:headerReference w:type="default" r:id="rId19"/>
      <w:footerReference w:type="default" r:id="rId20"/>
      <w:headerReference w:type="first" r:id="rId21"/>
      <w:footerReference w:type="first" r:id="rId2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73" w:rsidRDefault="00C77373" w:rsidP="007F0C0D">
      <w:r>
        <w:separator/>
      </w:r>
    </w:p>
  </w:endnote>
  <w:endnote w:type="continuationSeparator" w:id="0">
    <w:p w:rsidR="00C77373" w:rsidRDefault="00C77373" w:rsidP="007F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3" w:rsidRPr="00A2780F" w:rsidRDefault="00C77373" w:rsidP="000C60A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751A92">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751A92">
      <w:rPr>
        <w:rFonts w:ascii="Arial" w:hAnsi="Arial" w:cs="Arial"/>
        <w:b/>
        <w:bCs/>
        <w:noProof/>
        <w:sz w:val="20"/>
        <w:szCs w:val="20"/>
      </w:rPr>
      <w:t>49</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3" w:rsidRPr="00070856" w:rsidRDefault="00C77373" w:rsidP="000C60A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751A92">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751A92">
      <w:rPr>
        <w:rFonts w:ascii="Arial" w:hAnsi="Arial" w:cs="Arial"/>
        <w:b/>
        <w:bCs/>
        <w:noProof/>
        <w:sz w:val="20"/>
        <w:szCs w:val="20"/>
      </w:rPr>
      <w:t>49</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73" w:rsidRDefault="00C77373" w:rsidP="007F0C0D">
      <w:r>
        <w:separator/>
      </w:r>
    </w:p>
  </w:footnote>
  <w:footnote w:type="continuationSeparator" w:id="0">
    <w:p w:rsidR="00C77373" w:rsidRDefault="00C77373" w:rsidP="007F0C0D">
      <w:r>
        <w:continuationSeparator/>
      </w:r>
    </w:p>
  </w:footnote>
  <w:footnote w:id="1">
    <w:p w:rsidR="00C77373" w:rsidRPr="005552A8" w:rsidRDefault="00C77373" w:rsidP="007F0C0D">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C77373" w:rsidRPr="005552A8" w:rsidRDefault="00C77373" w:rsidP="007F0C0D">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C77373" w:rsidRDefault="00C77373" w:rsidP="00262823">
      <w:pPr>
        <w:pStyle w:val="Textonotapie"/>
      </w:pPr>
      <w:r>
        <w:rPr>
          <w:rStyle w:val="Refdenotaalpie"/>
        </w:rPr>
        <w:footnoteRef/>
      </w:r>
      <w:r>
        <w:t xml:space="preserve"> </w:t>
      </w:r>
      <w:hyperlink r:id="rId3" w:history="1">
        <w:r w:rsidRPr="00715EC3">
          <w:rPr>
            <w:rStyle w:val="Hipervnculo"/>
          </w:rPr>
          <w:t>http://omawww.sat.gob.mx/factura/Paginas/solicita_requisitos.htm</w:t>
        </w:r>
      </w:hyperlink>
    </w:p>
    <w:p w:rsidR="00C77373" w:rsidRDefault="00C77373" w:rsidP="0026282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C77373" w:rsidRPr="008F2CCC" w:rsidTr="000C60A7">
      <w:tc>
        <w:tcPr>
          <w:tcW w:w="3620" w:type="dxa"/>
          <w:shd w:val="clear" w:color="auto" w:fill="auto"/>
        </w:tcPr>
        <w:p w:rsidR="00C77373" w:rsidRPr="007E5FC4" w:rsidRDefault="00C77373" w:rsidP="000C60A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C77373" w:rsidRPr="00664658" w:rsidRDefault="00C77373" w:rsidP="007F0C0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F49BB">
            <w:rPr>
              <w:rFonts w:ascii="Palatino Linotype" w:hAnsi="Palatino Linotype"/>
              <w:b/>
              <w:sz w:val="22"/>
              <w:szCs w:val="22"/>
              <w:lang w:val="es-ES_tradnl"/>
            </w:rPr>
            <w:t>0</w:t>
          </w:r>
          <w:r>
            <w:rPr>
              <w:rFonts w:ascii="Palatino Linotype" w:hAnsi="Palatino Linotype"/>
              <w:b/>
              <w:sz w:val="22"/>
              <w:szCs w:val="22"/>
              <w:lang w:val="es-ES_tradnl"/>
            </w:rPr>
            <w:t>535/INFOEM/IP/RR/2025</w:t>
          </w:r>
        </w:p>
      </w:tc>
    </w:tr>
    <w:tr w:rsidR="00C77373" w:rsidRPr="008F2CCC" w:rsidTr="000C60A7">
      <w:tc>
        <w:tcPr>
          <w:tcW w:w="3620" w:type="dxa"/>
          <w:shd w:val="clear" w:color="auto" w:fill="auto"/>
        </w:tcPr>
        <w:p w:rsidR="00C77373" w:rsidRPr="007E5FC4" w:rsidRDefault="00C77373" w:rsidP="000C60A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C77373" w:rsidRPr="00664658" w:rsidRDefault="00C77373" w:rsidP="000C60A7">
          <w:pPr>
            <w:spacing w:line="276" w:lineRule="auto"/>
            <w:jc w:val="right"/>
            <w:rPr>
              <w:rFonts w:ascii="Palatino Linotype" w:hAnsi="Palatino Linotype"/>
              <w:b/>
              <w:sz w:val="22"/>
              <w:szCs w:val="22"/>
              <w:lang w:val="es-ES_tradnl"/>
            </w:rPr>
          </w:pPr>
          <w:r w:rsidRPr="007F0C0D">
            <w:rPr>
              <w:rFonts w:ascii="Palatino Linotype" w:hAnsi="Palatino Linotype"/>
              <w:b/>
              <w:sz w:val="22"/>
              <w:szCs w:val="22"/>
            </w:rPr>
            <w:t>Sistema Municipal Para el Desarrollo Integral de la Familia de Toluca</w:t>
          </w:r>
        </w:p>
      </w:tc>
    </w:tr>
    <w:tr w:rsidR="00C77373" w:rsidRPr="008F2CCC" w:rsidTr="000C60A7">
      <w:trPr>
        <w:trHeight w:val="228"/>
      </w:trPr>
      <w:tc>
        <w:tcPr>
          <w:tcW w:w="3620" w:type="dxa"/>
          <w:shd w:val="clear" w:color="auto" w:fill="auto"/>
        </w:tcPr>
        <w:p w:rsidR="00C77373" w:rsidRPr="007E5FC4" w:rsidRDefault="00C77373" w:rsidP="000C60A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C77373" w:rsidRPr="00664658" w:rsidRDefault="00C77373" w:rsidP="000C60A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C77373" w:rsidRDefault="00C77373" w:rsidP="000C60A7">
    <w:pPr>
      <w:pStyle w:val="Encabezado"/>
      <w:tabs>
        <w:tab w:val="clear" w:pos="4252"/>
        <w:tab w:val="clear" w:pos="8504"/>
        <w:tab w:val="left" w:pos="2326"/>
      </w:tabs>
      <w:rPr>
        <w:rFonts w:ascii="Palatino Linotype" w:hAnsi="Palatino Linotype"/>
        <w:sz w:val="20"/>
      </w:rPr>
    </w:pPr>
  </w:p>
  <w:p w:rsidR="00C77373" w:rsidRPr="001779E0" w:rsidRDefault="00C77373" w:rsidP="000C60A7">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2794447" wp14:editId="413D3860">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C77373" w:rsidRPr="008F2CCC" w:rsidTr="000C60A7">
      <w:tc>
        <w:tcPr>
          <w:tcW w:w="2977" w:type="dxa"/>
          <w:shd w:val="clear" w:color="auto" w:fill="auto"/>
        </w:tcPr>
        <w:p w:rsidR="00C77373" w:rsidRPr="007E5FC4" w:rsidRDefault="00C77373" w:rsidP="000C60A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C77373" w:rsidRPr="008F2CCC" w:rsidRDefault="00C77373" w:rsidP="007F0C0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F49BB">
            <w:rPr>
              <w:rFonts w:ascii="Palatino Linotype" w:hAnsi="Palatino Linotype"/>
              <w:b/>
              <w:sz w:val="22"/>
              <w:szCs w:val="22"/>
              <w:lang w:val="es-ES_tradnl"/>
            </w:rPr>
            <w:t>0</w:t>
          </w:r>
          <w:r>
            <w:rPr>
              <w:rFonts w:ascii="Palatino Linotype" w:hAnsi="Palatino Linotype"/>
              <w:b/>
              <w:sz w:val="22"/>
              <w:szCs w:val="22"/>
              <w:lang w:val="es-ES_tradnl"/>
            </w:rPr>
            <w:t>535/INFOEM/IP/RR/2025</w:t>
          </w:r>
        </w:p>
      </w:tc>
    </w:tr>
    <w:tr w:rsidR="00C77373" w:rsidRPr="008F2CCC" w:rsidTr="000C60A7">
      <w:tc>
        <w:tcPr>
          <w:tcW w:w="2977" w:type="dxa"/>
          <w:shd w:val="clear" w:color="auto" w:fill="auto"/>
          <w:vAlign w:val="center"/>
        </w:tcPr>
        <w:p w:rsidR="00C77373" w:rsidRPr="007E5FC4" w:rsidRDefault="00C77373" w:rsidP="000C60A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C77373" w:rsidRPr="008F2CCC" w:rsidRDefault="00751A92" w:rsidP="000C60A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C77373" w:rsidRPr="008F2CCC" w:rsidTr="000C60A7">
      <w:trPr>
        <w:trHeight w:val="228"/>
      </w:trPr>
      <w:tc>
        <w:tcPr>
          <w:tcW w:w="2977" w:type="dxa"/>
          <w:shd w:val="clear" w:color="auto" w:fill="auto"/>
        </w:tcPr>
        <w:p w:rsidR="00C77373" w:rsidRPr="007E5FC4" w:rsidRDefault="00C77373" w:rsidP="000C60A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C77373" w:rsidRPr="00DC41C8" w:rsidRDefault="00C77373" w:rsidP="000C60A7">
          <w:pPr>
            <w:spacing w:line="360" w:lineRule="auto"/>
            <w:jc w:val="right"/>
            <w:rPr>
              <w:rFonts w:ascii="Palatino Linotype" w:hAnsi="Palatino Linotype"/>
              <w:b/>
              <w:sz w:val="22"/>
              <w:szCs w:val="22"/>
            </w:rPr>
          </w:pPr>
          <w:r w:rsidRPr="007F0C0D">
            <w:rPr>
              <w:rFonts w:ascii="Palatino Linotype" w:hAnsi="Palatino Linotype"/>
              <w:b/>
              <w:sz w:val="22"/>
              <w:szCs w:val="22"/>
            </w:rPr>
            <w:t>Sistema Municipal Para el Desarrollo Integral de la Familia de Toluca</w:t>
          </w:r>
        </w:p>
      </w:tc>
    </w:tr>
    <w:tr w:rsidR="00C77373" w:rsidRPr="008F2CCC" w:rsidTr="000C60A7">
      <w:tc>
        <w:tcPr>
          <w:tcW w:w="2977" w:type="dxa"/>
          <w:shd w:val="clear" w:color="auto" w:fill="auto"/>
        </w:tcPr>
        <w:p w:rsidR="00C77373" w:rsidRPr="007E5FC4" w:rsidRDefault="00C77373" w:rsidP="000C60A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C77373" w:rsidRPr="008F2CCC" w:rsidRDefault="00C77373" w:rsidP="000C60A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C77373" w:rsidRPr="009F1AB6" w:rsidRDefault="00C77373">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4A899E2" wp14:editId="3324593B">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049D81"/>
    <w:multiLevelType w:val="hybridMultilevel"/>
    <w:tmpl w:val="7E74B8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91571"/>
    <w:multiLevelType w:val="hybridMultilevel"/>
    <w:tmpl w:val="E648E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3A4B07"/>
    <w:multiLevelType w:val="hybridMultilevel"/>
    <w:tmpl w:val="3E86F07A"/>
    <w:lvl w:ilvl="0" w:tplc="BE626DA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8C79F4"/>
    <w:multiLevelType w:val="hybridMultilevel"/>
    <w:tmpl w:val="6966DE1E"/>
    <w:lvl w:ilvl="0" w:tplc="1DEE90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33F590A"/>
    <w:multiLevelType w:val="hybridMultilevel"/>
    <w:tmpl w:val="1F6E2442"/>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27714FBD"/>
    <w:multiLevelType w:val="hybridMultilevel"/>
    <w:tmpl w:val="8AA8D6D8"/>
    <w:lvl w:ilvl="0" w:tplc="6CB610D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62718E"/>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CCF36A8"/>
    <w:multiLevelType w:val="hybridMultilevel"/>
    <w:tmpl w:val="F000D552"/>
    <w:lvl w:ilvl="0" w:tplc="1E560E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31A00747"/>
    <w:multiLevelType w:val="hybridMultilevel"/>
    <w:tmpl w:val="81F63510"/>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15">
      <w:start w:val="1"/>
      <w:numFmt w:val="upperLetter"/>
      <w:lvlText w:val="%3."/>
      <w:lvlJc w:val="left"/>
      <w:pPr>
        <w:ind w:left="3011" w:hanging="360"/>
      </w:pPr>
      <w:rPr>
        <w:rFont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32BF7BE5"/>
    <w:multiLevelType w:val="hybridMultilevel"/>
    <w:tmpl w:val="C226A7E6"/>
    <w:lvl w:ilvl="0" w:tplc="A266A50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33BF6493"/>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8556D"/>
    <w:multiLevelType w:val="hybridMultilevel"/>
    <w:tmpl w:val="F404076E"/>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9F62EE"/>
    <w:multiLevelType w:val="hybridMultilevel"/>
    <w:tmpl w:val="5ED81048"/>
    <w:lvl w:ilvl="0" w:tplc="080A0013">
      <w:start w:val="1"/>
      <w:numFmt w:val="upperRoman"/>
      <w:lvlText w:val="%1."/>
      <w:lvlJc w:val="right"/>
      <w:pPr>
        <w:ind w:left="720" w:hanging="360"/>
      </w:pPr>
    </w:lvl>
    <w:lvl w:ilvl="1" w:tplc="1EF8854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077F13"/>
    <w:multiLevelType w:val="hybridMultilevel"/>
    <w:tmpl w:val="C0A282C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B940BF"/>
    <w:multiLevelType w:val="hybridMultilevel"/>
    <w:tmpl w:val="1EC03510"/>
    <w:lvl w:ilvl="0" w:tplc="8C7048C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62C32BA5"/>
    <w:multiLevelType w:val="hybridMultilevel"/>
    <w:tmpl w:val="C73E0DA0"/>
    <w:lvl w:ilvl="0" w:tplc="241496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6638461D"/>
    <w:multiLevelType w:val="hybridMultilevel"/>
    <w:tmpl w:val="535EBEE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B076DB"/>
    <w:multiLevelType w:val="hybridMultilevel"/>
    <w:tmpl w:val="05DC4AD0"/>
    <w:lvl w:ilvl="0" w:tplc="7FA8DED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750F201E"/>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6A13E2C"/>
    <w:multiLevelType w:val="hybridMultilevel"/>
    <w:tmpl w:val="F71C8E2C"/>
    <w:lvl w:ilvl="0" w:tplc="44C2383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96974C3"/>
    <w:multiLevelType w:val="hybridMultilevel"/>
    <w:tmpl w:val="6B003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9B51ED"/>
    <w:multiLevelType w:val="hybridMultilevel"/>
    <w:tmpl w:val="CEF2B896"/>
    <w:lvl w:ilvl="0" w:tplc="080A0001">
      <w:start w:val="1"/>
      <w:numFmt w:val="bullet"/>
      <w:lvlText w:val=""/>
      <w:lvlJc w:val="left"/>
      <w:pPr>
        <w:ind w:left="1571" w:hanging="360"/>
      </w:pPr>
      <w:rPr>
        <w:rFonts w:ascii="Symbol" w:hAnsi="Symbol" w:hint="default"/>
      </w:rPr>
    </w:lvl>
    <w:lvl w:ilvl="1" w:tplc="CFD2295E">
      <w:numFmt w:val="bullet"/>
      <w:lvlText w:val="•"/>
      <w:lvlJc w:val="left"/>
      <w:pPr>
        <w:ind w:left="2291" w:hanging="360"/>
      </w:pPr>
      <w:rPr>
        <w:rFonts w:ascii="Palatino Linotype" w:eastAsiaTheme="minorHAnsi" w:hAnsi="Palatino Linotype" w:cstheme="minorBidi"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2"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
  </w:num>
  <w:num w:numId="2">
    <w:abstractNumId w:val="5"/>
  </w:num>
  <w:num w:numId="3">
    <w:abstractNumId w:val="16"/>
  </w:num>
  <w:num w:numId="4">
    <w:abstractNumId w:val="1"/>
  </w:num>
  <w:num w:numId="5">
    <w:abstractNumId w:val="8"/>
  </w:num>
  <w:num w:numId="6">
    <w:abstractNumId w:val="27"/>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6"/>
  </w:num>
  <w:num w:numId="11">
    <w:abstractNumId w:val="30"/>
  </w:num>
  <w:num w:numId="12">
    <w:abstractNumId w:val="28"/>
  </w:num>
  <w:num w:numId="13">
    <w:abstractNumId w:val="10"/>
  </w:num>
  <w:num w:numId="14">
    <w:abstractNumId w:val="15"/>
  </w:num>
  <w:num w:numId="15">
    <w:abstractNumId w:val="21"/>
  </w:num>
  <w:num w:numId="16">
    <w:abstractNumId w:val="20"/>
  </w:num>
  <w:num w:numId="17">
    <w:abstractNumId w:val="2"/>
  </w:num>
  <w:num w:numId="18">
    <w:abstractNumId w:val="24"/>
  </w:num>
  <w:num w:numId="19">
    <w:abstractNumId w:val="26"/>
  </w:num>
  <w:num w:numId="20">
    <w:abstractNumId w:val="22"/>
  </w:num>
  <w:num w:numId="21">
    <w:abstractNumId w:val="7"/>
  </w:num>
  <w:num w:numId="22">
    <w:abstractNumId w:val="13"/>
  </w:num>
  <w:num w:numId="23">
    <w:abstractNumId w:val="25"/>
  </w:num>
  <w:num w:numId="24">
    <w:abstractNumId w:val="12"/>
  </w:num>
  <w:num w:numId="25">
    <w:abstractNumId w:val="23"/>
  </w:num>
  <w:num w:numId="26">
    <w:abstractNumId w:val="19"/>
  </w:num>
  <w:num w:numId="27">
    <w:abstractNumId w:val="31"/>
  </w:num>
  <w:num w:numId="28">
    <w:abstractNumId w:val="14"/>
  </w:num>
  <w:num w:numId="29">
    <w:abstractNumId w:val="9"/>
  </w:num>
  <w:num w:numId="30">
    <w:abstractNumId w:val="3"/>
  </w:num>
  <w:num w:numId="31">
    <w:abstractNumId w:val="4"/>
  </w:num>
  <w:num w:numId="32">
    <w:abstractNumId w:val="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0D"/>
    <w:rsid w:val="000C60A7"/>
    <w:rsid w:val="00161959"/>
    <w:rsid w:val="001A55ED"/>
    <w:rsid w:val="00254DAF"/>
    <w:rsid w:val="00262823"/>
    <w:rsid w:val="00281C51"/>
    <w:rsid w:val="003051C0"/>
    <w:rsid w:val="003A002D"/>
    <w:rsid w:val="00447236"/>
    <w:rsid w:val="0048680B"/>
    <w:rsid w:val="005053F3"/>
    <w:rsid w:val="00554D56"/>
    <w:rsid w:val="005553CF"/>
    <w:rsid w:val="005772F5"/>
    <w:rsid w:val="00590A49"/>
    <w:rsid w:val="005F49BB"/>
    <w:rsid w:val="00732EE8"/>
    <w:rsid w:val="00751A92"/>
    <w:rsid w:val="007D6649"/>
    <w:rsid w:val="007F0C0D"/>
    <w:rsid w:val="008A4996"/>
    <w:rsid w:val="008B3A75"/>
    <w:rsid w:val="00955DCC"/>
    <w:rsid w:val="00994052"/>
    <w:rsid w:val="009F1CD4"/>
    <w:rsid w:val="00A710B6"/>
    <w:rsid w:val="00AA4A15"/>
    <w:rsid w:val="00C27F75"/>
    <w:rsid w:val="00C60214"/>
    <w:rsid w:val="00C77373"/>
    <w:rsid w:val="00CC7774"/>
    <w:rsid w:val="00F05C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1D373-0D33-44DF-8E15-DE3E8DD8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C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0C0D"/>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7F0C0D"/>
    <w:rPr>
      <w:rFonts w:eastAsiaTheme="minorEastAsia"/>
      <w:sz w:val="24"/>
      <w:szCs w:val="24"/>
      <w:lang w:val="es-ES_tradnl" w:eastAsia="es-ES"/>
    </w:rPr>
  </w:style>
  <w:style w:type="paragraph" w:styleId="Piedepgina">
    <w:name w:val="footer"/>
    <w:basedOn w:val="Normal"/>
    <w:link w:val="PiedepginaCar"/>
    <w:uiPriority w:val="99"/>
    <w:unhideWhenUsed/>
    <w:rsid w:val="007F0C0D"/>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7F0C0D"/>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F0C0D"/>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F0C0D"/>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7F0C0D"/>
    <w:pPr>
      <w:spacing w:after="0" w:line="240" w:lineRule="auto"/>
    </w:pPr>
  </w:style>
  <w:style w:type="character" w:customStyle="1" w:styleId="SinespaciadoCar">
    <w:name w:val="Sin espaciado Car"/>
    <w:aliases w:val="Francesa Car,INAI Car"/>
    <w:link w:val="Sinespaciado"/>
    <w:uiPriority w:val="1"/>
    <w:locked/>
    <w:rsid w:val="007F0C0D"/>
  </w:style>
  <w:style w:type="character" w:styleId="Hipervnculo">
    <w:name w:val="Hyperlink"/>
    <w:aliases w:val="Hipervínculo1,Hipervínculo11,Hipervínculo12,Hipervínculo13,Hipervínculo14,Hipervínculo15"/>
    <w:basedOn w:val="Fuentedeprrafopredeter"/>
    <w:uiPriority w:val="99"/>
    <w:unhideWhenUsed/>
    <w:rsid w:val="007F0C0D"/>
    <w:rPr>
      <w:color w:val="0563C1" w:themeColor="hyperlink"/>
      <w:u w:val="single"/>
    </w:rPr>
  </w:style>
  <w:style w:type="paragraph" w:customStyle="1" w:styleId="INFOEM">
    <w:name w:val="INFOEM"/>
    <w:basedOn w:val="Normal"/>
    <w:qFormat/>
    <w:rsid w:val="007F0C0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7F0C0D"/>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F0C0D"/>
    <w:rPr>
      <w:vertAlign w:val="superscript"/>
    </w:rPr>
  </w:style>
  <w:style w:type="paragraph" w:customStyle="1" w:styleId="infoemcitas">
    <w:name w:val="infoem citas"/>
    <w:basedOn w:val="Normal"/>
    <w:qFormat/>
    <w:rsid w:val="007F0C0D"/>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7F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F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7F0C0D"/>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styleId="Hipervnculovisitado">
    <w:name w:val="FollowedHyperlink"/>
    <w:basedOn w:val="Fuentedeprrafopredeter"/>
    <w:uiPriority w:val="99"/>
    <w:semiHidden/>
    <w:unhideWhenUsed/>
    <w:rsid w:val="005772F5"/>
    <w:rPr>
      <w:color w:val="954F72" w:themeColor="followedHyperlink"/>
      <w:u w:val="single"/>
    </w:rPr>
  </w:style>
  <w:style w:type="character" w:styleId="Textoennegrita">
    <w:name w:val="Strong"/>
    <w:uiPriority w:val="22"/>
    <w:qFormat/>
    <w:rsid w:val="00590A49"/>
    <w:rPr>
      <w:b/>
      <w:bCs/>
    </w:rPr>
  </w:style>
  <w:style w:type="paragraph" w:styleId="Textonotapie">
    <w:name w:val="footnote text"/>
    <w:basedOn w:val="Normal"/>
    <w:link w:val="TextonotapieCar"/>
    <w:uiPriority w:val="99"/>
    <w:semiHidden/>
    <w:unhideWhenUsed/>
    <w:rsid w:val="00262823"/>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2628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ntTable" Target="fontTable.xml"/><Relationship Id="rId10" Type="http://schemas.openxmlformats.org/officeDocument/2006/relationships/image" Target="media/image3.tm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omawww.sat.gob.mx/factura/Paginas/solicita_requisitos.htm"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A59E-AB30-4BBB-B6C3-C787F2E1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49</Pages>
  <Words>9928</Words>
  <Characters>54608</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14</cp:revision>
  <dcterms:created xsi:type="dcterms:W3CDTF">2025-02-24T19:41:00Z</dcterms:created>
  <dcterms:modified xsi:type="dcterms:W3CDTF">2025-03-26T17:29:00Z</dcterms:modified>
</cp:coreProperties>
</file>