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1E9" w:rsidRPr="00F85D6B" w:rsidRDefault="00D205DF" w:rsidP="003804D9">
      <w:pPr>
        <w:tabs>
          <w:tab w:val="left" w:pos="0"/>
        </w:tabs>
        <w:spacing w:line="360"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R</w:t>
      </w:r>
      <w:bookmarkStart w:id="0" w:name="_GoBack"/>
      <w:bookmarkEnd w:id="0"/>
      <w:r w:rsidRPr="00F85D6B">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433251">
        <w:rPr>
          <w:rFonts w:ascii="Palatino Linotype" w:eastAsia="Palatino Linotype" w:hAnsi="Palatino Linotype" w:cs="Palatino Linotype"/>
          <w:b/>
          <w:color w:val="000000" w:themeColor="text1"/>
        </w:rPr>
        <w:t>de fecha</w:t>
      </w:r>
      <w:r w:rsidRPr="00F85D6B">
        <w:rPr>
          <w:rFonts w:ascii="Palatino Linotype" w:eastAsia="Palatino Linotype" w:hAnsi="Palatino Linotype" w:cs="Palatino Linotype"/>
          <w:b/>
          <w:color w:val="000000" w:themeColor="text1"/>
        </w:rPr>
        <w:t xml:space="preserve"> </w:t>
      </w:r>
      <w:r w:rsidR="001D0EA2" w:rsidRPr="00F85D6B">
        <w:rPr>
          <w:rFonts w:ascii="Palatino Linotype" w:eastAsia="Palatino Linotype" w:hAnsi="Palatino Linotype" w:cs="Palatino Linotype"/>
          <w:b/>
          <w:color w:val="000000" w:themeColor="text1"/>
        </w:rPr>
        <w:t>dieciséis</w:t>
      </w:r>
      <w:r w:rsidR="00433251">
        <w:rPr>
          <w:rFonts w:ascii="Palatino Linotype" w:eastAsia="Palatino Linotype" w:hAnsi="Palatino Linotype" w:cs="Palatino Linotype"/>
          <w:b/>
          <w:color w:val="000000" w:themeColor="text1"/>
        </w:rPr>
        <w:t xml:space="preserve"> (16)</w:t>
      </w:r>
      <w:r w:rsidR="003804D9"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de julio de dos mil veinticinco.</w:t>
      </w:r>
      <w:r w:rsidRPr="00F85D6B">
        <w:rPr>
          <w:rFonts w:ascii="Palatino Linotype" w:eastAsia="Palatino Linotype" w:hAnsi="Palatino Linotype" w:cs="Palatino Linotype"/>
          <w:color w:val="000000" w:themeColor="text1"/>
        </w:rPr>
        <w:t xml:space="preserve"> </w:t>
      </w:r>
    </w:p>
    <w:p w:rsidR="008F31E9" w:rsidRPr="00F85D6B" w:rsidRDefault="008F31E9" w:rsidP="003804D9">
      <w:pPr>
        <w:tabs>
          <w:tab w:val="left" w:pos="0"/>
        </w:tabs>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spacing w:line="360"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color w:val="000000" w:themeColor="text1"/>
        </w:rPr>
        <w:t>VISTO</w:t>
      </w:r>
      <w:r w:rsidRPr="00F85D6B">
        <w:rPr>
          <w:rFonts w:ascii="Palatino Linotype" w:eastAsia="Palatino Linotype" w:hAnsi="Palatino Linotype" w:cs="Palatino Linotype"/>
          <w:color w:val="000000" w:themeColor="text1"/>
        </w:rPr>
        <w:t xml:space="preserve"> el expediente electrónico formado con motivo del recurso de revisión </w:t>
      </w:r>
      <w:r w:rsidRPr="00F85D6B">
        <w:rPr>
          <w:rFonts w:ascii="Palatino Linotype" w:eastAsia="Palatino Linotype" w:hAnsi="Palatino Linotype" w:cs="Palatino Linotype"/>
          <w:b/>
          <w:color w:val="000000" w:themeColor="text1"/>
        </w:rPr>
        <w:t xml:space="preserve">02483/INFOEM/IP/RR/2025, </w:t>
      </w:r>
      <w:r w:rsidRPr="00F85D6B">
        <w:rPr>
          <w:rFonts w:ascii="Palatino Linotype" w:eastAsia="Palatino Linotype" w:hAnsi="Palatino Linotype" w:cs="Palatino Linotype"/>
          <w:color w:val="000000" w:themeColor="text1"/>
        </w:rPr>
        <w:t xml:space="preserve">promovido por </w:t>
      </w:r>
      <w:r w:rsidR="009B6025">
        <w:rPr>
          <w:rFonts w:ascii="Palatino Linotype" w:eastAsia="Palatino Linotype" w:hAnsi="Palatino Linotype" w:cs="Palatino Linotype"/>
          <w:b/>
          <w:color w:val="000000" w:themeColor="text1"/>
        </w:rPr>
        <w:t>XXXX</w:t>
      </w:r>
      <w:r w:rsidRPr="00F85D6B">
        <w:rPr>
          <w:rFonts w:ascii="Palatino Linotype" w:eastAsia="Palatino Linotype" w:hAnsi="Palatino Linotype" w:cs="Palatino Linotype"/>
          <w:color w:val="000000" w:themeColor="text1"/>
        </w:rPr>
        <w:t xml:space="preserve">, </w:t>
      </w:r>
      <w:r w:rsidR="003804D9" w:rsidRPr="00F85D6B">
        <w:rPr>
          <w:rFonts w:ascii="Palatino Linotype" w:eastAsia="Palatino Linotype" w:hAnsi="Palatino Linotype" w:cs="Palatino Linotype"/>
          <w:color w:val="000000" w:themeColor="text1"/>
        </w:rPr>
        <w:t xml:space="preserve">a </w:t>
      </w:r>
      <w:r w:rsidRPr="00F85D6B">
        <w:rPr>
          <w:rFonts w:ascii="Palatino Linotype" w:eastAsia="Palatino Linotype" w:hAnsi="Palatino Linotype" w:cs="Palatino Linotype"/>
          <w:color w:val="000000" w:themeColor="text1"/>
        </w:rPr>
        <w:t xml:space="preserve">quien en lo sucesivo se le identificara como </w:t>
      </w:r>
      <w:r w:rsidR="003804D9" w:rsidRPr="00F85D6B">
        <w:rPr>
          <w:rFonts w:ascii="Palatino Linotype" w:eastAsia="Palatino Linotype" w:hAnsi="Palatino Linotype" w:cs="Palatino Linotype"/>
          <w:b/>
          <w:color w:val="000000" w:themeColor="text1"/>
        </w:rPr>
        <w:t xml:space="preserve">EL </w:t>
      </w:r>
      <w:r w:rsidRPr="00F85D6B">
        <w:rPr>
          <w:rFonts w:ascii="Palatino Linotype" w:eastAsia="Palatino Linotype" w:hAnsi="Palatino Linotype" w:cs="Palatino Linotype"/>
          <w:b/>
          <w:color w:val="000000" w:themeColor="text1"/>
        </w:rPr>
        <w:t>RECURRENTE</w:t>
      </w:r>
      <w:r w:rsidRPr="00F85D6B">
        <w:rPr>
          <w:rFonts w:ascii="Palatino Linotype" w:eastAsia="Palatino Linotype" w:hAnsi="Palatino Linotype" w:cs="Palatino Linotype"/>
          <w:color w:val="000000" w:themeColor="text1"/>
        </w:rPr>
        <w:t xml:space="preserve">, en contra de la respuesta del </w:t>
      </w:r>
      <w:r w:rsidRPr="00F85D6B">
        <w:rPr>
          <w:rFonts w:ascii="Palatino Linotype" w:eastAsia="Palatino Linotype" w:hAnsi="Palatino Linotype" w:cs="Palatino Linotype"/>
          <w:b/>
          <w:color w:val="000000" w:themeColor="text1"/>
        </w:rPr>
        <w:t xml:space="preserve">Ayuntamiento de Naucalpan de Juárez, </w:t>
      </w:r>
      <w:r w:rsidRPr="00F85D6B">
        <w:rPr>
          <w:rFonts w:ascii="Palatino Linotype" w:eastAsia="Palatino Linotype" w:hAnsi="Palatino Linotype" w:cs="Palatino Linotype"/>
          <w:color w:val="000000" w:themeColor="text1"/>
        </w:rPr>
        <w:t>en lo sucesivo el</w:t>
      </w:r>
      <w:r w:rsidRPr="00F85D6B">
        <w:rPr>
          <w:rFonts w:ascii="Palatino Linotype" w:eastAsia="Palatino Linotype" w:hAnsi="Palatino Linotype" w:cs="Palatino Linotype"/>
          <w:b/>
          <w:color w:val="000000" w:themeColor="text1"/>
        </w:rPr>
        <w:t xml:space="preserve"> SUJETO OBLIGADO, </w:t>
      </w:r>
      <w:r w:rsidRPr="00F85D6B">
        <w:rPr>
          <w:rFonts w:ascii="Palatino Linotype" w:eastAsia="Palatino Linotype" w:hAnsi="Palatino Linotype" w:cs="Palatino Linotype"/>
          <w:color w:val="000000" w:themeColor="text1"/>
        </w:rPr>
        <w:t xml:space="preserve">se procede a dictar la presente resolución, con base en los siguientes: </w:t>
      </w:r>
    </w:p>
    <w:p w:rsidR="008F31E9" w:rsidRPr="00F85D6B" w:rsidRDefault="008F31E9" w:rsidP="003804D9">
      <w:pP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n9l9i3bcf24n" w:colFirst="0" w:colLast="0"/>
      <w:bookmarkEnd w:id="1"/>
      <w:r w:rsidRPr="00F85D6B">
        <w:rPr>
          <w:rFonts w:ascii="Palatino Linotype" w:eastAsia="Palatino Linotype" w:hAnsi="Palatino Linotype" w:cs="Palatino Linotype"/>
          <w:b/>
          <w:color w:val="000000" w:themeColor="text1"/>
        </w:rPr>
        <w:t>A</w:t>
      </w:r>
      <w:r w:rsidR="003804D9"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N</w:t>
      </w:r>
      <w:r w:rsidR="003804D9"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T</w:t>
      </w:r>
      <w:r w:rsidR="003804D9"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E</w:t>
      </w:r>
      <w:r w:rsidR="003804D9"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C</w:t>
      </w:r>
      <w:r w:rsidR="003804D9"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E</w:t>
      </w:r>
      <w:r w:rsidR="003804D9"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D</w:t>
      </w:r>
      <w:r w:rsidR="003804D9"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E</w:t>
      </w:r>
      <w:r w:rsidR="003804D9"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N</w:t>
      </w:r>
      <w:r w:rsidR="003804D9"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T</w:t>
      </w:r>
      <w:r w:rsidR="003804D9"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E</w:t>
      </w:r>
      <w:r w:rsidR="003804D9"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S</w:t>
      </w:r>
    </w:p>
    <w:p w:rsidR="008F31E9" w:rsidRPr="00F85D6B" w:rsidRDefault="008F31E9" w:rsidP="003804D9">
      <w:pPr>
        <w:keepNext/>
        <w:keepLines/>
        <w:tabs>
          <w:tab w:val="left" w:pos="0"/>
        </w:tabs>
        <w:spacing w:line="360" w:lineRule="auto"/>
        <w:jc w:val="center"/>
        <w:rPr>
          <w:rFonts w:ascii="Palatino Linotype" w:eastAsia="Palatino Linotype" w:hAnsi="Palatino Linotype" w:cs="Palatino Linotype"/>
          <w:b/>
          <w:color w:val="000000" w:themeColor="text1"/>
        </w:rPr>
      </w:pPr>
    </w:p>
    <w:p w:rsidR="008F31E9" w:rsidRPr="00F85D6B" w:rsidRDefault="00D205DF" w:rsidP="003804D9">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El </w:t>
      </w:r>
      <w:r w:rsidRPr="00F85D6B">
        <w:rPr>
          <w:rFonts w:ascii="Palatino Linotype" w:eastAsia="Palatino Linotype" w:hAnsi="Palatino Linotype" w:cs="Palatino Linotype"/>
          <w:b/>
          <w:color w:val="000000" w:themeColor="text1"/>
        </w:rPr>
        <w:t>veintinueve de enero de dos mil veinticinco</w:t>
      </w:r>
      <w:r w:rsidRPr="00F85D6B">
        <w:rPr>
          <w:rFonts w:ascii="Palatino Linotype" w:eastAsia="Palatino Linotype" w:hAnsi="Palatino Linotype" w:cs="Palatino Linotype"/>
          <w:color w:val="000000" w:themeColor="text1"/>
        </w:rPr>
        <w:t>, el</w:t>
      </w:r>
      <w:r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color w:val="000000" w:themeColor="text1"/>
        </w:rPr>
        <w:t>solicitante</w:t>
      </w:r>
      <w:r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color w:val="000000" w:themeColor="text1"/>
        </w:rPr>
        <w:t>presentó</w:t>
      </w:r>
      <w:r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color w:val="000000" w:themeColor="text1"/>
        </w:rPr>
        <w:t xml:space="preserve">ante el </w:t>
      </w:r>
      <w:r w:rsidRPr="00F85D6B">
        <w:rPr>
          <w:rFonts w:ascii="Palatino Linotype" w:eastAsia="Palatino Linotype" w:hAnsi="Palatino Linotype" w:cs="Palatino Linotype"/>
          <w:b/>
          <w:color w:val="000000" w:themeColor="text1"/>
        </w:rPr>
        <w:t>SUJETO OBLIGADO,</w:t>
      </w:r>
      <w:r w:rsidRPr="00F85D6B">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F85D6B">
        <w:rPr>
          <w:rFonts w:ascii="Palatino Linotype" w:eastAsia="Palatino Linotype" w:hAnsi="Palatino Linotype" w:cs="Palatino Linotype"/>
          <w:b/>
          <w:color w:val="000000" w:themeColor="text1"/>
        </w:rPr>
        <w:t> 00141/NAUCALPA/IP/2025</w:t>
      </w:r>
      <w:r w:rsidRPr="00F85D6B">
        <w:rPr>
          <w:rFonts w:ascii="Palatino Linotype" w:eastAsia="Palatino Linotype" w:hAnsi="Palatino Linotype" w:cs="Palatino Linotype"/>
          <w:color w:val="000000" w:themeColor="text1"/>
        </w:rPr>
        <w:t xml:space="preserve">, </w:t>
      </w:r>
      <w:r w:rsidR="00433251">
        <w:rPr>
          <w:rFonts w:ascii="Palatino Linotype" w:eastAsia="Palatino Linotype" w:hAnsi="Palatino Linotype" w:cs="Palatino Linotype"/>
          <w:color w:val="000000" w:themeColor="text1"/>
        </w:rPr>
        <w:t>en la que</w:t>
      </w:r>
      <w:r w:rsidRPr="00F85D6B">
        <w:rPr>
          <w:rFonts w:ascii="Palatino Linotype" w:eastAsia="Palatino Linotype" w:hAnsi="Palatino Linotype" w:cs="Palatino Linotype"/>
          <w:color w:val="000000" w:themeColor="text1"/>
        </w:rPr>
        <w:t xml:space="preserve"> se solicitó:</w:t>
      </w:r>
    </w:p>
    <w:p w:rsidR="008F31E9" w:rsidRPr="00F85D6B" w:rsidRDefault="008F31E9" w:rsidP="003804D9">
      <w:pPr>
        <w:tabs>
          <w:tab w:val="left" w:pos="0"/>
        </w:tabs>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tabs>
          <w:tab w:val="left" w:pos="0"/>
        </w:tabs>
        <w:spacing w:line="360" w:lineRule="auto"/>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“Buenas tardes con fundamento en el articulo 6 de la Constitución Política de México, y con el fin de conocer el cumplimiento de los 125 Municipios del Estado de México, a la normatividad y las obligaciones establecidas, así como a la protección de datos personales, esto establecido en la Ley Federal de Transparencia y Acceso a la Información Pública, Ley General de Transparencia y Acceso a la Información Pública y Ley de Transparencia y Acceso a la Información Pública del Estado de México y Municipios, solicito lo siguiente del Ayuntamiento de Naucalpan de Juárez:</w:t>
      </w:r>
      <w:r w:rsidRPr="00F85D6B">
        <w:rPr>
          <w:rFonts w:ascii="Palatino Linotype" w:eastAsia="Palatino Linotype" w:hAnsi="Palatino Linotype" w:cs="Palatino Linotype"/>
          <w:b/>
          <w:i/>
          <w:color w:val="000000" w:themeColor="text1"/>
        </w:rPr>
        <w:t xml:space="preserve"> 1.- Organigrama General. 2.- Remuneraciones de mandos medios y superiores. 3.- Tramites y Servicios de todas las áreas. 4.- Presupuesto asignado al Sujeto Obligado </w:t>
      </w:r>
      <w:r w:rsidRPr="00F85D6B">
        <w:rPr>
          <w:rFonts w:ascii="Palatino Linotype" w:eastAsia="Palatino Linotype" w:hAnsi="Palatino Linotype" w:cs="Palatino Linotype"/>
          <w:b/>
          <w:i/>
          <w:color w:val="000000" w:themeColor="text1"/>
        </w:rPr>
        <w:lastRenderedPageBreak/>
        <w:t>5.- Aviso de Privacidad (Integran y Simplificados) vigentes. 6.- Documentos de Seguridad de todas las áreas. 7.- Obligaciones con las que cumple el Sujeto obligado (Simples y Especificas). 8.- Resultados de los últimos 3 años de la Verificaciones Oficiosas que ha realizado el (INFOEM). 9.- Acta de Instalación del Comité de Transparencia. 10.- Acta de Instalación del Sistema de Anticorrupción. 11.- Cuantas Solicitudes de Acceso a la Información han atendido en los últimos 3 años. 12.- Cuantas Solicitudes de Datos Personales han atendido en los últimos 3 años. 13.- Cuantos Recursos de Revisión han atendido en los últimos 3 años. 14.- Cuantos Incumplimientos han atendido en los últimos 3 años. 15.- Que acciones han generado en el tema de Transparencias Proactiva en los últimos 3 años.</w:t>
      </w:r>
      <w:r w:rsidRPr="00F85D6B">
        <w:rPr>
          <w:rFonts w:ascii="Palatino Linotype" w:eastAsia="Palatino Linotype" w:hAnsi="Palatino Linotype" w:cs="Palatino Linotype"/>
          <w:i/>
          <w:color w:val="000000" w:themeColor="text1"/>
        </w:rPr>
        <w:t xml:space="preserve"> Toda la información solicitada es publica y es generada por el Sujeto obligado, así mismos le informo que el incumplimiento a lo solicitado puede recaer en una medida de apremio esto con fundamento en: Capítulo II De las Responsabilidades y Sanciones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III.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w:t>
      </w:r>
    </w:p>
    <w:p w:rsidR="008F31E9" w:rsidRPr="00F85D6B" w:rsidRDefault="00D205DF" w:rsidP="003804D9">
      <w:pPr>
        <w:tabs>
          <w:tab w:val="left" w:pos="0"/>
        </w:tabs>
        <w:spacing w:line="360" w:lineRule="auto"/>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 (Sic)</w:t>
      </w:r>
    </w:p>
    <w:p w:rsidR="008F31E9" w:rsidRPr="00F85D6B" w:rsidRDefault="008F31E9" w:rsidP="003804D9">
      <w:pPr>
        <w:tabs>
          <w:tab w:val="left" w:pos="0"/>
        </w:tabs>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color w:val="000000" w:themeColor="text1"/>
        </w:rPr>
        <w:t>Se hace constar que se señaló como modalidad de entrega de la información a través de SAIMEX.</w:t>
      </w:r>
    </w:p>
    <w:p w:rsidR="008F31E9" w:rsidRPr="00F85D6B" w:rsidRDefault="00D205DF" w:rsidP="003804D9">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lastRenderedPageBreak/>
        <w:t xml:space="preserve">El </w:t>
      </w:r>
      <w:r w:rsidRPr="00F85D6B">
        <w:rPr>
          <w:rFonts w:ascii="Palatino Linotype" w:eastAsia="Palatino Linotype" w:hAnsi="Palatino Linotype" w:cs="Palatino Linotype"/>
          <w:b/>
          <w:color w:val="000000" w:themeColor="text1"/>
        </w:rPr>
        <w:t>treinta de enero de dos mil veinticinco,</w:t>
      </w:r>
      <w:r w:rsidRPr="00F85D6B">
        <w:rPr>
          <w:rFonts w:ascii="Palatino Linotype" w:eastAsia="Palatino Linotype" w:hAnsi="Palatino Linotype" w:cs="Palatino Linotype"/>
          <w:color w:val="000000" w:themeColor="text1"/>
        </w:rPr>
        <w:t xml:space="preserve"> se realizaron los requerimientos a los servidores públicos habilitados. </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p w:rsidR="008F31E9" w:rsidRPr="00F85D6B" w:rsidRDefault="00D205DF" w:rsidP="003804D9">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El diecinueve de febrero de dos mil veinticinco, se emitió una prorroga en el siguiente sentido:</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tbl>
      <w:tblPr>
        <w:tblStyle w:val="a"/>
        <w:tblW w:w="7595" w:type="dxa"/>
        <w:jc w:val="center"/>
        <w:tblInd w:w="0" w:type="dxa"/>
        <w:tblLayout w:type="fixed"/>
        <w:tblLook w:val="0400" w:firstRow="0" w:lastRow="0" w:firstColumn="0" w:lastColumn="0" w:noHBand="0" w:noVBand="1"/>
      </w:tblPr>
      <w:tblGrid>
        <w:gridCol w:w="7595"/>
      </w:tblGrid>
      <w:tr w:rsidR="003804D9" w:rsidRPr="00F85D6B">
        <w:trPr>
          <w:trHeight w:val="321"/>
          <w:jc w:val="center"/>
        </w:trPr>
        <w:tc>
          <w:tcPr>
            <w:tcW w:w="7595" w:type="dxa"/>
            <w:vAlign w:val="center"/>
          </w:tcPr>
          <w:p w:rsidR="008F31E9" w:rsidRPr="00F85D6B" w:rsidRDefault="00D205DF" w:rsidP="003804D9">
            <w:pPr>
              <w:jc w:val="right"/>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Naucalpan de Juárez, México a 19 de Febrero de 2025</w:t>
            </w:r>
          </w:p>
        </w:tc>
      </w:tr>
      <w:tr w:rsidR="003804D9" w:rsidRPr="00F85D6B">
        <w:trPr>
          <w:trHeight w:val="321"/>
          <w:jc w:val="center"/>
        </w:trPr>
        <w:tc>
          <w:tcPr>
            <w:tcW w:w="7595" w:type="dxa"/>
            <w:vAlign w:val="center"/>
          </w:tcPr>
          <w:p w:rsidR="008F31E9" w:rsidRPr="00F85D6B" w:rsidRDefault="00D205DF" w:rsidP="003804D9">
            <w:pPr>
              <w:jc w:val="right"/>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Nombre del solicitante: C. Solicitante</w:t>
            </w:r>
          </w:p>
        </w:tc>
      </w:tr>
      <w:tr w:rsidR="003804D9" w:rsidRPr="00F85D6B">
        <w:trPr>
          <w:trHeight w:val="321"/>
          <w:jc w:val="center"/>
        </w:trPr>
        <w:tc>
          <w:tcPr>
            <w:tcW w:w="7595" w:type="dxa"/>
            <w:vAlign w:val="center"/>
          </w:tcPr>
          <w:p w:rsidR="008F31E9" w:rsidRPr="00F85D6B" w:rsidRDefault="00D205DF" w:rsidP="003804D9">
            <w:pPr>
              <w:jc w:val="right"/>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Folio de la solicitud: 00141/NAUCALPA/IP/2025</w:t>
            </w:r>
          </w:p>
        </w:tc>
      </w:tr>
      <w:tr w:rsidR="003804D9" w:rsidRPr="00F85D6B">
        <w:trPr>
          <w:trHeight w:val="481"/>
          <w:jc w:val="center"/>
        </w:trPr>
        <w:tc>
          <w:tcPr>
            <w:tcW w:w="7595" w:type="dxa"/>
            <w:vAlign w:val="center"/>
          </w:tcPr>
          <w:p w:rsidR="008F31E9" w:rsidRPr="00F85D6B" w:rsidRDefault="008F31E9" w:rsidP="003804D9">
            <w:pPr>
              <w:jc w:val="right"/>
              <w:rPr>
                <w:rFonts w:ascii="Palatino Linotype" w:eastAsia="Palatino Linotype" w:hAnsi="Palatino Linotype" w:cs="Palatino Linotype"/>
                <w:i/>
                <w:color w:val="000000" w:themeColor="text1"/>
              </w:rPr>
            </w:pPr>
          </w:p>
        </w:tc>
      </w:tr>
      <w:tr w:rsidR="003804D9" w:rsidRPr="00F85D6B">
        <w:trPr>
          <w:trHeight w:val="160"/>
          <w:jc w:val="center"/>
        </w:trPr>
        <w:tc>
          <w:tcPr>
            <w:tcW w:w="7595" w:type="dxa"/>
            <w:vAlign w:val="center"/>
          </w:tcPr>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3804D9" w:rsidRPr="00F85D6B">
        <w:trPr>
          <w:trHeight w:val="401"/>
          <w:jc w:val="center"/>
        </w:trPr>
        <w:tc>
          <w:tcPr>
            <w:tcW w:w="7595" w:type="dxa"/>
            <w:vAlign w:val="center"/>
          </w:tcPr>
          <w:p w:rsidR="008F31E9" w:rsidRPr="00F85D6B" w:rsidRDefault="008F31E9" w:rsidP="003804D9">
            <w:pPr>
              <w:jc w:val="both"/>
              <w:rPr>
                <w:rFonts w:ascii="Palatino Linotype" w:eastAsia="Palatino Linotype" w:hAnsi="Palatino Linotype" w:cs="Palatino Linotype"/>
                <w:i/>
                <w:color w:val="000000" w:themeColor="text1"/>
              </w:rPr>
            </w:pPr>
          </w:p>
        </w:tc>
      </w:tr>
      <w:tr w:rsidR="003804D9" w:rsidRPr="00F85D6B">
        <w:trPr>
          <w:trHeight w:val="160"/>
          <w:jc w:val="center"/>
        </w:trPr>
        <w:tc>
          <w:tcPr>
            <w:tcW w:w="7595" w:type="dxa"/>
            <w:vAlign w:val="center"/>
          </w:tcPr>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Nombre del solicitante: Naucalpan 19/Febrero/2025 Folio de la solicitud: 00141/NAUCALPA/IP/2025 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Acuerdo de Comité número: CT/NAU/ACTA-ORD-003/2025/61, aprobado en la Sesión Tres del Comité de Transparencia Derivado de la complejidad que implica la búsqueda de la información a la que desea acceder la persona solicitante, se amplía el plazo por 7 días hábiles para atender la solicitud de acceso a la información pública.</w:t>
            </w:r>
          </w:p>
        </w:tc>
      </w:tr>
      <w:tr w:rsidR="003804D9" w:rsidRPr="00F85D6B">
        <w:trPr>
          <w:trHeight w:val="401"/>
          <w:jc w:val="center"/>
        </w:trPr>
        <w:tc>
          <w:tcPr>
            <w:tcW w:w="7595" w:type="dxa"/>
            <w:vAlign w:val="center"/>
          </w:tcPr>
          <w:p w:rsidR="008F31E9" w:rsidRPr="00F85D6B" w:rsidRDefault="008F31E9" w:rsidP="003804D9">
            <w:pPr>
              <w:rPr>
                <w:rFonts w:ascii="Palatino Linotype" w:eastAsia="Palatino Linotype" w:hAnsi="Palatino Linotype" w:cs="Palatino Linotype"/>
                <w:i/>
                <w:color w:val="000000" w:themeColor="text1"/>
              </w:rPr>
            </w:pPr>
          </w:p>
        </w:tc>
      </w:tr>
      <w:tr w:rsidR="003804D9" w:rsidRPr="00F85D6B">
        <w:trPr>
          <w:trHeight w:val="160"/>
          <w:jc w:val="center"/>
        </w:trPr>
        <w:tc>
          <w:tcPr>
            <w:tcW w:w="7595" w:type="dxa"/>
            <w:vAlign w:val="center"/>
          </w:tcPr>
          <w:p w:rsidR="008F31E9" w:rsidRPr="00F85D6B" w:rsidRDefault="008F31E9" w:rsidP="003804D9">
            <w:pPr>
              <w:jc w:val="center"/>
              <w:rPr>
                <w:rFonts w:ascii="Palatino Linotype" w:eastAsia="Palatino Linotype" w:hAnsi="Palatino Linotype" w:cs="Palatino Linotype"/>
                <w:i/>
                <w:color w:val="000000" w:themeColor="text1"/>
              </w:rPr>
            </w:pPr>
          </w:p>
        </w:tc>
      </w:tr>
      <w:tr w:rsidR="003804D9" w:rsidRPr="00F85D6B">
        <w:trPr>
          <w:trHeight w:val="160"/>
          <w:jc w:val="center"/>
        </w:trPr>
        <w:tc>
          <w:tcPr>
            <w:tcW w:w="7595" w:type="dxa"/>
            <w:vAlign w:val="center"/>
          </w:tcPr>
          <w:p w:rsidR="008F31E9" w:rsidRPr="00F85D6B" w:rsidRDefault="00D205DF" w:rsidP="003804D9">
            <w:pPr>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Lic. Daniel Taboada Elías</w:t>
            </w:r>
          </w:p>
        </w:tc>
      </w:tr>
      <w:tr w:rsidR="008F31E9" w:rsidRPr="00F85D6B">
        <w:trPr>
          <w:trHeight w:val="160"/>
          <w:jc w:val="center"/>
        </w:trPr>
        <w:tc>
          <w:tcPr>
            <w:tcW w:w="7595" w:type="dxa"/>
            <w:vAlign w:val="center"/>
          </w:tcPr>
          <w:p w:rsidR="008F31E9" w:rsidRDefault="00D205DF" w:rsidP="003804D9">
            <w:pPr>
              <w:rPr>
                <w:rFonts w:ascii="Palatino Linotype" w:eastAsia="Palatino Linotype" w:hAnsi="Palatino Linotype" w:cs="Palatino Linotype"/>
                <w:b/>
                <w:i/>
                <w:color w:val="000000" w:themeColor="text1"/>
              </w:rPr>
            </w:pPr>
            <w:r w:rsidRPr="00F85D6B">
              <w:rPr>
                <w:rFonts w:ascii="Palatino Linotype" w:eastAsia="Palatino Linotype" w:hAnsi="Palatino Linotype" w:cs="Palatino Linotype"/>
                <w:b/>
                <w:i/>
                <w:color w:val="000000" w:themeColor="text1"/>
              </w:rPr>
              <w:t>Responsable de la Unidad de Transparencia</w:t>
            </w:r>
          </w:p>
          <w:p w:rsidR="009B6025" w:rsidRDefault="009B6025" w:rsidP="003804D9">
            <w:pPr>
              <w:rPr>
                <w:rFonts w:ascii="Palatino Linotype" w:eastAsia="Palatino Linotype" w:hAnsi="Palatino Linotype" w:cs="Palatino Linotype"/>
                <w:b/>
                <w:i/>
                <w:color w:val="000000" w:themeColor="text1"/>
              </w:rPr>
            </w:pPr>
          </w:p>
          <w:p w:rsidR="009B6025" w:rsidRPr="00F85D6B" w:rsidRDefault="009B6025" w:rsidP="003804D9">
            <w:pPr>
              <w:rPr>
                <w:rFonts w:ascii="Palatino Linotype" w:eastAsia="Palatino Linotype" w:hAnsi="Palatino Linotype" w:cs="Palatino Linotype"/>
                <w:i/>
                <w:color w:val="000000" w:themeColor="text1"/>
              </w:rPr>
            </w:pPr>
          </w:p>
        </w:tc>
      </w:tr>
    </w:tbl>
    <w:p w:rsidR="008F31E9" w:rsidRPr="00F85D6B" w:rsidRDefault="00D205DF" w:rsidP="003804D9">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El </w:t>
      </w:r>
      <w:r w:rsidRPr="00F85D6B">
        <w:rPr>
          <w:rFonts w:ascii="Palatino Linotype" w:eastAsia="Palatino Linotype" w:hAnsi="Palatino Linotype" w:cs="Palatino Linotype"/>
          <w:b/>
          <w:color w:val="000000" w:themeColor="text1"/>
        </w:rPr>
        <w:t>cuatro de marzo de dos mil veinticinco</w:t>
      </w:r>
      <w:r w:rsidRPr="00F85D6B">
        <w:rPr>
          <w:rFonts w:ascii="Palatino Linotype" w:eastAsia="Palatino Linotype" w:hAnsi="Palatino Linotype" w:cs="Palatino Linotype"/>
          <w:color w:val="000000" w:themeColor="text1"/>
        </w:rPr>
        <w:t>, el Sujeto Obligado dio respuesta a la solicitud de información en el siguiente sentido:</w:t>
      </w:r>
    </w:p>
    <w:tbl>
      <w:tblPr>
        <w:tblStyle w:val="a0"/>
        <w:tblW w:w="6756" w:type="dxa"/>
        <w:jc w:val="center"/>
        <w:tblInd w:w="0" w:type="dxa"/>
        <w:tblLayout w:type="fixed"/>
        <w:tblLook w:val="0400" w:firstRow="0" w:lastRow="0" w:firstColumn="0" w:lastColumn="0" w:noHBand="0" w:noVBand="1"/>
      </w:tblPr>
      <w:tblGrid>
        <w:gridCol w:w="6756"/>
      </w:tblGrid>
      <w:tr w:rsidR="003804D9" w:rsidRPr="00F85D6B">
        <w:trPr>
          <w:trHeight w:val="591"/>
          <w:jc w:val="center"/>
        </w:trPr>
        <w:tc>
          <w:tcPr>
            <w:tcW w:w="6756" w:type="dxa"/>
            <w:vAlign w:val="center"/>
          </w:tcPr>
          <w:p w:rsidR="008F31E9" w:rsidRPr="00F85D6B" w:rsidRDefault="00D205DF" w:rsidP="003804D9">
            <w:pPr>
              <w:jc w:val="right"/>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lastRenderedPageBreak/>
              <w:br/>
              <w:t>Naucalpan de Juárez, México a 04 de Marzo de 2025</w:t>
            </w:r>
          </w:p>
        </w:tc>
      </w:tr>
      <w:tr w:rsidR="003804D9" w:rsidRPr="00F85D6B">
        <w:trPr>
          <w:trHeight w:val="591"/>
          <w:jc w:val="center"/>
        </w:trPr>
        <w:tc>
          <w:tcPr>
            <w:tcW w:w="6756" w:type="dxa"/>
            <w:vAlign w:val="center"/>
          </w:tcPr>
          <w:p w:rsidR="008F31E9" w:rsidRPr="00F85D6B" w:rsidRDefault="00D205DF" w:rsidP="003804D9">
            <w:pPr>
              <w:jc w:val="right"/>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Nombre del solicitante: C. Solicitante</w:t>
            </w:r>
          </w:p>
        </w:tc>
      </w:tr>
      <w:tr w:rsidR="003804D9" w:rsidRPr="00F85D6B">
        <w:trPr>
          <w:trHeight w:val="591"/>
          <w:jc w:val="center"/>
        </w:trPr>
        <w:tc>
          <w:tcPr>
            <w:tcW w:w="6756" w:type="dxa"/>
            <w:vAlign w:val="center"/>
          </w:tcPr>
          <w:p w:rsidR="008F31E9" w:rsidRPr="00F85D6B" w:rsidRDefault="00D205DF" w:rsidP="003804D9">
            <w:pPr>
              <w:jc w:val="right"/>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Folio de la solicitud: 00141/NAUCALPA/IP/2025</w:t>
            </w:r>
          </w:p>
        </w:tc>
      </w:tr>
      <w:tr w:rsidR="003804D9" w:rsidRPr="00F85D6B">
        <w:trPr>
          <w:trHeight w:val="295"/>
          <w:jc w:val="center"/>
        </w:trPr>
        <w:tc>
          <w:tcPr>
            <w:tcW w:w="6756" w:type="dxa"/>
            <w:vAlign w:val="center"/>
          </w:tcPr>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F31E9" w:rsidRPr="00F85D6B" w:rsidRDefault="008F31E9" w:rsidP="003804D9">
            <w:pPr>
              <w:jc w:val="both"/>
              <w:rPr>
                <w:rFonts w:ascii="Palatino Linotype" w:eastAsia="Palatino Linotype" w:hAnsi="Palatino Linotype" w:cs="Palatino Linotype"/>
                <w:i/>
                <w:color w:val="000000" w:themeColor="text1"/>
              </w:rPr>
            </w:pPr>
          </w:p>
        </w:tc>
      </w:tr>
      <w:tr w:rsidR="003804D9" w:rsidRPr="00F85D6B">
        <w:trPr>
          <w:trHeight w:val="295"/>
          <w:jc w:val="center"/>
        </w:trPr>
        <w:tc>
          <w:tcPr>
            <w:tcW w:w="6756" w:type="dxa"/>
            <w:vAlign w:val="center"/>
          </w:tcPr>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En atención a la solicitud de acceso a información que nos ocupa, se adjunta a la presente las respuestas emitidas por la Dirección de Administración, Tesorería Municipal, Coordinación de la Unidad de Transparencia, Órgano Interno de Control Municipal y Coordinación de Mejora Regulatoria.</w:t>
            </w:r>
          </w:p>
        </w:tc>
      </w:tr>
      <w:tr w:rsidR="003804D9" w:rsidRPr="00F85D6B">
        <w:trPr>
          <w:trHeight w:val="295"/>
          <w:jc w:val="center"/>
        </w:trPr>
        <w:tc>
          <w:tcPr>
            <w:tcW w:w="6756" w:type="dxa"/>
            <w:vAlign w:val="center"/>
          </w:tcPr>
          <w:p w:rsidR="008F31E9" w:rsidRPr="00F85D6B" w:rsidRDefault="008F31E9" w:rsidP="003804D9">
            <w:pPr>
              <w:rPr>
                <w:rFonts w:ascii="Palatino Linotype" w:eastAsia="Palatino Linotype" w:hAnsi="Palatino Linotype" w:cs="Palatino Linotype"/>
                <w:i/>
                <w:color w:val="000000" w:themeColor="text1"/>
              </w:rPr>
            </w:pPr>
          </w:p>
        </w:tc>
      </w:tr>
      <w:tr w:rsidR="003804D9" w:rsidRPr="00F85D6B">
        <w:trPr>
          <w:trHeight w:val="295"/>
          <w:jc w:val="center"/>
        </w:trPr>
        <w:tc>
          <w:tcPr>
            <w:tcW w:w="6756" w:type="dxa"/>
            <w:vAlign w:val="center"/>
          </w:tcPr>
          <w:p w:rsidR="008F31E9" w:rsidRPr="00F85D6B" w:rsidRDefault="00D205DF" w:rsidP="003804D9">
            <w:pPr>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ATENTAMENTE</w:t>
            </w:r>
          </w:p>
        </w:tc>
      </w:tr>
      <w:tr w:rsidR="003804D9" w:rsidRPr="00F85D6B">
        <w:trPr>
          <w:trHeight w:val="443"/>
          <w:jc w:val="center"/>
        </w:trPr>
        <w:tc>
          <w:tcPr>
            <w:tcW w:w="6756" w:type="dxa"/>
            <w:vAlign w:val="center"/>
          </w:tcPr>
          <w:p w:rsidR="008F31E9" w:rsidRPr="00F85D6B" w:rsidRDefault="008F31E9" w:rsidP="003804D9">
            <w:pPr>
              <w:rPr>
                <w:rFonts w:ascii="Palatino Linotype" w:eastAsia="Palatino Linotype" w:hAnsi="Palatino Linotype" w:cs="Palatino Linotype"/>
                <w:i/>
                <w:color w:val="000000" w:themeColor="text1"/>
              </w:rPr>
            </w:pPr>
          </w:p>
        </w:tc>
      </w:tr>
      <w:tr w:rsidR="008F31E9" w:rsidRPr="00F85D6B">
        <w:trPr>
          <w:trHeight w:val="295"/>
          <w:jc w:val="center"/>
        </w:trPr>
        <w:tc>
          <w:tcPr>
            <w:tcW w:w="6756" w:type="dxa"/>
            <w:vAlign w:val="center"/>
          </w:tcPr>
          <w:p w:rsidR="008F31E9" w:rsidRPr="00F85D6B" w:rsidRDefault="00D205DF" w:rsidP="003804D9">
            <w:pPr>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Lic. Daniel Taboada Elías</w:t>
            </w:r>
          </w:p>
        </w:tc>
      </w:tr>
    </w:tbl>
    <w:p w:rsidR="008F31E9" w:rsidRPr="00F85D6B" w:rsidRDefault="008F31E9" w:rsidP="003804D9">
      <w:pPr>
        <w:tabs>
          <w:tab w:val="left" w:pos="0"/>
        </w:tabs>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3"/>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bookmarkStart w:id="2" w:name="_heading=h.9k4vaqs27zr5" w:colFirst="0" w:colLast="0"/>
      <w:bookmarkEnd w:id="2"/>
      <w:r w:rsidRPr="00F85D6B">
        <w:rPr>
          <w:rFonts w:ascii="Palatino Linotype" w:eastAsia="Palatino Linotype" w:hAnsi="Palatino Linotype" w:cs="Palatino Linotype"/>
          <w:color w:val="000000" w:themeColor="text1"/>
        </w:rPr>
        <w:t>A la respuesta se adjuntaron los archivos que se describen enseguida:</w:t>
      </w:r>
    </w:p>
    <w:p w:rsidR="008F31E9" w:rsidRPr="00F85D6B" w:rsidRDefault="008F31E9" w:rsidP="003804D9">
      <w:pPr>
        <w:tabs>
          <w:tab w:val="left" w:pos="0"/>
        </w:tabs>
        <w:spacing w:line="360" w:lineRule="auto"/>
        <w:jc w:val="both"/>
        <w:rPr>
          <w:rFonts w:ascii="Palatino Linotype" w:eastAsia="Palatino Linotype" w:hAnsi="Palatino Linotype" w:cs="Palatino Linotype"/>
          <w:color w:val="000000" w:themeColor="text1"/>
        </w:rPr>
      </w:pPr>
    </w:p>
    <w:p w:rsidR="008F31E9" w:rsidRPr="00F85D6B" w:rsidRDefault="000D6978" w:rsidP="003804D9">
      <w:pPr>
        <w:numPr>
          <w:ilvl w:val="0"/>
          <w:numId w:val="5"/>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hyperlink r:id="rId8">
        <w:r w:rsidR="00D205DF" w:rsidRPr="00F85D6B">
          <w:rPr>
            <w:rFonts w:ascii="Palatino Linotype" w:eastAsia="Palatino Linotype" w:hAnsi="Palatino Linotype" w:cs="Palatino Linotype"/>
            <w:b/>
            <w:color w:val="000000" w:themeColor="text1"/>
            <w:u w:val="single"/>
          </w:rPr>
          <w:t>respuesta</w:t>
        </w:r>
      </w:hyperlink>
      <w:hyperlink r:id="rId9">
        <w:r w:rsidR="00D205DF" w:rsidRPr="00F85D6B">
          <w:rPr>
            <w:rFonts w:ascii="Palatino Linotype" w:eastAsia="Palatino Linotype" w:hAnsi="Palatino Linotype" w:cs="Palatino Linotype"/>
            <w:b/>
            <w:color w:val="000000" w:themeColor="text1"/>
            <w:u w:val="single"/>
          </w:rPr>
          <w:t xml:space="preserve"> folio 00141.pdf</w:t>
        </w:r>
      </w:hyperlink>
      <w:r w:rsidR="00D205DF" w:rsidRPr="00F85D6B">
        <w:rPr>
          <w:rFonts w:ascii="Palatino Linotype" w:eastAsia="Palatino Linotype" w:hAnsi="Palatino Linotype" w:cs="Palatino Linotype"/>
          <w:color w:val="000000" w:themeColor="text1"/>
        </w:rPr>
        <w:t xml:space="preserve">: oficio de la Coordinación Municipal de Mejora Regulatoria en el que señaló una liga electrónica (datos cerrados), en la que podía consultar los formatos de trámites y servicios (REMTyS). </w:t>
      </w:r>
    </w:p>
    <w:p w:rsidR="008F31E9" w:rsidRPr="00F85D6B" w:rsidRDefault="008F31E9" w:rsidP="003804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F31E9" w:rsidRPr="00F85D6B" w:rsidRDefault="000D6978" w:rsidP="003804D9">
      <w:pPr>
        <w:numPr>
          <w:ilvl w:val="0"/>
          <w:numId w:val="5"/>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hyperlink r:id="rId10">
        <w:r w:rsidR="00D205DF" w:rsidRPr="00F85D6B">
          <w:rPr>
            <w:rFonts w:ascii="Palatino Linotype" w:eastAsia="Palatino Linotype" w:hAnsi="Palatino Linotype" w:cs="Palatino Linotype"/>
            <w:b/>
            <w:color w:val="000000" w:themeColor="text1"/>
            <w:u w:val="single"/>
          </w:rPr>
          <w:t>Folio 141-2025.pdf</w:t>
        </w:r>
      </w:hyperlink>
      <w:r w:rsidR="00D205DF" w:rsidRPr="00F85D6B">
        <w:rPr>
          <w:rFonts w:ascii="Palatino Linotype" w:eastAsia="Palatino Linotype" w:hAnsi="Palatino Linotype" w:cs="Palatino Linotype"/>
          <w:color w:val="000000" w:themeColor="text1"/>
        </w:rPr>
        <w:t xml:space="preserve">: Documento de respuesta emitido por la Subdirección de Recursos Humanos, quien señaló una liga electrónica en la que se puede localizar las remuneraciones, refirió los pasos para acceder a la información y adjuntó los organigramas de cada área. </w:t>
      </w:r>
    </w:p>
    <w:p w:rsidR="008F31E9" w:rsidRPr="00F85D6B" w:rsidRDefault="000D6978" w:rsidP="003804D9">
      <w:pPr>
        <w:numPr>
          <w:ilvl w:val="0"/>
          <w:numId w:val="5"/>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hyperlink r:id="rId11">
        <w:r w:rsidR="00D205DF" w:rsidRPr="00F85D6B">
          <w:rPr>
            <w:rFonts w:ascii="Palatino Linotype" w:eastAsia="Palatino Linotype" w:hAnsi="Palatino Linotype" w:cs="Palatino Linotype"/>
            <w:b/>
            <w:color w:val="000000" w:themeColor="text1"/>
            <w:u w:val="single"/>
          </w:rPr>
          <w:t>TM.566.2025 - ATENCIÓN A LA SOLICITUD DE INFORMACIÓN 00141.pdf</w:t>
        </w:r>
      </w:hyperlink>
      <w:r w:rsidR="00D205DF" w:rsidRPr="00F85D6B">
        <w:rPr>
          <w:rFonts w:ascii="Palatino Linotype" w:eastAsia="Palatino Linotype" w:hAnsi="Palatino Linotype" w:cs="Palatino Linotype"/>
          <w:color w:val="000000" w:themeColor="text1"/>
        </w:rPr>
        <w:t xml:space="preserve">: Oficio de respuesta, emitido por la Tesorera Municipal, quien señaló una liga electrónica (que no está en datos abiertos), en la que señaló que se podía localizar la información del presupuesto. </w:t>
      </w:r>
    </w:p>
    <w:p w:rsidR="008F31E9" w:rsidRPr="00F85D6B" w:rsidRDefault="008F31E9" w:rsidP="003804D9">
      <w:pPr>
        <w:tabs>
          <w:tab w:val="left" w:pos="0"/>
        </w:tabs>
        <w:spacing w:line="360" w:lineRule="auto"/>
        <w:jc w:val="both"/>
        <w:rPr>
          <w:rFonts w:ascii="Palatino Linotype" w:eastAsia="Palatino Linotype" w:hAnsi="Palatino Linotype" w:cs="Palatino Linotype"/>
          <w:color w:val="000000" w:themeColor="text1"/>
        </w:rPr>
      </w:pPr>
    </w:p>
    <w:p w:rsidR="008F31E9" w:rsidRPr="00F85D6B" w:rsidRDefault="000D6978" w:rsidP="003804D9">
      <w:pPr>
        <w:numPr>
          <w:ilvl w:val="0"/>
          <w:numId w:val="5"/>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hyperlink r:id="rId12">
        <w:r w:rsidR="00D205DF" w:rsidRPr="00F85D6B">
          <w:rPr>
            <w:rFonts w:ascii="Palatino Linotype" w:eastAsia="Palatino Linotype" w:hAnsi="Palatino Linotype" w:cs="Palatino Linotype"/>
            <w:b/>
            <w:color w:val="000000" w:themeColor="text1"/>
            <w:u w:val="single"/>
          </w:rPr>
          <w:t>SOLICITUD 141-2025.zip</w:t>
        </w:r>
      </w:hyperlink>
      <w:r w:rsidR="00D205DF" w:rsidRPr="00F85D6B">
        <w:rPr>
          <w:rFonts w:ascii="Palatino Linotype" w:eastAsia="Palatino Linotype" w:hAnsi="Palatino Linotype" w:cs="Palatino Linotype"/>
          <w:color w:val="000000" w:themeColor="text1"/>
        </w:rPr>
        <w:t>: archivo en el que se localizan las carpetas con la siguiente información:</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p w:rsidR="008F31E9" w:rsidRPr="00F85D6B" w:rsidRDefault="00D205DF" w:rsidP="003804D9">
      <w:pPr>
        <w:numPr>
          <w:ilvl w:val="0"/>
          <w:numId w:val="6"/>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color w:val="000000" w:themeColor="text1"/>
        </w:rPr>
        <w:t>5. Avisos de Privacidad Integral</w:t>
      </w:r>
      <w:r w:rsidRPr="00F85D6B">
        <w:rPr>
          <w:rFonts w:ascii="Palatino Linotype" w:eastAsia="Palatino Linotype" w:hAnsi="Palatino Linotype" w:cs="Palatino Linotype"/>
          <w:color w:val="000000" w:themeColor="text1"/>
        </w:rPr>
        <w:t xml:space="preserve">: archivo con 47 avisos de privacidad de las diversas áreas. </w:t>
      </w:r>
    </w:p>
    <w:p w:rsidR="008F31E9" w:rsidRPr="00F85D6B" w:rsidRDefault="00D205DF" w:rsidP="003804D9">
      <w:pPr>
        <w:numPr>
          <w:ilvl w:val="0"/>
          <w:numId w:val="6"/>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color w:val="000000" w:themeColor="text1"/>
        </w:rPr>
        <w:t>6</w:t>
      </w:r>
      <w:r w:rsidRPr="00F85D6B">
        <w:rPr>
          <w:rFonts w:ascii="Palatino Linotype" w:eastAsia="Palatino Linotype" w:hAnsi="Palatino Linotype" w:cs="Palatino Linotype"/>
          <w:color w:val="000000" w:themeColor="text1"/>
        </w:rPr>
        <w:t>. Documento de Seguridad DS: archivo con 51 documentos de seguridad en versión pública.</w:t>
      </w:r>
    </w:p>
    <w:p w:rsidR="008F31E9" w:rsidRPr="00F85D6B" w:rsidRDefault="00D205DF" w:rsidP="003804D9">
      <w:pPr>
        <w:numPr>
          <w:ilvl w:val="0"/>
          <w:numId w:val="6"/>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color w:val="000000" w:themeColor="text1"/>
        </w:rPr>
        <w:t>7</w:t>
      </w:r>
      <w:r w:rsidRPr="00F85D6B">
        <w:rPr>
          <w:rFonts w:ascii="Palatino Linotype" w:eastAsia="Palatino Linotype" w:hAnsi="Palatino Linotype" w:cs="Palatino Linotype"/>
          <w:color w:val="000000" w:themeColor="text1"/>
        </w:rPr>
        <w:t xml:space="preserve">. Obligaciones con las que cumple: documento con una tabla con las obligaciones simples y específicas por fracción. </w:t>
      </w:r>
    </w:p>
    <w:p w:rsidR="008F31E9" w:rsidRPr="00F85D6B" w:rsidRDefault="00D205DF" w:rsidP="003804D9">
      <w:pPr>
        <w:numPr>
          <w:ilvl w:val="0"/>
          <w:numId w:val="6"/>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color w:val="000000" w:themeColor="text1"/>
        </w:rPr>
        <w:t>8</w:t>
      </w:r>
      <w:r w:rsidRPr="00F85D6B">
        <w:rPr>
          <w:rFonts w:ascii="Palatino Linotype" w:eastAsia="Palatino Linotype" w:hAnsi="Palatino Linotype" w:cs="Palatino Linotype"/>
          <w:color w:val="000000" w:themeColor="text1"/>
        </w:rPr>
        <w:t xml:space="preserve">. Verificaciones oficiosas: se advierte dictamen de verificación oficiosa correspondiente al año 2022, 2023 y 2024. </w:t>
      </w:r>
    </w:p>
    <w:p w:rsidR="008F31E9" w:rsidRPr="00F85D6B" w:rsidRDefault="00D205DF" w:rsidP="003804D9">
      <w:pPr>
        <w:numPr>
          <w:ilvl w:val="0"/>
          <w:numId w:val="6"/>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color w:val="000000" w:themeColor="text1"/>
        </w:rPr>
        <w:t>9</w:t>
      </w:r>
      <w:r w:rsidRPr="00F85D6B">
        <w:rPr>
          <w:rFonts w:ascii="Palatino Linotype" w:eastAsia="Palatino Linotype" w:hAnsi="Palatino Linotype" w:cs="Palatino Linotype"/>
          <w:color w:val="000000" w:themeColor="text1"/>
        </w:rPr>
        <w:t xml:space="preserve">. Acta de instalación: acta de instalación del Comité de Transparencia 2025. </w:t>
      </w:r>
    </w:p>
    <w:p w:rsidR="008F31E9" w:rsidRPr="00F85D6B" w:rsidRDefault="00D205DF" w:rsidP="003804D9">
      <w:pPr>
        <w:numPr>
          <w:ilvl w:val="0"/>
          <w:numId w:val="6"/>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color w:val="000000" w:themeColor="text1"/>
        </w:rPr>
        <w:t>WRL1272</w:t>
      </w:r>
      <w:r w:rsidRPr="00F85D6B">
        <w:rPr>
          <w:rFonts w:ascii="Palatino Linotype" w:eastAsia="Palatino Linotype" w:hAnsi="Palatino Linotype" w:cs="Palatino Linotype"/>
          <w:color w:val="000000" w:themeColor="text1"/>
        </w:rPr>
        <w:t>.tmp: archivo dañado.</w:t>
      </w:r>
    </w:p>
    <w:p w:rsidR="008F31E9" w:rsidRPr="00F85D6B" w:rsidRDefault="00D205DF" w:rsidP="003804D9">
      <w:pPr>
        <w:numPr>
          <w:ilvl w:val="0"/>
          <w:numId w:val="6"/>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color w:val="000000" w:themeColor="text1"/>
        </w:rPr>
        <w:t>PM_JOB_CUTAI_234_2025</w:t>
      </w:r>
      <w:r w:rsidRPr="00F85D6B">
        <w:rPr>
          <w:rFonts w:ascii="Palatino Linotype" w:eastAsia="Palatino Linotype" w:hAnsi="Palatino Linotype" w:cs="Palatino Linotype"/>
          <w:color w:val="000000" w:themeColor="text1"/>
        </w:rPr>
        <w:t xml:space="preserve">.pdf: documento suscrito por el Coordinador de la Unidad de Transparencia en el que señaló que se adjuntan los avisos de privacidad, versión pública de los documentos de seguridad, obligaciones con las que cumple el Sujeto Obligado (simples y específicas), resultados de los últimos tres años de verificación, acta de instalación del comité de transparencia, número de solicitudes de acceso a la información y de datos personales que se han atendido en los últimos tres años, número de recursos de revisión que se han atendido en los últimos tres años, número de </w:t>
      </w:r>
      <w:r w:rsidRPr="00F85D6B">
        <w:rPr>
          <w:rFonts w:ascii="Palatino Linotype" w:eastAsia="Palatino Linotype" w:hAnsi="Palatino Linotype" w:cs="Palatino Linotype"/>
          <w:color w:val="000000" w:themeColor="text1"/>
        </w:rPr>
        <w:lastRenderedPageBreak/>
        <w:t xml:space="preserve">incumplimientos que han tenido en los últimos tres años y respecto a las acciones generadas en el tema de transparencia en los últimos tres años, señaló que no se localizó información. </w:t>
      </w:r>
    </w:p>
    <w:p w:rsidR="008F31E9" w:rsidRPr="00F85D6B" w:rsidRDefault="008F31E9" w:rsidP="003804D9">
      <w:pPr>
        <w:tabs>
          <w:tab w:val="left" w:pos="0"/>
        </w:tabs>
        <w:spacing w:line="360" w:lineRule="auto"/>
        <w:jc w:val="both"/>
        <w:rPr>
          <w:rFonts w:ascii="Palatino Linotype" w:eastAsia="Palatino Linotype" w:hAnsi="Palatino Linotype" w:cs="Palatino Linotype"/>
          <w:color w:val="000000" w:themeColor="text1"/>
        </w:rPr>
      </w:pPr>
    </w:p>
    <w:p w:rsidR="008F31E9" w:rsidRPr="00F85D6B" w:rsidRDefault="000D6978" w:rsidP="003804D9">
      <w:pPr>
        <w:numPr>
          <w:ilvl w:val="0"/>
          <w:numId w:val="5"/>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hyperlink r:id="rId13">
        <w:r w:rsidR="00D205DF" w:rsidRPr="00F85D6B">
          <w:rPr>
            <w:rFonts w:ascii="Palatino Linotype" w:eastAsia="Palatino Linotype" w:hAnsi="Palatino Linotype" w:cs="Palatino Linotype"/>
            <w:b/>
            <w:color w:val="000000" w:themeColor="text1"/>
            <w:u w:val="single"/>
          </w:rPr>
          <w:t>RESPUESTA141-2.pdf</w:t>
        </w:r>
      </w:hyperlink>
      <w:r w:rsidR="00D205DF" w:rsidRPr="00F85D6B">
        <w:rPr>
          <w:rFonts w:ascii="Palatino Linotype" w:eastAsia="Palatino Linotype" w:hAnsi="Palatino Linotype" w:cs="Palatino Linotype"/>
          <w:color w:val="000000" w:themeColor="text1"/>
        </w:rPr>
        <w:t xml:space="preserve">: oficio número OICM/CERAT/0296/2025 suscrito por el Titular del Órgano Interno de Control quien señaló que se adjunta acta de instalación del sistema anticorrupción, asimismo se adjuntó acta de referencia. </w:t>
      </w:r>
    </w:p>
    <w:p w:rsidR="008F31E9" w:rsidRPr="00F85D6B" w:rsidRDefault="008F31E9" w:rsidP="003804D9">
      <w:pPr>
        <w:tabs>
          <w:tab w:val="left" w:pos="0"/>
        </w:tabs>
        <w:spacing w:line="360" w:lineRule="auto"/>
        <w:jc w:val="both"/>
        <w:rPr>
          <w:rFonts w:ascii="Palatino Linotype" w:eastAsia="Palatino Linotype" w:hAnsi="Palatino Linotype" w:cs="Palatino Linotype"/>
          <w:color w:val="000000" w:themeColor="text1"/>
        </w:rPr>
      </w:pPr>
    </w:p>
    <w:p w:rsidR="008F31E9" w:rsidRPr="00F85D6B" w:rsidRDefault="000D6978" w:rsidP="003804D9">
      <w:pPr>
        <w:numPr>
          <w:ilvl w:val="0"/>
          <w:numId w:val="5"/>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hyperlink r:id="rId14">
        <w:r w:rsidR="00D205DF" w:rsidRPr="00F85D6B">
          <w:rPr>
            <w:rFonts w:ascii="Palatino Linotype" w:eastAsia="Palatino Linotype" w:hAnsi="Palatino Linotype" w:cs="Palatino Linotype"/>
            <w:b/>
            <w:color w:val="000000" w:themeColor="text1"/>
            <w:u w:val="single"/>
          </w:rPr>
          <w:t>20250224143120616.pdf</w:t>
        </w:r>
      </w:hyperlink>
      <w:r w:rsidR="00D205DF" w:rsidRPr="00F85D6B">
        <w:rPr>
          <w:rFonts w:ascii="Palatino Linotype" w:eastAsia="Palatino Linotype" w:hAnsi="Palatino Linotype" w:cs="Palatino Linotype"/>
          <w:color w:val="000000" w:themeColor="text1"/>
        </w:rPr>
        <w:t xml:space="preserve">: Acta número CT/NAU/ACTA-EXT-005/2025/63, en la que se aprueba la versión pública de los documentos de seguridad remitidos en respuesta. </w:t>
      </w:r>
    </w:p>
    <w:p w:rsidR="008F31E9" w:rsidRPr="00F85D6B" w:rsidRDefault="008F31E9" w:rsidP="003804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85D6B">
        <w:rPr>
          <w:rFonts w:ascii="Palatino Linotype" w:eastAsia="Palatino Linotype" w:hAnsi="Palatino Linotype" w:cs="Palatino Linotype"/>
          <w:color w:val="000000" w:themeColor="text1"/>
        </w:rPr>
        <w:t xml:space="preserve">En lo sucesivo el </w:t>
      </w:r>
      <w:r w:rsidRPr="00F85D6B">
        <w:rPr>
          <w:rFonts w:ascii="Palatino Linotype" w:eastAsia="Palatino Linotype" w:hAnsi="Palatino Linotype" w:cs="Palatino Linotype"/>
          <w:b/>
          <w:color w:val="000000" w:themeColor="text1"/>
        </w:rPr>
        <w:t>cinco de marzo de dos mil veinticinco,</w:t>
      </w:r>
      <w:r w:rsidRPr="00F85D6B">
        <w:rPr>
          <w:rFonts w:ascii="Palatino Linotype" w:eastAsia="Palatino Linotype" w:hAnsi="Palatino Linotype" w:cs="Palatino Linotype"/>
          <w:color w:val="000000" w:themeColor="text1"/>
        </w:rPr>
        <w:t xml:space="preserve"> </w:t>
      </w:r>
      <w:r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color w:val="000000" w:themeColor="text1"/>
        </w:rPr>
        <w:t>el solicitante interpuso el recurso de revisión, señalando como:</w:t>
      </w:r>
    </w:p>
    <w:p w:rsidR="008F31E9" w:rsidRPr="00F85D6B" w:rsidRDefault="008F31E9" w:rsidP="003804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8F31E9" w:rsidRPr="009B6025" w:rsidRDefault="00D205DF" w:rsidP="00433251">
      <w:pPr>
        <w:pStyle w:val="Prrafodelista"/>
        <w:numPr>
          <w:ilvl w:val="0"/>
          <w:numId w:val="9"/>
        </w:numPr>
        <w:tabs>
          <w:tab w:val="left" w:pos="8222"/>
        </w:tabs>
        <w:spacing w:line="360" w:lineRule="auto"/>
        <w:ind w:left="426"/>
        <w:jc w:val="both"/>
        <w:rPr>
          <w:rFonts w:ascii="Palatino Linotype" w:eastAsia="Palatino Linotype" w:hAnsi="Palatino Linotype" w:cs="Palatino Linotype"/>
          <w:i/>
          <w:color w:val="000000" w:themeColor="text1"/>
          <w:sz w:val="24"/>
        </w:rPr>
      </w:pPr>
      <w:r w:rsidRPr="009B6025">
        <w:rPr>
          <w:rFonts w:ascii="Palatino Linotype" w:eastAsia="Palatino Linotype" w:hAnsi="Palatino Linotype" w:cs="Palatino Linotype"/>
          <w:b/>
          <w:color w:val="000000" w:themeColor="text1"/>
          <w:sz w:val="24"/>
        </w:rPr>
        <w:t>Acto impugnado:</w:t>
      </w:r>
      <w:r w:rsidRPr="009B6025">
        <w:rPr>
          <w:rFonts w:ascii="Palatino Linotype" w:eastAsia="Palatino Linotype" w:hAnsi="Palatino Linotype" w:cs="Palatino Linotype"/>
          <w:i/>
          <w:color w:val="000000" w:themeColor="text1"/>
          <w:sz w:val="24"/>
        </w:rPr>
        <w:t xml:space="preserve"> </w:t>
      </w:r>
      <w:r w:rsidRPr="009B6025">
        <w:rPr>
          <w:rFonts w:ascii="Palatino Linotype" w:eastAsia="Palatino Linotype" w:hAnsi="Palatino Linotype" w:cs="Palatino Linotype"/>
          <w:color w:val="000000" w:themeColor="text1"/>
          <w:sz w:val="24"/>
        </w:rPr>
        <w:t>“</w:t>
      </w:r>
      <w:r w:rsidRPr="009B6025">
        <w:rPr>
          <w:rFonts w:ascii="Palatino Linotype" w:eastAsia="Palatino Linotype" w:hAnsi="Palatino Linotype" w:cs="Palatino Linotype"/>
          <w:i/>
          <w:color w:val="000000" w:themeColor="text1"/>
          <w:sz w:val="24"/>
        </w:rPr>
        <w:t xml:space="preserve">NO ME ENVIA LA INFORMACION COMO LA SOLICITE ASI MISMO LA ENVIA INCOMPLETA” (Sic) </w:t>
      </w:r>
    </w:p>
    <w:p w:rsidR="008F31E9" w:rsidRPr="009B6025" w:rsidRDefault="008F31E9" w:rsidP="003804D9">
      <w:pPr>
        <w:tabs>
          <w:tab w:val="left" w:pos="0"/>
        </w:tabs>
        <w:spacing w:line="360" w:lineRule="auto"/>
        <w:ind w:hanging="141"/>
        <w:rPr>
          <w:rFonts w:ascii="Palatino Linotype" w:eastAsia="Palatino Linotype" w:hAnsi="Palatino Linotype" w:cs="Palatino Linotype"/>
          <w:i/>
          <w:color w:val="000000" w:themeColor="text1"/>
          <w:sz w:val="28"/>
        </w:rPr>
      </w:pPr>
    </w:p>
    <w:p w:rsidR="008F31E9" w:rsidRPr="009B6025" w:rsidRDefault="00D205DF" w:rsidP="00433251">
      <w:pPr>
        <w:pStyle w:val="Prrafodelista"/>
        <w:numPr>
          <w:ilvl w:val="0"/>
          <w:numId w:val="9"/>
        </w:numPr>
        <w:spacing w:line="360" w:lineRule="auto"/>
        <w:ind w:left="426"/>
        <w:jc w:val="both"/>
        <w:rPr>
          <w:rFonts w:ascii="Palatino Linotype" w:eastAsia="Palatino Linotype" w:hAnsi="Palatino Linotype" w:cs="Palatino Linotype"/>
          <w:i/>
          <w:color w:val="000000" w:themeColor="text1"/>
          <w:sz w:val="24"/>
        </w:rPr>
      </w:pPr>
      <w:r w:rsidRPr="009B6025">
        <w:rPr>
          <w:rFonts w:ascii="Palatino Linotype" w:eastAsia="Palatino Linotype" w:hAnsi="Palatino Linotype" w:cs="Palatino Linotype"/>
          <w:b/>
          <w:color w:val="000000" w:themeColor="text1"/>
          <w:sz w:val="24"/>
        </w:rPr>
        <w:t>Razones o Motivos de inconformidad: “</w:t>
      </w:r>
      <w:r w:rsidRPr="009B6025">
        <w:rPr>
          <w:rFonts w:ascii="Palatino Linotype" w:eastAsia="Palatino Linotype" w:hAnsi="Palatino Linotype" w:cs="Palatino Linotype"/>
          <w:i/>
          <w:color w:val="000000" w:themeColor="text1"/>
          <w:sz w:val="24"/>
        </w:rPr>
        <w:t>NO ME ENVIA LA INFORMACION COMO LA SOLICITE ASI MISMO LA ENVIA INCOMPLETA” (sic)</w:t>
      </w:r>
    </w:p>
    <w:p w:rsidR="008F31E9" w:rsidRPr="00F85D6B" w:rsidRDefault="008F31E9" w:rsidP="003804D9">
      <w:pPr>
        <w:tabs>
          <w:tab w:val="left" w:pos="851"/>
        </w:tabs>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F85D6B">
        <w:rPr>
          <w:rFonts w:ascii="Palatino Linotype" w:eastAsia="Palatino Linotype" w:hAnsi="Palatino Linotype" w:cs="Palatino Linotype"/>
          <w:b/>
          <w:color w:val="000000" w:themeColor="text1"/>
        </w:rPr>
        <w:t>Comisionada María del Rosario Mejía Ayala</w:t>
      </w:r>
      <w:r w:rsidR="00433251">
        <w:rPr>
          <w:rFonts w:ascii="Palatino Linotype" w:eastAsia="Palatino Linotype" w:hAnsi="Palatino Linotype" w:cs="Palatino Linotype"/>
          <w:b/>
          <w:color w:val="000000" w:themeColor="text1"/>
        </w:rPr>
        <w:t>,</w:t>
      </w:r>
      <w:r w:rsidRPr="00F85D6B">
        <w:rPr>
          <w:rFonts w:ascii="Palatino Linotype" w:eastAsia="Palatino Linotype" w:hAnsi="Palatino Linotype" w:cs="Palatino Linotype"/>
          <w:color w:val="000000" w:themeColor="text1"/>
        </w:rPr>
        <w:t xml:space="preserve"> </w:t>
      </w:r>
      <w:r w:rsidR="00433251">
        <w:rPr>
          <w:rFonts w:ascii="Palatino Linotype" w:eastAsia="Palatino Linotype" w:hAnsi="Palatino Linotype" w:cs="Palatino Linotype"/>
          <w:color w:val="000000" w:themeColor="text1"/>
        </w:rPr>
        <w:t>para</w:t>
      </w:r>
      <w:r w:rsidRPr="00F85D6B">
        <w:rPr>
          <w:rFonts w:ascii="Palatino Linotype" w:eastAsia="Palatino Linotype" w:hAnsi="Palatino Linotype" w:cs="Palatino Linotype"/>
          <w:color w:val="000000" w:themeColor="text1"/>
        </w:rPr>
        <w:t xml:space="preserve"> su análisis.</w:t>
      </w:r>
    </w:p>
    <w:p w:rsidR="008F31E9" w:rsidRPr="00F85D6B" w:rsidRDefault="008F31E9" w:rsidP="003804D9">
      <w:pPr>
        <w:spacing w:line="360" w:lineRule="auto"/>
        <w:jc w:val="both"/>
        <w:rPr>
          <w:rFonts w:ascii="Palatino Linotype" w:eastAsia="Palatino Linotype" w:hAnsi="Palatino Linotype" w:cs="Palatino Linotype"/>
          <w:i/>
          <w:color w:val="000000" w:themeColor="text1"/>
        </w:rPr>
      </w:pPr>
    </w:p>
    <w:p w:rsidR="008F31E9" w:rsidRPr="00F85D6B" w:rsidRDefault="00D205DF" w:rsidP="003804D9">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del </w:t>
      </w:r>
      <w:r w:rsidRPr="00F85D6B">
        <w:rPr>
          <w:rFonts w:ascii="Palatino Linotype" w:eastAsia="Palatino Linotype" w:hAnsi="Palatino Linotype" w:cs="Palatino Linotype"/>
          <w:b/>
          <w:color w:val="000000" w:themeColor="text1"/>
        </w:rPr>
        <w:t>diez de marzo de dos mil veinticinco</w:t>
      </w:r>
      <w:r w:rsidRPr="00F85D6B">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F85D6B">
        <w:rPr>
          <w:rFonts w:ascii="Palatino Linotype" w:eastAsia="Palatino Linotype" w:hAnsi="Palatino Linotype" w:cs="Palatino Linotype"/>
          <w:b/>
          <w:color w:val="000000" w:themeColor="text1"/>
        </w:rPr>
        <w:t xml:space="preserve">(SAIMEX) </w:t>
      </w:r>
      <w:r w:rsidRPr="00F85D6B">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Pr="00F85D6B">
        <w:rPr>
          <w:rFonts w:ascii="Palatino Linotype" w:eastAsia="Palatino Linotype" w:hAnsi="Palatino Linotype" w:cs="Palatino Linotype"/>
          <w:b/>
          <w:color w:val="000000" w:themeColor="text1"/>
        </w:rPr>
        <w:t>SUJETO OBLIGADO</w:t>
      </w:r>
      <w:r w:rsidRPr="00F85D6B">
        <w:rPr>
          <w:rFonts w:ascii="Palatino Linotype" w:eastAsia="Palatino Linotype" w:hAnsi="Palatino Linotype" w:cs="Palatino Linotype"/>
          <w:color w:val="000000" w:themeColor="text1"/>
        </w:rPr>
        <w:t xml:space="preserve"> presentara el Informe Justificado procedente.  </w:t>
      </w:r>
    </w:p>
    <w:p w:rsidR="008F31E9" w:rsidRPr="00F85D6B" w:rsidRDefault="008F31E9" w:rsidP="003804D9">
      <w:pPr>
        <w:spacing w:line="360" w:lineRule="auto"/>
        <w:jc w:val="both"/>
        <w:rPr>
          <w:rFonts w:ascii="Palatino Linotype" w:eastAsia="Palatino Linotype" w:hAnsi="Palatino Linotype" w:cs="Palatino Linotype"/>
          <w:i/>
          <w:color w:val="000000" w:themeColor="text1"/>
        </w:rPr>
      </w:pPr>
    </w:p>
    <w:p w:rsidR="008F31E9" w:rsidRPr="00F85D6B" w:rsidRDefault="00D205DF" w:rsidP="003804D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85D6B">
        <w:rPr>
          <w:rFonts w:ascii="Palatino Linotype" w:eastAsia="Palatino Linotype" w:hAnsi="Palatino Linotype" w:cs="Palatino Linotype"/>
          <w:color w:val="000000" w:themeColor="text1"/>
        </w:rPr>
        <w:t>De las constancias que obran en el expediente electrónico SAIMEX, se advierte que el particular no realizó manifestaciones que a su derecho convinieran; por su parte, el Sujeto Obligado entregó informe justificado el veinte de marzo de dos mil veinticinco, mismo que se puso a la vista del particular el veintiséis de junio del mismo año y que consta de los archivos que se describen enseguida:</w:t>
      </w:r>
    </w:p>
    <w:p w:rsidR="008F31E9" w:rsidRPr="00F85D6B" w:rsidRDefault="000D6978" w:rsidP="003804D9">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hyperlink r:id="rId15">
        <w:r w:rsidR="00D205DF" w:rsidRPr="00F85D6B">
          <w:rPr>
            <w:rFonts w:ascii="Palatino Linotype" w:eastAsia="Palatino Linotype" w:hAnsi="Palatino Linotype" w:cs="Palatino Linotype"/>
            <w:b/>
            <w:color w:val="000000" w:themeColor="text1"/>
            <w:u w:val="single"/>
          </w:rPr>
          <w:t>OICM_0389_2025.pdf</w:t>
        </w:r>
      </w:hyperlink>
      <w:r w:rsidR="00D205DF" w:rsidRPr="00F85D6B">
        <w:rPr>
          <w:rFonts w:ascii="Palatino Linotype" w:eastAsia="Palatino Linotype" w:hAnsi="Palatino Linotype" w:cs="Palatino Linotype"/>
          <w:color w:val="000000" w:themeColor="text1"/>
        </w:rPr>
        <w:t xml:space="preserve">: oficio número OICM/0389/2025 de fecha catorce de marzo de dos mil veinticinco, suscrito por el Titular del Órgano Interno de Control Municipal, quien  ratificó su respuesta y señaló que el acta que se remitió era la que se tenía a la fecha de la solicitud; sin embargo, adjuntó la convocatoria que está en proceso para la instalación del Sistema Anticorrupción 2025. </w:t>
      </w:r>
    </w:p>
    <w:p w:rsidR="008F31E9" w:rsidRPr="00F85D6B" w:rsidRDefault="000D6978" w:rsidP="003804D9">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hyperlink r:id="rId16">
        <w:r w:rsidR="00D205DF" w:rsidRPr="00F85D6B">
          <w:rPr>
            <w:rFonts w:ascii="Palatino Linotype" w:eastAsia="Palatino Linotype" w:hAnsi="Palatino Linotype" w:cs="Palatino Linotype"/>
            <w:b/>
            <w:color w:val="000000" w:themeColor="text1"/>
            <w:u w:val="single"/>
          </w:rPr>
          <w:t>DA_SRH_777_2025.pdf</w:t>
        </w:r>
      </w:hyperlink>
      <w:r w:rsidR="00D205DF" w:rsidRPr="00F85D6B">
        <w:rPr>
          <w:rFonts w:ascii="Palatino Linotype" w:eastAsia="Palatino Linotype" w:hAnsi="Palatino Linotype" w:cs="Palatino Linotype"/>
          <w:color w:val="000000" w:themeColor="text1"/>
        </w:rPr>
        <w:t xml:space="preserve">: oficio número DA/SRH/777/2025 de fecha catorce de marzo de dos mil veinticinco, suscrito por el Director de Administración, quien ratificó su respuesta. </w:t>
      </w:r>
    </w:p>
    <w:p w:rsidR="008F31E9" w:rsidRPr="00F85D6B" w:rsidRDefault="000D6978" w:rsidP="003804D9">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hyperlink r:id="rId17">
        <w:r w:rsidR="00D205DF" w:rsidRPr="00F85D6B">
          <w:rPr>
            <w:rFonts w:ascii="Palatino Linotype" w:eastAsia="Palatino Linotype" w:hAnsi="Palatino Linotype" w:cs="Palatino Linotype"/>
            <w:b/>
            <w:color w:val="000000" w:themeColor="text1"/>
            <w:u w:val="single"/>
          </w:rPr>
          <w:t>PM_JOP_CUTAI_294_2025.pdf</w:t>
        </w:r>
      </w:hyperlink>
      <w:r w:rsidR="00D205DF" w:rsidRPr="00F85D6B">
        <w:rPr>
          <w:rFonts w:ascii="Palatino Linotype" w:eastAsia="Palatino Linotype" w:hAnsi="Palatino Linotype" w:cs="Palatino Linotype"/>
          <w:color w:val="000000" w:themeColor="text1"/>
        </w:rPr>
        <w:t xml:space="preserve">: oficio número PM/JOP/CUTAI/294/2025 de fecha veinte de marzo de dos mil veinticinco, suscrito por el Coordinador de la Unidad de Transparencia y Acceso a la Información, ratificó su respuesta y señaló que respecto a </w:t>
      </w:r>
      <w:r w:rsidR="00D205DF" w:rsidRPr="00F85D6B">
        <w:rPr>
          <w:rFonts w:ascii="Palatino Linotype" w:eastAsia="Palatino Linotype" w:hAnsi="Palatino Linotype" w:cs="Palatino Linotype"/>
          <w:color w:val="000000" w:themeColor="text1"/>
        </w:rPr>
        <w:lastRenderedPageBreak/>
        <w:t xml:space="preserve">las acciones de transparencia proactiva del trienio pasado, no se localizó información, por lo que se encuentra en el supuesto de hechos negativos. </w:t>
      </w:r>
    </w:p>
    <w:p w:rsidR="008F31E9" w:rsidRPr="00F85D6B" w:rsidRDefault="000D6978" w:rsidP="003804D9">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hyperlink r:id="rId18">
        <w:r w:rsidR="00D205DF" w:rsidRPr="00F85D6B">
          <w:rPr>
            <w:rFonts w:ascii="Palatino Linotype" w:eastAsia="Palatino Linotype" w:hAnsi="Palatino Linotype" w:cs="Palatino Linotype"/>
            <w:b/>
            <w:color w:val="000000" w:themeColor="text1"/>
            <w:u w:val="single"/>
          </w:rPr>
          <w:t>REMTYS NAUCALPAN.rar</w:t>
        </w:r>
      </w:hyperlink>
      <w:r w:rsidR="00D205DF" w:rsidRPr="00F85D6B">
        <w:rPr>
          <w:rFonts w:ascii="Palatino Linotype" w:eastAsia="Palatino Linotype" w:hAnsi="Palatino Linotype" w:cs="Palatino Linotype"/>
          <w:color w:val="000000" w:themeColor="text1"/>
        </w:rPr>
        <w:t>:: documento que contiene 231 cédulas de información.</w:t>
      </w:r>
    </w:p>
    <w:p w:rsidR="008F31E9" w:rsidRPr="00F85D6B" w:rsidRDefault="000D6978" w:rsidP="003804D9">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hyperlink r:id="rId19">
        <w:r w:rsidR="00D205DF" w:rsidRPr="00F85D6B">
          <w:rPr>
            <w:rFonts w:ascii="Palatino Linotype" w:eastAsia="Palatino Linotype" w:hAnsi="Palatino Linotype" w:cs="Palatino Linotype"/>
            <w:b/>
            <w:color w:val="000000" w:themeColor="text1"/>
            <w:u w:val="single"/>
          </w:rPr>
          <w:t>TM_1035_2025.pdf</w:t>
        </w:r>
      </w:hyperlink>
      <w:r w:rsidR="00D205DF" w:rsidRPr="00F85D6B">
        <w:rPr>
          <w:rFonts w:ascii="Palatino Linotype" w:eastAsia="Palatino Linotype" w:hAnsi="Palatino Linotype" w:cs="Palatino Linotype"/>
          <w:color w:val="000000" w:themeColor="text1"/>
        </w:rPr>
        <w:t xml:space="preserve">:: oficio número TM/1035/2025 del catorce de marzo de dos mil veinticinco, suscrito por el Tesorero Municipal, quien entregó una liga electrónica (no está en datos abiertos), en la que señaló se encuentra la información respecto al presupuesto y el procedimiento para acceder. </w:t>
      </w:r>
    </w:p>
    <w:p w:rsidR="008F31E9" w:rsidRPr="00F85D6B" w:rsidRDefault="000D6978" w:rsidP="003804D9">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hyperlink r:id="rId20">
        <w:r w:rsidR="00D205DF" w:rsidRPr="00F85D6B">
          <w:rPr>
            <w:rFonts w:ascii="Palatino Linotype" w:eastAsia="Palatino Linotype" w:hAnsi="Palatino Linotype" w:cs="Palatino Linotype"/>
            <w:b/>
            <w:color w:val="000000" w:themeColor="text1"/>
            <w:u w:val="single"/>
          </w:rPr>
          <w:t>PM_JP_CM_174-B_2025.pdf</w:t>
        </w:r>
      </w:hyperlink>
      <w:r w:rsidR="00D205DF" w:rsidRPr="00F85D6B">
        <w:rPr>
          <w:rFonts w:ascii="Palatino Linotype" w:eastAsia="Palatino Linotype" w:hAnsi="Palatino Linotype" w:cs="Palatino Linotype"/>
          <w:color w:val="000000" w:themeColor="text1"/>
        </w:rPr>
        <w:t xml:space="preserve">:  oficio número PM/JP/CM/174-B/2025 de fecha trece de marzo de dos mil veinticinco, suscrito por la Coordinadora Municipal de Mejora Regulatoria, quien señaló que remite las Cédulas del Registro Municipal de Trámites y Servicios. </w:t>
      </w:r>
    </w:p>
    <w:p w:rsidR="008F31E9" w:rsidRPr="00F85D6B" w:rsidRDefault="008F31E9" w:rsidP="003804D9">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8F31E9" w:rsidRPr="00F85D6B" w:rsidRDefault="00D205DF" w:rsidP="003804D9">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color w:val="000000" w:themeColor="text1"/>
        </w:rPr>
        <w:t xml:space="preserve">El doce de junio de dos mil veinticinco, se notificó el acuerdo a través del cual se aprobó la ampliación de plazo para emitir resolución. </w:t>
      </w:r>
    </w:p>
    <w:p w:rsidR="008F31E9" w:rsidRPr="00F85D6B" w:rsidRDefault="008F31E9" w:rsidP="003804D9">
      <w:pPr>
        <w:spacing w:line="360" w:lineRule="auto"/>
        <w:jc w:val="both"/>
        <w:rPr>
          <w:rFonts w:ascii="Palatino Linotype" w:eastAsia="Palatino Linotype" w:hAnsi="Palatino Linotype" w:cs="Palatino Linotype"/>
          <w:i/>
          <w:color w:val="000000" w:themeColor="text1"/>
        </w:rPr>
      </w:pPr>
    </w:p>
    <w:p w:rsidR="008F31E9" w:rsidRPr="00F85D6B" w:rsidRDefault="00D205DF" w:rsidP="003804D9">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color w:val="000000" w:themeColor="text1"/>
        </w:rPr>
        <w:t xml:space="preserve">El </w:t>
      </w:r>
      <w:r w:rsidRPr="00F85D6B">
        <w:rPr>
          <w:rFonts w:ascii="Palatino Linotype" w:eastAsia="Palatino Linotype" w:hAnsi="Palatino Linotype" w:cs="Palatino Linotype"/>
          <w:b/>
          <w:color w:val="000000" w:themeColor="text1"/>
        </w:rPr>
        <w:t>dos de julio de dos mil veinticinco,</w:t>
      </w:r>
      <w:r w:rsidRPr="00F85D6B">
        <w:rPr>
          <w:rFonts w:ascii="Palatino Linotype" w:eastAsia="Palatino Linotype" w:hAnsi="Palatino Linotype" w:cs="Palatino Linotype"/>
          <w:color w:val="000000" w:themeColor="text1"/>
        </w:rPr>
        <w:t xml:space="preserve"> se notificó acuerdo mediante el cual se decretó el cierre de instrucción. </w:t>
      </w:r>
    </w:p>
    <w:p w:rsidR="008F31E9" w:rsidRPr="00F85D6B" w:rsidRDefault="008F31E9" w:rsidP="003804D9">
      <w:pPr>
        <w:spacing w:line="360" w:lineRule="auto"/>
        <w:jc w:val="both"/>
        <w:rPr>
          <w:rFonts w:ascii="Palatino Linotype" w:eastAsia="Palatino Linotype" w:hAnsi="Palatino Linotype" w:cs="Palatino Linotype"/>
          <w:b/>
          <w:color w:val="000000" w:themeColor="text1"/>
        </w:rPr>
      </w:pPr>
    </w:p>
    <w:p w:rsidR="008F31E9" w:rsidRPr="00F85D6B" w:rsidRDefault="00D205DF" w:rsidP="003804D9">
      <w:pPr>
        <w:keepNext/>
        <w:keepLines/>
        <w:spacing w:line="360" w:lineRule="auto"/>
        <w:jc w:val="center"/>
        <w:rPr>
          <w:rFonts w:ascii="Palatino Linotype" w:eastAsia="Palatino Linotype" w:hAnsi="Palatino Linotype" w:cs="Palatino Linotype"/>
          <w:b/>
          <w:color w:val="000000" w:themeColor="text1"/>
        </w:rPr>
      </w:pPr>
      <w:bookmarkStart w:id="3" w:name="_heading=h.j67stfralumf" w:colFirst="0" w:colLast="0"/>
      <w:bookmarkEnd w:id="3"/>
      <w:r w:rsidRPr="00F85D6B">
        <w:rPr>
          <w:rFonts w:ascii="Palatino Linotype" w:eastAsia="Palatino Linotype" w:hAnsi="Palatino Linotype" w:cs="Palatino Linotype"/>
          <w:b/>
          <w:color w:val="000000" w:themeColor="text1"/>
        </w:rPr>
        <w:t>C</w:t>
      </w:r>
      <w:r w:rsidR="00843984"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O</w:t>
      </w:r>
      <w:r w:rsidR="00843984"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N</w:t>
      </w:r>
      <w:r w:rsidR="00843984"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S</w:t>
      </w:r>
      <w:r w:rsidR="00843984"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I</w:t>
      </w:r>
      <w:r w:rsidR="00843984"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D</w:t>
      </w:r>
      <w:r w:rsidR="00843984"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E</w:t>
      </w:r>
      <w:r w:rsidR="00843984"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R</w:t>
      </w:r>
      <w:r w:rsidR="00843984"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A</w:t>
      </w:r>
      <w:r w:rsidR="00843984"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N</w:t>
      </w:r>
      <w:r w:rsidR="00843984"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D</w:t>
      </w:r>
      <w:r w:rsidR="00843984"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b/>
          <w:color w:val="000000" w:themeColor="text1"/>
        </w:rPr>
        <w:t>O</w:t>
      </w:r>
    </w:p>
    <w:p w:rsidR="008F31E9" w:rsidRPr="00F85D6B" w:rsidRDefault="008F31E9" w:rsidP="003804D9">
      <w:pPr>
        <w:keepNext/>
        <w:keepLines/>
        <w:spacing w:line="360" w:lineRule="auto"/>
        <w:jc w:val="center"/>
        <w:rPr>
          <w:rFonts w:ascii="Palatino Linotype" w:eastAsia="Palatino Linotype" w:hAnsi="Palatino Linotype" w:cs="Palatino Linotype"/>
          <w:b/>
          <w:color w:val="000000" w:themeColor="text1"/>
        </w:rPr>
      </w:pPr>
    </w:p>
    <w:p w:rsidR="008F31E9" w:rsidRPr="00F85D6B" w:rsidRDefault="00D205DF" w:rsidP="003804D9">
      <w:pPr>
        <w:keepNext/>
        <w:keepLines/>
        <w:spacing w:line="360" w:lineRule="auto"/>
        <w:rPr>
          <w:rFonts w:ascii="Palatino Linotype" w:eastAsia="Palatino Linotype" w:hAnsi="Palatino Linotype" w:cs="Palatino Linotype"/>
          <w:b/>
          <w:color w:val="000000" w:themeColor="text1"/>
        </w:rPr>
      </w:pPr>
      <w:bookmarkStart w:id="4" w:name="_heading=h.bv8hdf2rbxwx" w:colFirst="0" w:colLast="0"/>
      <w:bookmarkEnd w:id="4"/>
      <w:r w:rsidRPr="00F85D6B">
        <w:rPr>
          <w:rFonts w:ascii="Palatino Linotype" w:eastAsia="Palatino Linotype" w:hAnsi="Palatino Linotype" w:cs="Palatino Linotype"/>
          <w:b/>
          <w:color w:val="000000" w:themeColor="text1"/>
        </w:rPr>
        <w:t>PRIMERO. De la competencia.</w:t>
      </w:r>
    </w:p>
    <w:p w:rsidR="008F31E9" w:rsidRPr="00F85D6B" w:rsidRDefault="00D205DF" w:rsidP="003804D9">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w:t>
      </w:r>
      <w:r w:rsidRPr="00F85D6B">
        <w:rPr>
          <w:rFonts w:ascii="Palatino Linotype" w:eastAsia="Palatino Linotype" w:hAnsi="Palatino Linotype" w:cs="Palatino Linotype"/>
          <w:color w:val="000000" w:themeColor="text1"/>
        </w:rPr>
        <w:lastRenderedPageBreak/>
        <w:t xml:space="preserve">de la </w:t>
      </w:r>
      <w:r w:rsidRPr="00F85D6B">
        <w:rPr>
          <w:rFonts w:ascii="Palatino Linotype" w:eastAsia="Palatino Linotype" w:hAnsi="Palatino Linotype" w:cs="Palatino Linotype"/>
          <w:b/>
          <w:color w:val="000000" w:themeColor="text1"/>
        </w:rPr>
        <w:t>Constitución Política de los Estados Unidos Mexicanos</w:t>
      </w:r>
      <w:r w:rsidRPr="00F85D6B">
        <w:rPr>
          <w:rFonts w:ascii="Palatino Linotype" w:eastAsia="Palatino Linotype" w:hAnsi="Palatino Linotype" w:cs="Palatino Linotype"/>
          <w:color w:val="000000" w:themeColor="text1"/>
        </w:rPr>
        <w:t xml:space="preserve">; 5, párrafos trigésimo séptimo, trigésimo octavo y trigésimo noveno, fracciones IV y V, de la </w:t>
      </w:r>
      <w:r w:rsidRPr="00F85D6B">
        <w:rPr>
          <w:rFonts w:ascii="Palatino Linotype" w:eastAsia="Palatino Linotype" w:hAnsi="Palatino Linotype" w:cs="Palatino Linotype"/>
          <w:b/>
          <w:color w:val="000000" w:themeColor="text1"/>
        </w:rPr>
        <w:t>Constitución Política del Estado Libre y Soberano de México</w:t>
      </w:r>
      <w:r w:rsidRPr="00F85D6B">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F85D6B">
        <w:rPr>
          <w:rFonts w:ascii="Palatino Linotype" w:eastAsia="Palatino Linotype" w:hAnsi="Palatino Linotype" w:cs="Palatino Linotype"/>
          <w:b/>
          <w:color w:val="000000" w:themeColor="text1"/>
        </w:rPr>
        <w:t>Ley de Transparencia y Acceso a la Información Pública del Estado de México y Municipios</w:t>
      </w:r>
      <w:r w:rsidRPr="00F85D6B">
        <w:rPr>
          <w:rFonts w:ascii="Palatino Linotype" w:eastAsia="Palatino Linotype" w:hAnsi="Palatino Linotype" w:cs="Palatino Linotype"/>
          <w:color w:val="000000" w:themeColor="text1"/>
        </w:rPr>
        <w:t xml:space="preserve">; y 7, 9 fracciones I y XXIII, y 11 del </w:t>
      </w:r>
      <w:r w:rsidRPr="00F85D6B">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8F31E9" w:rsidRPr="00F85D6B" w:rsidRDefault="00D205DF" w:rsidP="003804D9">
      <w:pPr>
        <w:keepNext/>
        <w:keepLines/>
        <w:spacing w:line="360" w:lineRule="auto"/>
        <w:rPr>
          <w:rFonts w:ascii="Palatino Linotype" w:eastAsia="Palatino Linotype" w:hAnsi="Palatino Linotype" w:cs="Palatino Linotype"/>
          <w:b/>
          <w:color w:val="000000" w:themeColor="text1"/>
        </w:rPr>
      </w:pPr>
      <w:bookmarkStart w:id="5" w:name="_heading=h.rfcc7fhrbi6z" w:colFirst="0" w:colLast="0"/>
      <w:bookmarkEnd w:id="5"/>
      <w:r w:rsidRPr="00F85D6B">
        <w:rPr>
          <w:rFonts w:ascii="Palatino Linotype" w:eastAsia="Palatino Linotype" w:hAnsi="Palatino Linotype" w:cs="Palatino Linotype"/>
          <w:b/>
          <w:color w:val="000000" w:themeColor="text1"/>
        </w:rPr>
        <w:t>SEGUNDO. De la oportunidad y procedencia.</w:t>
      </w:r>
    </w:p>
    <w:p w:rsidR="008F31E9" w:rsidRPr="00F85D6B" w:rsidRDefault="00D205DF" w:rsidP="003804D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El medio de impugnación fue presentado a través del </w:t>
      </w:r>
      <w:r w:rsidRPr="00F85D6B">
        <w:rPr>
          <w:rFonts w:ascii="Palatino Linotype" w:eastAsia="Palatino Linotype" w:hAnsi="Palatino Linotype" w:cs="Palatino Linotype"/>
          <w:b/>
          <w:color w:val="000000" w:themeColor="text1"/>
        </w:rPr>
        <w:t>SAIMEX,</w:t>
      </w:r>
      <w:r w:rsidRPr="00F85D6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85D6B">
        <w:rPr>
          <w:rFonts w:ascii="Palatino Linotype" w:eastAsia="Palatino Linotype" w:hAnsi="Palatino Linotype" w:cs="Palatino Linotype"/>
          <w:b/>
          <w:color w:val="000000" w:themeColor="text1"/>
        </w:rPr>
        <w:t>SUJETO OBLIGADO</w:t>
      </w:r>
      <w:r w:rsidRPr="00F85D6B">
        <w:rPr>
          <w:rFonts w:ascii="Palatino Linotype" w:eastAsia="Palatino Linotype" w:hAnsi="Palatino Linotype" w:cs="Palatino Linotype"/>
          <w:color w:val="000000" w:themeColor="text1"/>
        </w:rPr>
        <w:t xml:space="preserve"> entregó respuesta el día </w:t>
      </w:r>
      <w:r w:rsidRPr="00F85D6B">
        <w:rPr>
          <w:rFonts w:ascii="Palatino Linotype" w:eastAsia="Palatino Linotype" w:hAnsi="Palatino Linotype" w:cs="Palatino Linotype"/>
          <w:b/>
          <w:color w:val="000000" w:themeColor="text1"/>
        </w:rPr>
        <w:t>seis de mayo de dos mil veinticinco</w:t>
      </w:r>
      <w:r w:rsidRPr="00F85D6B">
        <w:rPr>
          <w:rFonts w:ascii="Palatino Linotype" w:eastAsia="Palatino Linotype" w:hAnsi="Palatino Linotype" w:cs="Palatino Linotype"/>
          <w:color w:val="000000" w:themeColor="text1"/>
        </w:rPr>
        <w:t xml:space="preserve">, de tal forma que el plazo para interponer el recurso transcurrió del </w:t>
      </w:r>
      <w:r w:rsidRPr="00F85D6B">
        <w:rPr>
          <w:rFonts w:ascii="Palatino Linotype" w:eastAsia="Palatino Linotype" w:hAnsi="Palatino Linotype" w:cs="Palatino Linotype"/>
          <w:b/>
          <w:color w:val="000000" w:themeColor="text1"/>
        </w:rPr>
        <w:t>siete al veintisiete de mayo de dos mil veinticinco</w:t>
      </w:r>
      <w:r w:rsidRPr="00F85D6B">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w:t>
      </w:r>
      <w:r w:rsidRPr="00F85D6B">
        <w:rPr>
          <w:rFonts w:ascii="Palatino Linotype" w:eastAsia="Palatino Linotype" w:hAnsi="Palatino Linotype" w:cs="Palatino Linotype"/>
          <w:b/>
          <w:color w:val="000000" w:themeColor="text1"/>
        </w:rPr>
        <w:t>siete de mayo de dos mil veinticinco</w:t>
      </w:r>
      <w:r w:rsidRPr="00F85D6B">
        <w:rPr>
          <w:rFonts w:ascii="Palatino Linotype" w:eastAsia="Palatino Linotype" w:hAnsi="Palatino Linotype" w:cs="Palatino Linotype"/>
          <w:color w:val="000000" w:themeColor="text1"/>
        </w:rPr>
        <w:t xml:space="preserve">, se encuentra dentro de los márgenes temporales previstos en el artículo 178 de la </w:t>
      </w:r>
      <w:r w:rsidRPr="00F85D6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85D6B">
        <w:rPr>
          <w:rFonts w:ascii="Palatino Linotype" w:eastAsia="Palatino Linotype" w:hAnsi="Palatino Linotype" w:cs="Palatino Linotype"/>
          <w:color w:val="000000" w:themeColor="text1"/>
        </w:rPr>
        <w:t>vigente.</w:t>
      </w:r>
    </w:p>
    <w:p w:rsidR="008F31E9" w:rsidRPr="00F85D6B" w:rsidRDefault="008F31E9" w:rsidP="003804D9">
      <w:pPr>
        <w:spacing w:line="360" w:lineRule="auto"/>
        <w:rPr>
          <w:rFonts w:ascii="Palatino Linotype" w:eastAsia="Palatino Linotype" w:hAnsi="Palatino Linotype" w:cs="Palatino Linotype"/>
          <w:color w:val="000000" w:themeColor="text1"/>
        </w:rPr>
      </w:pPr>
    </w:p>
    <w:p w:rsidR="008F31E9" w:rsidRPr="00F85D6B" w:rsidRDefault="00D205DF" w:rsidP="003804D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85D6B">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F31E9" w:rsidRPr="00F85D6B" w:rsidRDefault="00D205DF" w:rsidP="003804D9">
      <w:pPr>
        <w:keepNext/>
        <w:keepLines/>
        <w:spacing w:line="360" w:lineRule="auto"/>
        <w:rPr>
          <w:rFonts w:ascii="Palatino Linotype" w:eastAsia="Palatino Linotype" w:hAnsi="Palatino Linotype" w:cs="Palatino Linotype"/>
          <w:b/>
          <w:color w:val="000000" w:themeColor="text1"/>
        </w:rPr>
      </w:pPr>
      <w:bookmarkStart w:id="6" w:name="_heading=h.nt97aicsek6p" w:colFirst="0" w:colLast="0"/>
      <w:bookmarkEnd w:id="6"/>
      <w:r w:rsidRPr="00F85D6B">
        <w:rPr>
          <w:rFonts w:ascii="Palatino Linotype" w:eastAsia="Palatino Linotype" w:hAnsi="Palatino Linotype" w:cs="Palatino Linotype"/>
          <w:b/>
          <w:color w:val="000000" w:themeColor="text1"/>
        </w:rPr>
        <w:lastRenderedPageBreak/>
        <w:t>TERCERO. Planteamiento de la Litis.</w:t>
      </w: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color w:val="000000" w:themeColor="text1"/>
        </w:rPr>
        <w:t>El particular solicitó:</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w:t>
      </w:r>
      <w:r w:rsidR="00D205DF" w:rsidRPr="00F85D6B">
        <w:rPr>
          <w:rFonts w:ascii="Palatino Linotype" w:eastAsia="Palatino Linotype" w:hAnsi="Palatino Linotype" w:cs="Palatino Linotype"/>
          <w:color w:val="000000" w:themeColor="text1"/>
        </w:rPr>
        <w:t xml:space="preserve"> Organigrama General. </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2.</w:t>
      </w:r>
      <w:r w:rsidR="00D205DF" w:rsidRPr="00F85D6B">
        <w:rPr>
          <w:rFonts w:ascii="Palatino Linotype" w:eastAsia="Palatino Linotype" w:hAnsi="Palatino Linotype" w:cs="Palatino Linotype"/>
          <w:color w:val="000000" w:themeColor="text1"/>
        </w:rPr>
        <w:t xml:space="preserve"> Remuneraciones de mandos medios y superiores. </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3.</w:t>
      </w:r>
      <w:r w:rsidR="00D205DF" w:rsidRPr="00F85D6B">
        <w:rPr>
          <w:rFonts w:ascii="Palatino Linotype" w:eastAsia="Palatino Linotype" w:hAnsi="Palatino Linotype" w:cs="Palatino Linotype"/>
          <w:color w:val="000000" w:themeColor="text1"/>
        </w:rPr>
        <w:t xml:space="preserve"> Trámites y Servicios de todas las áreas. </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4.</w:t>
      </w:r>
      <w:r w:rsidR="00D205DF" w:rsidRPr="00F85D6B">
        <w:rPr>
          <w:rFonts w:ascii="Palatino Linotype" w:eastAsia="Palatino Linotype" w:hAnsi="Palatino Linotype" w:cs="Palatino Linotype"/>
          <w:color w:val="000000" w:themeColor="text1"/>
        </w:rPr>
        <w:t xml:space="preserve"> Presupuesto asignado al Sujeto Obligado </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5.</w:t>
      </w:r>
      <w:r w:rsidR="00D205DF" w:rsidRPr="00F85D6B">
        <w:rPr>
          <w:rFonts w:ascii="Palatino Linotype" w:eastAsia="Palatino Linotype" w:hAnsi="Palatino Linotype" w:cs="Palatino Linotype"/>
          <w:color w:val="000000" w:themeColor="text1"/>
        </w:rPr>
        <w:t xml:space="preserve"> Aviso de Privacidad (Integran y Simplificados) vigentes. </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6. </w:t>
      </w:r>
      <w:r w:rsidR="00D205DF" w:rsidRPr="00F85D6B">
        <w:rPr>
          <w:rFonts w:ascii="Palatino Linotype" w:eastAsia="Palatino Linotype" w:hAnsi="Palatino Linotype" w:cs="Palatino Linotype"/>
          <w:color w:val="000000" w:themeColor="text1"/>
        </w:rPr>
        <w:t xml:space="preserve">Documentos de Seguridad de todas las áreas. </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7.</w:t>
      </w:r>
      <w:r w:rsidR="00D205DF" w:rsidRPr="00F85D6B">
        <w:rPr>
          <w:rFonts w:ascii="Palatino Linotype" w:eastAsia="Palatino Linotype" w:hAnsi="Palatino Linotype" w:cs="Palatino Linotype"/>
          <w:color w:val="000000" w:themeColor="text1"/>
        </w:rPr>
        <w:t xml:space="preserve"> Obligaciones con las que cumple el Sujeto obligado (Simples y mm,</w:t>
      </w:r>
    </w:p>
    <w:p w:rsidR="008F31E9" w:rsidRPr="00F85D6B" w:rsidRDefault="00D205DF"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Específicas). </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8.</w:t>
      </w:r>
      <w:r w:rsidR="00D205DF" w:rsidRPr="00F85D6B">
        <w:rPr>
          <w:rFonts w:ascii="Palatino Linotype" w:eastAsia="Palatino Linotype" w:hAnsi="Palatino Linotype" w:cs="Palatino Linotype"/>
          <w:color w:val="000000" w:themeColor="text1"/>
        </w:rPr>
        <w:t xml:space="preserve"> Resultados de los últimos 3 años de la Verificaciones Oficiosas que ha realizado el (INFOEM). </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9.</w:t>
      </w:r>
      <w:r w:rsidR="00D205DF" w:rsidRPr="00F85D6B">
        <w:rPr>
          <w:rFonts w:ascii="Palatino Linotype" w:eastAsia="Palatino Linotype" w:hAnsi="Palatino Linotype" w:cs="Palatino Linotype"/>
          <w:color w:val="000000" w:themeColor="text1"/>
        </w:rPr>
        <w:t xml:space="preserve"> Acta de Instalación del Comité de Transparencia. </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10.</w:t>
      </w:r>
      <w:r w:rsidR="00D205DF" w:rsidRPr="00F85D6B">
        <w:rPr>
          <w:rFonts w:ascii="Palatino Linotype" w:eastAsia="Palatino Linotype" w:hAnsi="Palatino Linotype" w:cs="Palatino Linotype"/>
          <w:color w:val="000000" w:themeColor="text1"/>
        </w:rPr>
        <w:t xml:space="preserve"> Acta de Instalación del Sistema de Anticorrupción. </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11.</w:t>
      </w:r>
      <w:r w:rsidR="00D205DF" w:rsidRPr="00F85D6B">
        <w:rPr>
          <w:rFonts w:ascii="Palatino Linotype" w:eastAsia="Palatino Linotype" w:hAnsi="Palatino Linotype" w:cs="Palatino Linotype"/>
          <w:color w:val="000000" w:themeColor="text1"/>
        </w:rPr>
        <w:t xml:space="preserve"> Cuantas Solicitudes de Acceso a la Información han atendido en los últimos 3 años. </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12.</w:t>
      </w:r>
      <w:r w:rsidR="00D205DF" w:rsidRPr="00F85D6B">
        <w:rPr>
          <w:rFonts w:ascii="Palatino Linotype" w:eastAsia="Palatino Linotype" w:hAnsi="Palatino Linotype" w:cs="Palatino Linotype"/>
          <w:color w:val="000000" w:themeColor="text1"/>
        </w:rPr>
        <w:t xml:space="preserve"> Cuantas Solicitudes de Datos Personales han atendido en los últimos 3 años. </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13.</w:t>
      </w:r>
      <w:r w:rsidR="00D205DF" w:rsidRPr="00F85D6B">
        <w:rPr>
          <w:rFonts w:ascii="Palatino Linotype" w:eastAsia="Palatino Linotype" w:hAnsi="Palatino Linotype" w:cs="Palatino Linotype"/>
          <w:color w:val="000000" w:themeColor="text1"/>
        </w:rPr>
        <w:t xml:space="preserve"> Cuantos Recursos de Revisión han atendido en los últimos 3 años. </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14.</w:t>
      </w:r>
      <w:r w:rsidR="00D205DF" w:rsidRPr="00F85D6B">
        <w:rPr>
          <w:rFonts w:ascii="Palatino Linotype" w:eastAsia="Palatino Linotype" w:hAnsi="Palatino Linotype" w:cs="Palatino Linotype"/>
          <w:color w:val="000000" w:themeColor="text1"/>
        </w:rPr>
        <w:t xml:space="preserve"> Cuantos Incumplimientos han atendido en los últimos 3 años. </w:t>
      </w:r>
    </w:p>
    <w:p w:rsidR="008F31E9" w:rsidRPr="00F85D6B" w:rsidRDefault="00433251" w:rsidP="003804D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15.</w:t>
      </w:r>
      <w:r w:rsidR="00D205DF" w:rsidRPr="00F85D6B">
        <w:rPr>
          <w:rFonts w:ascii="Palatino Linotype" w:eastAsia="Palatino Linotype" w:hAnsi="Palatino Linotype" w:cs="Palatino Linotype"/>
          <w:color w:val="000000" w:themeColor="text1"/>
        </w:rPr>
        <w:t xml:space="preserve"> Que acciones han generado en el tema de Transparencias Proactiva en los últimos 3 años.</w:t>
      </w:r>
    </w:p>
    <w:p w:rsidR="008F31E9" w:rsidRPr="00F85D6B" w:rsidRDefault="008F31E9" w:rsidP="003804D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color w:val="000000" w:themeColor="text1"/>
        </w:rPr>
        <w:t xml:space="preserve">En respuesta, el Sujeto Obligado entregó, diversos documentos para garantizar el derecho de acceso a la información del particular; posteriormente, el Recurrente interpuso recurso de revisión en el que señaló su inconformidad por la entrega de información incompleta.  </w:t>
      </w: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lastRenderedPageBreak/>
        <w:t xml:space="preserve">En consecuencia, la Litis a resolver en este recurso, se circunscribe a determinar si la respuesta colma con lo solicitado o si se actualiza la causal de procedencia prevista en el artículo 179, fracción V de la Ley de Transparencia y Acceso a la Información Pública del Estado de México y Municipios; que establece la entrega de información incompleta. </w:t>
      </w:r>
    </w:p>
    <w:p w:rsidR="008F31E9" w:rsidRPr="00F85D6B" w:rsidRDefault="008F31E9"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prtrppr1rghp" w:colFirst="0" w:colLast="0"/>
      <w:bookmarkEnd w:id="7"/>
      <w:r w:rsidRPr="00F85D6B">
        <w:rPr>
          <w:rFonts w:ascii="Palatino Linotype" w:eastAsia="Palatino Linotype" w:hAnsi="Palatino Linotype" w:cs="Palatino Linotype"/>
          <w:b/>
          <w:color w:val="000000" w:themeColor="text1"/>
          <w:sz w:val="24"/>
          <w:szCs w:val="24"/>
        </w:rPr>
        <w:t>CUARTO. Del estudio y resolución del recurso de revisión.</w:t>
      </w:r>
    </w:p>
    <w:p w:rsidR="008F31E9" w:rsidRPr="00F85D6B" w:rsidRDefault="00D205DF" w:rsidP="003804D9">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e0ocbjbyxnq1" w:colFirst="0" w:colLast="0"/>
      <w:bookmarkStart w:id="9" w:name="_heading=h.fpecwrgkh5e0" w:colFirst="0" w:colLast="0"/>
      <w:bookmarkEnd w:id="8"/>
      <w:bookmarkEnd w:id="9"/>
      <w:r w:rsidRPr="00F85D6B">
        <w:rPr>
          <w:rFonts w:ascii="Palatino Linotype" w:eastAsia="Palatino Linotype" w:hAnsi="Palatino Linotype" w:cs="Palatino Linotype"/>
          <w:b/>
          <w:color w:val="000000" w:themeColor="text1"/>
          <w:sz w:val="24"/>
          <w:szCs w:val="24"/>
        </w:rPr>
        <w:t>De la información solicitada y la respuesta del Sujeto Obligado</w:t>
      </w: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8F31E9" w:rsidRPr="00F85D6B" w:rsidRDefault="008F31E9"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Para efectos de estudio, se inserta la siguiente tabla con la solicitud, respuesta, informe justificado y observaciones sobre la información entregada:</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tbl>
      <w:tblPr>
        <w:tblStyle w:val="a1"/>
        <w:tblW w:w="9034"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258"/>
        <w:gridCol w:w="2258"/>
        <w:gridCol w:w="2259"/>
        <w:gridCol w:w="2259"/>
      </w:tblGrid>
      <w:tr w:rsidR="003804D9" w:rsidRPr="00F85D6B" w:rsidTr="008F3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D205DF" w:rsidP="003804D9">
            <w:pPr>
              <w:pBdr>
                <w:top w:val="nil"/>
                <w:left w:val="nil"/>
                <w:bottom w:val="nil"/>
                <w:right w:val="nil"/>
                <w:between w:val="nil"/>
              </w:pBdr>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val="0"/>
                <w:color w:val="000000" w:themeColor="text1"/>
              </w:rPr>
              <w:t>SOLICITUD</w:t>
            </w:r>
          </w:p>
        </w:tc>
        <w:tc>
          <w:tcPr>
            <w:tcW w:w="2258" w:type="dxa"/>
          </w:tcPr>
          <w:p w:rsidR="008F31E9" w:rsidRPr="00F85D6B" w:rsidRDefault="00D205DF" w:rsidP="003804D9">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val="0"/>
                <w:color w:val="000000" w:themeColor="text1"/>
              </w:rPr>
              <w:t>RESPUESTA</w:t>
            </w:r>
          </w:p>
        </w:tc>
        <w:tc>
          <w:tcPr>
            <w:tcW w:w="2259" w:type="dxa"/>
          </w:tcPr>
          <w:p w:rsidR="008F31E9" w:rsidRPr="00F85D6B" w:rsidRDefault="00D205DF" w:rsidP="003804D9">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val="0"/>
                <w:color w:val="000000" w:themeColor="text1"/>
              </w:rPr>
              <w:t>INFORME JUSTIFICADO</w:t>
            </w:r>
          </w:p>
        </w:tc>
        <w:tc>
          <w:tcPr>
            <w:tcW w:w="2259" w:type="dxa"/>
          </w:tcPr>
          <w:p w:rsidR="008F31E9" w:rsidRPr="00F85D6B" w:rsidRDefault="00D205DF" w:rsidP="003804D9">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val="0"/>
                <w:color w:val="000000" w:themeColor="text1"/>
              </w:rPr>
              <w:t>OBSERVACIONES</w:t>
            </w:r>
          </w:p>
        </w:tc>
      </w:tr>
      <w:tr w:rsidR="003804D9" w:rsidRPr="00F85D6B" w:rsidTr="008F3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D205DF" w:rsidP="003804D9">
            <w:pPr>
              <w:pBdr>
                <w:top w:val="nil"/>
                <w:left w:val="nil"/>
                <w:bottom w:val="nil"/>
                <w:right w:val="nil"/>
                <w:between w:val="nil"/>
              </w:pBdr>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val="0"/>
                <w:color w:val="000000" w:themeColor="text1"/>
              </w:rPr>
              <w:t xml:space="preserve">1. Organigrama General. </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El Subdirector de Recursos Humanos entregó 17 organigramas. </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Ratificó respuesta</w:t>
            </w: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COLMA</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La respuesta fue entregada por el servidor público habilitado.</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3804D9" w:rsidRPr="00F85D6B" w:rsidTr="008F31E9">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433251" w:rsidP="003804D9">
            <w:pPr>
              <w:pBdr>
                <w:top w:val="nil"/>
                <w:left w:val="nil"/>
                <w:bottom w:val="nil"/>
                <w:right w:val="nil"/>
                <w:between w:val="nil"/>
              </w:pBdr>
              <w:rPr>
                <w:rFonts w:ascii="Palatino Linotype" w:eastAsia="Palatino Linotype" w:hAnsi="Palatino Linotype" w:cs="Palatino Linotype"/>
                <w:color w:val="000000" w:themeColor="text1"/>
              </w:rPr>
            </w:pPr>
            <w:r>
              <w:rPr>
                <w:rFonts w:ascii="Palatino Linotype" w:eastAsia="Palatino Linotype" w:hAnsi="Palatino Linotype" w:cs="Palatino Linotype"/>
                <w:b w:val="0"/>
                <w:color w:val="000000" w:themeColor="text1"/>
              </w:rPr>
              <w:lastRenderedPageBreak/>
              <w:t>2.</w:t>
            </w:r>
            <w:r w:rsidR="00D205DF" w:rsidRPr="00F85D6B">
              <w:rPr>
                <w:rFonts w:ascii="Palatino Linotype" w:eastAsia="Palatino Linotype" w:hAnsi="Palatino Linotype" w:cs="Palatino Linotype"/>
                <w:b w:val="0"/>
                <w:color w:val="000000" w:themeColor="text1"/>
              </w:rPr>
              <w:t xml:space="preserve"> Remuneraciones de mandos medios y superiores. </w:t>
            </w:r>
          </w:p>
          <w:p w:rsidR="008F31E9" w:rsidRPr="00F85D6B" w:rsidRDefault="008F31E9" w:rsidP="003804D9">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El subdirector de Recursos Humanos entregó una liga electrónica en datos abiertos y las instrucciones para acceder al apartado de remuneraciones en el IPOMEX del Sujeto Obligado. </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c>
          <w:tcPr>
            <w:tcW w:w="2259"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Ratificó respuesta</w:t>
            </w:r>
          </w:p>
        </w:tc>
        <w:tc>
          <w:tcPr>
            <w:tcW w:w="2259"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COLMA</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La respuesta fue entregada por el servidor público habilitado.</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La liga remite a la información solicitada. </w:t>
            </w:r>
          </w:p>
        </w:tc>
      </w:tr>
      <w:tr w:rsidR="003804D9" w:rsidRPr="00F85D6B" w:rsidTr="008F3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433251" w:rsidP="003804D9">
            <w:pPr>
              <w:pBdr>
                <w:top w:val="nil"/>
                <w:left w:val="nil"/>
                <w:bottom w:val="nil"/>
                <w:right w:val="nil"/>
                <w:between w:val="nil"/>
              </w:pBd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val="0"/>
                <w:color w:val="000000" w:themeColor="text1"/>
              </w:rPr>
              <w:t>3.</w:t>
            </w:r>
            <w:r w:rsidR="00D205DF" w:rsidRPr="00F85D6B">
              <w:rPr>
                <w:rFonts w:ascii="Palatino Linotype" w:eastAsia="Palatino Linotype" w:hAnsi="Palatino Linotype" w:cs="Palatino Linotype"/>
                <w:b w:val="0"/>
                <w:color w:val="000000" w:themeColor="text1"/>
              </w:rPr>
              <w:t xml:space="preserve"> Trámites y Servicios de todas las áreas.</w:t>
            </w:r>
          </w:p>
          <w:p w:rsidR="008F31E9" w:rsidRPr="00F85D6B" w:rsidRDefault="008F31E9" w:rsidP="003804D9">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Entregó una liga electrónica en datos cerrados. </w:t>
            </w: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La Coordinadora Municipal de Mejora Regulatoria entregó 213 cédulas de información.</w:t>
            </w: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COLMA</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En informe justificado, el Sujeto Obligado entregó la información solicitada. </w:t>
            </w:r>
          </w:p>
        </w:tc>
      </w:tr>
      <w:tr w:rsidR="003804D9" w:rsidRPr="00F85D6B" w:rsidTr="008F31E9">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433251" w:rsidP="003804D9">
            <w:pPr>
              <w:pBdr>
                <w:top w:val="nil"/>
                <w:left w:val="nil"/>
                <w:bottom w:val="nil"/>
                <w:right w:val="nil"/>
                <w:between w:val="nil"/>
              </w:pBdr>
              <w:rPr>
                <w:rFonts w:ascii="Palatino Linotype" w:eastAsia="Palatino Linotype" w:hAnsi="Palatino Linotype" w:cs="Palatino Linotype"/>
                <w:color w:val="000000" w:themeColor="text1"/>
              </w:rPr>
            </w:pPr>
            <w:r>
              <w:rPr>
                <w:rFonts w:ascii="Palatino Linotype" w:eastAsia="Palatino Linotype" w:hAnsi="Palatino Linotype" w:cs="Palatino Linotype"/>
                <w:b w:val="0"/>
                <w:color w:val="000000" w:themeColor="text1"/>
              </w:rPr>
              <w:t>4.</w:t>
            </w:r>
            <w:r w:rsidR="00D205DF" w:rsidRPr="00F85D6B">
              <w:rPr>
                <w:rFonts w:ascii="Palatino Linotype" w:eastAsia="Palatino Linotype" w:hAnsi="Palatino Linotype" w:cs="Palatino Linotype"/>
                <w:b w:val="0"/>
                <w:color w:val="000000" w:themeColor="text1"/>
              </w:rPr>
              <w:t xml:space="preserve"> Presupuesto asignado al Sujeto Obligado </w:t>
            </w:r>
          </w:p>
          <w:p w:rsidR="008F31E9" w:rsidRPr="00F85D6B" w:rsidRDefault="008F31E9" w:rsidP="003804D9">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La Tesorería  Municipal señaló una liga electrónica en datos cerrados. </w:t>
            </w:r>
          </w:p>
        </w:tc>
        <w:tc>
          <w:tcPr>
            <w:tcW w:w="2259"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Tesorería Municipal entregó una nueva liga electrónica que no está en datos abiertos. </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c>
          <w:tcPr>
            <w:tcW w:w="2259"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NO COLMA</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La liga no está en datos abiertos.</w:t>
            </w:r>
          </w:p>
        </w:tc>
      </w:tr>
      <w:tr w:rsidR="003804D9" w:rsidRPr="00F85D6B" w:rsidTr="008F3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433251" w:rsidP="003804D9">
            <w:pPr>
              <w:pBdr>
                <w:top w:val="nil"/>
                <w:left w:val="nil"/>
                <w:bottom w:val="nil"/>
                <w:right w:val="nil"/>
                <w:between w:val="nil"/>
              </w:pBdr>
              <w:rPr>
                <w:rFonts w:ascii="Palatino Linotype" w:eastAsia="Palatino Linotype" w:hAnsi="Palatino Linotype" w:cs="Palatino Linotype"/>
                <w:color w:val="000000" w:themeColor="text1"/>
              </w:rPr>
            </w:pPr>
            <w:r>
              <w:rPr>
                <w:rFonts w:ascii="Palatino Linotype" w:eastAsia="Palatino Linotype" w:hAnsi="Palatino Linotype" w:cs="Palatino Linotype"/>
                <w:b w:val="0"/>
                <w:color w:val="000000" w:themeColor="text1"/>
              </w:rPr>
              <w:t>5.</w:t>
            </w:r>
            <w:r w:rsidR="00D205DF" w:rsidRPr="00F85D6B">
              <w:rPr>
                <w:rFonts w:ascii="Palatino Linotype" w:eastAsia="Palatino Linotype" w:hAnsi="Palatino Linotype" w:cs="Palatino Linotype"/>
                <w:b w:val="0"/>
                <w:color w:val="000000" w:themeColor="text1"/>
              </w:rPr>
              <w:t xml:space="preserve"> Aviso de Privacidad (Integran y Simplificados) vigentes. </w:t>
            </w:r>
          </w:p>
          <w:p w:rsidR="008F31E9" w:rsidRPr="00F85D6B" w:rsidRDefault="008F31E9" w:rsidP="003804D9">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El Coordinador de la Unidad de Transparencia entregó 47 avisos de privacidad.</w:t>
            </w: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Ratificó respuesta</w:t>
            </w: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COLMA</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La respuesta fue entregada por el servidor público habilitado.</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3804D9" w:rsidRPr="00F85D6B" w:rsidTr="008F31E9">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433251" w:rsidP="003804D9">
            <w:pPr>
              <w:pBdr>
                <w:top w:val="nil"/>
                <w:left w:val="nil"/>
                <w:bottom w:val="nil"/>
                <w:right w:val="nil"/>
                <w:between w:val="nil"/>
              </w:pBdr>
              <w:rPr>
                <w:rFonts w:ascii="Palatino Linotype" w:eastAsia="Palatino Linotype" w:hAnsi="Palatino Linotype" w:cs="Palatino Linotype"/>
                <w:color w:val="000000" w:themeColor="text1"/>
              </w:rPr>
            </w:pPr>
            <w:r>
              <w:rPr>
                <w:rFonts w:ascii="Palatino Linotype" w:eastAsia="Palatino Linotype" w:hAnsi="Palatino Linotype" w:cs="Palatino Linotype"/>
                <w:b w:val="0"/>
                <w:color w:val="000000" w:themeColor="text1"/>
              </w:rPr>
              <w:t>6.</w:t>
            </w:r>
            <w:r w:rsidR="00D205DF" w:rsidRPr="00F85D6B">
              <w:rPr>
                <w:rFonts w:ascii="Palatino Linotype" w:eastAsia="Palatino Linotype" w:hAnsi="Palatino Linotype" w:cs="Palatino Linotype"/>
                <w:b w:val="0"/>
                <w:color w:val="000000" w:themeColor="text1"/>
              </w:rPr>
              <w:t xml:space="preserve"> Documentos de Seguridad de todas las áreas. </w:t>
            </w:r>
          </w:p>
          <w:p w:rsidR="008F31E9" w:rsidRPr="00F85D6B" w:rsidRDefault="008F31E9" w:rsidP="003804D9">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lastRenderedPageBreak/>
              <w:t xml:space="preserve">El Coordinador de la Unidad de Transparencia </w:t>
            </w:r>
            <w:r w:rsidRPr="00F85D6B">
              <w:rPr>
                <w:rFonts w:ascii="Palatino Linotype" w:eastAsia="Palatino Linotype" w:hAnsi="Palatino Linotype" w:cs="Palatino Linotype"/>
                <w:color w:val="000000" w:themeColor="text1"/>
              </w:rPr>
              <w:lastRenderedPageBreak/>
              <w:t>entregó 51 documentos de seguridad en versión pública.</w:t>
            </w:r>
          </w:p>
        </w:tc>
        <w:tc>
          <w:tcPr>
            <w:tcW w:w="2259"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lastRenderedPageBreak/>
              <w:t>Ratificó respuesta</w:t>
            </w:r>
          </w:p>
        </w:tc>
        <w:tc>
          <w:tcPr>
            <w:tcW w:w="2259"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COLMA DE FORMA PARCIAL</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82595D"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lastRenderedPageBreak/>
              <w:t xml:space="preserve">El </w:t>
            </w:r>
            <w:r w:rsidR="00D205DF" w:rsidRPr="00F85D6B">
              <w:rPr>
                <w:rFonts w:ascii="Palatino Linotype" w:eastAsia="Palatino Linotype" w:hAnsi="Palatino Linotype" w:cs="Palatino Linotype"/>
                <w:color w:val="000000" w:themeColor="text1"/>
              </w:rPr>
              <w:t>acuerdo del Comi</w:t>
            </w:r>
            <w:r w:rsidRPr="00F85D6B">
              <w:rPr>
                <w:rFonts w:ascii="Palatino Linotype" w:eastAsia="Palatino Linotype" w:hAnsi="Palatino Linotype" w:cs="Palatino Linotype"/>
                <w:color w:val="000000" w:themeColor="text1"/>
              </w:rPr>
              <w:t>té de Transparencia que sustenta</w:t>
            </w:r>
            <w:r w:rsidR="00D205DF" w:rsidRPr="00F85D6B">
              <w:rPr>
                <w:rFonts w:ascii="Palatino Linotype" w:eastAsia="Palatino Linotype" w:hAnsi="Palatino Linotype" w:cs="Palatino Linotype"/>
                <w:color w:val="000000" w:themeColor="text1"/>
              </w:rPr>
              <w:t xml:space="preserve"> la versión pública de la información en</w:t>
            </w:r>
            <w:r w:rsidRPr="00F85D6B">
              <w:rPr>
                <w:rFonts w:ascii="Palatino Linotype" w:eastAsia="Palatino Linotype" w:hAnsi="Palatino Linotype" w:cs="Palatino Linotype"/>
                <w:color w:val="000000" w:themeColor="text1"/>
              </w:rPr>
              <w:t xml:space="preserve">tregada en respuesta, se entregó de forma incompleta. </w:t>
            </w:r>
          </w:p>
        </w:tc>
      </w:tr>
      <w:tr w:rsidR="003804D9" w:rsidRPr="00F85D6B" w:rsidTr="008F3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433251" w:rsidP="003804D9">
            <w:pPr>
              <w:pBdr>
                <w:top w:val="nil"/>
                <w:left w:val="nil"/>
                <w:bottom w:val="nil"/>
                <w:right w:val="nil"/>
                <w:between w:val="nil"/>
              </w:pBdr>
              <w:rPr>
                <w:rFonts w:ascii="Palatino Linotype" w:eastAsia="Palatino Linotype" w:hAnsi="Palatino Linotype" w:cs="Palatino Linotype"/>
                <w:color w:val="000000" w:themeColor="text1"/>
              </w:rPr>
            </w:pPr>
            <w:r>
              <w:rPr>
                <w:rFonts w:ascii="Palatino Linotype" w:eastAsia="Palatino Linotype" w:hAnsi="Palatino Linotype" w:cs="Palatino Linotype"/>
                <w:b w:val="0"/>
                <w:color w:val="000000" w:themeColor="text1"/>
              </w:rPr>
              <w:lastRenderedPageBreak/>
              <w:t>7.</w:t>
            </w:r>
            <w:r w:rsidR="00D205DF" w:rsidRPr="00F85D6B">
              <w:rPr>
                <w:rFonts w:ascii="Palatino Linotype" w:eastAsia="Palatino Linotype" w:hAnsi="Palatino Linotype" w:cs="Palatino Linotype"/>
                <w:b w:val="0"/>
                <w:color w:val="000000" w:themeColor="text1"/>
              </w:rPr>
              <w:t xml:space="preserve"> Obligaciones con las que cumple el Sujeto obligado (Simples y,</w:t>
            </w:r>
          </w:p>
          <w:p w:rsidR="008F31E9" w:rsidRPr="00F85D6B" w:rsidRDefault="00D205DF" w:rsidP="003804D9">
            <w:pPr>
              <w:pBdr>
                <w:top w:val="nil"/>
                <w:left w:val="nil"/>
                <w:bottom w:val="nil"/>
                <w:right w:val="nil"/>
                <w:between w:val="nil"/>
              </w:pBdr>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val="0"/>
                <w:color w:val="000000" w:themeColor="text1"/>
              </w:rPr>
              <w:t xml:space="preserve">Específicas). </w:t>
            </w:r>
          </w:p>
          <w:p w:rsidR="008F31E9" w:rsidRPr="00F85D6B" w:rsidRDefault="008F31E9" w:rsidP="003804D9">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El Coordinador de la Unidad de Transparencia entregó </w:t>
            </w: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Un documento con una tabla con las obligaciones simples y específicas por fracción.</w:t>
            </w: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Ratificó respuesta</w:t>
            </w: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COLMA</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La respuesta fue entregada por el servidor público habilitado.</w:t>
            </w:r>
          </w:p>
          <w:p w:rsidR="008F31E9" w:rsidRPr="00F85D6B" w:rsidRDefault="008F31E9" w:rsidP="003804D9">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3804D9" w:rsidRPr="00F85D6B" w:rsidTr="008F31E9">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433251" w:rsidP="003804D9">
            <w:pPr>
              <w:pBdr>
                <w:top w:val="nil"/>
                <w:left w:val="nil"/>
                <w:bottom w:val="nil"/>
                <w:right w:val="nil"/>
                <w:between w:val="nil"/>
              </w:pBdr>
              <w:rPr>
                <w:rFonts w:ascii="Palatino Linotype" w:eastAsia="Palatino Linotype" w:hAnsi="Palatino Linotype" w:cs="Palatino Linotype"/>
                <w:color w:val="000000" w:themeColor="text1"/>
              </w:rPr>
            </w:pPr>
            <w:r>
              <w:rPr>
                <w:rFonts w:ascii="Palatino Linotype" w:eastAsia="Palatino Linotype" w:hAnsi="Palatino Linotype" w:cs="Palatino Linotype"/>
                <w:b w:val="0"/>
                <w:color w:val="000000" w:themeColor="text1"/>
              </w:rPr>
              <w:t>8.</w:t>
            </w:r>
            <w:r w:rsidR="00D205DF" w:rsidRPr="00F85D6B">
              <w:rPr>
                <w:rFonts w:ascii="Palatino Linotype" w:eastAsia="Palatino Linotype" w:hAnsi="Palatino Linotype" w:cs="Palatino Linotype"/>
                <w:b w:val="0"/>
                <w:color w:val="000000" w:themeColor="text1"/>
              </w:rPr>
              <w:t xml:space="preserve"> Resultados de los últimos 3 años de la Verificaciones Oficiosas que ha realizado el (INFOEM). </w:t>
            </w:r>
          </w:p>
          <w:p w:rsidR="008F31E9" w:rsidRPr="00F85D6B" w:rsidRDefault="008F31E9" w:rsidP="003804D9">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El Coordinador de la Unidad de Transparencia entregó el dictamen de verificación oficiosa correspondiente al año 2022, 2023 y 2024.</w:t>
            </w:r>
          </w:p>
        </w:tc>
        <w:tc>
          <w:tcPr>
            <w:tcW w:w="2259"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Ratificó respuesta</w:t>
            </w:r>
          </w:p>
        </w:tc>
        <w:tc>
          <w:tcPr>
            <w:tcW w:w="2259"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COLMA</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La respuesta fue entregada por el servidor público habilitado.</w:t>
            </w:r>
          </w:p>
          <w:p w:rsidR="008F31E9" w:rsidRPr="00F85D6B" w:rsidRDefault="008F31E9" w:rsidP="003804D9">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3804D9" w:rsidRPr="00F85D6B" w:rsidTr="008F3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433251" w:rsidP="003804D9">
            <w:pPr>
              <w:pBdr>
                <w:top w:val="nil"/>
                <w:left w:val="nil"/>
                <w:bottom w:val="nil"/>
                <w:right w:val="nil"/>
                <w:between w:val="nil"/>
              </w:pBdr>
              <w:rPr>
                <w:rFonts w:ascii="Palatino Linotype" w:eastAsia="Palatino Linotype" w:hAnsi="Palatino Linotype" w:cs="Palatino Linotype"/>
                <w:color w:val="000000" w:themeColor="text1"/>
              </w:rPr>
            </w:pPr>
            <w:r>
              <w:rPr>
                <w:rFonts w:ascii="Palatino Linotype" w:eastAsia="Palatino Linotype" w:hAnsi="Palatino Linotype" w:cs="Palatino Linotype"/>
                <w:b w:val="0"/>
                <w:color w:val="000000" w:themeColor="text1"/>
              </w:rPr>
              <w:t>9.</w:t>
            </w:r>
            <w:r w:rsidR="00D205DF" w:rsidRPr="00F85D6B">
              <w:rPr>
                <w:rFonts w:ascii="Palatino Linotype" w:eastAsia="Palatino Linotype" w:hAnsi="Palatino Linotype" w:cs="Palatino Linotype"/>
                <w:b w:val="0"/>
                <w:color w:val="000000" w:themeColor="text1"/>
              </w:rPr>
              <w:t xml:space="preserve"> Acta de Instalación del Comité de Transparencia. </w:t>
            </w:r>
          </w:p>
          <w:p w:rsidR="008F31E9" w:rsidRPr="00F85D6B" w:rsidRDefault="008F31E9" w:rsidP="003804D9">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El Coordinador de la Unidad de Transparencia entregó Acta de Instalación del Comité de </w:t>
            </w:r>
            <w:r w:rsidRPr="00F85D6B">
              <w:rPr>
                <w:rFonts w:ascii="Palatino Linotype" w:eastAsia="Palatino Linotype" w:hAnsi="Palatino Linotype" w:cs="Palatino Linotype"/>
                <w:color w:val="000000" w:themeColor="text1"/>
              </w:rPr>
              <w:lastRenderedPageBreak/>
              <w:t xml:space="preserve">Transparencia de 2025. </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lastRenderedPageBreak/>
              <w:t>Ratificó respuesta</w:t>
            </w: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COLMA</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La respuesta fue entregada por el servidor público habilitado.</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3804D9" w:rsidRPr="00F85D6B" w:rsidTr="008F31E9">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D205DF" w:rsidP="003804D9">
            <w:pPr>
              <w:pBdr>
                <w:top w:val="nil"/>
                <w:left w:val="nil"/>
                <w:bottom w:val="nil"/>
                <w:right w:val="nil"/>
                <w:between w:val="nil"/>
              </w:pBdr>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val="0"/>
                <w:color w:val="000000" w:themeColor="text1"/>
              </w:rPr>
              <w:lastRenderedPageBreak/>
              <w:t xml:space="preserve">10. Acta de Instalación del Sistema de Anticorrupción. </w:t>
            </w:r>
          </w:p>
          <w:p w:rsidR="008F31E9" w:rsidRPr="00F85D6B" w:rsidRDefault="008F31E9" w:rsidP="003804D9">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El Titular del Órgano Interno de Control Municipal entregó Acta de Instalación del Comité Coordinador del Sistema Municipal Anticorrupción de febrero de 2022. </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c>
          <w:tcPr>
            <w:tcW w:w="2259"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Ratificó respuesta.</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Señaló que se entregó acta del 2022 ya que a la fecha de la solicitud aún no se realizaba la instalación del sistema anticorrupción de 2025.</w:t>
            </w: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Adjuntó convocatoria para la instalación del Sistema Anticorrupción 2025. </w:t>
            </w:r>
          </w:p>
        </w:tc>
        <w:tc>
          <w:tcPr>
            <w:tcW w:w="2259"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COLMA</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Entregó la información que genera, posee y administra al momento de la solicitud. </w:t>
            </w:r>
          </w:p>
        </w:tc>
      </w:tr>
      <w:tr w:rsidR="003804D9" w:rsidRPr="00F85D6B" w:rsidTr="008F3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433251" w:rsidP="003804D9">
            <w:pPr>
              <w:pBdr>
                <w:top w:val="nil"/>
                <w:left w:val="nil"/>
                <w:bottom w:val="nil"/>
                <w:right w:val="nil"/>
                <w:between w:val="nil"/>
              </w:pBdr>
              <w:rPr>
                <w:rFonts w:ascii="Palatino Linotype" w:eastAsia="Palatino Linotype" w:hAnsi="Palatino Linotype" w:cs="Palatino Linotype"/>
                <w:color w:val="000000" w:themeColor="text1"/>
              </w:rPr>
            </w:pPr>
            <w:r>
              <w:rPr>
                <w:rFonts w:ascii="Palatino Linotype" w:eastAsia="Palatino Linotype" w:hAnsi="Palatino Linotype" w:cs="Palatino Linotype"/>
                <w:b w:val="0"/>
                <w:color w:val="000000" w:themeColor="text1"/>
              </w:rPr>
              <w:t>11.</w:t>
            </w:r>
            <w:r w:rsidR="00D205DF" w:rsidRPr="00F85D6B">
              <w:rPr>
                <w:rFonts w:ascii="Palatino Linotype" w:eastAsia="Palatino Linotype" w:hAnsi="Palatino Linotype" w:cs="Palatino Linotype"/>
                <w:b w:val="0"/>
                <w:color w:val="000000" w:themeColor="text1"/>
              </w:rPr>
              <w:t xml:space="preserve"> Cuantas Solicitudes de Acceso a la Información han atendido en los últimos 3 años. </w:t>
            </w:r>
          </w:p>
          <w:p w:rsidR="008F31E9" w:rsidRPr="00F85D6B" w:rsidRDefault="008F31E9" w:rsidP="003804D9">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El Coordinador de la Unidad de Transparencia entregó un documento ad hoc en el que señaló el número de solicitudes por año, de la siguiente forma:</w:t>
            </w: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2022: 1026</w:t>
            </w: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2023: 722</w:t>
            </w: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2024: 1070</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Ratificó respuesta</w:t>
            </w: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COLMA</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La respuesta fue entregada por el servidor público habilitado.</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3804D9" w:rsidRPr="00F85D6B" w:rsidTr="008F31E9">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433251" w:rsidP="003804D9">
            <w:pPr>
              <w:pBdr>
                <w:top w:val="nil"/>
                <w:left w:val="nil"/>
                <w:bottom w:val="nil"/>
                <w:right w:val="nil"/>
                <w:between w:val="nil"/>
              </w:pBdr>
              <w:rPr>
                <w:rFonts w:ascii="Palatino Linotype" w:eastAsia="Palatino Linotype" w:hAnsi="Palatino Linotype" w:cs="Palatino Linotype"/>
                <w:color w:val="000000" w:themeColor="text1"/>
              </w:rPr>
            </w:pPr>
            <w:r>
              <w:rPr>
                <w:rFonts w:ascii="Palatino Linotype" w:eastAsia="Palatino Linotype" w:hAnsi="Palatino Linotype" w:cs="Palatino Linotype"/>
                <w:b w:val="0"/>
                <w:color w:val="000000" w:themeColor="text1"/>
              </w:rPr>
              <w:t>12.</w:t>
            </w:r>
            <w:r w:rsidR="00D205DF" w:rsidRPr="00F85D6B">
              <w:rPr>
                <w:rFonts w:ascii="Palatino Linotype" w:eastAsia="Palatino Linotype" w:hAnsi="Palatino Linotype" w:cs="Palatino Linotype"/>
                <w:b w:val="0"/>
                <w:color w:val="000000" w:themeColor="text1"/>
              </w:rPr>
              <w:t xml:space="preserve"> Cuantas Solicitudes de </w:t>
            </w:r>
            <w:r w:rsidR="00D205DF" w:rsidRPr="00F85D6B">
              <w:rPr>
                <w:rFonts w:ascii="Palatino Linotype" w:eastAsia="Palatino Linotype" w:hAnsi="Palatino Linotype" w:cs="Palatino Linotype"/>
                <w:b w:val="0"/>
                <w:color w:val="000000" w:themeColor="text1"/>
              </w:rPr>
              <w:lastRenderedPageBreak/>
              <w:t xml:space="preserve">Datos Personales han atendido en los últimos 3 años. </w:t>
            </w:r>
          </w:p>
          <w:p w:rsidR="008F31E9" w:rsidRPr="00F85D6B" w:rsidRDefault="008F31E9" w:rsidP="003804D9">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lastRenderedPageBreak/>
              <w:t xml:space="preserve">El Coordinador de la Unidad de </w:t>
            </w:r>
            <w:r w:rsidRPr="00F85D6B">
              <w:rPr>
                <w:rFonts w:ascii="Palatino Linotype" w:eastAsia="Palatino Linotype" w:hAnsi="Palatino Linotype" w:cs="Palatino Linotype"/>
                <w:color w:val="000000" w:themeColor="text1"/>
              </w:rPr>
              <w:lastRenderedPageBreak/>
              <w:t>Transparencia entregó un documento ad hoc en el que señaló el número de solicitudes por año, de la siguiente forma:</w:t>
            </w: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2022: 10</w:t>
            </w: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2023: 9</w:t>
            </w: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2024: 9</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c>
          <w:tcPr>
            <w:tcW w:w="2259"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lastRenderedPageBreak/>
              <w:t>Ratificó respuesta</w:t>
            </w:r>
          </w:p>
        </w:tc>
        <w:tc>
          <w:tcPr>
            <w:tcW w:w="2259"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COLMA</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lastRenderedPageBreak/>
              <w:t>La respuesta fue entregada por el servidor público habilitado.</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3804D9" w:rsidRPr="00F85D6B" w:rsidTr="008F3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D205DF" w:rsidP="003804D9">
            <w:pPr>
              <w:pBdr>
                <w:top w:val="nil"/>
                <w:left w:val="nil"/>
                <w:bottom w:val="nil"/>
                <w:right w:val="nil"/>
                <w:between w:val="nil"/>
              </w:pBdr>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val="0"/>
                <w:color w:val="000000" w:themeColor="text1"/>
              </w:rPr>
              <w:lastRenderedPageBreak/>
              <w:t xml:space="preserve">13. Cuantos Recursos de Revisión han atendido en los últimos 3 años. </w:t>
            </w:r>
          </w:p>
          <w:p w:rsidR="008F31E9" w:rsidRPr="00F85D6B" w:rsidRDefault="008F31E9" w:rsidP="003804D9">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El Coordinador de la Unidad de Transparencia entregó un documento ad hoc en el que señaló el número de recursos por año, de la siguiente forma:</w:t>
            </w: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2022: 85</w:t>
            </w: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2023: 76</w:t>
            </w: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2024: 144</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Ratificó respuesta</w:t>
            </w: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COLMA</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La respuesta fue entregada por el servidor público habilitado.</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3804D9" w:rsidRPr="00F85D6B" w:rsidTr="008F31E9">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D205DF" w:rsidP="003804D9">
            <w:pPr>
              <w:pBdr>
                <w:top w:val="nil"/>
                <w:left w:val="nil"/>
                <w:bottom w:val="nil"/>
                <w:right w:val="nil"/>
                <w:between w:val="nil"/>
              </w:pBdr>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val="0"/>
                <w:color w:val="000000" w:themeColor="text1"/>
              </w:rPr>
              <w:t xml:space="preserve">14. Cuantos Incumplimientos han atendido en los últimos 3 años. </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El Coordinador de la Unidad de Transparencia entregó un documento ad hoc en el que señaló el número de incumplimientos por año, de la siguiente forma:</w:t>
            </w: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2022: 35</w:t>
            </w: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lastRenderedPageBreak/>
              <w:t>2023: 24</w:t>
            </w: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2024: 9</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c>
          <w:tcPr>
            <w:tcW w:w="2259"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lastRenderedPageBreak/>
              <w:t>Ratificó respuesta</w:t>
            </w:r>
          </w:p>
        </w:tc>
        <w:tc>
          <w:tcPr>
            <w:tcW w:w="2259" w:type="dxa"/>
          </w:tcPr>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COLMA</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La respuesta fue entregada por el servidor público habilitado.</w:t>
            </w:r>
          </w:p>
          <w:p w:rsidR="008F31E9" w:rsidRPr="00F85D6B" w:rsidRDefault="008F31E9" w:rsidP="003804D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3804D9" w:rsidRPr="00F85D6B" w:rsidTr="008F3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8F31E9" w:rsidRPr="00F85D6B" w:rsidRDefault="00D205DF" w:rsidP="003804D9">
            <w:pPr>
              <w:pBdr>
                <w:top w:val="nil"/>
                <w:left w:val="nil"/>
                <w:bottom w:val="nil"/>
                <w:right w:val="nil"/>
                <w:between w:val="nil"/>
              </w:pBdr>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b w:val="0"/>
                <w:color w:val="000000" w:themeColor="text1"/>
              </w:rPr>
              <w:lastRenderedPageBreak/>
              <w:t>15. Que acciones han generado en el tema de Transparencias Proactiva en los últimos 3 años.</w:t>
            </w:r>
          </w:p>
          <w:p w:rsidR="008F31E9" w:rsidRPr="00F85D6B" w:rsidRDefault="008F31E9" w:rsidP="003804D9">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2258"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El Coordinador de la Unidad de Transparencia señaló que derivado de la búsqueda exhaustiva no se localizó en la página del ayuntamiento, ni en los archivos físicos, acciones de transparencia proactiva del trienio pasado. </w:t>
            </w: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Ratificó respuesta </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Señaló que no se localizó información de transparencia proactiva y que se trata de hechos negativos. </w:t>
            </w:r>
          </w:p>
        </w:tc>
        <w:tc>
          <w:tcPr>
            <w:tcW w:w="2259" w:type="dxa"/>
          </w:tcPr>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COLMA</w:t>
            </w:r>
          </w:p>
          <w:p w:rsidR="008F31E9" w:rsidRPr="00F85D6B" w:rsidRDefault="008F31E9"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p w:rsidR="008F31E9" w:rsidRPr="00F85D6B" w:rsidRDefault="00D205DF" w:rsidP="003804D9">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Hechos negativos</w:t>
            </w:r>
          </w:p>
        </w:tc>
      </w:tr>
    </w:tbl>
    <w:p w:rsidR="008F31E9" w:rsidRPr="00F85D6B" w:rsidRDefault="008F31E9" w:rsidP="003804D9">
      <w:pP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F85D6B">
        <w:rPr>
          <w:rFonts w:ascii="Palatino Linotype" w:eastAsia="Palatino Linotype" w:hAnsi="Palatino Linotype" w:cs="Palatino Linotype"/>
          <w:b/>
          <w:color w:val="000000" w:themeColor="text1"/>
        </w:rPr>
        <w:t xml:space="preserve">De la búsqueda exhaustiva y razonable de la información. </w:t>
      </w: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En ese contexto,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F85D6B">
        <w:rPr>
          <w:rFonts w:ascii="Palatino Linotype" w:eastAsia="Palatino Linotype" w:hAnsi="Palatino Linotype" w:cs="Palatino Linotype"/>
          <w:i/>
          <w:color w:val="000000" w:themeColor="text1"/>
        </w:rPr>
        <w:t xml:space="preserve">en el ámbito de sus atribuciones, de promover, respetar, proteger y </w:t>
      </w:r>
      <w:r w:rsidRPr="00F85D6B">
        <w:rPr>
          <w:rFonts w:ascii="Palatino Linotype" w:eastAsia="Palatino Linotype" w:hAnsi="Palatino Linotype" w:cs="Palatino Linotype"/>
          <w:b/>
          <w:i/>
          <w:color w:val="000000" w:themeColor="text1"/>
        </w:rPr>
        <w:t>garantizar</w:t>
      </w:r>
      <w:r w:rsidRPr="00F85D6B">
        <w:rPr>
          <w:rFonts w:ascii="Palatino Linotype" w:eastAsia="Palatino Linotype" w:hAnsi="Palatino Linotype" w:cs="Palatino Linotype"/>
          <w:i/>
          <w:color w:val="000000" w:themeColor="text1"/>
        </w:rPr>
        <w:t xml:space="preserve"> los derechos humanos. </w:t>
      </w:r>
      <w:r w:rsidRPr="00F85D6B">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F85D6B">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F85D6B">
        <w:rPr>
          <w:rFonts w:ascii="Palatino Linotype" w:eastAsia="Century Gothic" w:hAnsi="Palatino Linotype" w:cs="Century Gothic"/>
          <w:i/>
          <w:color w:val="000000" w:themeColor="text1"/>
          <w:vertAlign w:val="superscript"/>
        </w:rPr>
        <w:footnoteReference w:id="1"/>
      </w:r>
      <w:r w:rsidRPr="00F85D6B">
        <w:rPr>
          <w:rFonts w:ascii="Palatino Linotype" w:eastAsia="Palatino Linotype" w:hAnsi="Palatino Linotype" w:cs="Palatino Linotype"/>
          <w:i/>
          <w:color w:val="000000" w:themeColor="text1"/>
        </w:rPr>
        <w:t xml:space="preserve">, </w:t>
      </w:r>
      <w:r w:rsidRPr="00F85D6B">
        <w:rPr>
          <w:rFonts w:ascii="Palatino Linotype" w:eastAsia="Palatino Linotype" w:hAnsi="Palatino Linotype" w:cs="Palatino Linotype"/>
          <w:color w:val="000000" w:themeColor="text1"/>
        </w:rPr>
        <w:lastRenderedPageBreak/>
        <w:t>asimismo establece</w:t>
      </w:r>
      <w:r w:rsidRPr="00F85D6B">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p w:rsidR="008F31E9"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Es así que, su obligación es </w:t>
      </w:r>
      <w:r w:rsidRPr="00F85D6B">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F85D6B">
        <w:rPr>
          <w:rFonts w:ascii="Palatino Linotype" w:eastAsia="Century Gothic" w:hAnsi="Palatino Linotype" w:cs="Century Gothic"/>
          <w:color w:val="000000" w:themeColor="text1"/>
          <w:vertAlign w:val="superscript"/>
        </w:rPr>
        <w:footnoteReference w:id="2"/>
      </w:r>
      <w:r w:rsidRPr="00F85D6B">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9B6025" w:rsidRPr="00F85D6B" w:rsidRDefault="009B6025" w:rsidP="009B602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b/>
          <w:i/>
          <w:color w:val="000000" w:themeColor="text1"/>
        </w:rPr>
        <w:t xml:space="preserve">Artículo 50. </w:t>
      </w:r>
      <w:r w:rsidRPr="00F85D6B">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8F31E9" w:rsidRPr="00F85D6B" w:rsidRDefault="008F31E9" w:rsidP="003804D9">
      <w:pPr>
        <w:jc w:val="both"/>
        <w:rPr>
          <w:rFonts w:ascii="Palatino Linotype" w:eastAsia="Palatino Linotype" w:hAnsi="Palatino Linotype" w:cs="Palatino Linotype"/>
          <w:i/>
          <w:color w:val="000000" w:themeColor="text1"/>
        </w:rPr>
      </w:pPr>
    </w:p>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b/>
          <w:i/>
          <w:color w:val="000000" w:themeColor="text1"/>
        </w:rPr>
        <w:t xml:space="preserve">Artículo 53. </w:t>
      </w:r>
      <w:r w:rsidRPr="00F85D6B">
        <w:rPr>
          <w:rFonts w:ascii="Palatino Linotype" w:eastAsia="Palatino Linotype" w:hAnsi="Palatino Linotype" w:cs="Palatino Linotype"/>
          <w:i/>
          <w:color w:val="000000" w:themeColor="text1"/>
        </w:rPr>
        <w:t>Las Unidades de Transparencia tendrán las siguientes funciones:</w:t>
      </w:r>
    </w:p>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w:t>
      </w:r>
    </w:p>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b/>
          <w:i/>
          <w:color w:val="000000" w:themeColor="text1"/>
        </w:rPr>
        <w:lastRenderedPageBreak/>
        <w:t>II.</w:t>
      </w:r>
      <w:r w:rsidRPr="00F85D6B">
        <w:rPr>
          <w:rFonts w:ascii="Palatino Linotype" w:eastAsia="Palatino Linotype" w:hAnsi="Palatino Linotype" w:cs="Palatino Linotype"/>
          <w:i/>
          <w:color w:val="000000" w:themeColor="text1"/>
        </w:rPr>
        <w:t xml:space="preserve"> Recibir, tramitar y dar respuesta a las solicitudes de acceso a la información;</w:t>
      </w:r>
    </w:p>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w:t>
      </w:r>
    </w:p>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b/>
          <w:i/>
          <w:color w:val="000000" w:themeColor="text1"/>
        </w:rPr>
        <w:t>IV.</w:t>
      </w:r>
      <w:r w:rsidRPr="00F85D6B">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b/>
          <w:i/>
          <w:color w:val="000000" w:themeColor="text1"/>
        </w:rPr>
        <w:t>V.</w:t>
      </w:r>
      <w:r w:rsidRPr="00F85D6B">
        <w:rPr>
          <w:rFonts w:ascii="Palatino Linotype" w:eastAsia="Palatino Linotype" w:hAnsi="Palatino Linotype" w:cs="Palatino Linotype"/>
          <w:i/>
          <w:color w:val="000000" w:themeColor="text1"/>
        </w:rPr>
        <w:t xml:space="preserve"> Entregar, en su caso, a los particulares la información solicitada;</w:t>
      </w:r>
    </w:p>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w:t>
      </w:r>
    </w:p>
    <w:p w:rsidR="008F31E9" w:rsidRPr="00F85D6B" w:rsidRDefault="008F31E9" w:rsidP="003804D9">
      <w:pPr>
        <w:jc w:val="both"/>
        <w:rPr>
          <w:rFonts w:ascii="Palatino Linotype" w:eastAsia="Palatino Linotype" w:hAnsi="Palatino Linotype" w:cs="Palatino Linotype"/>
          <w:i/>
          <w:color w:val="000000" w:themeColor="text1"/>
        </w:rPr>
      </w:pPr>
    </w:p>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b/>
          <w:i/>
          <w:color w:val="000000" w:themeColor="text1"/>
        </w:rPr>
        <w:t xml:space="preserve">Artículo 58. </w:t>
      </w:r>
      <w:r w:rsidRPr="00F85D6B">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8F31E9" w:rsidRPr="00F85D6B" w:rsidRDefault="008F31E9" w:rsidP="003804D9">
      <w:pPr>
        <w:jc w:val="both"/>
        <w:rPr>
          <w:rFonts w:ascii="Palatino Linotype" w:eastAsia="Palatino Linotype" w:hAnsi="Palatino Linotype" w:cs="Palatino Linotype"/>
          <w:i/>
          <w:color w:val="000000" w:themeColor="text1"/>
        </w:rPr>
      </w:pPr>
    </w:p>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b/>
          <w:i/>
          <w:color w:val="000000" w:themeColor="text1"/>
        </w:rPr>
        <w:t xml:space="preserve">Artículo 59. </w:t>
      </w:r>
      <w:r w:rsidRPr="00F85D6B">
        <w:rPr>
          <w:rFonts w:ascii="Palatino Linotype" w:eastAsia="Palatino Linotype" w:hAnsi="Palatino Linotype" w:cs="Palatino Linotype"/>
          <w:i/>
          <w:color w:val="000000" w:themeColor="text1"/>
        </w:rPr>
        <w:t>Los servidores públicos habilitados tendrán las funciones siguientes:</w:t>
      </w:r>
    </w:p>
    <w:p w:rsidR="008F31E9" w:rsidRPr="00F85D6B" w:rsidRDefault="008F31E9" w:rsidP="003804D9">
      <w:pPr>
        <w:jc w:val="both"/>
        <w:rPr>
          <w:rFonts w:ascii="Palatino Linotype" w:eastAsia="Palatino Linotype" w:hAnsi="Palatino Linotype" w:cs="Palatino Linotype"/>
          <w:i/>
          <w:color w:val="000000" w:themeColor="text1"/>
        </w:rPr>
      </w:pPr>
    </w:p>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b/>
          <w:i/>
          <w:color w:val="000000" w:themeColor="text1"/>
        </w:rPr>
        <w:t>I.</w:t>
      </w:r>
      <w:r w:rsidRPr="00F85D6B">
        <w:rPr>
          <w:rFonts w:ascii="Palatino Linotype" w:eastAsia="Palatino Linotype" w:hAnsi="Palatino Linotype" w:cs="Palatino Linotype"/>
          <w:i/>
          <w:color w:val="000000" w:themeColor="text1"/>
        </w:rPr>
        <w:t xml:space="preserve"> Localizar la información que le solicite la Unidad de Transparencia;</w:t>
      </w:r>
    </w:p>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b/>
          <w:i/>
          <w:color w:val="000000" w:themeColor="text1"/>
        </w:rPr>
        <w:t>II.</w:t>
      </w:r>
      <w:r w:rsidRPr="00F85D6B">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w:t>
      </w:r>
    </w:p>
    <w:p w:rsidR="008F31E9" w:rsidRPr="00F85D6B" w:rsidRDefault="008F31E9" w:rsidP="003804D9">
      <w:pPr>
        <w:jc w:val="both"/>
        <w:rPr>
          <w:rFonts w:ascii="Palatino Linotype" w:eastAsia="Palatino Linotype" w:hAnsi="Palatino Linotype" w:cs="Palatino Linotype"/>
          <w:i/>
          <w:color w:val="000000" w:themeColor="text1"/>
        </w:rPr>
      </w:pPr>
    </w:p>
    <w:p w:rsidR="008F31E9" w:rsidRPr="00F85D6B" w:rsidRDefault="00D205DF" w:rsidP="003804D9">
      <w:pP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b/>
          <w:i/>
          <w:color w:val="000000" w:themeColor="text1"/>
        </w:rPr>
        <w:t xml:space="preserve">Artículo 162. </w:t>
      </w:r>
      <w:r w:rsidRPr="00F85D6B">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F31E9" w:rsidRPr="00F85D6B" w:rsidRDefault="008F31E9" w:rsidP="003804D9">
      <w:pP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w:t>
      </w:r>
      <w:r w:rsidRPr="00F85D6B">
        <w:rPr>
          <w:rFonts w:ascii="Palatino Linotype" w:eastAsia="Palatino Linotype" w:hAnsi="Palatino Linotype" w:cs="Palatino Linotype"/>
          <w:color w:val="000000" w:themeColor="text1"/>
        </w:rPr>
        <w:lastRenderedPageBreak/>
        <w:t>que se consideren competentes para que realicen una búsqueda exhaustiva y razonable de la información solicitada a fin de que ésta sea entregada a los solicitantes.</w:t>
      </w:r>
    </w:p>
    <w:p w:rsidR="008F31E9" w:rsidRPr="00F85D6B" w:rsidRDefault="008F31E9"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En el caso que se resuelve, la respuesta fue contestada por el Coordinador de la Unidad de Transparencia, el Tesorero Municipal, el Subdirector de Recursos Humanos, el Órgano Interno de Control Municipal y la Coordinadora Municipal de Mejora Regulatoria, servidores públicos habilitados con facultades para generar, poseer y administrar la información solicitada. </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En ese sentido, por lo que </w:t>
      </w:r>
      <w:r w:rsidR="0082595D" w:rsidRPr="00F85D6B">
        <w:rPr>
          <w:rFonts w:ascii="Palatino Linotype" w:eastAsia="Palatino Linotype" w:hAnsi="Palatino Linotype" w:cs="Palatino Linotype"/>
          <w:color w:val="000000" w:themeColor="text1"/>
        </w:rPr>
        <w:t>se refiere a los puntos 1, 5,</w:t>
      </w:r>
      <w:r w:rsidRPr="00F85D6B">
        <w:rPr>
          <w:rFonts w:ascii="Palatino Linotype" w:eastAsia="Palatino Linotype" w:hAnsi="Palatino Linotype" w:cs="Palatino Linotype"/>
          <w:color w:val="000000" w:themeColor="text1"/>
        </w:rPr>
        <w:t xml:space="preserve"> 7, 8, 9, 10, 11, 12, 13 y 14, se advierte que las respuestas fueron emitidas por los servidores públicos habilitados con competencia para generar, poseer y administrar la información solicitada y este Órgano Garante no está facultado para dudar de la veracidad de la información remitida en respuesta, por lo tanto, con la entrega de la información emitida en respuesta, se puede dar por atendido el requerimiento del particular. </w:t>
      </w:r>
    </w:p>
    <w:p w:rsidR="0082595D" w:rsidRPr="00F85D6B" w:rsidRDefault="0082595D" w:rsidP="003804D9">
      <w:pPr>
        <w:pStyle w:val="Prrafodelista"/>
        <w:ind w:left="0"/>
        <w:rPr>
          <w:rFonts w:ascii="Palatino Linotype" w:eastAsia="Palatino Linotype" w:hAnsi="Palatino Linotype" w:cs="Palatino Linotype"/>
          <w:color w:val="000000" w:themeColor="text1"/>
          <w:sz w:val="24"/>
        </w:rPr>
      </w:pPr>
    </w:p>
    <w:p w:rsidR="00BC0372" w:rsidRPr="00F85D6B" w:rsidRDefault="0082595D"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Respeto al punto 6 de la solicitud (Documentos de Seguridad de todas las áreas)</w:t>
      </w:r>
      <w:r w:rsidR="008808F9" w:rsidRPr="00F85D6B">
        <w:rPr>
          <w:rFonts w:ascii="Palatino Linotype" w:eastAsia="Palatino Linotype" w:hAnsi="Palatino Linotype" w:cs="Palatino Linotype"/>
          <w:color w:val="000000" w:themeColor="text1"/>
        </w:rPr>
        <w:t xml:space="preserve">, el Sujeto Obligado </w:t>
      </w:r>
      <w:r w:rsidR="00676954" w:rsidRPr="00F85D6B">
        <w:rPr>
          <w:rFonts w:ascii="Palatino Linotype" w:eastAsia="Palatino Linotype" w:hAnsi="Palatino Linotype" w:cs="Palatino Linotype"/>
          <w:color w:val="000000" w:themeColor="text1"/>
        </w:rPr>
        <w:t>entregó la información en versión pública</w:t>
      </w:r>
      <w:r w:rsidR="00BC0372" w:rsidRPr="00F85D6B">
        <w:rPr>
          <w:rFonts w:ascii="Palatino Linotype" w:eastAsia="Palatino Linotype" w:hAnsi="Palatino Linotype" w:cs="Palatino Linotype"/>
          <w:color w:val="000000" w:themeColor="text1"/>
        </w:rPr>
        <w:t xml:space="preserve"> y </w:t>
      </w:r>
      <w:r w:rsidR="00676954" w:rsidRPr="00F85D6B">
        <w:rPr>
          <w:rFonts w:ascii="Palatino Linotype" w:eastAsia="Palatino Linotype" w:hAnsi="Palatino Linotype" w:cs="Palatino Linotype"/>
          <w:color w:val="000000" w:themeColor="text1"/>
        </w:rPr>
        <w:t xml:space="preserve">clasificó las medidas de seguridad como confidenciales, por ello, es </w:t>
      </w:r>
      <w:r w:rsidR="00BC0372" w:rsidRPr="00F85D6B">
        <w:rPr>
          <w:rFonts w:ascii="Palatino Linotype" w:eastAsia="Palatino Linotype" w:hAnsi="Palatino Linotype" w:cs="Palatino Linotype"/>
          <w:color w:val="000000" w:themeColor="text1"/>
        </w:rPr>
        <w:t xml:space="preserve">importante señalar lo dispuesto por el artículo 43 de la Ley de Protección de Datos Personales en Posesión de Sujetos Obligados del Estado de México y Municipios, el cual dispone: </w:t>
      </w:r>
    </w:p>
    <w:p w:rsidR="00BC0372" w:rsidRPr="00F85D6B" w:rsidRDefault="00BC0372" w:rsidP="003804D9">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lang w:val="es-ES_tradnl"/>
        </w:rPr>
      </w:pPr>
      <w:r w:rsidRPr="00F85D6B">
        <w:rPr>
          <w:rFonts w:ascii="Palatino Linotype" w:eastAsia="Palatino Linotype" w:hAnsi="Palatino Linotype" w:cs="Palatino Linotype"/>
          <w:i/>
          <w:color w:val="000000" w:themeColor="text1"/>
          <w:lang w:val="es-ES_tradnl"/>
        </w:rPr>
        <w:lastRenderedPageBreak/>
        <w:t>“</w:t>
      </w:r>
      <w:r w:rsidRPr="00F85D6B">
        <w:rPr>
          <w:rFonts w:ascii="Palatino Linotype" w:eastAsia="Palatino Linotype" w:hAnsi="Palatino Linotype" w:cs="Palatino Linotype"/>
          <w:b/>
          <w:i/>
          <w:color w:val="000000" w:themeColor="text1"/>
          <w:lang w:val="es-ES_tradnl"/>
        </w:rPr>
        <w:t xml:space="preserve">Artículo 43. </w:t>
      </w:r>
      <w:r w:rsidRPr="00F85D6B">
        <w:rPr>
          <w:rFonts w:ascii="Palatino Linotype" w:eastAsia="Palatino Linotype" w:hAnsi="Palatino Linotype" w:cs="Palatino Linotype"/>
          <w:i/>
          <w:color w:val="000000" w:themeColor="text1"/>
          <w:lang w:val="es-ES_tradnl"/>
        </w:rPr>
        <w:t xml:space="preserve">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F85D6B">
        <w:rPr>
          <w:rFonts w:ascii="Palatino Linotype" w:eastAsia="Palatino Linotype" w:hAnsi="Palatino Linotype" w:cs="Palatino Linotype"/>
          <w:b/>
          <w:i/>
          <w:color w:val="000000" w:themeColor="text1"/>
          <w:lang w:val="es-ES_tradnl"/>
        </w:rPr>
        <w:t>Por la naturaleza de la información, las medidas de seguridad que se adopten serán consideradas confidenciales y únicamente se comunicará al Instituto, para su registro, el nivel de seguridad aplicable.</w:t>
      </w:r>
    </w:p>
    <w:p w:rsidR="00BC0372" w:rsidRPr="00F85D6B" w:rsidRDefault="00BC0372" w:rsidP="003804D9">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lang w:val="es-ES_tradnl"/>
        </w:rPr>
      </w:pPr>
      <w:r w:rsidRPr="00F85D6B">
        <w:rPr>
          <w:rFonts w:ascii="Palatino Linotype" w:eastAsia="Palatino Linotype" w:hAnsi="Palatino Linotype" w:cs="Palatino Linotype"/>
          <w:i/>
          <w:color w:val="000000" w:themeColor="text1"/>
          <w:lang w:val="es-ES_tradnl"/>
        </w:rPr>
        <w:t xml:space="preserve">…” </w:t>
      </w:r>
    </w:p>
    <w:p w:rsidR="00BC0372" w:rsidRPr="00F85D6B" w:rsidRDefault="00BC0372" w:rsidP="003804D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r w:rsidRPr="00F85D6B">
        <w:rPr>
          <w:rFonts w:ascii="Palatino Linotype" w:eastAsia="Palatino Linotype" w:hAnsi="Palatino Linotype" w:cs="Palatino Linotype"/>
          <w:i/>
          <w:color w:val="000000" w:themeColor="text1"/>
          <w:lang w:val="es-ES_tradnl"/>
        </w:rPr>
        <w:t>(Énfasis añadido)</w:t>
      </w:r>
    </w:p>
    <w:p w:rsidR="00BC0372" w:rsidRPr="00F85D6B" w:rsidRDefault="00BC0372" w:rsidP="003804D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ES_tradnl"/>
        </w:rPr>
      </w:pPr>
    </w:p>
    <w:p w:rsidR="00BC0372" w:rsidRPr="00F85D6B" w:rsidRDefault="00BC0372" w:rsidP="003804D9">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F85D6B">
        <w:rPr>
          <w:rFonts w:ascii="Palatino Linotype" w:eastAsia="Calibri" w:hAnsi="Palatino Linotype" w:cs="Arial"/>
          <w:color w:val="000000" w:themeColor="text1"/>
          <w:sz w:val="24"/>
        </w:rPr>
        <w:t>Asimismo, es menester referir el contenido de los siguientes artículos previstos en la Ley de Protección de Datos de la entidad, en los que se prevé el contenido y lo referente a los documentos de seguridad:</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Tipos y Niveles de Seguridad</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b/>
          <w:i/>
          <w:color w:val="000000" w:themeColor="text1"/>
          <w:sz w:val="24"/>
          <w:lang w:val="es-ES_tradnl"/>
        </w:rPr>
        <w:t>Artículo 44.</w:t>
      </w:r>
      <w:r w:rsidRPr="00F85D6B">
        <w:rPr>
          <w:rFonts w:ascii="Palatino Linotype" w:eastAsiaTheme="minorEastAsia" w:hAnsi="Palatino Linotype" w:cs="Arial"/>
          <w:i/>
          <w:color w:val="000000" w:themeColor="text1"/>
          <w:sz w:val="24"/>
          <w:lang w:val="es-ES_tradnl"/>
        </w:rPr>
        <w:t xml:space="preserve"> El responsable adoptará las medidas de seguridad, conforme a lo siguiente:</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A. Tipos de seguridad:</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 Física: a la medida orientada a la protección de instalaciones, equipos, soportes, sistemas o bases de datos para la prevención de riesgos por caso fortuito o causas de fuerza mayor.</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II. Lógica: a las medidas de seguridad administrativas y de protección que permiten la identificación y autenticación de las usuarias y los usuarios autorizados para el tratamiento de los datos personales de acuerdo con su función.</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III. De desarrollo y aplicaciones: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IV. De cifrado: a la implementación de algoritmos, claves, contraseñas, así como dispositivos concretos de protección que garanticen la seguridad de la información.</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V. De comunicaciones y redes: a las medidas de seguridad técnicas, así como restricciones preventivas y de riesgos que deberán observar los usuarios de datos o sistemas de datos personales para acceder a dominios o cargar programas autorizados, así como para el manejo de telecomunicaciones.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lastRenderedPageBreak/>
        <w:t>B. Niveles de seguridad:</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 Básico: a las medidas generales de seguridad cuya aplicación es obligatoria para todos los sistemas y bases de datos personales. Dichas medidas corresponden a los siguientes aspectos: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a) Documento de seguridad.</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b) Funciones y obligaciones del personal que intervenga en el tratamiento de las bases o sistemas de datos personales.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c) Registro de incidencias.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d) Identificación y autenticación.</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e) Control de acceso.</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f) Gestión de soportes.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g) Copias de respaldo y recuperación.</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II. Medio: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Este nivel de seguridad, de manera adicional a las medidas calificadas como básicas, considera los aspectos siguientes: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a) Responsable de seguridad.</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b) Auditoría.</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c) Control de acceso físico.</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d) Pruebas con datos reales.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III. Alto: a las medidas de seguridad aplicables a bases o sistemas de datos concernientes a la ideología, religión, creencias, afiliación política, origen racial o étnico, salud, biométricos, genéticos o vida sexual, así como los que contengan datos recabados para fines policiales, de seguridad pública, prevención, investigación y persecución de delitos. En estos casos, además de incorporar las medidas de nivel básico y medio, deberán completar las que se detallan a continuación:</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a) Distribución de soportes.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b) Registro de acceso.</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c) Telecomunicaciones.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Los diferentes niveles de seguridad serán establecidos atendiendo a las características propias de la información.</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Elementos a considerar para la adopción de medidas de seguridad y su naturaleza</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b/>
          <w:i/>
          <w:color w:val="000000" w:themeColor="text1"/>
          <w:sz w:val="24"/>
          <w:lang w:val="es-ES_tradnl"/>
        </w:rPr>
        <w:t>Artículo 45.</w:t>
      </w:r>
      <w:r w:rsidRPr="00F85D6B">
        <w:rPr>
          <w:rFonts w:ascii="Palatino Linotype" w:eastAsiaTheme="minorEastAsia" w:hAnsi="Palatino Linotype" w:cs="Arial"/>
          <w:i/>
          <w:color w:val="000000" w:themeColor="text1"/>
          <w:sz w:val="24"/>
          <w:lang w:val="es-ES_tradnl"/>
        </w:rPr>
        <w:t xml:space="preserve"> Las medidas de seguridad adoptadas por el responsable considerarán:</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 El riesgo inherente a los datos personales tratados.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II. La sensibilidad de los datos personales tratados.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III. El desarrollo tecnológico.</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lastRenderedPageBreak/>
        <w:t>IV. Las posibles consecuencias de una vulneración para las y los titulares.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V. Las transferencias de datos personales que se realicen.</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VI. El número de titulares.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VII. Las violaciones a la seguridad previas ocurridas en los sistemas de tratamiento.</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VIII. El riesgo por el valor potencial cuantitativo o cualitativo que pudieran tener los datos personales tratados para una tercera persona no autorizada para su posesión.</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Actividades interrelacionadas para establecer y mantener las medidas de seguridad</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Artículo 46. Para establecer y mantener las medidas de seguridad para la protección de los datos personales, el responsable realizará, al menos, las actividades interrelacionadas siguientes: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 Crear políticas internas para la gestión y tratamiento de los datos personales, que tomen en cuenta el contexto en el que ocurren los tratamientos y el ciclo de vida de los datos personales, es decir, su obtención, uso y posterior supresión.</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II. Definir las funciones y obligaciones del personal involucrado en el tratamiento de datos personales.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III. Elaborar un inventario de datos personales y de las bases y o sistemas de tratamiento.</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V. Realizar un análisis de brecha, comparando las medidas de seguridad existentes contra las faltantes en la organización del responsable.</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VI. Elaborar un plan de trabajo para la implementación de las medidas de seguridad faltantes, así como las medidas para el cumplimiento cotidiano de las políticas de gestión y tratamiento de los datos personales.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VII. Monitorear y revisar de manera periódica las medidas de seguridad implementadas, así como las amenazas y vulnerabilidades a las que están sujetos los datos personales.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VIII. Diseñar y aplicar diferentes niveles de capacitación del personal bajo su mando, dependiendo de sus roles y responsabilidades respecto del tratamiento de los datos personales.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Actividades interrelacionadas para establecer y mantener las medidas de seguridad</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Artículo 46. Para establecer y mantener las medidas de seguridad para la protección de los datos personales, el responsable realizará, al menos, las actividades interrelacionadas siguientes: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 Crear políticas internas para la gestión y tratamiento de los datos personales, que tomen en cuenta el contexto en el que ocurren los tratamientos y el ciclo de vida de los datos personales, es decir, su obtención, uso y posterior supresión.</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II. Definir las funciones y obligaciones del personal involucrado en el tratamiento de datos personales.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III. Elaborar un inventario de datos personales y de las bases y o sistemas de tratamiento.</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lastRenderedPageBreak/>
        <w:t>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V. Realizar un análisis de brecha, comparando las medidas de seguridad existentes contra las faltantes en la organización del responsable.</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VI. Elaborar un plan de trabajo para la implementación de las medidas de seguridad faltantes, así como las medidas para el cumplimiento cotidiano de las políticas de gestión y tratamiento de los datos personales.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VII. Monitorear y revisar de manera periódica las medidas de seguridad implementadas, así como las amenazas y vulnerabilidades a las que están sujetos los datos personales.</w:t>
      </w: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r w:rsidRPr="00F85D6B">
        <w:rPr>
          <w:rFonts w:ascii="Palatino Linotype" w:eastAsiaTheme="minorEastAsia" w:hAnsi="Palatino Linotype" w:cs="Arial"/>
          <w:i/>
          <w:color w:val="000000" w:themeColor="text1"/>
          <w:sz w:val="24"/>
          <w:lang w:val="es-ES_tradnl"/>
        </w:rPr>
        <w:t>VIII. Diseñar y aplicar diferentes niveles de capacitación del personal bajo su mando, dependiendo de sus roles y responsabilidades respecto del tratamiento de los datos personales.</w:t>
      </w:r>
    </w:p>
    <w:p w:rsidR="00BC0372" w:rsidRPr="00F85D6B" w:rsidRDefault="00BC0372" w:rsidP="003804D9">
      <w:pPr>
        <w:pStyle w:val="Prrafodelista"/>
        <w:spacing w:line="360" w:lineRule="auto"/>
        <w:ind w:left="0"/>
        <w:jc w:val="both"/>
        <w:rPr>
          <w:rFonts w:ascii="Palatino Linotype" w:eastAsia="Calibri" w:hAnsi="Palatino Linotype" w:cs="Arial"/>
          <w:color w:val="000000" w:themeColor="text1"/>
          <w:sz w:val="24"/>
        </w:rPr>
      </w:pPr>
    </w:p>
    <w:p w:rsidR="00BC0372" w:rsidRPr="00F85D6B" w:rsidRDefault="00BC0372" w:rsidP="003804D9">
      <w:pPr>
        <w:pStyle w:val="Prrafodelista"/>
        <w:tabs>
          <w:tab w:val="left" w:pos="851"/>
        </w:tabs>
        <w:ind w:left="0"/>
        <w:jc w:val="both"/>
        <w:rPr>
          <w:rFonts w:ascii="Palatino Linotype" w:eastAsiaTheme="minorEastAsia" w:hAnsi="Palatino Linotype" w:cs="Arial"/>
          <w:i/>
          <w:color w:val="000000" w:themeColor="text1"/>
          <w:sz w:val="24"/>
          <w:lang w:val="es-ES_tradnl"/>
        </w:rPr>
      </w:pPr>
    </w:p>
    <w:p w:rsidR="00BC0372" w:rsidRPr="00F85D6B" w:rsidRDefault="00BC0372" w:rsidP="003804D9">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F85D6B">
        <w:rPr>
          <w:rFonts w:ascii="Palatino Linotype" w:eastAsia="Calibri" w:hAnsi="Palatino Linotype" w:cs="Arial"/>
          <w:color w:val="000000" w:themeColor="text1"/>
          <w:sz w:val="24"/>
        </w:rPr>
        <w:t xml:space="preserve">Así, resulta importante señalar que las medidas de seguridad aplicables a las bases de datos personales por parte del responsable es </w:t>
      </w:r>
      <w:r w:rsidRPr="00F85D6B">
        <w:rPr>
          <w:rFonts w:ascii="Palatino Linotype" w:eastAsia="Calibri" w:hAnsi="Palatino Linotype" w:cs="Arial"/>
          <w:b/>
          <w:color w:val="000000" w:themeColor="text1"/>
          <w:sz w:val="24"/>
        </w:rPr>
        <w:t xml:space="preserve">información de carácter confidencial, </w:t>
      </w:r>
      <w:r w:rsidRPr="00F85D6B">
        <w:rPr>
          <w:rFonts w:ascii="Palatino Linotype" w:eastAsia="Calibri" w:hAnsi="Palatino Linotype" w:cs="Arial"/>
          <w:color w:val="000000" w:themeColor="text1"/>
          <w:sz w:val="24"/>
        </w:rPr>
        <w:t xml:space="preserve">por mandato expreso del artículo 43 de la Ley de Protección de Datos Personales del Estado de México y Municipios,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 en poder del </w:t>
      </w:r>
      <w:r w:rsidRPr="00F85D6B">
        <w:rPr>
          <w:rFonts w:ascii="Palatino Linotype" w:eastAsia="Calibri" w:hAnsi="Palatino Linotype" w:cs="Arial"/>
          <w:b/>
          <w:color w:val="000000" w:themeColor="text1"/>
          <w:sz w:val="24"/>
        </w:rPr>
        <w:t>SUJETO OBLIGADO</w:t>
      </w:r>
      <w:r w:rsidRPr="00F85D6B">
        <w:rPr>
          <w:rFonts w:ascii="Palatino Linotype" w:eastAsia="Calibri" w:hAnsi="Palatino Linotype" w:cs="Arial"/>
          <w:color w:val="000000" w:themeColor="text1"/>
          <w:sz w:val="24"/>
        </w:rPr>
        <w:t xml:space="preserve">.  </w:t>
      </w:r>
    </w:p>
    <w:p w:rsidR="00BC0372" w:rsidRPr="00F85D6B" w:rsidRDefault="00BC0372" w:rsidP="003804D9">
      <w:pPr>
        <w:pStyle w:val="Prrafodelista"/>
        <w:spacing w:line="360" w:lineRule="auto"/>
        <w:ind w:left="0"/>
        <w:jc w:val="both"/>
        <w:rPr>
          <w:rFonts w:ascii="Palatino Linotype" w:eastAsia="Calibri" w:hAnsi="Palatino Linotype" w:cs="Arial"/>
          <w:color w:val="000000" w:themeColor="text1"/>
          <w:sz w:val="24"/>
        </w:rPr>
      </w:pPr>
    </w:p>
    <w:p w:rsidR="0082595D" w:rsidRPr="00F85D6B" w:rsidRDefault="00BC0372"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En el presente caso, el Sujeto Obligado si clasificó las medidas de seguridad, sin embargo, el acuerdo emitido en respuesta </w:t>
      </w:r>
      <w:r w:rsidR="00F82E43" w:rsidRPr="00F85D6B">
        <w:rPr>
          <w:rFonts w:ascii="Palatino Linotype" w:eastAsia="Palatino Linotype" w:hAnsi="Palatino Linotype" w:cs="Palatino Linotype"/>
          <w:color w:val="000000" w:themeColor="text1"/>
        </w:rPr>
        <w:t>está</w:t>
      </w:r>
      <w:r w:rsidRPr="00F85D6B">
        <w:rPr>
          <w:rFonts w:ascii="Palatino Linotype" w:eastAsia="Palatino Linotype" w:hAnsi="Palatino Linotype" w:cs="Palatino Linotype"/>
          <w:color w:val="000000" w:themeColor="text1"/>
        </w:rPr>
        <w:t xml:space="preserve"> incompleto</w:t>
      </w:r>
      <w:r w:rsidR="00F82E43" w:rsidRPr="00F85D6B">
        <w:rPr>
          <w:rFonts w:ascii="Palatino Linotype" w:eastAsia="Palatino Linotype" w:hAnsi="Palatino Linotype" w:cs="Palatino Linotype"/>
          <w:color w:val="000000" w:themeColor="text1"/>
        </w:rPr>
        <w:t xml:space="preserve">, por lo tanto, lo procedente </w:t>
      </w:r>
      <w:r w:rsidR="00F82E43" w:rsidRPr="00F85D6B">
        <w:rPr>
          <w:rFonts w:ascii="Palatino Linotype" w:eastAsia="Palatino Linotype" w:hAnsi="Palatino Linotype" w:cs="Palatino Linotype"/>
          <w:color w:val="000000" w:themeColor="text1"/>
        </w:rPr>
        <w:lastRenderedPageBreak/>
        <w:t xml:space="preserve">es ordenar el </w:t>
      </w:r>
      <w:r w:rsidR="00F82E43" w:rsidRPr="00F85D6B">
        <w:rPr>
          <w:rFonts w:ascii="Palatino Linotype" w:eastAsia="Palatino Linotype" w:hAnsi="Palatino Linotype" w:cs="Palatino Linotype"/>
          <w:b/>
          <w:color w:val="000000" w:themeColor="text1"/>
        </w:rPr>
        <w:t xml:space="preserve">Acuerdo emitido por el Comité de Transparencia en el que se apruebe la versión pública de los documentos de seguridad emitidos en respuesta.  </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color w:val="000000" w:themeColor="text1"/>
        </w:rPr>
        <w:t>Respecto al punto 15 de la solicitud de información (acciones han generado en el tema de Transparencias Proactiva en los últimos 3 años), el servidor público habilitado refirió que derivado de la búsqueda exhaustiva en sus archivos, no se localizó la información solicitada, en ese contexto al indicar que no se cuenta con esta información, es necesario precisar que estamos en presencia de lo que se conoce como hecho negativo. Lo anterior encuentra sustento con la Jurisprudencia 267,287 y el Criterio 10/2004 emitidos por el Máximo Juzgador del país, Tesis que determinan lo siguiente:</w:t>
      </w:r>
    </w:p>
    <w:p w:rsidR="008F31E9" w:rsidRPr="00F85D6B" w:rsidRDefault="00D205DF" w:rsidP="003804D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“HECHOS NEGATIVOS, NO SON SUSCEPTIBLES DE DEMOSTRACION. Tratándose de un hecho negativo, el Juez no tiene por que invocar prueba alguna de la que se desprenda, ya que es bien sabido que esta clase de hechos no son susceptibles de demostración.”</w:t>
      </w:r>
    </w:p>
    <w:p w:rsidR="008F31E9" w:rsidRPr="00F85D6B" w:rsidRDefault="008F31E9" w:rsidP="003804D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F31E9" w:rsidRPr="00F85D6B" w:rsidRDefault="00D205DF" w:rsidP="003804D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 xml:space="preserve">“INEXISTENCIA DE LA INFORMACIÓN. EL COMITÉ DE ACCESO A LA INFORMACIÓN PUEDE DECLARARLA ANTE SU EVIDENCIA, SIN NECESIDAD DE DICTAR MEDIDAS PARA SU LOCALIZACIÓN.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w:t>
      </w:r>
      <w:r w:rsidRPr="00F85D6B">
        <w:rPr>
          <w:rFonts w:ascii="Palatino Linotype" w:eastAsia="Palatino Linotype" w:hAnsi="Palatino Linotype" w:cs="Palatino Linotype"/>
          <w:i/>
          <w:color w:val="000000" w:themeColor="text1"/>
        </w:rPr>
        <w:lastRenderedPageBreak/>
        <w:t>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rsidR="008F31E9" w:rsidRPr="00F85D6B" w:rsidRDefault="00D205DF"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(Énfasis añadido)</w:t>
      </w:r>
    </w:p>
    <w:p w:rsidR="00843984" w:rsidRPr="00F85D6B" w:rsidRDefault="00843984"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En ese sentido, no es procedente ordenar un acuerdo de inexistencia, ya que como lo señaló el Sujeto Obligado, no se cuenta con la información requerida por el particular, y no se trata de información que haya existido y por alguna razón ya no exista, o bien, de información que de manera obligatoria deba generar el Sujeto Obligado, por ello, no es procedente ordenar su entrega. </w:t>
      </w:r>
    </w:p>
    <w:p w:rsidR="008F31E9" w:rsidRPr="00F85D6B" w:rsidRDefault="008F31E9"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Así 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8F31E9" w:rsidRPr="00F85D6B" w:rsidRDefault="008F31E9"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spacing w:line="360" w:lineRule="auto"/>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 xml:space="preserve">“Artículo 4.- </w:t>
      </w:r>
    </w:p>
    <w:p w:rsidR="008F31E9" w:rsidRPr="00F85D6B" w:rsidRDefault="00D205DF" w:rsidP="003804D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w:t>
      </w:r>
    </w:p>
    <w:p w:rsidR="008F31E9" w:rsidRPr="00F85D6B" w:rsidRDefault="00D205DF" w:rsidP="003804D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lastRenderedPageBreak/>
        <w:t>Numerales que compelen al SUJETO OBLIGADO a apegarse en todo momento a los criterios ya expuestos, impidiendo a este Órgano Colegiado cuestionar la veracidad de la información.</w:t>
      </w:r>
    </w:p>
    <w:p w:rsidR="008F31E9" w:rsidRPr="00F85D6B" w:rsidRDefault="008F31E9" w:rsidP="003804D9">
      <w:pP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F85D6B">
        <w:rPr>
          <w:rFonts w:ascii="Palatino Linotype" w:eastAsia="Palatino Linotype" w:hAnsi="Palatino Linotype" w:cs="Palatino Linotype"/>
          <w:b/>
          <w:color w:val="000000" w:themeColor="text1"/>
        </w:rPr>
        <w:t xml:space="preserve">De la información en a través de ligas electrónicas. </w:t>
      </w:r>
    </w:p>
    <w:p w:rsidR="008F31E9" w:rsidRPr="00F85D6B" w:rsidRDefault="00D205DF" w:rsidP="003804D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F85D6B">
        <w:rPr>
          <w:rFonts w:ascii="Palatino Linotype" w:eastAsia="Palatino Linotype" w:hAnsi="Palatino Linotype" w:cs="Palatino Linotype"/>
          <w:b/>
          <w:color w:val="000000" w:themeColor="text1"/>
        </w:rPr>
        <w:t>sencilla</w:t>
      </w:r>
      <w:r w:rsidRPr="00F85D6B">
        <w:rPr>
          <w:rFonts w:ascii="Palatino Linotype" w:eastAsia="Palatino Linotype" w:hAnsi="Palatino Linotype" w:cs="Palatino Linotype"/>
          <w:color w:val="000000" w:themeColor="text1"/>
        </w:rPr>
        <w:t xml:space="preserve">, expeditos, </w:t>
      </w:r>
      <w:r w:rsidRPr="00F85D6B">
        <w:rPr>
          <w:rFonts w:ascii="Palatino Linotype" w:eastAsia="Palatino Linotype" w:hAnsi="Palatino Linotype" w:cs="Palatino Linotype"/>
          <w:b/>
          <w:color w:val="000000" w:themeColor="text1"/>
        </w:rPr>
        <w:t>oportunos</w:t>
      </w:r>
      <w:r w:rsidRPr="00F85D6B">
        <w:rPr>
          <w:rFonts w:ascii="Palatino Linotype" w:eastAsia="Palatino Linotype" w:hAnsi="Palatino Linotype" w:cs="Palatino Linotype"/>
          <w:color w:val="000000" w:themeColor="text1"/>
        </w:rPr>
        <w:t xml:space="preserve"> y gratuitos, y con ello contribuir a la mejora de procedimientos y mecanismos que permitan trasparentar la gestión pública y mejora la toma decisiones, a través de la difusión de la información que obra en poder de los sujeto obligados.</w:t>
      </w:r>
    </w:p>
    <w:p w:rsidR="008F31E9" w:rsidRPr="00F85D6B" w:rsidRDefault="008F31E9" w:rsidP="003804D9">
      <w:pP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color w:val="000000" w:themeColor="text1"/>
        </w:rPr>
        <w:t>a la Información Pública del Estado de México y Municipios establece dos puntos importantes que impactan sobre la modalidad de entrega de la información.</w:t>
      </w:r>
    </w:p>
    <w:p w:rsidR="008F31E9" w:rsidRPr="00F85D6B" w:rsidRDefault="008F31E9" w:rsidP="003804D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El primer punto a analizar es que la ley en materia contempla </w:t>
      </w:r>
      <w:r w:rsidRPr="00F85D6B">
        <w:rPr>
          <w:rFonts w:ascii="Palatino Linotype" w:eastAsia="Palatino Linotype" w:hAnsi="Palatino Linotype" w:cs="Palatino Linotype"/>
          <w:b/>
          <w:color w:val="000000" w:themeColor="text1"/>
        </w:rPr>
        <w:t>información pública de oficio</w:t>
      </w:r>
      <w:r w:rsidRPr="00F85D6B">
        <w:rPr>
          <w:rFonts w:ascii="Palatino Linotype" w:eastAsia="Palatino Linotype" w:hAnsi="Palatino Linotype" w:cs="Palatino Linotype"/>
          <w:color w:val="000000" w:themeColor="text1"/>
        </w:rPr>
        <w:t xml:space="preserve"> que los Sujetos Obligados deben poner a disposición del público de manera permanente y actualizada de forma sencilla, precisa y entendible, en los respectivos medios electrónicos la información pública que generen, administren o posean.</w:t>
      </w:r>
    </w:p>
    <w:p w:rsidR="008F31E9" w:rsidRPr="00F85D6B" w:rsidRDefault="00D205DF" w:rsidP="003804D9">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lastRenderedPageBreak/>
        <w:t>El segundo punto a analizar y que guarda estricta relación con el punto anterior, se encuentra en el artículo 161 de la citada Ley de Transparencia Local:</w:t>
      </w:r>
    </w:p>
    <w:p w:rsidR="008F31E9" w:rsidRPr="00F85D6B" w:rsidRDefault="00D205DF" w:rsidP="003804D9">
      <w:pPr>
        <w:spacing w:line="360" w:lineRule="auto"/>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b/>
          <w:i/>
          <w:color w:val="000000" w:themeColor="text1"/>
        </w:rPr>
        <w:t>Artículo 161. Cuando la información requerida por el solicitante ya esté disponible</w:t>
      </w:r>
      <w:r w:rsidRPr="00F85D6B">
        <w:rPr>
          <w:rFonts w:ascii="Palatino Linotype" w:eastAsia="Palatino Linotype" w:hAnsi="Palatino Linotype" w:cs="Palatino Linotype"/>
          <w:i/>
          <w:color w:val="000000" w:themeColor="text1"/>
        </w:rPr>
        <w:t xml:space="preserve"> al público en medios impresos, tales como libros, compendios, trípticos, registros públicos, </w:t>
      </w:r>
      <w:r w:rsidRPr="00F85D6B">
        <w:rPr>
          <w:rFonts w:ascii="Palatino Linotype" w:eastAsia="Palatino Linotype" w:hAnsi="Palatino Linotype" w:cs="Palatino Linotype"/>
          <w:b/>
          <w:i/>
          <w:color w:val="000000" w:themeColor="text1"/>
        </w:rPr>
        <w:t xml:space="preserve">en formatos electrónicos disponibles en Internet </w:t>
      </w:r>
      <w:r w:rsidRPr="00F85D6B">
        <w:rPr>
          <w:rFonts w:ascii="Palatino Linotype" w:eastAsia="Palatino Linotype" w:hAnsi="Palatino Linotype" w:cs="Palatino Linotype"/>
          <w:i/>
          <w:color w:val="000000" w:themeColor="text1"/>
        </w:rPr>
        <w:t xml:space="preserve">o en cualquier otro medio, se le hará saber por el medio requerido por el solicitante la fuente, el lugar y la forma en que puede consultar, reproducir o adquirir dicha información </w:t>
      </w:r>
      <w:r w:rsidRPr="00F85D6B">
        <w:rPr>
          <w:rFonts w:ascii="Palatino Linotype" w:eastAsia="Palatino Linotype" w:hAnsi="Palatino Linotype" w:cs="Palatino Linotype"/>
          <w:b/>
          <w:i/>
          <w:color w:val="000000" w:themeColor="text1"/>
        </w:rPr>
        <w:t>en un plazo no mayor a cinco días hábiles</w:t>
      </w:r>
      <w:r w:rsidRPr="00F85D6B">
        <w:rPr>
          <w:rFonts w:ascii="Palatino Linotype" w:eastAsia="Palatino Linotype" w:hAnsi="Palatino Linotype" w:cs="Palatino Linotype"/>
          <w:i/>
          <w:color w:val="000000" w:themeColor="text1"/>
        </w:rPr>
        <w:t xml:space="preserve">. </w:t>
      </w:r>
      <w:r w:rsidRPr="00F85D6B">
        <w:rPr>
          <w:rFonts w:ascii="Palatino Linotype" w:eastAsia="Palatino Linotype" w:hAnsi="Palatino Linotype" w:cs="Palatino Linotype"/>
          <w:b/>
          <w:i/>
          <w:color w:val="000000" w:themeColor="text1"/>
        </w:rPr>
        <w:t>La fuente deberá ser precisa y concreta y no debe implicar que el solicitante realice una búsqueda en toda la información que se encuentre disponible</w:t>
      </w:r>
      <w:r w:rsidRPr="00F85D6B">
        <w:rPr>
          <w:rFonts w:ascii="Palatino Linotype" w:eastAsia="Palatino Linotype" w:hAnsi="Palatino Linotype" w:cs="Palatino Linotype"/>
          <w:i/>
          <w:color w:val="000000" w:themeColor="text1"/>
        </w:rPr>
        <w:t>.</w:t>
      </w:r>
    </w:p>
    <w:p w:rsidR="008F31E9" w:rsidRPr="00F85D6B" w:rsidRDefault="00D205DF" w:rsidP="003804D9">
      <w:pPr>
        <w:numPr>
          <w:ilvl w:val="0"/>
          <w:numId w:val="1"/>
        </w:numPr>
        <w:pBdr>
          <w:top w:val="nil"/>
          <w:left w:val="nil"/>
          <w:bottom w:val="nil"/>
          <w:right w:val="nil"/>
          <w:between w:val="nil"/>
        </w:pBdr>
        <w:tabs>
          <w:tab w:val="left" w:pos="851"/>
        </w:tabs>
        <w:spacing w:before="240" w:line="360" w:lineRule="auto"/>
        <w:ind w:left="0" w:firstLine="0"/>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color w:val="000000" w:themeColor="text1"/>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8F31E9" w:rsidRPr="00F85D6B" w:rsidRDefault="008F31E9" w:rsidP="003804D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8F31E9" w:rsidRPr="00F85D6B" w:rsidRDefault="00D205DF" w:rsidP="003804D9">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b/>
          <w:color w:val="000000" w:themeColor="text1"/>
        </w:rPr>
        <w:t>La orientación</w:t>
      </w:r>
      <w:r w:rsidRPr="00F85D6B">
        <w:rPr>
          <w:rFonts w:ascii="Palatino Linotype" w:eastAsia="Palatino Linotype" w:hAnsi="Palatino Linotype" w:cs="Palatino Linotype"/>
          <w:color w:val="000000" w:themeColor="text1"/>
        </w:rPr>
        <w:t xml:space="preserve"> que realicen los Sujetos Obligados a los sitios electrónicos para la consulta de la información </w:t>
      </w:r>
      <w:r w:rsidRPr="00F85D6B">
        <w:rPr>
          <w:rFonts w:ascii="Palatino Linotype" w:eastAsia="Palatino Linotype" w:hAnsi="Palatino Linotype" w:cs="Palatino Linotype"/>
          <w:b/>
          <w:color w:val="000000" w:themeColor="text1"/>
        </w:rPr>
        <w:t>debe cumplir con las características de tiempo y forma.</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color w:val="000000" w:themeColor="text1"/>
        </w:rPr>
        <w:t xml:space="preserve">Para que la orientación se encuentre en tiempo, debe realizarse en un plazo no mayor a cinco días hábiles. En este caso, el Recurrente presentó su solicitud en fecha veintidós (22) de noviembre de dos mil veintidós, por lo que, el plazo de cinco días para señalar los sitios electrónicos en donde obra la información transcurrió del veintitrés </w:t>
      </w:r>
      <w:r w:rsidRPr="00F85D6B">
        <w:rPr>
          <w:rFonts w:ascii="Palatino Linotype" w:eastAsia="Palatino Linotype" w:hAnsi="Palatino Linotype" w:cs="Palatino Linotype"/>
          <w:color w:val="000000" w:themeColor="text1"/>
        </w:rPr>
        <w:lastRenderedPageBreak/>
        <w:t xml:space="preserve">(23) al veintinueve (29) de noviembre de dos mil veintidós; el Sujeto Obligado dio respuesta el nueve (09) de diciembre de dos mil veintidós, por lo que evidentemente se encuentra fuera del plazo que señala la normatividad en materia, lo que trae como consecuencia que </w:t>
      </w:r>
      <w:r w:rsidRPr="00F85D6B">
        <w:rPr>
          <w:rFonts w:ascii="Palatino Linotype" w:eastAsia="Palatino Linotype" w:hAnsi="Palatino Linotype" w:cs="Palatino Linotype"/>
          <w:b/>
          <w:color w:val="000000" w:themeColor="text1"/>
        </w:rPr>
        <w:t>la orientación no se encuentre en tiempo</w:t>
      </w:r>
      <w:r w:rsidRPr="00F85D6B">
        <w:rPr>
          <w:rFonts w:ascii="Palatino Linotype" w:eastAsia="Palatino Linotype" w:hAnsi="Palatino Linotype" w:cs="Palatino Linotype"/>
          <w:color w:val="000000" w:themeColor="text1"/>
        </w:rPr>
        <w:t>.</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color w:val="000000" w:themeColor="text1"/>
        </w:rPr>
        <w:t>Ahora bien, la normatividad en materia establece que las direcciones electrónicas deben ser precisas, de tal modo que no implique que el Recurrente deba de realizar una búsqueda dentro de toda la información disponible.</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i/>
          <w:color w:val="000000" w:themeColor="text1"/>
        </w:rPr>
      </w:pPr>
    </w:p>
    <w:p w:rsidR="008F31E9" w:rsidRPr="00F85D6B" w:rsidRDefault="00D205DF" w:rsidP="003804D9">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En ese sentido, por lo que se refiere al punto 2 de la solicitud (Remuneraciones de mandos medios y superiores), el Sujeto Obligado entregó la liga electrónica que remite a la página del INFOEM, y posteriormente, al seguir los pasos señalados por el Sujeto Obligado, se puede localizar la información solicitada, tal y como se muestra con las siguientes imágenes: </w:t>
      </w:r>
    </w:p>
    <w:p w:rsidR="008F31E9" w:rsidRPr="00F85D6B" w:rsidRDefault="000D6978" w:rsidP="003804D9">
      <w:pPr>
        <w:numPr>
          <w:ilvl w:val="0"/>
          <w:numId w:val="8"/>
        </w:numPr>
        <w:pBdr>
          <w:top w:val="nil"/>
          <w:left w:val="nil"/>
          <w:bottom w:val="nil"/>
          <w:right w:val="nil"/>
          <w:between w:val="nil"/>
        </w:pBdr>
        <w:tabs>
          <w:tab w:val="left" w:pos="851"/>
        </w:tabs>
        <w:spacing w:line="360" w:lineRule="auto"/>
        <w:ind w:left="0"/>
        <w:jc w:val="both"/>
        <w:rPr>
          <w:rFonts w:ascii="Palatino Linotype" w:eastAsia="Palatino Linotype" w:hAnsi="Palatino Linotype" w:cs="Palatino Linotype"/>
          <w:color w:val="000000" w:themeColor="text1"/>
        </w:rPr>
      </w:pPr>
      <w:hyperlink r:id="rId21">
        <w:r w:rsidR="00D205DF" w:rsidRPr="00F85D6B">
          <w:rPr>
            <w:rFonts w:ascii="Palatino Linotype" w:eastAsia="Palatino Linotype" w:hAnsi="Palatino Linotype" w:cs="Palatino Linotype"/>
            <w:color w:val="000000" w:themeColor="text1"/>
            <w:u w:val="single"/>
          </w:rPr>
          <w:t>www.infoem.gob.mx</w:t>
        </w:r>
      </w:hyperlink>
    </w:p>
    <w:p w:rsidR="008F31E9" w:rsidRPr="00F85D6B" w:rsidRDefault="008F31E9" w:rsidP="003804D9">
      <w:pPr>
        <w:pBdr>
          <w:top w:val="nil"/>
          <w:left w:val="nil"/>
          <w:bottom w:val="nil"/>
          <w:right w:val="nil"/>
          <w:between w:val="nil"/>
        </w:pBdr>
        <w:tabs>
          <w:tab w:val="left" w:pos="851"/>
        </w:tabs>
        <w:spacing w:after="240" w:line="360" w:lineRule="auto"/>
        <w:jc w:val="both"/>
        <w:rPr>
          <w:rFonts w:ascii="Palatino Linotype" w:eastAsia="Palatino Linotype" w:hAnsi="Palatino Linotype" w:cs="Palatino Linotype"/>
          <w:color w:val="000000" w:themeColor="text1"/>
        </w:rPr>
      </w:pPr>
    </w:p>
    <w:p w:rsidR="008F31E9" w:rsidRPr="00F85D6B" w:rsidRDefault="00D205DF" w:rsidP="003804D9">
      <w:pPr>
        <w:tabs>
          <w:tab w:val="left" w:pos="851"/>
        </w:tabs>
        <w:spacing w:before="240" w:after="240" w:line="360" w:lineRule="auto"/>
        <w:jc w:val="center"/>
        <w:rPr>
          <w:rFonts w:ascii="Palatino Linotype" w:eastAsia="Palatino Linotype" w:hAnsi="Palatino Linotype" w:cs="Palatino Linotype"/>
          <w:color w:val="000000" w:themeColor="text1"/>
        </w:rPr>
      </w:pPr>
      <w:r w:rsidRPr="00F85D6B">
        <w:rPr>
          <w:rFonts w:ascii="Palatino Linotype" w:hAnsi="Palatino Linotype"/>
          <w:noProof/>
          <w:color w:val="000000" w:themeColor="text1"/>
        </w:rPr>
        <w:drawing>
          <wp:inline distT="0" distB="0" distL="0" distR="0">
            <wp:extent cx="5317796" cy="2769819"/>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5317796" cy="2769819"/>
                    </a:xfrm>
                    <a:prstGeom prst="rect">
                      <a:avLst/>
                    </a:prstGeom>
                    <a:ln/>
                  </pic:spPr>
                </pic:pic>
              </a:graphicData>
            </a:graphic>
          </wp:inline>
        </w:drawing>
      </w:r>
    </w:p>
    <w:p w:rsidR="008F31E9" w:rsidRPr="00F85D6B" w:rsidRDefault="00D205DF" w:rsidP="003804D9">
      <w:pPr>
        <w:tabs>
          <w:tab w:val="left" w:pos="851"/>
        </w:tabs>
        <w:spacing w:before="240" w:after="240" w:line="360" w:lineRule="auto"/>
        <w:jc w:val="center"/>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noProof/>
          <w:color w:val="000000" w:themeColor="text1"/>
        </w:rPr>
        <w:lastRenderedPageBreak/>
        <w:drawing>
          <wp:inline distT="0" distB="0" distL="0" distR="0">
            <wp:extent cx="5742940" cy="146812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5742940" cy="1468120"/>
                    </a:xfrm>
                    <a:prstGeom prst="rect">
                      <a:avLst/>
                    </a:prstGeom>
                    <a:ln/>
                  </pic:spPr>
                </pic:pic>
              </a:graphicData>
            </a:graphic>
          </wp:inline>
        </w:drawing>
      </w:r>
    </w:p>
    <w:p w:rsidR="008F31E9"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p w:rsidR="00433251" w:rsidRPr="00F85D6B" w:rsidRDefault="00433251" w:rsidP="003804D9">
      <w:pPr>
        <w:pBdr>
          <w:top w:val="nil"/>
          <w:left w:val="nil"/>
          <w:bottom w:val="nil"/>
          <w:right w:val="nil"/>
          <w:between w:val="nil"/>
        </w:pBdr>
        <w:rPr>
          <w:rFonts w:ascii="Palatino Linotype" w:eastAsia="Palatino Linotype" w:hAnsi="Palatino Linotype" w:cs="Palatino Linotype"/>
          <w:color w:val="000000" w:themeColor="text1"/>
        </w:rPr>
      </w:pPr>
    </w:p>
    <w:p w:rsidR="009B6025" w:rsidRDefault="00D205DF" w:rsidP="009B602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Como se advierte, al dar seguimiento a los pasos señalados por el Sujeto Obligado, el Recurrente puede acceder a las Remuneraciones de los servidores públicos, es decir, el Sujeto Obligado dio cumplimiento a lo establecido en el artículo 161 de la Ley de Transparencia y Acceso a la Información Pública del Estado de México y Municipios. </w:t>
      </w:r>
    </w:p>
    <w:p w:rsidR="009B6025" w:rsidRPr="009B6025" w:rsidRDefault="009B6025" w:rsidP="009B6025">
      <w:pP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Por otro lado, respecto al punto 3 de la solicitud (Trámites y Servicios de todas las áreas), el Sujeto Obligado entregó es respuesta una liga electrónica, la cual se encontraba en datos cerrados, sin embargo, en aras de garantizar el derecho de acceso a la información del Recurrente, el Sujeto Obligado entregó a través de informe justificado, la información a través del Sistema SAIMEX, por lo que, colmó con el derecho de acceso a la información del particular. </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p w:rsidR="008F31E9" w:rsidRPr="00F85D6B" w:rsidRDefault="00D205DF" w:rsidP="003804D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Por otro lado, respecto al punto 4 de la solicitud (Presupuesto asignado al Sujeto Obligado), el Tesorero Municipal refirió, tanto en respuesta como en informe justificado, una liga electrónica en la que señaló que se localizaba la información solicitada, en ese sentido, se precisa que se obvia el análisis de la competencia por parte del </w:t>
      </w:r>
      <w:r w:rsidRPr="00F85D6B">
        <w:rPr>
          <w:rFonts w:ascii="Palatino Linotype" w:eastAsia="Palatino Linotype" w:hAnsi="Palatino Linotype" w:cs="Palatino Linotype"/>
          <w:b/>
          <w:color w:val="000000" w:themeColor="text1"/>
        </w:rPr>
        <w:t>SUJETO OBLIGADO</w:t>
      </w:r>
      <w:r w:rsidRPr="00F85D6B">
        <w:rPr>
          <w:rFonts w:ascii="Palatino Linotype" w:eastAsia="Palatino Linotype" w:hAnsi="Palatino Linotype" w:cs="Palatino Linotype"/>
          <w:color w:val="000000" w:themeColor="text1"/>
        </w:rPr>
        <w:t xml:space="preserve">, para generar, administrar o poseer la información solicitada, </w:t>
      </w:r>
      <w:r w:rsidRPr="00F85D6B">
        <w:rPr>
          <w:rFonts w:ascii="Palatino Linotype" w:eastAsia="Palatino Linotype" w:hAnsi="Palatino Linotype" w:cs="Palatino Linotype"/>
          <w:color w:val="000000" w:themeColor="text1"/>
        </w:rPr>
        <w:lastRenderedPageBreak/>
        <w:t>dado que éste ha asumido la misma, en razón de que en su respuesta admitió contar con dicha información.</w:t>
      </w:r>
    </w:p>
    <w:p w:rsidR="00843984" w:rsidRPr="00F85D6B" w:rsidRDefault="00843984" w:rsidP="00843984">
      <w:pP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0" w:name="_heading=h.7uqqqxa2kn98" w:colFirst="0" w:colLast="0"/>
      <w:bookmarkEnd w:id="10"/>
      <w:r w:rsidRPr="00F85D6B">
        <w:rPr>
          <w:rFonts w:ascii="Palatino Linotype" w:eastAsia="Palatino Linotype" w:hAnsi="Palatino Linotype" w:cs="Palatino Linotype"/>
          <w:color w:val="000000" w:themeColor="text1"/>
        </w:rPr>
        <w:t xml:space="preserve">En efecto, el hecho de que </w:t>
      </w:r>
      <w:r w:rsidRPr="00F85D6B">
        <w:rPr>
          <w:rFonts w:ascii="Palatino Linotype" w:eastAsia="Palatino Linotype" w:hAnsi="Palatino Linotype" w:cs="Palatino Linotype"/>
          <w:b/>
          <w:color w:val="000000" w:themeColor="text1"/>
        </w:rPr>
        <w:t>EL SUJETO OBLIGADO</w:t>
      </w:r>
      <w:r w:rsidRPr="00F85D6B">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8F31E9" w:rsidRPr="00F85D6B" w:rsidRDefault="00D205DF" w:rsidP="003804D9">
      <w:pPr>
        <w:pBdr>
          <w:top w:val="nil"/>
          <w:left w:val="nil"/>
          <w:bottom w:val="nil"/>
          <w:right w:val="nil"/>
          <w:between w:val="nil"/>
        </w:pBd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w:t>
      </w:r>
      <w:r w:rsidRPr="00F85D6B">
        <w:rPr>
          <w:rFonts w:ascii="Palatino Linotype" w:eastAsia="Palatino Linotype" w:hAnsi="Palatino Linotype" w:cs="Palatino Linotype"/>
          <w:b/>
          <w:i/>
          <w:color w:val="000000" w:themeColor="text1"/>
        </w:rPr>
        <w:t>Artículo 12.</w:t>
      </w:r>
      <w:r w:rsidRPr="00F85D6B">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8F31E9" w:rsidRPr="00F85D6B" w:rsidRDefault="008F31E9" w:rsidP="003804D9">
      <w:pPr>
        <w:pBdr>
          <w:top w:val="nil"/>
          <w:left w:val="nil"/>
          <w:bottom w:val="nil"/>
          <w:right w:val="nil"/>
          <w:between w:val="nil"/>
        </w:pBdr>
        <w:jc w:val="both"/>
        <w:rPr>
          <w:rFonts w:ascii="Palatino Linotype" w:eastAsia="Palatino Linotype" w:hAnsi="Palatino Linotype" w:cs="Palatino Linotype"/>
          <w:i/>
          <w:color w:val="000000" w:themeColor="text1"/>
        </w:rPr>
      </w:pPr>
    </w:p>
    <w:p w:rsidR="008F31E9" w:rsidRPr="00F85D6B" w:rsidRDefault="00D205DF" w:rsidP="003804D9">
      <w:pPr>
        <w:pBdr>
          <w:top w:val="nil"/>
          <w:left w:val="nil"/>
          <w:bottom w:val="nil"/>
          <w:right w:val="nil"/>
          <w:between w:val="nil"/>
        </w:pBdr>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F31E9" w:rsidRPr="00F85D6B" w:rsidRDefault="008F31E9" w:rsidP="003804D9">
      <w:pPr>
        <w:pBdr>
          <w:top w:val="nil"/>
          <w:left w:val="nil"/>
          <w:bottom w:val="nil"/>
          <w:right w:val="nil"/>
          <w:between w:val="nil"/>
        </w:pBdr>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F85D6B">
        <w:rPr>
          <w:rFonts w:ascii="Palatino Linotype" w:eastAsia="Palatino Linotype" w:hAnsi="Palatino Linotype" w:cs="Palatino Linotype"/>
          <w:b/>
          <w:color w:val="000000" w:themeColor="text1"/>
        </w:rPr>
        <w:t>EL SUJETO OBLIGADO</w:t>
      </w:r>
      <w:r w:rsidRPr="00F85D6B">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8F31E9" w:rsidRPr="00F85D6B" w:rsidRDefault="008F31E9" w:rsidP="003804D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 Ahora bien, respecto a la liga electrónica que remitió el Sujeto Obligado, cabe señalar que no se encuentra en datos abiertos, al respecto, la normatividad en materia establece que las direcciones electrónicas deben ser precisas, de tal modo que no </w:t>
      </w:r>
      <w:r w:rsidRPr="00F85D6B">
        <w:rPr>
          <w:rFonts w:ascii="Palatino Linotype" w:eastAsia="Palatino Linotype" w:hAnsi="Palatino Linotype" w:cs="Palatino Linotype"/>
          <w:color w:val="000000" w:themeColor="text1"/>
        </w:rPr>
        <w:lastRenderedPageBreak/>
        <w:t xml:space="preserve">implique que el Recurrente deba de realizar una búsqueda dentro de toda la información disponible, además de que deben estar </w:t>
      </w:r>
      <w:r w:rsidRPr="00F85D6B">
        <w:rPr>
          <w:rFonts w:ascii="Palatino Linotype" w:eastAsia="Palatino Linotype" w:hAnsi="Palatino Linotype" w:cs="Palatino Linotype"/>
          <w:b/>
          <w:color w:val="000000" w:themeColor="text1"/>
        </w:rPr>
        <w:t>en datos abiertos</w:t>
      </w:r>
      <w:r w:rsidRPr="00F85D6B">
        <w:rPr>
          <w:rFonts w:ascii="Palatino Linotype" w:eastAsia="Palatino Linotype" w:hAnsi="Palatino Linotype" w:cs="Palatino Linotype"/>
          <w:color w:val="000000" w:themeColor="text1"/>
        </w:rPr>
        <w:t xml:space="preserve">, situación que no ocurrió en el presente caso,  ya que emitió un documento escaneado, el cual no da ingreso a la liga electrónica de forma directa, razón por la cual, el Recurrente tendría que transcribirla, lo que implica que al momento de hacerlo pueda cometer algún error y no pueda acceder a la información, situación que puedo ocurrir en el presente caso, ya que el Recurrente manifestó en sus motivos de inconformidad la entrega de información incompleta. </w:t>
      </w:r>
    </w:p>
    <w:p w:rsidR="008F31E9" w:rsidRPr="00F85D6B" w:rsidRDefault="008F31E9" w:rsidP="003804D9">
      <w:pPr>
        <w:pBdr>
          <w:top w:val="nil"/>
          <w:left w:val="nil"/>
          <w:bottom w:val="nil"/>
          <w:right w:val="nil"/>
          <w:between w:val="nil"/>
        </w:pBdr>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color w:val="000000" w:themeColor="text1"/>
        </w:rPr>
        <w:t>En ese sentido, es oportuno mencionar lo que debemos entender por datos abiertos, siendo estos los datos digitales de carácter público que pueden ser usados, reutilizados y redistribuidos por cualquier interesado y que tienen como característica ser accesibles, integrales, gratuitos, no discriminatorios, oportunos, permanentes, primarios, legibles por las máquinas, en formatos abiertos y de libre uso.  En este mismo sentido, nuestra Ley de Transparencia y Acceso a la Información Pública del Estado de México y Municipios, expresa en su artículo 3, de manera textual lo siguiente:</w:t>
      </w:r>
    </w:p>
    <w:p w:rsidR="008F31E9" w:rsidRPr="00F85D6B" w:rsidRDefault="00D205DF" w:rsidP="003804D9">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i/>
          <w:color w:val="000000" w:themeColor="text1"/>
        </w:rPr>
        <w:t>“VIII. Datos abiertos: Los datos digitales de carácter público que son accesibles en línea que pueden ser usados, reutilizados y redistribuidos por cualquier interesado y que tienen las siguientes características:</w:t>
      </w:r>
    </w:p>
    <w:p w:rsidR="008F31E9" w:rsidRPr="00F85D6B" w:rsidRDefault="00D205DF" w:rsidP="003804D9">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i/>
          <w:color w:val="000000" w:themeColor="text1"/>
        </w:rPr>
        <w:t>a) Accesibles: Los datos están disponibles para la gama más amplia de usuarios, para cualquier propósito;</w:t>
      </w:r>
    </w:p>
    <w:p w:rsidR="008F31E9" w:rsidRPr="00F85D6B" w:rsidRDefault="00D205DF" w:rsidP="003804D9">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i/>
          <w:color w:val="000000" w:themeColor="text1"/>
        </w:rPr>
        <w:t>b) Integrales: Contienen el tema que describen a detalle y con los metadatos necesarios;</w:t>
      </w:r>
    </w:p>
    <w:p w:rsidR="008F31E9" w:rsidRPr="00F85D6B" w:rsidRDefault="00D205DF" w:rsidP="003804D9">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i/>
          <w:color w:val="000000" w:themeColor="text1"/>
        </w:rPr>
        <w:t>c) Gratuitos: Se obtienen sin entregar a cambio contraprestación alguna;</w:t>
      </w:r>
    </w:p>
    <w:p w:rsidR="008F31E9" w:rsidRPr="00F85D6B" w:rsidRDefault="00D205DF" w:rsidP="003804D9">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i/>
          <w:color w:val="000000" w:themeColor="text1"/>
        </w:rPr>
        <w:t>d) No discriminatorios: Los datos están disponibles para cualquier persona, sin necesidad de registro;</w:t>
      </w:r>
    </w:p>
    <w:p w:rsidR="008F31E9" w:rsidRPr="00F85D6B" w:rsidRDefault="00D205DF" w:rsidP="003804D9">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i/>
          <w:color w:val="000000" w:themeColor="text1"/>
        </w:rPr>
        <w:t>e) Oportunos: Son actualizados, periódicamente, conforme se generen;</w:t>
      </w:r>
    </w:p>
    <w:p w:rsidR="008F31E9" w:rsidRPr="00F85D6B" w:rsidRDefault="00D205DF" w:rsidP="003804D9">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i/>
          <w:color w:val="000000" w:themeColor="text1"/>
        </w:rPr>
        <w:t>f) Permanentes: Se conservan en el tiempo, para lo cual, las versiones históricas relevantes para uso público se mantendrán disponibles con identificadores adecuados al efecto;</w:t>
      </w:r>
    </w:p>
    <w:p w:rsidR="008F31E9" w:rsidRPr="00F85D6B" w:rsidRDefault="00D205DF" w:rsidP="003804D9">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i/>
          <w:color w:val="000000" w:themeColor="text1"/>
        </w:rPr>
        <w:lastRenderedPageBreak/>
        <w:t>g) Primarios: Provienen de la fuente de origen con el máximo nivel de desagregación posible;</w:t>
      </w:r>
    </w:p>
    <w:p w:rsidR="008F31E9" w:rsidRPr="00F85D6B" w:rsidRDefault="00D205DF" w:rsidP="003804D9">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i/>
          <w:color w:val="000000" w:themeColor="text1"/>
        </w:rPr>
        <w:t>h) Legibles por máquinas: Deberán estar estructurados, total o parcialmente, para ser procesados e interpretados por equipos electrónicos de manera automática;</w:t>
      </w:r>
    </w:p>
    <w:p w:rsidR="008F31E9" w:rsidRPr="00F85D6B" w:rsidRDefault="00D205DF" w:rsidP="003804D9">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i/>
          <w:color w:val="000000" w:themeColor="text1"/>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F85D6B">
        <w:rPr>
          <w:rFonts w:ascii="Palatino Linotype" w:eastAsia="Palatino Linotype" w:hAnsi="Palatino Linotype" w:cs="Palatino Linotype"/>
          <w:i/>
          <w:color w:val="000000" w:themeColor="text1"/>
        </w:rPr>
        <w:t>; y</w:t>
      </w:r>
    </w:p>
    <w:p w:rsidR="008F31E9" w:rsidRPr="00F85D6B" w:rsidRDefault="00D205DF" w:rsidP="003804D9">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i/>
          <w:color w:val="000000" w:themeColor="text1"/>
        </w:rPr>
        <w:t>j) De libre uso: Citan la fuente de origen como único requerimiento para ser utilizados libremente.</w:t>
      </w:r>
    </w:p>
    <w:p w:rsidR="008F31E9" w:rsidRPr="00F85D6B" w:rsidRDefault="00D205DF" w:rsidP="003804D9">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i/>
          <w:color w:val="000000" w:themeColor="text1"/>
        </w:rPr>
      </w:pPr>
      <w:r w:rsidRPr="00F85D6B">
        <w:rPr>
          <w:rFonts w:ascii="Palatino Linotype" w:eastAsia="Palatino Linotype" w:hAnsi="Palatino Linotype" w:cs="Palatino Linotype"/>
          <w:i/>
          <w:color w:val="000000" w:themeColor="text1"/>
        </w:rPr>
        <w:t>(Énfasis añadido)</w:t>
      </w:r>
    </w:p>
    <w:p w:rsidR="008F31E9" w:rsidRPr="00F85D6B" w:rsidRDefault="008F31E9" w:rsidP="003804D9">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p>
    <w:p w:rsidR="008F31E9" w:rsidRPr="00F85D6B" w:rsidRDefault="008F31E9" w:rsidP="003804D9">
      <w:pPr>
        <w:pBdr>
          <w:top w:val="nil"/>
          <w:left w:val="nil"/>
          <w:bottom w:val="nil"/>
          <w:right w:val="nil"/>
          <w:between w:val="nil"/>
        </w:pBdr>
        <w:shd w:val="clear" w:color="auto" w:fill="FFFFFF"/>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El dispositivo legal estatal aplicable a la materia, establece en su artículo 41 que el Instituto promoverá la publicación de la información en datos abiertos y accesibles, de tal manera que este Órgano Garante se encuentra en posibilidades de ordenar al </w:t>
      </w:r>
      <w:r w:rsidRPr="00F85D6B">
        <w:rPr>
          <w:rFonts w:ascii="Palatino Linotype" w:eastAsia="Palatino Linotype" w:hAnsi="Palatino Linotype" w:cs="Palatino Linotype"/>
          <w:b/>
          <w:color w:val="000000" w:themeColor="text1"/>
        </w:rPr>
        <w:t>Sujeto Obligado, en caso de tener la información en formatos abiertos </w:t>
      </w:r>
      <w:r w:rsidRPr="00F85D6B">
        <w:rPr>
          <w:rFonts w:ascii="Palatino Linotype" w:eastAsia="Palatino Linotype" w:hAnsi="Palatino Linotype" w:cs="Palatino Linotype"/>
          <w:color w:val="000000" w:themeColor="text1"/>
        </w:rPr>
        <w:t xml:space="preserve">entregar la misma en el formato solicitado. </w:t>
      </w:r>
    </w:p>
    <w:p w:rsidR="008F31E9" w:rsidRPr="00F85D6B" w:rsidRDefault="008F31E9" w:rsidP="003804D9">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Por lo tanto, con la información entrega por el Tesorero Municipal, tanto en respuesta como en informe justificado, no se colma la solicitud de información del Recurrente, por ello, es procedente ordenar la entrega del Presupuesto del Ayuntamiento de Naucalpan de Juárez para el ejercicio fiscal 2025.  </w:t>
      </w:r>
    </w:p>
    <w:p w:rsidR="008F31E9" w:rsidRPr="00F85D6B" w:rsidRDefault="008F31E9" w:rsidP="003804D9">
      <w:pP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Por lo anteriormente señalado, se puede concluir que el Sujeto Obligado entregó de forma parcial los documentos solicitados, por lo tanto,  en mérito de lo expuesto en líneas anteriores, resultan  fundadas las razones o motivos de inconformidad hechos valer por el </w:t>
      </w:r>
      <w:r w:rsidRPr="00F85D6B">
        <w:rPr>
          <w:rFonts w:ascii="Palatino Linotype" w:eastAsia="Palatino Linotype" w:hAnsi="Palatino Linotype" w:cs="Palatino Linotype"/>
          <w:b/>
          <w:color w:val="000000" w:themeColor="text1"/>
        </w:rPr>
        <w:t>RECURRENTE</w:t>
      </w:r>
      <w:r w:rsidRPr="00F85D6B">
        <w:rPr>
          <w:rFonts w:ascii="Palatino Linotype" w:eastAsia="Palatino Linotype" w:hAnsi="Palatino Linotype" w:cs="Palatino Linotype"/>
          <w:color w:val="000000" w:themeColor="text1"/>
        </w:rPr>
        <w:t xml:space="preserve"> dentro del recurso de revisión </w:t>
      </w:r>
      <w:r w:rsidRPr="00F85D6B">
        <w:rPr>
          <w:rFonts w:ascii="Palatino Linotype" w:eastAsia="Palatino Linotype" w:hAnsi="Palatino Linotype" w:cs="Palatino Linotype"/>
          <w:b/>
          <w:color w:val="000000" w:themeColor="text1"/>
        </w:rPr>
        <w:t>02483/INFOEM/IP/RR/2025</w:t>
      </w:r>
      <w:r w:rsidRPr="00F85D6B">
        <w:rPr>
          <w:rFonts w:ascii="Palatino Linotype" w:eastAsia="Palatino Linotype" w:hAnsi="Palatino Linotype" w:cs="Palatino Linotype"/>
          <w:color w:val="000000" w:themeColor="text1"/>
        </w:rPr>
        <w:t xml:space="preserve">; </w:t>
      </w:r>
      <w:r w:rsidRPr="00F85D6B">
        <w:rPr>
          <w:rFonts w:ascii="Palatino Linotype" w:eastAsia="Palatino Linotype" w:hAnsi="Palatino Linotype" w:cs="Palatino Linotype"/>
          <w:color w:val="000000" w:themeColor="text1"/>
        </w:rPr>
        <w:lastRenderedPageBreak/>
        <w:t xml:space="preserve">por ello, y con fundamento en la fracción III del numeral 186 de la Ley de Transparencia y Acceso a la Información Pública del Estado de México y Municipios, se </w:t>
      </w:r>
      <w:r w:rsidRPr="00F85D6B">
        <w:rPr>
          <w:rFonts w:ascii="Palatino Linotype" w:eastAsia="Palatino Linotype" w:hAnsi="Palatino Linotype" w:cs="Palatino Linotype"/>
          <w:b/>
          <w:color w:val="000000" w:themeColor="text1"/>
        </w:rPr>
        <w:t>MODIFICA</w:t>
      </w:r>
      <w:r w:rsidRPr="00F85D6B">
        <w:rPr>
          <w:rFonts w:ascii="Palatino Linotype" w:eastAsia="Palatino Linotype" w:hAnsi="Palatino Linotype" w:cs="Palatino Linotype"/>
          <w:color w:val="000000" w:themeColor="text1"/>
        </w:rPr>
        <w:t xml:space="preserve"> la respuesta del Sujeto Obligado.</w:t>
      </w:r>
    </w:p>
    <w:p w:rsidR="008F31E9" w:rsidRPr="00F85D6B" w:rsidRDefault="00D205DF" w:rsidP="003804D9">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color w:val="000000" w:themeColor="text1"/>
        </w:rPr>
        <w:t xml:space="preserve">Por lo anteriormente expuesto y fundado, este </w:t>
      </w:r>
      <w:r w:rsidRPr="00F85D6B">
        <w:rPr>
          <w:rFonts w:ascii="Palatino Linotype" w:eastAsia="Palatino Linotype" w:hAnsi="Palatino Linotype" w:cs="Palatino Linotype"/>
          <w:b/>
          <w:color w:val="000000" w:themeColor="text1"/>
        </w:rPr>
        <w:t>ÓRGANO GARANTE</w:t>
      </w:r>
      <w:r w:rsidRPr="00F85D6B">
        <w:rPr>
          <w:rFonts w:ascii="Palatino Linotype" w:eastAsia="Palatino Linotype" w:hAnsi="Palatino Linotype" w:cs="Palatino Linotype"/>
          <w:color w:val="000000" w:themeColor="text1"/>
        </w:rPr>
        <w:t xml:space="preserve"> emite los siguientes:</w:t>
      </w:r>
    </w:p>
    <w:p w:rsidR="008F31E9" w:rsidRPr="00F85D6B" w:rsidRDefault="00D205DF" w:rsidP="003804D9">
      <w:pPr>
        <w:keepNext/>
        <w:keepLines/>
        <w:spacing w:line="360" w:lineRule="auto"/>
        <w:jc w:val="center"/>
        <w:rPr>
          <w:rFonts w:ascii="Palatino Linotype" w:eastAsia="Palatino Linotype" w:hAnsi="Palatino Linotype" w:cs="Palatino Linotype"/>
          <w:b/>
          <w:color w:val="000000" w:themeColor="text1"/>
        </w:rPr>
      </w:pPr>
      <w:bookmarkStart w:id="11" w:name="_heading=h.6j2pgxxq9kwz" w:colFirst="0" w:colLast="0"/>
      <w:bookmarkEnd w:id="11"/>
      <w:r w:rsidRPr="00F85D6B">
        <w:rPr>
          <w:rFonts w:ascii="Palatino Linotype" w:eastAsia="Palatino Linotype" w:hAnsi="Palatino Linotype" w:cs="Palatino Linotype"/>
          <w:b/>
          <w:color w:val="000000" w:themeColor="text1"/>
        </w:rPr>
        <w:t>R E S O L U T I V O S</w:t>
      </w:r>
    </w:p>
    <w:p w:rsidR="008F31E9" w:rsidRPr="00F85D6B" w:rsidRDefault="008F31E9" w:rsidP="003804D9">
      <w:pPr>
        <w:keepNext/>
        <w:keepLines/>
        <w:spacing w:line="360" w:lineRule="auto"/>
        <w:jc w:val="center"/>
        <w:rPr>
          <w:rFonts w:ascii="Palatino Linotype" w:eastAsia="Palatino Linotype" w:hAnsi="Palatino Linotype" w:cs="Palatino Linotype"/>
          <w:b/>
          <w:color w:val="000000" w:themeColor="text1"/>
        </w:rPr>
      </w:pPr>
    </w:p>
    <w:p w:rsidR="008F31E9" w:rsidRPr="00F85D6B" w:rsidRDefault="00D205DF" w:rsidP="003804D9">
      <w:pPr>
        <w:spacing w:line="360"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color w:val="000000" w:themeColor="text1"/>
        </w:rPr>
        <w:t xml:space="preserve">PRIMERO. </w:t>
      </w:r>
      <w:r w:rsidRPr="00F85D6B">
        <w:rPr>
          <w:rFonts w:ascii="Palatino Linotype" w:eastAsia="Palatino Linotype" w:hAnsi="Palatino Linotype" w:cs="Palatino Linotype"/>
          <w:color w:val="000000" w:themeColor="text1"/>
        </w:rPr>
        <w:t>Resultan parcialmente fundadas las</w:t>
      </w:r>
      <w:r w:rsidRPr="00F85D6B">
        <w:rPr>
          <w:rFonts w:ascii="Palatino Linotype" w:eastAsia="Palatino Linotype" w:hAnsi="Palatino Linotype" w:cs="Palatino Linotype"/>
          <w:b/>
          <w:color w:val="000000" w:themeColor="text1"/>
        </w:rPr>
        <w:t xml:space="preserve"> </w:t>
      </w:r>
      <w:r w:rsidRPr="00F85D6B">
        <w:rPr>
          <w:rFonts w:ascii="Palatino Linotype" w:eastAsia="Palatino Linotype" w:hAnsi="Palatino Linotype" w:cs="Palatino Linotype"/>
          <w:color w:val="000000" w:themeColor="text1"/>
        </w:rPr>
        <w:t xml:space="preserve">razones o motivos de inconformidad hechos valer en el recurso de revisión </w:t>
      </w:r>
      <w:r w:rsidRPr="00F85D6B">
        <w:rPr>
          <w:rFonts w:ascii="Palatino Linotype" w:eastAsia="Palatino Linotype" w:hAnsi="Palatino Linotype" w:cs="Palatino Linotype"/>
          <w:b/>
          <w:color w:val="000000" w:themeColor="text1"/>
        </w:rPr>
        <w:t xml:space="preserve">02483/INFOEM/IP/RR/2025, </w:t>
      </w:r>
      <w:r w:rsidRPr="00F85D6B">
        <w:rPr>
          <w:rFonts w:ascii="Palatino Linotype" w:eastAsia="Palatino Linotype" w:hAnsi="Palatino Linotype" w:cs="Palatino Linotype"/>
          <w:color w:val="000000" w:themeColor="text1"/>
        </w:rPr>
        <w:t xml:space="preserve">en términos del </w:t>
      </w:r>
      <w:r w:rsidRPr="00F85D6B">
        <w:rPr>
          <w:rFonts w:ascii="Palatino Linotype" w:eastAsia="Palatino Linotype" w:hAnsi="Palatino Linotype" w:cs="Palatino Linotype"/>
          <w:b/>
          <w:color w:val="000000" w:themeColor="text1"/>
        </w:rPr>
        <w:t>Considerando</w:t>
      </w:r>
      <w:r w:rsidRPr="00F85D6B">
        <w:rPr>
          <w:rFonts w:ascii="Palatino Linotype" w:eastAsia="Palatino Linotype" w:hAnsi="Palatino Linotype" w:cs="Palatino Linotype"/>
          <w:color w:val="000000" w:themeColor="text1"/>
        </w:rPr>
        <w:t xml:space="preserve"> </w:t>
      </w:r>
      <w:r w:rsidRPr="00F85D6B">
        <w:rPr>
          <w:rFonts w:ascii="Palatino Linotype" w:eastAsia="Palatino Linotype" w:hAnsi="Palatino Linotype" w:cs="Palatino Linotype"/>
          <w:b/>
          <w:color w:val="000000" w:themeColor="text1"/>
        </w:rPr>
        <w:t>CUARTO y QUINTO de</w:t>
      </w:r>
      <w:r w:rsidRPr="00F85D6B">
        <w:rPr>
          <w:rFonts w:ascii="Palatino Linotype" w:eastAsia="Palatino Linotype" w:hAnsi="Palatino Linotype" w:cs="Palatino Linotype"/>
          <w:color w:val="000000" w:themeColor="text1"/>
        </w:rPr>
        <w:t xml:space="preserve"> la presente resolución.</w:t>
      </w:r>
    </w:p>
    <w:p w:rsidR="008F31E9" w:rsidRPr="00F85D6B" w:rsidRDefault="008F31E9" w:rsidP="003804D9">
      <w:pP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spacing w:line="360" w:lineRule="auto"/>
        <w:jc w:val="both"/>
        <w:rPr>
          <w:rFonts w:ascii="Palatino Linotype" w:eastAsia="Palatino Linotype" w:hAnsi="Palatino Linotype" w:cs="Palatino Linotype"/>
          <w:color w:val="000000" w:themeColor="text1"/>
        </w:rPr>
      </w:pPr>
      <w:bookmarkStart w:id="12" w:name="_heading=h.3szx92mqs6m5" w:colFirst="0" w:colLast="0"/>
      <w:bookmarkEnd w:id="12"/>
      <w:r w:rsidRPr="00F85D6B">
        <w:rPr>
          <w:rFonts w:ascii="Palatino Linotype" w:eastAsia="Palatino Linotype" w:hAnsi="Palatino Linotype" w:cs="Palatino Linotype"/>
          <w:b/>
          <w:color w:val="000000" w:themeColor="text1"/>
        </w:rPr>
        <w:t>SEGUNDO.</w:t>
      </w:r>
      <w:r w:rsidRPr="00F85D6B">
        <w:rPr>
          <w:rFonts w:ascii="Palatino Linotype" w:eastAsia="Palatino Linotype" w:hAnsi="Palatino Linotype" w:cs="Palatino Linotype"/>
          <w:color w:val="000000" w:themeColor="text1"/>
        </w:rPr>
        <w:t xml:space="preserve"> Se</w:t>
      </w:r>
      <w:r w:rsidRPr="00F85D6B">
        <w:rPr>
          <w:rFonts w:ascii="Palatino Linotype" w:eastAsia="Palatino Linotype" w:hAnsi="Palatino Linotype" w:cs="Palatino Linotype"/>
          <w:b/>
          <w:color w:val="000000" w:themeColor="text1"/>
        </w:rPr>
        <w:t xml:space="preserve"> MODIFICA </w:t>
      </w:r>
      <w:r w:rsidRPr="00F85D6B">
        <w:rPr>
          <w:rFonts w:ascii="Palatino Linotype" w:eastAsia="Palatino Linotype" w:hAnsi="Palatino Linotype" w:cs="Palatino Linotype"/>
          <w:color w:val="000000" w:themeColor="text1"/>
        </w:rPr>
        <w:t xml:space="preserve">la respuesta emitida por el </w:t>
      </w:r>
      <w:r w:rsidRPr="00F85D6B">
        <w:rPr>
          <w:rFonts w:ascii="Palatino Linotype" w:eastAsia="Palatino Linotype" w:hAnsi="Palatino Linotype" w:cs="Palatino Linotype"/>
          <w:b/>
          <w:color w:val="000000" w:themeColor="text1"/>
        </w:rPr>
        <w:t xml:space="preserve">Ayuntamiento de Naucalpan de Juárez </w:t>
      </w:r>
      <w:r w:rsidRPr="00F85D6B">
        <w:rPr>
          <w:rFonts w:ascii="Palatino Linotype" w:eastAsia="Palatino Linotype" w:hAnsi="Palatino Linotype" w:cs="Palatino Linotype"/>
          <w:color w:val="000000" w:themeColor="text1"/>
        </w:rPr>
        <w:t>y se</w:t>
      </w:r>
      <w:r w:rsidRPr="00F85D6B">
        <w:rPr>
          <w:rFonts w:ascii="Palatino Linotype" w:eastAsia="Palatino Linotype" w:hAnsi="Palatino Linotype" w:cs="Palatino Linotype"/>
          <w:b/>
          <w:color w:val="000000" w:themeColor="text1"/>
        </w:rPr>
        <w:t xml:space="preserve"> ORDENA </w:t>
      </w:r>
      <w:r w:rsidRPr="00F85D6B">
        <w:rPr>
          <w:rFonts w:ascii="Palatino Linotype" w:eastAsia="Palatino Linotype" w:hAnsi="Palatino Linotype" w:cs="Palatino Linotype"/>
          <w:color w:val="000000" w:themeColor="text1"/>
        </w:rPr>
        <w:t>entregar vía Sistema de Accesos a la Información Mexiquense (SAIMEX),  la siguiente información:</w:t>
      </w:r>
    </w:p>
    <w:p w:rsidR="008F31E9" w:rsidRPr="00F85D6B" w:rsidRDefault="008F31E9" w:rsidP="003804D9">
      <w:pP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F85D6B">
        <w:rPr>
          <w:rFonts w:ascii="Palatino Linotype" w:eastAsia="Palatino Linotype" w:hAnsi="Palatino Linotype" w:cs="Palatino Linotype"/>
          <w:b/>
          <w:color w:val="000000" w:themeColor="text1"/>
        </w:rPr>
        <w:t xml:space="preserve">Presupuesto asignado al Ayuntamiento de Naucalpan de Juárez del ejercicio fiscal 2025. </w:t>
      </w:r>
    </w:p>
    <w:p w:rsidR="00D205DF" w:rsidRPr="00F85D6B" w:rsidRDefault="00D205DF" w:rsidP="003804D9">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F85D6B">
        <w:rPr>
          <w:rFonts w:ascii="Palatino Linotype" w:eastAsia="Palatino Linotype" w:hAnsi="Palatino Linotype" w:cs="Palatino Linotype"/>
          <w:b/>
          <w:color w:val="000000" w:themeColor="text1"/>
        </w:rPr>
        <w:t>Acuerdo emitido por el Co</w:t>
      </w:r>
      <w:r w:rsidR="00F82E43" w:rsidRPr="00F85D6B">
        <w:rPr>
          <w:rFonts w:ascii="Palatino Linotype" w:eastAsia="Palatino Linotype" w:hAnsi="Palatino Linotype" w:cs="Palatino Linotype"/>
          <w:b/>
          <w:color w:val="000000" w:themeColor="text1"/>
        </w:rPr>
        <w:t>mité de Transparencia en el que</w:t>
      </w:r>
      <w:r w:rsidRPr="00F85D6B">
        <w:rPr>
          <w:rFonts w:ascii="Palatino Linotype" w:eastAsia="Palatino Linotype" w:hAnsi="Palatino Linotype" w:cs="Palatino Linotype"/>
          <w:b/>
          <w:color w:val="000000" w:themeColor="text1"/>
        </w:rPr>
        <w:t xml:space="preserve"> se apruebe la versión pública de los documentos de seguridad emitidos en respuesta.  </w:t>
      </w:r>
    </w:p>
    <w:p w:rsidR="008F31E9" w:rsidRPr="00F85D6B" w:rsidRDefault="008F31E9" w:rsidP="003804D9">
      <w:pPr>
        <w:spacing w:line="360" w:lineRule="auto"/>
        <w:jc w:val="both"/>
        <w:rPr>
          <w:rFonts w:ascii="Palatino Linotype" w:eastAsia="Palatino Linotype" w:hAnsi="Palatino Linotype" w:cs="Palatino Linotype"/>
          <w:b/>
          <w:color w:val="000000" w:themeColor="text1"/>
        </w:rPr>
      </w:pPr>
    </w:p>
    <w:p w:rsidR="00D205DF" w:rsidRPr="00F85D6B" w:rsidRDefault="00D205DF" w:rsidP="003804D9">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r w:rsidRPr="00F85D6B">
        <w:rPr>
          <w:rFonts w:ascii="Palatino Linotype" w:eastAsia="Palatino Linotype" w:hAnsi="Palatino Linotype" w:cs="Palatino Linotype"/>
          <w:color w:val="000000" w:themeColor="text1"/>
          <w:sz w:val="24"/>
        </w:rPr>
        <w:t xml:space="preserve">Para el caso de que la información que se ordena entregar en el inciso a), no obre en los archivos del Sujeto Obligado, bastará con que así se haga del conocimiento del Particular en términos del artículo 19, párrafo segundo, de la Ley de Transparencia y </w:t>
      </w:r>
      <w:r w:rsidRPr="00F85D6B">
        <w:rPr>
          <w:rFonts w:ascii="Palatino Linotype" w:eastAsia="Palatino Linotype" w:hAnsi="Palatino Linotype" w:cs="Palatino Linotype"/>
          <w:color w:val="000000" w:themeColor="text1"/>
          <w:sz w:val="24"/>
        </w:rPr>
        <w:lastRenderedPageBreak/>
        <w:t xml:space="preserve">Acceso a la Información Pública del Estado de México y Municipios, para tenerse por colmado dicho requerimiento. </w:t>
      </w:r>
    </w:p>
    <w:p w:rsidR="00D205DF" w:rsidRPr="00F85D6B" w:rsidRDefault="00D205DF" w:rsidP="003804D9">
      <w:pPr>
        <w:spacing w:line="360" w:lineRule="auto"/>
        <w:jc w:val="both"/>
        <w:rPr>
          <w:rFonts w:ascii="Palatino Linotype" w:eastAsia="Palatino Linotype" w:hAnsi="Palatino Linotype" w:cs="Palatino Linotype"/>
          <w:b/>
          <w:color w:val="000000" w:themeColor="text1"/>
        </w:rPr>
      </w:pPr>
    </w:p>
    <w:p w:rsidR="008F31E9" w:rsidRPr="00F85D6B" w:rsidRDefault="00D205DF" w:rsidP="003804D9">
      <w:pPr>
        <w:tabs>
          <w:tab w:val="left" w:pos="8080"/>
        </w:tabs>
        <w:spacing w:line="360"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color w:val="000000" w:themeColor="text1"/>
        </w:rPr>
        <w:t xml:space="preserve">TERCERO. Notifíquese </w:t>
      </w:r>
      <w:r w:rsidRPr="00F85D6B">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F85D6B">
        <w:rPr>
          <w:rFonts w:ascii="Palatino Linotype" w:eastAsia="Palatino Linotype" w:hAnsi="Palatino Linotype" w:cs="Palatino Linotype"/>
          <w:b/>
          <w:color w:val="000000" w:themeColor="text1"/>
        </w:rPr>
        <w:t>dé cumplimiento a lo ordenado dentro del plazo de diez días hábiles</w:t>
      </w:r>
      <w:r w:rsidRPr="00F85D6B">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F31E9" w:rsidRPr="00F85D6B" w:rsidRDefault="00D205DF" w:rsidP="003804D9">
      <w:pPr>
        <w:shd w:val="clear" w:color="auto" w:fill="FFFFFF"/>
        <w:spacing w:line="360"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color w:val="000000" w:themeColor="text1"/>
        </w:rPr>
        <w:t>CUARTO. Notifíquese al RECURRENTE</w:t>
      </w:r>
      <w:r w:rsidRPr="00F85D6B">
        <w:rPr>
          <w:rFonts w:ascii="Palatino Linotype" w:eastAsia="Palatino Linotype" w:hAnsi="Palatino Linotype" w:cs="Palatino Linotype"/>
          <w:color w:val="000000" w:themeColor="text1"/>
        </w:rPr>
        <w:t xml:space="preserve"> la presente resolución vía SAIMEX.</w:t>
      </w:r>
    </w:p>
    <w:p w:rsidR="008F31E9" w:rsidRPr="00F85D6B" w:rsidRDefault="008F31E9" w:rsidP="003804D9">
      <w:pPr>
        <w:shd w:val="clear" w:color="auto" w:fill="FFFFFF"/>
        <w:spacing w:line="360" w:lineRule="auto"/>
        <w:jc w:val="both"/>
        <w:rPr>
          <w:rFonts w:ascii="Palatino Linotype" w:eastAsia="Palatino Linotype" w:hAnsi="Palatino Linotype" w:cs="Palatino Linotype"/>
          <w:b/>
          <w:color w:val="000000" w:themeColor="text1"/>
        </w:rPr>
      </w:pPr>
    </w:p>
    <w:p w:rsidR="008F31E9" w:rsidRPr="00F85D6B" w:rsidRDefault="00D205DF" w:rsidP="003804D9">
      <w:pPr>
        <w:spacing w:line="360"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color w:val="000000" w:themeColor="text1"/>
        </w:rPr>
        <w:t>QUINTO.</w:t>
      </w:r>
      <w:r w:rsidRPr="00F85D6B">
        <w:rPr>
          <w:rFonts w:ascii="Palatino Linotype" w:eastAsia="Palatino Linotype" w:hAnsi="Palatino Linotype" w:cs="Palatino Linotype"/>
          <w:color w:val="000000" w:themeColor="text1"/>
        </w:rPr>
        <w:t xml:space="preserve"> Se hace del conocimiento del </w:t>
      </w:r>
      <w:r w:rsidRPr="00F85D6B">
        <w:rPr>
          <w:rFonts w:ascii="Palatino Linotype" w:eastAsia="Palatino Linotype" w:hAnsi="Palatino Linotype" w:cs="Palatino Linotype"/>
          <w:b/>
          <w:color w:val="000000" w:themeColor="text1"/>
        </w:rPr>
        <w:t>RECURRENTE</w:t>
      </w:r>
      <w:r w:rsidRPr="00F85D6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8F31E9" w:rsidRPr="00F85D6B" w:rsidRDefault="008F31E9" w:rsidP="003804D9">
      <w:pPr>
        <w:spacing w:line="360" w:lineRule="auto"/>
        <w:jc w:val="both"/>
        <w:rPr>
          <w:rFonts w:ascii="Palatino Linotype" w:eastAsia="Palatino Linotype" w:hAnsi="Palatino Linotype" w:cs="Palatino Linotype"/>
          <w:color w:val="000000" w:themeColor="text1"/>
        </w:rPr>
      </w:pPr>
    </w:p>
    <w:p w:rsidR="008F31E9" w:rsidRPr="00F85D6B" w:rsidRDefault="00D205DF" w:rsidP="003804D9">
      <w:pPr>
        <w:spacing w:line="360" w:lineRule="auto"/>
        <w:jc w:val="both"/>
        <w:rPr>
          <w:rFonts w:ascii="Palatino Linotype" w:eastAsia="Palatino Linotype" w:hAnsi="Palatino Linotype" w:cs="Palatino Linotype"/>
          <w:color w:val="000000" w:themeColor="text1"/>
        </w:rPr>
      </w:pPr>
      <w:r w:rsidRPr="00F85D6B">
        <w:rPr>
          <w:rFonts w:ascii="Palatino Linotype" w:eastAsia="Palatino Linotype" w:hAnsi="Palatino Linotype" w:cs="Palatino Linotype"/>
          <w:b/>
          <w:color w:val="000000" w:themeColor="text1"/>
        </w:rPr>
        <w:t xml:space="preserve">SEXTO. </w:t>
      </w:r>
      <w:r w:rsidRPr="00F85D6B">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36D55" w:rsidRDefault="00F85D6B" w:rsidP="00B36D55">
      <w:pPr>
        <w:spacing w:before="240" w:after="240" w:line="360" w:lineRule="auto"/>
        <w:ind w:firstLine="1"/>
        <w:jc w:val="both"/>
        <w:rPr>
          <w:rFonts w:ascii="Palatino Linotype" w:eastAsia="Palatino Linotype" w:hAnsi="Palatino Linotype" w:cs="Palatino Linotype"/>
          <w:color w:val="000000" w:themeColor="text1"/>
        </w:rPr>
      </w:pPr>
      <w:bookmarkStart w:id="13" w:name="_heading=h.gv57hgwuld4w" w:colFirst="0" w:colLast="0"/>
      <w:bookmarkStart w:id="14" w:name="_Hlk99014733"/>
      <w:bookmarkEnd w:id="13"/>
      <w:r w:rsidRPr="00F85D6B">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F85D6B">
        <w:rPr>
          <w:rFonts w:ascii="Palatino Linotype" w:eastAsia="Palatino Linotype" w:hAnsi="Palatino Linotype" w:cs="Palatino Linotype"/>
          <w:color w:val="000000" w:themeColor="text1"/>
        </w:rPr>
        <w:t>ALEXIS TAPIA RAMÍREZ</w:t>
      </w:r>
      <w:r w:rsidR="00B36D55" w:rsidRPr="00F85D6B">
        <w:rPr>
          <w:rFonts w:ascii="Palatino Linotype" w:eastAsia="Palatino Linotype" w:hAnsi="Palatino Linotype" w:cs="Palatino Linotype"/>
          <w:color w:val="000000" w:themeColor="text1"/>
        </w:rPr>
        <w:t>.</w:t>
      </w:r>
    </w:p>
    <w:p w:rsidR="009B6025" w:rsidRDefault="009B6025" w:rsidP="00B36D55">
      <w:pPr>
        <w:spacing w:before="240" w:after="240" w:line="360" w:lineRule="auto"/>
        <w:ind w:firstLine="1"/>
        <w:jc w:val="both"/>
        <w:rPr>
          <w:rFonts w:ascii="Palatino Linotype" w:eastAsia="Palatino Linotype" w:hAnsi="Palatino Linotype" w:cs="Palatino Linotype"/>
          <w:color w:val="000000" w:themeColor="text1"/>
        </w:rPr>
      </w:pPr>
    </w:p>
    <w:p w:rsidR="009B6025" w:rsidRDefault="009B6025" w:rsidP="00B36D55">
      <w:pPr>
        <w:spacing w:before="240" w:after="240" w:line="360" w:lineRule="auto"/>
        <w:ind w:firstLine="1"/>
        <w:jc w:val="both"/>
        <w:rPr>
          <w:rFonts w:ascii="Palatino Linotype" w:eastAsia="Palatino Linotype" w:hAnsi="Palatino Linotype" w:cs="Palatino Linotype"/>
          <w:color w:val="000000" w:themeColor="text1"/>
        </w:rPr>
      </w:pPr>
    </w:p>
    <w:p w:rsidR="009B6025" w:rsidRDefault="009B6025" w:rsidP="00B36D55">
      <w:pPr>
        <w:spacing w:before="240" w:after="240" w:line="360" w:lineRule="auto"/>
        <w:ind w:firstLine="1"/>
        <w:jc w:val="both"/>
        <w:rPr>
          <w:rFonts w:ascii="Palatino Linotype" w:eastAsia="Palatino Linotype" w:hAnsi="Palatino Linotype" w:cs="Palatino Linotype"/>
          <w:color w:val="000000" w:themeColor="text1"/>
        </w:rPr>
      </w:pPr>
    </w:p>
    <w:p w:rsidR="009B6025" w:rsidRDefault="009B6025" w:rsidP="00B36D55">
      <w:pPr>
        <w:spacing w:before="240" w:after="240" w:line="360" w:lineRule="auto"/>
        <w:ind w:firstLine="1"/>
        <w:jc w:val="both"/>
        <w:rPr>
          <w:rFonts w:ascii="Palatino Linotype" w:hAnsi="Palatino Linotype"/>
        </w:rPr>
      </w:pPr>
    </w:p>
    <w:p w:rsidR="00B36D55" w:rsidRDefault="00B36D55" w:rsidP="00B36D55">
      <w:pPr>
        <w:spacing w:before="240" w:after="240" w:line="360" w:lineRule="auto"/>
        <w:ind w:firstLine="1"/>
        <w:jc w:val="both"/>
        <w:rPr>
          <w:rFonts w:ascii="Palatino Linotype" w:hAnsi="Palatino Linotype"/>
        </w:rPr>
      </w:pPr>
    </w:p>
    <w:bookmarkEnd w:id="14"/>
    <w:p w:rsidR="008F31E9" w:rsidRPr="003804D9" w:rsidRDefault="008F31E9" w:rsidP="003804D9">
      <w:pPr>
        <w:spacing w:line="360" w:lineRule="auto"/>
        <w:rPr>
          <w:rFonts w:ascii="Palatino Linotype" w:hAnsi="Palatino Linotype"/>
          <w:color w:val="000000" w:themeColor="text1"/>
        </w:rPr>
      </w:pPr>
    </w:p>
    <w:p w:rsidR="008F31E9" w:rsidRPr="003804D9" w:rsidRDefault="008F31E9" w:rsidP="003804D9">
      <w:pPr>
        <w:spacing w:line="360" w:lineRule="auto"/>
        <w:rPr>
          <w:rFonts w:ascii="Palatino Linotype" w:hAnsi="Palatino Linotype"/>
          <w:color w:val="000000" w:themeColor="text1"/>
        </w:rPr>
      </w:pPr>
    </w:p>
    <w:p w:rsidR="008F31E9" w:rsidRPr="003804D9" w:rsidRDefault="008F31E9" w:rsidP="003804D9">
      <w:pPr>
        <w:spacing w:line="360" w:lineRule="auto"/>
        <w:rPr>
          <w:rFonts w:ascii="Palatino Linotype" w:hAnsi="Palatino Linotype"/>
          <w:color w:val="000000" w:themeColor="text1"/>
        </w:rPr>
      </w:pPr>
    </w:p>
    <w:p w:rsidR="008F31E9" w:rsidRPr="003804D9" w:rsidRDefault="008F31E9" w:rsidP="003804D9">
      <w:pPr>
        <w:spacing w:line="360" w:lineRule="auto"/>
        <w:rPr>
          <w:rFonts w:ascii="Palatino Linotype" w:hAnsi="Palatino Linotype"/>
          <w:color w:val="000000" w:themeColor="text1"/>
        </w:rPr>
      </w:pPr>
    </w:p>
    <w:p w:rsidR="008F31E9" w:rsidRPr="003804D9" w:rsidRDefault="008F31E9" w:rsidP="003804D9">
      <w:pPr>
        <w:spacing w:line="360" w:lineRule="auto"/>
        <w:rPr>
          <w:rFonts w:ascii="Palatino Linotype" w:hAnsi="Palatino Linotype"/>
          <w:color w:val="000000" w:themeColor="text1"/>
        </w:rPr>
      </w:pPr>
    </w:p>
    <w:p w:rsidR="008F31E9" w:rsidRPr="003804D9" w:rsidRDefault="008F31E9" w:rsidP="003804D9">
      <w:pPr>
        <w:spacing w:line="360" w:lineRule="auto"/>
        <w:rPr>
          <w:rFonts w:ascii="Palatino Linotype" w:hAnsi="Palatino Linotype"/>
          <w:color w:val="000000" w:themeColor="text1"/>
        </w:rPr>
      </w:pPr>
    </w:p>
    <w:p w:rsidR="008F31E9" w:rsidRPr="003804D9" w:rsidRDefault="008F31E9" w:rsidP="003804D9">
      <w:pPr>
        <w:rPr>
          <w:rFonts w:ascii="Palatino Linotype" w:hAnsi="Palatino Linotype"/>
          <w:color w:val="000000" w:themeColor="text1"/>
        </w:rPr>
      </w:pPr>
    </w:p>
    <w:p w:rsidR="008F31E9" w:rsidRPr="003804D9" w:rsidRDefault="008F31E9" w:rsidP="003804D9">
      <w:pPr>
        <w:rPr>
          <w:rFonts w:ascii="Palatino Linotype" w:hAnsi="Palatino Linotype"/>
          <w:color w:val="000000" w:themeColor="text1"/>
        </w:rPr>
      </w:pPr>
    </w:p>
    <w:p w:rsidR="008F31E9" w:rsidRDefault="008F31E9" w:rsidP="003804D9">
      <w:pPr>
        <w:rPr>
          <w:rFonts w:ascii="Palatino Linotype" w:hAnsi="Palatino Linotype"/>
          <w:color w:val="000000" w:themeColor="text1"/>
        </w:rPr>
      </w:pPr>
    </w:p>
    <w:p w:rsidR="00F85D6B" w:rsidRDefault="00F85D6B" w:rsidP="003804D9">
      <w:pPr>
        <w:rPr>
          <w:rFonts w:ascii="Palatino Linotype" w:hAnsi="Palatino Linotype"/>
          <w:color w:val="000000" w:themeColor="text1"/>
        </w:rPr>
      </w:pPr>
    </w:p>
    <w:p w:rsidR="00F85D6B" w:rsidRDefault="00F85D6B" w:rsidP="003804D9">
      <w:pPr>
        <w:rPr>
          <w:rFonts w:ascii="Palatino Linotype" w:hAnsi="Palatino Linotype"/>
          <w:color w:val="000000" w:themeColor="text1"/>
        </w:rPr>
      </w:pPr>
    </w:p>
    <w:p w:rsidR="00F85D6B" w:rsidRDefault="00F85D6B" w:rsidP="003804D9">
      <w:pPr>
        <w:rPr>
          <w:rFonts w:ascii="Palatino Linotype" w:hAnsi="Palatino Linotype"/>
          <w:color w:val="000000" w:themeColor="text1"/>
        </w:rPr>
      </w:pPr>
    </w:p>
    <w:p w:rsidR="00F85D6B" w:rsidRDefault="00F85D6B" w:rsidP="003804D9">
      <w:pPr>
        <w:rPr>
          <w:rFonts w:ascii="Palatino Linotype" w:hAnsi="Palatino Linotype"/>
          <w:color w:val="000000" w:themeColor="text1"/>
        </w:rPr>
      </w:pPr>
    </w:p>
    <w:p w:rsidR="00F85D6B" w:rsidRDefault="00F85D6B" w:rsidP="003804D9">
      <w:pPr>
        <w:rPr>
          <w:rFonts w:ascii="Palatino Linotype" w:hAnsi="Palatino Linotype"/>
          <w:color w:val="000000" w:themeColor="text1"/>
        </w:rPr>
      </w:pPr>
    </w:p>
    <w:p w:rsidR="00F85D6B" w:rsidRPr="003804D9" w:rsidRDefault="00F85D6B" w:rsidP="003804D9">
      <w:pPr>
        <w:rPr>
          <w:rFonts w:ascii="Palatino Linotype" w:hAnsi="Palatino Linotype"/>
          <w:color w:val="000000" w:themeColor="text1"/>
        </w:rPr>
      </w:pPr>
    </w:p>
    <w:sectPr w:rsidR="00F85D6B" w:rsidRPr="003804D9" w:rsidSect="003804D9">
      <w:headerReference w:type="even" r:id="rId24"/>
      <w:headerReference w:type="default" r:id="rId25"/>
      <w:footerReference w:type="default" r:id="rId26"/>
      <w:headerReference w:type="first" r:id="rId27"/>
      <w:footerReference w:type="first" r:id="rId28"/>
      <w:pgSz w:w="12240" w:h="15840"/>
      <w:pgMar w:top="80" w:right="1467"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978" w:rsidRDefault="000D6978">
      <w:r>
        <w:separator/>
      </w:r>
    </w:p>
  </w:endnote>
  <w:endnote w:type="continuationSeparator" w:id="0">
    <w:p w:rsidR="000D6978" w:rsidRDefault="000D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4D9" w:rsidRDefault="003804D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B6025">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B6025">
      <w:rPr>
        <w:b/>
        <w:noProof/>
        <w:color w:val="000000"/>
      </w:rPr>
      <w:t>36</w:t>
    </w:r>
    <w:r>
      <w:rPr>
        <w:b/>
        <w:color w:val="000000"/>
      </w:rPr>
      <w:fldChar w:fldCharType="end"/>
    </w:r>
  </w:p>
  <w:p w:rsidR="003804D9" w:rsidRDefault="003804D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4D9" w:rsidRDefault="003804D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B602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B6025">
      <w:rPr>
        <w:b/>
        <w:noProof/>
        <w:color w:val="000000"/>
      </w:rPr>
      <w:t>36</w:t>
    </w:r>
    <w:r>
      <w:rPr>
        <w:b/>
        <w:color w:val="000000"/>
      </w:rPr>
      <w:fldChar w:fldCharType="end"/>
    </w:r>
  </w:p>
  <w:p w:rsidR="003804D9" w:rsidRDefault="003804D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978" w:rsidRDefault="000D6978">
      <w:r>
        <w:separator/>
      </w:r>
    </w:p>
  </w:footnote>
  <w:footnote w:type="continuationSeparator" w:id="0">
    <w:p w:rsidR="000D6978" w:rsidRDefault="000D6978">
      <w:r>
        <w:continuationSeparator/>
      </w:r>
    </w:p>
  </w:footnote>
  <w:footnote w:id="1">
    <w:p w:rsidR="003804D9" w:rsidRDefault="003804D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3804D9" w:rsidRDefault="003804D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3804D9" w:rsidRDefault="003804D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4D9" w:rsidRDefault="000D697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490" w:type="dxa"/>
      <w:tblInd w:w="0" w:type="dxa"/>
      <w:tblLayout w:type="fixed"/>
      <w:tblLook w:val="0400" w:firstRow="0" w:lastRow="0" w:firstColumn="0" w:lastColumn="0" w:noHBand="0" w:noVBand="1"/>
    </w:tblPr>
    <w:tblGrid>
      <w:gridCol w:w="2268"/>
      <w:gridCol w:w="8222"/>
    </w:tblGrid>
    <w:tr w:rsidR="003804D9" w:rsidTr="003804D9">
      <w:trPr>
        <w:trHeight w:val="1435"/>
      </w:trPr>
      <w:tc>
        <w:tcPr>
          <w:tcW w:w="2268" w:type="dxa"/>
          <w:shd w:val="clear" w:color="auto" w:fill="auto"/>
        </w:tcPr>
        <w:p w:rsidR="003804D9" w:rsidRDefault="003804D9">
          <w:pPr>
            <w:tabs>
              <w:tab w:val="right" w:pos="4273"/>
            </w:tabs>
            <w:rPr>
              <w:rFonts w:ascii="Garamond" w:eastAsia="Garamond" w:hAnsi="Garamond" w:cs="Garamond"/>
              <w:sz w:val="16"/>
              <w:szCs w:val="16"/>
            </w:rPr>
          </w:pPr>
        </w:p>
      </w:tc>
      <w:tc>
        <w:tcPr>
          <w:tcW w:w="8222" w:type="dxa"/>
          <w:shd w:val="clear" w:color="auto" w:fill="auto"/>
        </w:tcPr>
        <w:tbl>
          <w:tblPr>
            <w:tblStyle w:val="a3"/>
            <w:tblW w:w="7500" w:type="dxa"/>
            <w:tblInd w:w="452" w:type="dxa"/>
            <w:tblLayout w:type="fixed"/>
            <w:tblLook w:val="0400" w:firstRow="0" w:lastRow="0" w:firstColumn="0" w:lastColumn="0" w:noHBand="0" w:noVBand="1"/>
          </w:tblPr>
          <w:tblGrid>
            <w:gridCol w:w="2680"/>
            <w:gridCol w:w="4820"/>
          </w:tblGrid>
          <w:tr w:rsidR="003804D9" w:rsidRPr="003804D9" w:rsidTr="00433251">
            <w:trPr>
              <w:trHeight w:val="150"/>
            </w:trPr>
            <w:tc>
              <w:tcPr>
                <w:tcW w:w="2680" w:type="dxa"/>
                <w:shd w:val="clear" w:color="auto" w:fill="auto"/>
              </w:tcPr>
              <w:p w:rsidR="003804D9" w:rsidRPr="003804D9" w:rsidRDefault="003804D9" w:rsidP="003804D9">
                <w:pPr>
                  <w:tabs>
                    <w:tab w:val="right" w:pos="8838"/>
                  </w:tabs>
                  <w:ind w:right="-105"/>
                  <w:jc w:val="right"/>
                  <w:rPr>
                    <w:rFonts w:ascii="Palatino Linotype" w:eastAsia="Palatino Linotype" w:hAnsi="Palatino Linotype" w:cs="Palatino Linotype"/>
                    <w:b/>
                  </w:rPr>
                </w:pPr>
                <w:r w:rsidRPr="003804D9">
                  <w:rPr>
                    <w:rFonts w:ascii="Palatino Linotype" w:eastAsia="Palatino Linotype" w:hAnsi="Palatino Linotype" w:cs="Palatino Linotype"/>
                    <w:b/>
                  </w:rPr>
                  <w:t>Recurso de Revisión:</w:t>
                </w:r>
              </w:p>
            </w:tc>
            <w:tc>
              <w:tcPr>
                <w:tcW w:w="4820" w:type="dxa"/>
                <w:shd w:val="clear" w:color="auto" w:fill="auto"/>
              </w:tcPr>
              <w:p w:rsidR="003804D9" w:rsidRPr="003804D9" w:rsidRDefault="003804D9" w:rsidP="003804D9">
                <w:pPr>
                  <w:tabs>
                    <w:tab w:val="right" w:pos="8838"/>
                  </w:tabs>
                  <w:ind w:left="27" w:right="-102"/>
                  <w:jc w:val="both"/>
                  <w:rPr>
                    <w:rFonts w:ascii="Palatino Linotype" w:eastAsia="Palatino Linotype" w:hAnsi="Palatino Linotype" w:cs="Palatino Linotype"/>
                  </w:rPr>
                </w:pPr>
                <w:r w:rsidRPr="003804D9">
                  <w:rPr>
                    <w:rFonts w:ascii="Palatino Linotype" w:eastAsia="Palatino Linotype" w:hAnsi="Palatino Linotype" w:cs="Palatino Linotype"/>
                  </w:rPr>
                  <w:t>02483/INFOEM/IP/RR/2025</w:t>
                </w:r>
              </w:p>
            </w:tc>
          </w:tr>
          <w:tr w:rsidR="003804D9" w:rsidRPr="003804D9" w:rsidTr="00433251">
            <w:trPr>
              <w:trHeight w:val="295"/>
            </w:trPr>
            <w:tc>
              <w:tcPr>
                <w:tcW w:w="2680" w:type="dxa"/>
                <w:shd w:val="clear" w:color="auto" w:fill="auto"/>
              </w:tcPr>
              <w:p w:rsidR="003804D9" w:rsidRPr="003804D9" w:rsidRDefault="003804D9" w:rsidP="003804D9">
                <w:pPr>
                  <w:tabs>
                    <w:tab w:val="right" w:pos="8838"/>
                  </w:tabs>
                  <w:ind w:right="-105"/>
                  <w:jc w:val="right"/>
                  <w:rPr>
                    <w:rFonts w:ascii="Palatino Linotype" w:eastAsia="Palatino Linotype" w:hAnsi="Palatino Linotype" w:cs="Palatino Linotype"/>
                    <w:b/>
                  </w:rPr>
                </w:pPr>
                <w:r w:rsidRPr="003804D9">
                  <w:rPr>
                    <w:rFonts w:ascii="Palatino Linotype" w:eastAsia="Palatino Linotype" w:hAnsi="Palatino Linotype" w:cs="Palatino Linotype"/>
                    <w:b/>
                  </w:rPr>
                  <w:t>Sujeto Obligado:</w:t>
                </w:r>
              </w:p>
            </w:tc>
            <w:tc>
              <w:tcPr>
                <w:tcW w:w="4820" w:type="dxa"/>
                <w:shd w:val="clear" w:color="auto" w:fill="auto"/>
              </w:tcPr>
              <w:p w:rsidR="003804D9" w:rsidRPr="003804D9" w:rsidRDefault="003804D9" w:rsidP="003804D9">
                <w:pPr>
                  <w:tabs>
                    <w:tab w:val="left" w:pos="2834"/>
                    <w:tab w:val="right" w:pos="8838"/>
                  </w:tabs>
                  <w:ind w:left="27" w:right="-102"/>
                  <w:jc w:val="both"/>
                  <w:rPr>
                    <w:rFonts w:ascii="Palatino Linotype" w:eastAsia="Palatino Linotype" w:hAnsi="Palatino Linotype" w:cs="Palatino Linotype"/>
                  </w:rPr>
                </w:pPr>
                <w:r w:rsidRPr="003804D9">
                  <w:rPr>
                    <w:rFonts w:ascii="Palatino Linotype" w:eastAsia="Palatino Linotype" w:hAnsi="Palatino Linotype" w:cs="Palatino Linotype"/>
                  </w:rPr>
                  <w:t>Ayuntamiento de Naucalpan de Juárez</w:t>
                </w:r>
              </w:p>
            </w:tc>
          </w:tr>
          <w:tr w:rsidR="003804D9" w:rsidRPr="003804D9" w:rsidTr="00433251">
            <w:trPr>
              <w:trHeight w:val="295"/>
            </w:trPr>
            <w:tc>
              <w:tcPr>
                <w:tcW w:w="2680" w:type="dxa"/>
                <w:shd w:val="clear" w:color="auto" w:fill="auto"/>
              </w:tcPr>
              <w:p w:rsidR="003804D9" w:rsidRPr="003804D9" w:rsidRDefault="003804D9" w:rsidP="003804D9">
                <w:pPr>
                  <w:tabs>
                    <w:tab w:val="right" w:pos="8838"/>
                  </w:tabs>
                  <w:ind w:right="-105"/>
                  <w:jc w:val="right"/>
                  <w:rPr>
                    <w:rFonts w:ascii="Palatino Linotype" w:eastAsia="Palatino Linotype" w:hAnsi="Palatino Linotype" w:cs="Palatino Linotype"/>
                    <w:b/>
                  </w:rPr>
                </w:pPr>
                <w:r w:rsidRPr="003804D9">
                  <w:rPr>
                    <w:rFonts w:ascii="Palatino Linotype" w:eastAsia="Palatino Linotype" w:hAnsi="Palatino Linotype" w:cs="Palatino Linotype"/>
                    <w:b/>
                  </w:rPr>
                  <w:t>Comisionada ponente:</w:t>
                </w:r>
              </w:p>
            </w:tc>
            <w:tc>
              <w:tcPr>
                <w:tcW w:w="4820" w:type="dxa"/>
                <w:shd w:val="clear" w:color="auto" w:fill="auto"/>
              </w:tcPr>
              <w:p w:rsidR="003804D9" w:rsidRPr="003804D9" w:rsidRDefault="003804D9" w:rsidP="003804D9">
                <w:pPr>
                  <w:tabs>
                    <w:tab w:val="right" w:pos="8838"/>
                  </w:tabs>
                  <w:ind w:left="27" w:right="171"/>
                  <w:jc w:val="both"/>
                  <w:rPr>
                    <w:rFonts w:ascii="Palatino Linotype" w:eastAsia="Palatino Linotype" w:hAnsi="Palatino Linotype" w:cs="Palatino Linotype"/>
                  </w:rPr>
                </w:pPr>
                <w:r w:rsidRPr="003804D9">
                  <w:rPr>
                    <w:rFonts w:ascii="Palatino Linotype" w:eastAsia="Palatino Linotype" w:hAnsi="Palatino Linotype" w:cs="Palatino Linotype"/>
                  </w:rPr>
                  <w:t>María del Rosario Mejía Ayala</w:t>
                </w:r>
              </w:p>
              <w:p w:rsidR="003804D9" w:rsidRPr="003804D9" w:rsidRDefault="003804D9" w:rsidP="003804D9">
                <w:pPr>
                  <w:tabs>
                    <w:tab w:val="right" w:pos="8838"/>
                  </w:tabs>
                  <w:ind w:left="27" w:right="171"/>
                  <w:jc w:val="both"/>
                  <w:rPr>
                    <w:rFonts w:ascii="Palatino Linotype" w:eastAsia="Palatino Linotype" w:hAnsi="Palatino Linotype" w:cs="Palatino Linotype"/>
                  </w:rPr>
                </w:pPr>
              </w:p>
            </w:tc>
          </w:tr>
        </w:tbl>
        <w:p w:rsidR="003804D9" w:rsidRDefault="003804D9">
          <w:pPr>
            <w:tabs>
              <w:tab w:val="right" w:pos="8838"/>
            </w:tabs>
            <w:ind w:left="-28"/>
            <w:jc w:val="both"/>
            <w:rPr>
              <w:rFonts w:ascii="Arial" w:eastAsia="Arial" w:hAnsi="Arial" w:cs="Arial"/>
              <w:b/>
              <w:sz w:val="22"/>
              <w:szCs w:val="22"/>
            </w:rPr>
          </w:pPr>
        </w:p>
      </w:tc>
    </w:tr>
  </w:tbl>
  <w:p w:rsidR="003804D9" w:rsidRDefault="000D6978">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10632" w:type="dxa"/>
      <w:tblInd w:w="0" w:type="dxa"/>
      <w:tblLayout w:type="fixed"/>
      <w:tblLook w:val="0400" w:firstRow="0" w:lastRow="0" w:firstColumn="0" w:lastColumn="0" w:noHBand="0" w:noVBand="1"/>
    </w:tblPr>
    <w:tblGrid>
      <w:gridCol w:w="2268"/>
      <w:gridCol w:w="8364"/>
    </w:tblGrid>
    <w:tr w:rsidR="003804D9" w:rsidTr="003804D9">
      <w:trPr>
        <w:trHeight w:val="1435"/>
      </w:trPr>
      <w:tc>
        <w:tcPr>
          <w:tcW w:w="2268" w:type="dxa"/>
          <w:shd w:val="clear" w:color="auto" w:fill="auto"/>
        </w:tcPr>
        <w:p w:rsidR="003804D9" w:rsidRDefault="003804D9">
          <w:pPr>
            <w:tabs>
              <w:tab w:val="right" w:pos="4273"/>
            </w:tabs>
            <w:rPr>
              <w:rFonts w:ascii="Garamond" w:eastAsia="Garamond" w:hAnsi="Garamond" w:cs="Garamond"/>
              <w:sz w:val="22"/>
              <w:szCs w:val="22"/>
            </w:rPr>
          </w:pPr>
        </w:p>
      </w:tc>
      <w:tc>
        <w:tcPr>
          <w:tcW w:w="8364" w:type="dxa"/>
          <w:shd w:val="clear" w:color="auto" w:fill="auto"/>
        </w:tcPr>
        <w:tbl>
          <w:tblPr>
            <w:tblStyle w:val="a5"/>
            <w:tblW w:w="7925" w:type="dxa"/>
            <w:tblInd w:w="169" w:type="dxa"/>
            <w:tblLayout w:type="fixed"/>
            <w:tblLook w:val="0400" w:firstRow="0" w:lastRow="0" w:firstColumn="0" w:lastColumn="0" w:noHBand="0" w:noVBand="1"/>
          </w:tblPr>
          <w:tblGrid>
            <w:gridCol w:w="2680"/>
            <w:gridCol w:w="5245"/>
          </w:tblGrid>
          <w:tr w:rsidR="003804D9" w:rsidRPr="003804D9" w:rsidTr="00433251">
            <w:trPr>
              <w:trHeight w:val="144"/>
            </w:trPr>
            <w:tc>
              <w:tcPr>
                <w:tcW w:w="2680" w:type="dxa"/>
                <w:shd w:val="clear" w:color="auto" w:fill="auto"/>
              </w:tcPr>
              <w:p w:rsidR="003804D9" w:rsidRPr="003804D9" w:rsidRDefault="003804D9" w:rsidP="003804D9">
                <w:pPr>
                  <w:tabs>
                    <w:tab w:val="right" w:pos="8838"/>
                  </w:tabs>
                  <w:ind w:left="-264" w:right="-105" w:firstLine="195"/>
                  <w:jc w:val="right"/>
                  <w:rPr>
                    <w:rFonts w:ascii="Palatino Linotype" w:eastAsia="Palatino Linotype" w:hAnsi="Palatino Linotype" w:cs="Palatino Linotype"/>
                    <w:b/>
                  </w:rPr>
                </w:pPr>
                <w:r w:rsidRPr="003804D9">
                  <w:rPr>
                    <w:rFonts w:ascii="Palatino Linotype" w:eastAsia="Palatino Linotype" w:hAnsi="Palatino Linotype" w:cs="Palatino Linotype"/>
                    <w:b/>
                  </w:rPr>
                  <w:t>Recurso de Revisión:</w:t>
                </w:r>
              </w:p>
            </w:tc>
            <w:tc>
              <w:tcPr>
                <w:tcW w:w="5245" w:type="dxa"/>
                <w:shd w:val="clear" w:color="auto" w:fill="auto"/>
              </w:tcPr>
              <w:p w:rsidR="003804D9" w:rsidRPr="003804D9" w:rsidRDefault="003804D9" w:rsidP="003804D9">
                <w:pPr>
                  <w:tabs>
                    <w:tab w:val="right" w:pos="8838"/>
                  </w:tabs>
                  <w:ind w:left="-74" w:right="-105"/>
                  <w:jc w:val="both"/>
                  <w:rPr>
                    <w:rFonts w:ascii="Palatino Linotype" w:eastAsia="Palatino Linotype" w:hAnsi="Palatino Linotype" w:cs="Palatino Linotype"/>
                  </w:rPr>
                </w:pPr>
                <w:r w:rsidRPr="003804D9">
                  <w:rPr>
                    <w:rFonts w:ascii="Palatino Linotype" w:eastAsia="Palatino Linotype" w:hAnsi="Palatino Linotype" w:cs="Palatino Linotype"/>
                  </w:rPr>
                  <w:t>02483/INFOEM/IP/RR/2025</w:t>
                </w:r>
              </w:p>
            </w:tc>
          </w:tr>
          <w:tr w:rsidR="003804D9" w:rsidRPr="003804D9" w:rsidTr="00433251">
            <w:trPr>
              <w:trHeight w:val="144"/>
            </w:trPr>
            <w:tc>
              <w:tcPr>
                <w:tcW w:w="2680" w:type="dxa"/>
                <w:shd w:val="clear" w:color="auto" w:fill="auto"/>
              </w:tcPr>
              <w:p w:rsidR="003804D9" w:rsidRPr="003804D9" w:rsidRDefault="003804D9" w:rsidP="003804D9">
                <w:pPr>
                  <w:tabs>
                    <w:tab w:val="right" w:pos="8838"/>
                  </w:tabs>
                  <w:ind w:left="-74" w:right="-105"/>
                  <w:jc w:val="right"/>
                  <w:rPr>
                    <w:rFonts w:ascii="Palatino Linotype" w:eastAsia="Palatino Linotype" w:hAnsi="Palatino Linotype" w:cs="Palatino Linotype"/>
                    <w:b/>
                  </w:rPr>
                </w:pPr>
                <w:r w:rsidRPr="003804D9">
                  <w:rPr>
                    <w:rFonts w:ascii="Palatino Linotype" w:eastAsia="Palatino Linotype" w:hAnsi="Palatino Linotype" w:cs="Palatino Linotype"/>
                    <w:b/>
                  </w:rPr>
                  <w:t>Recurrente:</w:t>
                </w:r>
              </w:p>
            </w:tc>
            <w:tc>
              <w:tcPr>
                <w:tcW w:w="5245" w:type="dxa"/>
                <w:shd w:val="clear" w:color="auto" w:fill="auto"/>
              </w:tcPr>
              <w:p w:rsidR="003804D9" w:rsidRPr="003804D9" w:rsidRDefault="009B6025" w:rsidP="003804D9">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3804D9" w:rsidRPr="003804D9" w:rsidTr="00433251">
            <w:trPr>
              <w:trHeight w:val="283"/>
            </w:trPr>
            <w:tc>
              <w:tcPr>
                <w:tcW w:w="2680" w:type="dxa"/>
                <w:shd w:val="clear" w:color="auto" w:fill="auto"/>
              </w:tcPr>
              <w:p w:rsidR="003804D9" w:rsidRPr="003804D9" w:rsidRDefault="003804D9" w:rsidP="003804D9">
                <w:pPr>
                  <w:tabs>
                    <w:tab w:val="right" w:pos="8838"/>
                  </w:tabs>
                  <w:ind w:left="-74" w:right="-105"/>
                  <w:jc w:val="right"/>
                  <w:rPr>
                    <w:rFonts w:ascii="Palatino Linotype" w:eastAsia="Palatino Linotype" w:hAnsi="Palatino Linotype" w:cs="Palatino Linotype"/>
                    <w:b/>
                  </w:rPr>
                </w:pPr>
                <w:r w:rsidRPr="003804D9">
                  <w:rPr>
                    <w:rFonts w:ascii="Palatino Linotype" w:eastAsia="Palatino Linotype" w:hAnsi="Palatino Linotype" w:cs="Palatino Linotype"/>
                    <w:b/>
                  </w:rPr>
                  <w:t>Sujeto Obligado:</w:t>
                </w:r>
              </w:p>
            </w:tc>
            <w:tc>
              <w:tcPr>
                <w:tcW w:w="5245" w:type="dxa"/>
                <w:shd w:val="clear" w:color="auto" w:fill="auto"/>
              </w:tcPr>
              <w:p w:rsidR="003804D9" w:rsidRPr="003804D9" w:rsidRDefault="003804D9" w:rsidP="003804D9">
                <w:pPr>
                  <w:tabs>
                    <w:tab w:val="left" w:pos="2834"/>
                    <w:tab w:val="right" w:pos="8838"/>
                  </w:tabs>
                  <w:ind w:left="-74" w:right="-105"/>
                  <w:jc w:val="both"/>
                  <w:rPr>
                    <w:rFonts w:ascii="Palatino Linotype" w:eastAsia="Palatino Linotype" w:hAnsi="Palatino Linotype" w:cs="Palatino Linotype"/>
                  </w:rPr>
                </w:pPr>
                <w:r w:rsidRPr="003804D9">
                  <w:rPr>
                    <w:rFonts w:ascii="Palatino Linotype" w:eastAsia="Palatino Linotype" w:hAnsi="Palatino Linotype" w:cs="Palatino Linotype"/>
                  </w:rPr>
                  <w:t>Ayuntamiento de Naucalpan de Juárez</w:t>
                </w:r>
              </w:p>
            </w:tc>
          </w:tr>
          <w:tr w:rsidR="003804D9" w:rsidRPr="003804D9" w:rsidTr="00433251">
            <w:trPr>
              <w:trHeight w:val="283"/>
            </w:trPr>
            <w:tc>
              <w:tcPr>
                <w:tcW w:w="2680" w:type="dxa"/>
                <w:shd w:val="clear" w:color="auto" w:fill="auto"/>
              </w:tcPr>
              <w:p w:rsidR="003804D9" w:rsidRPr="003804D9" w:rsidRDefault="003804D9" w:rsidP="003804D9">
                <w:pPr>
                  <w:tabs>
                    <w:tab w:val="right" w:pos="8838"/>
                  </w:tabs>
                  <w:ind w:left="-74" w:right="-105"/>
                  <w:jc w:val="right"/>
                  <w:rPr>
                    <w:rFonts w:ascii="Palatino Linotype" w:eastAsia="Palatino Linotype" w:hAnsi="Palatino Linotype" w:cs="Palatino Linotype"/>
                    <w:b/>
                  </w:rPr>
                </w:pPr>
                <w:r w:rsidRPr="003804D9">
                  <w:rPr>
                    <w:rFonts w:ascii="Palatino Linotype" w:eastAsia="Palatino Linotype" w:hAnsi="Palatino Linotype" w:cs="Palatino Linotype"/>
                    <w:b/>
                  </w:rPr>
                  <w:t>Comisionada ponente:</w:t>
                </w:r>
              </w:p>
            </w:tc>
            <w:tc>
              <w:tcPr>
                <w:tcW w:w="5245" w:type="dxa"/>
                <w:shd w:val="clear" w:color="auto" w:fill="auto"/>
              </w:tcPr>
              <w:p w:rsidR="003804D9" w:rsidRPr="003804D9" w:rsidRDefault="003804D9" w:rsidP="003804D9">
                <w:pPr>
                  <w:tabs>
                    <w:tab w:val="right" w:pos="8838"/>
                  </w:tabs>
                  <w:ind w:left="-74" w:right="-105"/>
                  <w:jc w:val="both"/>
                  <w:rPr>
                    <w:rFonts w:ascii="Palatino Linotype" w:eastAsia="Palatino Linotype" w:hAnsi="Palatino Linotype" w:cs="Palatino Linotype"/>
                  </w:rPr>
                </w:pPr>
                <w:r w:rsidRPr="003804D9">
                  <w:rPr>
                    <w:rFonts w:ascii="Palatino Linotype" w:eastAsia="Palatino Linotype" w:hAnsi="Palatino Linotype" w:cs="Palatino Linotype"/>
                  </w:rPr>
                  <w:t>María del Rosario Mejía Ayala</w:t>
                </w:r>
              </w:p>
              <w:p w:rsidR="003804D9" w:rsidRPr="003804D9" w:rsidRDefault="003804D9" w:rsidP="003804D9">
                <w:pPr>
                  <w:tabs>
                    <w:tab w:val="right" w:pos="8838"/>
                  </w:tabs>
                  <w:ind w:left="-74" w:right="-105"/>
                  <w:jc w:val="both"/>
                  <w:rPr>
                    <w:rFonts w:ascii="Palatino Linotype" w:eastAsia="Palatino Linotype" w:hAnsi="Palatino Linotype" w:cs="Palatino Linotype"/>
                  </w:rPr>
                </w:pPr>
              </w:p>
            </w:tc>
          </w:tr>
        </w:tbl>
        <w:p w:rsidR="003804D9" w:rsidRDefault="003804D9">
          <w:pPr>
            <w:tabs>
              <w:tab w:val="right" w:pos="8838"/>
            </w:tabs>
            <w:ind w:left="-28"/>
            <w:jc w:val="both"/>
            <w:rPr>
              <w:rFonts w:ascii="Arial" w:eastAsia="Arial" w:hAnsi="Arial" w:cs="Arial"/>
              <w:b/>
              <w:sz w:val="22"/>
              <w:szCs w:val="22"/>
            </w:rPr>
          </w:pPr>
        </w:p>
      </w:tc>
    </w:tr>
  </w:tbl>
  <w:p w:rsidR="003804D9" w:rsidRDefault="000D6978">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07EF"/>
    <w:multiLevelType w:val="multilevel"/>
    <w:tmpl w:val="3F04F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A35C34"/>
    <w:multiLevelType w:val="multilevel"/>
    <w:tmpl w:val="1A4C4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370CE5"/>
    <w:multiLevelType w:val="multilevel"/>
    <w:tmpl w:val="B9F8D64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79F3632"/>
    <w:multiLevelType w:val="multilevel"/>
    <w:tmpl w:val="9E50E2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BE7AE4"/>
    <w:multiLevelType w:val="multilevel"/>
    <w:tmpl w:val="B1D26898"/>
    <w:lvl w:ilvl="0">
      <w:start w:val="15"/>
      <w:numFmt w:val="bullet"/>
      <w:lvlText w:val="-"/>
      <w:lvlJc w:val="left"/>
      <w:pPr>
        <w:ind w:left="1440" w:hanging="360"/>
      </w:pPr>
      <w:rPr>
        <w:rFonts w:ascii="Palatino Linotype" w:eastAsia="Palatino Linotype" w:hAnsi="Palatino Linotype" w:cs="Palatino Linotyp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B3222D2"/>
    <w:multiLevelType w:val="multilevel"/>
    <w:tmpl w:val="37ECB1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122DDE"/>
    <w:multiLevelType w:val="hybridMultilevel"/>
    <w:tmpl w:val="29CCC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CF80E5B"/>
    <w:multiLevelType w:val="multilevel"/>
    <w:tmpl w:val="C81A3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A9A473C"/>
    <w:multiLevelType w:val="multilevel"/>
    <w:tmpl w:val="02585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8"/>
  </w:num>
  <w:num w:numId="4">
    <w:abstractNumId w:val="5"/>
  </w:num>
  <w:num w:numId="5">
    <w:abstractNumId w:val="2"/>
  </w:num>
  <w:num w:numId="6">
    <w:abstractNumId w:val="4"/>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E9"/>
    <w:rsid w:val="0002481D"/>
    <w:rsid w:val="000D6978"/>
    <w:rsid w:val="001D0EA2"/>
    <w:rsid w:val="003804D9"/>
    <w:rsid w:val="00390844"/>
    <w:rsid w:val="00433251"/>
    <w:rsid w:val="00676954"/>
    <w:rsid w:val="0082595D"/>
    <w:rsid w:val="00843984"/>
    <w:rsid w:val="008808F9"/>
    <w:rsid w:val="008F1A7D"/>
    <w:rsid w:val="008F31E9"/>
    <w:rsid w:val="00927798"/>
    <w:rsid w:val="009B6025"/>
    <w:rsid w:val="00B36D55"/>
    <w:rsid w:val="00BC0372"/>
    <w:rsid w:val="00BC58B7"/>
    <w:rsid w:val="00D205DF"/>
    <w:rsid w:val="00E23BD0"/>
    <w:rsid w:val="00F04610"/>
    <w:rsid w:val="00F82E43"/>
    <w:rsid w:val="00F85D6B"/>
    <w:rsid w:val="00FC35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C0CA3B6-6B5C-4B62-BF35-DC1A8A23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0C7E70"/>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0C7E70"/>
    <w:pPr>
      <w:tabs>
        <w:tab w:val="center" w:pos="4419"/>
        <w:tab w:val="right" w:pos="8838"/>
      </w:tabs>
    </w:pPr>
  </w:style>
  <w:style w:type="character" w:customStyle="1" w:styleId="EncabezadoCar">
    <w:name w:val="Encabezado Car"/>
    <w:basedOn w:val="Fuentedeprrafopredeter"/>
    <w:link w:val="Encabezado"/>
    <w:uiPriority w:val="99"/>
    <w:rsid w:val="000C7E7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0C7E70"/>
    <w:pPr>
      <w:tabs>
        <w:tab w:val="center" w:pos="4419"/>
        <w:tab w:val="right" w:pos="8838"/>
      </w:tabs>
    </w:pPr>
  </w:style>
  <w:style w:type="character" w:customStyle="1" w:styleId="PiedepginaCar">
    <w:name w:val="Pie de página Car"/>
    <w:basedOn w:val="Fuentedeprrafopredeter"/>
    <w:link w:val="Piedepgina"/>
    <w:uiPriority w:val="99"/>
    <w:rsid w:val="000C7E70"/>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7E7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0C7E70"/>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0C7E70"/>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C7E70"/>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C7E70"/>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C7E70"/>
    <w:rPr>
      <w:vertAlign w:val="superscript"/>
    </w:rPr>
  </w:style>
  <w:style w:type="table" w:styleId="Tablaconcuadrcula">
    <w:name w:val="Table Grid"/>
    <w:basedOn w:val="Tablanormal"/>
    <w:uiPriority w:val="39"/>
    <w:rsid w:val="007B0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7B018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angradetextonormal">
    <w:name w:val="Body Text Indent"/>
    <w:basedOn w:val="Normal"/>
    <w:link w:val="SangradetextonormalCar"/>
    <w:unhideWhenUsed/>
    <w:rsid w:val="007752B5"/>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7752B5"/>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44741.page" TargetMode="External"/><Relationship Id="rId13" Type="http://schemas.openxmlformats.org/officeDocument/2006/relationships/hyperlink" Target="https://saimex.org.mx/saimex/solicitud/downloadAttach/2369662.page" TargetMode="External"/><Relationship Id="rId18" Type="http://schemas.openxmlformats.org/officeDocument/2006/relationships/hyperlink" Target="https://saimex.org.mx/saimex/solicitud/downloadAttach/2386772.pa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nfoem.gob.mx" TargetMode="External"/><Relationship Id="rId7" Type="http://schemas.openxmlformats.org/officeDocument/2006/relationships/endnotes" Target="endnotes.xml"/><Relationship Id="rId12" Type="http://schemas.openxmlformats.org/officeDocument/2006/relationships/hyperlink" Target="https://saimex.org.mx/saimex/solicitud/downloadAttach/2369357.page" TargetMode="External"/><Relationship Id="rId17" Type="http://schemas.openxmlformats.org/officeDocument/2006/relationships/hyperlink" Target="https://saimex.org.mx/saimex/solicitud/downloadAttach/2386771.pag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aimex.org.mx/saimex/solicitud/downloadAttach/2386770.page" TargetMode="External"/><Relationship Id="rId20" Type="http://schemas.openxmlformats.org/officeDocument/2006/relationships/hyperlink" Target="https://saimex.org.mx/saimex/solicitud/downloadAttach/2386774.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59658.pag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aimex.org.mx/saimex/solicitud/downloadAttach/2386769.page"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hyperlink" Target="https://saimex.org.mx/saimex/solicitud/downloadAttach/2357407.page" TargetMode="External"/><Relationship Id="rId19" Type="http://schemas.openxmlformats.org/officeDocument/2006/relationships/hyperlink" Target="https://saimex.org.mx/saimex/solicitud/downloadAttach/2386773.page" TargetMode="External"/><Relationship Id="rId4" Type="http://schemas.openxmlformats.org/officeDocument/2006/relationships/settings" Target="settings.xml"/><Relationship Id="rId9" Type="http://schemas.openxmlformats.org/officeDocument/2006/relationships/hyperlink" Target="https://saimex.org.mx/saimex/solicitud/downloadAttach/2344741.page" TargetMode="External"/><Relationship Id="rId14" Type="http://schemas.openxmlformats.org/officeDocument/2006/relationships/hyperlink" Target="https://saimex.org.mx/saimex/solicitud/downloadAttach/2369693.page"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iXYl+WDql64gznI6vc1Zv84XLA==">CgMxLjAyDmgubjlsOWkzYmNmMjRuMg5oLjlrNHZhcXMyN3pyNTIOaC5qNjdzdGZyYWx1bWYyDmguYnY4aGRmMnJieHd4Mg5oLnJmY2M3ZmhyYmk2ejIOaC5udDk3YWljc2VrNnAyDmgucHJ0cnBwcjFyZ2hwMg5oLmUwb2NiamJ5eG5xMTIOaC5mcGVjd3Jna2g1ZTAyDmguN3VxcXF4YTJrbjk4Mg5oLjZqMnBneHhxOWt3ejIOaC4zc3p4OTJtcXM2bTUyDmguZ3Y1N2hnd3VsZDR3OAByITE1Rk5wMTFreS1FaUZBR19qUy1ZR1JBblNJXzF1aFBq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36</Pages>
  <Words>8600</Words>
  <Characters>47302</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8</cp:revision>
  <cp:lastPrinted>2025-07-17T16:09:00Z</cp:lastPrinted>
  <dcterms:created xsi:type="dcterms:W3CDTF">2025-07-07T22:06:00Z</dcterms:created>
  <dcterms:modified xsi:type="dcterms:W3CDTF">2025-07-18T19:00:00Z</dcterms:modified>
</cp:coreProperties>
</file>