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1249" w14:textId="77777777" w:rsidR="00913325" w:rsidRPr="00582C28" w:rsidRDefault="00603069">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582C2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F11776" w:rsidRPr="00582C28">
        <w:rPr>
          <w:rFonts w:ascii="Palatino Linotype" w:eastAsia="Palatino Linotype" w:hAnsi="Palatino Linotype" w:cs="Palatino Linotype"/>
          <w:b/>
          <w:sz w:val="22"/>
          <w:szCs w:val="22"/>
        </w:rPr>
        <w:t>dieciocho de junio</w:t>
      </w:r>
      <w:r w:rsidRPr="00582C28">
        <w:rPr>
          <w:rFonts w:ascii="Palatino Linotype" w:eastAsia="Palatino Linotype" w:hAnsi="Palatino Linotype" w:cs="Palatino Linotype"/>
          <w:b/>
          <w:sz w:val="22"/>
          <w:szCs w:val="22"/>
        </w:rPr>
        <w:t xml:space="preserve"> de dos mil veinticinco</w:t>
      </w:r>
      <w:r w:rsidRPr="00582C28">
        <w:rPr>
          <w:rFonts w:ascii="Palatino Linotype" w:eastAsia="Palatino Linotype" w:hAnsi="Palatino Linotype" w:cs="Palatino Linotype"/>
          <w:sz w:val="22"/>
          <w:szCs w:val="22"/>
        </w:rPr>
        <w:t xml:space="preserve">. </w:t>
      </w:r>
    </w:p>
    <w:p w14:paraId="2FA9350A" w14:textId="41C67BE8" w:rsidR="00913325" w:rsidRPr="00582C28" w:rsidRDefault="00603069">
      <w:pPr>
        <w:spacing w:before="240" w:after="240" w:line="360" w:lineRule="auto"/>
        <w:jc w:val="both"/>
        <w:rPr>
          <w:rFonts w:ascii="Palatino Linotype" w:eastAsia="Palatino Linotype" w:hAnsi="Palatino Linotype" w:cs="Palatino Linotype"/>
          <w:sz w:val="20"/>
          <w:szCs w:val="20"/>
        </w:rPr>
      </w:pPr>
      <w:r w:rsidRPr="00582C28">
        <w:rPr>
          <w:rFonts w:ascii="Palatino Linotype" w:eastAsia="Palatino Linotype" w:hAnsi="Palatino Linotype" w:cs="Palatino Linotype"/>
          <w:b/>
          <w:sz w:val="22"/>
          <w:szCs w:val="22"/>
        </w:rPr>
        <w:t>Visto</w:t>
      </w:r>
      <w:r w:rsidRPr="00582C28">
        <w:rPr>
          <w:rFonts w:ascii="Palatino Linotype" w:eastAsia="Palatino Linotype" w:hAnsi="Palatino Linotype" w:cs="Palatino Linotype"/>
          <w:sz w:val="22"/>
          <w:szCs w:val="22"/>
        </w:rPr>
        <w:t xml:space="preserve"> el expediente formado con motivo del recurso de revisión </w:t>
      </w:r>
      <w:r w:rsidR="00F11776" w:rsidRPr="00582C28">
        <w:rPr>
          <w:rFonts w:ascii="Palatino Linotype" w:eastAsia="Palatino Linotype" w:hAnsi="Palatino Linotype" w:cs="Palatino Linotype"/>
          <w:b/>
          <w:sz w:val="22"/>
          <w:szCs w:val="22"/>
        </w:rPr>
        <w:t>03479/INFOEM/IP/RR/2025</w:t>
      </w:r>
      <w:r w:rsidRPr="00582C28">
        <w:rPr>
          <w:rFonts w:ascii="Palatino Linotype" w:eastAsia="Palatino Linotype" w:hAnsi="Palatino Linotype" w:cs="Palatino Linotype"/>
          <w:sz w:val="22"/>
          <w:szCs w:val="22"/>
        </w:rPr>
        <w:t>, interpuesto por</w:t>
      </w:r>
      <w:r w:rsidRPr="00582C28">
        <w:rPr>
          <w:rFonts w:ascii="Palatino Linotype" w:eastAsia="Palatino Linotype" w:hAnsi="Palatino Linotype" w:cs="Palatino Linotype"/>
          <w:b/>
          <w:sz w:val="22"/>
          <w:szCs w:val="22"/>
        </w:rPr>
        <w:t xml:space="preserve"> un particular de manera anónima,</w:t>
      </w:r>
      <w:r w:rsidRPr="00582C28">
        <w:rPr>
          <w:rFonts w:ascii="Palatino Linotype" w:eastAsia="Palatino Linotype" w:hAnsi="Palatino Linotype" w:cs="Palatino Linotype"/>
          <w:sz w:val="22"/>
          <w:szCs w:val="22"/>
        </w:rPr>
        <w:t xml:space="preserve"> en lo sucesivo</w:t>
      </w:r>
      <w:r w:rsidRPr="00582C28">
        <w:rPr>
          <w:rFonts w:ascii="Palatino Linotype" w:eastAsia="Palatino Linotype" w:hAnsi="Palatino Linotype" w:cs="Palatino Linotype"/>
          <w:b/>
          <w:sz w:val="22"/>
          <w:szCs w:val="22"/>
        </w:rPr>
        <w:t xml:space="preserve"> la parte</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Recurrente,</w:t>
      </w:r>
      <w:r w:rsidRPr="00582C28">
        <w:rPr>
          <w:rFonts w:ascii="Palatino Linotype" w:eastAsia="Palatino Linotype" w:hAnsi="Palatino Linotype" w:cs="Palatino Linotype"/>
          <w:sz w:val="22"/>
          <w:szCs w:val="22"/>
        </w:rPr>
        <w:t xml:space="preserve"> en contra de la respuesta a su solicitud por parte del </w:t>
      </w:r>
      <w:r w:rsidR="00F11776" w:rsidRPr="00582C28">
        <w:rPr>
          <w:rFonts w:ascii="Palatino Linotype" w:eastAsia="Palatino Linotype" w:hAnsi="Palatino Linotype" w:cs="Palatino Linotype"/>
          <w:b/>
          <w:sz w:val="22"/>
          <w:szCs w:val="22"/>
        </w:rPr>
        <w:t>Ayuntamiento de Zinacantepec</w:t>
      </w:r>
      <w:r w:rsidRPr="00582C28">
        <w:rPr>
          <w:rFonts w:ascii="Palatino Linotype" w:eastAsia="Palatino Linotype" w:hAnsi="Palatino Linotype" w:cs="Palatino Linotype"/>
          <w:b/>
          <w:sz w:val="22"/>
          <w:szCs w:val="22"/>
        </w:rPr>
        <w:t xml:space="preserve">, </w:t>
      </w:r>
      <w:r w:rsidRPr="00582C28">
        <w:rPr>
          <w:rFonts w:ascii="Palatino Linotype" w:eastAsia="Palatino Linotype" w:hAnsi="Palatino Linotype" w:cs="Palatino Linotype"/>
          <w:sz w:val="22"/>
          <w:szCs w:val="22"/>
        </w:rPr>
        <w:t xml:space="preserve">en lo sucesivo el </w:t>
      </w:r>
      <w:r w:rsidRPr="00582C28">
        <w:rPr>
          <w:rFonts w:ascii="Palatino Linotype" w:eastAsia="Palatino Linotype" w:hAnsi="Palatino Linotype" w:cs="Palatino Linotype"/>
          <w:b/>
          <w:sz w:val="22"/>
          <w:szCs w:val="22"/>
        </w:rPr>
        <w:t xml:space="preserve">Sujeto Obligado, </w:t>
      </w:r>
      <w:r w:rsidRPr="00582C28">
        <w:rPr>
          <w:rFonts w:ascii="Palatino Linotype" w:eastAsia="Palatino Linotype" w:hAnsi="Palatino Linotype" w:cs="Palatino Linotype"/>
          <w:sz w:val="22"/>
          <w:szCs w:val="22"/>
        </w:rPr>
        <w:t xml:space="preserve">se procede a dictar la presente resolución con base en los siguientes: </w:t>
      </w:r>
    </w:p>
    <w:p w14:paraId="09649528" w14:textId="77777777" w:rsidR="00913325" w:rsidRPr="00582C28" w:rsidRDefault="00603069">
      <w:pPr>
        <w:spacing w:before="240" w:after="240" w:line="360" w:lineRule="auto"/>
        <w:jc w:val="center"/>
        <w:rPr>
          <w:rFonts w:ascii="Palatino Linotype" w:eastAsia="Palatino Linotype" w:hAnsi="Palatino Linotype" w:cs="Palatino Linotype"/>
          <w:b/>
          <w:sz w:val="22"/>
          <w:szCs w:val="22"/>
        </w:rPr>
      </w:pPr>
      <w:r w:rsidRPr="00582C28">
        <w:rPr>
          <w:rFonts w:ascii="Palatino Linotype" w:eastAsia="Palatino Linotype" w:hAnsi="Palatino Linotype" w:cs="Palatino Linotype"/>
          <w:b/>
          <w:sz w:val="22"/>
          <w:szCs w:val="22"/>
        </w:rPr>
        <w:t>I. A N T E C E D E N T E S</w:t>
      </w:r>
    </w:p>
    <w:p w14:paraId="72BACECF" w14:textId="77777777" w:rsidR="00913325" w:rsidRPr="00582C28" w:rsidRDefault="00603069">
      <w:pP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1. Solicitud de acceso a la información.</w:t>
      </w:r>
      <w:r w:rsidRPr="00582C28">
        <w:rPr>
          <w:rFonts w:ascii="Palatino Linotype" w:eastAsia="Palatino Linotype" w:hAnsi="Palatino Linotype" w:cs="Palatino Linotype"/>
          <w:sz w:val="22"/>
          <w:szCs w:val="22"/>
        </w:rPr>
        <w:t xml:space="preserve"> De las constancias que obran en el expediente electrónico, se advierte que la persona solicitante presentó su solicitud el </w:t>
      </w:r>
      <w:r w:rsidR="00836001" w:rsidRPr="00582C28">
        <w:rPr>
          <w:rFonts w:ascii="Palatino Linotype" w:eastAsia="Palatino Linotype" w:hAnsi="Palatino Linotype" w:cs="Palatino Linotype"/>
          <w:b/>
          <w:sz w:val="22"/>
          <w:szCs w:val="22"/>
        </w:rPr>
        <w:t>veinte</w:t>
      </w:r>
      <w:r w:rsidRPr="00582C28">
        <w:rPr>
          <w:rFonts w:ascii="Palatino Linotype" w:eastAsia="Palatino Linotype" w:hAnsi="Palatino Linotype" w:cs="Palatino Linotype"/>
          <w:b/>
          <w:sz w:val="22"/>
          <w:szCs w:val="22"/>
        </w:rPr>
        <w:t xml:space="preserve"> de </w:t>
      </w:r>
      <w:r w:rsidR="00836001" w:rsidRPr="00582C28">
        <w:rPr>
          <w:rFonts w:ascii="Palatino Linotype" w:eastAsia="Palatino Linotype" w:hAnsi="Palatino Linotype" w:cs="Palatino Linotype"/>
          <w:b/>
          <w:sz w:val="22"/>
          <w:szCs w:val="22"/>
        </w:rPr>
        <w:t xml:space="preserve">marzo </w:t>
      </w:r>
      <w:r w:rsidRPr="00582C28">
        <w:rPr>
          <w:rFonts w:ascii="Palatino Linotype" w:eastAsia="Palatino Linotype" w:hAnsi="Palatino Linotype" w:cs="Palatino Linotype"/>
          <w:b/>
          <w:sz w:val="22"/>
          <w:szCs w:val="22"/>
        </w:rPr>
        <w:t>del dos mil veinticinco</w:t>
      </w:r>
      <w:r w:rsidRPr="00582C28">
        <w:rPr>
          <w:rFonts w:ascii="Palatino Linotype" w:eastAsia="Palatino Linotype" w:hAnsi="Palatino Linotype" w:cs="Palatino Linotype"/>
          <w:sz w:val="22"/>
          <w:szCs w:val="22"/>
        </w:rPr>
        <w:t xml:space="preserve">, a través del Sistema de Acceso a la Información Mexiquense, en lo subsecuente el </w:t>
      </w:r>
      <w:r w:rsidRPr="00582C28">
        <w:rPr>
          <w:rFonts w:ascii="Palatino Linotype" w:eastAsia="Palatino Linotype" w:hAnsi="Palatino Linotype" w:cs="Palatino Linotype"/>
          <w:b/>
          <w:sz w:val="22"/>
          <w:szCs w:val="22"/>
        </w:rPr>
        <w:t>SAIMEX,</w:t>
      </w:r>
      <w:r w:rsidRPr="00582C28">
        <w:rPr>
          <w:rFonts w:ascii="Palatino Linotype" w:eastAsia="Palatino Linotype" w:hAnsi="Palatino Linotype" w:cs="Palatino Linotype"/>
          <w:sz w:val="22"/>
          <w:szCs w:val="22"/>
        </w:rPr>
        <w:t xml:space="preserve"> ante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la solicitud de acceso a la información pública, a la que se le asignó el número</w:t>
      </w:r>
      <w:r w:rsidRPr="00582C28">
        <w:rPr>
          <w:rFonts w:ascii="Palatino Linotype" w:eastAsia="Palatino Linotype" w:hAnsi="Palatino Linotype" w:cs="Palatino Linotype"/>
          <w:b/>
          <w:sz w:val="22"/>
          <w:szCs w:val="22"/>
        </w:rPr>
        <w:t xml:space="preserve"> </w:t>
      </w:r>
      <w:r w:rsidR="00836001" w:rsidRPr="00582C28">
        <w:rPr>
          <w:rFonts w:ascii="Palatino Linotype" w:eastAsia="Palatino Linotype" w:hAnsi="Palatino Linotype" w:cs="Palatino Linotype"/>
          <w:b/>
          <w:sz w:val="22"/>
          <w:szCs w:val="22"/>
        </w:rPr>
        <w:t>00090/ZINACANT/IP/2025</w:t>
      </w:r>
      <w:r w:rsidRPr="00582C28">
        <w:rPr>
          <w:rFonts w:ascii="Palatino Linotype" w:eastAsia="Palatino Linotype" w:hAnsi="Palatino Linotype" w:cs="Palatino Linotype"/>
          <w:b/>
          <w:sz w:val="22"/>
          <w:szCs w:val="22"/>
        </w:rPr>
        <w:t xml:space="preserve">, </w:t>
      </w:r>
      <w:r w:rsidRPr="00582C28">
        <w:rPr>
          <w:rFonts w:ascii="Palatino Linotype" w:eastAsia="Palatino Linotype" w:hAnsi="Palatino Linotype" w:cs="Palatino Linotype"/>
          <w:sz w:val="22"/>
          <w:szCs w:val="22"/>
        </w:rPr>
        <w:t>mediante la cual requirió la información siguiente:</w:t>
      </w:r>
    </w:p>
    <w:p w14:paraId="039CCCA5" w14:textId="77777777" w:rsidR="00913325" w:rsidRPr="00582C28" w:rsidRDefault="00603069" w:rsidP="0088410E">
      <w:pPr>
        <w:spacing w:before="240" w:after="240"/>
        <w:ind w:left="567" w:right="902"/>
        <w:jc w:val="both"/>
        <w:rPr>
          <w:rFonts w:ascii="Palatino Linotype" w:eastAsia="Palatino Linotype" w:hAnsi="Palatino Linotype" w:cs="Palatino Linotype"/>
          <w:i/>
          <w:sz w:val="22"/>
          <w:szCs w:val="22"/>
        </w:rPr>
      </w:pPr>
      <w:bookmarkStart w:id="1" w:name="_heading=h.gjdgxs" w:colFirst="0" w:colLast="0"/>
      <w:bookmarkEnd w:id="1"/>
      <w:r w:rsidRPr="00582C28">
        <w:rPr>
          <w:rFonts w:ascii="Palatino Linotype" w:eastAsia="Palatino Linotype" w:hAnsi="Palatino Linotype" w:cs="Palatino Linotype"/>
          <w:i/>
          <w:sz w:val="22"/>
          <w:szCs w:val="22"/>
        </w:rPr>
        <w:t xml:space="preserve"> “</w:t>
      </w:r>
      <w:r w:rsidR="00836001" w:rsidRPr="00582C28">
        <w:rPr>
          <w:rFonts w:ascii="Palatino Linotype" w:eastAsia="Palatino Linotype" w:hAnsi="Palatino Linotype" w:cs="Palatino Linotype"/>
          <w:i/>
          <w:sz w:val="22"/>
          <w:szCs w:val="22"/>
        </w:rPr>
        <w:t>SOLICITO LAS CARTIILAS DEL SERVICIO MILITAR DEL AÑO 2023</w:t>
      </w:r>
      <w:r w:rsidRPr="00582C28">
        <w:rPr>
          <w:rFonts w:ascii="Palatino Linotype" w:eastAsia="Palatino Linotype" w:hAnsi="Palatino Linotype" w:cs="Palatino Linotype"/>
          <w:i/>
          <w:sz w:val="22"/>
          <w:szCs w:val="22"/>
        </w:rPr>
        <w:t xml:space="preserve">” (Sic) </w:t>
      </w:r>
    </w:p>
    <w:p w14:paraId="316389B8" w14:textId="77777777" w:rsidR="00913325" w:rsidRPr="00582C28" w:rsidRDefault="00603069">
      <w:pPr>
        <w:spacing w:before="240" w:after="240" w:line="360" w:lineRule="auto"/>
        <w:ind w:right="49"/>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Modalidad de Entrega:</w:t>
      </w:r>
      <w:r w:rsidRPr="00582C28">
        <w:rPr>
          <w:rFonts w:ascii="Palatino Linotype" w:eastAsia="Palatino Linotype" w:hAnsi="Palatino Linotype" w:cs="Palatino Linotype"/>
          <w:sz w:val="22"/>
          <w:szCs w:val="22"/>
        </w:rPr>
        <w:t xml:space="preserve"> A través </w:t>
      </w:r>
      <w:r w:rsidRPr="00582C28">
        <w:rPr>
          <w:rFonts w:ascii="Palatino Linotype" w:eastAsia="Palatino Linotype" w:hAnsi="Palatino Linotype" w:cs="Palatino Linotype"/>
          <w:b/>
          <w:sz w:val="22"/>
          <w:szCs w:val="22"/>
        </w:rPr>
        <w:t>del SAIMEX.</w:t>
      </w:r>
    </w:p>
    <w:p w14:paraId="52A71F06" w14:textId="77777777" w:rsidR="00913325" w:rsidRPr="00582C28" w:rsidRDefault="00603069">
      <w:pPr>
        <w:spacing w:before="240" w:after="240" w:line="360" w:lineRule="auto"/>
        <w:jc w:val="both"/>
        <w:rPr>
          <w:rFonts w:ascii="Palatino Linotype" w:eastAsia="Palatino Linotype" w:hAnsi="Palatino Linotype" w:cs="Palatino Linotype"/>
          <w:b/>
          <w:sz w:val="22"/>
          <w:szCs w:val="22"/>
        </w:rPr>
      </w:pPr>
      <w:bookmarkStart w:id="2" w:name="_heading=h.3dy6vkm" w:colFirst="0" w:colLast="0"/>
      <w:bookmarkEnd w:id="2"/>
      <w:r w:rsidRPr="00582C28">
        <w:rPr>
          <w:rFonts w:ascii="Palatino Linotype" w:eastAsia="Palatino Linotype" w:hAnsi="Palatino Linotype" w:cs="Palatino Linotype"/>
          <w:b/>
          <w:sz w:val="22"/>
          <w:szCs w:val="22"/>
        </w:rPr>
        <w:t xml:space="preserve">2. Información que Puede estar en Poder de Otro Sujeto Obligado. </w:t>
      </w:r>
      <w:r w:rsidRPr="00582C28">
        <w:rPr>
          <w:rFonts w:ascii="Palatino Linotype" w:eastAsia="Palatino Linotype" w:hAnsi="Palatino Linotype" w:cs="Palatino Linotype"/>
          <w:sz w:val="22"/>
          <w:szCs w:val="22"/>
        </w:rPr>
        <w:t xml:space="preserve">El </w:t>
      </w:r>
      <w:r w:rsidR="00836001" w:rsidRPr="00582C28">
        <w:rPr>
          <w:rFonts w:ascii="Palatino Linotype" w:eastAsia="Palatino Linotype" w:hAnsi="Palatino Linotype" w:cs="Palatino Linotype"/>
          <w:b/>
          <w:sz w:val="22"/>
          <w:szCs w:val="22"/>
        </w:rPr>
        <w:t>veinticinco</w:t>
      </w:r>
      <w:r w:rsidRPr="00582C28">
        <w:rPr>
          <w:rFonts w:ascii="Palatino Linotype" w:eastAsia="Palatino Linotype" w:hAnsi="Palatino Linotype" w:cs="Palatino Linotype"/>
          <w:b/>
          <w:sz w:val="22"/>
          <w:szCs w:val="22"/>
        </w:rPr>
        <w:t xml:space="preserve"> de </w:t>
      </w:r>
      <w:r w:rsidR="00836001" w:rsidRPr="00582C28">
        <w:rPr>
          <w:rFonts w:ascii="Palatino Linotype" w:eastAsia="Palatino Linotype" w:hAnsi="Palatino Linotype" w:cs="Palatino Linotype"/>
          <w:b/>
          <w:sz w:val="22"/>
          <w:szCs w:val="22"/>
        </w:rPr>
        <w:t>marzo</w:t>
      </w:r>
      <w:r w:rsidRPr="00582C28">
        <w:rPr>
          <w:rFonts w:ascii="Palatino Linotype" w:eastAsia="Palatino Linotype" w:hAnsi="Palatino Linotype" w:cs="Palatino Linotype"/>
          <w:b/>
          <w:sz w:val="22"/>
          <w:szCs w:val="22"/>
        </w:rPr>
        <w:t xml:space="preserve"> de dos mil veinticinco</w:t>
      </w:r>
      <w:r w:rsidRPr="00582C28">
        <w:rPr>
          <w:rFonts w:ascii="Palatino Linotype" w:eastAsia="Palatino Linotype" w:hAnsi="Palatino Linotype" w:cs="Palatino Linotype"/>
          <w:sz w:val="22"/>
          <w:szCs w:val="22"/>
        </w:rPr>
        <w:t xml:space="preserve">, el </w:t>
      </w:r>
      <w:r w:rsidRPr="00582C28">
        <w:rPr>
          <w:rFonts w:ascii="Palatino Linotype" w:eastAsia="Palatino Linotype" w:hAnsi="Palatino Linotype" w:cs="Palatino Linotype"/>
          <w:b/>
          <w:sz w:val="22"/>
          <w:szCs w:val="22"/>
        </w:rPr>
        <w:t xml:space="preserve">Sujeto Obligado </w:t>
      </w:r>
      <w:r w:rsidRPr="00582C28">
        <w:rPr>
          <w:rFonts w:ascii="Palatino Linotype" w:eastAsia="Palatino Linotype" w:hAnsi="Palatino Linotype" w:cs="Palatino Linotype"/>
          <w:sz w:val="22"/>
          <w:szCs w:val="22"/>
        </w:rPr>
        <w:t xml:space="preserve">declaró su incompetencia para atender la solicitud de acceso a la información a través de SAIMEX, sustancialmente en los términos siguientes:   </w:t>
      </w:r>
    </w:p>
    <w:p w14:paraId="705E1872" w14:textId="77777777" w:rsidR="00836001" w:rsidRPr="00582C28" w:rsidRDefault="00603069" w:rsidP="00836001">
      <w:pPr>
        <w:spacing w:before="240" w:after="240"/>
        <w:ind w:left="567" w:right="902"/>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lastRenderedPageBreak/>
        <w:t>“</w:t>
      </w:r>
      <w:r w:rsidR="00836001" w:rsidRPr="00582C28">
        <w:rPr>
          <w:rFonts w:ascii="Palatino Linotype" w:eastAsia="Palatino Linotype" w:hAnsi="Palatino Linotype" w:cs="Palatino Linotype"/>
          <w:i/>
          <w:sz w:val="22"/>
          <w:szCs w:val="22"/>
        </w:rPr>
        <w:t xml:space="preserve">En este sentido y con el objetivo de poder brindar una respuesta a la solicitud señalado por el particular, </w:t>
      </w:r>
      <w:r w:rsidR="00836001" w:rsidRPr="00582C28">
        <w:rPr>
          <w:rFonts w:ascii="Palatino Linotype" w:eastAsia="Palatino Linotype" w:hAnsi="Palatino Linotype" w:cs="Palatino Linotype"/>
          <w:b/>
          <w:i/>
          <w:sz w:val="22"/>
          <w:szCs w:val="22"/>
          <w:u w:val="single"/>
        </w:rPr>
        <w:t xml:space="preserve">se informa que dicha información se encuentra en posesión de otro Sujeto Obligado en este caso de la </w:t>
      </w:r>
      <w:proofErr w:type="spellStart"/>
      <w:r w:rsidR="00836001" w:rsidRPr="00582C28">
        <w:rPr>
          <w:rFonts w:ascii="Palatino Linotype" w:eastAsia="Palatino Linotype" w:hAnsi="Palatino Linotype" w:cs="Palatino Linotype"/>
          <w:b/>
          <w:i/>
          <w:sz w:val="22"/>
          <w:szCs w:val="22"/>
          <w:u w:val="single"/>
        </w:rPr>
        <w:t>La</w:t>
      </w:r>
      <w:proofErr w:type="spellEnd"/>
      <w:r w:rsidR="00836001" w:rsidRPr="00582C28">
        <w:rPr>
          <w:rFonts w:ascii="Palatino Linotype" w:eastAsia="Palatino Linotype" w:hAnsi="Palatino Linotype" w:cs="Palatino Linotype"/>
          <w:b/>
          <w:i/>
          <w:sz w:val="22"/>
          <w:szCs w:val="22"/>
          <w:u w:val="single"/>
        </w:rPr>
        <w:t xml:space="preserve"> Secretaría de la Defensa Nacional (</w:t>
      </w:r>
      <w:proofErr w:type="spellStart"/>
      <w:r w:rsidR="00836001" w:rsidRPr="00582C28">
        <w:rPr>
          <w:rFonts w:ascii="Palatino Linotype" w:eastAsia="Palatino Linotype" w:hAnsi="Palatino Linotype" w:cs="Palatino Linotype"/>
          <w:b/>
          <w:i/>
          <w:sz w:val="22"/>
          <w:szCs w:val="22"/>
          <w:u w:val="single"/>
        </w:rPr>
        <w:t>Sedena</w:t>
      </w:r>
      <w:proofErr w:type="spellEnd"/>
      <w:r w:rsidR="00836001" w:rsidRPr="00582C28">
        <w:rPr>
          <w:rFonts w:ascii="Palatino Linotype" w:eastAsia="Palatino Linotype" w:hAnsi="Palatino Linotype" w:cs="Palatino Linotype"/>
          <w:b/>
          <w:i/>
          <w:sz w:val="22"/>
          <w:szCs w:val="22"/>
          <w:u w:val="single"/>
        </w:rPr>
        <w:t>), misma que cuenta con su propia Unidad de Transparencia</w:t>
      </w:r>
      <w:r w:rsidR="00836001" w:rsidRPr="00582C28">
        <w:rPr>
          <w:rFonts w:ascii="Palatino Linotype" w:eastAsia="Palatino Linotype" w:hAnsi="Palatino Linotype" w:cs="Palatino Linotype"/>
          <w:i/>
          <w:sz w:val="22"/>
          <w:szCs w:val="22"/>
        </w:rPr>
        <w:t>,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 La Secretaría de la Defensa Nacional (</w:t>
      </w:r>
      <w:proofErr w:type="spellStart"/>
      <w:r w:rsidR="00836001" w:rsidRPr="00582C28">
        <w:rPr>
          <w:rFonts w:ascii="Palatino Linotype" w:eastAsia="Palatino Linotype" w:hAnsi="Palatino Linotype" w:cs="Palatino Linotype"/>
          <w:i/>
          <w:sz w:val="22"/>
          <w:szCs w:val="22"/>
        </w:rPr>
        <w:t>Sedena</w:t>
      </w:r>
      <w:proofErr w:type="spellEnd"/>
      <w:r w:rsidR="00836001" w:rsidRPr="00582C28">
        <w:rPr>
          <w:rFonts w:ascii="Palatino Linotype" w:eastAsia="Palatino Linotype" w:hAnsi="Palatino Linotype" w:cs="Palatino Linotype"/>
          <w:i/>
          <w:sz w:val="22"/>
          <w:szCs w:val="22"/>
        </w:rPr>
        <w:t>). https://www.plataformadetransparencia.org.mx/auth/login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4DCC380" w14:textId="77777777" w:rsidR="00836001" w:rsidRPr="00582C28" w:rsidRDefault="00836001" w:rsidP="00836001">
      <w:pPr>
        <w:spacing w:before="240" w:after="240"/>
        <w:ind w:left="567" w:right="902"/>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ATENTAMENTE</w:t>
      </w:r>
    </w:p>
    <w:p w14:paraId="0444E989" w14:textId="77777777" w:rsidR="00913325" w:rsidRPr="00582C28" w:rsidRDefault="00836001" w:rsidP="00836001">
      <w:pPr>
        <w:spacing w:before="240" w:after="240"/>
        <w:ind w:left="567" w:right="902"/>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BRENDA SELENE HERNANDEZ LOPEZ</w:t>
      </w:r>
      <w:r w:rsidR="00603069" w:rsidRPr="00582C28">
        <w:rPr>
          <w:rFonts w:ascii="Palatino Linotype" w:eastAsia="Palatino Linotype" w:hAnsi="Palatino Linotype" w:cs="Palatino Linotype"/>
          <w:i/>
          <w:sz w:val="22"/>
          <w:szCs w:val="22"/>
        </w:rPr>
        <w:t>” (Sic)</w:t>
      </w:r>
    </w:p>
    <w:p w14:paraId="62BFCCB0" w14:textId="77777777" w:rsidR="00913325" w:rsidRPr="00582C28" w:rsidRDefault="00603069">
      <w:pPr>
        <w:spacing w:before="240" w:after="240"/>
        <w:ind w:left="567" w:right="902"/>
        <w:jc w:val="both"/>
        <w:rPr>
          <w:rFonts w:ascii="Palatino Linotype" w:eastAsia="Palatino Linotype" w:hAnsi="Palatino Linotype" w:cs="Palatino Linotype"/>
          <w:b/>
          <w:sz w:val="22"/>
          <w:szCs w:val="22"/>
        </w:rPr>
      </w:pPr>
      <w:r w:rsidRPr="00582C28">
        <w:rPr>
          <w:rFonts w:ascii="Palatino Linotype" w:eastAsia="Palatino Linotype" w:hAnsi="Palatino Linotype" w:cs="Palatino Linotype"/>
          <w:b/>
          <w:sz w:val="22"/>
          <w:szCs w:val="22"/>
        </w:rPr>
        <w:t>Archivos adjuntos:</w:t>
      </w:r>
    </w:p>
    <w:p w14:paraId="731C644F" w14:textId="77777777" w:rsidR="00836001" w:rsidRPr="00582C28" w:rsidRDefault="00836001" w:rsidP="0088410E">
      <w:pPr>
        <w:spacing w:before="240" w:after="240" w:line="360" w:lineRule="auto"/>
        <w:ind w:left="567" w:right="902"/>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i/>
          <w:sz w:val="22"/>
          <w:szCs w:val="22"/>
        </w:rPr>
        <w:t xml:space="preserve">“RESPUESTA SOLICITUD 090.pdf”: </w:t>
      </w:r>
      <w:r w:rsidRPr="00582C28">
        <w:rPr>
          <w:rFonts w:ascii="Palatino Linotype" w:eastAsia="Palatino Linotype" w:hAnsi="Palatino Linotype" w:cs="Palatino Linotype"/>
          <w:sz w:val="22"/>
          <w:szCs w:val="22"/>
        </w:rPr>
        <w:t xml:space="preserve">Documento suscrito por la Titular de la Unidad de Transparencia, el cual se compone de una foja y refiere sustancialmente que </w:t>
      </w:r>
      <w:r w:rsidR="0088410E"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sz w:val="22"/>
          <w:szCs w:val="22"/>
        </w:rPr>
        <w:t>dicha información se encuentra en posesión de otro Sujeto Obligado en este caso de la Secretaría de la Defensa Nacional (</w:t>
      </w:r>
      <w:r w:rsidR="0088410E" w:rsidRPr="00582C28">
        <w:rPr>
          <w:rFonts w:ascii="Palatino Linotype" w:eastAsia="Palatino Linotype" w:hAnsi="Palatino Linotype" w:cs="Palatino Linotype"/>
          <w:sz w:val="22"/>
          <w:szCs w:val="22"/>
        </w:rPr>
        <w:t>SEDENA</w:t>
      </w:r>
      <w:r w:rsidRPr="00582C28">
        <w:rPr>
          <w:rFonts w:ascii="Palatino Linotype" w:eastAsia="Palatino Linotype" w:hAnsi="Palatino Linotype" w:cs="Palatino Linotype"/>
          <w:sz w:val="22"/>
          <w:szCs w:val="22"/>
        </w:rPr>
        <w:t>), misma que cuenta con su prop</w:t>
      </w:r>
      <w:r w:rsidR="0088410E" w:rsidRPr="00582C28">
        <w:rPr>
          <w:rFonts w:ascii="Palatino Linotype" w:eastAsia="Palatino Linotype" w:hAnsi="Palatino Linotype" w:cs="Palatino Linotype"/>
          <w:sz w:val="22"/>
          <w:szCs w:val="22"/>
        </w:rPr>
        <w:t xml:space="preserve">ia Unidad de Transparencia, por </w:t>
      </w:r>
      <w:r w:rsidRPr="00582C28">
        <w:rPr>
          <w:rFonts w:ascii="Palatino Linotype" w:eastAsia="Palatino Linotype" w:hAnsi="Palatino Linotype" w:cs="Palatino Linotype"/>
          <w:sz w:val="22"/>
          <w:szCs w:val="22"/>
        </w:rPr>
        <w:t>tal razón en aras de garantizar el acceso a la información pública</w:t>
      </w:r>
      <w:r w:rsidR="0088410E" w:rsidRPr="00582C28">
        <w:rPr>
          <w:rFonts w:ascii="Palatino Linotype" w:eastAsia="Palatino Linotype" w:hAnsi="Palatino Linotype" w:cs="Palatino Linotype"/>
          <w:sz w:val="22"/>
          <w:szCs w:val="22"/>
        </w:rPr>
        <w:t>.</w:t>
      </w:r>
    </w:p>
    <w:p w14:paraId="23412BE1" w14:textId="77777777" w:rsidR="00913325" w:rsidRPr="00582C28" w:rsidRDefault="00603069">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 xml:space="preserve">3. Interposición del recurso de revisión. </w:t>
      </w:r>
      <w:r w:rsidRPr="00582C28">
        <w:rPr>
          <w:rFonts w:ascii="Palatino Linotype" w:eastAsia="Palatino Linotype" w:hAnsi="Palatino Linotype" w:cs="Palatino Linotype"/>
          <w:sz w:val="22"/>
          <w:szCs w:val="22"/>
        </w:rPr>
        <w:t xml:space="preserve">Inconforme con los términos de la declaración de incompetencia, emitida por parte del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se tiene constancia que el </w:t>
      </w:r>
      <w:r w:rsidR="0088410E" w:rsidRPr="00582C28">
        <w:rPr>
          <w:rFonts w:ascii="Palatino Linotype" w:eastAsia="Palatino Linotype" w:hAnsi="Palatino Linotype" w:cs="Palatino Linotype"/>
          <w:b/>
          <w:sz w:val="22"/>
          <w:szCs w:val="22"/>
        </w:rPr>
        <w:t>veinticinco</w:t>
      </w:r>
      <w:r w:rsidRPr="00582C28">
        <w:rPr>
          <w:rFonts w:ascii="Palatino Linotype" w:eastAsia="Palatino Linotype" w:hAnsi="Palatino Linotype" w:cs="Palatino Linotype"/>
          <w:b/>
          <w:sz w:val="22"/>
          <w:szCs w:val="22"/>
        </w:rPr>
        <w:t xml:space="preserve"> de marzo de dos mil veinticinco</w:t>
      </w:r>
      <w:r w:rsidRPr="00582C28">
        <w:rPr>
          <w:rFonts w:ascii="Palatino Linotype" w:eastAsia="Palatino Linotype" w:hAnsi="Palatino Linotype" w:cs="Palatino Linotype"/>
          <w:sz w:val="22"/>
          <w:szCs w:val="22"/>
        </w:rPr>
        <w:t xml:space="preserve">, interpuso el recurso de revisión a través de </w:t>
      </w:r>
      <w:r w:rsidRPr="00582C28">
        <w:rPr>
          <w:rFonts w:ascii="Palatino Linotype" w:eastAsia="Palatino Linotype" w:hAnsi="Palatino Linotype" w:cs="Palatino Linotype"/>
          <w:b/>
          <w:sz w:val="22"/>
          <w:szCs w:val="22"/>
        </w:rPr>
        <w:t xml:space="preserve">SAIMEX, </w:t>
      </w:r>
      <w:r w:rsidRPr="00582C28">
        <w:rPr>
          <w:rFonts w:ascii="Palatino Linotype" w:eastAsia="Palatino Linotype" w:hAnsi="Palatino Linotype" w:cs="Palatino Linotype"/>
          <w:sz w:val="22"/>
          <w:szCs w:val="22"/>
        </w:rPr>
        <w:t>en donde se manifestó en los términos que a continuación se detallan:</w:t>
      </w:r>
    </w:p>
    <w:p w14:paraId="163D0FE9" w14:textId="77777777" w:rsidR="00913325" w:rsidRPr="00582C28" w:rsidRDefault="00603069">
      <w:pPr>
        <w:tabs>
          <w:tab w:val="left" w:pos="2745"/>
        </w:tabs>
        <w:spacing w:before="240" w:after="240"/>
        <w:ind w:left="567" w:right="900"/>
        <w:jc w:val="both"/>
        <w:rPr>
          <w:rFonts w:ascii="Palatino Linotype" w:eastAsia="Palatino Linotype" w:hAnsi="Palatino Linotype" w:cs="Palatino Linotype"/>
          <w:b/>
        </w:rPr>
      </w:pPr>
      <w:r w:rsidRPr="00582C28">
        <w:rPr>
          <w:rFonts w:ascii="Palatino Linotype" w:eastAsia="Palatino Linotype" w:hAnsi="Palatino Linotype" w:cs="Palatino Linotype"/>
          <w:b/>
          <w:sz w:val="22"/>
          <w:szCs w:val="22"/>
        </w:rPr>
        <w:t xml:space="preserve">a) Acto impugnado: </w:t>
      </w:r>
      <w:r w:rsidRPr="00582C28">
        <w:rPr>
          <w:rFonts w:ascii="Palatino Linotype" w:eastAsia="Palatino Linotype" w:hAnsi="Palatino Linotype" w:cs="Palatino Linotype"/>
          <w:i/>
          <w:sz w:val="22"/>
          <w:szCs w:val="22"/>
        </w:rPr>
        <w:t>“</w:t>
      </w:r>
      <w:r w:rsidR="0088410E" w:rsidRPr="00582C28">
        <w:rPr>
          <w:rFonts w:ascii="Palatino Linotype" w:eastAsia="Palatino Linotype" w:hAnsi="Palatino Linotype" w:cs="Palatino Linotype"/>
          <w:i/>
          <w:sz w:val="22"/>
          <w:szCs w:val="22"/>
        </w:rPr>
        <w:t>NO ENTREGA INFORMACION</w:t>
      </w:r>
      <w:r w:rsidRPr="00582C28">
        <w:rPr>
          <w:rFonts w:ascii="Palatino Linotype" w:eastAsia="Palatino Linotype" w:hAnsi="Palatino Linotype" w:cs="Palatino Linotype"/>
          <w:i/>
          <w:sz w:val="22"/>
          <w:szCs w:val="22"/>
        </w:rPr>
        <w:t>” (Sic)</w:t>
      </w:r>
    </w:p>
    <w:p w14:paraId="3F9827D3" w14:textId="77777777" w:rsidR="00913325" w:rsidRPr="00582C28" w:rsidRDefault="00603069">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582C28">
        <w:rPr>
          <w:rFonts w:ascii="Palatino Linotype" w:eastAsia="Palatino Linotype" w:hAnsi="Palatino Linotype" w:cs="Palatino Linotype"/>
          <w:b/>
          <w:sz w:val="22"/>
          <w:szCs w:val="22"/>
        </w:rPr>
        <w:lastRenderedPageBreak/>
        <w:t>b) Razones o motivos de inconformidad</w:t>
      </w:r>
      <w:r w:rsidRPr="00582C28">
        <w:rPr>
          <w:rFonts w:ascii="Palatino Linotype" w:eastAsia="Palatino Linotype" w:hAnsi="Palatino Linotype" w:cs="Palatino Linotype"/>
          <w:sz w:val="22"/>
          <w:szCs w:val="22"/>
        </w:rPr>
        <w:t xml:space="preserve">: </w:t>
      </w:r>
      <w:r w:rsidR="00C33C33" w:rsidRPr="00582C28">
        <w:rPr>
          <w:rFonts w:ascii="Palatino Linotype" w:eastAsia="Palatino Linotype" w:hAnsi="Palatino Linotype" w:cs="Palatino Linotype"/>
          <w:sz w:val="22"/>
          <w:szCs w:val="22"/>
        </w:rPr>
        <w:t>“</w:t>
      </w:r>
      <w:r w:rsidR="0088410E" w:rsidRPr="00582C28">
        <w:rPr>
          <w:rFonts w:ascii="Palatino Linotype" w:eastAsia="Palatino Linotype" w:hAnsi="Palatino Linotype" w:cs="Palatino Linotype"/>
          <w:i/>
          <w:sz w:val="22"/>
          <w:szCs w:val="22"/>
        </w:rPr>
        <w:t>NO PRESENTA BIEN EL ACUERDO DE INCOMPETENCIA</w:t>
      </w:r>
      <w:r w:rsidRPr="00582C28">
        <w:rPr>
          <w:rFonts w:ascii="Palatino Linotype" w:eastAsia="Palatino Linotype" w:hAnsi="Palatino Linotype" w:cs="Palatino Linotype"/>
          <w:i/>
          <w:sz w:val="22"/>
          <w:szCs w:val="22"/>
        </w:rPr>
        <w:t>” (Sic)</w:t>
      </w:r>
    </w:p>
    <w:p w14:paraId="4B3C9CBF" w14:textId="77777777" w:rsidR="00913325" w:rsidRPr="00582C28" w:rsidRDefault="00913325">
      <w:pPr>
        <w:spacing w:line="276" w:lineRule="auto"/>
        <w:ind w:left="567" w:right="900"/>
        <w:jc w:val="both"/>
        <w:rPr>
          <w:rFonts w:ascii="Palatino Linotype" w:eastAsia="Palatino Linotype" w:hAnsi="Palatino Linotype" w:cs="Palatino Linotype"/>
          <w:i/>
          <w:sz w:val="22"/>
          <w:szCs w:val="22"/>
        </w:rPr>
      </w:pPr>
    </w:p>
    <w:p w14:paraId="6F563615" w14:textId="77777777" w:rsidR="00913325" w:rsidRPr="00582C28" w:rsidRDefault="00603069">
      <w:pPr>
        <w:spacing w:before="240" w:after="240" w:line="360" w:lineRule="auto"/>
        <w:ind w:right="51"/>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 xml:space="preserve">4. Turno. </w:t>
      </w:r>
      <w:r w:rsidRPr="00582C2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82C28">
        <w:rPr>
          <w:rFonts w:ascii="Palatino Linotype" w:eastAsia="Palatino Linotype" w:hAnsi="Palatino Linotype" w:cs="Palatino Linotype"/>
          <w:b/>
          <w:sz w:val="22"/>
          <w:szCs w:val="22"/>
        </w:rPr>
        <w:t xml:space="preserve">Guadalupe Ramírez Peña, </w:t>
      </w:r>
      <w:r w:rsidRPr="00582C28">
        <w:rPr>
          <w:rFonts w:ascii="Palatino Linotype" w:eastAsia="Palatino Linotype" w:hAnsi="Palatino Linotype" w:cs="Palatino Linotype"/>
          <w:sz w:val="22"/>
          <w:szCs w:val="22"/>
        </w:rPr>
        <w:t xml:space="preserve">a efecto de que analizara sobre su admisión o su </w:t>
      </w:r>
      <w:proofErr w:type="spellStart"/>
      <w:r w:rsidRPr="00582C28">
        <w:rPr>
          <w:rFonts w:ascii="Palatino Linotype" w:eastAsia="Palatino Linotype" w:hAnsi="Palatino Linotype" w:cs="Palatino Linotype"/>
          <w:sz w:val="22"/>
          <w:szCs w:val="22"/>
        </w:rPr>
        <w:t>desechamiento</w:t>
      </w:r>
      <w:proofErr w:type="spellEnd"/>
      <w:r w:rsidRPr="00582C28">
        <w:rPr>
          <w:rFonts w:ascii="Palatino Linotype" w:eastAsia="Palatino Linotype" w:hAnsi="Palatino Linotype" w:cs="Palatino Linotype"/>
          <w:sz w:val="22"/>
          <w:szCs w:val="22"/>
        </w:rPr>
        <w:t>.</w:t>
      </w:r>
    </w:p>
    <w:p w14:paraId="5965B6A5" w14:textId="77777777" w:rsidR="00913325" w:rsidRPr="00582C28" w:rsidRDefault="00603069">
      <w:pP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5. Admisión del Recurso de revisión.</w:t>
      </w:r>
      <w:r w:rsidRPr="00582C28">
        <w:rPr>
          <w:rFonts w:ascii="Palatino Linotype" w:eastAsia="Palatino Linotype" w:hAnsi="Palatino Linotype" w:cs="Palatino Linotype"/>
          <w:sz w:val="22"/>
          <w:szCs w:val="22"/>
        </w:rPr>
        <w:t xml:space="preserve"> El </w:t>
      </w:r>
      <w:r w:rsidR="0088410E" w:rsidRPr="00582C28">
        <w:rPr>
          <w:rFonts w:ascii="Palatino Linotype" w:eastAsia="Palatino Linotype" w:hAnsi="Palatino Linotype" w:cs="Palatino Linotype"/>
          <w:b/>
          <w:sz w:val="22"/>
          <w:szCs w:val="22"/>
        </w:rPr>
        <w:t>veintiocho</w:t>
      </w:r>
      <w:r w:rsidRPr="00582C28">
        <w:rPr>
          <w:rFonts w:ascii="Palatino Linotype" w:eastAsia="Palatino Linotype" w:hAnsi="Palatino Linotype" w:cs="Palatino Linotype"/>
          <w:b/>
          <w:sz w:val="22"/>
          <w:szCs w:val="22"/>
        </w:rPr>
        <w:t xml:space="preserve"> de marzo de dos mil veinticinco, </w:t>
      </w:r>
      <w:r w:rsidRPr="00582C2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82C28">
        <w:rPr>
          <w:rFonts w:ascii="Palatino Linotype" w:eastAsia="Palatino Linotype" w:hAnsi="Palatino Linotype" w:cs="Palatino Linotype"/>
          <w:b/>
          <w:sz w:val="22"/>
          <w:szCs w:val="22"/>
        </w:rPr>
        <w:t xml:space="preserve">Sujeto Obligado </w:t>
      </w:r>
      <w:r w:rsidRPr="00582C28">
        <w:rPr>
          <w:rFonts w:ascii="Palatino Linotype" w:eastAsia="Palatino Linotype" w:hAnsi="Palatino Linotype" w:cs="Palatino Linotype"/>
          <w:sz w:val="22"/>
          <w:szCs w:val="22"/>
        </w:rPr>
        <w:t>presentara su informe justificado.</w:t>
      </w:r>
    </w:p>
    <w:p w14:paraId="2E1CAAE3" w14:textId="77777777" w:rsidR="0088410E" w:rsidRPr="00582C28" w:rsidRDefault="00603069" w:rsidP="0088410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582C28">
        <w:rPr>
          <w:rFonts w:ascii="Palatino Linotype" w:eastAsia="Palatino Linotype" w:hAnsi="Palatino Linotype" w:cs="Palatino Linotype"/>
          <w:b/>
          <w:sz w:val="22"/>
          <w:szCs w:val="22"/>
        </w:rPr>
        <w:t>6. Manifestaciones e Informe Justificado</w:t>
      </w:r>
      <w:r w:rsidRPr="00582C28">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582C28">
        <w:rPr>
          <w:rFonts w:ascii="Palatino Linotype" w:eastAsia="Palatino Linotype" w:hAnsi="Palatino Linotype" w:cs="Palatino Linotype"/>
          <w:b/>
          <w:sz w:val="22"/>
          <w:szCs w:val="22"/>
        </w:rPr>
        <w:t xml:space="preserve">Sujeto Obligado </w:t>
      </w:r>
      <w:r w:rsidRPr="00582C28">
        <w:rPr>
          <w:rFonts w:ascii="Palatino Linotype" w:eastAsia="Palatino Linotype" w:hAnsi="Palatino Linotype" w:cs="Palatino Linotype"/>
          <w:sz w:val="22"/>
          <w:szCs w:val="22"/>
        </w:rPr>
        <w:t xml:space="preserve">rindió su informe justificado el </w:t>
      </w:r>
      <w:r w:rsidR="0088410E" w:rsidRPr="00582C28">
        <w:rPr>
          <w:rFonts w:ascii="Palatino Linotype" w:eastAsia="Palatino Linotype" w:hAnsi="Palatino Linotype" w:cs="Palatino Linotype"/>
          <w:b/>
          <w:sz w:val="22"/>
          <w:szCs w:val="22"/>
        </w:rPr>
        <w:t>cuatro</w:t>
      </w:r>
      <w:r w:rsidRPr="00582C28">
        <w:rPr>
          <w:rFonts w:ascii="Palatino Linotype" w:eastAsia="Palatino Linotype" w:hAnsi="Palatino Linotype" w:cs="Palatino Linotype"/>
          <w:b/>
          <w:sz w:val="22"/>
          <w:szCs w:val="22"/>
        </w:rPr>
        <w:t xml:space="preserve"> de </w:t>
      </w:r>
      <w:r w:rsidR="0088410E" w:rsidRPr="00582C28">
        <w:rPr>
          <w:rFonts w:ascii="Palatino Linotype" w:eastAsia="Palatino Linotype" w:hAnsi="Palatino Linotype" w:cs="Palatino Linotype"/>
          <w:b/>
          <w:sz w:val="22"/>
          <w:szCs w:val="22"/>
        </w:rPr>
        <w:t>abril</w:t>
      </w:r>
      <w:r w:rsidRPr="00582C28">
        <w:rPr>
          <w:rFonts w:ascii="Palatino Linotype" w:eastAsia="Palatino Linotype" w:hAnsi="Palatino Linotype" w:cs="Palatino Linotype"/>
          <w:b/>
          <w:sz w:val="22"/>
          <w:szCs w:val="22"/>
        </w:rPr>
        <w:t xml:space="preserve"> de dos mil veinticinco</w:t>
      </w:r>
      <w:r w:rsidR="0088410E" w:rsidRPr="00582C28">
        <w:rPr>
          <w:rFonts w:ascii="Palatino Linotype" w:eastAsia="Palatino Linotype" w:hAnsi="Palatino Linotype" w:cs="Palatino Linotype"/>
          <w:sz w:val="22"/>
          <w:szCs w:val="22"/>
        </w:rPr>
        <w:t>, mediante los</w:t>
      </w:r>
      <w:r w:rsidRPr="00582C28">
        <w:rPr>
          <w:rFonts w:ascii="Palatino Linotype" w:eastAsia="Palatino Linotype" w:hAnsi="Palatino Linotype" w:cs="Palatino Linotype"/>
          <w:sz w:val="22"/>
          <w:szCs w:val="22"/>
        </w:rPr>
        <w:t xml:space="preserve"> archivo</w:t>
      </w:r>
      <w:r w:rsidR="0088410E" w:rsidRPr="00582C28">
        <w:rPr>
          <w:rFonts w:ascii="Palatino Linotype" w:eastAsia="Palatino Linotype" w:hAnsi="Palatino Linotype" w:cs="Palatino Linotype"/>
          <w:sz w:val="22"/>
          <w:szCs w:val="22"/>
        </w:rPr>
        <w:t>s</w:t>
      </w:r>
      <w:r w:rsidRPr="00582C28">
        <w:rPr>
          <w:rFonts w:ascii="Palatino Linotype" w:eastAsia="Palatino Linotype" w:hAnsi="Palatino Linotype" w:cs="Palatino Linotype"/>
          <w:sz w:val="22"/>
          <w:szCs w:val="22"/>
        </w:rPr>
        <w:t xml:space="preserve"> electrónico</w:t>
      </w:r>
      <w:r w:rsidR="0088410E" w:rsidRPr="00582C28">
        <w:rPr>
          <w:rFonts w:ascii="Palatino Linotype" w:eastAsia="Palatino Linotype" w:hAnsi="Palatino Linotype" w:cs="Palatino Linotype"/>
          <w:sz w:val="22"/>
          <w:szCs w:val="22"/>
        </w:rPr>
        <w:t>s</w:t>
      </w:r>
      <w:r w:rsidR="0088410E" w:rsidRPr="00582C28">
        <w:t xml:space="preserve"> </w:t>
      </w:r>
      <w:r w:rsidR="0088410E" w:rsidRPr="00582C28">
        <w:rPr>
          <w:rFonts w:ascii="Palatino Linotype" w:eastAsia="Palatino Linotype" w:hAnsi="Palatino Linotype" w:cs="Palatino Linotype"/>
          <w:b/>
          <w:i/>
          <w:sz w:val="22"/>
          <w:szCs w:val="22"/>
        </w:rPr>
        <w:tab/>
        <w:t xml:space="preserve">“IJ 03479 2025.pdf” y “SECT ZINA 05 2025.pdf”, </w:t>
      </w:r>
      <w:r w:rsidR="0088410E" w:rsidRPr="00582C28">
        <w:rPr>
          <w:rFonts w:ascii="Palatino Linotype" w:eastAsia="Palatino Linotype" w:hAnsi="Palatino Linotype" w:cs="Palatino Linotype"/>
          <w:sz w:val="22"/>
          <w:szCs w:val="22"/>
        </w:rPr>
        <w:t>los cuales se describen a continuación:</w:t>
      </w:r>
    </w:p>
    <w:p w14:paraId="1CD4A33B" w14:textId="77777777" w:rsidR="0088410E" w:rsidRPr="00582C28" w:rsidRDefault="0088410E" w:rsidP="0088410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486BCF7" w14:textId="77777777" w:rsidR="0088410E" w:rsidRPr="00582C28" w:rsidRDefault="0088410E" w:rsidP="0088410E">
      <w:pPr>
        <w:pBdr>
          <w:top w:val="nil"/>
          <w:left w:val="nil"/>
          <w:bottom w:val="nil"/>
          <w:right w:val="nil"/>
          <w:between w:val="nil"/>
        </w:pBdr>
        <w:tabs>
          <w:tab w:val="left" w:pos="284"/>
        </w:tabs>
        <w:spacing w:line="360" w:lineRule="auto"/>
        <w:ind w:left="567" w:right="900"/>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i/>
          <w:sz w:val="22"/>
          <w:szCs w:val="22"/>
        </w:rPr>
        <w:t xml:space="preserve">“IJ 03479 2025.pdf”: </w:t>
      </w:r>
      <w:r w:rsidRPr="00582C28">
        <w:rPr>
          <w:rFonts w:ascii="Palatino Linotype" w:eastAsia="Palatino Linotype" w:hAnsi="Palatino Linotype" w:cs="Palatino Linotype"/>
          <w:sz w:val="22"/>
          <w:szCs w:val="22"/>
        </w:rPr>
        <w:t xml:space="preserve">Documento que se compone de cinco fojas, en el que medularmente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por conducto de la titular de la unidad de transparencia, ratifica la incompetencia expresada inicialmente.</w:t>
      </w:r>
    </w:p>
    <w:p w14:paraId="600C21DA" w14:textId="77777777" w:rsidR="0088410E" w:rsidRPr="00582C28" w:rsidRDefault="0088410E" w:rsidP="0088410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C7B8508" w14:textId="77777777" w:rsidR="0088410E" w:rsidRPr="00582C28" w:rsidRDefault="0088410E" w:rsidP="0088410E">
      <w:pPr>
        <w:pBdr>
          <w:top w:val="nil"/>
          <w:left w:val="nil"/>
          <w:bottom w:val="nil"/>
          <w:right w:val="nil"/>
          <w:between w:val="nil"/>
        </w:pBdr>
        <w:tabs>
          <w:tab w:val="left" w:pos="284"/>
        </w:tabs>
        <w:spacing w:line="360" w:lineRule="auto"/>
        <w:ind w:left="567" w:right="900"/>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i/>
          <w:sz w:val="22"/>
          <w:szCs w:val="22"/>
        </w:rPr>
        <w:lastRenderedPageBreak/>
        <w:t xml:space="preserve"> “SECT ZINA 05 2025.pdf”: </w:t>
      </w:r>
      <w:r w:rsidRPr="00582C28">
        <w:rPr>
          <w:rFonts w:ascii="Palatino Linotype" w:eastAsia="Palatino Linotype" w:hAnsi="Palatino Linotype" w:cs="Palatino Linotype"/>
          <w:sz w:val="22"/>
          <w:szCs w:val="22"/>
        </w:rPr>
        <w:t>Acta de la Quinta Sesión Extraordinaria del Comité de Transparencia de Zinacantepec 2025-2027, en la que se aprueba la incompetencia total para atender la solicitud de información 00090/ZINACANT/IP/2025.</w:t>
      </w:r>
    </w:p>
    <w:p w14:paraId="39AB5FC5" w14:textId="77777777" w:rsidR="0088410E" w:rsidRPr="00582C28" w:rsidRDefault="0088410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E85D690" w14:textId="77777777" w:rsidR="00913325" w:rsidRPr="00582C28" w:rsidRDefault="0060306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582C28">
        <w:rPr>
          <w:rFonts w:ascii="Palatino Linotype" w:eastAsia="Palatino Linotype" w:hAnsi="Palatino Linotype" w:cs="Palatino Linotype"/>
          <w:sz w:val="22"/>
          <w:szCs w:val="22"/>
        </w:rPr>
        <w:t xml:space="preserve">Es de precisar que una vez analizada esta documentación, se determinó ponerla a la vista del particular mediante acuerdo suscrito por la Comisionada Ponente, el </w:t>
      </w:r>
      <w:r w:rsidR="00C33C33" w:rsidRPr="00582C28">
        <w:rPr>
          <w:rFonts w:ascii="Palatino Linotype" w:eastAsia="Palatino Linotype" w:hAnsi="Palatino Linotype" w:cs="Palatino Linotype"/>
          <w:b/>
          <w:sz w:val="22"/>
          <w:szCs w:val="22"/>
        </w:rPr>
        <w:t>diez de junio</w:t>
      </w:r>
      <w:r w:rsidRPr="00582C28">
        <w:rPr>
          <w:rFonts w:ascii="Palatino Linotype" w:eastAsia="Palatino Linotype" w:hAnsi="Palatino Linotype" w:cs="Palatino Linotype"/>
          <w:b/>
          <w:sz w:val="22"/>
          <w:szCs w:val="22"/>
        </w:rPr>
        <w:t xml:space="preserve"> de dos mil veinticinco</w:t>
      </w:r>
      <w:r w:rsidRPr="00582C28">
        <w:rPr>
          <w:rFonts w:ascii="Palatino Linotype" w:eastAsia="Palatino Linotype" w:hAnsi="Palatino Linotype" w:cs="Palatino Linotype"/>
          <w:sz w:val="22"/>
          <w:szCs w:val="22"/>
        </w:rPr>
        <w:t xml:space="preserve">, derivado de este acuerdo, se advierte que </w:t>
      </w:r>
      <w:r w:rsidRPr="00582C28">
        <w:rPr>
          <w:rFonts w:ascii="Palatino Linotype" w:eastAsia="Palatino Linotype" w:hAnsi="Palatino Linotype" w:cs="Palatino Linotype"/>
          <w:b/>
          <w:sz w:val="22"/>
          <w:szCs w:val="22"/>
        </w:rPr>
        <w:t>la parte Recurrente</w:t>
      </w:r>
      <w:r w:rsidRPr="00582C28">
        <w:rPr>
          <w:rFonts w:ascii="Palatino Linotype" w:eastAsia="Palatino Linotype" w:hAnsi="Palatino Linotype" w:cs="Palatino Linotype"/>
          <w:sz w:val="22"/>
          <w:szCs w:val="22"/>
        </w:rPr>
        <w:t>, fue omisa en adjuntar sus alegatos o manifestaciones, por lo que se tiene por precluido su derecho para tal efecto.</w:t>
      </w:r>
      <w:r w:rsidRPr="00582C28">
        <w:rPr>
          <w:rFonts w:ascii="Palatino Linotype" w:eastAsia="Palatino Linotype" w:hAnsi="Palatino Linotype" w:cs="Palatino Linotype"/>
          <w:b/>
          <w:sz w:val="22"/>
          <w:szCs w:val="22"/>
        </w:rPr>
        <w:t xml:space="preserve"> </w:t>
      </w:r>
    </w:p>
    <w:p w14:paraId="6F8555E2" w14:textId="77777777" w:rsidR="00913325" w:rsidRPr="00582C28" w:rsidRDefault="0091332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CE474CE" w14:textId="20B73647" w:rsidR="00C33C33" w:rsidRPr="00582C28" w:rsidRDefault="00746EED" w:rsidP="00C33C33">
      <w:pPr>
        <w:spacing w:after="240" w:line="360" w:lineRule="auto"/>
        <w:jc w:val="both"/>
        <w:rPr>
          <w:rFonts w:ascii="Palatino Linotype" w:eastAsia="Palatino Linotype" w:hAnsi="Palatino Linotype" w:cs="Palatino Linotype"/>
          <w:sz w:val="22"/>
          <w:szCs w:val="22"/>
        </w:rPr>
      </w:pPr>
      <w:bookmarkStart w:id="5" w:name="_heading=h.39n8fycs57x3" w:colFirst="0" w:colLast="0"/>
      <w:bookmarkEnd w:id="5"/>
      <w:r w:rsidRPr="00582C28">
        <w:rPr>
          <w:rFonts w:ascii="Palatino Linotype" w:eastAsia="Palatino Linotype" w:hAnsi="Palatino Linotype" w:cs="Palatino Linotype"/>
          <w:b/>
          <w:sz w:val="22"/>
          <w:szCs w:val="22"/>
        </w:rPr>
        <w:t>7</w:t>
      </w:r>
      <w:r w:rsidR="00C33C33" w:rsidRPr="00582C28">
        <w:rPr>
          <w:rFonts w:ascii="Palatino Linotype" w:eastAsia="Palatino Linotype" w:hAnsi="Palatino Linotype" w:cs="Palatino Linotype"/>
          <w:b/>
          <w:sz w:val="22"/>
          <w:szCs w:val="22"/>
        </w:rPr>
        <w:t xml:space="preserve">. Ampliación de plazo para resolver. </w:t>
      </w:r>
      <w:r w:rsidR="00C33C33" w:rsidRPr="00582C28">
        <w:rPr>
          <w:rFonts w:ascii="Palatino Linotype" w:eastAsia="Palatino Linotype" w:hAnsi="Palatino Linotype" w:cs="Palatino Linotype"/>
          <w:sz w:val="22"/>
          <w:szCs w:val="22"/>
        </w:rPr>
        <w:t>El</w:t>
      </w:r>
      <w:r w:rsidR="00C33C33" w:rsidRPr="00582C28">
        <w:rPr>
          <w:rFonts w:ascii="Palatino Linotype" w:eastAsia="Palatino Linotype" w:hAnsi="Palatino Linotype" w:cs="Palatino Linotype"/>
          <w:b/>
          <w:sz w:val="22"/>
          <w:szCs w:val="22"/>
        </w:rPr>
        <w:t xml:space="preserve"> diez de junio de dos mil veinticinco, </w:t>
      </w:r>
      <w:r w:rsidR="00C33C33" w:rsidRPr="00582C28">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0361C59A"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8E6525A"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16F22362"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443486"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6D9FF548"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91CDFC"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7097F5B7"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0BA5E07"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58B5DF6D" w14:textId="77777777" w:rsidR="00C33C33" w:rsidRPr="00582C28" w:rsidRDefault="00C33C33" w:rsidP="00C33C33">
      <w:pPr>
        <w:spacing w:line="360" w:lineRule="auto"/>
        <w:jc w:val="both"/>
        <w:rPr>
          <w:rFonts w:ascii="Palatino Linotype" w:eastAsia="Palatino Linotype" w:hAnsi="Palatino Linotype" w:cs="Palatino Linotype"/>
          <w:strike/>
          <w:sz w:val="22"/>
          <w:szCs w:val="22"/>
        </w:rPr>
      </w:pPr>
      <w:r w:rsidRPr="00582C2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4492ADE"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15FE716D" w14:textId="77777777" w:rsidR="00C33C33" w:rsidRPr="00582C28" w:rsidRDefault="00C33C33" w:rsidP="00C33C33">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Complejidad del Asunto:</w:t>
      </w:r>
      <w:r w:rsidRPr="00582C2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D520FDA" w14:textId="77777777" w:rsidR="00C33C33" w:rsidRPr="00582C28" w:rsidRDefault="00C33C33" w:rsidP="00C33C33">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Actividad Procesal del interesado</w:t>
      </w:r>
      <w:r w:rsidRPr="00582C28">
        <w:rPr>
          <w:rFonts w:ascii="Palatino Linotype" w:eastAsia="Palatino Linotype" w:hAnsi="Palatino Linotype" w:cs="Palatino Linotype"/>
          <w:sz w:val="22"/>
          <w:szCs w:val="22"/>
        </w:rPr>
        <w:t>. Acciones u omisiones del interesado.</w:t>
      </w:r>
    </w:p>
    <w:p w14:paraId="3037134F" w14:textId="77777777" w:rsidR="00C33C33" w:rsidRPr="00582C28" w:rsidRDefault="00C33C33" w:rsidP="00C33C33">
      <w:pPr>
        <w:numPr>
          <w:ilvl w:val="0"/>
          <w:numId w:val="4"/>
        </w:numPr>
        <w:spacing w:line="360" w:lineRule="auto"/>
        <w:ind w:left="567" w:right="709" w:hanging="283"/>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Conducta de la Autoridad:</w:t>
      </w:r>
      <w:r w:rsidRPr="00582C2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BEC93DE" w14:textId="77777777" w:rsidR="00C33C33" w:rsidRPr="00582C28" w:rsidRDefault="00C33C33" w:rsidP="00C33C33">
      <w:pPr>
        <w:spacing w:line="360" w:lineRule="auto"/>
        <w:ind w:left="567" w:right="709" w:hanging="283"/>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d) La afectación generada en la situación jurídica de la persona involucrada en el proceso:</w:t>
      </w:r>
      <w:r w:rsidRPr="00582C28">
        <w:rPr>
          <w:rFonts w:ascii="Palatino Linotype" w:eastAsia="Palatino Linotype" w:hAnsi="Palatino Linotype" w:cs="Palatino Linotype"/>
          <w:sz w:val="22"/>
          <w:szCs w:val="22"/>
        </w:rPr>
        <w:t xml:space="preserve"> Violación a sus derechos humanos.</w:t>
      </w:r>
    </w:p>
    <w:p w14:paraId="4DF18124"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44F42595"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82C28">
        <w:rPr>
          <w:rFonts w:ascii="Palatino Linotype" w:eastAsia="Palatino Linotype" w:hAnsi="Palatino Linotype" w:cs="Palatino Linotype"/>
          <w:sz w:val="22"/>
          <w:szCs w:val="22"/>
        </w:rPr>
        <w:lastRenderedPageBreak/>
        <w:t>considerarse normal, debe concluirse que es una excluyente de responsabilidad en relación con la actuación del funcionario, como ha acontecido en el caso que nos ocupa.</w:t>
      </w:r>
    </w:p>
    <w:p w14:paraId="6552A75C"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2EEB5348" w14:textId="77777777" w:rsidR="00C33C33" w:rsidRPr="00582C28" w:rsidRDefault="00C33C33" w:rsidP="00C33C33">
      <w:pPr>
        <w:spacing w:line="360" w:lineRule="auto"/>
        <w:jc w:val="both"/>
        <w:rPr>
          <w:rFonts w:ascii="Palatino Linotype" w:eastAsia="Palatino Linotype" w:hAnsi="Palatino Linotype" w:cs="Palatino Linotype"/>
          <w:b/>
          <w:sz w:val="22"/>
          <w:szCs w:val="22"/>
        </w:rPr>
      </w:pPr>
      <w:r w:rsidRPr="00582C28">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82C28">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82C28">
        <w:rPr>
          <w:rFonts w:ascii="Palatino Linotype" w:eastAsia="Palatino Linotype" w:hAnsi="Palatino Linotype" w:cs="Palatino Linotype"/>
          <w:sz w:val="22"/>
          <w:szCs w:val="22"/>
        </w:rPr>
        <w:t>, visible en la Gaceta del Seminario Judicial de la Federación con el registro digital 205635.</w:t>
      </w:r>
    </w:p>
    <w:p w14:paraId="14E6C95A"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74C72D27"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1C187F"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08E48633"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1FCFFA2"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21E7D108"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i/>
          <w:sz w:val="22"/>
          <w:szCs w:val="22"/>
        </w:rPr>
        <w:t>“PLAZO RAZONABLE PARA RESOLVER. DIMENSIÓN Y EFECTOS DE ESTE CONCEPTO CUANDO SE ADUCE EXCESIVA CARGA DE TRABAJO.”</w:t>
      </w:r>
      <w:r w:rsidRPr="00582C28">
        <w:rPr>
          <w:rFonts w:ascii="Palatino Linotype" w:eastAsia="Palatino Linotype" w:hAnsi="Palatino Linotype" w:cs="Palatino Linotype"/>
          <w:sz w:val="22"/>
          <w:szCs w:val="22"/>
        </w:rPr>
        <w:t xml:space="preserve"> consultable en el Seminario Judicial de la Federación y su gaceta, con el registro digital 2002351.</w:t>
      </w:r>
    </w:p>
    <w:p w14:paraId="554AD7F4" w14:textId="77777777" w:rsidR="00C33C33" w:rsidRPr="00582C28" w:rsidRDefault="00C33C33" w:rsidP="00C33C33">
      <w:pPr>
        <w:spacing w:line="360" w:lineRule="auto"/>
        <w:jc w:val="both"/>
        <w:rPr>
          <w:rFonts w:ascii="Palatino Linotype" w:eastAsia="Palatino Linotype" w:hAnsi="Palatino Linotype" w:cs="Palatino Linotype"/>
          <w:b/>
          <w:sz w:val="22"/>
          <w:szCs w:val="22"/>
        </w:rPr>
      </w:pPr>
    </w:p>
    <w:p w14:paraId="334B8063"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582C28">
        <w:rPr>
          <w:rFonts w:ascii="Palatino Linotype" w:eastAsia="Palatino Linotype" w:hAnsi="Palatino Linotype" w:cs="Palatino Linotype"/>
          <w:sz w:val="22"/>
          <w:szCs w:val="22"/>
        </w:rPr>
        <w:t>, visible en el Seminario Judicial de la Federación y su gaceta, con el registro digital 2002350.</w:t>
      </w:r>
    </w:p>
    <w:p w14:paraId="72891A26"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0BD08E3" w14:textId="77777777" w:rsidR="00C33C33" w:rsidRPr="00582C28" w:rsidRDefault="00C33C33" w:rsidP="00C33C33">
      <w:pPr>
        <w:spacing w:line="360" w:lineRule="auto"/>
        <w:jc w:val="both"/>
        <w:rPr>
          <w:rFonts w:ascii="Palatino Linotype" w:eastAsia="Palatino Linotype" w:hAnsi="Palatino Linotype" w:cs="Palatino Linotype"/>
          <w:sz w:val="22"/>
          <w:szCs w:val="22"/>
        </w:rPr>
      </w:pPr>
    </w:p>
    <w:p w14:paraId="3F0AA14A" w14:textId="28697043" w:rsidR="00913325" w:rsidRPr="00582C28" w:rsidRDefault="00746EED">
      <w:pPr>
        <w:spacing w:after="240" w:line="360" w:lineRule="auto"/>
        <w:jc w:val="both"/>
        <w:rPr>
          <w:rFonts w:ascii="Palatino Linotype" w:eastAsia="Palatino Linotype" w:hAnsi="Palatino Linotype" w:cs="Palatino Linotype"/>
          <w:b/>
          <w:sz w:val="22"/>
          <w:szCs w:val="22"/>
        </w:rPr>
      </w:pPr>
      <w:r w:rsidRPr="00582C28">
        <w:rPr>
          <w:rFonts w:ascii="Palatino Linotype" w:eastAsia="Palatino Linotype" w:hAnsi="Palatino Linotype" w:cs="Palatino Linotype"/>
          <w:b/>
          <w:sz w:val="22"/>
          <w:szCs w:val="22"/>
        </w:rPr>
        <w:t>8</w:t>
      </w:r>
      <w:r w:rsidR="00603069" w:rsidRPr="00582C28">
        <w:rPr>
          <w:rFonts w:ascii="Palatino Linotype" w:eastAsia="Palatino Linotype" w:hAnsi="Palatino Linotype" w:cs="Palatino Linotype"/>
          <w:b/>
          <w:sz w:val="22"/>
          <w:szCs w:val="22"/>
        </w:rPr>
        <w:t xml:space="preserve">. Cierre de instrucción. </w:t>
      </w:r>
      <w:r w:rsidR="00603069" w:rsidRPr="00582C2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C33C33" w:rsidRPr="00582C28">
        <w:rPr>
          <w:rFonts w:ascii="Palatino Linotype" w:eastAsia="Palatino Linotype" w:hAnsi="Palatino Linotype" w:cs="Palatino Linotype"/>
          <w:b/>
          <w:sz w:val="22"/>
          <w:szCs w:val="22"/>
        </w:rPr>
        <w:t>dieciséis</w:t>
      </w:r>
      <w:r w:rsidR="00603069" w:rsidRPr="00582C28">
        <w:rPr>
          <w:rFonts w:ascii="Palatino Linotype" w:eastAsia="Palatino Linotype" w:hAnsi="Palatino Linotype" w:cs="Palatino Linotype"/>
          <w:b/>
          <w:sz w:val="22"/>
          <w:szCs w:val="22"/>
        </w:rPr>
        <w:t xml:space="preserve"> de </w:t>
      </w:r>
      <w:r w:rsidR="00C33C33" w:rsidRPr="00582C28">
        <w:rPr>
          <w:rFonts w:ascii="Palatino Linotype" w:eastAsia="Palatino Linotype" w:hAnsi="Palatino Linotype" w:cs="Palatino Linotype"/>
          <w:b/>
          <w:sz w:val="22"/>
          <w:szCs w:val="22"/>
        </w:rPr>
        <w:t>junio</w:t>
      </w:r>
      <w:r w:rsidR="00603069" w:rsidRPr="00582C28">
        <w:rPr>
          <w:rFonts w:ascii="Palatino Linotype" w:eastAsia="Palatino Linotype" w:hAnsi="Palatino Linotype" w:cs="Palatino Linotype"/>
          <w:b/>
          <w:sz w:val="22"/>
          <w:szCs w:val="22"/>
        </w:rPr>
        <w:t xml:space="preserve"> de dos mil veinticinco,</w:t>
      </w:r>
      <w:r w:rsidR="00603069" w:rsidRPr="00582C2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5DA6FE6" w14:textId="77777777" w:rsidR="00913325" w:rsidRPr="00582C28" w:rsidRDefault="00603069">
      <w:pP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8038020" w14:textId="77777777" w:rsidR="00913325" w:rsidRPr="00582C28" w:rsidRDefault="00603069">
      <w:pPr>
        <w:widowControl w:val="0"/>
        <w:spacing w:before="240" w:after="240" w:line="360" w:lineRule="auto"/>
        <w:jc w:val="center"/>
        <w:rPr>
          <w:rFonts w:ascii="Palatino Linotype" w:eastAsia="Palatino Linotype" w:hAnsi="Palatino Linotype" w:cs="Palatino Linotype"/>
          <w:b/>
          <w:sz w:val="22"/>
          <w:szCs w:val="22"/>
        </w:rPr>
      </w:pPr>
      <w:r w:rsidRPr="00582C28">
        <w:rPr>
          <w:rFonts w:ascii="Palatino Linotype" w:eastAsia="Palatino Linotype" w:hAnsi="Palatino Linotype" w:cs="Palatino Linotype"/>
          <w:b/>
          <w:sz w:val="22"/>
          <w:szCs w:val="22"/>
        </w:rPr>
        <w:t>II. C O N S I D E R A N D O S</w:t>
      </w:r>
    </w:p>
    <w:p w14:paraId="395746F5" w14:textId="45DA6967" w:rsidR="00913325" w:rsidRPr="00582C28" w:rsidRDefault="00603069">
      <w:pP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Primero. Competencia.</w:t>
      </w:r>
      <w:r w:rsidRPr="00582C2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582C28">
        <w:rPr>
          <w:rFonts w:ascii="Palatino Linotype" w:eastAsia="Palatino Linotype" w:hAnsi="Palatino Linotype" w:cs="Palatino Linotype"/>
          <w:b/>
          <w:sz w:val="22"/>
          <w:szCs w:val="22"/>
        </w:rPr>
        <w:t>la parte Recurrente</w:t>
      </w:r>
      <w:r w:rsidRPr="00582C28">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w:t>
      </w:r>
      <w:r w:rsidR="00945CD1" w:rsidRPr="00582C28">
        <w:rPr>
          <w:rFonts w:ascii="Palatino Linotype" w:eastAsia="Palatino Linotype" w:hAnsi="Palatino Linotype" w:cs="Palatino Linotype"/>
          <w:sz w:val="22"/>
          <w:szCs w:val="22"/>
        </w:rPr>
        <w:t>trigésimo noveno, cuadragésimo y cuadragésimo primero</w:t>
      </w:r>
      <w:r w:rsidRPr="00582C28">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w:t>
      </w:r>
      <w:r w:rsidRPr="00582C28">
        <w:rPr>
          <w:rFonts w:ascii="Palatino Linotype" w:eastAsia="Palatino Linotype" w:hAnsi="Palatino Linotype" w:cs="Palatino Linotype"/>
          <w:sz w:val="22"/>
          <w:szCs w:val="22"/>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449FE3E" w14:textId="77777777" w:rsidR="00913325" w:rsidRPr="00582C28" w:rsidRDefault="00603069">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582C28">
        <w:rPr>
          <w:rFonts w:ascii="Palatino Linotype" w:eastAsia="Palatino Linotype" w:hAnsi="Palatino Linotype" w:cs="Palatino Linotype"/>
          <w:b/>
          <w:sz w:val="22"/>
          <w:szCs w:val="22"/>
        </w:rPr>
        <w:t>Segundo. Oportunidad y Procedibilidad del Recurso de Revisión</w:t>
      </w:r>
      <w:r w:rsidRPr="00582C2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5AB772E" w14:textId="77777777" w:rsidR="00913325" w:rsidRPr="00582C28" w:rsidRDefault="00603069">
      <w:pP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82C28">
        <w:rPr>
          <w:rFonts w:ascii="Palatino Linotype" w:eastAsia="Palatino Linotype" w:hAnsi="Palatino Linotype" w:cs="Palatino Linotype"/>
          <w:b/>
          <w:sz w:val="22"/>
          <w:szCs w:val="22"/>
        </w:rPr>
        <w:t xml:space="preserve">Sujeto Obligado </w:t>
      </w:r>
      <w:r w:rsidRPr="00582C28">
        <w:rPr>
          <w:rFonts w:ascii="Palatino Linotype" w:eastAsia="Palatino Linotype" w:hAnsi="Palatino Linotype" w:cs="Palatino Linotype"/>
          <w:sz w:val="22"/>
          <w:szCs w:val="22"/>
        </w:rPr>
        <w:t xml:space="preserve">declaró su incompetencia para atender la solicitud de información el </w:t>
      </w:r>
      <w:r w:rsidR="00C33C33" w:rsidRPr="00582C28">
        <w:rPr>
          <w:rFonts w:ascii="Palatino Linotype" w:eastAsia="Palatino Linotype" w:hAnsi="Palatino Linotype" w:cs="Palatino Linotype"/>
          <w:b/>
          <w:sz w:val="22"/>
          <w:szCs w:val="22"/>
        </w:rPr>
        <w:t>veinticinco</w:t>
      </w:r>
      <w:r w:rsidRPr="00582C28">
        <w:rPr>
          <w:rFonts w:ascii="Palatino Linotype" w:eastAsia="Palatino Linotype" w:hAnsi="Palatino Linotype" w:cs="Palatino Linotype"/>
          <w:b/>
          <w:sz w:val="22"/>
          <w:szCs w:val="22"/>
        </w:rPr>
        <w:t xml:space="preserve"> de </w:t>
      </w:r>
      <w:r w:rsidR="00C33C33" w:rsidRPr="00582C28">
        <w:rPr>
          <w:rFonts w:ascii="Palatino Linotype" w:eastAsia="Palatino Linotype" w:hAnsi="Palatino Linotype" w:cs="Palatino Linotype"/>
          <w:b/>
          <w:sz w:val="22"/>
          <w:szCs w:val="22"/>
        </w:rPr>
        <w:t>marzo</w:t>
      </w:r>
      <w:r w:rsidRPr="00582C28">
        <w:rPr>
          <w:rFonts w:ascii="Palatino Linotype" w:eastAsia="Palatino Linotype" w:hAnsi="Palatino Linotype" w:cs="Palatino Linotype"/>
          <w:b/>
          <w:sz w:val="22"/>
          <w:szCs w:val="22"/>
        </w:rPr>
        <w:t xml:space="preserve"> de dos mil veinticinco, </w:t>
      </w:r>
      <w:r w:rsidRPr="00582C28">
        <w:rPr>
          <w:rFonts w:ascii="Palatino Linotype" w:eastAsia="Palatino Linotype" w:hAnsi="Palatino Linotype" w:cs="Palatino Linotype"/>
          <w:sz w:val="22"/>
          <w:szCs w:val="22"/>
        </w:rPr>
        <w:t xml:space="preserve">mientras que el recurso de revisión interpuesto por </w:t>
      </w:r>
      <w:r w:rsidRPr="00582C28">
        <w:rPr>
          <w:rFonts w:ascii="Palatino Linotype" w:eastAsia="Palatino Linotype" w:hAnsi="Palatino Linotype" w:cs="Palatino Linotype"/>
          <w:b/>
          <w:sz w:val="22"/>
          <w:szCs w:val="22"/>
        </w:rPr>
        <w:t>la parte</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Recurrente</w:t>
      </w:r>
      <w:r w:rsidRPr="00582C28">
        <w:rPr>
          <w:rFonts w:ascii="Palatino Linotype" w:eastAsia="Palatino Linotype" w:hAnsi="Palatino Linotype" w:cs="Palatino Linotype"/>
          <w:sz w:val="22"/>
          <w:szCs w:val="22"/>
        </w:rPr>
        <w:t xml:space="preserve">, se tuvo por presentado el día </w:t>
      </w:r>
      <w:r w:rsidR="00C33C33" w:rsidRPr="00582C28">
        <w:rPr>
          <w:rFonts w:ascii="Palatino Linotype" w:eastAsia="Palatino Linotype" w:hAnsi="Palatino Linotype" w:cs="Palatino Linotype"/>
          <w:b/>
          <w:sz w:val="22"/>
          <w:szCs w:val="22"/>
        </w:rPr>
        <w:t>veinticinco</w:t>
      </w:r>
      <w:r w:rsidRPr="00582C28">
        <w:rPr>
          <w:rFonts w:ascii="Palatino Linotype" w:eastAsia="Palatino Linotype" w:hAnsi="Palatino Linotype" w:cs="Palatino Linotype"/>
          <w:b/>
          <w:sz w:val="22"/>
          <w:szCs w:val="22"/>
        </w:rPr>
        <w:t xml:space="preserve"> de marzo</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 xml:space="preserve">de dos mil veinticuatro, </w:t>
      </w:r>
      <w:r w:rsidRPr="00582C28">
        <w:rPr>
          <w:rFonts w:ascii="Palatino Linotype" w:eastAsia="Palatino Linotype" w:hAnsi="Palatino Linotype" w:cs="Palatino Linotype"/>
          <w:sz w:val="22"/>
          <w:szCs w:val="22"/>
        </w:rPr>
        <w:t xml:space="preserve">esto es, el </w:t>
      </w:r>
      <w:r w:rsidR="00C33C33" w:rsidRPr="00582C28">
        <w:rPr>
          <w:rFonts w:ascii="Palatino Linotype" w:eastAsia="Palatino Linotype" w:hAnsi="Palatino Linotype" w:cs="Palatino Linotype"/>
          <w:b/>
          <w:sz w:val="22"/>
          <w:szCs w:val="22"/>
        </w:rPr>
        <w:t>mismo</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día hábil en el que tuvo conocimiento de la declaración de incompetencia impugnada.</w:t>
      </w:r>
      <w:r w:rsidRPr="00582C28">
        <w:rPr>
          <w:rFonts w:ascii="Palatino Linotype" w:eastAsia="Palatino Linotype" w:hAnsi="Palatino Linotype" w:cs="Palatino Linotype"/>
          <w:sz w:val="22"/>
          <w:szCs w:val="22"/>
        </w:rPr>
        <w:t xml:space="preserve"> </w:t>
      </w:r>
    </w:p>
    <w:p w14:paraId="1E07CD58" w14:textId="77777777" w:rsidR="00C33C33" w:rsidRPr="00582C28" w:rsidRDefault="00C33C33" w:rsidP="00C33C33">
      <w:pPr>
        <w:pStyle w:val="NormalWeb"/>
        <w:spacing w:before="240" w:beforeAutospacing="0" w:after="240" w:afterAutospacing="0" w:line="360" w:lineRule="auto"/>
        <w:jc w:val="both"/>
        <w:rPr>
          <w:sz w:val="22"/>
        </w:rPr>
      </w:pPr>
      <w:r w:rsidRPr="00582C28">
        <w:rPr>
          <w:rFonts w:ascii="Palatino Linotype" w:hAnsi="Palatino Linotype"/>
          <w:sz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C5D7433" w14:textId="77777777" w:rsidR="00C33C33" w:rsidRPr="00582C28" w:rsidRDefault="00C33C33" w:rsidP="00C33C33">
      <w:pPr>
        <w:pStyle w:val="NormalWeb"/>
        <w:spacing w:before="120" w:beforeAutospacing="0" w:after="120" w:afterAutospacing="0"/>
        <w:ind w:left="860" w:right="900"/>
        <w:jc w:val="both"/>
      </w:pPr>
      <w:r w:rsidRPr="00582C28">
        <w:rPr>
          <w:rFonts w:ascii="Palatino Linotype" w:hAnsi="Palatino Linotype"/>
          <w:b/>
          <w:bCs/>
          <w:i/>
          <w:iCs/>
          <w:sz w:val="22"/>
          <w:szCs w:val="22"/>
        </w:rPr>
        <w:lastRenderedPageBreak/>
        <w:t>“RECURSO DE RECLAMACIÓN. SU INTERPOSICIÓN NO ES EXTEMPORÁNEA SI SE REALIZA ANTES DE QUE INICIE EL PLAZO PARA HACERLO</w:t>
      </w:r>
      <w:r w:rsidRPr="00582C28">
        <w:rPr>
          <w:rFonts w:ascii="Palatino Linotype" w:hAnsi="Palatino Linotype"/>
          <w:i/>
          <w:iCs/>
          <w:sz w:val="22"/>
          <w:szCs w:val="22"/>
        </w:rPr>
        <w:t>.</w:t>
      </w:r>
    </w:p>
    <w:p w14:paraId="183F8A18" w14:textId="77777777" w:rsidR="00C33C33" w:rsidRPr="00582C28" w:rsidRDefault="00C33C33" w:rsidP="00C33C33">
      <w:pPr>
        <w:pStyle w:val="NormalWeb"/>
        <w:spacing w:before="120" w:beforeAutospacing="0" w:after="120" w:afterAutospacing="0"/>
        <w:ind w:left="860" w:right="900"/>
        <w:jc w:val="both"/>
      </w:pPr>
      <w:r w:rsidRPr="00582C28">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8A16BB8" w14:textId="77777777" w:rsidR="00913325" w:rsidRPr="00582C28" w:rsidRDefault="00603069">
      <w:pPr>
        <w:spacing w:before="240" w:after="240" w:line="360" w:lineRule="auto"/>
        <w:ind w:right="142"/>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582C28">
        <w:rPr>
          <w:rFonts w:ascii="Palatino Linotype" w:eastAsia="Palatino Linotype" w:hAnsi="Palatino Linotype" w:cs="Palatino Linotype"/>
          <w:b/>
          <w:sz w:val="22"/>
          <w:szCs w:val="22"/>
        </w:rPr>
        <w:t>la parte</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Recurrente</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u w:val="single"/>
        </w:rPr>
        <w:t>fue omisa en proporcionar nombre o  seudónimo</w:t>
      </w:r>
      <w:r w:rsidRPr="00582C28">
        <w:rPr>
          <w:rFonts w:ascii="Palatino Linotype" w:eastAsia="Palatino Linotype" w:hAnsi="Palatino Linotype" w:cs="Palatino Linotype"/>
          <w:sz w:val="22"/>
          <w:szCs w:val="22"/>
        </w:rPr>
        <w:t xml:space="preserve"> con el que desea que se le identifique</w:t>
      </w:r>
      <w:r w:rsidRPr="00582C28">
        <w:rPr>
          <w:rFonts w:ascii="Palatino Linotype" w:eastAsia="Palatino Linotype" w:hAnsi="Palatino Linotype" w:cs="Palatino Linotype"/>
          <w:b/>
          <w:sz w:val="22"/>
          <w:szCs w:val="22"/>
        </w:rPr>
        <w:t>,</w:t>
      </w:r>
      <w:r w:rsidRPr="00582C28">
        <w:rPr>
          <w:rFonts w:ascii="Palatino Linotype" w:eastAsia="Palatino Linotype" w:hAnsi="Palatino Linotype" w:cs="Palatino Linotype"/>
          <w:sz w:val="22"/>
          <w:szCs w:val="22"/>
        </w:rPr>
        <w:t xml:space="preserve"> como se advierte en el detalle de seguimiento del SAIMEX, no obstante, el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3AE6A1B" w14:textId="77777777" w:rsidR="00913325" w:rsidRPr="00582C28" w:rsidRDefault="00603069">
      <w:pPr>
        <w:spacing w:before="240" w:after="240" w:line="276" w:lineRule="auto"/>
        <w:ind w:left="851" w:right="902"/>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w:t>
      </w:r>
      <w:r w:rsidRPr="00582C28">
        <w:rPr>
          <w:rFonts w:ascii="Palatino Linotype" w:eastAsia="Palatino Linotype" w:hAnsi="Palatino Linotype" w:cs="Palatino Linotype"/>
          <w:b/>
          <w:i/>
          <w:sz w:val="22"/>
          <w:szCs w:val="22"/>
        </w:rPr>
        <w:t xml:space="preserve">Las solicitudes </w:t>
      </w:r>
      <w:r w:rsidRPr="00582C28">
        <w:rPr>
          <w:rFonts w:ascii="Palatino Linotype" w:eastAsia="Palatino Linotype" w:hAnsi="Palatino Linotype" w:cs="Palatino Linotype"/>
          <w:i/>
          <w:sz w:val="22"/>
          <w:szCs w:val="22"/>
        </w:rPr>
        <w:t xml:space="preserve">anónimas, con </w:t>
      </w:r>
      <w:r w:rsidRPr="00582C28">
        <w:rPr>
          <w:rFonts w:ascii="Palatino Linotype" w:eastAsia="Palatino Linotype" w:hAnsi="Palatino Linotype" w:cs="Palatino Linotype"/>
          <w:b/>
          <w:i/>
          <w:sz w:val="22"/>
          <w:szCs w:val="22"/>
        </w:rPr>
        <w:t>nombre incompleto o seudónimo</w:t>
      </w:r>
      <w:r w:rsidRPr="00582C28">
        <w:rPr>
          <w:rFonts w:ascii="Palatino Linotype" w:eastAsia="Palatino Linotype" w:hAnsi="Palatino Linotype" w:cs="Palatino Linotype"/>
          <w:i/>
          <w:sz w:val="22"/>
          <w:szCs w:val="22"/>
        </w:rPr>
        <w:t xml:space="preserve"> </w:t>
      </w:r>
      <w:r w:rsidRPr="00582C28">
        <w:rPr>
          <w:rFonts w:ascii="Palatino Linotype" w:eastAsia="Palatino Linotype" w:hAnsi="Palatino Linotype" w:cs="Palatino Linotype"/>
          <w:b/>
          <w:i/>
          <w:sz w:val="22"/>
          <w:szCs w:val="22"/>
        </w:rPr>
        <w:t>serán procedentes para su trámite por parte del sujeto obligado ante quien se presente</w:t>
      </w:r>
      <w:r w:rsidRPr="00582C28">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152955BE" w14:textId="77777777" w:rsidR="00913325" w:rsidRPr="00582C28" w:rsidRDefault="00603069">
      <w:pPr>
        <w:tabs>
          <w:tab w:val="left" w:pos="7938"/>
        </w:tabs>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582C2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DCB1BE2" w14:textId="77777777" w:rsidR="00913325" w:rsidRPr="00582C28" w:rsidRDefault="00603069">
      <w:pP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582C28">
        <w:rPr>
          <w:rFonts w:ascii="Palatino Linotype" w:eastAsia="Palatino Linotype" w:hAnsi="Palatino Linotype" w:cs="Palatino Linotype"/>
          <w:b/>
          <w:sz w:val="22"/>
          <w:szCs w:val="22"/>
        </w:rPr>
        <w:t>la parte</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Recurrente</w:t>
      </w:r>
      <w:r w:rsidRPr="00582C28">
        <w:rPr>
          <w:rFonts w:ascii="Palatino Linotype" w:eastAsia="Palatino Linotype" w:hAnsi="Palatino Linotype" w:cs="Palatino Linotype"/>
          <w:sz w:val="22"/>
          <w:szCs w:val="22"/>
        </w:rPr>
        <w:t xml:space="preserve"> en sus motivos de inconformidad, de acuerdo </w:t>
      </w:r>
      <w:r w:rsidR="00C33C33" w:rsidRPr="00582C28">
        <w:rPr>
          <w:rFonts w:ascii="Palatino Linotype" w:eastAsia="Palatino Linotype" w:hAnsi="Palatino Linotype" w:cs="Palatino Linotype"/>
          <w:sz w:val="22"/>
          <w:szCs w:val="22"/>
        </w:rPr>
        <w:t>al artículo 179, fracción IV</w:t>
      </w:r>
      <w:r w:rsidRPr="00582C28">
        <w:rPr>
          <w:rFonts w:ascii="Palatino Linotype" w:eastAsia="Palatino Linotype" w:hAnsi="Palatino Linotype" w:cs="Palatino Linotype"/>
          <w:sz w:val="22"/>
          <w:szCs w:val="22"/>
        </w:rPr>
        <w:t xml:space="preserve"> del ordenamiento legal citado, que a la letra dice: </w:t>
      </w:r>
    </w:p>
    <w:p w14:paraId="23F9A058" w14:textId="77777777" w:rsidR="00913325" w:rsidRPr="00582C28" w:rsidRDefault="00603069">
      <w:pPr>
        <w:spacing w:before="120" w:after="120"/>
        <w:ind w:left="567" w:right="902"/>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w:t>
      </w:r>
      <w:r w:rsidRPr="00582C28">
        <w:rPr>
          <w:rFonts w:ascii="Palatino Linotype" w:eastAsia="Palatino Linotype" w:hAnsi="Palatino Linotype" w:cs="Palatino Linotype"/>
          <w:b/>
          <w:i/>
          <w:sz w:val="22"/>
          <w:szCs w:val="22"/>
        </w:rPr>
        <w:t>Artículo 179.</w:t>
      </w:r>
      <w:r w:rsidRPr="00582C2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A891188" w14:textId="77777777" w:rsidR="00913325" w:rsidRPr="00582C28" w:rsidRDefault="00603069">
      <w:pPr>
        <w:spacing w:before="120" w:after="120"/>
        <w:ind w:left="567" w:right="902"/>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w:t>
      </w:r>
    </w:p>
    <w:p w14:paraId="377265C6" w14:textId="77777777" w:rsidR="00913325" w:rsidRPr="00582C28" w:rsidRDefault="00C33C33">
      <w:pPr>
        <w:spacing w:before="120" w:after="120"/>
        <w:ind w:left="567"/>
        <w:rPr>
          <w:rFonts w:ascii="Palatino Linotype" w:eastAsia="Palatino Linotype" w:hAnsi="Palatino Linotype" w:cs="Palatino Linotype"/>
          <w:b/>
          <w:i/>
          <w:sz w:val="22"/>
          <w:szCs w:val="22"/>
        </w:rPr>
      </w:pPr>
      <w:r w:rsidRPr="00582C28">
        <w:rPr>
          <w:rFonts w:ascii="Palatino Linotype" w:eastAsia="Palatino Linotype" w:hAnsi="Palatino Linotype" w:cs="Palatino Linotype"/>
          <w:b/>
          <w:i/>
          <w:sz w:val="22"/>
          <w:szCs w:val="22"/>
        </w:rPr>
        <w:t>IV. La declaración de incompetencia por el sujeto obligado</w:t>
      </w:r>
      <w:r w:rsidR="00603069" w:rsidRPr="00582C28">
        <w:rPr>
          <w:rFonts w:ascii="Palatino Linotype" w:eastAsia="Palatino Linotype" w:hAnsi="Palatino Linotype" w:cs="Palatino Linotype"/>
          <w:b/>
          <w:i/>
          <w:sz w:val="22"/>
          <w:szCs w:val="22"/>
        </w:rPr>
        <w:t xml:space="preserve">;” </w:t>
      </w:r>
      <w:r w:rsidR="00603069" w:rsidRPr="00582C28">
        <w:rPr>
          <w:rFonts w:ascii="Palatino Linotype" w:eastAsia="Palatino Linotype" w:hAnsi="Palatino Linotype" w:cs="Palatino Linotype"/>
          <w:i/>
          <w:sz w:val="22"/>
          <w:szCs w:val="22"/>
        </w:rPr>
        <w:t>(Énfasis añadido)</w:t>
      </w:r>
    </w:p>
    <w:p w14:paraId="3AB72ED4" w14:textId="77777777" w:rsidR="00913325" w:rsidRPr="00582C28" w:rsidRDefault="00603069">
      <w:pPr>
        <w:spacing w:before="240" w:after="240" w:line="360" w:lineRule="auto"/>
        <w:jc w:val="both"/>
        <w:rPr>
          <w:rFonts w:ascii="Palatino Linotype" w:eastAsia="Palatino Linotype" w:hAnsi="Palatino Linotype" w:cs="Palatino Linotype"/>
          <w:b/>
          <w:sz w:val="22"/>
          <w:szCs w:val="22"/>
        </w:rPr>
      </w:pPr>
      <w:r w:rsidRPr="00582C28">
        <w:rPr>
          <w:rFonts w:ascii="Palatino Linotype" w:eastAsia="Palatino Linotype" w:hAnsi="Palatino Linotype" w:cs="Palatino Linotype"/>
          <w:b/>
          <w:sz w:val="22"/>
          <w:szCs w:val="22"/>
        </w:rPr>
        <w:t xml:space="preserve">Tercero. Materia de la revisión. </w:t>
      </w:r>
      <w:r w:rsidRPr="00582C2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82C28">
        <w:rPr>
          <w:rFonts w:ascii="Palatino Linotype" w:eastAsia="Palatino Linotype" w:hAnsi="Palatino Linotype" w:cs="Palatino Linotype"/>
          <w:b/>
          <w:sz w:val="22"/>
          <w:szCs w:val="22"/>
        </w:rPr>
        <w:t xml:space="preserve">verificar si la declaración total de incompetencia e informe justificado otorgados por el Sujeto Obligado son adecuados y suficientes para satisfacer el derecho de acceso a la información pública </w:t>
      </w:r>
      <w:r w:rsidRPr="00582C28">
        <w:rPr>
          <w:rFonts w:ascii="Palatino Linotype" w:eastAsia="Palatino Linotype" w:hAnsi="Palatino Linotype" w:cs="Palatino Linotype"/>
          <w:sz w:val="22"/>
          <w:szCs w:val="22"/>
        </w:rPr>
        <w:t xml:space="preserve">de </w:t>
      </w:r>
      <w:r w:rsidRPr="00582C28">
        <w:rPr>
          <w:rFonts w:ascii="Palatino Linotype" w:eastAsia="Palatino Linotype" w:hAnsi="Palatino Linotype" w:cs="Palatino Linotype"/>
          <w:b/>
          <w:sz w:val="22"/>
          <w:szCs w:val="22"/>
        </w:rPr>
        <w:t>la parte</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Recurrente</w:t>
      </w:r>
      <w:r w:rsidRPr="00582C28">
        <w:rPr>
          <w:rFonts w:ascii="Palatino Linotype" w:eastAsia="Palatino Linotype" w:hAnsi="Palatino Linotype" w:cs="Palatino Linotype"/>
          <w:sz w:val="22"/>
          <w:szCs w:val="22"/>
        </w:rPr>
        <w:t>, o en su defecto, en caso de ser procedente, ordenar la entrega de información.</w:t>
      </w:r>
    </w:p>
    <w:p w14:paraId="208C42F3" w14:textId="77777777" w:rsidR="00913325" w:rsidRPr="00582C28" w:rsidRDefault="00603069">
      <w:pPr>
        <w:pBdr>
          <w:top w:val="nil"/>
          <w:left w:val="nil"/>
          <w:bottom w:val="nil"/>
          <w:right w:val="nil"/>
          <w:between w:val="nil"/>
        </w:pBdr>
        <w:spacing w:before="240" w:after="240" w:line="360" w:lineRule="auto"/>
        <w:jc w:val="both"/>
        <w:rPr>
          <w:sz w:val="22"/>
          <w:szCs w:val="22"/>
        </w:rPr>
      </w:pPr>
      <w:bookmarkStart w:id="8" w:name="_heading=h.2et92p0" w:colFirst="0" w:colLast="0"/>
      <w:bookmarkEnd w:id="8"/>
      <w:r w:rsidRPr="00582C28">
        <w:rPr>
          <w:rFonts w:ascii="Palatino Linotype" w:eastAsia="Palatino Linotype" w:hAnsi="Palatino Linotype" w:cs="Palatino Linotype"/>
          <w:b/>
          <w:sz w:val="22"/>
          <w:szCs w:val="22"/>
        </w:rPr>
        <w:t xml:space="preserve">Cuarto. Estudio del asunto </w:t>
      </w:r>
      <w:r w:rsidRPr="00582C28">
        <w:rPr>
          <w:rFonts w:ascii="Palatino Linotype" w:eastAsia="Palatino Linotype" w:hAnsi="Palatino Linotype" w:cs="Palatino Linotype"/>
          <w:sz w:val="22"/>
          <w:szCs w:val="22"/>
        </w:rPr>
        <w:t xml:space="preserve">Antes de entrar al análisis de los pronunciamientos del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FF12624" w14:textId="77777777" w:rsidR="00913325" w:rsidRPr="00582C28" w:rsidRDefault="00603069">
      <w:pPr>
        <w:pBdr>
          <w:top w:val="nil"/>
          <w:left w:val="nil"/>
          <w:bottom w:val="nil"/>
          <w:right w:val="nil"/>
          <w:between w:val="nil"/>
        </w:pBdr>
        <w:spacing w:before="240" w:after="240"/>
        <w:ind w:left="851" w:right="850"/>
        <w:jc w:val="both"/>
      </w:pPr>
      <w:r w:rsidRPr="00582C2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82C28">
        <w:rPr>
          <w:rFonts w:ascii="Palatino Linotype" w:eastAsia="Palatino Linotype" w:hAnsi="Palatino Linotype" w:cs="Palatino Linotype"/>
          <w:i/>
          <w:sz w:val="22"/>
          <w:szCs w:val="22"/>
        </w:rPr>
        <w:t xml:space="preserve">, así como de las garantías para su protección, cuyo ejercicio no podrá restringirse ni </w:t>
      </w:r>
      <w:r w:rsidRPr="00582C28">
        <w:rPr>
          <w:rFonts w:ascii="Palatino Linotype" w:eastAsia="Palatino Linotype" w:hAnsi="Palatino Linotype" w:cs="Palatino Linotype"/>
          <w:i/>
          <w:sz w:val="22"/>
          <w:szCs w:val="22"/>
        </w:rPr>
        <w:lastRenderedPageBreak/>
        <w:t>suspenderse, salvo en los casos y bajo las condiciones que esta Constitución establece.</w:t>
      </w:r>
    </w:p>
    <w:p w14:paraId="2150FFF5" w14:textId="77777777" w:rsidR="00913325" w:rsidRPr="00582C28" w:rsidRDefault="00603069">
      <w:pPr>
        <w:pBdr>
          <w:top w:val="nil"/>
          <w:left w:val="nil"/>
          <w:bottom w:val="nil"/>
          <w:right w:val="nil"/>
          <w:between w:val="nil"/>
        </w:pBdr>
        <w:spacing w:before="240" w:after="240"/>
        <w:ind w:left="851" w:right="850"/>
        <w:jc w:val="both"/>
      </w:pPr>
      <w:r w:rsidRPr="00582C2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B781B6B" w14:textId="77777777" w:rsidR="00913325" w:rsidRPr="00582C28" w:rsidRDefault="00603069">
      <w:pPr>
        <w:pBdr>
          <w:top w:val="nil"/>
          <w:left w:val="nil"/>
          <w:bottom w:val="nil"/>
          <w:right w:val="nil"/>
          <w:between w:val="nil"/>
        </w:pBdr>
        <w:spacing w:before="240" w:after="240"/>
        <w:ind w:left="851" w:right="850"/>
        <w:jc w:val="both"/>
      </w:pPr>
      <w:r w:rsidRPr="00582C2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82C2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9C0A14E" w14:textId="77777777" w:rsidR="00913325" w:rsidRPr="00582C28" w:rsidRDefault="00603069">
      <w:pPr>
        <w:pBdr>
          <w:top w:val="nil"/>
          <w:left w:val="nil"/>
          <w:bottom w:val="nil"/>
          <w:right w:val="nil"/>
          <w:between w:val="nil"/>
        </w:pBdr>
        <w:spacing w:before="240" w:after="240"/>
        <w:ind w:left="851" w:right="850"/>
        <w:jc w:val="both"/>
      </w:pPr>
      <w:r w:rsidRPr="00582C28">
        <w:rPr>
          <w:rFonts w:ascii="Palatino Linotype" w:eastAsia="Palatino Linotype" w:hAnsi="Palatino Linotype" w:cs="Palatino Linotype"/>
          <w:i/>
          <w:sz w:val="22"/>
          <w:szCs w:val="22"/>
        </w:rPr>
        <w:t>[…]</w:t>
      </w:r>
    </w:p>
    <w:p w14:paraId="3DF8E11D" w14:textId="77777777" w:rsidR="00913325" w:rsidRPr="00582C28" w:rsidRDefault="00603069">
      <w:pPr>
        <w:pBdr>
          <w:top w:val="nil"/>
          <w:left w:val="nil"/>
          <w:bottom w:val="nil"/>
          <w:right w:val="nil"/>
          <w:between w:val="nil"/>
        </w:pBdr>
        <w:spacing w:before="240" w:after="240"/>
        <w:ind w:left="851" w:right="901"/>
        <w:jc w:val="both"/>
      </w:pPr>
      <w:r w:rsidRPr="00582C28">
        <w:rPr>
          <w:rFonts w:ascii="Palatino Linotype" w:eastAsia="Palatino Linotype" w:hAnsi="Palatino Linotype" w:cs="Palatino Linotype"/>
          <w:b/>
          <w:i/>
          <w:sz w:val="22"/>
          <w:szCs w:val="22"/>
        </w:rPr>
        <w:t>“Artículo 6o.</w:t>
      </w:r>
    </w:p>
    <w:p w14:paraId="0FE0DCB8" w14:textId="77777777" w:rsidR="00913325" w:rsidRPr="00582C28" w:rsidRDefault="00603069">
      <w:pPr>
        <w:pBdr>
          <w:top w:val="nil"/>
          <w:left w:val="nil"/>
          <w:bottom w:val="nil"/>
          <w:right w:val="nil"/>
          <w:between w:val="nil"/>
        </w:pBdr>
        <w:spacing w:before="240" w:after="240"/>
        <w:ind w:left="851" w:right="901"/>
        <w:jc w:val="both"/>
      </w:pPr>
      <w:r w:rsidRPr="00582C28">
        <w:rPr>
          <w:rFonts w:ascii="Palatino Linotype" w:eastAsia="Palatino Linotype" w:hAnsi="Palatino Linotype" w:cs="Palatino Linotype"/>
          <w:i/>
          <w:sz w:val="22"/>
          <w:szCs w:val="22"/>
        </w:rPr>
        <w:t>[...]</w:t>
      </w:r>
    </w:p>
    <w:p w14:paraId="408047C0" w14:textId="77777777" w:rsidR="00913325" w:rsidRPr="00582C28" w:rsidRDefault="0060306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b/>
          <w:i/>
          <w:sz w:val="22"/>
          <w:szCs w:val="22"/>
        </w:rPr>
        <w:t xml:space="preserve">A. Para el ejercicio del derecho de acceso a la información, la Federación y </w:t>
      </w:r>
      <w:r w:rsidRPr="00582C28">
        <w:rPr>
          <w:rFonts w:ascii="Palatino Linotype" w:eastAsia="Palatino Linotype" w:hAnsi="Palatino Linotype" w:cs="Palatino Linotype"/>
          <w:b/>
          <w:i/>
          <w:sz w:val="22"/>
          <w:szCs w:val="22"/>
          <w:u w:val="single"/>
        </w:rPr>
        <w:t>las entidades federativas</w:t>
      </w:r>
      <w:r w:rsidRPr="00582C28">
        <w:rPr>
          <w:rFonts w:ascii="Palatino Linotype" w:eastAsia="Palatino Linotype" w:hAnsi="Palatino Linotype" w:cs="Palatino Linotype"/>
          <w:b/>
          <w:i/>
          <w:sz w:val="22"/>
          <w:szCs w:val="22"/>
        </w:rPr>
        <w:t>,</w:t>
      </w:r>
      <w:r w:rsidRPr="00582C2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44D607A" w14:textId="77777777" w:rsidR="00913325" w:rsidRPr="00582C28" w:rsidRDefault="0060306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 </w:t>
      </w:r>
      <w:r w:rsidRPr="00582C28">
        <w:rPr>
          <w:rFonts w:ascii="Palatino Linotype" w:eastAsia="Palatino Linotype" w:hAnsi="Palatino Linotype" w:cs="Palatino Linotype"/>
          <w:b/>
          <w:i/>
          <w:sz w:val="22"/>
          <w:szCs w:val="22"/>
        </w:rPr>
        <w:t xml:space="preserve">I. </w:t>
      </w:r>
      <w:r w:rsidRPr="00582C2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82C28">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82C28">
        <w:rPr>
          <w:rFonts w:ascii="Palatino Linotype" w:eastAsia="Palatino Linotype" w:hAnsi="Palatino Linotype" w:cs="Palatino Linotype"/>
          <w:b/>
          <w:i/>
          <w:sz w:val="22"/>
          <w:szCs w:val="22"/>
        </w:rPr>
        <w:t>es pública y sólo podrá ser reservada temporalmente por razones de interés público y seguridad nacional,</w:t>
      </w:r>
      <w:r w:rsidRPr="00582C2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77AE5FC" w14:textId="77777777" w:rsidR="00913325" w:rsidRPr="00582C28" w:rsidRDefault="0060306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582C2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40D5E131" w14:textId="77777777" w:rsidR="00913325" w:rsidRPr="00582C28" w:rsidRDefault="0060306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lastRenderedPageBreak/>
        <w:t> </w:t>
      </w:r>
      <w:r w:rsidRPr="00582C28">
        <w:rPr>
          <w:rFonts w:ascii="Palatino Linotype" w:eastAsia="Palatino Linotype" w:hAnsi="Palatino Linotype" w:cs="Palatino Linotype"/>
          <w:b/>
          <w:i/>
          <w:sz w:val="22"/>
          <w:szCs w:val="22"/>
        </w:rPr>
        <w:t xml:space="preserve">III. </w:t>
      </w:r>
      <w:r w:rsidRPr="00582C2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82C28">
        <w:rPr>
          <w:rFonts w:ascii="Palatino Linotype" w:eastAsia="Palatino Linotype" w:hAnsi="Palatino Linotype" w:cs="Palatino Linotype"/>
          <w:i/>
          <w:sz w:val="22"/>
          <w:szCs w:val="22"/>
        </w:rPr>
        <w:t xml:space="preserve"> a sus datos personales o a la rectificación de éstos.</w:t>
      </w:r>
    </w:p>
    <w:p w14:paraId="682CFD53" w14:textId="77777777" w:rsidR="00913325" w:rsidRPr="00582C28" w:rsidRDefault="00603069">
      <w:pPr>
        <w:pBdr>
          <w:top w:val="nil"/>
          <w:left w:val="nil"/>
          <w:bottom w:val="nil"/>
          <w:right w:val="nil"/>
          <w:between w:val="nil"/>
        </w:pBdr>
        <w:spacing w:before="240" w:after="240"/>
        <w:ind w:left="851" w:right="851"/>
        <w:jc w:val="both"/>
      </w:pPr>
      <w:r w:rsidRPr="00582C28">
        <w:rPr>
          <w:rFonts w:ascii="Palatino Linotype" w:eastAsia="Palatino Linotype" w:hAnsi="Palatino Linotype" w:cs="Palatino Linotype"/>
          <w:b/>
          <w:i/>
          <w:sz w:val="22"/>
          <w:szCs w:val="22"/>
        </w:rPr>
        <w:t>…</w:t>
      </w:r>
    </w:p>
    <w:p w14:paraId="20FF41E8" w14:textId="77777777" w:rsidR="00913325" w:rsidRPr="00582C28" w:rsidRDefault="0060306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b/>
          <w:i/>
          <w:sz w:val="22"/>
          <w:szCs w:val="22"/>
        </w:rPr>
        <w:t>IV.</w:t>
      </w:r>
      <w:r w:rsidRPr="00582C2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7B901235" w14:textId="77777777" w:rsidR="00913325" w:rsidRPr="00582C28" w:rsidRDefault="00603069">
      <w:pPr>
        <w:pBdr>
          <w:top w:val="nil"/>
          <w:left w:val="nil"/>
          <w:bottom w:val="nil"/>
          <w:right w:val="nil"/>
          <w:between w:val="nil"/>
        </w:pBdr>
        <w:spacing w:before="240" w:after="240"/>
        <w:ind w:left="851" w:right="851"/>
        <w:jc w:val="both"/>
      </w:pPr>
      <w:r w:rsidRPr="00582C28">
        <w:rPr>
          <w:rFonts w:ascii="Palatino Linotype" w:eastAsia="Palatino Linotype" w:hAnsi="Palatino Linotype" w:cs="Palatino Linotype"/>
          <w:b/>
          <w:i/>
          <w:sz w:val="22"/>
          <w:szCs w:val="22"/>
        </w:rPr>
        <w:t xml:space="preserve">V. </w:t>
      </w:r>
      <w:r w:rsidRPr="00582C2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1176C8B" w14:textId="77777777" w:rsidR="00913325" w:rsidRPr="00582C28" w:rsidRDefault="00603069">
      <w:pPr>
        <w:pBdr>
          <w:top w:val="nil"/>
          <w:left w:val="nil"/>
          <w:bottom w:val="nil"/>
          <w:right w:val="nil"/>
          <w:between w:val="nil"/>
        </w:pBdr>
        <w:spacing w:before="240" w:after="240"/>
        <w:ind w:left="851" w:right="851"/>
        <w:jc w:val="both"/>
      </w:pPr>
      <w:r w:rsidRPr="00582C28">
        <w:rPr>
          <w:rFonts w:ascii="Palatino Linotype" w:eastAsia="Palatino Linotype" w:hAnsi="Palatino Linotype" w:cs="Palatino Linotype"/>
          <w:i/>
          <w:sz w:val="22"/>
          <w:szCs w:val="22"/>
        </w:rPr>
        <w:t> </w:t>
      </w:r>
      <w:r w:rsidRPr="00582C28">
        <w:rPr>
          <w:rFonts w:ascii="Palatino Linotype" w:eastAsia="Palatino Linotype" w:hAnsi="Palatino Linotype" w:cs="Palatino Linotype"/>
          <w:b/>
          <w:i/>
          <w:sz w:val="22"/>
          <w:szCs w:val="22"/>
        </w:rPr>
        <w:t xml:space="preserve">VI. </w:t>
      </w:r>
      <w:r w:rsidRPr="00582C2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AAC02E9" w14:textId="77777777" w:rsidR="00913325" w:rsidRPr="00582C28" w:rsidRDefault="00603069">
      <w:pPr>
        <w:pBdr>
          <w:top w:val="nil"/>
          <w:left w:val="nil"/>
          <w:bottom w:val="nil"/>
          <w:right w:val="nil"/>
          <w:between w:val="nil"/>
        </w:pBdr>
        <w:spacing w:before="240" w:after="240"/>
        <w:ind w:left="851" w:right="851"/>
        <w:jc w:val="both"/>
      </w:pPr>
      <w:r w:rsidRPr="00582C28">
        <w:rPr>
          <w:rFonts w:ascii="Palatino Linotype" w:eastAsia="Palatino Linotype" w:hAnsi="Palatino Linotype" w:cs="Palatino Linotype"/>
          <w:i/>
          <w:sz w:val="22"/>
          <w:szCs w:val="22"/>
        </w:rPr>
        <w:t> </w:t>
      </w:r>
      <w:r w:rsidRPr="00582C28">
        <w:rPr>
          <w:rFonts w:ascii="Palatino Linotype" w:eastAsia="Palatino Linotype" w:hAnsi="Palatino Linotype" w:cs="Palatino Linotype"/>
          <w:b/>
          <w:i/>
          <w:sz w:val="22"/>
          <w:szCs w:val="22"/>
        </w:rPr>
        <w:t xml:space="preserve">VII. </w:t>
      </w:r>
      <w:r w:rsidRPr="00582C2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3F88C80" w14:textId="77777777" w:rsidR="00913325" w:rsidRPr="00582C28" w:rsidRDefault="00603069">
      <w:pPr>
        <w:pBdr>
          <w:top w:val="nil"/>
          <w:left w:val="nil"/>
          <w:bottom w:val="nil"/>
          <w:right w:val="nil"/>
          <w:between w:val="nil"/>
        </w:pBdr>
        <w:spacing w:before="240" w:after="240" w:line="360" w:lineRule="auto"/>
        <w:jc w:val="both"/>
        <w:rPr>
          <w:sz w:val="22"/>
          <w:szCs w:val="22"/>
        </w:rPr>
      </w:pPr>
      <w:r w:rsidRPr="00582C28">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32B489" w14:textId="77777777" w:rsidR="00913325" w:rsidRPr="00582C28" w:rsidRDefault="00603069">
      <w:pPr>
        <w:pBdr>
          <w:top w:val="nil"/>
          <w:left w:val="nil"/>
          <w:bottom w:val="nil"/>
          <w:right w:val="nil"/>
          <w:between w:val="nil"/>
        </w:pBdr>
        <w:spacing w:before="240" w:after="240"/>
        <w:ind w:left="709" w:right="760"/>
        <w:jc w:val="both"/>
      </w:pPr>
      <w:r w:rsidRPr="00582C28">
        <w:rPr>
          <w:rFonts w:ascii="Palatino Linotype" w:eastAsia="Palatino Linotype" w:hAnsi="Palatino Linotype" w:cs="Palatino Linotype"/>
          <w:i/>
          <w:sz w:val="22"/>
          <w:szCs w:val="22"/>
        </w:rPr>
        <w:t>“</w:t>
      </w:r>
      <w:r w:rsidRPr="00582C28">
        <w:rPr>
          <w:rFonts w:ascii="Palatino Linotype" w:eastAsia="Palatino Linotype" w:hAnsi="Palatino Linotype" w:cs="Palatino Linotype"/>
          <w:b/>
          <w:i/>
          <w:sz w:val="22"/>
          <w:szCs w:val="22"/>
        </w:rPr>
        <w:t>Artículo 4</w:t>
      </w:r>
      <w:r w:rsidRPr="00582C28">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5144C1C9" w14:textId="77777777" w:rsidR="00913325" w:rsidRPr="00582C28" w:rsidRDefault="00603069">
      <w:pPr>
        <w:pBdr>
          <w:top w:val="nil"/>
          <w:left w:val="nil"/>
          <w:bottom w:val="nil"/>
          <w:right w:val="nil"/>
          <w:between w:val="nil"/>
        </w:pBdr>
        <w:spacing w:before="240" w:after="240"/>
        <w:ind w:left="709" w:right="760"/>
        <w:jc w:val="both"/>
      </w:pPr>
      <w:r w:rsidRPr="00582C28">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CB29F0" w14:textId="77777777" w:rsidR="00913325" w:rsidRPr="00582C28" w:rsidRDefault="00603069">
      <w:pPr>
        <w:pBdr>
          <w:top w:val="nil"/>
          <w:left w:val="nil"/>
          <w:bottom w:val="nil"/>
          <w:right w:val="nil"/>
          <w:between w:val="nil"/>
        </w:pBdr>
        <w:spacing w:before="240" w:after="240"/>
        <w:ind w:left="709" w:right="760"/>
        <w:jc w:val="both"/>
      </w:pPr>
      <w:r w:rsidRPr="00582C2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E14C7EF" w14:textId="77777777" w:rsidR="00913325" w:rsidRPr="00582C28" w:rsidRDefault="00603069">
      <w:pPr>
        <w:pBdr>
          <w:top w:val="nil"/>
          <w:left w:val="nil"/>
          <w:bottom w:val="nil"/>
          <w:right w:val="nil"/>
          <w:between w:val="nil"/>
        </w:pBdr>
        <w:spacing w:before="240" w:after="240" w:line="360" w:lineRule="auto"/>
        <w:jc w:val="both"/>
        <w:rPr>
          <w:sz w:val="22"/>
          <w:szCs w:val="22"/>
        </w:rPr>
      </w:pPr>
      <w:r w:rsidRPr="00582C28">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E46FD4F" w14:textId="77777777" w:rsidR="00913325" w:rsidRPr="00582C28" w:rsidRDefault="00603069">
      <w:pPr>
        <w:pBdr>
          <w:top w:val="nil"/>
          <w:left w:val="nil"/>
          <w:bottom w:val="nil"/>
          <w:right w:val="nil"/>
          <w:between w:val="nil"/>
        </w:pBdr>
        <w:spacing w:before="240" w:after="240"/>
        <w:ind w:left="567" w:right="758"/>
        <w:jc w:val="both"/>
      </w:pPr>
      <w:r w:rsidRPr="00582C28">
        <w:rPr>
          <w:rFonts w:ascii="Palatino Linotype" w:eastAsia="Palatino Linotype" w:hAnsi="Palatino Linotype" w:cs="Palatino Linotype"/>
          <w:i/>
          <w:sz w:val="22"/>
          <w:szCs w:val="22"/>
        </w:rPr>
        <w:t>“</w:t>
      </w:r>
      <w:r w:rsidRPr="00582C28">
        <w:rPr>
          <w:rFonts w:ascii="Palatino Linotype" w:eastAsia="Palatino Linotype" w:hAnsi="Palatino Linotype" w:cs="Palatino Linotype"/>
          <w:b/>
          <w:i/>
          <w:sz w:val="22"/>
          <w:szCs w:val="22"/>
        </w:rPr>
        <w:t>Artículo 12</w:t>
      </w:r>
      <w:r w:rsidRPr="00582C28">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74707F4F" w14:textId="77777777" w:rsidR="00913325" w:rsidRPr="00582C28" w:rsidRDefault="00603069">
      <w:pPr>
        <w:pBdr>
          <w:top w:val="nil"/>
          <w:left w:val="nil"/>
          <w:bottom w:val="nil"/>
          <w:right w:val="nil"/>
          <w:between w:val="nil"/>
        </w:pBdr>
        <w:spacing w:before="240" w:after="240"/>
        <w:ind w:left="567" w:right="758"/>
        <w:jc w:val="both"/>
      </w:pPr>
      <w:r w:rsidRPr="00582C28">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AD10212" w14:textId="77777777" w:rsidR="00913325" w:rsidRPr="00582C28" w:rsidRDefault="00603069">
      <w:pPr>
        <w:pBdr>
          <w:top w:val="nil"/>
          <w:left w:val="nil"/>
          <w:bottom w:val="nil"/>
          <w:right w:val="nil"/>
          <w:between w:val="nil"/>
        </w:pBdr>
        <w:spacing w:before="240" w:after="240" w:line="360" w:lineRule="auto"/>
        <w:jc w:val="both"/>
        <w:rPr>
          <w:sz w:val="22"/>
          <w:szCs w:val="22"/>
        </w:rPr>
      </w:pPr>
      <w:r w:rsidRPr="00582C28">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582C28">
        <w:rPr>
          <w:rFonts w:ascii="Palatino Linotype" w:eastAsia="Palatino Linotype" w:hAnsi="Palatino Linotype" w:cs="Palatino Linotype"/>
          <w:b/>
          <w:sz w:val="22"/>
          <w:szCs w:val="22"/>
        </w:rPr>
        <w:t xml:space="preserve"> </w:t>
      </w:r>
      <w:r w:rsidRPr="00582C28">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582C28">
        <w:rPr>
          <w:rFonts w:ascii="Palatino Linotype" w:eastAsia="Palatino Linotype" w:hAnsi="Palatino Linotype" w:cs="Palatino Linotype"/>
          <w:i/>
          <w:sz w:val="22"/>
          <w:szCs w:val="22"/>
        </w:rPr>
        <w:t>ad hoc</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sz w:val="22"/>
          <w:szCs w:val="22"/>
        </w:rPr>
        <w:lastRenderedPageBreak/>
        <w:t>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5F49367E" w14:textId="77777777" w:rsidR="00913325" w:rsidRPr="00582C28" w:rsidRDefault="00603069">
      <w:pPr>
        <w:pBdr>
          <w:top w:val="nil"/>
          <w:left w:val="nil"/>
          <w:bottom w:val="nil"/>
          <w:right w:val="nil"/>
          <w:between w:val="nil"/>
        </w:pBdr>
        <w:spacing w:before="240" w:after="240"/>
        <w:ind w:left="567" w:right="900"/>
        <w:jc w:val="both"/>
      </w:pPr>
      <w:r w:rsidRPr="00582C28">
        <w:rPr>
          <w:rFonts w:ascii="Palatino Linotype" w:eastAsia="Palatino Linotype" w:hAnsi="Palatino Linotype" w:cs="Palatino Linotype"/>
          <w:b/>
          <w:i/>
          <w:sz w:val="22"/>
          <w:szCs w:val="22"/>
        </w:rPr>
        <w:t>03/17</w:t>
      </w:r>
    </w:p>
    <w:p w14:paraId="16BC6454" w14:textId="77777777" w:rsidR="00913325" w:rsidRPr="00582C28" w:rsidRDefault="00603069">
      <w:pPr>
        <w:pBdr>
          <w:top w:val="nil"/>
          <w:left w:val="nil"/>
          <w:bottom w:val="nil"/>
          <w:right w:val="nil"/>
          <w:between w:val="nil"/>
        </w:pBdr>
        <w:spacing w:before="240" w:after="240"/>
        <w:ind w:left="567" w:right="900"/>
        <w:jc w:val="both"/>
      </w:pPr>
      <w:r w:rsidRPr="00582C28">
        <w:rPr>
          <w:rFonts w:ascii="Palatino Linotype" w:eastAsia="Palatino Linotype" w:hAnsi="Palatino Linotype" w:cs="Palatino Linotype"/>
          <w:b/>
          <w:i/>
          <w:sz w:val="22"/>
          <w:szCs w:val="22"/>
        </w:rPr>
        <w:t>“NO EXISTE OBLIGACIÓN DE ELABORAR DOCUMENTOS AD HOC PARA ATENDER LAS SOLICITUDES DE ACCESO A LA INFORMACIÓN.</w:t>
      </w:r>
    </w:p>
    <w:p w14:paraId="5461BB36" w14:textId="77777777" w:rsidR="00913325" w:rsidRPr="00582C28" w:rsidRDefault="00603069">
      <w:pPr>
        <w:pBdr>
          <w:top w:val="nil"/>
          <w:left w:val="nil"/>
          <w:bottom w:val="nil"/>
          <w:right w:val="nil"/>
          <w:between w:val="nil"/>
        </w:pBdr>
        <w:spacing w:before="240" w:after="240"/>
        <w:ind w:left="567" w:right="900"/>
        <w:jc w:val="both"/>
      </w:pPr>
      <w:r w:rsidRPr="00582C28">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457F882" w14:textId="77777777" w:rsidR="00913325" w:rsidRPr="00582C28" w:rsidRDefault="00603069">
      <w:pPr>
        <w:pBdr>
          <w:top w:val="nil"/>
          <w:left w:val="nil"/>
          <w:bottom w:val="nil"/>
          <w:right w:val="nil"/>
          <w:between w:val="nil"/>
        </w:pBdr>
        <w:spacing w:before="240" w:after="240" w:line="360" w:lineRule="auto"/>
        <w:jc w:val="both"/>
        <w:rPr>
          <w:sz w:val="22"/>
          <w:szCs w:val="22"/>
        </w:rPr>
      </w:pPr>
      <w:r w:rsidRPr="00582C28">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E570A9" w14:textId="77777777" w:rsidR="00913325" w:rsidRPr="00582C28" w:rsidRDefault="00603069">
      <w:pPr>
        <w:pBdr>
          <w:top w:val="nil"/>
          <w:left w:val="nil"/>
          <w:bottom w:val="nil"/>
          <w:right w:val="nil"/>
          <w:between w:val="nil"/>
        </w:pBdr>
        <w:spacing w:before="240" w:after="240" w:line="360" w:lineRule="auto"/>
        <w:ind w:right="49"/>
        <w:jc w:val="both"/>
        <w:rPr>
          <w:sz w:val="22"/>
          <w:szCs w:val="22"/>
        </w:rPr>
      </w:pPr>
      <w:r w:rsidRPr="00582C2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61FF0A3" w14:textId="77777777" w:rsidR="00913325" w:rsidRPr="00582C28" w:rsidRDefault="0060306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5F971F" w14:textId="77777777" w:rsidR="00913325" w:rsidRPr="00582C28" w:rsidRDefault="00603069">
      <w:pPr>
        <w:pBdr>
          <w:top w:val="nil"/>
          <w:left w:val="nil"/>
          <w:bottom w:val="nil"/>
          <w:right w:val="nil"/>
          <w:between w:val="nil"/>
        </w:pBdr>
        <w:spacing w:before="240" w:after="240"/>
        <w:ind w:left="567" w:right="567"/>
        <w:jc w:val="both"/>
      </w:pPr>
      <w:r w:rsidRPr="00582C28">
        <w:rPr>
          <w:rFonts w:ascii="Palatino Linotype" w:eastAsia="Palatino Linotype" w:hAnsi="Palatino Linotype" w:cs="Palatino Linotype"/>
          <w:i/>
          <w:sz w:val="22"/>
          <w:szCs w:val="22"/>
        </w:rPr>
        <w:t>“</w:t>
      </w:r>
      <w:r w:rsidRPr="00582C28">
        <w:rPr>
          <w:rFonts w:ascii="Palatino Linotype" w:eastAsia="Palatino Linotype" w:hAnsi="Palatino Linotype" w:cs="Palatino Linotype"/>
          <w:b/>
          <w:i/>
          <w:sz w:val="22"/>
          <w:szCs w:val="22"/>
        </w:rPr>
        <w:t xml:space="preserve">Artículo 3. </w:t>
      </w:r>
      <w:r w:rsidRPr="00582C28">
        <w:rPr>
          <w:rFonts w:ascii="Palatino Linotype" w:eastAsia="Palatino Linotype" w:hAnsi="Palatino Linotype" w:cs="Palatino Linotype"/>
          <w:i/>
          <w:sz w:val="22"/>
          <w:szCs w:val="22"/>
        </w:rPr>
        <w:t>Para los efectos de la presente Ley se entenderá por:</w:t>
      </w:r>
    </w:p>
    <w:p w14:paraId="58356E68" w14:textId="77777777" w:rsidR="00913325" w:rsidRPr="00582C28" w:rsidRDefault="00603069">
      <w:pPr>
        <w:pBdr>
          <w:top w:val="nil"/>
          <w:left w:val="nil"/>
          <w:bottom w:val="nil"/>
          <w:right w:val="nil"/>
          <w:between w:val="nil"/>
        </w:pBdr>
        <w:spacing w:before="240" w:after="240"/>
        <w:ind w:left="567" w:right="567"/>
        <w:jc w:val="both"/>
      </w:pPr>
      <w:r w:rsidRPr="00582C28">
        <w:rPr>
          <w:rFonts w:ascii="Palatino Linotype" w:eastAsia="Palatino Linotype" w:hAnsi="Palatino Linotype" w:cs="Palatino Linotype"/>
          <w:i/>
          <w:sz w:val="22"/>
          <w:szCs w:val="22"/>
        </w:rPr>
        <w:t>…</w:t>
      </w:r>
    </w:p>
    <w:p w14:paraId="14D96639" w14:textId="77777777" w:rsidR="00913325" w:rsidRPr="00582C28" w:rsidRDefault="00603069">
      <w:pPr>
        <w:pBdr>
          <w:top w:val="nil"/>
          <w:left w:val="nil"/>
          <w:bottom w:val="nil"/>
          <w:right w:val="nil"/>
          <w:between w:val="nil"/>
        </w:pBdr>
        <w:spacing w:before="240" w:after="240"/>
        <w:ind w:left="567" w:right="567"/>
        <w:jc w:val="both"/>
      </w:pPr>
      <w:r w:rsidRPr="00582C28">
        <w:rPr>
          <w:rFonts w:ascii="Palatino Linotype" w:eastAsia="Palatino Linotype" w:hAnsi="Palatino Linotype" w:cs="Palatino Linotype"/>
          <w:b/>
          <w:i/>
          <w:sz w:val="22"/>
          <w:szCs w:val="22"/>
        </w:rPr>
        <w:t>XI. Documento:</w:t>
      </w:r>
      <w:r w:rsidRPr="00582C28">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82C28">
        <w:rPr>
          <w:rFonts w:ascii="Palatino Linotype" w:eastAsia="Palatino Linotype" w:hAnsi="Palatino Linotype" w:cs="Palatino Linotype"/>
          <w:b/>
          <w:i/>
          <w:sz w:val="22"/>
          <w:szCs w:val="22"/>
        </w:rPr>
        <w:t>…</w:t>
      </w:r>
      <w:r w:rsidRPr="00582C28">
        <w:rPr>
          <w:rFonts w:ascii="Palatino Linotype" w:eastAsia="Palatino Linotype" w:hAnsi="Palatino Linotype" w:cs="Palatino Linotype"/>
          <w:i/>
          <w:sz w:val="22"/>
          <w:szCs w:val="22"/>
        </w:rPr>
        <w:t>”</w:t>
      </w:r>
    </w:p>
    <w:p w14:paraId="73335565" w14:textId="77777777" w:rsidR="00913325" w:rsidRPr="00582C28" w:rsidRDefault="00603069">
      <w:pPr>
        <w:pBdr>
          <w:top w:val="nil"/>
          <w:left w:val="nil"/>
          <w:bottom w:val="nil"/>
          <w:right w:val="nil"/>
          <w:between w:val="nil"/>
        </w:pBdr>
        <w:spacing w:before="240" w:after="240" w:line="360" w:lineRule="auto"/>
        <w:jc w:val="both"/>
        <w:rPr>
          <w:sz w:val="22"/>
          <w:szCs w:val="22"/>
        </w:rPr>
      </w:pPr>
      <w:r w:rsidRPr="00582C2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36008D8" w14:textId="77777777" w:rsidR="00913325" w:rsidRPr="00582C28" w:rsidRDefault="00603069">
      <w:pPr>
        <w:pBdr>
          <w:top w:val="nil"/>
          <w:left w:val="nil"/>
          <w:bottom w:val="nil"/>
          <w:right w:val="nil"/>
          <w:between w:val="nil"/>
        </w:pBdr>
        <w:spacing w:before="240" w:after="240"/>
        <w:ind w:left="567" w:right="567"/>
        <w:jc w:val="both"/>
      </w:pPr>
      <w:r w:rsidRPr="00582C28">
        <w:rPr>
          <w:rFonts w:ascii="Palatino Linotype" w:eastAsia="Palatino Linotype" w:hAnsi="Palatino Linotype" w:cs="Palatino Linotype"/>
          <w:b/>
          <w:sz w:val="22"/>
          <w:szCs w:val="22"/>
        </w:rPr>
        <w:t>“</w:t>
      </w:r>
      <w:r w:rsidRPr="00582C28">
        <w:rPr>
          <w:rFonts w:ascii="Palatino Linotype" w:eastAsia="Palatino Linotype" w:hAnsi="Palatino Linotype" w:cs="Palatino Linotype"/>
          <w:b/>
          <w:i/>
          <w:sz w:val="22"/>
          <w:szCs w:val="22"/>
        </w:rPr>
        <w:t>CRITERIO 0002-11</w:t>
      </w:r>
    </w:p>
    <w:p w14:paraId="663FF167" w14:textId="77777777" w:rsidR="00913325" w:rsidRPr="00582C28" w:rsidRDefault="00603069">
      <w:pPr>
        <w:pBdr>
          <w:top w:val="nil"/>
          <w:left w:val="nil"/>
          <w:bottom w:val="nil"/>
          <w:right w:val="nil"/>
          <w:between w:val="nil"/>
        </w:pBdr>
        <w:spacing w:before="240" w:after="240"/>
        <w:ind w:left="567" w:right="567"/>
        <w:jc w:val="both"/>
      </w:pPr>
      <w:r w:rsidRPr="00582C2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82C2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582C28">
        <w:rPr>
          <w:rFonts w:ascii="Palatino Linotype" w:eastAsia="Palatino Linotype" w:hAnsi="Palatino Linotype" w:cs="Palatino Linotype"/>
          <w:i/>
          <w:sz w:val="22"/>
          <w:szCs w:val="22"/>
        </w:rPr>
        <w:lastRenderedPageBreak/>
        <w:t>en virtud del ejercicio de sus funciones de derecho público, sin importar su fuente, soporte o fecha de elaboración.</w:t>
      </w:r>
    </w:p>
    <w:p w14:paraId="3E1CD954" w14:textId="77777777" w:rsidR="00913325" w:rsidRPr="00582C28" w:rsidRDefault="00603069">
      <w:pPr>
        <w:pBdr>
          <w:top w:val="nil"/>
          <w:left w:val="nil"/>
          <w:bottom w:val="nil"/>
          <w:right w:val="nil"/>
          <w:between w:val="nil"/>
        </w:pBdr>
        <w:spacing w:before="240" w:after="240"/>
        <w:ind w:left="567" w:right="567"/>
        <w:jc w:val="both"/>
      </w:pPr>
      <w:r w:rsidRPr="00582C2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3CA4E58" w14:textId="77777777" w:rsidR="00913325" w:rsidRPr="00582C28" w:rsidRDefault="00603069">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32C7636" w14:textId="77777777" w:rsidR="00913325" w:rsidRPr="00582C28" w:rsidRDefault="00603069">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BBFD35A" w14:textId="77777777" w:rsidR="00913325" w:rsidRPr="00582C28" w:rsidRDefault="00603069">
      <w:pPr>
        <w:pBdr>
          <w:top w:val="nil"/>
          <w:left w:val="nil"/>
          <w:bottom w:val="nil"/>
          <w:right w:val="nil"/>
          <w:between w:val="nil"/>
        </w:pBdr>
        <w:spacing w:before="240" w:after="240"/>
        <w:ind w:left="567" w:right="567" w:hanging="284"/>
        <w:jc w:val="both"/>
      </w:pPr>
      <w:r w:rsidRPr="00582C28">
        <w:rPr>
          <w:rFonts w:ascii="Palatino Linotype" w:eastAsia="Palatino Linotype" w:hAnsi="Palatino Linotype" w:cs="Palatino Linotype"/>
          <w:i/>
          <w:sz w:val="22"/>
          <w:szCs w:val="22"/>
        </w:rPr>
        <w:t xml:space="preserve">3. </w:t>
      </w:r>
      <w:r w:rsidRPr="00582C28">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582C28">
        <w:rPr>
          <w:rFonts w:ascii="Palatino Linotype" w:eastAsia="Palatino Linotype" w:hAnsi="Palatino Linotype" w:cs="Palatino Linotype"/>
          <w:i/>
          <w:sz w:val="22"/>
          <w:szCs w:val="22"/>
        </w:rPr>
        <w:t>(Énfasis añadido)</w:t>
      </w:r>
    </w:p>
    <w:p w14:paraId="191C0674" w14:textId="77777777" w:rsidR="00913325" w:rsidRPr="00582C28" w:rsidRDefault="0060306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De ahí que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6330530D" w14:textId="77777777" w:rsidR="00913325" w:rsidRPr="00582C28" w:rsidRDefault="0060306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le proporcionara lo siguiente:</w:t>
      </w:r>
    </w:p>
    <w:p w14:paraId="4FEEFB6E" w14:textId="77777777" w:rsidR="00C33C33" w:rsidRPr="00582C28" w:rsidRDefault="00C33C33" w:rsidP="00C33C33">
      <w:pPr>
        <w:pStyle w:val="Prrafodelista"/>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582C28">
        <w:rPr>
          <w:rFonts w:ascii="Palatino Linotype" w:eastAsia="Palatino Linotype" w:hAnsi="Palatino Linotype" w:cs="Palatino Linotype"/>
          <w:b/>
          <w:sz w:val="22"/>
          <w:szCs w:val="22"/>
        </w:rPr>
        <w:t>Las cartillas del servicio militar del año 2023</w:t>
      </w:r>
    </w:p>
    <w:p w14:paraId="1E307F68" w14:textId="77777777" w:rsidR="00C33C33" w:rsidRPr="00582C28" w:rsidRDefault="00603069">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En tal tesitura, al tercer día hábil, el </w:t>
      </w:r>
      <w:r w:rsidRPr="00582C28">
        <w:rPr>
          <w:rFonts w:ascii="Palatino Linotype" w:eastAsia="Palatino Linotype" w:hAnsi="Palatino Linotype" w:cs="Palatino Linotype"/>
          <w:b/>
          <w:sz w:val="22"/>
          <w:szCs w:val="22"/>
        </w:rPr>
        <w:t xml:space="preserve">Sujeto Obligado </w:t>
      </w:r>
      <w:r w:rsidRPr="00582C28">
        <w:rPr>
          <w:rFonts w:ascii="Palatino Linotype" w:eastAsia="Palatino Linotype" w:hAnsi="Palatino Linotype" w:cs="Palatino Linotype"/>
          <w:sz w:val="22"/>
          <w:szCs w:val="22"/>
        </w:rPr>
        <w:t xml:space="preserve">emitió una declaratoria total de incompetencia para atender la solicitud de información, toda vez que a su consideración, </w:t>
      </w:r>
      <w:r w:rsidR="00C33C33" w:rsidRPr="00582C28">
        <w:rPr>
          <w:rFonts w:ascii="Palatino Linotype" w:eastAsia="Palatino Linotype" w:hAnsi="Palatino Linotype" w:cs="Palatino Linotype"/>
          <w:sz w:val="22"/>
          <w:szCs w:val="22"/>
        </w:rPr>
        <w:t xml:space="preserve">dicha información se encuentra en posesión de otro Sujeto Obligado en este caso de la </w:t>
      </w:r>
      <w:r w:rsidR="00C33C33" w:rsidRPr="00582C28">
        <w:rPr>
          <w:rFonts w:ascii="Palatino Linotype" w:eastAsia="Palatino Linotype" w:hAnsi="Palatino Linotype" w:cs="Palatino Linotype"/>
          <w:sz w:val="22"/>
          <w:szCs w:val="22"/>
        </w:rPr>
        <w:lastRenderedPageBreak/>
        <w:t>Secretaría de la Defensa Nacional (SEDENA), misma que cuenta con su propia Unidad de Transparencia.</w:t>
      </w:r>
    </w:p>
    <w:p w14:paraId="45948775" w14:textId="77777777" w:rsidR="00913325" w:rsidRPr="00582C28" w:rsidRDefault="00603069">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En esta tesitura, una vez conocida la respuesta emitida por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la parte Recurrente</w:t>
      </w:r>
      <w:r w:rsidRPr="00582C28">
        <w:rPr>
          <w:rFonts w:ascii="Palatino Linotype" w:eastAsia="Palatino Linotype" w:hAnsi="Palatino Linotype" w:cs="Palatino Linotype"/>
          <w:sz w:val="22"/>
          <w:szCs w:val="22"/>
        </w:rPr>
        <w:t xml:space="preserve">, al no estar conforme con los términos de la misma, interpuso el recurso de revisión que nos ocupa, inconformándose medularmente por la </w:t>
      </w:r>
      <w:r w:rsidR="00C33C33" w:rsidRPr="00582C28">
        <w:rPr>
          <w:rFonts w:ascii="Palatino Linotype" w:eastAsia="Palatino Linotype" w:hAnsi="Palatino Linotype" w:cs="Palatino Linotype"/>
          <w:sz w:val="22"/>
          <w:szCs w:val="22"/>
        </w:rPr>
        <w:t xml:space="preserve">incompetencia declarada por el </w:t>
      </w:r>
      <w:r w:rsidR="00C33C33" w:rsidRPr="00582C28">
        <w:rPr>
          <w:rFonts w:ascii="Palatino Linotype" w:eastAsia="Palatino Linotype" w:hAnsi="Palatino Linotype" w:cs="Palatino Linotype"/>
          <w:b/>
          <w:sz w:val="22"/>
          <w:szCs w:val="22"/>
        </w:rPr>
        <w:t>Sujeto Obligado</w:t>
      </w:r>
      <w:r w:rsidR="00C33C33" w:rsidRPr="00582C28">
        <w:rPr>
          <w:rFonts w:ascii="Palatino Linotype" w:eastAsia="Palatino Linotype" w:hAnsi="Palatino Linotype" w:cs="Palatino Linotype"/>
          <w:sz w:val="22"/>
          <w:szCs w:val="22"/>
        </w:rPr>
        <w:t>, toda vez que no se le presenta de manera correcta el acuerdo de incompetencia</w:t>
      </w:r>
    </w:p>
    <w:p w14:paraId="6E1D62B3" w14:textId="77777777" w:rsidR="00913325" w:rsidRPr="00582C28" w:rsidRDefault="0060306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Así las cosas, durante la etapa de manifestaciones e informe justificado, se tiene que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ratificó los términos de su pronunciamiento inicial vertido al momen</w:t>
      </w:r>
      <w:r w:rsidR="00C33C33" w:rsidRPr="00582C28">
        <w:rPr>
          <w:rFonts w:ascii="Palatino Linotype" w:eastAsia="Palatino Linotype" w:hAnsi="Palatino Linotype" w:cs="Palatino Linotype"/>
          <w:sz w:val="22"/>
          <w:szCs w:val="22"/>
        </w:rPr>
        <w:t xml:space="preserve">to de declarar su incompetencia, incluso adjunta el acuerdo emitido por el Comité de Transparencia en el que </w:t>
      </w:r>
      <w:r w:rsidR="00E634E1" w:rsidRPr="00582C28">
        <w:rPr>
          <w:rFonts w:ascii="Palatino Linotype" w:eastAsia="Palatino Linotype" w:hAnsi="Palatino Linotype" w:cs="Palatino Linotype"/>
          <w:sz w:val="22"/>
          <w:szCs w:val="22"/>
        </w:rPr>
        <w:t>aprueban la incompetencia total para atender la solicitud de información.</w:t>
      </w:r>
    </w:p>
    <w:p w14:paraId="78606D00" w14:textId="77777777" w:rsidR="00913325" w:rsidRPr="00582C28" w:rsidRDefault="0060306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Es de precisar que </w:t>
      </w:r>
      <w:r w:rsidRPr="00582C28">
        <w:rPr>
          <w:rFonts w:ascii="Palatino Linotype" w:eastAsia="Palatino Linotype" w:hAnsi="Palatino Linotype" w:cs="Palatino Linotype"/>
          <w:b/>
          <w:sz w:val="22"/>
          <w:szCs w:val="22"/>
        </w:rPr>
        <w:t>la parte Recurrente</w:t>
      </w:r>
      <w:r w:rsidRPr="00582C28">
        <w:rPr>
          <w:rFonts w:ascii="Palatino Linotype" w:eastAsia="Palatino Linotype" w:hAnsi="Palatino Linotype" w:cs="Palatino Linotype"/>
          <w:sz w:val="22"/>
          <w:szCs w:val="22"/>
        </w:rPr>
        <w:t xml:space="preserve"> fue omisa en pronunciarse en esta etapa, por lo tanto, se tuvo por precluido su prerrogativa para tal efecto y se procede en este acto a emitir la resolución que corresponda conforme a derecho.</w:t>
      </w:r>
    </w:p>
    <w:p w14:paraId="2642A27F" w14:textId="77777777" w:rsidR="00913325" w:rsidRPr="00582C28" w:rsidRDefault="00603069">
      <w:pPr>
        <w:spacing w:before="24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Una vez expuestas estas consideraciones, resulta necesario iniciar el presente análisis, señalando que las razones o motivos de inconformidad de </w:t>
      </w:r>
      <w:r w:rsidRPr="00582C28">
        <w:rPr>
          <w:rFonts w:ascii="Palatino Linotype" w:eastAsia="Palatino Linotype" w:hAnsi="Palatino Linotype" w:cs="Palatino Linotype"/>
          <w:b/>
          <w:sz w:val="22"/>
          <w:szCs w:val="22"/>
        </w:rPr>
        <w:t xml:space="preserve">la parte Recurrente </w:t>
      </w:r>
      <w:r w:rsidRPr="00582C28">
        <w:rPr>
          <w:rFonts w:ascii="Palatino Linotype" w:eastAsia="Palatino Linotype" w:hAnsi="Palatino Linotype" w:cs="Palatino Linotype"/>
          <w:sz w:val="22"/>
          <w:szCs w:val="22"/>
        </w:rPr>
        <w:t xml:space="preserve">devienen </w:t>
      </w:r>
      <w:r w:rsidRPr="00582C28">
        <w:rPr>
          <w:rFonts w:ascii="Palatino Linotype" w:eastAsia="Palatino Linotype" w:hAnsi="Palatino Linotype" w:cs="Palatino Linotype"/>
          <w:b/>
          <w:sz w:val="22"/>
          <w:szCs w:val="22"/>
        </w:rPr>
        <w:t>INFUNDADOS</w:t>
      </w:r>
      <w:r w:rsidRPr="00582C28">
        <w:rPr>
          <w:rFonts w:ascii="Palatino Linotype" w:eastAsia="Palatino Linotype" w:hAnsi="Palatino Linotype" w:cs="Palatino Linotype"/>
          <w:sz w:val="22"/>
          <w:szCs w:val="22"/>
        </w:rPr>
        <w:t xml:space="preserve"> por las consideraciones que se expondrán a continuación:</w:t>
      </w:r>
    </w:p>
    <w:p w14:paraId="6560A199" w14:textId="77777777" w:rsidR="00E634E1" w:rsidRPr="00582C28" w:rsidRDefault="00014D80">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De conformidad con el Reglamento Orgánico Municipal del Ayuntamiento de Zinacantepec, </w:t>
      </w:r>
      <w:r w:rsidR="00225CC3" w:rsidRPr="00582C28">
        <w:rPr>
          <w:rFonts w:ascii="Palatino Linotype" w:eastAsia="Palatino Linotype" w:hAnsi="Palatino Linotype" w:cs="Palatino Linotype"/>
          <w:sz w:val="22"/>
          <w:szCs w:val="22"/>
        </w:rPr>
        <w:t xml:space="preserve">vigente a la fecha de la solicitud, </w:t>
      </w:r>
      <w:r w:rsidRPr="00582C28">
        <w:rPr>
          <w:rFonts w:ascii="Palatino Linotype" w:eastAsia="Palatino Linotype" w:hAnsi="Palatino Linotype" w:cs="Palatino Linotype"/>
          <w:sz w:val="22"/>
          <w:szCs w:val="22"/>
        </w:rPr>
        <w:t>le corresponde a la Secretaría del Ayuntamiento, las siguientes atribuciones:</w:t>
      </w:r>
    </w:p>
    <w:p w14:paraId="47246504" w14:textId="77777777" w:rsidR="00014D80" w:rsidRPr="00582C28" w:rsidRDefault="00014D80" w:rsidP="00014D80">
      <w:pPr>
        <w:spacing w:before="240" w:after="240" w:line="276" w:lineRule="auto"/>
        <w:ind w:left="567" w:right="900"/>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“Artículo 43. La Secretaria del Ayuntamiento es la Unidad Administrativa encargada de brindar certeza jurídica a las acciones del Ayuntamiento y de las diversas Unidades Administrativas en su interrelación con la sociedad y otras instancias gubernamentales.</w:t>
      </w:r>
    </w:p>
    <w:p w14:paraId="5A441CA6" w14:textId="77777777" w:rsidR="00014D80" w:rsidRPr="00582C28" w:rsidRDefault="00014D80" w:rsidP="00014D80">
      <w:pPr>
        <w:spacing w:before="240" w:after="240" w:line="276" w:lineRule="auto"/>
        <w:ind w:left="567" w:right="900"/>
        <w:jc w:val="both"/>
        <w:rPr>
          <w:rFonts w:ascii="Palatino Linotype" w:eastAsia="Palatino Linotype" w:hAnsi="Palatino Linotype" w:cs="Palatino Linotype"/>
          <w:b/>
          <w:i/>
          <w:sz w:val="22"/>
          <w:szCs w:val="22"/>
        </w:rPr>
      </w:pPr>
      <w:r w:rsidRPr="00582C28">
        <w:rPr>
          <w:rFonts w:ascii="Palatino Linotype" w:eastAsia="Palatino Linotype" w:hAnsi="Palatino Linotype" w:cs="Palatino Linotype"/>
          <w:i/>
          <w:sz w:val="22"/>
          <w:szCs w:val="22"/>
        </w:rPr>
        <w:lastRenderedPageBreak/>
        <w:t xml:space="preserve">Artículo 44. Además de las previstas en las disposiciones normativas y administrativas en la materia, </w:t>
      </w:r>
      <w:r w:rsidRPr="00582C28">
        <w:rPr>
          <w:rFonts w:ascii="Palatino Linotype" w:eastAsia="Palatino Linotype" w:hAnsi="Palatino Linotype" w:cs="Palatino Linotype"/>
          <w:b/>
          <w:i/>
          <w:sz w:val="22"/>
          <w:szCs w:val="22"/>
        </w:rPr>
        <w:t>la Secretaría del Ayuntamiento tiene las siguientes funciones y atribuciones:</w:t>
      </w:r>
    </w:p>
    <w:p w14:paraId="020BF01D" w14:textId="77777777" w:rsidR="00014D80" w:rsidRPr="00582C28" w:rsidRDefault="00014D80" w:rsidP="00014D80">
      <w:pPr>
        <w:spacing w:before="240" w:after="240" w:line="276" w:lineRule="auto"/>
        <w:ind w:left="567" w:right="900"/>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w:t>
      </w:r>
    </w:p>
    <w:p w14:paraId="1F0739EA" w14:textId="77777777" w:rsidR="00014D80" w:rsidRPr="00582C28" w:rsidRDefault="00014D80" w:rsidP="00014D80">
      <w:pPr>
        <w:spacing w:before="240" w:after="240" w:line="276" w:lineRule="auto"/>
        <w:ind w:left="567" w:right="900"/>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b/>
          <w:i/>
          <w:sz w:val="22"/>
          <w:szCs w:val="22"/>
        </w:rPr>
        <w:t xml:space="preserve">VI. Realizar ante el </w:t>
      </w:r>
      <w:r w:rsidRPr="00582C28">
        <w:rPr>
          <w:rFonts w:ascii="Palatino Linotype" w:eastAsia="Palatino Linotype" w:hAnsi="Palatino Linotype" w:cs="Palatino Linotype"/>
          <w:b/>
          <w:i/>
          <w:sz w:val="22"/>
          <w:szCs w:val="22"/>
          <w:u w:val="single"/>
        </w:rPr>
        <w:t>Sistema Militar Nacional, dependiente de la Secretaría de la Defensa Nacional</w:t>
      </w:r>
      <w:r w:rsidRPr="00582C28">
        <w:rPr>
          <w:rFonts w:ascii="Palatino Linotype" w:eastAsia="Palatino Linotype" w:hAnsi="Palatino Linotype" w:cs="Palatino Linotype"/>
          <w:b/>
          <w:i/>
          <w:sz w:val="22"/>
          <w:szCs w:val="22"/>
        </w:rPr>
        <w:t>, los trámites necesarios para la expedición de pre cartillas</w:t>
      </w:r>
      <w:r w:rsidRPr="00582C28">
        <w:rPr>
          <w:rFonts w:ascii="Palatino Linotype" w:eastAsia="Palatino Linotype" w:hAnsi="Palatino Linotype" w:cs="Palatino Linotype"/>
          <w:i/>
          <w:sz w:val="22"/>
          <w:szCs w:val="22"/>
        </w:rPr>
        <w:t>;”</w:t>
      </w:r>
    </w:p>
    <w:p w14:paraId="73459462" w14:textId="77777777" w:rsidR="00014D80" w:rsidRPr="00582C28" w:rsidRDefault="00014D80" w:rsidP="00014D80">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En armonía con lo anteriormente citado, el  Manual General de Organización de la Administración Pública Municipal, </w:t>
      </w:r>
      <w:r w:rsidR="00225CC3" w:rsidRPr="00582C28">
        <w:rPr>
          <w:rFonts w:ascii="Palatino Linotype" w:eastAsia="Palatino Linotype" w:hAnsi="Palatino Linotype" w:cs="Palatino Linotype"/>
          <w:sz w:val="22"/>
          <w:szCs w:val="22"/>
        </w:rPr>
        <w:t xml:space="preserve">vigente a la fecha de la solicitud </w:t>
      </w:r>
      <w:r w:rsidRPr="00582C28">
        <w:rPr>
          <w:rFonts w:ascii="Palatino Linotype" w:eastAsia="Palatino Linotype" w:hAnsi="Palatino Linotype" w:cs="Palatino Linotype"/>
          <w:sz w:val="22"/>
          <w:szCs w:val="22"/>
        </w:rPr>
        <w:t>contempla lo siguiente sobre la Secretaría del Ayuntamiento:</w:t>
      </w:r>
    </w:p>
    <w:p w14:paraId="4F5A644B" w14:textId="77777777" w:rsidR="00014D80" w:rsidRPr="00582C28" w:rsidRDefault="00014D80" w:rsidP="00014D80">
      <w:pPr>
        <w:spacing w:before="240" w:after="240" w:line="276" w:lineRule="auto"/>
        <w:ind w:left="567" w:right="900"/>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“1.1.- SECRETARÍA DEL AYUNTAMIENTO.-</w:t>
      </w:r>
    </w:p>
    <w:p w14:paraId="59C67247" w14:textId="77777777" w:rsidR="00014D80" w:rsidRPr="00582C28" w:rsidRDefault="00014D80" w:rsidP="00014D80">
      <w:pPr>
        <w:spacing w:before="240" w:after="240" w:line="276" w:lineRule="auto"/>
        <w:ind w:left="567" w:right="900"/>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w:t>
      </w:r>
    </w:p>
    <w:p w14:paraId="2D1AF040" w14:textId="77777777" w:rsidR="00014D80" w:rsidRPr="00582C28" w:rsidRDefault="00014D80" w:rsidP="00014D80">
      <w:pPr>
        <w:spacing w:before="240" w:after="240" w:line="276" w:lineRule="auto"/>
        <w:ind w:left="567" w:right="900"/>
        <w:jc w:val="both"/>
        <w:rPr>
          <w:rFonts w:ascii="Palatino Linotype" w:eastAsia="Palatino Linotype" w:hAnsi="Palatino Linotype" w:cs="Palatino Linotype"/>
          <w:b/>
          <w:i/>
          <w:sz w:val="22"/>
          <w:szCs w:val="22"/>
        </w:rPr>
      </w:pPr>
      <w:r w:rsidRPr="00582C28">
        <w:rPr>
          <w:rFonts w:ascii="Palatino Linotype" w:eastAsia="Palatino Linotype" w:hAnsi="Palatino Linotype" w:cs="Palatino Linotype"/>
          <w:b/>
          <w:i/>
          <w:sz w:val="22"/>
          <w:szCs w:val="22"/>
        </w:rPr>
        <w:t>Promover que los jóvenes del municipio cumplan con el trámite para lo obtención de la Cartilla del Servicio Militar Nacional, cuidando que se les convoque con oportunidad en el territorio municipal;</w:t>
      </w:r>
    </w:p>
    <w:p w14:paraId="7D7F94A6" w14:textId="77777777" w:rsidR="00014D80" w:rsidRPr="00582C28" w:rsidRDefault="00014D80" w:rsidP="00014D80">
      <w:pPr>
        <w:spacing w:before="240" w:after="240" w:line="276" w:lineRule="auto"/>
        <w:ind w:left="567" w:right="900"/>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b/>
          <w:i/>
          <w:sz w:val="22"/>
          <w:szCs w:val="22"/>
          <w:u w:val="single"/>
        </w:rPr>
        <w:t>Verificar que se realice ante la Zona Militar dependiente de la Secretaría de la Defensa Nacional</w:t>
      </w:r>
      <w:r w:rsidRPr="00582C28">
        <w:rPr>
          <w:rFonts w:ascii="Palatino Linotype" w:eastAsia="Palatino Linotype" w:hAnsi="Palatino Linotype" w:cs="Palatino Linotype"/>
          <w:b/>
          <w:i/>
          <w:sz w:val="22"/>
          <w:szCs w:val="22"/>
        </w:rPr>
        <w:t>, los trámites necesarios para expedir las Cartillas de Identidad del Servicio Militar Nacional</w:t>
      </w:r>
      <w:r w:rsidRPr="00582C28">
        <w:rPr>
          <w:rFonts w:ascii="Palatino Linotype" w:eastAsia="Palatino Linotype" w:hAnsi="Palatino Linotype" w:cs="Palatino Linotype"/>
          <w:i/>
          <w:sz w:val="22"/>
          <w:szCs w:val="22"/>
        </w:rPr>
        <w:t>;” (Énfasis añadido)</w:t>
      </w:r>
    </w:p>
    <w:p w14:paraId="2276967F" w14:textId="77777777" w:rsidR="00E634E1" w:rsidRPr="00582C28" w:rsidRDefault="00225CC3">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De manera que </w:t>
      </w:r>
      <w:r w:rsidR="000A65C7" w:rsidRPr="00582C28">
        <w:rPr>
          <w:rFonts w:ascii="Palatino Linotype" w:eastAsia="Palatino Linotype" w:hAnsi="Palatino Linotype" w:cs="Palatino Linotype"/>
          <w:sz w:val="22"/>
          <w:szCs w:val="22"/>
        </w:rPr>
        <w:t>los preceptos previamente insertados contemplan que la Secretaría del Ayuntamiento únicamente promoverá, verificará y realizará ante el Sistema Militar, la tramitación de las pre-cartillas y cartillas, sin embargo, es de resaltar que la normatividad no contempla de manera expresa un involucramiento directo del Ayuntamiento de Zinacantepec para generar las cartillas de servicio militar.</w:t>
      </w:r>
    </w:p>
    <w:p w14:paraId="3A785915" w14:textId="77777777" w:rsidR="000A65C7" w:rsidRPr="00582C28" w:rsidRDefault="000A65C7" w:rsidP="00E0007F">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Es de precisar que si bien, la Ley del Servicio Militar, contempla en su artículo 42, la existencia de las Juntas Municipales de Reclutamiento, las cuales se conceptualizan como </w:t>
      </w:r>
      <w:r w:rsidRPr="00582C28">
        <w:rPr>
          <w:rFonts w:ascii="Palatino Linotype" w:eastAsia="Palatino Linotype" w:hAnsi="Palatino Linotype" w:cs="Palatino Linotype"/>
          <w:sz w:val="22"/>
          <w:szCs w:val="22"/>
        </w:rPr>
        <w:lastRenderedPageBreak/>
        <w:t xml:space="preserve">la dependencia de la Administración Pública Municipal, encargada de fungir como enlace entre el H. Ayuntamiento Municipal y la Zona Militar, con la finalidad fortalecer la relación y la atención de los asuntos en materia de las Cartillas de Identidad del Servicio Militar Nacional; así mismo, realizar el empadronamiento de todos los individuos de edad militar y el reconocimiento médico, así como la recepción de todas las reclamaciones y solicitudes, no menos cierto es que de conformidad con el </w:t>
      </w:r>
      <w:r w:rsidR="00E0007F" w:rsidRPr="00582C28">
        <w:rPr>
          <w:rFonts w:ascii="Palatino Linotype" w:eastAsia="Palatino Linotype" w:hAnsi="Palatino Linotype" w:cs="Palatino Linotype"/>
          <w:sz w:val="22"/>
          <w:szCs w:val="22"/>
        </w:rPr>
        <w:t xml:space="preserve">Procedimiento Sistemático de operar para ser empleado durante las fases del alistamiento y sorteo, así como para el funcionamiento de las Juntas Municipales de Reclutamiento en Actividades relativas al Servicio Militar Nacional, señala que </w:t>
      </w:r>
      <w:r w:rsidR="00E0007F" w:rsidRPr="00582C28">
        <w:rPr>
          <w:rFonts w:ascii="Palatino Linotype" w:eastAsia="Palatino Linotype" w:hAnsi="Palatino Linotype" w:cs="Palatino Linotype"/>
          <w:b/>
          <w:i/>
          <w:sz w:val="22"/>
          <w:szCs w:val="22"/>
        </w:rPr>
        <w:t xml:space="preserve">LAS JUNTAS MUNICIPALES DE RECLUTAMIENTO </w:t>
      </w:r>
      <w:r w:rsidR="00E0007F" w:rsidRPr="00582C28">
        <w:rPr>
          <w:rFonts w:ascii="Palatino Linotype" w:eastAsia="Palatino Linotype" w:hAnsi="Palatino Linotype" w:cs="Palatino Linotype"/>
          <w:b/>
          <w:i/>
          <w:sz w:val="22"/>
          <w:szCs w:val="22"/>
          <w:u w:val="single"/>
        </w:rPr>
        <w:t>DEPENDEN ADMINISTRATIVA Y TÉCNICAMENTE</w:t>
      </w:r>
      <w:r w:rsidR="00E0007F" w:rsidRPr="00582C28">
        <w:rPr>
          <w:rFonts w:ascii="Palatino Linotype" w:eastAsia="Palatino Linotype" w:hAnsi="Palatino Linotype" w:cs="Palatino Linotype"/>
          <w:b/>
          <w:i/>
          <w:sz w:val="22"/>
          <w:szCs w:val="22"/>
        </w:rPr>
        <w:t xml:space="preserve"> DE LA OFICINA DE RECLUTAMIENTO DE LA ZONA MILITAR A LA QUE ESTEN JURISDICCIONADAS, EN LO RELATIVO A LAS TAREAS DEL SERVICIO MILITAR NACIONAL, </w:t>
      </w:r>
      <w:r w:rsidR="00E0007F" w:rsidRPr="00582C28">
        <w:rPr>
          <w:rFonts w:ascii="Palatino Linotype" w:eastAsia="Palatino Linotype" w:hAnsi="Palatino Linotype" w:cs="Palatino Linotype"/>
          <w:sz w:val="22"/>
          <w:szCs w:val="22"/>
        </w:rPr>
        <w:t>lo cual al desglosarlo significa lo siguiente:</w:t>
      </w:r>
    </w:p>
    <w:p w14:paraId="35FE5764" w14:textId="77777777" w:rsidR="00E0007F" w:rsidRPr="00582C28" w:rsidRDefault="00E0007F" w:rsidP="00E0007F">
      <w:pPr>
        <w:spacing w:before="240" w:after="240" w:line="360" w:lineRule="auto"/>
        <w:ind w:right="49"/>
        <w:jc w:val="both"/>
        <w:rPr>
          <w:rFonts w:ascii="Palatino Linotype" w:eastAsia="Palatino Linotype" w:hAnsi="Palatino Linotype" w:cs="Palatino Linotype"/>
          <w:b/>
          <w:bCs/>
          <w:sz w:val="22"/>
          <w:szCs w:val="22"/>
        </w:rPr>
      </w:pPr>
      <w:r w:rsidRPr="00582C28">
        <w:rPr>
          <w:rFonts w:ascii="Palatino Linotype" w:eastAsia="Palatino Linotype" w:hAnsi="Palatino Linotype" w:cs="Palatino Linotype"/>
          <w:b/>
          <w:bCs/>
          <w:sz w:val="22"/>
          <w:szCs w:val="22"/>
        </w:rPr>
        <w:t>1. Dependencia Administrativa</w:t>
      </w:r>
    </w:p>
    <w:p w14:paraId="796B6C38" w14:textId="77777777" w:rsidR="00E0007F" w:rsidRPr="00582C28" w:rsidRDefault="00E0007F" w:rsidP="00E0007F">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Significa que la </w:t>
      </w:r>
      <w:r w:rsidRPr="00582C28">
        <w:rPr>
          <w:rFonts w:ascii="Palatino Linotype" w:eastAsia="Palatino Linotype" w:hAnsi="Palatino Linotype" w:cs="Palatino Linotype"/>
          <w:b/>
          <w:bCs/>
          <w:sz w:val="22"/>
          <w:szCs w:val="22"/>
        </w:rPr>
        <w:t>Junta de Reclutamiento</w:t>
      </w:r>
      <w:r w:rsidRPr="00582C28">
        <w:rPr>
          <w:rFonts w:ascii="Palatino Linotype" w:eastAsia="Palatino Linotype" w:hAnsi="Palatino Linotype" w:cs="Palatino Linotype"/>
          <w:sz w:val="22"/>
          <w:szCs w:val="22"/>
        </w:rPr>
        <w:t>:</w:t>
      </w:r>
    </w:p>
    <w:p w14:paraId="292398D5" w14:textId="77777777" w:rsidR="00E0007F" w:rsidRPr="00582C28" w:rsidRDefault="00E0007F" w:rsidP="00E0007F">
      <w:pPr>
        <w:numPr>
          <w:ilvl w:val="0"/>
          <w:numId w:val="6"/>
        </w:num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Recibe instrucciones de la </w:t>
      </w:r>
      <w:r w:rsidRPr="00582C28">
        <w:rPr>
          <w:rFonts w:ascii="Palatino Linotype" w:eastAsia="Palatino Linotype" w:hAnsi="Palatino Linotype" w:cs="Palatino Linotype"/>
          <w:b/>
          <w:bCs/>
          <w:sz w:val="22"/>
          <w:szCs w:val="22"/>
        </w:rPr>
        <w:t>Oficina de Reclutamiento Militar</w:t>
      </w:r>
      <w:r w:rsidRPr="00582C28">
        <w:rPr>
          <w:rFonts w:ascii="Palatino Linotype" w:eastAsia="Palatino Linotype" w:hAnsi="Palatino Linotype" w:cs="Palatino Linotype"/>
          <w:sz w:val="22"/>
          <w:szCs w:val="22"/>
        </w:rPr>
        <w:t xml:space="preserve"> sobre cómo organizarse y operar.</w:t>
      </w:r>
    </w:p>
    <w:p w14:paraId="55AAD9DA" w14:textId="77777777" w:rsidR="00E0007F" w:rsidRPr="00582C28" w:rsidRDefault="00E0007F" w:rsidP="00E0007F">
      <w:pPr>
        <w:numPr>
          <w:ilvl w:val="0"/>
          <w:numId w:val="6"/>
        </w:num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Su </w:t>
      </w:r>
      <w:r w:rsidRPr="00582C28">
        <w:rPr>
          <w:rFonts w:ascii="Palatino Linotype" w:eastAsia="Palatino Linotype" w:hAnsi="Palatino Linotype" w:cs="Palatino Linotype"/>
          <w:b/>
          <w:bCs/>
          <w:sz w:val="22"/>
          <w:szCs w:val="22"/>
        </w:rPr>
        <w:t>estructura interna</w:t>
      </w:r>
      <w:r w:rsidRPr="00582C28">
        <w:rPr>
          <w:rFonts w:ascii="Palatino Linotype" w:eastAsia="Palatino Linotype" w:hAnsi="Palatino Linotype" w:cs="Palatino Linotype"/>
          <w:sz w:val="22"/>
          <w:szCs w:val="22"/>
        </w:rPr>
        <w:t>, uso de recursos, personal y funcionamiento cotidiano están alineados con lo que dispone esa oficina.</w:t>
      </w:r>
    </w:p>
    <w:p w14:paraId="16745C0F" w14:textId="77777777" w:rsidR="00E0007F" w:rsidRPr="00582C28" w:rsidRDefault="00E0007F" w:rsidP="00E0007F">
      <w:pPr>
        <w:numPr>
          <w:ilvl w:val="0"/>
          <w:numId w:val="6"/>
        </w:num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Puede estar sujeta a </w:t>
      </w:r>
      <w:r w:rsidRPr="00582C28">
        <w:rPr>
          <w:rFonts w:ascii="Palatino Linotype" w:eastAsia="Palatino Linotype" w:hAnsi="Palatino Linotype" w:cs="Palatino Linotype"/>
          <w:b/>
          <w:bCs/>
          <w:sz w:val="22"/>
          <w:szCs w:val="22"/>
        </w:rPr>
        <w:t>supervisión y control administrativo</w:t>
      </w:r>
      <w:r w:rsidRPr="00582C28">
        <w:rPr>
          <w:rFonts w:ascii="Palatino Linotype" w:eastAsia="Palatino Linotype" w:hAnsi="Palatino Linotype" w:cs="Palatino Linotype"/>
          <w:sz w:val="22"/>
          <w:szCs w:val="22"/>
        </w:rPr>
        <w:t xml:space="preserve"> directo del Ejército (SEDENA), no del Ayuntamiento.</w:t>
      </w:r>
    </w:p>
    <w:p w14:paraId="08FC7974" w14:textId="77777777" w:rsidR="00E0007F" w:rsidRPr="00582C28" w:rsidRDefault="00E0007F" w:rsidP="00E0007F">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 En este modelo, </w:t>
      </w:r>
      <w:r w:rsidRPr="00582C28">
        <w:rPr>
          <w:rFonts w:ascii="Palatino Linotype" w:eastAsia="Palatino Linotype" w:hAnsi="Palatino Linotype" w:cs="Palatino Linotype"/>
          <w:b/>
          <w:bCs/>
          <w:sz w:val="22"/>
          <w:szCs w:val="22"/>
        </w:rPr>
        <w:t>ya no depende del municipio para su administración</w:t>
      </w:r>
      <w:r w:rsidRPr="00582C28">
        <w:rPr>
          <w:rFonts w:ascii="Palatino Linotype" w:eastAsia="Palatino Linotype" w:hAnsi="Palatino Linotype" w:cs="Palatino Linotype"/>
          <w:sz w:val="22"/>
          <w:szCs w:val="22"/>
        </w:rPr>
        <w:t>, sino directamente de la autoridad militar.</w:t>
      </w:r>
    </w:p>
    <w:p w14:paraId="58CC0DFD" w14:textId="77777777" w:rsidR="00E0007F" w:rsidRPr="00582C28" w:rsidRDefault="00E0007F" w:rsidP="00E0007F">
      <w:pPr>
        <w:spacing w:before="240" w:after="240" w:line="360" w:lineRule="auto"/>
        <w:ind w:right="49"/>
        <w:jc w:val="both"/>
        <w:rPr>
          <w:rFonts w:ascii="Palatino Linotype" w:eastAsia="Palatino Linotype" w:hAnsi="Palatino Linotype" w:cs="Palatino Linotype"/>
          <w:b/>
          <w:bCs/>
          <w:sz w:val="22"/>
          <w:szCs w:val="22"/>
        </w:rPr>
      </w:pPr>
      <w:r w:rsidRPr="00582C28">
        <w:rPr>
          <w:rFonts w:ascii="Palatino Linotype" w:eastAsia="Palatino Linotype" w:hAnsi="Palatino Linotype" w:cs="Palatino Linotype"/>
          <w:b/>
          <w:bCs/>
          <w:sz w:val="22"/>
          <w:szCs w:val="22"/>
        </w:rPr>
        <w:lastRenderedPageBreak/>
        <w:t xml:space="preserve"> 2. Dependencia Técnica</w:t>
      </w:r>
    </w:p>
    <w:p w14:paraId="27417B41" w14:textId="77777777" w:rsidR="00E0007F" w:rsidRPr="00582C28" w:rsidRDefault="00E0007F" w:rsidP="00E0007F">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Esto significa que:</w:t>
      </w:r>
    </w:p>
    <w:p w14:paraId="16222603" w14:textId="77777777" w:rsidR="00E0007F" w:rsidRPr="00582C28" w:rsidRDefault="00E0007F" w:rsidP="00E0007F">
      <w:pPr>
        <w:numPr>
          <w:ilvl w:val="0"/>
          <w:numId w:val="7"/>
        </w:num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La Junta sigue </w:t>
      </w:r>
      <w:r w:rsidRPr="00582C28">
        <w:rPr>
          <w:rFonts w:ascii="Palatino Linotype" w:eastAsia="Palatino Linotype" w:hAnsi="Palatino Linotype" w:cs="Palatino Linotype"/>
          <w:b/>
          <w:bCs/>
          <w:sz w:val="22"/>
          <w:szCs w:val="22"/>
        </w:rPr>
        <w:t>normas, procedimientos y formatos</w:t>
      </w:r>
      <w:r w:rsidRPr="00582C28">
        <w:rPr>
          <w:rFonts w:ascii="Palatino Linotype" w:eastAsia="Palatino Linotype" w:hAnsi="Palatino Linotype" w:cs="Palatino Linotype"/>
          <w:sz w:val="22"/>
          <w:szCs w:val="22"/>
        </w:rPr>
        <w:t xml:space="preserve"> establecidos por la </w:t>
      </w:r>
      <w:r w:rsidRPr="00582C28">
        <w:rPr>
          <w:rFonts w:ascii="Palatino Linotype" w:eastAsia="Palatino Linotype" w:hAnsi="Palatino Linotype" w:cs="Palatino Linotype"/>
          <w:b/>
          <w:bCs/>
          <w:sz w:val="22"/>
          <w:szCs w:val="22"/>
        </w:rPr>
        <w:t>SEDENA</w:t>
      </w:r>
      <w:r w:rsidRPr="00582C28">
        <w:rPr>
          <w:rFonts w:ascii="Palatino Linotype" w:eastAsia="Palatino Linotype" w:hAnsi="Palatino Linotype" w:cs="Palatino Linotype"/>
          <w:sz w:val="22"/>
          <w:szCs w:val="22"/>
        </w:rPr>
        <w:t>, a través de su Oficina de Reclutamiento.</w:t>
      </w:r>
    </w:p>
    <w:p w14:paraId="3718F9D0" w14:textId="77777777" w:rsidR="00E0007F" w:rsidRPr="00582C28" w:rsidRDefault="00E0007F" w:rsidP="00E0007F">
      <w:pPr>
        <w:numPr>
          <w:ilvl w:val="0"/>
          <w:numId w:val="7"/>
        </w:num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Toda la operación técnica (recepción de documentos, clasificación, sorteos, liberación de cartillas, etc.) se realiza conforme a </w:t>
      </w:r>
      <w:r w:rsidRPr="00582C28">
        <w:rPr>
          <w:rFonts w:ascii="Palatino Linotype" w:eastAsia="Palatino Linotype" w:hAnsi="Palatino Linotype" w:cs="Palatino Linotype"/>
          <w:b/>
          <w:bCs/>
          <w:sz w:val="22"/>
          <w:szCs w:val="22"/>
        </w:rPr>
        <w:t>manuales, reglamentos y directrices militares</w:t>
      </w:r>
      <w:r w:rsidRPr="00582C28">
        <w:rPr>
          <w:rFonts w:ascii="Palatino Linotype" w:eastAsia="Palatino Linotype" w:hAnsi="Palatino Linotype" w:cs="Palatino Linotype"/>
          <w:sz w:val="22"/>
          <w:szCs w:val="22"/>
        </w:rPr>
        <w:t>.</w:t>
      </w:r>
    </w:p>
    <w:p w14:paraId="5434674B" w14:textId="77777777" w:rsidR="00E0007F" w:rsidRPr="00582C28" w:rsidRDefault="00E0007F" w:rsidP="00E0007F">
      <w:pPr>
        <w:numPr>
          <w:ilvl w:val="0"/>
          <w:numId w:val="7"/>
        </w:num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bCs/>
          <w:sz w:val="22"/>
          <w:szCs w:val="22"/>
        </w:rPr>
        <w:t>No tiene autonomía</w:t>
      </w:r>
      <w:r w:rsidRPr="00582C28">
        <w:rPr>
          <w:rFonts w:ascii="Palatino Linotype" w:eastAsia="Palatino Linotype" w:hAnsi="Palatino Linotype" w:cs="Palatino Linotype"/>
          <w:sz w:val="22"/>
          <w:szCs w:val="22"/>
        </w:rPr>
        <w:t xml:space="preserve"> para modificar criterios, emitir resoluciones distintas o establecer nuevas reglas.</w:t>
      </w:r>
    </w:p>
    <w:p w14:paraId="796B9411" w14:textId="77777777" w:rsidR="00E0007F" w:rsidRPr="00582C28" w:rsidRDefault="00E0007F" w:rsidP="00E0007F">
      <w:pPr>
        <w:spacing w:before="240" w:after="240" w:line="360" w:lineRule="auto"/>
        <w:ind w:right="49"/>
        <w:jc w:val="both"/>
        <w:rPr>
          <w:rFonts w:ascii="Palatino Linotype" w:eastAsia="Palatino Linotype" w:hAnsi="Palatino Linotype" w:cs="Palatino Linotype"/>
          <w:b/>
          <w:bCs/>
          <w:sz w:val="22"/>
          <w:szCs w:val="22"/>
        </w:rPr>
      </w:pPr>
      <w:r w:rsidRPr="00582C28">
        <w:rPr>
          <w:rFonts w:ascii="Palatino Linotype" w:eastAsia="Palatino Linotype" w:hAnsi="Palatino Linotype" w:cs="Palatino Linotype"/>
          <w:b/>
          <w:bCs/>
          <w:sz w:val="22"/>
          <w:szCs w:val="22"/>
        </w:rPr>
        <w:t>¿Qué implica esta doble dependencia?</w:t>
      </w:r>
    </w:p>
    <w:p w14:paraId="2F1C38A1" w14:textId="77777777" w:rsidR="00E0007F" w:rsidRPr="00582C28" w:rsidRDefault="00E0007F" w:rsidP="00E0007F">
      <w:pPr>
        <w:numPr>
          <w:ilvl w:val="0"/>
          <w:numId w:val="8"/>
        </w:num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La Junta </w:t>
      </w:r>
      <w:r w:rsidRPr="00582C28">
        <w:rPr>
          <w:rFonts w:ascii="Palatino Linotype" w:eastAsia="Palatino Linotype" w:hAnsi="Palatino Linotype" w:cs="Palatino Linotype"/>
          <w:b/>
          <w:bCs/>
          <w:sz w:val="22"/>
          <w:szCs w:val="22"/>
        </w:rPr>
        <w:t>forma parte del sistema institucional militar</w:t>
      </w:r>
      <w:r w:rsidRPr="00582C28">
        <w:rPr>
          <w:rFonts w:ascii="Palatino Linotype" w:eastAsia="Palatino Linotype" w:hAnsi="Palatino Linotype" w:cs="Palatino Linotype"/>
          <w:sz w:val="22"/>
          <w:szCs w:val="22"/>
        </w:rPr>
        <w:t xml:space="preserve">, ya no como un auxiliar del municipio, sino como una </w:t>
      </w:r>
      <w:r w:rsidRPr="00582C28">
        <w:rPr>
          <w:rFonts w:ascii="Palatino Linotype" w:eastAsia="Palatino Linotype" w:hAnsi="Palatino Linotype" w:cs="Palatino Linotype"/>
          <w:b/>
          <w:bCs/>
          <w:sz w:val="22"/>
          <w:szCs w:val="22"/>
        </w:rPr>
        <w:t>extensión directa de la autoridad militar</w:t>
      </w:r>
      <w:r w:rsidRPr="00582C28">
        <w:rPr>
          <w:rFonts w:ascii="Palatino Linotype" w:eastAsia="Palatino Linotype" w:hAnsi="Palatino Linotype" w:cs="Palatino Linotype"/>
          <w:sz w:val="22"/>
          <w:szCs w:val="22"/>
        </w:rPr>
        <w:t>.</w:t>
      </w:r>
    </w:p>
    <w:p w14:paraId="68B5340E" w14:textId="77777777" w:rsidR="00225CC3" w:rsidRPr="00582C28" w:rsidRDefault="00E0007F" w:rsidP="00163594">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Por lo tanto, no sería posible para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proporcionar la información solicitada por </w:t>
      </w:r>
      <w:r w:rsidRPr="00582C28">
        <w:rPr>
          <w:rFonts w:ascii="Palatino Linotype" w:eastAsia="Palatino Linotype" w:hAnsi="Palatino Linotype" w:cs="Palatino Linotype"/>
          <w:b/>
          <w:sz w:val="22"/>
          <w:szCs w:val="22"/>
        </w:rPr>
        <w:t>la parte Recurrente</w:t>
      </w:r>
      <w:r w:rsidRPr="00582C28">
        <w:rPr>
          <w:rFonts w:ascii="Palatino Linotype" w:eastAsia="Palatino Linotype" w:hAnsi="Palatino Linotype" w:cs="Palatino Linotype"/>
          <w:sz w:val="22"/>
          <w:szCs w:val="22"/>
        </w:rPr>
        <w:t>, en razón de que</w:t>
      </w:r>
      <w:r w:rsidR="00163594" w:rsidRPr="00582C28">
        <w:rPr>
          <w:rFonts w:ascii="Palatino Linotype" w:eastAsia="Palatino Linotype" w:hAnsi="Palatino Linotype" w:cs="Palatino Linotype"/>
          <w:sz w:val="22"/>
          <w:szCs w:val="22"/>
        </w:rPr>
        <w:t xml:space="preserve"> el</w:t>
      </w:r>
      <w:r w:rsidRPr="00582C28">
        <w:rPr>
          <w:rFonts w:ascii="Palatino Linotype" w:eastAsia="Palatino Linotype" w:hAnsi="Palatino Linotype" w:cs="Palatino Linotype"/>
          <w:sz w:val="22"/>
          <w:szCs w:val="22"/>
        </w:rPr>
        <w:t xml:space="preserve"> Ayuntamiento de </w:t>
      </w:r>
      <w:r w:rsidR="00163594" w:rsidRPr="00582C28">
        <w:rPr>
          <w:rFonts w:ascii="Palatino Linotype" w:eastAsia="Palatino Linotype" w:hAnsi="Palatino Linotype" w:cs="Palatino Linotype"/>
          <w:sz w:val="22"/>
          <w:szCs w:val="22"/>
        </w:rPr>
        <w:t>Zinacantepec</w:t>
      </w:r>
      <w:r w:rsidRPr="00582C28">
        <w:rPr>
          <w:rFonts w:ascii="Palatino Linotype" w:eastAsia="Palatino Linotype" w:hAnsi="Palatino Linotype" w:cs="Palatino Linotype"/>
          <w:sz w:val="22"/>
          <w:szCs w:val="22"/>
        </w:rPr>
        <w:t xml:space="preserve"> no</w:t>
      </w:r>
      <w:r w:rsidR="00163594" w:rsidRPr="00582C28">
        <w:rPr>
          <w:rFonts w:ascii="Palatino Linotype" w:eastAsia="Palatino Linotype" w:hAnsi="Palatino Linotype" w:cs="Palatino Linotype"/>
          <w:sz w:val="22"/>
          <w:szCs w:val="22"/>
        </w:rPr>
        <w:t xml:space="preserve"> se encarga de la expedición de las cartillas militares</w:t>
      </w:r>
      <w:r w:rsidRPr="00582C28">
        <w:rPr>
          <w:rFonts w:ascii="Palatino Linotype" w:eastAsia="Palatino Linotype" w:hAnsi="Palatino Linotype" w:cs="Palatino Linotype"/>
          <w:sz w:val="22"/>
          <w:szCs w:val="22"/>
        </w:rPr>
        <w:t xml:space="preserve">, por lo tanto, es dable afirmar que tal como lo afirmó desde su declaratoria de incompetencia,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no es susceptible de contar con la información requerida.</w:t>
      </w:r>
    </w:p>
    <w:p w14:paraId="0A9AE670" w14:textId="77777777" w:rsidR="00163594" w:rsidRPr="00582C28" w:rsidRDefault="00603069" w:rsidP="00163594">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Una vez </w:t>
      </w:r>
      <w:r w:rsidR="00163594" w:rsidRPr="00582C28">
        <w:rPr>
          <w:rFonts w:ascii="Palatino Linotype" w:eastAsia="Palatino Linotype" w:hAnsi="Palatino Linotype" w:cs="Palatino Linotype"/>
          <w:sz w:val="22"/>
          <w:szCs w:val="22"/>
        </w:rPr>
        <w:t xml:space="preserve">establecido lo anterior, conviene traer a colación </w:t>
      </w:r>
      <w:r w:rsidR="00163594" w:rsidRPr="00582C28">
        <w:rPr>
          <w:rFonts w:ascii="Palatino Linotype" w:hAnsi="Palatino Linotype"/>
        </w:rPr>
        <w:t>lo siguiente:</w:t>
      </w:r>
    </w:p>
    <w:p w14:paraId="738718FF" w14:textId="77777777" w:rsidR="00163594" w:rsidRPr="00582C28" w:rsidRDefault="00163594" w:rsidP="00163594">
      <w:pPr>
        <w:ind w:left="1080" w:right="918"/>
        <w:jc w:val="both"/>
        <w:rPr>
          <w:rFonts w:ascii="Palatino Linotype" w:eastAsia="Calibri" w:hAnsi="Palatino Linotype" w:cs="Calibri"/>
          <w:b/>
          <w:i/>
          <w:sz w:val="22"/>
          <w:szCs w:val="22"/>
        </w:rPr>
      </w:pPr>
      <w:r w:rsidRPr="00582C28">
        <w:rPr>
          <w:rFonts w:ascii="Palatino Linotype" w:hAnsi="Palatino Linotype"/>
          <w:b/>
          <w:i/>
          <w:sz w:val="22"/>
          <w:szCs w:val="22"/>
        </w:rPr>
        <w:t>“LEY ORGÁNICA DEL EJÉRCITO Y FUERZA AÉREA MEXICANOS</w:t>
      </w:r>
    </w:p>
    <w:p w14:paraId="20D6E553" w14:textId="77777777" w:rsidR="00163594" w:rsidRPr="00582C28" w:rsidRDefault="00163594" w:rsidP="00163594">
      <w:pPr>
        <w:ind w:left="1080" w:right="918"/>
        <w:jc w:val="both"/>
        <w:rPr>
          <w:rFonts w:ascii="Palatino Linotype" w:eastAsia="Calibri" w:hAnsi="Palatino Linotype" w:cs="Calibri"/>
          <w:b/>
          <w:i/>
          <w:sz w:val="22"/>
          <w:szCs w:val="22"/>
        </w:rPr>
      </w:pPr>
      <w:r w:rsidRPr="00582C28">
        <w:rPr>
          <w:rFonts w:ascii="Palatino Linotype" w:eastAsia="Calibri" w:hAnsi="Palatino Linotype" w:cs="Calibri"/>
          <w:b/>
          <w:i/>
          <w:sz w:val="22"/>
          <w:szCs w:val="22"/>
        </w:rPr>
        <w:t xml:space="preserve">ARTICULO </w:t>
      </w:r>
    </w:p>
    <w:p w14:paraId="6F287033" w14:textId="77777777" w:rsidR="00163594" w:rsidRPr="00582C28" w:rsidRDefault="00163594" w:rsidP="00163594">
      <w:pPr>
        <w:ind w:left="1080" w:right="918"/>
        <w:jc w:val="both"/>
        <w:rPr>
          <w:rFonts w:ascii="Palatino Linotype" w:eastAsia="Calibri" w:hAnsi="Palatino Linotype" w:cs="Calibri"/>
          <w:b/>
          <w:i/>
          <w:sz w:val="22"/>
          <w:szCs w:val="22"/>
        </w:rPr>
      </w:pPr>
    </w:p>
    <w:p w14:paraId="7D654691" w14:textId="77777777" w:rsidR="00163594" w:rsidRPr="00582C28" w:rsidRDefault="00163594" w:rsidP="00163594">
      <w:pPr>
        <w:ind w:left="1080" w:right="918"/>
        <w:jc w:val="both"/>
        <w:rPr>
          <w:rFonts w:ascii="Palatino Linotype" w:eastAsia="Calibri" w:hAnsi="Palatino Linotype" w:cs="Calibri"/>
          <w:i/>
          <w:sz w:val="22"/>
          <w:szCs w:val="22"/>
        </w:rPr>
      </w:pPr>
      <w:r w:rsidRPr="00582C28">
        <w:rPr>
          <w:rFonts w:ascii="Palatino Linotype" w:eastAsia="Calibri" w:hAnsi="Palatino Linotype" w:cs="Calibri"/>
          <w:i/>
          <w:sz w:val="22"/>
          <w:szCs w:val="22"/>
        </w:rPr>
        <w:t xml:space="preserve">35. </w:t>
      </w:r>
      <w:r w:rsidRPr="00582C28">
        <w:rPr>
          <w:rFonts w:ascii="Palatino Linotype" w:eastAsia="Calibri" w:hAnsi="Palatino Linotype" w:cs="Calibri"/>
          <w:i/>
          <w:sz w:val="22"/>
          <w:szCs w:val="22"/>
          <w:u w:val="single"/>
        </w:rPr>
        <w:t>La persona titular de la Secretaría de la Defensa Nacional ejercerá el Mando de las Fuerzas a través de</w:t>
      </w:r>
      <w:r w:rsidRPr="00582C28">
        <w:rPr>
          <w:rFonts w:ascii="Palatino Linotype" w:eastAsia="Calibri" w:hAnsi="Palatino Linotype" w:cs="Calibri"/>
          <w:i/>
          <w:sz w:val="22"/>
          <w:szCs w:val="22"/>
        </w:rPr>
        <w:t xml:space="preserve"> la persona Comandante del Ejército o de la </w:t>
      </w:r>
      <w:r w:rsidRPr="00582C28">
        <w:rPr>
          <w:rFonts w:ascii="Palatino Linotype" w:eastAsia="Calibri" w:hAnsi="Palatino Linotype" w:cs="Calibri"/>
          <w:i/>
          <w:sz w:val="22"/>
          <w:szCs w:val="22"/>
        </w:rPr>
        <w:lastRenderedPageBreak/>
        <w:t xml:space="preserve">Fuerza Aérea, y de las personas Comandantes de las Regiones Militares y Aéreas, de las </w:t>
      </w:r>
      <w:r w:rsidRPr="00582C28">
        <w:rPr>
          <w:rFonts w:ascii="Palatino Linotype" w:eastAsia="Calibri" w:hAnsi="Palatino Linotype" w:cs="Calibri"/>
          <w:i/>
          <w:sz w:val="22"/>
          <w:szCs w:val="22"/>
          <w:u w:val="single"/>
        </w:rPr>
        <w:t>Zonas Militares</w:t>
      </w:r>
      <w:r w:rsidRPr="00582C28">
        <w:rPr>
          <w:rFonts w:ascii="Palatino Linotype" w:eastAsia="Calibri" w:hAnsi="Palatino Linotype" w:cs="Calibri"/>
          <w:i/>
          <w:sz w:val="22"/>
          <w:szCs w:val="22"/>
        </w:rPr>
        <w:t>, de las Bases Aéreas Militares y de las personas Comandantes de Unidades del Ejército o de la Fuerza Aérea, sin perjuicio de ejercerlo directamente cuando así se requiera por motivos del Servicio.”</w:t>
      </w:r>
    </w:p>
    <w:p w14:paraId="31511433" w14:textId="77777777" w:rsidR="00163594" w:rsidRPr="00582C28" w:rsidRDefault="00163594" w:rsidP="00163594">
      <w:pPr>
        <w:spacing w:after="160" w:line="360" w:lineRule="auto"/>
        <w:contextualSpacing/>
        <w:jc w:val="both"/>
        <w:rPr>
          <w:rFonts w:ascii="Palatino Linotype" w:hAnsi="Palatino Linotype"/>
        </w:rPr>
      </w:pPr>
    </w:p>
    <w:p w14:paraId="0E80B52F" w14:textId="77777777" w:rsidR="00163594" w:rsidRPr="00582C28" w:rsidRDefault="00163594" w:rsidP="00163594">
      <w:pPr>
        <w:spacing w:after="160" w:line="360" w:lineRule="auto"/>
        <w:contextualSpacing/>
        <w:jc w:val="both"/>
        <w:rPr>
          <w:rFonts w:ascii="Palatino Linotype" w:hAnsi="Palatino Linotype"/>
          <w:sz w:val="22"/>
        </w:rPr>
      </w:pPr>
      <w:r w:rsidRPr="00582C28">
        <w:rPr>
          <w:rFonts w:ascii="Palatino Linotype" w:hAnsi="Palatino Linotype"/>
          <w:sz w:val="22"/>
        </w:rPr>
        <w:t xml:space="preserve">De acuerdo a lo anterior, la persona titular de la Secretaría de la Defensa Nacional ejercerá el Mando de las Fuerzas a través de Zonas Militares, siendo eso un </w:t>
      </w:r>
      <w:r w:rsidRPr="00582C28">
        <w:rPr>
          <w:rFonts w:ascii="Palatino Linotype" w:hAnsi="Palatino Linotype"/>
          <w:b/>
          <w:sz w:val="22"/>
        </w:rPr>
        <w:t xml:space="preserve">Sujeto Obligado </w:t>
      </w:r>
      <w:r w:rsidRPr="00582C28">
        <w:rPr>
          <w:rFonts w:ascii="Palatino Linotype" w:hAnsi="Palatino Linotype"/>
          <w:sz w:val="22"/>
        </w:rPr>
        <w:t xml:space="preserve">diverso al que se le plantea la solicitud de información que dio origen al recurso de revisión citado al rubro. </w:t>
      </w:r>
    </w:p>
    <w:p w14:paraId="7AB37894" w14:textId="77777777" w:rsidR="00163594" w:rsidRPr="00582C28" w:rsidRDefault="00163594" w:rsidP="00163594">
      <w:pPr>
        <w:spacing w:after="160" w:line="360" w:lineRule="auto"/>
        <w:contextualSpacing/>
        <w:jc w:val="both"/>
        <w:rPr>
          <w:rFonts w:ascii="Palatino Linotype" w:hAnsi="Palatino Linotype"/>
        </w:rPr>
      </w:pPr>
    </w:p>
    <w:p w14:paraId="5225C1EC" w14:textId="77777777" w:rsidR="00163594" w:rsidRPr="00582C28" w:rsidRDefault="00163594" w:rsidP="00163594">
      <w:pPr>
        <w:spacing w:line="360" w:lineRule="auto"/>
        <w:ind w:right="-147"/>
        <w:contextualSpacing/>
        <w:jc w:val="both"/>
        <w:rPr>
          <w:rFonts w:ascii="Palatino Linotype" w:eastAsia="Palatino Linotype" w:hAnsi="Palatino Linotype" w:cs="Palatino Linotype"/>
          <w:sz w:val="22"/>
        </w:rPr>
      </w:pPr>
      <w:r w:rsidRPr="00582C28">
        <w:rPr>
          <w:rFonts w:ascii="Palatino Linotype" w:eastAsia="Palatino Linotype" w:hAnsi="Palatino Linotype" w:cs="Palatino Linotype"/>
          <w:sz w:val="22"/>
        </w:rPr>
        <w:t xml:space="preserve">Lo que se robustece con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el veintiuno de noviembre de dos mil veintitrés en el Periódico Oficial “Gaceta del Gobierno”, tal como se muestra a continuación: </w:t>
      </w:r>
    </w:p>
    <w:p w14:paraId="0D8D53D4" w14:textId="0821686D" w:rsidR="00163594" w:rsidRPr="00582C28" w:rsidRDefault="00945CD1" w:rsidP="00163594">
      <w:pPr>
        <w:spacing w:after="160" w:line="360" w:lineRule="auto"/>
        <w:jc w:val="both"/>
        <w:rPr>
          <w:rFonts w:ascii="Calibri" w:eastAsia="Calibri" w:hAnsi="Calibri" w:cs="Calibri"/>
          <w:noProof/>
          <w:sz w:val="22"/>
          <w:szCs w:val="22"/>
        </w:rPr>
      </w:pPr>
      <w:r w:rsidRPr="00582C28">
        <w:rPr>
          <w:rFonts w:ascii="Calibri" w:eastAsia="Calibri" w:hAnsi="Calibri" w:cs="Calibri"/>
          <w:noProof/>
          <w:sz w:val="22"/>
          <w:szCs w:val="22"/>
        </w:rPr>
        <w:drawing>
          <wp:inline distT="0" distB="0" distL="0" distR="0" wp14:anchorId="47C64FFB" wp14:editId="3882AC86">
            <wp:extent cx="5639435" cy="3168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35" cy="316865"/>
                    </a:xfrm>
                    <a:prstGeom prst="rect">
                      <a:avLst/>
                    </a:prstGeom>
                    <a:noFill/>
                  </pic:spPr>
                </pic:pic>
              </a:graphicData>
            </a:graphic>
          </wp:inline>
        </w:drawing>
      </w:r>
    </w:p>
    <w:p w14:paraId="60BB0596" w14:textId="1374006E" w:rsidR="00945CD1" w:rsidRPr="00582C28" w:rsidRDefault="00945CD1" w:rsidP="00163594">
      <w:pPr>
        <w:spacing w:after="160" w:line="360" w:lineRule="auto"/>
        <w:jc w:val="both"/>
        <w:rPr>
          <w:rFonts w:ascii="Palatino Linotype" w:eastAsia="Calibri" w:hAnsi="Palatino Linotype" w:cs="Calibri"/>
          <w:szCs w:val="22"/>
        </w:rPr>
      </w:pPr>
      <w:r w:rsidRPr="00582C28">
        <w:rPr>
          <w:rFonts w:ascii="Palatino Linotype" w:eastAsia="Calibri" w:hAnsi="Palatino Linotype" w:cs="Calibri"/>
          <w:noProof/>
          <w:szCs w:val="22"/>
        </w:rPr>
        <w:drawing>
          <wp:inline distT="0" distB="0" distL="0" distR="0" wp14:anchorId="6441356E" wp14:editId="6BE566A7">
            <wp:extent cx="5612130" cy="304800"/>
            <wp:effectExtent l="19050" t="19050" r="2667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04800"/>
                    </a:xfrm>
                    <a:prstGeom prst="rect">
                      <a:avLst/>
                    </a:prstGeom>
                    <a:ln>
                      <a:solidFill>
                        <a:sysClr val="windowText" lastClr="000000"/>
                      </a:solidFill>
                    </a:ln>
                  </pic:spPr>
                </pic:pic>
              </a:graphicData>
            </a:graphic>
          </wp:inline>
        </w:drawing>
      </w:r>
    </w:p>
    <w:p w14:paraId="01D59E5F" w14:textId="77777777" w:rsidR="00163594" w:rsidRPr="00582C28" w:rsidRDefault="00163594" w:rsidP="00163594">
      <w:pPr>
        <w:spacing w:line="360" w:lineRule="auto"/>
        <w:ind w:right="-147"/>
        <w:contextualSpacing/>
        <w:jc w:val="both"/>
        <w:rPr>
          <w:rFonts w:ascii="Palatino Linotype" w:eastAsia="Palatino Linotype" w:hAnsi="Palatino Linotype" w:cs="Palatino Linotype"/>
          <w:sz w:val="22"/>
        </w:rPr>
      </w:pPr>
      <w:r w:rsidRPr="00582C28">
        <w:rPr>
          <w:rFonts w:ascii="Palatino Linotype" w:eastAsia="Palatino Linotype" w:hAnsi="Palatino Linotype" w:cs="Palatino Linotype"/>
          <w:sz w:val="22"/>
        </w:rPr>
        <w:t xml:space="preserve">Además de la acuerdo al Padrón de Sujetos Obligados del Ámbito Federal, en Términos de la Ley General de Transparencia y Acceso a la Información Pública el Pleno del Instituto Nacional de Transparencia, Acceso a la Información y Protección de Datos Personales, determina como tal como Sujeto Obligado al Centro Federal de Conciliación y Registro Federal, tal como se muestra a continuación: </w:t>
      </w:r>
    </w:p>
    <w:p w14:paraId="7B295862" w14:textId="77777777" w:rsidR="00163594" w:rsidRPr="00582C28" w:rsidRDefault="00163594" w:rsidP="00163594">
      <w:pPr>
        <w:spacing w:before="240" w:after="240" w:line="360" w:lineRule="auto"/>
        <w:contextualSpacing/>
        <w:jc w:val="both"/>
        <w:rPr>
          <w:rFonts w:ascii="Palatino Linotype" w:hAnsi="Palatino Linotype"/>
        </w:rPr>
      </w:pPr>
      <w:r w:rsidRPr="00582C28">
        <w:rPr>
          <w:rFonts w:ascii="Calibri" w:eastAsia="Calibri" w:hAnsi="Calibri" w:cs="Calibri"/>
          <w:noProof/>
          <w:sz w:val="22"/>
          <w:szCs w:val="22"/>
        </w:rPr>
        <w:lastRenderedPageBreak/>
        <w:drawing>
          <wp:inline distT="0" distB="0" distL="0" distR="0" wp14:anchorId="07331622" wp14:editId="4DE4CDCC">
            <wp:extent cx="5467350" cy="1085015"/>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52" t="46771" r="16497" b="29995"/>
                    <a:stretch/>
                  </pic:blipFill>
                  <pic:spPr bwMode="auto">
                    <a:xfrm>
                      <a:off x="0" y="0"/>
                      <a:ext cx="5510279" cy="1093534"/>
                    </a:xfrm>
                    <a:prstGeom prst="rect">
                      <a:avLst/>
                    </a:prstGeom>
                    <a:ln>
                      <a:noFill/>
                    </a:ln>
                    <a:extLst>
                      <a:ext uri="{53640926-AAD7-44D8-BBD7-CCE9431645EC}">
                        <a14:shadowObscured xmlns:a14="http://schemas.microsoft.com/office/drawing/2010/main"/>
                      </a:ext>
                    </a:extLst>
                  </pic:spPr>
                </pic:pic>
              </a:graphicData>
            </a:graphic>
          </wp:inline>
        </w:drawing>
      </w:r>
    </w:p>
    <w:p w14:paraId="7C309871" w14:textId="77777777" w:rsidR="00163594" w:rsidRPr="00582C28" w:rsidRDefault="00163594" w:rsidP="00163594">
      <w:pPr>
        <w:spacing w:before="240" w:after="240" w:line="360" w:lineRule="auto"/>
        <w:contextualSpacing/>
        <w:jc w:val="both"/>
        <w:rPr>
          <w:rFonts w:ascii="Palatino Linotype" w:hAnsi="Palatino Linotype"/>
        </w:rPr>
      </w:pPr>
      <w:r w:rsidRPr="00582C28">
        <w:rPr>
          <w:rFonts w:ascii="Calibri" w:eastAsia="Calibri" w:hAnsi="Calibri" w:cs="Calibri"/>
          <w:noProof/>
          <w:sz w:val="22"/>
          <w:szCs w:val="22"/>
        </w:rPr>
        <w:drawing>
          <wp:inline distT="0" distB="0" distL="0" distR="0" wp14:anchorId="5DB7F4D5" wp14:editId="75387487">
            <wp:extent cx="5443171" cy="361950"/>
            <wp:effectExtent l="0" t="0" r="571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160" t="50392" r="15479" b="41762"/>
                    <a:stretch/>
                  </pic:blipFill>
                  <pic:spPr bwMode="auto">
                    <a:xfrm>
                      <a:off x="0" y="0"/>
                      <a:ext cx="5475840" cy="364122"/>
                    </a:xfrm>
                    <a:prstGeom prst="rect">
                      <a:avLst/>
                    </a:prstGeom>
                    <a:ln>
                      <a:noFill/>
                    </a:ln>
                    <a:extLst>
                      <a:ext uri="{53640926-AAD7-44D8-BBD7-CCE9431645EC}">
                        <a14:shadowObscured xmlns:a14="http://schemas.microsoft.com/office/drawing/2010/main"/>
                      </a:ext>
                    </a:extLst>
                  </pic:spPr>
                </pic:pic>
              </a:graphicData>
            </a:graphic>
          </wp:inline>
        </w:drawing>
      </w:r>
    </w:p>
    <w:p w14:paraId="6F552D18" w14:textId="77777777" w:rsidR="00163594" w:rsidRPr="00582C28" w:rsidRDefault="00163594" w:rsidP="00163594">
      <w:pPr>
        <w:spacing w:before="240" w:after="240" w:line="360" w:lineRule="auto"/>
        <w:contextualSpacing/>
        <w:jc w:val="both"/>
        <w:rPr>
          <w:rFonts w:ascii="Palatino Linotype" w:hAnsi="Palatino Linotype"/>
        </w:rPr>
      </w:pPr>
    </w:p>
    <w:p w14:paraId="31AFF046" w14:textId="77777777" w:rsidR="00163594" w:rsidRPr="00582C28" w:rsidRDefault="00163594" w:rsidP="00163594">
      <w:pPr>
        <w:spacing w:line="360" w:lineRule="auto"/>
        <w:ind w:right="-147"/>
        <w:jc w:val="both"/>
        <w:rPr>
          <w:rFonts w:ascii="Palatino Linotype" w:eastAsia="Palatino Linotype" w:hAnsi="Palatino Linotype" w:cs="Palatino Linotype"/>
          <w:sz w:val="22"/>
        </w:rPr>
      </w:pPr>
      <w:r w:rsidRPr="00582C28">
        <w:rPr>
          <w:rFonts w:ascii="Palatino Linotype" w:eastAsia="Palatino Linotype" w:hAnsi="Palatino Linotype" w:cs="Palatino Linotype"/>
          <w:sz w:val="22"/>
        </w:rPr>
        <w:t xml:space="preserve">Conforme a lo anterior, se reitera  que </w:t>
      </w:r>
      <w:r w:rsidRPr="00582C28">
        <w:rPr>
          <w:rFonts w:ascii="Palatino Linotype" w:eastAsia="Palatino Linotype" w:hAnsi="Palatino Linotype" w:cs="Palatino Linotype"/>
          <w:b/>
          <w:sz w:val="22"/>
        </w:rPr>
        <w:t>el Sujeto Obligado</w:t>
      </w:r>
      <w:r w:rsidRPr="00582C28">
        <w:rPr>
          <w:rFonts w:ascii="Palatino Linotype" w:eastAsia="Palatino Linotype" w:hAnsi="Palatino Linotype" w:cs="Palatino Linotype"/>
          <w:sz w:val="22"/>
        </w:rPr>
        <w:t xml:space="preserve"> actualmente a la fecha de la solicitud no tiene atribuciones para contar con la información peticionada, toda vez que es información de un sujeto obligado diverso.</w:t>
      </w:r>
    </w:p>
    <w:p w14:paraId="45A17F54" w14:textId="77777777" w:rsidR="00913325" w:rsidRPr="00582C28" w:rsidRDefault="00603069" w:rsidP="00163594">
      <w:pPr>
        <w:spacing w:before="240" w:after="240" w:line="360" w:lineRule="auto"/>
        <w:ind w:right="49"/>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Por lo anterior queda de manifiesto que </w:t>
      </w:r>
      <w:r w:rsidR="00163594" w:rsidRPr="00582C28">
        <w:rPr>
          <w:rFonts w:ascii="Palatino Linotype" w:eastAsia="Palatino Linotype" w:hAnsi="Palatino Linotype" w:cs="Palatino Linotype"/>
          <w:sz w:val="22"/>
          <w:szCs w:val="22"/>
        </w:rPr>
        <w:t>la Secretaría de la Defensa Nacional</w:t>
      </w:r>
      <w:r w:rsidR="00163594" w:rsidRPr="00582C28">
        <w:rPr>
          <w:rFonts w:ascii="Palatino Linotype" w:eastAsia="Palatino Linotype" w:hAnsi="Palatino Linotype" w:cs="Palatino Linotype"/>
          <w:b/>
          <w:sz w:val="22"/>
          <w:szCs w:val="22"/>
        </w:rPr>
        <w:t xml:space="preserve"> </w:t>
      </w:r>
      <w:r w:rsidRPr="00582C28">
        <w:rPr>
          <w:rFonts w:ascii="Palatino Linotype" w:eastAsia="Palatino Linotype" w:hAnsi="Palatino Linotype" w:cs="Palatino Linotype"/>
          <w:sz w:val="22"/>
          <w:szCs w:val="22"/>
        </w:rPr>
        <w:t xml:space="preserve">es la </w:t>
      </w:r>
      <w:r w:rsidR="00163594" w:rsidRPr="00582C28">
        <w:rPr>
          <w:rFonts w:ascii="Palatino Linotype" w:eastAsia="Palatino Linotype" w:hAnsi="Palatino Linotype" w:cs="Palatino Linotype"/>
          <w:sz w:val="22"/>
          <w:szCs w:val="22"/>
        </w:rPr>
        <w:t>dependencia de la administración pública federal es la dependencia encargada de contar con la información solicitada, no así e</w:t>
      </w:r>
      <w:r w:rsidRPr="00582C28">
        <w:rPr>
          <w:rFonts w:ascii="Palatino Linotype" w:eastAsia="Palatino Linotype" w:hAnsi="Palatino Linotype" w:cs="Palatino Linotype"/>
          <w:sz w:val="22"/>
          <w:szCs w:val="22"/>
        </w:rPr>
        <w:t xml:space="preserve">l </w:t>
      </w:r>
      <w:r w:rsidR="00163594" w:rsidRPr="00582C28">
        <w:rPr>
          <w:rFonts w:ascii="Palatino Linotype" w:eastAsia="Palatino Linotype" w:hAnsi="Palatino Linotype" w:cs="Palatino Linotype"/>
          <w:sz w:val="22"/>
          <w:szCs w:val="22"/>
        </w:rPr>
        <w:t>Ayuntamiento de Zinacantepec</w:t>
      </w:r>
      <w:r w:rsidRPr="00582C28">
        <w:rPr>
          <w:rFonts w:ascii="Palatino Linotype" w:eastAsia="Palatino Linotype" w:hAnsi="Palatino Linotype" w:cs="Palatino Linotype"/>
          <w:sz w:val="22"/>
          <w:szCs w:val="22"/>
        </w:rPr>
        <w:t xml:space="preserve">, por lo tanto, para este Organismo Garante se tiene por acreditada la falta de atribuciones por parte del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para atender el requerimiento de información. </w:t>
      </w:r>
    </w:p>
    <w:p w14:paraId="5F9E8172" w14:textId="77777777" w:rsidR="00913325" w:rsidRPr="00582C28" w:rsidRDefault="00603069">
      <w:pPr>
        <w:spacing w:line="360" w:lineRule="auto"/>
        <w:ind w:right="49"/>
        <w:jc w:val="both"/>
        <w:rPr>
          <w:rFonts w:ascii="Palatino Linotype" w:eastAsia="Palatino Linotype" w:hAnsi="Palatino Linotype" w:cs="Palatino Linotype"/>
          <w:sz w:val="22"/>
          <w:szCs w:val="22"/>
        </w:rPr>
      </w:pPr>
      <w:bookmarkStart w:id="9" w:name="_heading=h.lnxbz9" w:colFirst="0" w:colLast="0"/>
      <w:bookmarkEnd w:id="9"/>
      <w:r w:rsidRPr="00582C28">
        <w:rPr>
          <w:rFonts w:ascii="Palatino Linotype" w:eastAsia="Palatino Linotype" w:hAnsi="Palatino Linotype" w:cs="Palatino Linotype"/>
          <w:sz w:val="22"/>
          <w:szCs w:val="22"/>
        </w:rPr>
        <w:t xml:space="preserve">Dicho lo anterior, es de recordar que respecto a la Declaración de Incompetencia la Ley de Transparencia y Acceso a la Información Pública del Estado de México, establece, en los artículos 49, fracción II y 167, lo siguiente: </w:t>
      </w:r>
    </w:p>
    <w:p w14:paraId="5ED8DAA3" w14:textId="77777777" w:rsidR="00913325" w:rsidRPr="00582C28" w:rsidRDefault="00913325">
      <w:pPr>
        <w:tabs>
          <w:tab w:val="left" w:pos="1134"/>
        </w:tabs>
        <w:spacing w:line="360" w:lineRule="auto"/>
        <w:ind w:left="567" w:right="902"/>
        <w:jc w:val="both"/>
        <w:rPr>
          <w:rFonts w:ascii="Palatino Linotype" w:eastAsia="Palatino Linotype" w:hAnsi="Palatino Linotype" w:cs="Palatino Linotype"/>
          <w:i/>
          <w:sz w:val="22"/>
          <w:szCs w:val="22"/>
        </w:rPr>
      </w:pPr>
    </w:p>
    <w:p w14:paraId="40489274" w14:textId="77777777" w:rsidR="00913325" w:rsidRPr="00582C28" w:rsidRDefault="00603069">
      <w:pPr>
        <w:tabs>
          <w:tab w:val="left" w:pos="1134"/>
          <w:tab w:val="left" w:pos="1276"/>
        </w:tabs>
        <w:spacing w:line="276" w:lineRule="auto"/>
        <w:ind w:left="567" w:right="902"/>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i/>
          <w:sz w:val="22"/>
          <w:szCs w:val="22"/>
        </w:rPr>
        <w:t>“</w:t>
      </w:r>
      <w:r w:rsidRPr="00582C28">
        <w:rPr>
          <w:rFonts w:ascii="Palatino Linotype" w:eastAsia="Palatino Linotype" w:hAnsi="Palatino Linotype" w:cs="Palatino Linotype"/>
          <w:b/>
          <w:i/>
          <w:sz w:val="22"/>
          <w:szCs w:val="22"/>
        </w:rPr>
        <w:t>Artículo 49.</w:t>
      </w:r>
      <w:r w:rsidRPr="00582C28">
        <w:rPr>
          <w:rFonts w:ascii="Palatino Linotype" w:eastAsia="Palatino Linotype" w:hAnsi="Palatino Linotype" w:cs="Palatino Linotype"/>
          <w:i/>
          <w:sz w:val="22"/>
          <w:szCs w:val="22"/>
        </w:rPr>
        <w:t xml:space="preserve"> </w:t>
      </w:r>
      <w:r w:rsidRPr="00582C28">
        <w:rPr>
          <w:rFonts w:ascii="Palatino Linotype" w:eastAsia="Palatino Linotype" w:hAnsi="Palatino Linotype" w:cs="Palatino Linotype"/>
          <w:b/>
          <w:i/>
          <w:sz w:val="22"/>
          <w:szCs w:val="22"/>
        </w:rPr>
        <w:t>Los Comités de Transparencia</w:t>
      </w:r>
      <w:r w:rsidRPr="00582C28">
        <w:rPr>
          <w:rFonts w:ascii="Palatino Linotype" w:eastAsia="Palatino Linotype" w:hAnsi="Palatino Linotype" w:cs="Palatino Linotype"/>
          <w:i/>
          <w:sz w:val="22"/>
          <w:szCs w:val="22"/>
        </w:rPr>
        <w:t xml:space="preserve"> tendrán las siguientes atribuciones:</w:t>
      </w:r>
    </w:p>
    <w:p w14:paraId="3B2753EB" w14:textId="77777777" w:rsidR="00913325" w:rsidRPr="00582C28" w:rsidRDefault="00603069">
      <w:pPr>
        <w:tabs>
          <w:tab w:val="left" w:pos="1134"/>
        </w:tabs>
        <w:spacing w:line="276" w:lineRule="auto"/>
        <w:ind w:left="567" w:right="902"/>
        <w:jc w:val="both"/>
        <w:rPr>
          <w:rFonts w:ascii="Palatino Linotype" w:eastAsia="Palatino Linotype" w:hAnsi="Palatino Linotype" w:cs="Palatino Linotype"/>
          <w:b/>
          <w:i/>
          <w:sz w:val="22"/>
          <w:szCs w:val="22"/>
        </w:rPr>
      </w:pPr>
      <w:r w:rsidRPr="00582C28">
        <w:rPr>
          <w:rFonts w:ascii="Palatino Linotype" w:eastAsia="Palatino Linotype" w:hAnsi="Palatino Linotype" w:cs="Palatino Linotype"/>
          <w:b/>
          <w:i/>
          <w:sz w:val="22"/>
          <w:szCs w:val="22"/>
        </w:rPr>
        <w:t>...</w:t>
      </w:r>
    </w:p>
    <w:p w14:paraId="6ECB27CC" w14:textId="77777777" w:rsidR="00913325" w:rsidRPr="00582C28" w:rsidRDefault="00603069">
      <w:pPr>
        <w:tabs>
          <w:tab w:val="left" w:pos="1134"/>
        </w:tabs>
        <w:spacing w:line="276" w:lineRule="auto"/>
        <w:ind w:left="567" w:right="902"/>
        <w:jc w:val="both"/>
        <w:rPr>
          <w:rFonts w:ascii="Palatino Linotype" w:eastAsia="Palatino Linotype" w:hAnsi="Palatino Linotype" w:cs="Palatino Linotype"/>
          <w:b/>
          <w:i/>
          <w:sz w:val="22"/>
          <w:szCs w:val="22"/>
          <w:u w:val="single"/>
        </w:rPr>
      </w:pPr>
      <w:r w:rsidRPr="00582C28">
        <w:rPr>
          <w:rFonts w:ascii="Palatino Linotype" w:eastAsia="Palatino Linotype" w:hAnsi="Palatino Linotype" w:cs="Palatino Linotype"/>
          <w:b/>
          <w:i/>
          <w:sz w:val="22"/>
          <w:szCs w:val="22"/>
        </w:rPr>
        <w:t>II.</w:t>
      </w:r>
      <w:r w:rsidRPr="00582C28">
        <w:rPr>
          <w:rFonts w:ascii="Calibri" w:eastAsia="Calibri" w:hAnsi="Calibri" w:cs="Calibri"/>
          <w:sz w:val="22"/>
          <w:szCs w:val="22"/>
        </w:rPr>
        <w:t xml:space="preserve"> </w:t>
      </w:r>
      <w:r w:rsidRPr="00582C28">
        <w:rPr>
          <w:rFonts w:ascii="Palatino Linotype" w:eastAsia="Palatino Linotype" w:hAnsi="Palatino Linotype" w:cs="Palatino Linotype"/>
          <w:b/>
          <w:i/>
          <w:sz w:val="22"/>
          <w:szCs w:val="22"/>
        </w:rPr>
        <w:t>Confirmar, modificar o revocar</w:t>
      </w:r>
      <w:r w:rsidRPr="00582C28">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582C28">
        <w:rPr>
          <w:rFonts w:ascii="Palatino Linotype" w:eastAsia="Palatino Linotype" w:hAnsi="Palatino Linotype" w:cs="Palatino Linotype"/>
          <w:b/>
          <w:i/>
          <w:sz w:val="22"/>
          <w:szCs w:val="22"/>
        </w:rPr>
        <w:t>y declaración</w:t>
      </w:r>
      <w:r w:rsidRPr="00582C28">
        <w:rPr>
          <w:rFonts w:ascii="Palatino Linotype" w:eastAsia="Palatino Linotype" w:hAnsi="Palatino Linotype" w:cs="Palatino Linotype"/>
          <w:i/>
          <w:sz w:val="22"/>
          <w:szCs w:val="22"/>
        </w:rPr>
        <w:t xml:space="preserve"> de inexistencia o </w:t>
      </w:r>
      <w:r w:rsidRPr="00582C28">
        <w:rPr>
          <w:rFonts w:ascii="Palatino Linotype" w:eastAsia="Palatino Linotype" w:hAnsi="Palatino Linotype" w:cs="Palatino Linotype"/>
          <w:b/>
          <w:i/>
          <w:sz w:val="22"/>
          <w:szCs w:val="22"/>
        </w:rPr>
        <w:t>de incompetencia realicen los titulares de las áreas de los sujetos obligados;</w:t>
      </w:r>
    </w:p>
    <w:p w14:paraId="02C2BD9E" w14:textId="77777777" w:rsidR="00913325" w:rsidRPr="00582C28" w:rsidRDefault="00603069">
      <w:pPr>
        <w:tabs>
          <w:tab w:val="left" w:pos="1134"/>
        </w:tabs>
        <w:spacing w:line="276" w:lineRule="auto"/>
        <w:ind w:left="567" w:right="902"/>
        <w:jc w:val="both"/>
        <w:rPr>
          <w:rFonts w:ascii="Palatino Linotype" w:eastAsia="Palatino Linotype" w:hAnsi="Palatino Linotype" w:cs="Palatino Linotype"/>
          <w:b/>
          <w:i/>
          <w:sz w:val="22"/>
          <w:szCs w:val="22"/>
        </w:rPr>
      </w:pPr>
      <w:r w:rsidRPr="00582C28">
        <w:rPr>
          <w:rFonts w:ascii="Palatino Linotype" w:eastAsia="Palatino Linotype" w:hAnsi="Palatino Linotype" w:cs="Palatino Linotype"/>
          <w:b/>
          <w:i/>
          <w:sz w:val="22"/>
          <w:szCs w:val="22"/>
        </w:rPr>
        <w:t>...</w:t>
      </w:r>
    </w:p>
    <w:p w14:paraId="03F0F74C" w14:textId="77777777" w:rsidR="00913325" w:rsidRPr="00582C28" w:rsidRDefault="00603069">
      <w:pPr>
        <w:tabs>
          <w:tab w:val="left" w:pos="1134"/>
        </w:tabs>
        <w:spacing w:line="276" w:lineRule="auto"/>
        <w:ind w:left="567" w:right="902"/>
        <w:jc w:val="both"/>
        <w:rPr>
          <w:rFonts w:ascii="Palatino Linotype" w:eastAsia="Palatino Linotype" w:hAnsi="Palatino Linotype" w:cs="Palatino Linotype"/>
          <w:b/>
          <w:i/>
          <w:sz w:val="22"/>
          <w:szCs w:val="22"/>
        </w:rPr>
      </w:pPr>
      <w:r w:rsidRPr="00582C28">
        <w:rPr>
          <w:rFonts w:ascii="Palatino Linotype" w:eastAsia="Palatino Linotype" w:hAnsi="Palatino Linotype" w:cs="Palatino Linotype"/>
          <w:b/>
          <w:i/>
          <w:sz w:val="22"/>
          <w:szCs w:val="22"/>
        </w:rPr>
        <w:t>Artículo 167</w:t>
      </w:r>
      <w:r w:rsidRPr="00582C28">
        <w:rPr>
          <w:rFonts w:ascii="Palatino Linotype" w:eastAsia="Palatino Linotype" w:hAnsi="Palatino Linotype" w:cs="Palatino Linotype"/>
          <w:i/>
          <w:sz w:val="22"/>
          <w:szCs w:val="22"/>
        </w:rPr>
        <w:t xml:space="preserve">. </w:t>
      </w:r>
      <w:r w:rsidRPr="00582C28">
        <w:rPr>
          <w:rFonts w:ascii="Palatino Linotype" w:eastAsia="Palatino Linotype" w:hAnsi="Palatino Linotype" w:cs="Palatino Linotype"/>
          <w:b/>
          <w:i/>
          <w:sz w:val="22"/>
          <w:szCs w:val="22"/>
        </w:rPr>
        <w:t>Cuando las unidades de transparencia determinen la notoria incompetencia</w:t>
      </w:r>
      <w:r w:rsidRPr="00582C28">
        <w:rPr>
          <w:rFonts w:ascii="Palatino Linotype" w:eastAsia="Palatino Linotype" w:hAnsi="Palatino Linotype" w:cs="Palatino Linotype"/>
          <w:i/>
          <w:sz w:val="22"/>
          <w:szCs w:val="22"/>
        </w:rPr>
        <w:t xml:space="preserve"> por parte de los sujetos obligados, dentro del ámbito de aplicación, </w:t>
      </w:r>
      <w:r w:rsidRPr="00582C28">
        <w:rPr>
          <w:rFonts w:ascii="Palatino Linotype" w:eastAsia="Palatino Linotype" w:hAnsi="Palatino Linotype" w:cs="Palatino Linotype"/>
          <w:i/>
          <w:sz w:val="22"/>
          <w:szCs w:val="22"/>
        </w:rPr>
        <w:lastRenderedPageBreak/>
        <w:t xml:space="preserve">para atender la solicitud de acceso a la información, </w:t>
      </w:r>
      <w:r w:rsidRPr="00582C28">
        <w:rPr>
          <w:rFonts w:ascii="Palatino Linotype" w:eastAsia="Palatino Linotype" w:hAnsi="Palatino Linotype" w:cs="Palatino Linotype"/>
          <w:b/>
          <w:i/>
          <w:sz w:val="22"/>
          <w:szCs w:val="22"/>
        </w:rPr>
        <w:t>deberán comunicarlo al solicitante, dentro de los tres días hábiles posteriores a la recepción de la solicitud</w:t>
      </w:r>
      <w:r w:rsidRPr="00582C28">
        <w:rPr>
          <w:rFonts w:ascii="Palatino Linotype" w:eastAsia="Palatino Linotype" w:hAnsi="Palatino Linotype" w:cs="Palatino Linotype"/>
          <w:i/>
          <w:sz w:val="22"/>
          <w:szCs w:val="22"/>
        </w:rPr>
        <w:t xml:space="preserve"> y, </w:t>
      </w:r>
      <w:r w:rsidRPr="00582C28">
        <w:rPr>
          <w:rFonts w:ascii="Palatino Linotype" w:eastAsia="Palatino Linotype" w:hAnsi="Palatino Linotype" w:cs="Palatino Linotype"/>
          <w:b/>
          <w:i/>
          <w:sz w:val="22"/>
          <w:szCs w:val="22"/>
        </w:rPr>
        <w:t>en su caso orientar al solicitante, el o los sujetos obligados competentes.” (Énfasis añadido)</w:t>
      </w:r>
    </w:p>
    <w:p w14:paraId="4E4BC81F" w14:textId="77777777" w:rsidR="00913325" w:rsidRPr="00582C28" w:rsidRDefault="00913325">
      <w:pPr>
        <w:tabs>
          <w:tab w:val="left" w:pos="142"/>
          <w:tab w:val="left" w:pos="284"/>
        </w:tabs>
        <w:spacing w:line="360" w:lineRule="auto"/>
        <w:jc w:val="both"/>
        <w:rPr>
          <w:rFonts w:ascii="Palatino Linotype" w:eastAsia="Palatino Linotype" w:hAnsi="Palatino Linotype" w:cs="Palatino Linotype"/>
          <w:sz w:val="22"/>
          <w:szCs w:val="22"/>
        </w:rPr>
      </w:pPr>
    </w:p>
    <w:p w14:paraId="4C492FDC" w14:textId="77777777" w:rsidR="00913325" w:rsidRPr="00582C28" w:rsidRDefault="00603069">
      <w:pPr>
        <w:tabs>
          <w:tab w:val="left" w:pos="142"/>
          <w:tab w:val="left" w:pos="284"/>
        </w:tabs>
        <w:spacing w:line="360" w:lineRule="auto"/>
        <w:jc w:val="both"/>
        <w:rPr>
          <w:rFonts w:ascii="Palatino Linotype" w:eastAsia="Palatino Linotype" w:hAnsi="Palatino Linotype" w:cs="Palatino Linotype"/>
          <w:b/>
          <w:sz w:val="22"/>
          <w:szCs w:val="22"/>
        </w:rPr>
      </w:pPr>
      <w:r w:rsidRPr="00582C28">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582C28">
        <w:rPr>
          <w:rFonts w:ascii="Palatino Linotype" w:eastAsia="Palatino Linotype" w:hAnsi="Palatino Linotype" w:cs="Palatino Linotype"/>
          <w:b/>
          <w:sz w:val="22"/>
          <w:szCs w:val="22"/>
        </w:rPr>
        <w:t xml:space="preserve"> en aquellos casos en los que no se trate de una notoria incompetencia. </w:t>
      </w:r>
    </w:p>
    <w:p w14:paraId="2EBDD6FA" w14:textId="77777777" w:rsidR="00913325" w:rsidRPr="00582C28" w:rsidRDefault="00913325">
      <w:pPr>
        <w:tabs>
          <w:tab w:val="left" w:pos="142"/>
          <w:tab w:val="left" w:pos="284"/>
        </w:tabs>
        <w:spacing w:line="360" w:lineRule="auto"/>
        <w:jc w:val="both"/>
        <w:rPr>
          <w:rFonts w:ascii="Palatino Linotype" w:eastAsia="Palatino Linotype" w:hAnsi="Palatino Linotype" w:cs="Palatino Linotype"/>
          <w:b/>
          <w:sz w:val="20"/>
          <w:szCs w:val="20"/>
        </w:rPr>
      </w:pPr>
    </w:p>
    <w:p w14:paraId="43ECF64F" w14:textId="77777777" w:rsidR="00913325" w:rsidRPr="00582C28" w:rsidRDefault="00603069">
      <w:pPr>
        <w:tabs>
          <w:tab w:val="left" w:pos="142"/>
          <w:tab w:val="left" w:pos="284"/>
        </w:tabs>
        <w:spacing w:line="360" w:lineRule="auto"/>
        <w:jc w:val="both"/>
        <w:rPr>
          <w:rFonts w:ascii="Palatino Linotype" w:eastAsia="Palatino Linotype" w:hAnsi="Palatino Linotype" w:cs="Palatino Linotype"/>
          <w:sz w:val="20"/>
          <w:szCs w:val="20"/>
        </w:rPr>
      </w:pPr>
      <w:r w:rsidRPr="00582C28">
        <w:rPr>
          <w:rFonts w:ascii="Palatino Linotype" w:eastAsia="Palatino Linotype" w:hAnsi="Palatino Linotype" w:cs="Palatino Linotype"/>
          <w:sz w:val="22"/>
          <w:szCs w:val="22"/>
        </w:rPr>
        <w:t>Puesto que la Ley también prevé que dicho acuerdo no es necesario cuando la Unidad de Transparencia determine que la incompetencia es notoria dando un plazo de tres días hábiles para hacerlo del conocimiento del particular</w:t>
      </w:r>
      <w:r w:rsidR="00163594" w:rsidRPr="00582C28">
        <w:rPr>
          <w:rFonts w:ascii="Palatino Linotype" w:eastAsia="Palatino Linotype" w:hAnsi="Palatino Linotype" w:cs="Palatino Linotype"/>
          <w:sz w:val="22"/>
          <w:szCs w:val="22"/>
        </w:rPr>
        <w:t>, lo cual sucedió en el presente asunto</w:t>
      </w:r>
      <w:r w:rsidRPr="00582C28">
        <w:rPr>
          <w:rFonts w:ascii="Palatino Linotype" w:eastAsia="Palatino Linotype" w:hAnsi="Palatino Linotype" w:cs="Palatino Linotype"/>
          <w:sz w:val="22"/>
          <w:szCs w:val="22"/>
        </w:rPr>
        <w:t xml:space="preserve">.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582C28">
        <w:rPr>
          <w:rFonts w:ascii="Palatino Linotype" w:eastAsia="Palatino Linotype" w:hAnsi="Palatino Linotype" w:cs="Palatino Linotype"/>
          <w:sz w:val="22"/>
          <w:szCs w:val="22"/>
          <w:u w:val="single"/>
        </w:rPr>
        <w:t xml:space="preserve">para su aprobación. </w:t>
      </w:r>
    </w:p>
    <w:p w14:paraId="74B20518" w14:textId="77777777" w:rsidR="00913325" w:rsidRPr="00582C28" w:rsidRDefault="00913325">
      <w:pPr>
        <w:spacing w:line="360" w:lineRule="auto"/>
        <w:ind w:right="18"/>
        <w:jc w:val="both"/>
        <w:rPr>
          <w:rFonts w:ascii="Palatino Linotype" w:eastAsia="Palatino Linotype" w:hAnsi="Palatino Linotype" w:cs="Palatino Linotype"/>
          <w:sz w:val="20"/>
          <w:szCs w:val="20"/>
        </w:rPr>
      </w:pPr>
    </w:p>
    <w:p w14:paraId="6C7A6619" w14:textId="77777777" w:rsidR="00913325" w:rsidRPr="00582C28" w:rsidRDefault="00603069">
      <w:pPr>
        <w:spacing w:line="360" w:lineRule="auto"/>
        <w:ind w:right="18"/>
        <w:jc w:val="both"/>
        <w:rPr>
          <w:rFonts w:ascii="Palatino Linotype" w:eastAsia="Palatino Linotype" w:hAnsi="Palatino Linotype" w:cs="Palatino Linotype"/>
        </w:rPr>
      </w:pPr>
      <w:r w:rsidRPr="00582C28">
        <w:rPr>
          <w:rFonts w:ascii="Palatino Linotype" w:eastAsia="Palatino Linotype" w:hAnsi="Palatino Linotype" w:cs="Palatino Linotype"/>
          <w:sz w:val="22"/>
          <w:szCs w:val="22"/>
        </w:rPr>
        <w:t xml:space="preserve">Como sustento de lo anterior, resulta aplicable el Criterio Orientador 20/20, emitido por el entonces Instituto Nacional de Transparencia, Acceso a la Información, y Protección de Datos </w:t>
      </w:r>
      <w:r w:rsidRPr="00582C28">
        <w:rPr>
          <w:rFonts w:ascii="Palatino Linotype" w:eastAsia="Palatino Linotype" w:hAnsi="Palatino Linotype" w:cs="Palatino Linotype"/>
        </w:rPr>
        <w:t xml:space="preserve">Personales, INAI, que lleva por rubro y texto los siguientes:  </w:t>
      </w:r>
    </w:p>
    <w:p w14:paraId="2EABBB01" w14:textId="77777777" w:rsidR="00913325" w:rsidRPr="00582C28" w:rsidRDefault="00913325">
      <w:pPr>
        <w:pBdr>
          <w:top w:val="nil"/>
          <w:left w:val="nil"/>
          <w:bottom w:val="nil"/>
          <w:right w:val="nil"/>
          <w:between w:val="nil"/>
        </w:pBdr>
        <w:spacing w:line="360" w:lineRule="auto"/>
        <w:ind w:left="851" w:right="900"/>
        <w:jc w:val="both"/>
        <w:rPr>
          <w:rFonts w:ascii="Palatino Linotype" w:eastAsia="Palatino Linotype" w:hAnsi="Palatino Linotype" w:cs="Palatino Linotype"/>
          <w:b/>
          <w:i/>
          <w:sz w:val="22"/>
          <w:szCs w:val="22"/>
        </w:rPr>
      </w:pPr>
    </w:p>
    <w:p w14:paraId="0D31DAD3" w14:textId="77777777" w:rsidR="00913325" w:rsidRPr="00582C28" w:rsidRDefault="0060306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b/>
          <w:i/>
          <w:sz w:val="22"/>
          <w:szCs w:val="22"/>
        </w:rPr>
        <w:t>“Declaración de incompetencia por parte del Comité, cuando no sea notoria o manifiesta.</w:t>
      </w:r>
      <w:r w:rsidRPr="00582C28">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4CA492BD" w14:textId="77777777" w:rsidR="00913325" w:rsidRPr="00582C28" w:rsidRDefault="00913325">
      <w:pPr>
        <w:pBdr>
          <w:top w:val="nil"/>
          <w:left w:val="nil"/>
          <w:bottom w:val="nil"/>
          <w:right w:val="nil"/>
          <w:between w:val="nil"/>
        </w:pBdr>
        <w:spacing w:line="360" w:lineRule="auto"/>
        <w:ind w:left="567" w:right="900"/>
        <w:jc w:val="both"/>
        <w:rPr>
          <w:rFonts w:ascii="Palatino Linotype" w:eastAsia="Palatino Linotype" w:hAnsi="Palatino Linotype" w:cs="Palatino Linotype"/>
          <w:i/>
          <w:sz w:val="22"/>
          <w:szCs w:val="22"/>
        </w:rPr>
      </w:pPr>
    </w:p>
    <w:p w14:paraId="609E3E71" w14:textId="77777777" w:rsidR="00913325" w:rsidRPr="00582C28" w:rsidRDefault="00603069">
      <w:pPr>
        <w:tabs>
          <w:tab w:val="left" w:pos="142"/>
          <w:tab w:val="left" w:pos="284"/>
        </w:tabs>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De igual manera, el Pleno de este Instituto, a través del Criterio 02/04 emitido en la Segunda Época, precisa los alcances del artículo 167 de la Ley de Transparencia, al señalar que </w:t>
      </w:r>
      <w:r w:rsidRPr="00582C28">
        <w:rPr>
          <w:rFonts w:ascii="Palatino Linotype" w:eastAsia="Palatino Linotype" w:hAnsi="Palatino Linotype" w:cs="Palatino Linotype"/>
          <w:sz w:val="22"/>
          <w:szCs w:val="22"/>
        </w:rPr>
        <w:lastRenderedPageBreak/>
        <w:t>corresponde al Comité de Transparencia confirmar la declaratoria de incompetencia y notificarle dicha determinación al particular, refiriéndose a aquellos casos en los que exista</w:t>
      </w:r>
      <w:r w:rsidRPr="00582C28">
        <w:rPr>
          <w:rFonts w:ascii="Palatino Linotype" w:eastAsia="Palatino Linotype" w:hAnsi="Palatino Linotype" w:cs="Palatino Linotype"/>
          <w:b/>
          <w:sz w:val="22"/>
          <w:szCs w:val="22"/>
        </w:rPr>
        <w:t xml:space="preserve"> </w:t>
      </w:r>
      <w:r w:rsidRPr="00582C28">
        <w:rPr>
          <w:rFonts w:ascii="Palatino Linotype" w:eastAsia="Palatino Linotype" w:hAnsi="Palatino Linotype" w:cs="Palatino Linotype"/>
          <w:b/>
          <w:sz w:val="22"/>
          <w:szCs w:val="22"/>
          <w:u w:val="single"/>
        </w:rPr>
        <w:t>duda razonable sobre la administración del documento materia de la solicitud de información</w:t>
      </w:r>
      <w:r w:rsidRPr="00582C28">
        <w:rPr>
          <w:rFonts w:ascii="Palatino Linotype" w:eastAsia="Palatino Linotype" w:hAnsi="Palatino Linotype" w:cs="Palatino Linotype"/>
          <w:sz w:val="22"/>
          <w:szCs w:val="22"/>
        </w:rPr>
        <w:t>, como se lee enseguida:</w:t>
      </w:r>
    </w:p>
    <w:p w14:paraId="31CE5077" w14:textId="77777777" w:rsidR="00913325" w:rsidRPr="00582C28" w:rsidRDefault="00913325">
      <w:pPr>
        <w:tabs>
          <w:tab w:val="left" w:pos="142"/>
          <w:tab w:val="left" w:pos="284"/>
        </w:tabs>
        <w:spacing w:line="360" w:lineRule="auto"/>
        <w:jc w:val="both"/>
        <w:rPr>
          <w:rFonts w:ascii="Palatino Linotype" w:eastAsia="Palatino Linotype" w:hAnsi="Palatino Linotype" w:cs="Palatino Linotype"/>
          <w:sz w:val="22"/>
          <w:szCs w:val="22"/>
        </w:rPr>
      </w:pPr>
    </w:p>
    <w:p w14:paraId="52F1AFC9" w14:textId="77777777" w:rsidR="00913325" w:rsidRPr="00582C28" w:rsidRDefault="00603069">
      <w:pPr>
        <w:tabs>
          <w:tab w:val="left" w:pos="1418"/>
        </w:tabs>
        <w:spacing w:line="276" w:lineRule="auto"/>
        <w:ind w:left="567" w:right="900"/>
        <w:jc w:val="both"/>
        <w:rPr>
          <w:rFonts w:ascii="Palatino Linotype" w:eastAsia="Palatino Linotype" w:hAnsi="Palatino Linotype" w:cs="Palatino Linotype"/>
          <w:i/>
          <w:sz w:val="22"/>
          <w:szCs w:val="22"/>
        </w:rPr>
      </w:pPr>
      <w:r w:rsidRPr="00582C28">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582C28">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582C28">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582C28">
        <w:rPr>
          <w:rFonts w:ascii="Palatino Linotype" w:eastAsia="Palatino Linotype" w:hAnsi="Palatino Linotype" w:cs="Palatino Linotype"/>
          <w:b/>
          <w:i/>
          <w:sz w:val="22"/>
          <w:szCs w:val="22"/>
          <w:u w:val="single"/>
        </w:rPr>
        <w:t>impiden determinar dentro del término legal de tres días hábiles</w:t>
      </w:r>
      <w:r w:rsidRPr="00582C28">
        <w:rPr>
          <w:rFonts w:ascii="Palatino Linotype" w:eastAsia="Palatino Linotype" w:hAnsi="Palatino Linotype" w:cs="Palatino Linotype"/>
          <w:b/>
          <w:i/>
          <w:sz w:val="22"/>
          <w:szCs w:val="22"/>
        </w:rPr>
        <w:t>, si se posee o no la información por el Sujeto Obligado requerid</w:t>
      </w:r>
      <w:r w:rsidRPr="00582C28">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1CF18199" w14:textId="77777777" w:rsidR="00913325" w:rsidRPr="00582C28" w:rsidRDefault="00913325">
      <w:pPr>
        <w:tabs>
          <w:tab w:val="left" w:pos="1418"/>
        </w:tabs>
        <w:spacing w:line="360" w:lineRule="auto"/>
        <w:ind w:left="567" w:right="900"/>
        <w:jc w:val="both"/>
        <w:rPr>
          <w:rFonts w:ascii="Palatino Linotype" w:eastAsia="Palatino Linotype" w:hAnsi="Palatino Linotype" w:cs="Palatino Linotype"/>
          <w:i/>
          <w:sz w:val="22"/>
          <w:szCs w:val="22"/>
        </w:rPr>
      </w:pPr>
    </w:p>
    <w:p w14:paraId="78057A4F" w14:textId="77777777" w:rsidR="00913325" w:rsidRPr="00582C28" w:rsidRDefault="00603069">
      <w:pPr>
        <w:tabs>
          <w:tab w:val="left" w:pos="142"/>
          <w:tab w:val="left" w:pos="284"/>
        </w:tabs>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lastRenderedPageBreak/>
        <w:t xml:space="preserve">En el caso particular, de los registros que obran en el Sistema de Acceso a la Información Mexiquense, se tiene que </w:t>
      </w:r>
      <w:r w:rsidRPr="00582C28">
        <w:rPr>
          <w:rFonts w:ascii="Palatino Linotype" w:eastAsia="Palatino Linotype" w:hAnsi="Palatino Linotype" w:cs="Palatino Linotype"/>
          <w:b/>
          <w:sz w:val="22"/>
          <w:szCs w:val="22"/>
        </w:rPr>
        <w:t>la parte Recurrente</w:t>
      </w:r>
      <w:r w:rsidRPr="00582C28">
        <w:rPr>
          <w:rFonts w:ascii="Palatino Linotype" w:eastAsia="Palatino Linotype" w:hAnsi="Palatino Linotype" w:cs="Palatino Linotype"/>
          <w:sz w:val="22"/>
          <w:szCs w:val="22"/>
        </w:rPr>
        <w:t xml:space="preserve"> realizó su solicitud de información el </w:t>
      </w:r>
      <w:r w:rsidR="00163594" w:rsidRPr="00582C28">
        <w:rPr>
          <w:rFonts w:ascii="Palatino Linotype" w:eastAsia="Palatino Linotype" w:hAnsi="Palatino Linotype" w:cs="Palatino Linotype"/>
          <w:b/>
          <w:sz w:val="22"/>
          <w:szCs w:val="22"/>
        </w:rPr>
        <w:t>veinte de marzo</w:t>
      </w:r>
      <w:r w:rsidRPr="00582C28">
        <w:rPr>
          <w:rFonts w:ascii="Palatino Linotype" w:eastAsia="Palatino Linotype" w:hAnsi="Palatino Linotype" w:cs="Palatino Linotype"/>
          <w:b/>
          <w:sz w:val="22"/>
          <w:szCs w:val="22"/>
        </w:rPr>
        <w:t xml:space="preserve"> de dos mil veinticinco</w:t>
      </w:r>
      <w:r w:rsidRPr="00582C28">
        <w:rPr>
          <w:rFonts w:ascii="Palatino Linotype" w:eastAsia="Palatino Linotype" w:hAnsi="Palatino Linotype" w:cs="Palatino Linotype"/>
          <w:sz w:val="22"/>
          <w:szCs w:val="22"/>
        </w:rPr>
        <w:t xml:space="preserve"> y,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declinó la competencia el </w:t>
      </w:r>
      <w:r w:rsidR="00163594" w:rsidRPr="00582C28">
        <w:rPr>
          <w:rFonts w:ascii="Palatino Linotype" w:eastAsia="Palatino Linotype" w:hAnsi="Palatino Linotype" w:cs="Palatino Linotype"/>
          <w:b/>
          <w:sz w:val="22"/>
          <w:szCs w:val="22"/>
        </w:rPr>
        <w:t>veinticinco</w:t>
      </w:r>
      <w:r w:rsidRPr="00582C28">
        <w:rPr>
          <w:rFonts w:ascii="Palatino Linotype" w:eastAsia="Palatino Linotype" w:hAnsi="Palatino Linotype" w:cs="Palatino Linotype"/>
          <w:b/>
          <w:sz w:val="22"/>
          <w:szCs w:val="22"/>
        </w:rPr>
        <w:t xml:space="preserve"> de </w:t>
      </w:r>
      <w:r w:rsidR="00163594" w:rsidRPr="00582C28">
        <w:rPr>
          <w:rFonts w:ascii="Palatino Linotype" w:eastAsia="Palatino Linotype" w:hAnsi="Palatino Linotype" w:cs="Palatino Linotype"/>
          <w:b/>
          <w:sz w:val="22"/>
          <w:szCs w:val="22"/>
        </w:rPr>
        <w:t>marzo</w:t>
      </w:r>
      <w:r w:rsidRPr="00582C28">
        <w:rPr>
          <w:rFonts w:ascii="Palatino Linotype" w:eastAsia="Palatino Linotype" w:hAnsi="Palatino Linotype" w:cs="Palatino Linotype"/>
          <w:b/>
          <w:sz w:val="22"/>
          <w:szCs w:val="22"/>
        </w:rPr>
        <w:t xml:space="preserve"> de dos mil veinticinco</w:t>
      </w:r>
      <w:r w:rsidRPr="00582C28">
        <w:rPr>
          <w:rFonts w:ascii="Palatino Linotype" w:eastAsia="Palatino Linotype" w:hAnsi="Palatino Linotype" w:cs="Palatino Linotype"/>
          <w:sz w:val="22"/>
          <w:szCs w:val="22"/>
        </w:rPr>
        <w:t xml:space="preserve">, es decir; al </w:t>
      </w:r>
      <w:r w:rsidRPr="00582C28">
        <w:rPr>
          <w:rFonts w:ascii="Palatino Linotype" w:eastAsia="Palatino Linotype" w:hAnsi="Palatino Linotype" w:cs="Palatino Linotype"/>
          <w:b/>
          <w:sz w:val="22"/>
          <w:szCs w:val="22"/>
        </w:rPr>
        <w:t>tercer día hábil</w:t>
      </w:r>
      <w:r w:rsidRPr="00582C28">
        <w:rPr>
          <w:rFonts w:ascii="Palatino Linotype" w:eastAsia="Palatino Linotype" w:hAnsi="Palatino Linotype" w:cs="Palatino Linotype"/>
          <w:sz w:val="22"/>
          <w:szCs w:val="22"/>
        </w:rPr>
        <w:t xml:space="preserve"> en que se tuvo por registrada la solicitud de información. </w:t>
      </w:r>
    </w:p>
    <w:p w14:paraId="05321D97" w14:textId="77777777" w:rsidR="00913325" w:rsidRPr="00582C28" w:rsidRDefault="00913325">
      <w:pPr>
        <w:tabs>
          <w:tab w:val="left" w:pos="993"/>
        </w:tabs>
        <w:spacing w:line="360" w:lineRule="auto"/>
        <w:ind w:right="-28"/>
        <w:rPr>
          <w:rFonts w:ascii="Palatino Linotype" w:eastAsia="Palatino Linotype" w:hAnsi="Palatino Linotype" w:cs="Palatino Linotype"/>
        </w:rPr>
      </w:pPr>
    </w:p>
    <w:p w14:paraId="6EA5EB1E" w14:textId="77777777" w:rsidR="00913325" w:rsidRPr="00582C28" w:rsidRDefault="00603069">
      <w:pPr>
        <w:pBdr>
          <w:top w:val="nil"/>
          <w:left w:val="nil"/>
          <w:bottom w:val="nil"/>
          <w:right w:val="nil"/>
          <w:between w:val="nil"/>
        </w:pBdr>
        <w:spacing w:line="360" w:lineRule="auto"/>
        <w:ind w:right="-28"/>
        <w:jc w:val="both"/>
        <w:rPr>
          <w:sz w:val="22"/>
          <w:szCs w:val="22"/>
        </w:rPr>
      </w:pPr>
      <w:r w:rsidRPr="00582C28">
        <w:rPr>
          <w:rFonts w:ascii="Palatino Linotype" w:eastAsia="Palatino Linotype" w:hAnsi="Palatino Linotype" w:cs="Palatino Linotype"/>
          <w:sz w:val="22"/>
          <w:szCs w:val="22"/>
        </w:rPr>
        <w:t xml:space="preserve">No obsta mencionar que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orientó en su respuesta al particular, refiriendo que una vez analizada la información solicitada, se determinó que esta podía estar en posesión </w:t>
      </w:r>
      <w:r w:rsidR="003D5F0E" w:rsidRPr="00582C28">
        <w:rPr>
          <w:rFonts w:ascii="Palatino Linotype" w:eastAsia="Palatino Linotype" w:hAnsi="Palatino Linotype" w:cs="Palatino Linotype"/>
          <w:sz w:val="22"/>
          <w:szCs w:val="22"/>
        </w:rPr>
        <w:t>de la Secretaría de la Defensa Nacional</w:t>
      </w:r>
      <w:r w:rsidRPr="00582C28">
        <w:rPr>
          <w:rFonts w:ascii="Palatino Linotype" w:eastAsia="Palatino Linotype" w:hAnsi="Palatino Linotype" w:cs="Palatino Linotype"/>
          <w:sz w:val="22"/>
          <w:szCs w:val="22"/>
        </w:rPr>
        <w:t>.</w:t>
      </w:r>
    </w:p>
    <w:p w14:paraId="6E39BFC1" w14:textId="77777777" w:rsidR="00913325" w:rsidRPr="00582C28" w:rsidRDefault="00913325">
      <w:pPr>
        <w:spacing w:line="360" w:lineRule="auto"/>
        <w:rPr>
          <w:sz w:val="22"/>
          <w:szCs w:val="22"/>
        </w:rPr>
      </w:pPr>
    </w:p>
    <w:p w14:paraId="387E31A5" w14:textId="77777777" w:rsidR="00913325" w:rsidRPr="00582C28" w:rsidRDefault="00603069">
      <w:pPr>
        <w:pBdr>
          <w:top w:val="nil"/>
          <w:left w:val="nil"/>
          <w:bottom w:val="nil"/>
          <w:right w:val="nil"/>
          <w:between w:val="nil"/>
        </w:pBdr>
        <w:spacing w:line="360" w:lineRule="auto"/>
        <w:ind w:right="-28"/>
        <w:jc w:val="both"/>
        <w:rPr>
          <w:sz w:val="22"/>
          <w:szCs w:val="22"/>
        </w:rPr>
      </w:pPr>
      <w:r w:rsidRPr="00582C28">
        <w:rPr>
          <w:rFonts w:ascii="Palatino Linotype" w:eastAsia="Palatino Linotype" w:hAnsi="Palatino Linotype" w:cs="Palatino Linotype"/>
          <w:sz w:val="22"/>
          <w:szCs w:val="22"/>
        </w:rPr>
        <w:t xml:space="preserve">En mérito de lo anterior, es de vital importancia señalar que la facultad de orientación al particular para que formule su solicitud ante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competente es potestativa.</w:t>
      </w:r>
    </w:p>
    <w:p w14:paraId="5C435B62" w14:textId="77777777" w:rsidR="00913325" w:rsidRPr="00582C28" w:rsidRDefault="00913325">
      <w:pPr>
        <w:tabs>
          <w:tab w:val="left" w:pos="993"/>
        </w:tabs>
        <w:spacing w:line="360" w:lineRule="auto"/>
        <w:ind w:right="-28"/>
        <w:jc w:val="both"/>
        <w:rPr>
          <w:rFonts w:ascii="Palatino Linotype" w:eastAsia="Palatino Linotype" w:hAnsi="Palatino Linotype" w:cs="Palatino Linotype"/>
        </w:rPr>
      </w:pPr>
    </w:p>
    <w:p w14:paraId="1F15B3A4" w14:textId="77777777" w:rsidR="003D5F0E" w:rsidRPr="00582C28" w:rsidRDefault="00603069">
      <w:pPr>
        <w:tabs>
          <w:tab w:val="left" w:pos="993"/>
        </w:tabs>
        <w:spacing w:line="360" w:lineRule="auto"/>
        <w:ind w:right="-28"/>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Es por lo expuesto con antelación que se colige que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no sólo declinó su competencia dentro del plazo establecido por la Ley para tal efecto, sino que, además, orientó al Solicitante para que este presentara su solicitud de información ante los </w:t>
      </w:r>
      <w:r w:rsidRPr="00582C28">
        <w:rPr>
          <w:rFonts w:ascii="Palatino Linotype" w:eastAsia="Palatino Linotype" w:hAnsi="Palatino Linotype" w:cs="Palatino Linotype"/>
          <w:b/>
          <w:sz w:val="22"/>
          <w:szCs w:val="22"/>
        </w:rPr>
        <w:t>Sujetos Obligados</w:t>
      </w:r>
      <w:r w:rsidR="003D5F0E" w:rsidRPr="00582C28">
        <w:rPr>
          <w:rFonts w:ascii="Palatino Linotype" w:eastAsia="Palatino Linotype" w:hAnsi="Palatino Linotype" w:cs="Palatino Linotype"/>
          <w:sz w:val="22"/>
          <w:szCs w:val="22"/>
        </w:rPr>
        <w:t xml:space="preserve"> correspondientes, por lo tanto, resulta importante hacer del conocimiento del particular que en estos casos no es necesario emitir un acuerdo del comité de transparencia, sin embargo, aun no encontrándose obligado a hacerlo, el </w:t>
      </w:r>
      <w:r w:rsidR="003D5F0E" w:rsidRPr="00582C28">
        <w:rPr>
          <w:rFonts w:ascii="Palatino Linotype" w:eastAsia="Palatino Linotype" w:hAnsi="Palatino Linotype" w:cs="Palatino Linotype"/>
          <w:b/>
          <w:sz w:val="22"/>
          <w:szCs w:val="22"/>
        </w:rPr>
        <w:t>Sujeto Obligado</w:t>
      </w:r>
      <w:r w:rsidR="003D5F0E" w:rsidRPr="00582C28">
        <w:rPr>
          <w:rFonts w:ascii="Palatino Linotype" w:eastAsia="Palatino Linotype" w:hAnsi="Palatino Linotype" w:cs="Palatino Linotype"/>
          <w:sz w:val="22"/>
          <w:szCs w:val="22"/>
        </w:rPr>
        <w:t xml:space="preserve"> mediante informe justificado proporcionó el acta de la quinta sesión extraordinaria por la cual, se aprueba la declaración de incompetencia.</w:t>
      </w:r>
    </w:p>
    <w:p w14:paraId="1E9969C8" w14:textId="77777777" w:rsidR="003D5F0E" w:rsidRPr="00582C28" w:rsidRDefault="003D5F0E">
      <w:pPr>
        <w:tabs>
          <w:tab w:val="left" w:pos="993"/>
        </w:tabs>
        <w:spacing w:line="360" w:lineRule="auto"/>
        <w:ind w:right="-28"/>
        <w:jc w:val="both"/>
        <w:rPr>
          <w:rFonts w:ascii="Palatino Linotype" w:eastAsia="Palatino Linotype" w:hAnsi="Palatino Linotype" w:cs="Palatino Linotype"/>
          <w:sz w:val="22"/>
          <w:szCs w:val="22"/>
        </w:rPr>
      </w:pPr>
    </w:p>
    <w:p w14:paraId="7E7BD0E7" w14:textId="77777777" w:rsidR="00913325" w:rsidRPr="00582C28" w:rsidRDefault="00603069">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 xml:space="preserve">En ese entendido, se determina que toda vez que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declaró su incompetencia y de este estudio se concluyó que la incompetencia resulta notoria los agravios hechos valer por este devienen </w:t>
      </w:r>
      <w:r w:rsidRPr="00582C28">
        <w:rPr>
          <w:rFonts w:ascii="Palatino Linotype" w:eastAsia="Palatino Linotype" w:hAnsi="Palatino Linotype" w:cs="Palatino Linotype"/>
          <w:b/>
          <w:sz w:val="22"/>
          <w:szCs w:val="22"/>
        </w:rPr>
        <w:t xml:space="preserve">INFUNDADOS </w:t>
      </w:r>
      <w:r w:rsidRPr="00582C28">
        <w:rPr>
          <w:rFonts w:ascii="Palatino Linotype" w:eastAsia="Palatino Linotype" w:hAnsi="Palatino Linotype" w:cs="Palatino Linotype"/>
          <w:sz w:val="22"/>
          <w:szCs w:val="22"/>
        </w:rPr>
        <w:t xml:space="preserve">y, por lo tanto, resulta procedente </w:t>
      </w:r>
      <w:r w:rsidRPr="00582C28">
        <w:rPr>
          <w:rFonts w:ascii="Palatino Linotype" w:eastAsia="Palatino Linotype" w:hAnsi="Palatino Linotype" w:cs="Palatino Linotype"/>
          <w:b/>
          <w:sz w:val="22"/>
          <w:szCs w:val="22"/>
        </w:rPr>
        <w:t xml:space="preserve">CONFIRMAR </w:t>
      </w:r>
      <w:r w:rsidRPr="00582C28">
        <w:rPr>
          <w:rFonts w:ascii="Palatino Linotype" w:eastAsia="Palatino Linotype" w:hAnsi="Palatino Linotype" w:cs="Palatino Linotype"/>
          <w:sz w:val="22"/>
          <w:szCs w:val="22"/>
        </w:rPr>
        <w:t xml:space="preserve">la respuesta emitida por 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xml:space="preserve">, en términos de la fracción II del </w:t>
      </w:r>
      <w:r w:rsidRPr="00582C28">
        <w:rPr>
          <w:rFonts w:ascii="Palatino Linotype" w:eastAsia="Palatino Linotype" w:hAnsi="Palatino Linotype" w:cs="Palatino Linotype"/>
          <w:sz w:val="22"/>
          <w:szCs w:val="22"/>
        </w:rPr>
        <w:lastRenderedPageBreak/>
        <w:t xml:space="preserve">artículo 186 de la Ley de Transparencia y Acceso a la Información Pública del Estado de México y Municipios. </w:t>
      </w:r>
    </w:p>
    <w:p w14:paraId="6F0A3769" w14:textId="77777777" w:rsidR="00913325" w:rsidRPr="00582C28" w:rsidRDefault="00913325">
      <w:pPr>
        <w:spacing w:line="360" w:lineRule="auto"/>
        <w:jc w:val="both"/>
        <w:rPr>
          <w:rFonts w:ascii="Palatino Linotype" w:eastAsia="Palatino Linotype" w:hAnsi="Palatino Linotype" w:cs="Palatino Linotype"/>
          <w:sz w:val="22"/>
          <w:szCs w:val="22"/>
        </w:rPr>
      </w:pPr>
    </w:p>
    <w:p w14:paraId="75FC9CF8" w14:textId="2D216A8E" w:rsidR="00913325" w:rsidRPr="00582C28" w:rsidRDefault="00603069">
      <w:pPr>
        <w:spacing w:before="80" w:after="240"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sz w:val="22"/>
          <w:szCs w:val="22"/>
        </w:rPr>
        <w:t>Así, con fundamento en lo prescrito en los</w:t>
      </w:r>
      <w:r w:rsidRPr="00582C28">
        <w:rPr>
          <w:sz w:val="22"/>
          <w:szCs w:val="22"/>
        </w:rPr>
        <w:t xml:space="preserve"> </w:t>
      </w:r>
      <w:r w:rsidRPr="00582C28">
        <w:rPr>
          <w:rFonts w:ascii="Palatino Linotype" w:eastAsia="Palatino Linotype" w:hAnsi="Palatino Linotype" w:cs="Palatino Linotype"/>
          <w:sz w:val="22"/>
          <w:szCs w:val="22"/>
        </w:rPr>
        <w:t xml:space="preserve">artículos 5 párrafos </w:t>
      </w:r>
      <w:r w:rsidR="00945CD1" w:rsidRPr="00582C28">
        <w:rPr>
          <w:rFonts w:ascii="Palatino Linotype" w:eastAsia="Palatino Linotype" w:hAnsi="Palatino Linotype" w:cs="Palatino Linotype"/>
          <w:sz w:val="22"/>
          <w:szCs w:val="22"/>
        </w:rPr>
        <w:t>trigésimo noveno, cuadragésimo y cuadragésimo primero</w:t>
      </w:r>
      <w:r w:rsidRPr="00582C28">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71ED099" w14:textId="77777777" w:rsidR="00913325" w:rsidRPr="00582C28" w:rsidRDefault="00603069">
      <w:pPr>
        <w:spacing w:line="259" w:lineRule="auto"/>
        <w:ind w:left="-142" w:right="49"/>
        <w:jc w:val="center"/>
        <w:rPr>
          <w:rFonts w:ascii="Palatino Linotype" w:eastAsia="Palatino Linotype" w:hAnsi="Palatino Linotype" w:cs="Palatino Linotype"/>
          <w:b/>
          <w:sz w:val="22"/>
          <w:szCs w:val="22"/>
        </w:rPr>
      </w:pPr>
      <w:r w:rsidRPr="00582C28">
        <w:rPr>
          <w:rFonts w:ascii="Palatino Linotype" w:eastAsia="Palatino Linotype" w:hAnsi="Palatino Linotype" w:cs="Palatino Linotype"/>
          <w:b/>
          <w:sz w:val="22"/>
          <w:szCs w:val="22"/>
        </w:rPr>
        <w:t>R E S U E L V E:</w:t>
      </w:r>
    </w:p>
    <w:p w14:paraId="74357D2F" w14:textId="77777777" w:rsidR="00913325" w:rsidRPr="00582C28" w:rsidRDefault="00913325">
      <w:pPr>
        <w:spacing w:line="259" w:lineRule="auto"/>
        <w:ind w:left="-142" w:right="49"/>
        <w:jc w:val="center"/>
        <w:rPr>
          <w:rFonts w:ascii="Palatino Linotype" w:eastAsia="Palatino Linotype" w:hAnsi="Palatino Linotype" w:cs="Palatino Linotype"/>
          <w:b/>
          <w:sz w:val="22"/>
          <w:szCs w:val="22"/>
        </w:rPr>
      </w:pPr>
    </w:p>
    <w:p w14:paraId="43105ACD" w14:textId="77777777" w:rsidR="00913325" w:rsidRPr="00582C28" w:rsidRDefault="00603069">
      <w:pPr>
        <w:spacing w:line="360" w:lineRule="auto"/>
        <w:jc w:val="both"/>
        <w:rPr>
          <w:sz w:val="22"/>
          <w:szCs w:val="22"/>
        </w:rPr>
      </w:pPr>
      <w:r w:rsidRPr="00582C28">
        <w:rPr>
          <w:rFonts w:ascii="Palatino Linotype" w:eastAsia="Palatino Linotype" w:hAnsi="Palatino Linotype" w:cs="Palatino Linotype"/>
          <w:b/>
          <w:sz w:val="22"/>
          <w:szCs w:val="22"/>
        </w:rPr>
        <w:t>Primero.</w:t>
      </w:r>
      <w:r w:rsidRPr="00582C28">
        <w:rPr>
          <w:rFonts w:ascii="Palatino Linotype" w:eastAsia="Palatino Linotype" w:hAnsi="Palatino Linotype" w:cs="Palatino Linotype"/>
          <w:sz w:val="22"/>
          <w:szCs w:val="22"/>
        </w:rPr>
        <w:t xml:space="preserve"> Resultan </w:t>
      </w:r>
      <w:r w:rsidRPr="00582C28">
        <w:rPr>
          <w:rFonts w:ascii="Palatino Linotype" w:eastAsia="Palatino Linotype" w:hAnsi="Palatino Linotype" w:cs="Palatino Linotype"/>
          <w:b/>
          <w:sz w:val="22"/>
          <w:szCs w:val="22"/>
        </w:rPr>
        <w:t>infundados</w:t>
      </w:r>
      <w:r w:rsidRPr="00582C28">
        <w:rPr>
          <w:rFonts w:ascii="Palatino Linotype" w:eastAsia="Palatino Linotype" w:hAnsi="Palatino Linotype" w:cs="Palatino Linotype"/>
          <w:sz w:val="22"/>
          <w:szCs w:val="22"/>
        </w:rPr>
        <w:t xml:space="preserve"> los motivos de inconformidad aducidos por </w:t>
      </w:r>
      <w:r w:rsidRPr="00582C28">
        <w:rPr>
          <w:rFonts w:ascii="Palatino Linotype" w:eastAsia="Palatino Linotype" w:hAnsi="Palatino Linotype" w:cs="Palatino Linotype"/>
          <w:b/>
          <w:sz w:val="22"/>
          <w:szCs w:val="22"/>
        </w:rPr>
        <w:t>la parte</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Recurrente</w:t>
      </w:r>
      <w:r w:rsidRPr="00582C28">
        <w:rPr>
          <w:rFonts w:ascii="Palatino Linotype" w:eastAsia="Palatino Linotype" w:hAnsi="Palatino Linotype" w:cs="Palatino Linotype"/>
          <w:sz w:val="22"/>
          <w:szCs w:val="22"/>
        </w:rPr>
        <w:t xml:space="preserve"> en el recurso de revisión </w:t>
      </w:r>
      <w:r w:rsidR="003D5F0E" w:rsidRPr="00582C28">
        <w:rPr>
          <w:rFonts w:ascii="Palatino Linotype" w:eastAsia="Palatino Linotype" w:hAnsi="Palatino Linotype" w:cs="Palatino Linotype"/>
          <w:b/>
          <w:sz w:val="22"/>
          <w:szCs w:val="22"/>
        </w:rPr>
        <w:t>03479/INFOEM/IP/RR/2025</w:t>
      </w:r>
      <w:r w:rsidRPr="00582C28">
        <w:rPr>
          <w:rFonts w:ascii="Palatino Linotype" w:eastAsia="Palatino Linotype" w:hAnsi="Palatino Linotype" w:cs="Palatino Linotype"/>
          <w:sz w:val="22"/>
          <w:szCs w:val="22"/>
        </w:rPr>
        <w:t xml:space="preserve">; por lo que, en términos de los argumentos señalados en el </w:t>
      </w:r>
      <w:r w:rsidRPr="00582C28">
        <w:rPr>
          <w:rFonts w:ascii="Palatino Linotype" w:eastAsia="Palatino Linotype" w:hAnsi="Palatino Linotype" w:cs="Palatino Linotype"/>
          <w:b/>
          <w:sz w:val="22"/>
          <w:szCs w:val="22"/>
        </w:rPr>
        <w:t>Considerando Cuarto</w:t>
      </w:r>
      <w:r w:rsidRPr="00582C28">
        <w:rPr>
          <w:rFonts w:ascii="Palatino Linotype" w:eastAsia="Palatino Linotype" w:hAnsi="Palatino Linotype" w:cs="Palatino Linotype"/>
          <w:sz w:val="22"/>
          <w:szCs w:val="22"/>
        </w:rPr>
        <w:t xml:space="preserve">, se </w:t>
      </w:r>
      <w:r w:rsidRPr="00582C28">
        <w:rPr>
          <w:rFonts w:ascii="Palatino Linotype" w:eastAsia="Palatino Linotype" w:hAnsi="Palatino Linotype" w:cs="Palatino Linotype"/>
          <w:b/>
          <w:sz w:val="22"/>
          <w:szCs w:val="22"/>
        </w:rPr>
        <w:t>CONFIRMA</w:t>
      </w:r>
      <w:r w:rsidRPr="00582C28">
        <w:rPr>
          <w:rFonts w:ascii="Palatino Linotype" w:eastAsia="Palatino Linotype" w:hAnsi="Palatino Linotype" w:cs="Palatino Linotype"/>
          <w:sz w:val="22"/>
          <w:szCs w:val="22"/>
        </w:rPr>
        <w:t xml:space="preserve"> la respuesta emitida por el </w:t>
      </w:r>
      <w:r w:rsidRPr="00582C28">
        <w:rPr>
          <w:rFonts w:ascii="Palatino Linotype" w:eastAsia="Palatino Linotype" w:hAnsi="Palatino Linotype" w:cs="Palatino Linotype"/>
          <w:b/>
          <w:sz w:val="22"/>
          <w:szCs w:val="22"/>
        </w:rPr>
        <w:t>Sujeto Obligado.</w:t>
      </w:r>
    </w:p>
    <w:p w14:paraId="65784582" w14:textId="77777777" w:rsidR="00913325" w:rsidRPr="00582C28" w:rsidRDefault="00913325">
      <w:pPr>
        <w:spacing w:line="360" w:lineRule="auto"/>
        <w:rPr>
          <w:sz w:val="22"/>
          <w:szCs w:val="22"/>
        </w:rPr>
      </w:pPr>
    </w:p>
    <w:p w14:paraId="520F80AA" w14:textId="77777777" w:rsidR="00913325" w:rsidRPr="00582C28" w:rsidRDefault="00603069">
      <w:pPr>
        <w:spacing w:line="360" w:lineRule="auto"/>
        <w:jc w:val="both"/>
        <w:rPr>
          <w:sz w:val="22"/>
          <w:szCs w:val="22"/>
        </w:rPr>
      </w:pPr>
      <w:r w:rsidRPr="00582C28">
        <w:rPr>
          <w:rFonts w:ascii="Palatino Linotype" w:eastAsia="Palatino Linotype" w:hAnsi="Palatino Linotype" w:cs="Palatino Linotype"/>
          <w:b/>
          <w:sz w:val="22"/>
          <w:szCs w:val="22"/>
        </w:rPr>
        <w:t>Segundo</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Notifíquese</w:t>
      </w:r>
      <w:r w:rsidRPr="00582C28">
        <w:rPr>
          <w:rFonts w:ascii="Palatino Linotype" w:eastAsia="Palatino Linotype" w:hAnsi="Palatino Linotype" w:cs="Palatino Linotype"/>
          <w:sz w:val="22"/>
          <w:szCs w:val="22"/>
        </w:rPr>
        <w:t xml:space="preserve">, vía </w:t>
      </w:r>
      <w:r w:rsidRPr="00582C28">
        <w:rPr>
          <w:rFonts w:ascii="Palatino Linotype" w:eastAsia="Palatino Linotype" w:hAnsi="Palatino Linotype" w:cs="Palatino Linotype"/>
          <w:b/>
          <w:sz w:val="22"/>
          <w:szCs w:val="22"/>
        </w:rPr>
        <w:t>SAIMEX</w:t>
      </w:r>
      <w:r w:rsidRPr="00582C28">
        <w:rPr>
          <w:rFonts w:ascii="Palatino Linotype" w:eastAsia="Palatino Linotype" w:hAnsi="Palatino Linotype" w:cs="Palatino Linotype"/>
          <w:sz w:val="22"/>
          <w:szCs w:val="22"/>
        </w:rPr>
        <w:t xml:space="preserve">, al Titular de la Unidad de Transparencia del </w:t>
      </w:r>
      <w:r w:rsidRPr="00582C28">
        <w:rPr>
          <w:rFonts w:ascii="Palatino Linotype" w:eastAsia="Palatino Linotype" w:hAnsi="Palatino Linotype" w:cs="Palatino Linotype"/>
          <w:b/>
          <w:sz w:val="22"/>
          <w:szCs w:val="22"/>
        </w:rPr>
        <w:t>Sujeto Obligado</w:t>
      </w:r>
      <w:r w:rsidRPr="00582C28">
        <w:rPr>
          <w:rFonts w:ascii="Palatino Linotype" w:eastAsia="Palatino Linotype" w:hAnsi="Palatino Linotype" w:cs="Palatino Linotype"/>
          <w:sz w:val="22"/>
          <w:szCs w:val="22"/>
        </w:rPr>
        <w:t>, la presente resolución para su conocimiento.</w:t>
      </w:r>
    </w:p>
    <w:p w14:paraId="37C7DDF0" w14:textId="77777777" w:rsidR="00913325" w:rsidRPr="00582C28" w:rsidRDefault="00913325">
      <w:pPr>
        <w:spacing w:line="360" w:lineRule="auto"/>
        <w:rPr>
          <w:sz w:val="22"/>
          <w:szCs w:val="22"/>
        </w:rPr>
      </w:pPr>
    </w:p>
    <w:p w14:paraId="099A1469" w14:textId="77777777" w:rsidR="00913325" w:rsidRPr="00582C28" w:rsidRDefault="00603069">
      <w:pPr>
        <w:spacing w:line="360" w:lineRule="auto"/>
        <w:jc w:val="both"/>
        <w:rPr>
          <w:rFonts w:ascii="Palatino Linotype" w:eastAsia="Palatino Linotype" w:hAnsi="Palatino Linotype" w:cs="Palatino Linotype"/>
          <w:sz w:val="22"/>
          <w:szCs w:val="22"/>
        </w:rPr>
      </w:pPr>
      <w:r w:rsidRPr="00582C28">
        <w:rPr>
          <w:rFonts w:ascii="Palatino Linotype" w:eastAsia="Palatino Linotype" w:hAnsi="Palatino Linotype" w:cs="Palatino Linotype"/>
          <w:b/>
          <w:sz w:val="22"/>
          <w:szCs w:val="22"/>
        </w:rPr>
        <w:t xml:space="preserve">Tercero.  Notifíquese, </w:t>
      </w:r>
      <w:r w:rsidRPr="00582C28">
        <w:rPr>
          <w:rFonts w:ascii="Palatino Linotype" w:eastAsia="Palatino Linotype" w:hAnsi="Palatino Linotype" w:cs="Palatino Linotype"/>
          <w:sz w:val="22"/>
          <w:szCs w:val="22"/>
        </w:rPr>
        <w:t xml:space="preserve">a </w:t>
      </w:r>
      <w:r w:rsidRPr="00582C28">
        <w:rPr>
          <w:rFonts w:ascii="Palatino Linotype" w:eastAsia="Palatino Linotype" w:hAnsi="Palatino Linotype" w:cs="Palatino Linotype"/>
          <w:b/>
          <w:sz w:val="22"/>
          <w:szCs w:val="22"/>
        </w:rPr>
        <w:t>la parte</w:t>
      </w:r>
      <w:r w:rsidRPr="00582C28">
        <w:rPr>
          <w:rFonts w:ascii="Palatino Linotype" w:eastAsia="Palatino Linotype" w:hAnsi="Palatino Linotype" w:cs="Palatino Linotype"/>
          <w:sz w:val="22"/>
          <w:szCs w:val="22"/>
        </w:rPr>
        <w:t xml:space="preserve"> </w:t>
      </w:r>
      <w:r w:rsidRPr="00582C28">
        <w:rPr>
          <w:rFonts w:ascii="Palatino Linotype" w:eastAsia="Palatino Linotype" w:hAnsi="Palatino Linotype" w:cs="Palatino Linotype"/>
          <w:b/>
          <w:sz w:val="22"/>
          <w:szCs w:val="22"/>
        </w:rPr>
        <w:t>Recurrente</w:t>
      </w:r>
      <w:r w:rsidRPr="00582C28">
        <w:rPr>
          <w:rFonts w:ascii="Palatino Linotype" w:eastAsia="Palatino Linotype" w:hAnsi="Palatino Linotype" w:cs="Palatino Linotype"/>
          <w:sz w:val="22"/>
          <w:szCs w:val="22"/>
        </w:rPr>
        <w:t xml:space="preserve"> la presente resolución vía </w:t>
      </w:r>
      <w:r w:rsidRPr="00582C28">
        <w:rPr>
          <w:rFonts w:ascii="Palatino Linotype" w:eastAsia="Palatino Linotype" w:hAnsi="Palatino Linotype" w:cs="Palatino Linotype"/>
          <w:b/>
          <w:sz w:val="22"/>
          <w:szCs w:val="22"/>
        </w:rPr>
        <w:t>SAIMEX</w:t>
      </w:r>
      <w:r w:rsidRPr="00582C28">
        <w:rPr>
          <w:rFonts w:ascii="Palatino Linotype" w:eastAsia="Palatino Linotype" w:hAnsi="Palatino Linotype" w:cs="Palatino Linotype"/>
          <w:sz w:val="22"/>
          <w:szCs w:val="22"/>
        </w:rPr>
        <w:t>, así como que de conformidad con lo establecido en el artículo 196 de la Ley de Transparencia y Acceso a la Información Pública del Estado de México y Municipios podrá impugnarla vía Juicio de Amparo en los términos de las leyes aplicables.</w:t>
      </w:r>
    </w:p>
    <w:p w14:paraId="770DB9E9" w14:textId="77777777" w:rsidR="00913325" w:rsidRPr="00582C28" w:rsidRDefault="00913325">
      <w:pPr>
        <w:spacing w:line="360" w:lineRule="auto"/>
        <w:jc w:val="both"/>
        <w:rPr>
          <w:rFonts w:ascii="Palatino Linotype" w:eastAsia="Palatino Linotype" w:hAnsi="Palatino Linotype" w:cs="Palatino Linotype"/>
          <w:sz w:val="22"/>
          <w:szCs w:val="22"/>
        </w:rPr>
      </w:pPr>
    </w:p>
    <w:p w14:paraId="64A22191" w14:textId="77777777" w:rsidR="00913325" w:rsidRPr="003F18C2" w:rsidRDefault="00603069">
      <w:pPr>
        <w:spacing w:line="360" w:lineRule="auto"/>
        <w:jc w:val="both"/>
        <w:rPr>
          <w:rFonts w:ascii="Palatino Linotype" w:eastAsia="Palatino Linotype" w:hAnsi="Palatino Linotype" w:cs="Palatino Linotype"/>
        </w:rPr>
      </w:pPr>
      <w:r w:rsidRPr="00582C2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582C28">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w:t>
      </w:r>
      <w:r w:rsidR="003D5F0E" w:rsidRPr="00582C28">
        <w:rPr>
          <w:rFonts w:ascii="Palatino Linotype" w:eastAsia="Palatino Linotype" w:hAnsi="Palatino Linotype" w:cs="Palatino Linotype"/>
        </w:rPr>
        <w:t>VIGÉSIMA SEGUNDA</w:t>
      </w:r>
      <w:r w:rsidRPr="00582C28">
        <w:rPr>
          <w:rFonts w:ascii="Palatino Linotype" w:eastAsia="Palatino Linotype" w:hAnsi="Palatino Linotype" w:cs="Palatino Linotype"/>
        </w:rPr>
        <w:t xml:space="preserve"> SESIÓN ORDINARIA, CELEBRADA EL </w:t>
      </w:r>
      <w:r w:rsidR="003D5F0E" w:rsidRPr="00582C28">
        <w:rPr>
          <w:rFonts w:ascii="Palatino Linotype" w:eastAsia="Palatino Linotype" w:hAnsi="Palatino Linotype" w:cs="Palatino Linotype"/>
        </w:rPr>
        <w:t>DIECIOCHO DE JUNIO</w:t>
      </w:r>
      <w:r w:rsidRPr="00582C28">
        <w:rPr>
          <w:rFonts w:ascii="Palatino Linotype" w:eastAsia="Palatino Linotype" w:hAnsi="Palatino Linotype" w:cs="Palatino Linotype"/>
        </w:rPr>
        <w:t xml:space="preserve"> DE DOS MIL VEINTICINCO, ANTE EL SECRETARIO TÉCNICO DEL PLENO ALEXIS TAPIA RAMÍREZ.</w:t>
      </w:r>
      <w:r w:rsidRPr="003F18C2">
        <w:rPr>
          <w:rFonts w:ascii="Palatino Linotype" w:eastAsia="Palatino Linotype" w:hAnsi="Palatino Linotype" w:cs="Palatino Linotype"/>
        </w:rPr>
        <w:t xml:space="preserve"> </w:t>
      </w:r>
    </w:p>
    <w:p w14:paraId="3AEEB6AE" w14:textId="77777777" w:rsidR="00913325" w:rsidRPr="003F18C2" w:rsidRDefault="00913325">
      <w:pPr>
        <w:rPr>
          <w:rFonts w:ascii="Palatino Linotype" w:eastAsia="Palatino Linotype" w:hAnsi="Palatino Linotype" w:cs="Palatino Linotype"/>
        </w:rPr>
      </w:pPr>
    </w:p>
    <w:p w14:paraId="72E3067A" w14:textId="77777777" w:rsidR="00913325" w:rsidRPr="003F18C2" w:rsidRDefault="00913325">
      <w:pPr>
        <w:rPr>
          <w:rFonts w:ascii="Palatino Linotype" w:eastAsia="Palatino Linotype" w:hAnsi="Palatino Linotype" w:cs="Palatino Linotype"/>
        </w:rPr>
      </w:pPr>
    </w:p>
    <w:p w14:paraId="0A7C6B49" w14:textId="77777777" w:rsidR="00913325" w:rsidRPr="003F18C2" w:rsidRDefault="00913325">
      <w:pPr>
        <w:spacing w:line="360" w:lineRule="auto"/>
        <w:jc w:val="both"/>
        <w:rPr>
          <w:rFonts w:ascii="Palatino Linotype" w:eastAsia="Palatino Linotype" w:hAnsi="Palatino Linotype" w:cs="Palatino Linotype"/>
        </w:rPr>
      </w:pPr>
      <w:bookmarkStart w:id="10" w:name="_heading=h.3rdcrjn" w:colFirst="0" w:colLast="0"/>
      <w:bookmarkEnd w:id="10"/>
    </w:p>
    <w:p w14:paraId="622C97D3" w14:textId="77777777" w:rsidR="00913325" w:rsidRPr="003F18C2" w:rsidRDefault="00913325">
      <w:pPr>
        <w:spacing w:line="360" w:lineRule="auto"/>
        <w:jc w:val="both"/>
        <w:rPr>
          <w:rFonts w:ascii="Palatino Linotype" w:eastAsia="Palatino Linotype" w:hAnsi="Palatino Linotype" w:cs="Palatino Linotype"/>
        </w:rPr>
      </w:pPr>
    </w:p>
    <w:p w14:paraId="63C95E5B" w14:textId="77777777" w:rsidR="00913325" w:rsidRPr="003F18C2" w:rsidRDefault="00913325">
      <w:pPr>
        <w:spacing w:line="360" w:lineRule="auto"/>
        <w:jc w:val="both"/>
        <w:rPr>
          <w:rFonts w:ascii="Palatino Linotype" w:eastAsia="Palatino Linotype" w:hAnsi="Palatino Linotype" w:cs="Palatino Linotype"/>
        </w:rPr>
      </w:pPr>
    </w:p>
    <w:p w14:paraId="3F35A7B2" w14:textId="77777777" w:rsidR="00913325" w:rsidRPr="003F18C2" w:rsidRDefault="00913325">
      <w:pPr>
        <w:spacing w:line="360" w:lineRule="auto"/>
        <w:jc w:val="both"/>
        <w:rPr>
          <w:rFonts w:ascii="Palatino Linotype" w:eastAsia="Palatino Linotype" w:hAnsi="Palatino Linotype" w:cs="Palatino Linotype"/>
        </w:rPr>
      </w:pPr>
      <w:bookmarkStart w:id="11" w:name="_heading=h.1t3h5sf" w:colFirst="0" w:colLast="0"/>
      <w:bookmarkEnd w:id="11"/>
    </w:p>
    <w:p w14:paraId="086F1AF4" w14:textId="77777777" w:rsidR="00913325" w:rsidRPr="003F18C2" w:rsidRDefault="00913325">
      <w:pPr>
        <w:spacing w:line="360" w:lineRule="auto"/>
        <w:jc w:val="both"/>
        <w:rPr>
          <w:rFonts w:ascii="Palatino Linotype" w:eastAsia="Palatino Linotype" w:hAnsi="Palatino Linotype" w:cs="Palatino Linotype"/>
        </w:rPr>
      </w:pPr>
    </w:p>
    <w:p w14:paraId="2969BA77" w14:textId="77777777" w:rsidR="00913325" w:rsidRPr="003F18C2" w:rsidRDefault="00913325">
      <w:pPr>
        <w:spacing w:line="360" w:lineRule="auto"/>
        <w:jc w:val="both"/>
        <w:rPr>
          <w:rFonts w:ascii="Palatino Linotype" w:eastAsia="Palatino Linotype" w:hAnsi="Palatino Linotype" w:cs="Palatino Linotype"/>
        </w:rPr>
      </w:pPr>
    </w:p>
    <w:p w14:paraId="58232711" w14:textId="77777777" w:rsidR="00913325" w:rsidRPr="003F18C2" w:rsidRDefault="00913325">
      <w:pPr>
        <w:spacing w:line="360" w:lineRule="auto"/>
        <w:jc w:val="both"/>
        <w:rPr>
          <w:rFonts w:ascii="Palatino Linotype" w:eastAsia="Palatino Linotype" w:hAnsi="Palatino Linotype" w:cs="Palatino Linotype"/>
        </w:rPr>
      </w:pPr>
    </w:p>
    <w:p w14:paraId="579EAE16" w14:textId="77777777" w:rsidR="00913325" w:rsidRPr="003F18C2" w:rsidRDefault="00913325">
      <w:pPr>
        <w:spacing w:line="360" w:lineRule="auto"/>
        <w:jc w:val="both"/>
        <w:rPr>
          <w:rFonts w:ascii="Palatino Linotype" w:eastAsia="Palatino Linotype" w:hAnsi="Palatino Linotype" w:cs="Palatino Linotype"/>
        </w:rPr>
      </w:pPr>
    </w:p>
    <w:p w14:paraId="7D8965F1" w14:textId="77777777" w:rsidR="00913325" w:rsidRPr="003F18C2" w:rsidRDefault="00913325">
      <w:pPr>
        <w:spacing w:line="360" w:lineRule="auto"/>
        <w:jc w:val="both"/>
        <w:rPr>
          <w:rFonts w:ascii="Palatino Linotype" w:eastAsia="Palatino Linotype" w:hAnsi="Palatino Linotype" w:cs="Palatino Linotype"/>
        </w:rPr>
      </w:pPr>
    </w:p>
    <w:p w14:paraId="1B18DA98" w14:textId="77777777" w:rsidR="00913325" w:rsidRPr="003F18C2" w:rsidRDefault="00913325">
      <w:pPr>
        <w:spacing w:line="360" w:lineRule="auto"/>
        <w:jc w:val="both"/>
        <w:rPr>
          <w:rFonts w:ascii="Palatino Linotype" w:eastAsia="Palatino Linotype" w:hAnsi="Palatino Linotype" w:cs="Palatino Linotype"/>
        </w:rPr>
      </w:pPr>
    </w:p>
    <w:p w14:paraId="2386BF6E" w14:textId="77777777" w:rsidR="00913325" w:rsidRPr="003F18C2" w:rsidRDefault="00913325">
      <w:pPr>
        <w:spacing w:line="360" w:lineRule="auto"/>
        <w:jc w:val="both"/>
        <w:rPr>
          <w:rFonts w:ascii="Palatino Linotype" w:eastAsia="Palatino Linotype" w:hAnsi="Palatino Linotype" w:cs="Palatino Linotype"/>
        </w:rPr>
      </w:pPr>
    </w:p>
    <w:p w14:paraId="036A9A02" w14:textId="77777777" w:rsidR="00913325" w:rsidRPr="003F18C2" w:rsidRDefault="00913325">
      <w:pPr>
        <w:spacing w:line="360" w:lineRule="auto"/>
        <w:jc w:val="both"/>
        <w:rPr>
          <w:rFonts w:ascii="Palatino Linotype" w:eastAsia="Palatino Linotype" w:hAnsi="Palatino Linotype" w:cs="Palatino Linotype"/>
        </w:rPr>
      </w:pPr>
    </w:p>
    <w:p w14:paraId="2BA2F74D" w14:textId="77777777" w:rsidR="00913325" w:rsidRPr="003F18C2" w:rsidRDefault="00913325">
      <w:pPr>
        <w:spacing w:line="360" w:lineRule="auto"/>
        <w:jc w:val="both"/>
        <w:rPr>
          <w:rFonts w:ascii="Palatino Linotype" w:eastAsia="Palatino Linotype" w:hAnsi="Palatino Linotype" w:cs="Palatino Linotype"/>
        </w:rPr>
      </w:pPr>
    </w:p>
    <w:p w14:paraId="25F5FDC5" w14:textId="77777777" w:rsidR="00913325" w:rsidRPr="003F18C2" w:rsidRDefault="00913325">
      <w:pPr>
        <w:spacing w:line="360" w:lineRule="auto"/>
        <w:jc w:val="both"/>
        <w:rPr>
          <w:rFonts w:ascii="Palatino Linotype" w:eastAsia="Palatino Linotype" w:hAnsi="Palatino Linotype" w:cs="Palatino Linotype"/>
        </w:rPr>
      </w:pPr>
    </w:p>
    <w:p w14:paraId="69153C44" w14:textId="77777777" w:rsidR="00913325" w:rsidRPr="003F18C2" w:rsidRDefault="00913325">
      <w:pPr>
        <w:spacing w:line="360" w:lineRule="auto"/>
        <w:jc w:val="both"/>
        <w:rPr>
          <w:rFonts w:ascii="Palatino Linotype" w:eastAsia="Palatino Linotype" w:hAnsi="Palatino Linotype" w:cs="Palatino Linotype"/>
        </w:rPr>
      </w:pPr>
    </w:p>
    <w:p w14:paraId="6EB5E467" w14:textId="77777777" w:rsidR="00913325" w:rsidRPr="003F18C2" w:rsidRDefault="00913325">
      <w:pPr>
        <w:spacing w:line="360" w:lineRule="auto"/>
        <w:jc w:val="both"/>
        <w:rPr>
          <w:rFonts w:ascii="Palatino Linotype" w:eastAsia="Palatino Linotype" w:hAnsi="Palatino Linotype" w:cs="Palatino Linotype"/>
        </w:rPr>
      </w:pPr>
    </w:p>
    <w:p w14:paraId="53082C3E" w14:textId="77777777" w:rsidR="00913325" w:rsidRPr="003F18C2" w:rsidRDefault="00913325">
      <w:pPr>
        <w:spacing w:line="360" w:lineRule="auto"/>
        <w:jc w:val="both"/>
        <w:rPr>
          <w:rFonts w:ascii="Palatino Linotype" w:eastAsia="Palatino Linotype" w:hAnsi="Palatino Linotype" w:cs="Palatino Linotype"/>
        </w:rPr>
      </w:pPr>
    </w:p>
    <w:p w14:paraId="7B9624DB" w14:textId="77777777" w:rsidR="00913325" w:rsidRPr="003F18C2" w:rsidRDefault="00913325">
      <w:pPr>
        <w:spacing w:line="360" w:lineRule="auto"/>
        <w:jc w:val="both"/>
        <w:rPr>
          <w:rFonts w:ascii="Palatino Linotype" w:eastAsia="Palatino Linotype" w:hAnsi="Palatino Linotype" w:cs="Palatino Linotype"/>
        </w:rPr>
      </w:pPr>
    </w:p>
    <w:p w14:paraId="4A10D9B2" w14:textId="77777777" w:rsidR="00913325" w:rsidRPr="003F18C2" w:rsidRDefault="00913325">
      <w:pPr>
        <w:spacing w:line="360" w:lineRule="auto"/>
        <w:jc w:val="both"/>
        <w:rPr>
          <w:rFonts w:ascii="Palatino Linotype" w:eastAsia="Palatino Linotype" w:hAnsi="Palatino Linotype" w:cs="Palatino Linotype"/>
        </w:rPr>
      </w:pPr>
    </w:p>
    <w:p w14:paraId="037C707D" w14:textId="77777777" w:rsidR="00913325" w:rsidRPr="003F18C2" w:rsidRDefault="00913325">
      <w:pPr>
        <w:spacing w:line="360" w:lineRule="auto"/>
        <w:jc w:val="both"/>
        <w:rPr>
          <w:rFonts w:ascii="Palatino Linotype" w:eastAsia="Palatino Linotype" w:hAnsi="Palatino Linotype" w:cs="Palatino Linotype"/>
        </w:rPr>
      </w:pPr>
    </w:p>
    <w:p w14:paraId="57F41153" w14:textId="77777777" w:rsidR="00913325" w:rsidRPr="003F18C2" w:rsidRDefault="00913325">
      <w:pPr>
        <w:spacing w:line="360" w:lineRule="auto"/>
        <w:jc w:val="both"/>
        <w:rPr>
          <w:rFonts w:ascii="Palatino Linotype" w:eastAsia="Palatino Linotype" w:hAnsi="Palatino Linotype" w:cs="Palatino Linotype"/>
        </w:rPr>
      </w:pPr>
    </w:p>
    <w:p w14:paraId="4949738B" w14:textId="77777777" w:rsidR="00913325" w:rsidRPr="003F18C2" w:rsidRDefault="00913325">
      <w:pPr>
        <w:spacing w:line="360" w:lineRule="auto"/>
        <w:jc w:val="both"/>
        <w:rPr>
          <w:rFonts w:ascii="Palatino Linotype" w:eastAsia="Palatino Linotype" w:hAnsi="Palatino Linotype" w:cs="Palatino Linotype"/>
        </w:rPr>
      </w:pPr>
    </w:p>
    <w:p w14:paraId="21E285E5" w14:textId="77777777" w:rsidR="00913325" w:rsidRPr="003F18C2" w:rsidRDefault="00913325">
      <w:pPr>
        <w:spacing w:line="360" w:lineRule="auto"/>
        <w:jc w:val="both"/>
        <w:rPr>
          <w:rFonts w:ascii="Palatino Linotype" w:eastAsia="Palatino Linotype" w:hAnsi="Palatino Linotype" w:cs="Palatino Linotype"/>
        </w:rPr>
      </w:pPr>
    </w:p>
    <w:sectPr w:rsidR="00913325" w:rsidRPr="003F18C2">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8752" w14:textId="77777777" w:rsidR="00053715" w:rsidRDefault="00053715">
      <w:r>
        <w:separator/>
      </w:r>
    </w:p>
  </w:endnote>
  <w:endnote w:type="continuationSeparator" w:id="0">
    <w:p w14:paraId="444E6D43" w14:textId="77777777" w:rsidR="00053715" w:rsidRDefault="0005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2952" w14:textId="77777777" w:rsidR="00163594" w:rsidRDefault="001635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74EF">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74EF">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A4F0AEA" w14:textId="77777777" w:rsidR="00163594" w:rsidRDefault="0016359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AE0E" w14:textId="77777777" w:rsidR="00163594" w:rsidRDefault="001635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674E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674EF">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06F55A9" w14:textId="77777777" w:rsidR="00163594" w:rsidRDefault="0016359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CC94" w14:textId="77777777" w:rsidR="00053715" w:rsidRDefault="00053715">
      <w:r>
        <w:separator/>
      </w:r>
    </w:p>
  </w:footnote>
  <w:footnote w:type="continuationSeparator" w:id="0">
    <w:p w14:paraId="20DB1915" w14:textId="77777777" w:rsidR="00053715" w:rsidRDefault="0005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1519" w14:textId="77777777" w:rsidR="00163594" w:rsidRDefault="00163594">
    <w:pPr>
      <w:rPr>
        <w:rFonts w:ascii="Cambria" w:eastAsia="Cambria" w:hAnsi="Cambria" w:cs="Cambria"/>
        <w:color w:val="000000"/>
      </w:rPr>
    </w:pPr>
    <w:r>
      <w:rPr>
        <w:noProof/>
      </w:rPr>
      <w:drawing>
        <wp:anchor distT="0" distB="0" distL="0" distR="0" simplePos="0" relativeHeight="251658240" behindDoc="1" locked="0" layoutInCell="1" hidden="0" allowOverlap="1" wp14:anchorId="28A03948" wp14:editId="25C2527A">
          <wp:simplePos x="0" y="0"/>
          <wp:positionH relativeFrom="column">
            <wp:posOffset>-1080110</wp:posOffset>
          </wp:positionH>
          <wp:positionV relativeFrom="paragraph">
            <wp:posOffset>-488285</wp:posOffset>
          </wp:positionV>
          <wp:extent cx="7809865" cy="10165715"/>
          <wp:effectExtent l="0" t="0" r="0" b="0"/>
          <wp:wrapNone/>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7087" w:type="dxa"/>
      <w:tblInd w:w="3261" w:type="dxa"/>
      <w:tblLayout w:type="fixed"/>
      <w:tblLook w:val="0400" w:firstRow="0" w:lastRow="0" w:firstColumn="0" w:lastColumn="0" w:noHBand="0" w:noVBand="1"/>
    </w:tblPr>
    <w:tblGrid>
      <w:gridCol w:w="2489"/>
      <w:gridCol w:w="4598"/>
    </w:tblGrid>
    <w:tr w:rsidR="00163594" w14:paraId="41D93553" w14:textId="77777777">
      <w:tc>
        <w:tcPr>
          <w:tcW w:w="2489" w:type="dxa"/>
          <w:shd w:val="clear" w:color="auto" w:fill="auto"/>
        </w:tcPr>
        <w:p w14:paraId="7DF34382" w14:textId="77777777" w:rsidR="00163594" w:rsidRDefault="001635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7871D3D9" w14:textId="77777777" w:rsidR="00163594" w:rsidRDefault="00163594">
          <w:pPr>
            <w:ind w:right="175"/>
            <w:jc w:val="both"/>
            <w:rPr>
              <w:rFonts w:ascii="Palatino Linotype" w:eastAsia="Palatino Linotype" w:hAnsi="Palatino Linotype" w:cs="Palatino Linotype"/>
              <w:b/>
              <w:sz w:val="22"/>
              <w:szCs w:val="22"/>
            </w:rPr>
          </w:pPr>
          <w:r w:rsidRPr="00F11776">
            <w:rPr>
              <w:rFonts w:ascii="Palatino Linotype" w:eastAsia="Palatino Linotype" w:hAnsi="Palatino Linotype" w:cs="Palatino Linotype"/>
              <w:b/>
              <w:sz w:val="22"/>
              <w:szCs w:val="22"/>
            </w:rPr>
            <w:t>03479/INFOEM/IP/RR/2025</w:t>
          </w:r>
        </w:p>
      </w:tc>
    </w:tr>
    <w:tr w:rsidR="00163594" w14:paraId="087A62D0" w14:textId="77777777">
      <w:trPr>
        <w:trHeight w:val="228"/>
      </w:trPr>
      <w:tc>
        <w:tcPr>
          <w:tcW w:w="2489" w:type="dxa"/>
          <w:shd w:val="clear" w:color="auto" w:fill="auto"/>
          <w:vAlign w:val="center"/>
        </w:tcPr>
        <w:p w14:paraId="44DF96FB" w14:textId="77777777" w:rsidR="00163594" w:rsidRDefault="001635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0AFEF41" w14:textId="77777777" w:rsidR="00163594" w:rsidRDefault="00163594" w:rsidP="00F11776">
          <w:pPr>
            <w:ind w:left="-45" w:right="735"/>
            <w:jc w:val="both"/>
            <w:rPr>
              <w:rFonts w:ascii="Palatino Linotype" w:eastAsia="Palatino Linotype" w:hAnsi="Palatino Linotype" w:cs="Palatino Linotype"/>
              <w:b/>
              <w:sz w:val="22"/>
              <w:szCs w:val="22"/>
            </w:rPr>
          </w:pPr>
          <w:r w:rsidRPr="00F11776">
            <w:rPr>
              <w:rFonts w:ascii="Palatino Linotype" w:eastAsia="Palatino Linotype" w:hAnsi="Palatino Linotype" w:cs="Palatino Linotype"/>
              <w:b/>
              <w:sz w:val="22"/>
              <w:szCs w:val="22"/>
            </w:rPr>
            <w:t>Ayuntamiento de Zinacantepec</w:t>
          </w:r>
        </w:p>
      </w:tc>
    </w:tr>
    <w:tr w:rsidR="00163594" w14:paraId="00EFFB30" w14:textId="77777777">
      <w:tc>
        <w:tcPr>
          <w:tcW w:w="2489" w:type="dxa"/>
          <w:shd w:val="clear" w:color="auto" w:fill="auto"/>
          <w:vAlign w:val="center"/>
        </w:tcPr>
        <w:p w14:paraId="5A2D8301" w14:textId="77777777" w:rsidR="00163594" w:rsidRDefault="0016359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1F07951B" w14:textId="77777777" w:rsidR="00163594" w:rsidRDefault="0016359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18413C4" w14:textId="77777777" w:rsidR="00163594" w:rsidRDefault="0016359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CDFD" w14:textId="77777777" w:rsidR="00163594" w:rsidRDefault="0016359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AE2EB90" wp14:editId="5E73B399">
          <wp:simplePos x="0" y="0"/>
          <wp:positionH relativeFrom="column">
            <wp:posOffset>-1079488</wp:posOffset>
          </wp:positionH>
          <wp:positionV relativeFrom="paragraph">
            <wp:posOffset>-328917</wp:posOffset>
          </wp:positionV>
          <wp:extent cx="7809865" cy="10165715"/>
          <wp:effectExtent l="0" t="0" r="0" b="0"/>
          <wp:wrapNone/>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6945" w:type="dxa"/>
      <w:tblInd w:w="3261" w:type="dxa"/>
      <w:tblLayout w:type="fixed"/>
      <w:tblLook w:val="0400" w:firstRow="0" w:lastRow="0" w:firstColumn="0" w:lastColumn="0" w:noHBand="0" w:noVBand="1"/>
    </w:tblPr>
    <w:tblGrid>
      <w:gridCol w:w="2551"/>
      <w:gridCol w:w="4394"/>
    </w:tblGrid>
    <w:tr w:rsidR="00163594" w14:paraId="03204ECF" w14:textId="77777777">
      <w:tc>
        <w:tcPr>
          <w:tcW w:w="2551" w:type="dxa"/>
          <w:shd w:val="clear" w:color="auto" w:fill="auto"/>
          <w:vAlign w:val="center"/>
        </w:tcPr>
        <w:p w14:paraId="05C22CDE" w14:textId="77777777" w:rsidR="00163594" w:rsidRDefault="001635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053FFED8" w14:textId="77777777" w:rsidR="00163594" w:rsidRDefault="00163594">
          <w:pPr>
            <w:tabs>
              <w:tab w:val="left" w:pos="3153"/>
            </w:tabs>
            <w:ind w:left="-45"/>
            <w:jc w:val="both"/>
            <w:rPr>
              <w:rFonts w:ascii="Palatino Linotype" w:eastAsia="Palatino Linotype" w:hAnsi="Palatino Linotype" w:cs="Palatino Linotype"/>
              <w:b/>
              <w:sz w:val="22"/>
              <w:szCs w:val="22"/>
            </w:rPr>
          </w:pPr>
          <w:r w:rsidRPr="00F11776">
            <w:rPr>
              <w:rFonts w:ascii="Palatino Linotype" w:eastAsia="Palatino Linotype" w:hAnsi="Palatino Linotype" w:cs="Palatino Linotype"/>
              <w:b/>
              <w:sz w:val="22"/>
              <w:szCs w:val="22"/>
            </w:rPr>
            <w:t>03479/INFOEM/IP/RR/2025</w:t>
          </w:r>
        </w:p>
      </w:tc>
    </w:tr>
    <w:tr w:rsidR="00163594" w14:paraId="6C9BE195" w14:textId="77777777">
      <w:trPr>
        <w:trHeight w:val="130"/>
      </w:trPr>
      <w:tc>
        <w:tcPr>
          <w:tcW w:w="2551" w:type="dxa"/>
          <w:shd w:val="clear" w:color="auto" w:fill="auto"/>
          <w:vAlign w:val="center"/>
        </w:tcPr>
        <w:p w14:paraId="097C005E" w14:textId="77777777" w:rsidR="00163594" w:rsidRDefault="001635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526CD38" w14:textId="77777777" w:rsidR="00163594" w:rsidRDefault="00163594">
          <w:pPr>
            <w:ind w:left="-45"/>
            <w:jc w:val="both"/>
            <w:rPr>
              <w:rFonts w:ascii="Palatino Linotype" w:eastAsia="Palatino Linotype" w:hAnsi="Palatino Linotype" w:cs="Palatino Linotype"/>
              <w:b/>
              <w:sz w:val="22"/>
              <w:szCs w:val="22"/>
            </w:rPr>
          </w:pPr>
        </w:p>
      </w:tc>
    </w:tr>
    <w:tr w:rsidR="00163594" w14:paraId="0B503250" w14:textId="77777777">
      <w:trPr>
        <w:trHeight w:val="228"/>
      </w:trPr>
      <w:tc>
        <w:tcPr>
          <w:tcW w:w="2551" w:type="dxa"/>
          <w:shd w:val="clear" w:color="auto" w:fill="auto"/>
          <w:vAlign w:val="center"/>
        </w:tcPr>
        <w:p w14:paraId="3329F29D" w14:textId="77777777" w:rsidR="00163594" w:rsidRDefault="001635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6B4D30A6" w14:textId="77777777" w:rsidR="00163594" w:rsidRDefault="00163594" w:rsidP="00F11776">
          <w:pPr>
            <w:ind w:left="-45" w:right="735"/>
            <w:jc w:val="both"/>
            <w:rPr>
              <w:rFonts w:ascii="Palatino Linotype" w:eastAsia="Palatino Linotype" w:hAnsi="Palatino Linotype" w:cs="Palatino Linotype"/>
              <w:b/>
              <w:sz w:val="22"/>
              <w:szCs w:val="22"/>
            </w:rPr>
          </w:pPr>
          <w:r w:rsidRPr="00F11776">
            <w:rPr>
              <w:rFonts w:ascii="Palatino Linotype" w:eastAsia="Palatino Linotype" w:hAnsi="Palatino Linotype" w:cs="Palatino Linotype"/>
              <w:b/>
              <w:sz w:val="22"/>
              <w:szCs w:val="22"/>
            </w:rPr>
            <w:t>Ayuntamiento de Zinacantepec</w:t>
          </w:r>
        </w:p>
      </w:tc>
    </w:tr>
    <w:tr w:rsidR="00163594" w14:paraId="0FA81C6D" w14:textId="77777777">
      <w:tc>
        <w:tcPr>
          <w:tcW w:w="2551" w:type="dxa"/>
          <w:shd w:val="clear" w:color="auto" w:fill="auto"/>
          <w:vAlign w:val="center"/>
        </w:tcPr>
        <w:p w14:paraId="1EA6F105" w14:textId="77777777" w:rsidR="00163594" w:rsidRDefault="0016359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05790B03" w14:textId="77777777" w:rsidR="00163594" w:rsidRDefault="0016359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574D20" w14:textId="77777777" w:rsidR="00163594" w:rsidRDefault="00163594">
    <w:pPr>
      <w:pBdr>
        <w:top w:val="nil"/>
        <w:left w:val="nil"/>
        <w:bottom w:val="nil"/>
        <w:right w:val="nil"/>
        <w:between w:val="nil"/>
      </w:pBdr>
      <w:tabs>
        <w:tab w:val="center" w:pos="4252"/>
        <w:tab w:val="right" w:pos="8504"/>
      </w:tabs>
      <w:rPr>
        <w:rFonts w:ascii="Cambria" w:eastAsia="Cambria" w:hAnsi="Cambria" w:cs="Cambria"/>
        <w:color w:val="000000"/>
      </w:rPr>
    </w:pPr>
  </w:p>
  <w:p w14:paraId="1336A210" w14:textId="77777777" w:rsidR="00163594" w:rsidRDefault="001635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D31"/>
    <w:multiLevelType w:val="multilevel"/>
    <w:tmpl w:val="0A50EB4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2CF41D6"/>
    <w:multiLevelType w:val="multilevel"/>
    <w:tmpl w:val="DC4A7F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D74232"/>
    <w:multiLevelType w:val="multilevel"/>
    <w:tmpl w:val="7676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C7182"/>
    <w:multiLevelType w:val="multilevel"/>
    <w:tmpl w:val="BDDE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532A7"/>
    <w:multiLevelType w:val="multilevel"/>
    <w:tmpl w:val="D0A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2DE4B6B"/>
    <w:multiLevelType w:val="hybridMultilevel"/>
    <w:tmpl w:val="120CB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526C46"/>
    <w:multiLevelType w:val="multilevel"/>
    <w:tmpl w:val="122C7A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1"/>
  </w:num>
  <w:num w:numId="3">
    <w:abstractNumId w:val="0"/>
  </w:num>
  <w:num w:numId="4">
    <w:abstractNumId w:val="5"/>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25"/>
    <w:rsid w:val="00014D80"/>
    <w:rsid w:val="00053715"/>
    <w:rsid w:val="000A65C7"/>
    <w:rsid w:val="000E0DE8"/>
    <w:rsid w:val="00163594"/>
    <w:rsid w:val="00225CC3"/>
    <w:rsid w:val="002A5F7D"/>
    <w:rsid w:val="003B5F60"/>
    <w:rsid w:val="003D5F0E"/>
    <w:rsid w:val="003F18C2"/>
    <w:rsid w:val="004935F6"/>
    <w:rsid w:val="00582C28"/>
    <w:rsid w:val="00603069"/>
    <w:rsid w:val="006674EF"/>
    <w:rsid w:val="00746EED"/>
    <w:rsid w:val="00836001"/>
    <w:rsid w:val="0088410E"/>
    <w:rsid w:val="00913325"/>
    <w:rsid w:val="00945CD1"/>
    <w:rsid w:val="00C33C33"/>
    <w:rsid w:val="00E0007F"/>
    <w:rsid w:val="00E634E1"/>
    <w:rsid w:val="00F11776"/>
    <w:rsid w:val="00FC4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5EC7"/>
  <w15:docId w15:val="{01C0F2A1-9CBA-4728-8D58-FED123C1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character" w:styleId="Hipervnculo">
    <w:name w:val="Hyperlink"/>
    <w:basedOn w:val="Fuentedeprrafopredeter"/>
    <w:uiPriority w:val="99"/>
    <w:semiHidden/>
    <w:unhideWhenUsed/>
    <w:rsid w:val="009C2C49"/>
    <w:rPr>
      <w:color w:val="0000FF"/>
      <w:u w:val="single"/>
    </w:r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962469">
      <w:bodyDiv w:val="1"/>
      <w:marLeft w:val="0"/>
      <w:marRight w:val="0"/>
      <w:marTop w:val="0"/>
      <w:marBottom w:val="0"/>
      <w:divBdr>
        <w:top w:val="none" w:sz="0" w:space="0" w:color="auto"/>
        <w:left w:val="none" w:sz="0" w:space="0" w:color="auto"/>
        <w:bottom w:val="none" w:sz="0" w:space="0" w:color="auto"/>
        <w:right w:val="none" w:sz="0" w:space="0" w:color="auto"/>
      </w:divBdr>
    </w:div>
    <w:div w:id="201865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zndTWHlEF8gcYJhNX/i+QcF5w==">CgMxLjAyCWguMWZvYjl0ZTIIaC5namRneHMyCWguM2R5NnZrbTIJaC4zMGowemxsMgloLjJzOGV5bzEyDmguMzluOGZ5Y3M1N3gzMghoLnR5amN3dDIJaC4zem55c2g3MgloLjJldDkycDAyCGgubG54Yno5MgloLjNyZGNyam4yCWguMXQzaDVzZjgAciExTEhsaGVBaGN2SWIyNEcwVW5oWXU0NUI1bV9KUlZCNFo=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7278</Words>
  <Characters>40035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2025-06-20T20:18:00Z</cp:lastPrinted>
  <dcterms:created xsi:type="dcterms:W3CDTF">2025-06-27T19:09:00Z</dcterms:created>
  <dcterms:modified xsi:type="dcterms:W3CDTF">2025-06-27T19:09:00Z</dcterms:modified>
</cp:coreProperties>
</file>