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CC82AE"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de fecha doce de marzo de dos mil veinticinco. </w:t>
      </w:r>
    </w:p>
    <w:p w14:paraId="0ABE2A33"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C65A9F7"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VISTOS </w:t>
      </w:r>
      <w:r w:rsidRPr="005426E1">
        <w:rPr>
          <w:rFonts w:ascii="Palatino Linotype" w:eastAsia="Palatino Linotype" w:hAnsi="Palatino Linotype" w:cs="Palatino Linotype"/>
          <w:sz w:val="22"/>
          <w:szCs w:val="22"/>
        </w:rPr>
        <w:t xml:space="preserve">los expedientes relativos a los recursos de revisión </w:t>
      </w:r>
      <w:r w:rsidRPr="005426E1">
        <w:rPr>
          <w:rFonts w:ascii="Palatino Linotype" w:eastAsia="Palatino Linotype" w:hAnsi="Palatino Linotype" w:cs="Palatino Linotype"/>
          <w:b/>
          <w:sz w:val="22"/>
          <w:szCs w:val="22"/>
        </w:rPr>
        <w:t xml:space="preserve">00654/INFOEM/IP/RR/2025, 00659/INFOEM/IP/RR/2025, 00660/INFOEM/IP/RR/2025 y 00661/INFOEM/IP/RR/2025 acumulados, </w:t>
      </w:r>
      <w:r w:rsidRPr="005426E1">
        <w:rPr>
          <w:rFonts w:ascii="Palatino Linotype" w:eastAsia="Palatino Linotype" w:hAnsi="Palatino Linotype" w:cs="Palatino Linotype"/>
          <w:sz w:val="22"/>
          <w:szCs w:val="22"/>
        </w:rPr>
        <w:t xml:space="preserve">interpuestos por un </w:t>
      </w:r>
      <w:r w:rsidRPr="005426E1">
        <w:rPr>
          <w:rFonts w:ascii="Palatino Linotype" w:eastAsia="Palatino Linotype" w:hAnsi="Palatino Linotype" w:cs="Palatino Linotype"/>
          <w:b/>
          <w:sz w:val="22"/>
          <w:szCs w:val="22"/>
        </w:rPr>
        <w:t>Usuario que no proporcionó su nombre</w:t>
      </w:r>
      <w:r w:rsidRPr="005426E1">
        <w:rPr>
          <w:rFonts w:ascii="Palatino Linotype" w:eastAsia="Palatino Linotype" w:hAnsi="Palatino Linotype" w:cs="Palatino Linotype"/>
          <w:sz w:val="22"/>
          <w:szCs w:val="22"/>
        </w:rPr>
        <w:t xml:space="preserve">, en lo sucesivo la parte </w:t>
      </w:r>
      <w:r w:rsidRPr="005426E1">
        <w:rPr>
          <w:rFonts w:ascii="Palatino Linotype" w:eastAsia="Palatino Linotype" w:hAnsi="Palatino Linotype" w:cs="Palatino Linotype"/>
          <w:b/>
          <w:sz w:val="22"/>
          <w:szCs w:val="22"/>
        </w:rPr>
        <w:t>Recurrente</w:t>
      </w:r>
      <w:r w:rsidRPr="005426E1">
        <w:rPr>
          <w:rFonts w:ascii="Palatino Linotype" w:eastAsia="Palatino Linotype" w:hAnsi="Palatino Linotype" w:cs="Palatino Linotype"/>
          <w:sz w:val="22"/>
          <w:szCs w:val="22"/>
        </w:rPr>
        <w:t xml:space="preserve">, en contra de la falta de respuesta a sus solicitudes de información por parte del </w:t>
      </w:r>
      <w:r w:rsidRPr="005426E1">
        <w:rPr>
          <w:rFonts w:ascii="Palatino Linotype" w:eastAsia="Palatino Linotype" w:hAnsi="Palatino Linotype" w:cs="Palatino Linotype"/>
          <w:b/>
          <w:sz w:val="22"/>
          <w:szCs w:val="22"/>
        </w:rPr>
        <w:t>Ayuntamiento de Toluca</w:t>
      </w:r>
      <w:r w:rsidRPr="005426E1">
        <w:rPr>
          <w:rFonts w:ascii="Palatino Linotype" w:eastAsia="Palatino Linotype" w:hAnsi="Palatino Linotype" w:cs="Palatino Linotype"/>
          <w:sz w:val="22"/>
          <w:szCs w:val="22"/>
        </w:rPr>
        <w:t xml:space="preserve">, en lo sucesivo el </w:t>
      </w:r>
      <w:r w:rsidRPr="005426E1">
        <w:rPr>
          <w:rFonts w:ascii="Palatino Linotype" w:eastAsia="Palatino Linotype" w:hAnsi="Palatino Linotype" w:cs="Palatino Linotype"/>
          <w:b/>
          <w:sz w:val="22"/>
          <w:szCs w:val="22"/>
        </w:rPr>
        <w:t xml:space="preserve">Sujeto Obligado; </w:t>
      </w:r>
      <w:r w:rsidRPr="005426E1">
        <w:rPr>
          <w:rFonts w:ascii="Palatino Linotype" w:eastAsia="Palatino Linotype" w:hAnsi="Palatino Linotype" w:cs="Palatino Linotype"/>
          <w:sz w:val="22"/>
          <w:szCs w:val="22"/>
        </w:rPr>
        <w:t>se procede a dictar la presente resolución, con base en lo siguiente.</w:t>
      </w:r>
    </w:p>
    <w:p w14:paraId="23362E7E"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70A24F5E" w14:textId="77777777" w:rsidR="008B17FE" w:rsidRPr="005426E1" w:rsidRDefault="006F5C2E">
      <w:pPr>
        <w:spacing w:line="360" w:lineRule="auto"/>
        <w:ind w:right="49"/>
        <w:jc w:val="center"/>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I.</w:t>
      </w:r>
      <w:r w:rsidRPr="005426E1">
        <w:rPr>
          <w:rFonts w:ascii="Palatino Linotype" w:eastAsia="Palatino Linotype" w:hAnsi="Palatino Linotype" w:cs="Palatino Linotype"/>
          <w:b/>
          <w:sz w:val="22"/>
          <w:szCs w:val="22"/>
        </w:rPr>
        <w:tab/>
        <w:t>A N T E C E D E N T E S</w:t>
      </w:r>
    </w:p>
    <w:p w14:paraId="1DCBC0D0"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2CB0A230"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1.</w:t>
      </w:r>
      <w:r w:rsidRPr="005426E1">
        <w:rPr>
          <w:rFonts w:ascii="Palatino Linotype" w:eastAsia="Palatino Linotype" w:hAnsi="Palatino Linotype" w:cs="Palatino Linotype"/>
          <w:sz w:val="22"/>
          <w:szCs w:val="22"/>
        </w:rPr>
        <w:t xml:space="preserve"> </w:t>
      </w:r>
      <w:r w:rsidRPr="005426E1">
        <w:rPr>
          <w:rFonts w:ascii="Palatino Linotype" w:eastAsia="Palatino Linotype" w:hAnsi="Palatino Linotype" w:cs="Palatino Linotype"/>
          <w:b/>
          <w:sz w:val="22"/>
          <w:szCs w:val="22"/>
        </w:rPr>
        <w:t xml:space="preserve">Solicitudes de Acceso a la Información. </w:t>
      </w:r>
      <w:r w:rsidRPr="005426E1">
        <w:rPr>
          <w:rFonts w:ascii="Palatino Linotype" w:eastAsia="Palatino Linotype" w:hAnsi="Palatino Linotype" w:cs="Palatino Linotype"/>
          <w:sz w:val="22"/>
          <w:szCs w:val="22"/>
        </w:rPr>
        <w:t xml:space="preserve">El </w:t>
      </w:r>
      <w:r w:rsidRPr="005426E1">
        <w:rPr>
          <w:rFonts w:ascii="Palatino Linotype" w:eastAsia="Palatino Linotype" w:hAnsi="Palatino Linotype" w:cs="Palatino Linotype"/>
          <w:b/>
          <w:sz w:val="22"/>
          <w:szCs w:val="22"/>
        </w:rPr>
        <w:t>seis de enero de dos mil veinticinco</w:t>
      </w:r>
      <w:r w:rsidRPr="005426E1">
        <w:rPr>
          <w:rFonts w:ascii="Palatino Linotype" w:eastAsia="Palatino Linotype" w:hAnsi="Palatino Linotype" w:cs="Palatino Linotype"/>
          <w:sz w:val="22"/>
          <w:szCs w:val="22"/>
        </w:rPr>
        <w:t xml:space="preserve">, </w:t>
      </w:r>
      <w:r w:rsidRPr="005426E1">
        <w:rPr>
          <w:rFonts w:ascii="Palatino Linotype" w:eastAsia="Palatino Linotype" w:hAnsi="Palatino Linotype" w:cs="Palatino Linotype"/>
          <w:b/>
          <w:sz w:val="22"/>
          <w:szCs w:val="22"/>
        </w:rPr>
        <w:t>LA PARTE</w:t>
      </w:r>
      <w:r w:rsidRPr="005426E1">
        <w:rPr>
          <w:rFonts w:ascii="Palatino Linotype" w:eastAsia="Palatino Linotype" w:hAnsi="Palatino Linotype" w:cs="Palatino Linotype"/>
          <w:sz w:val="22"/>
          <w:szCs w:val="22"/>
        </w:rPr>
        <w:t xml:space="preserve"> </w:t>
      </w:r>
      <w:r w:rsidRPr="005426E1">
        <w:rPr>
          <w:rFonts w:ascii="Palatino Linotype" w:eastAsia="Palatino Linotype" w:hAnsi="Palatino Linotype" w:cs="Palatino Linotype"/>
          <w:b/>
          <w:sz w:val="22"/>
          <w:szCs w:val="22"/>
        </w:rPr>
        <w:t>RECURRENTE</w:t>
      </w:r>
      <w:r w:rsidRPr="005426E1">
        <w:rPr>
          <w:rFonts w:ascii="Palatino Linotype" w:eastAsia="Palatino Linotype" w:hAnsi="Palatino Linotype" w:cs="Palatino Linotype"/>
          <w:sz w:val="22"/>
          <w:szCs w:val="22"/>
        </w:rPr>
        <w:t xml:space="preserve"> formuló solicitudes de acceso a información pública a través del </w:t>
      </w:r>
      <w:r w:rsidRPr="005426E1">
        <w:rPr>
          <w:rFonts w:ascii="Palatino Linotype" w:eastAsia="Palatino Linotype" w:hAnsi="Palatino Linotype" w:cs="Palatino Linotype"/>
          <w:b/>
          <w:sz w:val="22"/>
          <w:szCs w:val="22"/>
        </w:rPr>
        <w:t xml:space="preserve">SAIMEX; sin embargo, al corresponder a día inhábil, se tuvieron por presentadas el trece de enero de dos mil </w:t>
      </w:r>
      <w:proofErr w:type="gramStart"/>
      <w:r w:rsidRPr="005426E1">
        <w:rPr>
          <w:rFonts w:ascii="Palatino Linotype" w:eastAsia="Palatino Linotype" w:hAnsi="Palatino Linotype" w:cs="Palatino Linotype"/>
          <w:b/>
          <w:sz w:val="22"/>
          <w:szCs w:val="22"/>
        </w:rPr>
        <w:t xml:space="preserve">veinticinco, </w:t>
      </w:r>
      <w:r w:rsidRPr="005426E1">
        <w:rPr>
          <w:rFonts w:ascii="Palatino Linotype" w:eastAsia="Palatino Linotype" w:hAnsi="Palatino Linotype" w:cs="Palatino Linotype"/>
          <w:sz w:val="22"/>
          <w:szCs w:val="22"/>
        </w:rPr>
        <w:t xml:space="preserve"> en</w:t>
      </w:r>
      <w:proofErr w:type="gramEnd"/>
      <w:r w:rsidRPr="005426E1">
        <w:rPr>
          <w:rFonts w:ascii="Palatino Linotype" w:eastAsia="Palatino Linotype" w:hAnsi="Palatino Linotype" w:cs="Palatino Linotype"/>
          <w:sz w:val="22"/>
          <w:szCs w:val="22"/>
        </w:rPr>
        <w:t xml:space="preserve"> las que requirió lo siguiente:</w:t>
      </w:r>
    </w:p>
    <w:p w14:paraId="0F4ACEE0" w14:textId="77777777" w:rsidR="008B17FE" w:rsidRPr="005426E1" w:rsidRDefault="008B17FE">
      <w:pPr>
        <w:spacing w:line="360" w:lineRule="auto"/>
        <w:jc w:val="both"/>
        <w:rPr>
          <w:rFonts w:ascii="Palatino Linotype" w:eastAsia="Palatino Linotype" w:hAnsi="Palatino Linotype" w:cs="Palatino Linotype"/>
          <w:sz w:val="22"/>
          <w:szCs w:val="22"/>
        </w:rPr>
      </w:pPr>
    </w:p>
    <w:tbl>
      <w:tblPr>
        <w:tblStyle w:val="a"/>
        <w:tblW w:w="8926"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56"/>
        <w:gridCol w:w="5670"/>
      </w:tblGrid>
      <w:tr w:rsidR="005426E1" w:rsidRPr="005426E1" w14:paraId="1926815D" w14:textId="77777777">
        <w:tc>
          <w:tcPr>
            <w:tcW w:w="3256" w:type="dxa"/>
            <w:shd w:val="clear" w:color="auto" w:fill="D9D9D9"/>
          </w:tcPr>
          <w:p w14:paraId="43EF2D22" w14:textId="77777777" w:rsidR="008B17FE" w:rsidRPr="005426E1" w:rsidRDefault="006F5C2E">
            <w:pPr>
              <w:spacing w:line="360" w:lineRule="auto"/>
              <w:jc w:val="both"/>
              <w:rPr>
                <w:rFonts w:ascii="Palatino Linotype" w:eastAsia="Palatino Linotype" w:hAnsi="Palatino Linotype" w:cs="Palatino Linotype"/>
                <w:b/>
                <w:i/>
                <w:sz w:val="22"/>
                <w:szCs w:val="22"/>
              </w:rPr>
            </w:pPr>
            <w:bookmarkStart w:id="0" w:name="_heading=h.1fob9te" w:colFirst="0" w:colLast="0"/>
            <w:bookmarkEnd w:id="0"/>
            <w:r w:rsidRPr="005426E1">
              <w:rPr>
                <w:rFonts w:ascii="Palatino Linotype" w:eastAsia="Palatino Linotype" w:hAnsi="Palatino Linotype" w:cs="Palatino Linotype"/>
                <w:b/>
                <w:i/>
                <w:sz w:val="22"/>
                <w:szCs w:val="22"/>
              </w:rPr>
              <w:t>Número de solicitud</w:t>
            </w:r>
          </w:p>
        </w:tc>
        <w:tc>
          <w:tcPr>
            <w:tcW w:w="5670" w:type="dxa"/>
            <w:shd w:val="clear" w:color="auto" w:fill="D9D9D9"/>
          </w:tcPr>
          <w:p w14:paraId="49A34F50" w14:textId="77777777" w:rsidR="008B17FE" w:rsidRPr="005426E1" w:rsidRDefault="006F5C2E">
            <w:pPr>
              <w:spacing w:line="360" w:lineRule="auto"/>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Información requerida.</w:t>
            </w:r>
          </w:p>
        </w:tc>
      </w:tr>
      <w:tr w:rsidR="005426E1" w:rsidRPr="005426E1" w14:paraId="7513AE12" w14:textId="77777777">
        <w:trPr>
          <w:trHeight w:val="564"/>
        </w:trPr>
        <w:tc>
          <w:tcPr>
            <w:tcW w:w="3256" w:type="dxa"/>
          </w:tcPr>
          <w:p w14:paraId="753D8354" w14:textId="77777777" w:rsidR="008B17FE" w:rsidRPr="005426E1" w:rsidRDefault="006F5C2E">
            <w:pPr>
              <w:spacing w:line="360" w:lineRule="auto"/>
              <w:jc w:val="both"/>
              <w:rPr>
                <w:rFonts w:ascii="Palatino Linotype" w:eastAsia="Palatino Linotype" w:hAnsi="Palatino Linotype" w:cs="Palatino Linotype"/>
                <w:b/>
                <w:i/>
                <w:sz w:val="22"/>
                <w:szCs w:val="22"/>
              </w:rPr>
            </w:pPr>
            <w:bookmarkStart w:id="1" w:name="_heading=h.3znysh7" w:colFirst="0" w:colLast="0"/>
            <w:bookmarkEnd w:id="1"/>
            <w:r w:rsidRPr="005426E1">
              <w:rPr>
                <w:rFonts w:ascii="Palatino Linotype" w:eastAsia="Palatino Linotype" w:hAnsi="Palatino Linotype" w:cs="Palatino Linotype"/>
                <w:b/>
                <w:i/>
                <w:sz w:val="22"/>
                <w:szCs w:val="22"/>
              </w:rPr>
              <w:t>00138/TOLUCA/IP/2025</w:t>
            </w:r>
          </w:p>
        </w:tc>
        <w:tc>
          <w:tcPr>
            <w:tcW w:w="5670" w:type="dxa"/>
          </w:tcPr>
          <w:p w14:paraId="53E436B5" w14:textId="77777777" w:rsidR="008B17FE" w:rsidRPr="005426E1" w:rsidRDefault="006F5C2E">
            <w:pPr>
              <w:spacing w:line="360" w:lineRule="auto"/>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Se solicitan todas las denuncias recibidas en derechos humanos y su resolución de julio a diciembre 2022.</w:t>
            </w:r>
          </w:p>
        </w:tc>
      </w:tr>
      <w:tr w:rsidR="005426E1" w:rsidRPr="005426E1" w14:paraId="5DB9AE24" w14:textId="77777777">
        <w:tc>
          <w:tcPr>
            <w:tcW w:w="3256" w:type="dxa"/>
          </w:tcPr>
          <w:p w14:paraId="0F09CD19"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i/>
                <w:sz w:val="22"/>
                <w:szCs w:val="22"/>
              </w:rPr>
              <w:t>00137/TOLUCA/IP/2025</w:t>
            </w:r>
          </w:p>
        </w:tc>
        <w:tc>
          <w:tcPr>
            <w:tcW w:w="5670" w:type="dxa"/>
          </w:tcPr>
          <w:p w14:paraId="060DE292" w14:textId="77777777" w:rsidR="008B17FE" w:rsidRPr="005426E1" w:rsidRDefault="006F5C2E">
            <w:pPr>
              <w:spacing w:line="360" w:lineRule="auto"/>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Se solicitan todas las denuncias recibidas en derechos humanos y su resolución de enero a junio 2022.</w:t>
            </w:r>
          </w:p>
        </w:tc>
      </w:tr>
      <w:tr w:rsidR="005426E1" w:rsidRPr="005426E1" w14:paraId="3173332A" w14:textId="77777777">
        <w:tc>
          <w:tcPr>
            <w:tcW w:w="3256" w:type="dxa"/>
          </w:tcPr>
          <w:p w14:paraId="375A7046"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i/>
                <w:sz w:val="22"/>
                <w:szCs w:val="22"/>
              </w:rPr>
              <w:lastRenderedPageBreak/>
              <w:t>00139/TOLUCA/IP/2025</w:t>
            </w:r>
          </w:p>
        </w:tc>
        <w:tc>
          <w:tcPr>
            <w:tcW w:w="5670" w:type="dxa"/>
          </w:tcPr>
          <w:p w14:paraId="2391F510" w14:textId="77777777" w:rsidR="008B17FE" w:rsidRPr="005426E1" w:rsidRDefault="006F5C2E">
            <w:pPr>
              <w:spacing w:line="360" w:lineRule="auto"/>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Se solicitan todas las denuncias recibidas en derechos humanos y su resolución de enero a junio 2019</w:t>
            </w:r>
          </w:p>
        </w:tc>
      </w:tr>
      <w:tr w:rsidR="005426E1" w:rsidRPr="005426E1" w14:paraId="23EC925E" w14:textId="77777777">
        <w:tc>
          <w:tcPr>
            <w:tcW w:w="3256" w:type="dxa"/>
          </w:tcPr>
          <w:p w14:paraId="2B7EAF9F"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i/>
                <w:sz w:val="22"/>
                <w:szCs w:val="22"/>
              </w:rPr>
              <w:t>00141/TOLUCA/IP/2025</w:t>
            </w:r>
          </w:p>
        </w:tc>
        <w:tc>
          <w:tcPr>
            <w:tcW w:w="5670" w:type="dxa"/>
          </w:tcPr>
          <w:p w14:paraId="362426AD" w14:textId="77777777" w:rsidR="008B17FE" w:rsidRPr="005426E1" w:rsidRDefault="006F5C2E">
            <w:pPr>
              <w:spacing w:line="360" w:lineRule="auto"/>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Se solicitan todas las denuncias recibidas en derechos humanos y su resolución de enero a junio 2021.</w:t>
            </w:r>
          </w:p>
        </w:tc>
      </w:tr>
    </w:tbl>
    <w:p w14:paraId="45B7D99E" w14:textId="77777777" w:rsidR="008B17FE" w:rsidRPr="005426E1" w:rsidRDefault="008B17FE">
      <w:pPr>
        <w:spacing w:line="360" w:lineRule="auto"/>
        <w:ind w:right="49"/>
        <w:jc w:val="both"/>
        <w:rPr>
          <w:rFonts w:ascii="Palatino Linotype" w:eastAsia="Palatino Linotype" w:hAnsi="Palatino Linotype" w:cs="Palatino Linotype"/>
          <w:b/>
          <w:sz w:val="22"/>
          <w:szCs w:val="22"/>
        </w:rPr>
      </w:pPr>
    </w:p>
    <w:p w14:paraId="39246874"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Modalidad elegida para la entrega de la información:</w:t>
      </w:r>
      <w:r w:rsidRPr="005426E1">
        <w:rPr>
          <w:rFonts w:ascii="Palatino Linotype" w:eastAsia="Palatino Linotype" w:hAnsi="Palatino Linotype" w:cs="Palatino Linotype"/>
          <w:sz w:val="22"/>
          <w:szCs w:val="22"/>
        </w:rPr>
        <w:t xml:space="preserve"> a través del Sistema de Acceso a la Información Mexiquense (SAIMEX). </w:t>
      </w:r>
    </w:p>
    <w:p w14:paraId="44C7ECC0"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44D26DF2" w14:textId="77777777" w:rsidR="008B17FE" w:rsidRPr="005426E1" w:rsidRDefault="006F5C2E">
      <w:pPr>
        <w:widowControl w:val="0"/>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2. Respuesta.</w:t>
      </w:r>
      <w:r w:rsidRPr="005426E1">
        <w:rPr>
          <w:rFonts w:ascii="Palatino Linotype" w:eastAsia="Palatino Linotype" w:hAnsi="Palatino Linotype" w:cs="Palatino Linotype"/>
          <w:sz w:val="22"/>
          <w:szCs w:val="22"/>
        </w:rPr>
        <w:t xml:space="preserve"> De las constancias que obran en el expediente electrónico del SAIMEX, se advierte que El Sujeto Obligado fue omiso en dar respuesta a las solicitudes de acceso a la información pública.  </w:t>
      </w:r>
    </w:p>
    <w:p w14:paraId="57D0C1D7" w14:textId="77777777" w:rsidR="008B17FE" w:rsidRPr="005426E1" w:rsidRDefault="008B17FE">
      <w:pPr>
        <w:widowControl w:val="0"/>
        <w:spacing w:line="360" w:lineRule="auto"/>
        <w:jc w:val="both"/>
        <w:rPr>
          <w:rFonts w:ascii="Palatino Linotype" w:eastAsia="Palatino Linotype" w:hAnsi="Palatino Linotype" w:cs="Palatino Linotype"/>
          <w:sz w:val="22"/>
          <w:szCs w:val="22"/>
        </w:rPr>
      </w:pPr>
    </w:p>
    <w:p w14:paraId="7EA948A4"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3. Del Recurso de Revisión. </w:t>
      </w:r>
      <w:r w:rsidRPr="005426E1">
        <w:rPr>
          <w:rFonts w:ascii="Palatino Linotype" w:eastAsia="Palatino Linotype" w:hAnsi="Palatino Linotype" w:cs="Palatino Linotype"/>
          <w:sz w:val="22"/>
          <w:szCs w:val="22"/>
        </w:rPr>
        <w:t>Inconforme con las respuestas del</w:t>
      </w:r>
      <w:r w:rsidRPr="005426E1">
        <w:rPr>
          <w:rFonts w:ascii="Palatino Linotype" w:eastAsia="Palatino Linotype" w:hAnsi="Palatino Linotype" w:cs="Palatino Linotype"/>
          <w:b/>
          <w:sz w:val="22"/>
          <w:szCs w:val="22"/>
        </w:rPr>
        <w:t xml:space="preserve"> SUJETO OBLIGADO, </w:t>
      </w:r>
      <w:r w:rsidRPr="005426E1">
        <w:rPr>
          <w:rFonts w:ascii="Palatino Linotype" w:eastAsia="Palatino Linotype" w:hAnsi="Palatino Linotype" w:cs="Palatino Linotype"/>
          <w:sz w:val="22"/>
          <w:szCs w:val="22"/>
        </w:rPr>
        <w:t xml:space="preserve">en fecha </w:t>
      </w:r>
      <w:r w:rsidRPr="005426E1">
        <w:rPr>
          <w:rFonts w:ascii="Palatino Linotype" w:eastAsia="Palatino Linotype" w:hAnsi="Palatino Linotype" w:cs="Palatino Linotype"/>
          <w:b/>
          <w:sz w:val="22"/>
          <w:szCs w:val="22"/>
        </w:rPr>
        <w:t xml:space="preserve">cinco de febrero de dos mil veinticinco, LA PARTE RECURRENTE </w:t>
      </w:r>
      <w:r w:rsidRPr="005426E1">
        <w:rPr>
          <w:rFonts w:ascii="Palatino Linotype" w:eastAsia="Palatino Linotype" w:hAnsi="Palatino Linotype" w:cs="Palatino Linotype"/>
          <w:sz w:val="22"/>
          <w:szCs w:val="22"/>
        </w:rPr>
        <w:t xml:space="preserve">interpuso los recursos de revisión, en los cuales manifestó lo siguiente: </w:t>
      </w:r>
    </w:p>
    <w:p w14:paraId="3F54BF3A"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3138F375" w14:textId="77777777" w:rsidR="008B17FE" w:rsidRPr="005426E1" w:rsidRDefault="006F5C2E">
      <w:pPr>
        <w:spacing w:line="360" w:lineRule="auto"/>
        <w:ind w:right="560"/>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00654/INFOEM/IP/RR/2025 y 00659/INFOEM/IP/RR/2025:</w:t>
      </w:r>
    </w:p>
    <w:p w14:paraId="70E08BBE" w14:textId="77777777" w:rsidR="008B17FE" w:rsidRPr="005426E1" w:rsidRDefault="008B17FE">
      <w:pPr>
        <w:spacing w:line="360" w:lineRule="auto"/>
        <w:ind w:right="560"/>
        <w:jc w:val="both"/>
        <w:rPr>
          <w:rFonts w:ascii="Palatino Linotype" w:eastAsia="Palatino Linotype" w:hAnsi="Palatino Linotype" w:cs="Palatino Linotype"/>
          <w:b/>
          <w:sz w:val="22"/>
          <w:szCs w:val="22"/>
        </w:rPr>
      </w:pPr>
    </w:p>
    <w:p w14:paraId="715DF9B9"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Acto Impugnado:</w:t>
      </w:r>
      <w:r w:rsidRPr="005426E1">
        <w:rPr>
          <w:rFonts w:ascii="Palatino Linotype" w:eastAsia="Palatino Linotype" w:hAnsi="Palatino Linotype" w:cs="Palatino Linotype"/>
          <w:i/>
          <w:sz w:val="22"/>
          <w:szCs w:val="22"/>
        </w:rPr>
        <w:t xml:space="preserve"> “Falta de respuesta a mi solicitud”</w:t>
      </w:r>
    </w:p>
    <w:p w14:paraId="3D42183B"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Motivo de inconformidad:</w:t>
      </w:r>
      <w:r w:rsidRPr="005426E1">
        <w:rPr>
          <w:rFonts w:ascii="Palatino Linotype" w:eastAsia="Palatino Linotype" w:hAnsi="Palatino Linotype" w:cs="Palatino Linotype"/>
          <w:i/>
          <w:sz w:val="22"/>
          <w:szCs w:val="22"/>
        </w:rPr>
        <w:t xml:space="preserve"> “Falta de respuesta a mi solicitud”</w:t>
      </w:r>
    </w:p>
    <w:p w14:paraId="2BA86A2C" w14:textId="77777777" w:rsidR="008B17FE" w:rsidRPr="005426E1" w:rsidRDefault="008B17FE">
      <w:pPr>
        <w:spacing w:line="360" w:lineRule="auto"/>
        <w:ind w:left="567" w:right="560"/>
        <w:jc w:val="both"/>
        <w:rPr>
          <w:rFonts w:ascii="Palatino Linotype" w:eastAsia="Palatino Linotype" w:hAnsi="Palatino Linotype" w:cs="Palatino Linotype"/>
          <w:i/>
          <w:sz w:val="22"/>
          <w:szCs w:val="22"/>
        </w:rPr>
      </w:pPr>
    </w:p>
    <w:p w14:paraId="76FDF28C" w14:textId="77777777" w:rsidR="008B17FE" w:rsidRPr="005426E1" w:rsidRDefault="006F5C2E">
      <w:pPr>
        <w:spacing w:line="360" w:lineRule="auto"/>
        <w:ind w:right="560"/>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00660/INFOEM/IP/RR/2025:</w:t>
      </w:r>
    </w:p>
    <w:p w14:paraId="074ED987"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Acto Impugnado:</w:t>
      </w:r>
      <w:r w:rsidRPr="005426E1">
        <w:rPr>
          <w:rFonts w:ascii="Palatino Linotype" w:eastAsia="Palatino Linotype" w:hAnsi="Palatino Linotype" w:cs="Palatino Linotype"/>
          <w:i/>
          <w:sz w:val="22"/>
          <w:szCs w:val="22"/>
        </w:rPr>
        <w:t xml:space="preserve"> “Falta de respuesta a mi solicitud </w:t>
      </w:r>
      <w:proofErr w:type="spellStart"/>
      <w:r w:rsidRPr="005426E1">
        <w:rPr>
          <w:rFonts w:ascii="Palatino Linotype" w:eastAsia="Palatino Linotype" w:hAnsi="Palatino Linotype" w:cs="Palatino Linotype"/>
          <w:i/>
          <w:sz w:val="22"/>
          <w:szCs w:val="22"/>
        </w:rPr>
        <w:t>qeu</w:t>
      </w:r>
      <w:proofErr w:type="spellEnd"/>
      <w:r w:rsidRPr="005426E1">
        <w:rPr>
          <w:rFonts w:ascii="Palatino Linotype" w:eastAsia="Palatino Linotype" w:hAnsi="Palatino Linotype" w:cs="Palatino Linotype"/>
          <w:i/>
          <w:sz w:val="22"/>
          <w:szCs w:val="22"/>
        </w:rPr>
        <w:t xml:space="preserve"> </w:t>
      </w:r>
      <w:proofErr w:type="spellStart"/>
      <w:r w:rsidRPr="005426E1">
        <w:rPr>
          <w:rFonts w:ascii="Palatino Linotype" w:eastAsia="Palatino Linotype" w:hAnsi="Palatino Linotype" w:cs="Palatino Linotype"/>
          <w:i/>
          <w:sz w:val="22"/>
          <w:szCs w:val="22"/>
        </w:rPr>
        <w:t>sasión</w:t>
      </w:r>
      <w:proofErr w:type="spellEnd"/>
      <w:r w:rsidRPr="005426E1">
        <w:rPr>
          <w:rFonts w:ascii="Palatino Linotype" w:eastAsia="Palatino Linotype" w:hAnsi="Palatino Linotype" w:cs="Palatino Linotype"/>
          <w:i/>
          <w:sz w:val="22"/>
          <w:szCs w:val="22"/>
        </w:rPr>
        <w:t xml:space="preserve"> </w:t>
      </w:r>
      <w:proofErr w:type="spellStart"/>
      <w:r w:rsidRPr="005426E1">
        <w:rPr>
          <w:rFonts w:ascii="Palatino Linotype" w:eastAsia="Palatino Linotype" w:hAnsi="Palatino Linotype" w:cs="Palatino Linotype"/>
          <w:i/>
          <w:sz w:val="22"/>
          <w:szCs w:val="22"/>
        </w:rPr>
        <w:t>impondra</w:t>
      </w:r>
      <w:proofErr w:type="spellEnd"/>
      <w:r w:rsidRPr="005426E1">
        <w:rPr>
          <w:rFonts w:ascii="Palatino Linotype" w:eastAsia="Palatino Linotype" w:hAnsi="Palatino Linotype" w:cs="Palatino Linotype"/>
          <w:i/>
          <w:sz w:val="22"/>
          <w:szCs w:val="22"/>
        </w:rPr>
        <w:t xml:space="preserve"> el </w:t>
      </w:r>
      <w:proofErr w:type="spellStart"/>
      <w:r w:rsidRPr="005426E1">
        <w:rPr>
          <w:rFonts w:ascii="Palatino Linotype" w:eastAsia="Palatino Linotype" w:hAnsi="Palatino Linotype" w:cs="Palatino Linotype"/>
          <w:i/>
          <w:sz w:val="22"/>
          <w:szCs w:val="22"/>
        </w:rPr>
        <w:t>infoem</w:t>
      </w:r>
      <w:proofErr w:type="spellEnd"/>
      <w:r w:rsidRPr="005426E1">
        <w:rPr>
          <w:rFonts w:ascii="Palatino Linotype" w:eastAsia="Palatino Linotype" w:hAnsi="Palatino Linotype" w:cs="Palatino Linotype"/>
          <w:i/>
          <w:sz w:val="22"/>
          <w:szCs w:val="22"/>
        </w:rPr>
        <w:t xml:space="preserve"> por no atender lo que dice la ley”</w:t>
      </w:r>
    </w:p>
    <w:p w14:paraId="76FBBC79"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lastRenderedPageBreak/>
        <w:t>Motivo de inconformidad:</w:t>
      </w:r>
      <w:r w:rsidRPr="005426E1">
        <w:rPr>
          <w:rFonts w:ascii="Palatino Linotype" w:eastAsia="Palatino Linotype" w:hAnsi="Palatino Linotype" w:cs="Palatino Linotype"/>
          <w:i/>
          <w:sz w:val="22"/>
          <w:szCs w:val="22"/>
        </w:rPr>
        <w:t xml:space="preserve"> “Falta de respuesta a mi solicitud </w:t>
      </w:r>
      <w:proofErr w:type="spellStart"/>
      <w:r w:rsidRPr="005426E1">
        <w:rPr>
          <w:rFonts w:ascii="Palatino Linotype" w:eastAsia="Palatino Linotype" w:hAnsi="Palatino Linotype" w:cs="Palatino Linotype"/>
          <w:i/>
          <w:sz w:val="22"/>
          <w:szCs w:val="22"/>
        </w:rPr>
        <w:t>qeu</w:t>
      </w:r>
      <w:proofErr w:type="spellEnd"/>
      <w:r w:rsidRPr="005426E1">
        <w:rPr>
          <w:rFonts w:ascii="Palatino Linotype" w:eastAsia="Palatino Linotype" w:hAnsi="Palatino Linotype" w:cs="Palatino Linotype"/>
          <w:i/>
          <w:sz w:val="22"/>
          <w:szCs w:val="22"/>
        </w:rPr>
        <w:t xml:space="preserve"> </w:t>
      </w:r>
      <w:proofErr w:type="spellStart"/>
      <w:r w:rsidRPr="005426E1">
        <w:rPr>
          <w:rFonts w:ascii="Palatino Linotype" w:eastAsia="Palatino Linotype" w:hAnsi="Palatino Linotype" w:cs="Palatino Linotype"/>
          <w:i/>
          <w:sz w:val="22"/>
          <w:szCs w:val="22"/>
        </w:rPr>
        <w:t>sasión</w:t>
      </w:r>
      <w:proofErr w:type="spellEnd"/>
      <w:r w:rsidRPr="005426E1">
        <w:rPr>
          <w:rFonts w:ascii="Palatino Linotype" w:eastAsia="Palatino Linotype" w:hAnsi="Palatino Linotype" w:cs="Palatino Linotype"/>
          <w:i/>
          <w:sz w:val="22"/>
          <w:szCs w:val="22"/>
        </w:rPr>
        <w:t xml:space="preserve"> </w:t>
      </w:r>
      <w:proofErr w:type="spellStart"/>
      <w:r w:rsidRPr="005426E1">
        <w:rPr>
          <w:rFonts w:ascii="Palatino Linotype" w:eastAsia="Palatino Linotype" w:hAnsi="Palatino Linotype" w:cs="Palatino Linotype"/>
          <w:i/>
          <w:sz w:val="22"/>
          <w:szCs w:val="22"/>
        </w:rPr>
        <w:t>impondra</w:t>
      </w:r>
      <w:proofErr w:type="spellEnd"/>
      <w:r w:rsidRPr="005426E1">
        <w:rPr>
          <w:rFonts w:ascii="Palatino Linotype" w:eastAsia="Palatino Linotype" w:hAnsi="Palatino Linotype" w:cs="Palatino Linotype"/>
          <w:i/>
          <w:sz w:val="22"/>
          <w:szCs w:val="22"/>
        </w:rPr>
        <w:t xml:space="preserve"> el </w:t>
      </w:r>
      <w:proofErr w:type="spellStart"/>
      <w:r w:rsidRPr="005426E1">
        <w:rPr>
          <w:rFonts w:ascii="Palatino Linotype" w:eastAsia="Palatino Linotype" w:hAnsi="Palatino Linotype" w:cs="Palatino Linotype"/>
          <w:i/>
          <w:sz w:val="22"/>
          <w:szCs w:val="22"/>
        </w:rPr>
        <w:t>infoem</w:t>
      </w:r>
      <w:proofErr w:type="spellEnd"/>
      <w:r w:rsidRPr="005426E1">
        <w:rPr>
          <w:rFonts w:ascii="Palatino Linotype" w:eastAsia="Palatino Linotype" w:hAnsi="Palatino Linotype" w:cs="Palatino Linotype"/>
          <w:i/>
          <w:sz w:val="22"/>
          <w:szCs w:val="22"/>
        </w:rPr>
        <w:t xml:space="preserve"> por no atender lo que dice la ley”</w:t>
      </w:r>
    </w:p>
    <w:p w14:paraId="327A6325" w14:textId="77777777" w:rsidR="008B17FE" w:rsidRPr="005426E1" w:rsidRDefault="008B17FE">
      <w:pPr>
        <w:spacing w:line="360" w:lineRule="auto"/>
        <w:ind w:left="567" w:right="560"/>
        <w:jc w:val="both"/>
        <w:rPr>
          <w:rFonts w:ascii="Palatino Linotype" w:eastAsia="Palatino Linotype" w:hAnsi="Palatino Linotype" w:cs="Palatino Linotype"/>
          <w:i/>
          <w:sz w:val="22"/>
          <w:szCs w:val="22"/>
        </w:rPr>
      </w:pPr>
    </w:p>
    <w:p w14:paraId="1C3A5F94" w14:textId="77777777" w:rsidR="008B17FE" w:rsidRPr="005426E1" w:rsidRDefault="006F5C2E">
      <w:pPr>
        <w:spacing w:line="360" w:lineRule="auto"/>
        <w:ind w:right="560"/>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00661/INFOEM/IP/RR/2025:</w:t>
      </w:r>
    </w:p>
    <w:p w14:paraId="06718224"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Acto Impugnado:</w:t>
      </w:r>
      <w:r w:rsidRPr="005426E1">
        <w:rPr>
          <w:rFonts w:ascii="Palatino Linotype" w:eastAsia="Palatino Linotype" w:hAnsi="Palatino Linotype" w:cs="Palatino Linotype"/>
          <w:i/>
          <w:sz w:val="22"/>
          <w:szCs w:val="22"/>
        </w:rPr>
        <w:t xml:space="preserve"> “no contestan las peticiones”</w:t>
      </w:r>
    </w:p>
    <w:p w14:paraId="4B9A5C98"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Motivo de inconformidad:</w:t>
      </w:r>
      <w:r w:rsidRPr="005426E1">
        <w:rPr>
          <w:rFonts w:ascii="Palatino Linotype" w:eastAsia="Palatino Linotype" w:hAnsi="Palatino Linotype" w:cs="Palatino Linotype"/>
          <w:i/>
          <w:sz w:val="22"/>
          <w:szCs w:val="22"/>
        </w:rPr>
        <w:t xml:space="preserve"> “no contestan las peticiones”</w:t>
      </w:r>
    </w:p>
    <w:p w14:paraId="7BDF11ED" w14:textId="77777777" w:rsidR="008B17FE" w:rsidRPr="005426E1" w:rsidRDefault="008B17FE">
      <w:pPr>
        <w:spacing w:line="360" w:lineRule="auto"/>
        <w:ind w:left="567" w:right="560"/>
        <w:jc w:val="both"/>
        <w:rPr>
          <w:rFonts w:ascii="Palatino Linotype" w:eastAsia="Palatino Linotype" w:hAnsi="Palatino Linotype" w:cs="Palatino Linotype"/>
          <w:i/>
          <w:sz w:val="22"/>
          <w:szCs w:val="22"/>
        </w:rPr>
      </w:pPr>
    </w:p>
    <w:p w14:paraId="37BFA1B7"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4. Turno. </w:t>
      </w:r>
      <w:r w:rsidRPr="005426E1">
        <w:rPr>
          <w:rFonts w:ascii="Palatino Linotype" w:eastAsia="Palatino Linotype" w:hAnsi="Palatino Linotype" w:cs="Palatino Linotype"/>
          <w:sz w:val="22"/>
          <w:szCs w:val="22"/>
        </w:rPr>
        <w:t>De conformidad con el artículo 185 fracción I de la Ley Transparencia y Acceso a la Información Pública, los recursos de revisión fueron</w:t>
      </w:r>
      <w:r w:rsidRPr="005426E1">
        <w:rPr>
          <w:rFonts w:ascii="Palatino Linotype" w:eastAsia="Palatino Linotype" w:hAnsi="Palatino Linotype" w:cs="Palatino Linotype"/>
          <w:b/>
          <w:sz w:val="22"/>
          <w:szCs w:val="22"/>
        </w:rPr>
        <w:t xml:space="preserve"> </w:t>
      </w:r>
      <w:r w:rsidRPr="005426E1">
        <w:rPr>
          <w:rFonts w:ascii="Palatino Linotype" w:eastAsia="Palatino Linotype" w:hAnsi="Palatino Linotype" w:cs="Palatino Linotype"/>
          <w:sz w:val="22"/>
          <w:szCs w:val="22"/>
        </w:rPr>
        <w:t xml:space="preserve">turnados de la siguiente manera a efecto de presentar al Pleno los proyectos de resolución correspondientes: </w:t>
      </w:r>
    </w:p>
    <w:p w14:paraId="4DABC39E" w14:textId="77777777" w:rsidR="008B17FE" w:rsidRPr="005426E1" w:rsidRDefault="008B17FE">
      <w:pPr>
        <w:spacing w:line="360" w:lineRule="auto"/>
        <w:jc w:val="both"/>
        <w:rPr>
          <w:rFonts w:ascii="Palatino Linotype" w:eastAsia="Palatino Linotype" w:hAnsi="Palatino Linotype" w:cs="Palatino Linotype"/>
          <w:sz w:val="22"/>
          <w:szCs w:val="22"/>
        </w:rPr>
      </w:pPr>
    </w:p>
    <w:tbl>
      <w:tblPr>
        <w:tblStyle w:val="a0"/>
        <w:tblW w:w="892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0"/>
        <w:gridCol w:w="4461"/>
      </w:tblGrid>
      <w:tr w:rsidR="005426E1" w:rsidRPr="005426E1" w14:paraId="6CE75D03" w14:textId="77777777">
        <w:tc>
          <w:tcPr>
            <w:tcW w:w="4460" w:type="dxa"/>
            <w:shd w:val="clear" w:color="auto" w:fill="DDD9C4"/>
          </w:tcPr>
          <w:p w14:paraId="517C71F1"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Recurso de Revisión</w:t>
            </w:r>
          </w:p>
        </w:tc>
        <w:tc>
          <w:tcPr>
            <w:tcW w:w="4461" w:type="dxa"/>
            <w:shd w:val="clear" w:color="auto" w:fill="DDD9C4"/>
          </w:tcPr>
          <w:p w14:paraId="2E2C19D2"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Comisionada</w:t>
            </w:r>
          </w:p>
        </w:tc>
      </w:tr>
      <w:tr w:rsidR="005426E1" w:rsidRPr="005426E1" w14:paraId="0E3B9BBF" w14:textId="77777777">
        <w:tc>
          <w:tcPr>
            <w:tcW w:w="4460" w:type="dxa"/>
          </w:tcPr>
          <w:p w14:paraId="02E82020"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00654/INFOEM/IP/RR/2025</w:t>
            </w:r>
          </w:p>
        </w:tc>
        <w:tc>
          <w:tcPr>
            <w:tcW w:w="4461" w:type="dxa"/>
          </w:tcPr>
          <w:p w14:paraId="1E250B9F"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Comisionada Guadalupe Ramírez Peña.</w:t>
            </w:r>
          </w:p>
        </w:tc>
      </w:tr>
      <w:tr w:rsidR="005426E1" w:rsidRPr="005426E1" w14:paraId="0F7C696C" w14:textId="77777777">
        <w:tc>
          <w:tcPr>
            <w:tcW w:w="4460" w:type="dxa"/>
          </w:tcPr>
          <w:p w14:paraId="1FD2B5B9"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00659/INFOEM/IP/RR/2025</w:t>
            </w:r>
          </w:p>
        </w:tc>
        <w:tc>
          <w:tcPr>
            <w:tcW w:w="4461" w:type="dxa"/>
          </w:tcPr>
          <w:p w14:paraId="71922AAF"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Comisionada Guadalupe Ramírez Peña.</w:t>
            </w:r>
          </w:p>
        </w:tc>
      </w:tr>
      <w:tr w:rsidR="005426E1" w:rsidRPr="005426E1" w14:paraId="71D83096" w14:textId="77777777">
        <w:tc>
          <w:tcPr>
            <w:tcW w:w="4460" w:type="dxa"/>
          </w:tcPr>
          <w:p w14:paraId="32E512CD"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00660/INFOEM/IP/RR/2025</w:t>
            </w:r>
          </w:p>
        </w:tc>
        <w:tc>
          <w:tcPr>
            <w:tcW w:w="4461" w:type="dxa"/>
          </w:tcPr>
          <w:p w14:paraId="190F0FA7"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Comisionado José Martínez Vilchis.</w:t>
            </w:r>
          </w:p>
        </w:tc>
      </w:tr>
      <w:tr w:rsidR="005426E1" w:rsidRPr="005426E1" w14:paraId="7BE06EA6" w14:textId="77777777">
        <w:tc>
          <w:tcPr>
            <w:tcW w:w="4460" w:type="dxa"/>
          </w:tcPr>
          <w:p w14:paraId="0DCCF02B"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00661/INFOEM/IP/RR/2025</w:t>
            </w:r>
          </w:p>
        </w:tc>
        <w:tc>
          <w:tcPr>
            <w:tcW w:w="4461" w:type="dxa"/>
          </w:tcPr>
          <w:p w14:paraId="0A2656E6"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Comisionado Luis Gustavo Parra Noriega.</w:t>
            </w:r>
          </w:p>
        </w:tc>
      </w:tr>
    </w:tbl>
    <w:p w14:paraId="6C01BFE0"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1A2AF208"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5. Admisiones. </w:t>
      </w:r>
      <w:r w:rsidRPr="005426E1">
        <w:rPr>
          <w:rFonts w:ascii="Palatino Linotype" w:eastAsia="Palatino Linotype" w:hAnsi="Palatino Linotype" w:cs="Palatino Linotype"/>
          <w:sz w:val="22"/>
          <w:szCs w:val="22"/>
        </w:rPr>
        <w:t xml:space="preserve">El </w:t>
      </w:r>
      <w:r w:rsidRPr="005426E1">
        <w:rPr>
          <w:rFonts w:ascii="Palatino Linotype" w:eastAsia="Palatino Linotype" w:hAnsi="Palatino Linotype" w:cs="Palatino Linotype"/>
          <w:b/>
          <w:sz w:val="22"/>
          <w:szCs w:val="22"/>
        </w:rPr>
        <w:t>siete y diez de febrero de dos mil veinticinco</w:t>
      </w:r>
      <w:r w:rsidRPr="005426E1">
        <w:rPr>
          <w:rFonts w:ascii="Palatino Linotype" w:eastAsia="Palatino Linotype" w:hAnsi="Palatino Linotype" w:cs="Palatino Linotype"/>
          <w:sz w:val="22"/>
          <w:szCs w:val="22"/>
        </w:rPr>
        <w:t>, en términos de lo dispuesto en el artículo 185 fracciones I, II y IV de la Ley de Transparencia y Acceso a la Información Pública del Estado de México y Municipios, se admitieron a trámite los recursos de revisión</w:t>
      </w:r>
      <w:r w:rsidRPr="005426E1">
        <w:rPr>
          <w:rFonts w:ascii="Palatino Linotype" w:eastAsia="Palatino Linotype" w:hAnsi="Palatino Linotype" w:cs="Palatino Linotype"/>
          <w:b/>
          <w:sz w:val="22"/>
          <w:szCs w:val="22"/>
        </w:rPr>
        <w:t>.</w:t>
      </w:r>
    </w:p>
    <w:p w14:paraId="7C93E7E8" w14:textId="77777777" w:rsidR="008B17FE" w:rsidRPr="005426E1" w:rsidRDefault="008B17FE">
      <w:pPr>
        <w:spacing w:line="360" w:lineRule="auto"/>
        <w:jc w:val="both"/>
        <w:rPr>
          <w:rFonts w:ascii="Palatino Linotype" w:eastAsia="Palatino Linotype" w:hAnsi="Palatino Linotype" w:cs="Palatino Linotype"/>
          <w:b/>
          <w:sz w:val="22"/>
          <w:szCs w:val="22"/>
        </w:rPr>
      </w:pPr>
    </w:p>
    <w:p w14:paraId="5134A8AA"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9. Manifestaciones. </w:t>
      </w:r>
      <w:r w:rsidRPr="005426E1">
        <w:rPr>
          <w:rFonts w:ascii="Palatino Linotype" w:eastAsia="Palatino Linotype" w:hAnsi="Palatino Linotype" w:cs="Palatino Linotype"/>
          <w:sz w:val="22"/>
          <w:szCs w:val="22"/>
        </w:rPr>
        <w:t>De las constancias que obran en el expediente electrónico, se aprecia que el Sujeto Obligado rindió su informe justificado el diecinueve de febrero de dos mil veinticinco, a través de los siguientes documentos:</w:t>
      </w:r>
    </w:p>
    <w:p w14:paraId="6C37657C"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243D3D2F" w14:textId="77777777" w:rsidR="008B17FE" w:rsidRPr="005426E1" w:rsidRDefault="006F5C2E">
      <w:pPr>
        <w:numPr>
          <w:ilvl w:val="0"/>
          <w:numId w:val="7"/>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lastRenderedPageBreak/>
        <w:t>00654/INFOEM/IP/RR/2025:</w:t>
      </w:r>
    </w:p>
    <w:p w14:paraId="5C6106B8" w14:textId="77777777" w:rsidR="008B17FE" w:rsidRPr="005426E1" w:rsidRDefault="006F5C2E">
      <w:pPr>
        <w:numPr>
          <w:ilvl w:val="0"/>
          <w:numId w:val="3"/>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Informe Justificado 654.pdf: </w:t>
      </w:r>
      <w:r w:rsidRPr="005426E1">
        <w:rPr>
          <w:rFonts w:ascii="Palatino Linotype" w:eastAsia="Palatino Linotype" w:hAnsi="Palatino Linotype" w:cs="Palatino Linotype"/>
          <w:sz w:val="22"/>
          <w:szCs w:val="22"/>
        </w:rPr>
        <w:t>Documento suscrito por el Titular de la Unidad de Transparencia mediante el cual refiere que por fallas en el SAIMEX, no se pudo emitir la prórroga para dar respuesta a la solicitud; sin embargo, se menciona que la Defensoría Municipal de Derechos Humanos no recibe denuncias, sino quejas por actos u omisiones de carácter administrativo y, del uno de julio al treinta y uno de diciembre de 2022 se localizaron 8 quejas, se anexan en versión pública, por lo que se pide que se confirme el recurso de revisión.</w:t>
      </w:r>
    </w:p>
    <w:p w14:paraId="114BA819" w14:textId="77777777" w:rsidR="008B17FE" w:rsidRPr="005426E1" w:rsidRDefault="006F5C2E">
      <w:pPr>
        <w:numPr>
          <w:ilvl w:val="0"/>
          <w:numId w:val="3"/>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Acta 62.pdf: </w:t>
      </w:r>
      <w:r w:rsidRPr="005426E1">
        <w:rPr>
          <w:rFonts w:ascii="Palatino Linotype" w:eastAsia="Palatino Linotype" w:hAnsi="Palatino Linotype" w:cs="Palatino Linotype"/>
          <w:sz w:val="22"/>
          <w:szCs w:val="22"/>
        </w:rPr>
        <w:t>Acta de la Sexagésima Segunda Sesión Extraordinaria del 2025, mediante la cual se aprobó la prórroga para dar respuesta a las solicitudes 00138/TOLUCA/IP/2025, 00137/TOLUCA/IP/2025, 00139/TOLUCA/IP/2025 y 00141/TOLUCA/IP/2025.</w:t>
      </w:r>
    </w:p>
    <w:p w14:paraId="1E7C8619" w14:textId="77777777" w:rsidR="008B17FE" w:rsidRPr="005426E1" w:rsidRDefault="006F5C2E">
      <w:pPr>
        <w:numPr>
          <w:ilvl w:val="0"/>
          <w:numId w:val="3"/>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Anexo recurso 00654-INFOEM-IP-RR-2025.pdf: </w:t>
      </w:r>
      <w:r w:rsidRPr="005426E1">
        <w:rPr>
          <w:rFonts w:ascii="Palatino Linotype" w:eastAsia="Palatino Linotype" w:hAnsi="Palatino Linotype" w:cs="Palatino Linotype"/>
          <w:sz w:val="22"/>
          <w:szCs w:val="22"/>
        </w:rPr>
        <w:t>Documento integrado por treinta y siete páginas que contiene diversas quejas presentadas ante la Defensoría Municipal de Derechos Humanos.</w:t>
      </w:r>
    </w:p>
    <w:p w14:paraId="2A313DB5" w14:textId="77777777" w:rsidR="008B17FE" w:rsidRPr="005426E1" w:rsidRDefault="006F5C2E">
      <w:pPr>
        <w:numPr>
          <w:ilvl w:val="0"/>
          <w:numId w:val="3"/>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Acta 120.pdf: </w:t>
      </w:r>
      <w:r w:rsidRPr="005426E1">
        <w:rPr>
          <w:rFonts w:ascii="Palatino Linotype" w:eastAsia="Palatino Linotype" w:hAnsi="Palatino Linotype" w:cs="Palatino Linotype"/>
          <w:sz w:val="22"/>
          <w:szCs w:val="22"/>
        </w:rPr>
        <w:t xml:space="preserve">Acta de la Centésima Vigésima Sesión Extraordinaria del 2025, del Comité de Transparencia mediante el cual se confirmó la entrega en versión pública de las quejas recibidas del uno de julio al treinta y uno de diciembre de dos mil veintidós en la Defensoría Municipal de Derechos Humano, clasificando como información confidencial, los datos personales que se contienen en las documentales, tales como nombra, domicilio, número telefónico, nacionalidad, género, edad, ocupación, correo electrónico, firma, condiciones de salud. </w:t>
      </w:r>
    </w:p>
    <w:p w14:paraId="3E190D50" w14:textId="77777777" w:rsidR="008B17FE" w:rsidRPr="005426E1" w:rsidRDefault="008B17FE">
      <w:pPr>
        <w:pBdr>
          <w:top w:val="nil"/>
          <w:left w:val="nil"/>
          <w:bottom w:val="nil"/>
          <w:right w:val="nil"/>
          <w:between w:val="nil"/>
        </w:pBdr>
        <w:spacing w:line="360" w:lineRule="auto"/>
        <w:ind w:left="720"/>
        <w:jc w:val="both"/>
        <w:rPr>
          <w:rFonts w:ascii="Palatino Linotype" w:eastAsia="Palatino Linotype" w:hAnsi="Palatino Linotype" w:cs="Palatino Linotype"/>
          <w:b/>
          <w:sz w:val="22"/>
          <w:szCs w:val="22"/>
        </w:rPr>
      </w:pPr>
    </w:p>
    <w:p w14:paraId="6220979E" w14:textId="77777777" w:rsidR="008B17FE" w:rsidRPr="005426E1" w:rsidRDefault="006F5C2E">
      <w:pPr>
        <w:numPr>
          <w:ilvl w:val="0"/>
          <w:numId w:val="2"/>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lastRenderedPageBreak/>
        <w:t>00659/INFOEM/IP/RR/2025:</w:t>
      </w:r>
    </w:p>
    <w:p w14:paraId="17657546" w14:textId="77777777" w:rsidR="008B17FE" w:rsidRPr="005426E1" w:rsidRDefault="006F5C2E">
      <w:pPr>
        <w:numPr>
          <w:ilvl w:val="0"/>
          <w:numId w:val="8"/>
        </w:numPr>
        <w:pBdr>
          <w:top w:val="nil"/>
          <w:left w:val="nil"/>
          <w:bottom w:val="nil"/>
          <w:right w:val="nil"/>
          <w:between w:val="nil"/>
        </w:pBdr>
        <w:spacing w:line="360" w:lineRule="auto"/>
        <w:ind w:left="993"/>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Informe Justificado 659.pdf: </w:t>
      </w:r>
      <w:r w:rsidRPr="005426E1">
        <w:rPr>
          <w:rFonts w:ascii="Palatino Linotype" w:eastAsia="Palatino Linotype" w:hAnsi="Palatino Linotype" w:cs="Palatino Linotype"/>
          <w:sz w:val="22"/>
          <w:szCs w:val="22"/>
        </w:rPr>
        <w:t>Documento suscrito por el Titular de la Unidad de Transparencia mediante el cual refiere que por fallas en el SAIMEX, no se pudo emitir la prórroga para dar respuesta a la solicitud; sin embargo, se menciona que la Defensoría Municipal de Derechos Humanos no recibe denuncias, sino quejas por actos u omisiones de carácter administrativo y, del uno de enero al treinta de junio de 2022 se localizaron 6 quejas, se anexan en versión pública, por lo que se pide que se confirme el recurso de revisión.</w:t>
      </w:r>
    </w:p>
    <w:p w14:paraId="2A50AEFC" w14:textId="77777777" w:rsidR="008B17FE" w:rsidRPr="005426E1" w:rsidRDefault="006F5C2E">
      <w:pPr>
        <w:numPr>
          <w:ilvl w:val="0"/>
          <w:numId w:val="4"/>
        </w:numPr>
        <w:pBdr>
          <w:top w:val="nil"/>
          <w:left w:val="nil"/>
          <w:bottom w:val="nil"/>
          <w:right w:val="nil"/>
          <w:between w:val="nil"/>
        </w:pBdr>
        <w:spacing w:line="360" w:lineRule="auto"/>
        <w:ind w:left="993"/>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Acta 62.pdf: </w:t>
      </w:r>
      <w:r w:rsidRPr="005426E1">
        <w:rPr>
          <w:rFonts w:ascii="Palatino Linotype" w:eastAsia="Palatino Linotype" w:hAnsi="Palatino Linotype" w:cs="Palatino Linotype"/>
          <w:sz w:val="22"/>
          <w:szCs w:val="22"/>
        </w:rPr>
        <w:t>Acta de la Sexagésima Segunda Sesión Extraordinaria del 2025, mediante la cual se aprobó la prórroga para dar respuesta a las solicitudes 00138/TOLUCA/IP/2025, 00137/TOLUCA/IP/2025, 00139/TOLUCA/IP/2025 y 00141/TOLUCA/IP/2025.</w:t>
      </w:r>
    </w:p>
    <w:p w14:paraId="7455C7FE" w14:textId="77777777" w:rsidR="008B17FE" w:rsidRPr="005426E1" w:rsidRDefault="006F5C2E">
      <w:pPr>
        <w:numPr>
          <w:ilvl w:val="0"/>
          <w:numId w:val="3"/>
        </w:numPr>
        <w:pBdr>
          <w:top w:val="nil"/>
          <w:left w:val="nil"/>
          <w:bottom w:val="nil"/>
          <w:right w:val="nil"/>
          <w:between w:val="nil"/>
        </w:pBdr>
        <w:spacing w:line="360" w:lineRule="auto"/>
        <w:ind w:left="993"/>
        <w:jc w:val="both"/>
        <w:rPr>
          <w:rFonts w:ascii="Palatino Linotype" w:eastAsia="Palatino Linotype" w:hAnsi="Palatino Linotype" w:cs="Palatino Linotype"/>
          <w:b/>
          <w:sz w:val="22"/>
          <w:szCs w:val="22"/>
        </w:rPr>
      </w:pPr>
      <w:proofErr w:type="spellStart"/>
      <w:r w:rsidRPr="005426E1">
        <w:rPr>
          <w:rFonts w:ascii="Palatino Linotype" w:eastAsia="Palatino Linotype" w:hAnsi="Palatino Linotype" w:cs="Palatino Linotype"/>
          <w:b/>
          <w:sz w:val="22"/>
          <w:szCs w:val="22"/>
        </w:rPr>
        <w:t>Enexo</w:t>
      </w:r>
      <w:proofErr w:type="spellEnd"/>
      <w:r w:rsidRPr="005426E1">
        <w:rPr>
          <w:rFonts w:ascii="Palatino Linotype" w:eastAsia="Palatino Linotype" w:hAnsi="Palatino Linotype" w:cs="Palatino Linotype"/>
          <w:b/>
          <w:sz w:val="22"/>
          <w:szCs w:val="22"/>
        </w:rPr>
        <w:t xml:space="preserve"> recurso de revisión 00659-INFOEM-IP-RR-2025.pdf: </w:t>
      </w:r>
      <w:r w:rsidRPr="005426E1">
        <w:rPr>
          <w:rFonts w:ascii="Palatino Linotype" w:eastAsia="Palatino Linotype" w:hAnsi="Palatino Linotype" w:cs="Palatino Linotype"/>
          <w:sz w:val="22"/>
          <w:szCs w:val="22"/>
        </w:rPr>
        <w:t>Documento integrado por veintisiete páginas que contiene diversas quejas presentadas ante la Defensoría Municipal de Derechos Humanos.</w:t>
      </w:r>
    </w:p>
    <w:p w14:paraId="19E6624C" w14:textId="77777777" w:rsidR="008B17FE" w:rsidRPr="005426E1" w:rsidRDefault="006F5C2E">
      <w:pPr>
        <w:numPr>
          <w:ilvl w:val="0"/>
          <w:numId w:val="3"/>
        </w:numPr>
        <w:pBdr>
          <w:top w:val="nil"/>
          <w:left w:val="nil"/>
          <w:bottom w:val="nil"/>
          <w:right w:val="nil"/>
          <w:between w:val="nil"/>
        </w:pBdr>
        <w:spacing w:line="360" w:lineRule="auto"/>
        <w:ind w:left="993"/>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Acta 120.pdf: </w:t>
      </w:r>
      <w:r w:rsidRPr="005426E1">
        <w:rPr>
          <w:rFonts w:ascii="Palatino Linotype" w:eastAsia="Palatino Linotype" w:hAnsi="Palatino Linotype" w:cs="Palatino Linotype"/>
          <w:sz w:val="22"/>
          <w:szCs w:val="22"/>
        </w:rPr>
        <w:t xml:space="preserve">Acta de la Centésima Vigésima Sesión Extraordinaria del 2025, del Comité de Transparencia mediante el cual se confirmó la entrega en versión pública de las quejas recibidas del uno de enero al treinta de junio dos mil veintidós en la Defensoría Municipal de Derechos Humano, clasificando como información confidencial, los datos personales que se contienen en las documentales, tales como nombra, domicilio, número telefónico, nacionalidad, género, edad, ocupación, correo electrónico, firma, condiciones de salud. </w:t>
      </w:r>
    </w:p>
    <w:p w14:paraId="3655BD60" w14:textId="77777777" w:rsidR="008B17FE" w:rsidRPr="005426E1" w:rsidRDefault="008B17FE">
      <w:pPr>
        <w:pBdr>
          <w:top w:val="nil"/>
          <w:left w:val="nil"/>
          <w:bottom w:val="nil"/>
          <w:right w:val="nil"/>
          <w:between w:val="nil"/>
        </w:pBdr>
        <w:spacing w:line="360" w:lineRule="auto"/>
        <w:ind w:left="720"/>
        <w:jc w:val="both"/>
        <w:rPr>
          <w:rFonts w:ascii="Palatino Linotype" w:eastAsia="Palatino Linotype" w:hAnsi="Palatino Linotype" w:cs="Palatino Linotype"/>
          <w:b/>
          <w:sz w:val="22"/>
          <w:szCs w:val="22"/>
        </w:rPr>
      </w:pPr>
    </w:p>
    <w:p w14:paraId="124ED575" w14:textId="77777777" w:rsidR="008B17FE" w:rsidRPr="005426E1" w:rsidRDefault="006F5C2E">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00660/INFOEM/IP/RR/2025:</w:t>
      </w:r>
    </w:p>
    <w:p w14:paraId="755FAB37" w14:textId="77777777" w:rsidR="008B17FE" w:rsidRPr="005426E1" w:rsidRDefault="008B17FE">
      <w:pPr>
        <w:spacing w:line="360" w:lineRule="auto"/>
        <w:jc w:val="both"/>
        <w:rPr>
          <w:rFonts w:ascii="Palatino Linotype" w:eastAsia="Palatino Linotype" w:hAnsi="Palatino Linotype" w:cs="Palatino Linotype"/>
          <w:b/>
          <w:sz w:val="22"/>
          <w:szCs w:val="22"/>
        </w:rPr>
      </w:pPr>
    </w:p>
    <w:p w14:paraId="72384248" w14:textId="77777777" w:rsidR="008B17FE" w:rsidRPr="005426E1" w:rsidRDefault="006F5C2E">
      <w:pPr>
        <w:numPr>
          <w:ilvl w:val="0"/>
          <w:numId w:val="9"/>
        </w:numPr>
        <w:pBdr>
          <w:top w:val="nil"/>
          <w:left w:val="nil"/>
          <w:bottom w:val="nil"/>
          <w:right w:val="nil"/>
          <w:between w:val="nil"/>
        </w:pBdr>
        <w:spacing w:line="360" w:lineRule="auto"/>
        <w:ind w:left="993"/>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lastRenderedPageBreak/>
        <w:t xml:space="preserve">Informe Justificado 660.pdf: </w:t>
      </w:r>
      <w:r w:rsidRPr="005426E1">
        <w:rPr>
          <w:rFonts w:ascii="Palatino Linotype" w:eastAsia="Palatino Linotype" w:hAnsi="Palatino Linotype" w:cs="Palatino Linotype"/>
          <w:sz w:val="22"/>
          <w:szCs w:val="22"/>
        </w:rPr>
        <w:t>Documento suscrito por el Titular de la Unidad de Transparencia mediante el cual refiere que por fallas en el SAIMEX, no se pudo emitir la prórroga para dar respuesta a la solicitud; sin embargo, se menciona que la Defensoría Municipal de Derechos Humanos no recibe denuncias, sino quejas por actos u omisiones de carácter administrativo y, del uno de enero al treinta de junio de 2019 se localizaron 3 quejas, se anexan en versión pública, por lo que se pide que se confirme el recurso de revisión.</w:t>
      </w:r>
    </w:p>
    <w:p w14:paraId="7353B42C" w14:textId="77777777" w:rsidR="008B17FE" w:rsidRPr="005426E1" w:rsidRDefault="006F5C2E">
      <w:pPr>
        <w:numPr>
          <w:ilvl w:val="0"/>
          <w:numId w:val="9"/>
        </w:numPr>
        <w:pBdr>
          <w:top w:val="nil"/>
          <w:left w:val="nil"/>
          <w:bottom w:val="nil"/>
          <w:right w:val="nil"/>
          <w:between w:val="nil"/>
        </w:pBdr>
        <w:spacing w:line="360" w:lineRule="auto"/>
        <w:ind w:left="993"/>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Anexo recurso 00660-INFOEM-IP-RR-2025.pdf: </w:t>
      </w:r>
      <w:r w:rsidRPr="005426E1">
        <w:rPr>
          <w:rFonts w:ascii="Palatino Linotype" w:eastAsia="Palatino Linotype" w:hAnsi="Palatino Linotype" w:cs="Palatino Linotype"/>
          <w:sz w:val="22"/>
          <w:szCs w:val="22"/>
        </w:rPr>
        <w:t>Documento integrado por quince páginas que contiene diversas quejas presentadas ante la Defensoría Municipal de Derechos Humanos.</w:t>
      </w:r>
    </w:p>
    <w:p w14:paraId="6D33EB1A" w14:textId="77777777" w:rsidR="008B17FE" w:rsidRPr="005426E1" w:rsidRDefault="006F5C2E">
      <w:pPr>
        <w:numPr>
          <w:ilvl w:val="0"/>
          <w:numId w:val="9"/>
        </w:numPr>
        <w:pBdr>
          <w:top w:val="nil"/>
          <w:left w:val="nil"/>
          <w:bottom w:val="nil"/>
          <w:right w:val="nil"/>
          <w:between w:val="nil"/>
        </w:pBdr>
        <w:spacing w:line="360" w:lineRule="auto"/>
        <w:ind w:left="993"/>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Acta 109.pdf: Acta de la Centésima Novena Sesión Extraordinaria 2025 del Comité de Transparencia mediante el cual </w:t>
      </w:r>
      <w:r w:rsidRPr="005426E1">
        <w:rPr>
          <w:rFonts w:ascii="Palatino Linotype" w:eastAsia="Palatino Linotype" w:hAnsi="Palatino Linotype" w:cs="Palatino Linotype"/>
          <w:sz w:val="22"/>
          <w:szCs w:val="22"/>
        </w:rPr>
        <w:t>se confirmó la entrega en versión pública de las quejas recibidas del uno de enero al treinta de junio de dos mil veintidós en la Defensoría Municipal de Derechos Humano, clasificando como información confidencial, los datos personales que se contienen en las documentales, tales como nombra, domicilio, número telefónico, nacionalidad, género, edad, ocupación, correo electrónico, firma, condiciones de salud.</w:t>
      </w:r>
    </w:p>
    <w:p w14:paraId="7BCF2CAB" w14:textId="77777777" w:rsidR="008B17FE" w:rsidRPr="005426E1" w:rsidRDefault="006F5C2E">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00661/INFOEM/IP/RR/2025:</w:t>
      </w:r>
    </w:p>
    <w:p w14:paraId="55F18F6F" w14:textId="77777777" w:rsidR="008B17FE" w:rsidRPr="005426E1" w:rsidRDefault="006F5C2E">
      <w:pPr>
        <w:numPr>
          <w:ilvl w:val="0"/>
          <w:numId w:val="3"/>
        </w:numPr>
        <w:pBdr>
          <w:top w:val="nil"/>
          <w:left w:val="nil"/>
          <w:bottom w:val="nil"/>
          <w:right w:val="nil"/>
          <w:between w:val="nil"/>
        </w:pBdr>
        <w:spacing w:line="360" w:lineRule="auto"/>
        <w:ind w:left="993"/>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sz w:val="22"/>
          <w:szCs w:val="22"/>
        </w:rPr>
        <w:t>Anexo recurso 00660-INFOEM-IP-RR-2025.pdf: Documento integrado por quince páginas que contienen diversas quejas presentadas ante la Defensoría Municipal de Derechos Humanos.</w:t>
      </w:r>
    </w:p>
    <w:p w14:paraId="2F188425" w14:textId="77777777" w:rsidR="008B17FE" w:rsidRPr="005426E1" w:rsidRDefault="006F5C2E">
      <w:pPr>
        <w:numPr>
          <w:ilvl w:val="0"/>
          <w:numId w:val="6"/>
        </w:numPr>
        <w:pBdr>
          <w:top w:val="nil"/>
          <w:left w:val="nil"/>
          <w:bottom w:val="nil"/>
          <w:right w:val="nil"/>
          <w:between w:val="nil"/>
        </w:pBdr>
        <w:spacing w:line="360" w:lineRule="auto"/>
        <w:ind w:left="993"/>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Informe Justificado 660.pdf: </w:t>
      </w:r>
      <w:r w:rsidRPr="005426E1">
        <w:rPr>
          <w:rFonts w:ascii="Palatino Linotype" w:eastAsia="Palatino Linotype" w:hAnsi="Palatino Linotype" w:cs="Palatino Linotype"/>
          <w:sz w:val="22"/>
          <w:szCs w:val="22"/>
        </w:rPr>
        <w:t xml:space="preserve">Documento suscrito por el Titular de la Unidad de Transparencia mediante el cual refiere que por fallas en el SAIMEX, no se pudo emitir la prórroga para dar respuesta a la solicitud; sin embargo, se menciona que la Defensoría Municipal de Derechos Humanos no recibe denuncias, sino quejas por </w:t>
      </w:r>
      <w:r w:rsidRPr="005426E1">
        <w:rPr>
          <w:rFonts w:ascii="Palatino Linotype" w:eastAsia="Palatino Linotype" w:hAnsi="Palatino Linotype" w:cs="Palatino Linotype"/>
          <w:sz w:val="22"/>
          <w:szCs w:val="22"/>
        </w:rPr>
        <w:lastRenderedPageBreak/>
        <w:t>actos u omisiones de carácter administrativo y, del uno de enero al treinta de junio de 2019 se localizaron 3 quejas, se anexan en versión pública, por lo que se pide que se confirme el recurso de revisión</w:t>
      </w:r>
    </w:p>
    <w:p w14:paraId="5A924BB8" w14:textId="77777777" w:rsidR="008B17FE" w:rsidRPr="005426E1" w:rsidRDefault="006F5C2E">
      <w:pPr>
        <w:numPr>
          <w:ilvl w:val="0"/>
          <w:numId w:val="6"/>
        </w:numPr>
        <w:pBdr>
          <w:top w:val="nil"/>
          <w:left w:val="nil"/>
          <w:bottom w:val="nil"/>
          <w:right w:val="nil"/>
          <w:between w:val="nil"/>
        </w:pBdr>
        <w:spacing w:line="360" w:lineRule="auto"/>
        <w:ind w:left="993"/>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Acta 109.pdf: Acta de la Centésima Novena Sesión Extraordinaria 2025 del Comité de Transparencia mediante el cual </w:t>
      </w:r>
      <w:r w:rsidRPr="005426E1">
        <w:rPr>
          <w:rFonts w:ascii="Palatino Linotype" w:eastAsia="Palatino Linotype" w:hAnsi="Palatino Linotype" w:cs="Palatino Linotype"/>
          <w:sz w:val="22"/>
          <w:szCs w:val="22"/>
        </w:rPr>
        <w:t>se confirmó la entrega en versión pública de las quejas recibidas del uno de enero al treinta de junio de dos mil veintidós en la Defensoría Municipal de Derechos Humano, clasificando como información confidencial, los datos personales que se contienen en las documentales, tales como nombra, domicilio, número telefónico, nacionalidad, género, edad, ocupación, correo electrónico, firma, condiciones de salud.</w:t>
      </w:r>
    </w:p>
    <w:p w14:paraId="396FA83D"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0B95F033"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10. Acumulación. A través de la Sexta Sesión Ordinaria celebrada el diecinueve de febrero de dos mil veinticinco, </w:t>
      </w:r>
      <w:r w:rsidRPr="005426E1">
        <w:rPr>
          <w:rFonts w:ascii="Palatino Linotype" w:eastAsia="Palatino Linotype" w:hAnsi="Palatino Linotype" w:cs="Palatino Linotype"/>
          <w:sz w:val="22"/>
          <w:szCs w:val="22"/>
        </w:rPr>
        <w:t>al advertir la conexidad de causa y con la finalidad de evitar que se dicten resoluciones contradictorias, de conformidad con el artículo 195 de la Ley de Transparencia y Acceso a la Información Pública del Estado de México y Municipios y artículo 18 del Código de Procedimientos Administrativos del Estado de México, se acordó la acumulación de los recursos antes señalados, acordando que fuera Ponente la</w:t>
      </w:r>
      <w:r w:rsidRPr="005426E1">
        <w:rPr>
          <w:rFonts w:ascii="Palatino Linotype" w:eastAsia="Palatino Linotype" w:hAnsi="Palatino Linotype" w:cs="Palatino Linotype"/>
          <w:b/>
          <w:sz w:val="22"/>
          <w:szCs w:val="22"/>
        </w:rPr>
        <w:t xml:space="preserve"> Comisionada Guadalupe Ramírez Peña.</w:t>
      </w:r>
    </w:p>
    <w:p w14:paraId="122C854F" w14:textId="77777777" w:rsidR="008B17FE" w:rsidRPr="005426E1" w:rsidRDefault="008B17FE">
      <w:p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p>
    <w:p w14:paraId="5102E4B1" w14:textId="77777777" w:rsidR="008B17FE" w:rsidRPr="005426E1" w:rsidRDefault="006F5C2E">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11. Cierre de instrucción</w:t>
      </w:r>
      <w:r w:rsidRPr="005426E1">
        <w:rPr>
          <w:rFonts w:ascii="Palatino Linotype" w:eastAsia="Palatino Linotype" w:hAnsi="Palatino Linotype" w:cs="Palatino Linotype"/>
          <w:sz w:val="22"/>
          <w:szCs w:val="22"/>
        </w:rPr>
        <w:t xml:space="preserve">. En fecha </w:t>
      </w:r>
      <w:r w:rsidRPr="005426E1">
        <w:rPr>
          <w:rFonts w:ascii="Palatino Linotype" w:eastAsia="Palatino Linotype" w:hAnsi="Palatino Linotype" w:cs="Palatino Linotype"/>
          <w:b/>
          <w:sz w:val="22"/>
          <w:szCs w:val="22"/>
        </w:rPr>
        <w:t>once de marzo de dos mil veinticinco</w:t>
      </w:r>
      <w:r w:rsidRPr="005426E1">
        <w:rPr>
          <w:rFonts w:ascii="Palatino Linotype" w:eastAsia="Palatino Linotype" w:hAnsi="Palatino Linotype" w:cs="Palatino Linotype"/>
          <w:sz w:val="22"/>
          <w:szCs w:val="22"/>
        </w:rPr>
        <w:t xml:space="preserve">, la Comisionada Ponente determinó el cierre de instrucción en términos de la fracción VI del artículo 185 de la Ley de Transparencia y Acceso a la Información Pública del Estado de México y Municipios. </w:t>
      </w:r>
    </w:p>
    <w:p w14:paraId="770C2E98" w14:textId="77777777" w:rsidR="008B17FE" w:rsidRPr="005426E1" w:rsidRDefault="008B17FE">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29646452"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lastRenderedPageBreak/>
        <w:t xml:space="preserve">Debido a que fueron debidamente sustanciados los expedientes electrónicos y no existe diligencia pendiente de desahogo, se emite la Resolución que conforme a Derecho proceda, de acuerdo con los siguientes: </w:t>
      </w:r>
    </w:p>
    <w:p w14:paraId="0B69753C"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67C3314C" w14:textId="77777777" w:rsidR="008B17FE" w:rsidRPr="005426E1" w:rsidRDefault="006F5C2E">
      <w:pPr>
        <w:spacing w:line="360" w:lineRule="auto"/>
        <w:ind w:right="49"/>
        <w:jc w:val="center"/>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II.</w:t>
      </w:r>
      <w:r w:rsidRPr="005426E1">
        <w:rPr>
          <w:rFonts w:ascii="Palatino Linotype" w:eastAsia="Palatino Linotype" w:hAnsi="Palatino Linotype" w:cs="Palatino Linotype"/>
          <w:b/>
          <w:sz w:val="22"/>
          <w:szCs w:val="22"/>
        </w:rPr>
        <w:tab/>
        <w:t>C O N S I D E R A N D O:</w:t>
      </w:r>
    </w:p>
    <w:p w14:paraId="46471AC8"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0DB5342"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Primero. Competencia. </w:t>
      </w:r>
      <w:r w:rsidRPr="005426E1">
        <w:rPr>
          <w:rFonts w:ascii="Palatino Linotype" w:eastAsia="Palatino Linotype" w:hAnsi="Palatino Linotype" w:cs="Palatino Linotype"/>
          <w:sz w:val="22"/>
          <w:szCs w:val="22"/>
        </w:rPr>
        <w:t>El Instituto de Transparencia, Acceso a la Información Pública y Protección de Datos Personales del Estado de México y Municipios, es competente para conocer y resolver los presentes recursos de revisión interpuestos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1, 2, fracción II; 13,  29, 36, fracciones I y II; 176, 178, 179, 181 párrafo tercero y 185 de la Ley Transparencia y Acceso a la Información Pública del Estado de México y Municipios; 9, fracciones I, XXIII y 11 del Reglamento Interior del Instituto de Transparencia, Acceso a la Información Pública y Protección de Datos Personales del Estado de México y Municipios.</w:t>
      </w:r>
    </w:p>
    <w:p w14:paraId="6915D454" w14:textId="77777777" w:rsidR="008B17FE" w:rsidRPr="005426E1" w:rsidRDefault="008B17FE">
      <w:pPr>
        <w:spacing w:line="360" w:lineRule="auto"/>
        <w:ind w:right="49"/>
        <w:jc w:val="both"/>
        <w:rPr>
          <w:rFonts w:ascii="Palatino Linotype" w:eastAsia="Palatino Linotype" w:hAnsi="Palatino Linotype" w:cs="Palatino Linotype"/>
          <w:b/>
          <w:sz w:val="22"/>
          <w:szCs w:val="22"/>
        </w:rPr>
      </w:pPr>
    </w:p>
    <w:p w14:paraId="057F940E"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Segundo. Oportunidad y Procedibilidad del Recurso de Revisión. </w:t>
      </w:r>
      <w:r w:rsidRPr="005426E1">
        <w:rPr>
          <w:rFonts w:ascii="Palatino Linotype" w:eastAsia="Palatino Linotype" w:hAnsi="Palatino Linotype" w:cs="Palatino Linotype"/>
          <w:sz w:val="22"/>
          <w:szCs w:val="22"/>
        </w:rPr>
        <w:t>Por cuanto hace a la oportunidad del recurso de revisión</w:t>
      </w:r>
      <w:r w:rsidRPr="005426E1">
        <w:rPr>
          <w:rFonts w:ascii="Palatino Linotype" w:eastAsia="Palatino Linotype" w:hAnsi="Palatino Linotype" w:cs="Palatino Linotype"/>
          <w:b/>
          <w:sz w:val="22"/>
          <w:szCs w:val="22"/>
        </w:rPr>
        <w:t xml:space="preserve"> </w:t>
      </w:r>
      <w:r w:rsidRPr="005426E1">
        <w:rPr>
          <w:rFonts w:ascii="Palatino Linotype" w:eastAsia="Palatino Linotype" w:hAnsi="Palatino Linotype" w:cs="Palatino Linotype"/>
          <w:sz w:val="22"/>
          <w:szCs w:val="22"/>
        </w:rPr>
        <w:t xml:space="preserve">es necesario considerar lo previsto en los artículos 163, párrafo primero; 166, penúltimo párrafo y 178, párrafo segundo; de la Ley de Transparencia y Acceso a la Información Pública del Estado de México y Municipios, de cuya interpretación se obtiene que el plazo que les asiste a los Sujetos Obligados para entregar la respuesta a una solicitud de información pública, es de quince días hábiles posteriores a la presentación de ésta; sin embargo, en aquellos casos en que transcurre el referido plazo de quince días hábiles sin que los Sujetos Obligados entreguen la respuesta a la solicitud de información, esta se </w:t>
      </w:r>
      <w:r w:rsidRPr="005426E1">
        <w:rPr>
          <w:rFonts w:ascii="Palatino Linotype" w:eastAsia="Palatino Linotype" w:hAnsi="Palatino Linotype" w:cs="Palatino Linotype"/>
          <w:sz w:val="22"/>
          <w:szCs w:val="22"/>
        </w:rPr>
        <w:lastRenderedPageBreak/>
        <w:t>considera negada; por lo que al solicitante le asiste el derecho para presentar el recurso de revisión en cualquier momento.</w:t>
      </w:r>
    </w:p>
    <w:p w14:paraId="0A5F8207"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0D0C0F14"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Derivado de lo anterior, se constituye la figura jurídica de la </w:t>
      </w:r>
      <w:r w:rsidRPr="005426E1">
        <w:rPr>
          <w:rFonts w:ascii="Palatino Linotype" w:eastAsia="Palatino Linotype" w:hAnsi="Palatino Linotype" w:cs="Palatino Linotype"/>
          <w:b/>
          <w:sz w:val="22"/>
          <w:szCs w:val="22"/>
        </w:rPr>
        <w:t>NEGATIVA FICTA</w:t>
      </w:r>
      <w:r w:rsidRPr="005426E1">
        <w:rPr>
          <w:rFonts w:ascii="Palatino Linotype" w:eastAsia="Palatino Linotype" w:hAnsi="Palatino Linotype" w:cs="Palatino Linotype"/>
          <w:sz w:val="22"/>
          <w:szCs w:val="22"/>
        </w:rPr>
        <w:t>, cuya esencia consiste en atribuir un efecto negativo al silencio de la autoridad administrativa frente a las instancias y solicitudes que hagan los particulares.</w:t>
      </w:r>
    </w:p>
    <w:p w14:paraId="22AB1F26"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19D6C714"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De tal manera, en el presente recurso de revisión se actualizó la negativa ficta por parte del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al no haber respondido a la parte </w:t>
      </w:r>
      <w:r w:rsidRPr="005426E1">
        <w:rPr>
          <w:rFonts w:ascii="Palatino Linotype" w:eastAsia="Palatino Linotype" w:hAnsi="Palatino Linotype" w:cs="Palatino Linotype"/>
          <w:b/>
          <w:sz w:val="22"/>
          <w:szCs w:val="22"/>
        </w:rPr>
        <w:t>RECURRENTE</w:t>
      </w:r>
      <w:r w:rsidRPr="005426E1">
        <w:rPr>
          <w:rFonts w:ascii="Palatino Linotype" w:eastAsia="Palatino Linotype" w:hAnsi="Palatino Linotype" w:cs="Palatino Linotype"/>
          <w:sz w:val="22"/>
          <w:szCs w:val="22"/>
        </w:rPr>
        <w:t xml:space="preserve"> en tiempo y forma en el plazo legal previsto para ello, en este sentido la falta de respuesta implica necesariamente que de modo fáctico se ha negado la información por razones desconocidas, pero que el hecho simple de no responder apareja una forma por omisión de negar el acceso a la información.</w:t>
      </w:r>
    </w:p>
    <w:p w14:paraId="5FA00EAC"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1A5FD678"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Si a ello se le suma lo previsto en el párrafo segundo del artículo 178, párrafo segundo</w:t>
      </w:r>
      <w:r w:rsidRPr="005426E1">
        <w:rPr>
          <w:rFonts w:ascii="Palatino Linotype" w:eastAsia="Palatino Linotype" w:hAnsi="Palatino Linotype" w:cs="Palatino Linotype"/>
          <w:sz w:val="22"/>
          <w:szCs w:val="22"/>
          <w:vertAlign w:val="superscript"/>
        </w:rPr>
        <w:footnoteReference w:id="1"/>
      </w:r>
      <w:r w:rsidRPr="005426E1">
        <w:rPr>
          <w:rFonts w:ascii="Palatino Linotype" w:eastAsia="Palatino Linotype" w:hAnsi="Palatino Linotype" w:cs="Palatino Linotype"/>
          <w:sz w:val="22"/>
          <w:szCs w:val="22"/>
        </w:rPr>
        <w:t xml:space="preserve"> de la Ley de Transparencia y Acceso a la Información Pública vigente en la entidad.</w:t>
      </w:r>
    </w:p>
    <w:p w14:paraId="69B38857"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27826E23"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Lo anterior encuentra sustento en el CRITERIO número 0001-15, aprobado por unanimidad del Pleno del Instituto de Transparencia, Acceso a la Información Pública y Protección de Datos Personales del Estado de México y Municipios, publicado en el Periódico Oficial del Estado de México “Gaceta del Gobierno”, el veintitrés de abril de dos mil quince, que establece:</w:t>
      </w:r>
    </w:p>
    <w:p w14:paraId="51C80A35" w14:textId="77777777" w:rsidR="008B17FE" w:rsidRPr="005426E1" w:rsidRDefault="008B17FE">
      <w:pPr>
        <w:spacing w:line="360" w:lineRule="auto"/>
        <w:jc w:val="both"/>
        <w:rPr>
          <w:i/>
          <w:sz w:val="22"/>
          <w:szCs w:val="22"/>
        </w:rPr>
      </w:pPr>
    </w:p>
    <w:p w14:paraId="023C76C3" w14:textId="77777777" w:rsidR="008B17FE" w:rsidRPr="005426E1" w:rsidRDefault="006F5C2E">
      <w:pPr>
        <w:ind w:left="567" w:right="616"/>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CRITERIO 0001-15 NEGATIVA FICTA. PLAZO PARA INTERPONER EL RECURSO DE REVISIÓN TRATÁNDOSE DE</w:t>
      </w:r>
      <w:r w:rsidRPr="005426E1">
        <w:rPr>
          <w:rFonts w:ascii="Palatino Linotype" w:eastAsia="Palatino Linotype" w:hAnsi="Palatino Linotype" w:cs="Palatino Linotype"/>
          <w:i/>
          <w:sz w:val="22"/>
          <w:szCs w:val="22"/>
        </w:rPr>
        <w:t>. El artículo 48, párrafo tercero de la Ley de Transparencia y Acceso a la Información Pública del Estado de México y Municipios establece que, cuando no se entregue la respuesta a la solicitud dentro del plazo de 15 días establecidos en el artículo 46 de la Ley de la materia, se entenderá por negada la solicitud y podrá interponerse el recurso correspondiente. Por su parte, el artículo 72 del mismo ordenamiento legal establece el plazo de 15 días para interponer el recurso de revisión a partir del día siguiente al que tuvo conocimiento de la respuesta recaída a su solicitud, sin que se establezca excepción alguna tratándose de una falta de respuesta del sujeto obligado. Así, entonces, resulta evidente que, al no emitirse respuesta dentro del plazo establecido, se genera la ficción legal de una respuesta en sentido negativo; en el entendido de que el plazo para impugnar esa negativa podrá ser en cualquier tiempo y hasta en tanto no se dicte resolución expresa; es decir, mientras no haya respuesta por parte del Sujeto Obligado, momento a partir del cual deberá computarse el plazo previsto en el artículo 72 de la citada Ley.”</w:t>
      </w:r>
    </w:p>
    <w:p w14:paraId="64A4D2B5" w14:textId="77777777" w:rsidR="008B17FE" w:rsidRPr="005426E1" w:rsidRDefault="008B17FE">
      <w:pPr>
        <w:ind w:left="567" w:right="851"/>
        <w:jc w:val="both"/>
        <w:rPr>
          <w:rFonts w:ascii="Palatino Linotype" w:eastAsia="Palatino Linotype" w:hAnsi="Palatino Linotype" w:cs="Palatino Linotype"/>
          <w:i/>
          <w:sz w:val="22"/>
          <w:szCs w:val="22"/>
        </w:rPr>
      </w:pPr>
    </w:p>
    <w:p w14:paraId="2234489E" w14:textId="77777777" w:rsidR="008B17FE" w:rsidRPr="005426E1" w:rsidRDefault="006F5C2E">
      <w:pPr>
        <w:pBdr>
          <w:top w:val="nil"/>
          <w:left w:val="nil"/>
          <w:bottom w:val="nil"/>
          <w:right w:val="nil"/>
          <w:between w:val="nil"/>
        </w:pBdr>
        <w:spacing w:line="360" w:lineRule="auto"/>
        <w:ind w:right="-147"/>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Además, una vez realizado el análisis del formato de interposición del recurso, se acreditan plenamente de todos y cada uno de los elementos formales exigidos por el artículo 180 de la Ley de Transparencia y Acceso a la Información Pública del Estado de México y Municipios, en atención a que fue presentado mediante el formato visible en </w:t>
      </w:r>
      <w:r w:rsidRPr="005426E1">
        <w:rPr>
          <w:rFonts w:ascii="Palatino Linotype" w:eastAsia="Palatino Linotype" w:hAnsi="Palatino Linotype" w:cs="Palatino Linotype"/>
          <w:b/>
          <w:sz w:val="22"/>
          <w:szCs w:val="22"/>
        </w:rPr>
        <w:t>EL</w:t>
      </w:r>
      <w:r w:rsidRPr="005426E1">
        <w:rPr>
          <w:rFonts w:ascii="Palatino Linotype" w:eastAsia="Palatino Linotype" w:hAnsi="Palatino Linotype" w:cs="Palatino Linotype"/>
          <w:sz w:val="22"/>
          <w:szCs w:val="22"/>
        </w:rPr>
        <w:t xml:space="preserve"> </w:t>
      </w:r>
      <w:r w:rsidRPr="005426E1">
        <w:rPr>
          <w:rFonts w:ascii="Palatino Linotype" w:eastAsia="Palatino Linotype" w:hAnsi="Palatino Linotype" w:cs="Palatino Linotype"/>
          <w:b/>
          <w:sz w:val="22"/>
          <w:szCs w:val="22"/>
        </w:rPr>
        <w:t>SAIMEX</w:t>
      </w:r>
      <w:r w:rsidRPr="005426E1">
        <w:rPr>
          <w:rFonts w:ascii="Palatino Linotype" w:eastAsia="Palatino Linotype" w:hAnsi="Palatino Linotype" w:cs="Palatino Linotype"/>
          <w:sz w:val="22"/>
          <w:szCs w:val="22"/>
        </w:rPr>
        <w:t>.</w:t>
      </w:r>
    </w:p>
    <w:p w14:paraId="4AD29E3A" w14:textId="77777777" w:rsidR="008B17FE" w:rsidRPr="005426E1" w:rsidRDefault="008B17FE">
      <w:pPr>
        <w:pBdr>
          <w:top w:val="nil"/>
          <w:left w:val="nil"/>
          <w:bottom w:val="nil"/>
          <w:right w:val="nil"/>
          <w:between w:val="nil"/>
        </w:pBdr>
        <w:spacing w:line="360" w:lineRule="auto"/>
        <w:ind w:right="-147"/>
        <w:jc w:val="both"/>
        <w:rPr>
          <w:rFonts w:ascii="Palatino Linotype" w:eastAsia="Palatino Linotype" w:hAnsi="Palatino Linotype" w:cs="Palatino Linotype"/>
          <w:sz w:val="22"/>
          <w:szCs w:val="22"/>
        </w:rPr>
      </w:pPr>
    </w:p>
    <w:p w14:paraId="0D0D0631" w14:textId="77777777" w:rsidR="008B17FE" w:rsidRPr="005426E1" w:rsidRDefault="006F5C2E">
      <w:pPr>
        <w:pBdr>
          <w:top w:val="nil"/>
          <w:left w:val="nil"/>
          <w:bottom w:val="nil"/>
          <w:right w:val="nil"/>
          <w:between w:val="nil"/>
        </w:pBdr>
        <w:spacing w:line="360" w:lineRule="auto"/>
        <w:ind w:right="-147"/>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falta análisis del nombre</w:t>
      </w:r>
    </w:p>
    <w:p w14:paraId="47B34796" w14:textId="77777777" w:rsidR="008B17FE" w:rsidRPr="005426E1" w:rsidRDefault="008B17FE">
      <w:pPr>
        <w:pBdr>
          <w:top w:val="nil"/>
          <w:left w:val="nil"/>
          <w:bottom w:val="nil"/>
          <w:right w:val="nil"/>
          <w:between w:val="nil"/>
        </w:pBdr>
        <w:spacing w:line="360" w:lineRule="auto"/>
        <w:ind w:right="-147"/>
        <w:jc w:val="both"/>
        <w:rPr>
          <w:rFonts w:ascii="Palatino Linotype" w:eastAsia="Palatino Linotype" w:hAnsi="Palatino Linotype" w:cs="Palatino Linotype"/>
          <w:sz w:val="22"/>
          <w:szCs w:val="22"/>
        </w:rPr>
      </w:pPr>
    </w:p>
    <w:p w14:paraId="43CE31C3"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Ahora bien, resulta procedente la interposición del recurso de revisión, según lo aducido por la parte </w:t>
      </w:r>
      <w:r w:rsidRPr="005426E1">
        <w:rPr>
          <w:rFonts w:ascii="Palatino Linotype" w:eastAsia="Palatino Linotype" w:hAnsi="Palatino Linotype" w:cs="Palatino Linotype"/>
          <w:b/>
          <w:sz w:val="22"/>
          <w:szCs w:val="22"/>
        </w:rPr>
        <w:t>RECURRENTE</w:t>
      </w:r>
      <w:r w:rsidRPr="005426E1">
        <w:rPr>
          <w:rFonts w:ascii="Palatino Linotype" w:eastAsia="Palatino Linotype" w:hAnsi="Palatino Linotype" w:cs="Palatino Linotype"/>
          <w:sz w:val="22"/>
          <w:szCs w:val="22"/>
        </w:rPr>
        <w:t>, en términos del artículo 179, fracción VII del ordenamiento legal de la materia, que a la letra dice:</w:t>
      </w:r>
    </w:p>
    <w:p w14:paraId="5857F1BC"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40E1A8B7" w14:textId="77777777" w:rsidR="008B17FE" w:rsidRPr="005426E1" w:rsidRDefault="006F5C2E">
      <w:pPr>
        <w:ind w:left="567" w:right="616"/>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sz w:val="22"/>
          <w:szCs w:val="22"/>
        </w:rPr>
        <w:t>Artículo 179.</w:t>
      </w:r>
      <w:r w:rsidRPr="005426E1">
        <w:rPr>
          <w:rFonts w:ascii="Palatino Linotype" w:eastAsia="Palatino Linotype" w:hAnsi="Palatino Linotype" w:cs="Palatino Linotype"/>
          <w:i/>
          <w:sz w:val="22"/>
          <w:szCs w:val="22"/>
        </w:rPr>
        <w:t xml:space="preserve">El recurso de revisión es un medio de protección que la Ley otorga a los particulares, para hacer valer su derecho de acceso a la información pública, y procederá en contra de las siguientes causas: </w:t>
      </w:r>
      <w:r w:rsidRPr="005426E1">
        <w:rPr>
          <w:rFonts w:ascii="Palatino Linotype" w:eastAsia="Palatino Linotype" w:hAnsi="Palatino Linotype" w:cs="Palatino Linotype"/>
          <w:sz w:val="22"/>
          <w:szCs w:val="22"/>
        </w:rPr>
        <w:t> </w:t>
      </w:r>
    </w:p>
    <w:p w14:paraId="2C125224" w14:textId="77777777" w:rsidR="008B17FE" w:rsidRPr="005426E1" w:rsidRDefault="006F5C2E">
      <w:pPr>
        <w:ind w:left="567" w:right="616"/>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lastRenderedPageBreak/>
        <w:t>…</w:t>
      </w:r>
    </w:p>
    <w:p w14:paraId="55E60ADD" w14:textId="77777777" w:rsidR="008B17FE" w:rsidRPr="005426E1" w:rsidRDefault="006F5C2E">
      <w:pPr>
        <w:numPr>
          <w:ilvl w:val="0"/>
          <w:numId w:val="10"/>
        </w:numPr>
        <w:ind w:left="567" w:right="616" w:firstLine="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La falta de respuesta a una solicitud de acceso a la información</w:t>
      </w:r>
    </w:p>
    <w:p w14:paraId="753BADAD" w14:textId="77777777" w:rsidR="008B17FE" w:rsidRPr="005426E1" w:rsidRDefault="006F5C2E">
      <w:pPr>
        <w:ind w:left="567" w:right="616"/>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0D82CD8C" w14:textId="77777777" w:rsidR="008B17FE" w:rsidRPr="005426E1" w:rsidRDefault="006F5C2E">
      <w:pPr>
        <w:tabs>
          <w:tab w:val="left" w:pos="8647"/>
        </w:tabs>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Tercero. Materia de la revisión. </w:t>
      </w:r>
      <w:r w:rsidRPr="005426E1">
        <w:rPr>
          <w:rFonts w:ascii="Palatino Linotype" w:eastAsia="Palatino Linotype" w:hAnsi="Palatino Linotype" w:cs="Palatino Linotype"/>
          <w:sz w:val="22"/>
          <w:szCs w:val="22"/>
        </w:rPr>
        <w:t xml:space="preserve">Este Organismo Garante procede del análisis de los agravios hechos valer por la parte </w:t>
      </w:r>
      <w:r w:rsidRPr="005426E1">
        <w:rPr>
          <w:rFonts w:ascii="Palatino Linotype" w:eastAsia="Palatino Linotype" w:hAnsi="Palatino Linotype" w:cs="Palatino Linotype"/>
          <w:b/>
          <w:sz w:val="22"/>
          <w:szCs w:val="22"/>
        </w:rPr>
        <w:t>Recurrente</w:t>
      </w:r>
      <w:r w:rsidRPr="005426E1">
        <w:rPr>
          <w:rFonts w:ascii="Palatino Linotype" w:eastAsia="Palatino Linotype" w:hAnsi="Palatino Linotype" w:cs="Palatino Linotype"/>
          <w:sz w:val="22"/>
          <w:szCs w:val="22"/>
        </w:rPr>
        <w:t>, a fin de determinar si se violenta en perjuicio de este, el derecho de acceso a la información previsto en la Constitución Política de los Estados Unidos Mexicanos y en la Constitución Política del Estado Libre y Soberano de México.</w:t>
      </w:r>
    </w:p>
    <w:p w14:paraId="6E142589"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15F0E305"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Cuarto.</w:t>
      </w:r>
      <w:r w:rsidRPr="005426E1">
        <w:rPr>
          <w:rFonts w:ascii="Palatino Linotype" w:eastAsia="Palatino Linotype" w:hAnsi="Palatino Linotype" w:cs="Palatino Linotype"/>
          <w:sz w:val="22"/>
          <w:szCs w:val="22"/>
        </w:rPr>
        <w:t xml:space="preserve"> </w:t>
      </w:r>
      <w:r w:rsidRPr="005426E1">
        <w:rPr>
          <w:rFonts w:ascii="Palatino Linotype" w:eastAsia="Palatino Linotype" w:hAnsi="Palatino Linotype" w:cs="Palatino Linotype"/>
          <w:b/>
          <w:sz w:val="22"/>
          <w:szCs w:val="22"/>
        </w:rPr>
        <w:t>Estudio de fondo del asunto.</w:t>
      </w:r>
      <w:r w:rsidRPr="005426E1">
        <w:rPr>
          <w:rFonts w:ascii="Palatino Linotype" w:eastAsia="Palatino Linotype" w:hAnsi="Palatino Linotype" w:cs="Palatino Linotype"/>
          <w:sz w:val="22"/>
          <w:szCs w:val="22"/>
        </w:rPr>
        <w:t xml:space="preserve">  Antes de entrar al análisis de los pronunciamientos del Sujeto Obligado en las respuestas proporcionadas, es necesario mencionar que el derecho de acceso 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5542002C" w14:textId="77777777" w:rsidR="008B17FE" w:rsidRPr="005426E1" w:rsidRDefault="008B17FE">
      <w:pPr>
        <w:spacing w:line="360" w:lineRule="auto"/>
        <w:ind w:left="567" w:right="560"/>
        <w:jc w:val="both"/>
        <w:rPr>
          <w:rFonts w:ascii="Palatino Linotype" w:eastAsia="Palatino Linotype" w:hAnsi="Palatino Linotype" w:cs="Palatino Linotype"/>
          <w:i/>
          <w:sz w:val="22"/>
          <w:szCs w:val="22"/>
        </w:rPr>
      </w:pPr>
    </w:p>
    <w:p w14:paraId="600D6B27"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Artículo 1o.</w:t>
      </w:r>
      <w:r w:rsidRPr="005426E1">
        <w:rPr>
          <w:rFonts w:ascii="Palatino Linotype" w:eastAsia="Palatino Linotype" w:hAnsi="Palatino Linotype" w:cs="Palatino Linotype"/>
          <w:i/>
          <w:sz w:val="22"/>
          <w:szCs w:val="22"/>
        </w:rPr>
        <w:t xml:space="preserve"> En los Estados Unidos Mexicanos todas las personas gozarán de los derechos humanos reconocidos en esta Constitución y en los tratados internacionales de los que el Estado Mexicano sea parte, así como de las garantías para su protección, cuyo ejercicio no podrá restringirse ni suspenderse, salvo en los casos y bajo las condiciones que esta Constitución establece.</w:t>
      </w:r>
    </w:p>
    <w:p w14:paraId="7DD4A8D5"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Las normas relativas a los derechos humanos se interpretarán de conformidad con esta Constitución y con los tratados internacionales de la materia favoreciendo en todo tiempo a las personas la protección más amplia.</w:t>
      </w:r>
    </w:p>
    <w:p w14:paraId="625DE245"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Todas las autoridades, en el ámbito de sus competencias, tienen la obligación de promover, respetar, proteger y garantizar los derechos humanos de conformidad con los principios de </w:t>
      </w:r>
      <w:r w:rsidRPr="005426E1">
        <w:rPr>
          <w:rFonts w:ascii="Palatino Linotype" w:eastAsia="Palatino Linotype" w:hAnsi="Palatino Linotype" w:cs="Palatino Linotype"/>
          <w:i/>
          <w:sz w:val="22"/>
          <w:szCs w:val="22"/>
        </w:rPr>
        <w:lastRenderedPageBreak/>
        <w:t>universalidad, interdependencia, indivisibilidad y progresividad. En consecuencia, el Estado deberá prevenir, investigar, sancionar y reparar las violaciones a los derechos humanos, en los términos que establezca la ley</w:t>
      </w:r>
    </w:p>
    <w:p w14:paraId="46BE6AAD"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120F411F" w14:textId="77777777" w:rsidR="008B17FE" w:rsidRPr="005426E1" w:rsidRDefault="006F5C2E">
      <w:pPr>
        <w:pBdr>
          <w:top w:val="nil"/>
          <w:left w:val="nil"/>
          <w:bottom w:val="nil"/>
          <w:right w:val="nil"/>
          <w:between w:val="nil"/>
        </w:pBdr>
        <w:spacing w:before="240" w:after="240"/>
        <w:ind w:left="567" w:right="560"/>
        <w:jc w:val="both"/>
      </w:pPr>
      <w:r w:rsidRPr="005426E1">
        <w:rPr>
          <w:rFonts w:ascii="Palatino Linotype" w:eastAsia="Palatino Linotype" w:hAnsi="Palatino Linotype" w:cs="Palatino Linotype"/>
          <w:b/>
          <w:i/>
          <w:sz w:val="22"/>
          <w:szCs w:val="22"/>
        </w:rPr>
        <w:t>“Artículo 6o.</w:t>
      </w:r>
    </w:p>
    <w:p w14:paraId="6E4206AB" w14:textId="77777777" w:rsidR="008B17FE" w:rsidRPr="005426E1" w:rsidRDefault="006F5C2E">
      <w:pPr>
        <w:pBdr>
          <w:top w:val="nil"/>
          <w:left w:val="nil"/>
          <w:bottom w:val="nil"/>
          <w:right w:val="nil"/>
          <w:between w:val="nil"/>
        </w:pBdr>
        <w:spacing w:before="240" w:after="240"/>
        <w:ind w:left="567" w:right="560"/>
        <w:jc w:val="both"/>
      </w:pPr>
      <w:r w:rsidRPr="005426E1">
        <w:rPr>
          <w:rFonts w:ascii="Palatino Linotype" w:eastAsia="Palatino Linotype" w:hAnsi="Palatino Linotype" w:cs="Palatino Linotype"/>
          <w:i/>
          <w:sz w:val="22"/>
          <w:szCs w:val="22"/>
        </w:rPr>
        <w:t>[...]</w:t>
      </w:r>
    </w:p>
    <w:p w14:paraId="7606C81A" w14:textId="77777777" w:rsidR="008B17FE" w:rsidRPr="005426E1" w:rsidRDefault="006F5C2E">
      <w:pPr>
        <w:pBdr>
          <w:top w:val="nil"/>
          <w:left w:val="nil"/>
          <w:bottom w:val="nil"/>
          <w:right w:val="nil"/>
          <w:between w:val="nil"/>
        </w:pBdr>
        <w:spacing w:before="240" w:after="240"/>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 xml:space="preserve">A. Para el ejercicio del derecho de acceso a la información, la Federación y </w:t>
      </w:r>
      <w:r w:rsidRPr="005426E1">
        <w:rPr>
          <w:rFonts w:ascii="Palatino Linotype" w:eastAsia="Palatino Linotype" w:hAnsi="Palatino Linotype" w:cs="Palatino Linotype"/>
          <w:b/>
          <w:i/>
          <w:sz w:val="22"/>
          <w:szCs w:val="22"/>
          <w:u w:val="single"/>
        </w:rPr>
        <w:t>las entidades federativas</w:t>
      </w:r>
      <w:r w:rsidRPr="005426E1">
        <w:rPr>
          <w:rFonts w:ascii="Palatino Linotype" w:eastAsia="Palatino Linotype" w:hAnsi="Palatino Linotype" w:cs="Palatino Linotype"/>
          <w:b/>
          <w:i/>
          <w:sz w:val="22"/>
          <w:szCs w:val="22"/>
        </w:rPr>
        <w:t>,</w:t>
      </w:r>
      <w:r w:rsidRPr="005426E1">
        <w:rPr>
          <w:rFonts w:ascii="Palatino Linotype" w:eastAsia="Palatino Linotype" w:hAnsi="Palatino Linotype" w:cs="Palatino Linotype"/>
          <w:i/>
          <w:sz w:val="22"/>
          <w:szCs w:val="22"/>
        </w:rPr>
        <w:t xml:space="preserve"> en el ámbito de sus respectivas competencias, se regirán por los siguientes principios y bases:</w:t>
      </w:r>
    </w:p>
    <w:p w14:paraId="7D37828E" w14:textId="77777777" w:rsidR="008B17FE" w:rsidRPr="005426E1" w:rsidRDefault="006F5C2E">
      <w:pPr>
        <w:pBdr>
          <w:top w:val="nil"/>
          <w:left w:val="nil"/>
          <w:bottom w:val="nil"/>
          <w:right w:val="nil"/>
          <w:between w:val="nil"/>
        </w:pBdr>
        <w:spacing w:before="240" w:after="240"/>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w:t>
      </w:r>
      <w:r w:rsidRPr="005426E1">
        <w:rPr>
          <w:rFonts w:ascii="Palatino Linotype" w:eastAsia="Palatino Linotype" w:hAnsi="Palatino Linotype" w:cs="Palatino Linotype"/>
          <w:b/>
          <w:i/>
          <w:sz w:val="22"/>
          <w:szCs w:val="22"/>
        </w:rPr>
        <w:t xml:space="preserve">I. </w:t>
      </w:r>
      <w:r w:rsidRPr="005426E1">
        <w:rPr>
          <w:rFonts w:ascii="Palatino Linotype" w:eastAsia="Palatino Linotype" w:hAnsi="Palatino Linotype" w:cs="Palatino Linotype"/>
          <w:b/>
          <w:i/>
          <w:sz w:val="22"/>
          <w:szCs w:val="22"/>
          <w:u w:val="single"/>
        </w:rPr>
        <w:t>Toda la información en posesión de cualquier autoridad, entidad, órgano y organismo de los Poderes</w:t>
      </w:r>
      <w:r w:rsidRPr="005426E1">
        <w:rPr>
          <w:rFonts w:ascii="Palatino Linotype" w:eastAsia="Palatino Linotype" w:hAnsi="Palatino Linotype" w:cs="Palatino Linotype"/>
          <w:i/>
          <w:sz w:val="22"/>
          <w:szCs w:val="22"/>
        </w:rPr>
        <w:t xml:space="preserve"> Ejecutivo, Legislativo y Judicial, órganos autónomos, partidos políticos, fideicomisos y fondos públicos, así como de cualquier persona física, moral o sindicato que reciba y ejerza recursos públicos o realice actos de autoridad en el ámbito federal, estatal y municipal, </w:t>
      </w:r>
      <w:r w:rsidRPr="005426E1">
        <w:rPr>
          <w:rFonts w:ascii="Palatino Linotype" w:eastAsia="Palatino Linotype" w:hAnsi="Palatino Linotype" w:cs="Palatino Linotype"/>
          <w:b/>
          <w:i/>
          <w:sz w:val="22"/>
          <w:szCs w:val="22"/>
        </w:rPr>
        <w:t>es pública y sólo podrá ser reservada temporalmente por razones de interés público y seguridad nacional,</w:t>
      </w:r>
      <w:r w:rsidRPr="005426E1">
        <w:rPr>
          <w:rFonts w:ascii="Palatino Linotype" w:eastAsia="Palatino Linotype" w:hAnsi="Palatino Linotype" w:cs="Palatino Linotype"/>
          <w:i/>
          <w:sz w:val="22"/>
          <w:szCs w:val="22"/>
        </w:rPr>
        <w:t xml:space="preserve">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55987E31" w14:textId="77777777" w:rsidR="008B17FE" w:rsidRPr="005426E1" w:rsidRDefault="006F5C2E">
      <w:pPr>
        <w:pBdr>
          <w:top w:val="nil"/>
          <w:left w:val="nil"/>
          <w:bottom w:val="nil"/>
          <w:right w:val="nil"/>
          <w:between w:val="nil"/>
        </w:pBdr>
        <w:spacing w:before="240" w:after="240"/>
        <w:ind w:left="567" w:right="56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II. La información que se refiere a la vida privada y los datos personales será protegida en los términos y con las excepciones que fijen las leyes. Para tal efecto, los sujetos obligados contarán con las facultades suficientes para su atención.</w:t>
      </w:r>
    </w:p>
    <w:p w14:paraId="562DFA56" w14:textId="77777777" w:rsidR="008B17FE" w:rsidRPr="005426E1" w:rsidRDefault="006F5C2E">
      <w:pPr>
        <w:pBdr>
          <w:top w:val="nil"/>
          <w:left w:val="nil"/>
          <w:bottom w:val="nil"/>
          <w:right w:val="nil"/>
          <w:between w:val="nil"/>
        </w:pBdr>
        <w:spacing w:before="240" w:after="240"/>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w:t>
      </w:r>
      <w:r w:rsidRPr="005426E1">
        <w:rPr>
          <w:rFonts w:ascii="Palatino Linotype" w:eastAsia="Palatino Linotype" w:hAnsi="Palatino Linotype" w:cs="Palatino Linotype"/>
          <w:b/>
          <w:i/>
          <w:sz w:val="22"/>
          <w:szCs w:val="22"/>
        </w:rPr>
        <w:t xml:space="preserve">III. </w:t>
      </w:r>
      <w:r w:rsidRPr="005426E1">
        <w:rPr>
          <w:rFonts w:ascii="Palatino Linotype" w:eastAsia="Palatino Linotype" w:hAnsi="Palatino Linotype" w:cs="Palatino Linotype"/>
          <w:b/>
          <w:i/>
          <w:sz w:val="22"/>
          <w:szCs w:val="22"/>
          <w:u w:val="single"/>
        </w:rPr>
        <w:t>Toda persona, sin necesidad de acreditar interés alguno o justificar su utilización, tendrá acceso gratuito a la información pública,</w:t>
      </w:r>
      <w:r w:rsidRPr="005426E1">
        <w:rPr>
          <w:rFonts w:ascii="Palatino Linotype" w:eastAsia="Palatino Linotype" w:hAnsi="Palatino Linotype" w:cs="Palatino Linotype"/>
          <w:i/>
          <w:sz w:val="22"/>
          <w:szCs w:val="22"/>
        </w:rPr>
        <w:t xml:space="preserve"> a sus datos personales o a la rectificación de éstos.</w:t>
      </w:r>
    </w:p>
    <w:p w14:paraId="3CE99B98" w14:textId="77777777" w:rsidR="008B17FE" w:rsidRPr="005426E1" w:rsidRDefault="006F5C2E">
      <w:pPr>
        <w:pBdr>
          <w:top w:val="nil"/>
          <w:left w:val="nil"/>
          <w:bottom w:val="nil"/>
          <w:right w:val="nil"/>
          <w:between w:val="nil"/>
        </w:pBdr>
        <w:spacing w:before="240" w:after="240"/>
        <w:ind w:left="567" w:right="560"/>
        <w:jc w:val="both"/>
      </w:pPr>
      <w:r w:rsidRPr="005426E1">
        <w:rPr>
          <w:rFonts w:ascii="Palatino Linotype" w:eastAsia="Palatino Linotype" w:hAnsi="Palatino Linotype" w:cs="Palatino Linotype"/>
          <w:b/>
          <w:i/>
          <w:sz w:val="22"/>
          <w:szCs w:val="22"/>
        </w:rPr>
        <w:t>…</w:t>
      </w:r>
    </w:p>
    <w:p w14:paraId="6902F4B3" w14:textId="77777777" w:rsidR="008B17FE" w:rsidRPr="005426E1" w:rsidRDefault="006F5C2E">
      <w:pPr>
        <w:pBdr>
          <w:top w:val="nil"/>
          <w:left w:val="nil"/>
          <w:bottom w:val="nil"/>
          <w:right w:val="nil"/>
          <w:between w:val="nil"/>
        </w:pBdr>
        <w:spacing w:before="240" w:after="240"/>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IV.</w:t>
      </w:r>
      <w:r w:rsidRPr="005426E1">
        <w:rPr>
          <w:rFonts w:ascii="Palatino Linotype" w:eastAsia="Palatino Linotype" w:hAnsi="Palatino Linotype" w:cs="Palatino Linotype"/>
          <w:i/>
          <w:sz w:val="22"/>
          <w:szCs w:val="22"/>
        </w:rPr>
        <w:t xml:space="preserve"> Se establecerán mecanismos de acceso a la información pública y procedimientos de revisión expeditos que se sustanciarán ante las instancias competentes en los términos que fija esta Constitución y las leyes.</w:t>
      </w:r>
    </w:p>
    <w:p w14:paraId="3172791B" w14:textId="77777777" w:rsidR="008B17FE" w:rsidRPr="005426E1" w:rsidRDefault="006F5C2E">
      <w:pPr>
        <w:pBdr>
          <w:top w:val="nil"/>
          <w:left w:val="nil"/>
          <w:bottom w:val="nil"/>
          <w:right w:val="nil"/>
          <w:between w:val="nil"/>
        </w:pBdr>
        <w:spacing w:before="240" w:after="240"/>
        <w:ind w:left="567" w:right="560"/>
        <w:jc w:val="both"/>
      </w:pPr>
      <w:r w:rsidRPr="005426E1">
        <w:rPr>
          <w:rFonts w:ascii="Palatino Linotype" w:eastAsia="Palatino Linotype" w:hAnsi="Palatino Linotype" w:cs="Palatino Linotype"/>
          <w:b/>
          <w:i/>
          <w:sz w:val="22"/>
          <w:szCs w:val="22"/>
        </w:rPr>
        <w:lastRenderedPageBreak/>
        <w:t xml:space="preserve">V. </w:t>
      </w:r>
      <w:r w:rsidRPr="005426E1">
        <w:rPr>
          <w:rFonts w:ascii="Palatino Linotype" w:eastAsia="Palatino Linotype" w:hAnsi="Palatino Linotype" w:cs="Palatino Linotype"/>
          <w:i/>
          <w:sz w:val="22"/>
          <w:szCs w:val="22"/>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0F9CC0E0" w14:textId="77777777" w:rsidR="008B17FE" w:rsidRPr="005426E1" w:rsidRDefault="006F5C2E">
      <w:pPr>
        <w:pBdr>
          <w:top w:val="nil"/>
          <w:left w:val="nil"/>
          <w:bottom w:val="nil"/>
          <w:right w:val="nil"/>
          <w:between w:val="nil"/>
        </w:pBdr>
        <w:spacing w:before="240" w:after="240"/>
        <w:ind w:left="567" w:right="560"/>
        <w:jc w:val="both"/>
      </w:pPr>
      <w:r w:rsidRPr="005426E1">
        <w:rPr>
          <w:rFonts w:ascii="Palatino Linotype" w:eastAsia="Palatino Linotype" w:hAnsi="Palatino Linotype" w:cs="Palatino Linotype"/>
          <w:i/>
          <w:sz w:val="22"/>
          <w:szCs w:val="22"/>
        </w:rPr>
        <w:t> </w:t>
      </w:r>
      <w:r w:rsidRPr="005426E1">
        <w:rPr>
          <w:rFonts w:ascii="Palatino Linotype" w:eastAsia="Palatino Linotype" w:hAnsi="Palatino Linotype" w:cs="Palatino Linotype"/>
          <w:b/>
          <w:i/>
          <w:sz w:val="22"/>
          <w:szCs w:val="22"/>
        </w:rPr>
        <w:t xml:space="preserve">VI. </w:t>
      </w:r>
      <w:r w:rsidRPr="005426E1">
        <w:rPr>
          <w:rFonts w:ascii="Palatino Linotype" w:eastAsia="Palatino Linotype" w:hAnsi="Palatino Linotype" w:cs="Palatino Linotype"/>
          <w:i/>
          <w:sz w:val="22"/>
          <w:szCs w:val="22"/>
        </w:rPr>
        <w:t>Las leyes determinarán la manera en que los sujetos obligados deberán hacer pública la información relativa a los recursos públicos que entreguen a personas físicas o morales.</w:t>
      </w:r>
    </w:p>
    <w:p w14:paraId="0BA01078" w14:textId="77777777" w:rsidR="008B17FE" w:rsidRPr="005426E1" w:rsidRDefault="006F5C2E">
      <w:pPr>
        <w:pBdr>
          <w:top w:val="nil"/>
          <w:left w:val="nil"/>
          <w:bottom w:val="nil"/>
          <w:right w:val="nil"/>
          <w:between w:val="nil"/>
        </w:pBdr>
        <w:spacing w:before="240" w:after="240"/>
        <w:ind w:left="567" w:right="560"/>
        <w:jc w:val="both"/>
      </w:pPr>
      <w:r w:rsidRPr="005426E1">
        <w:rPr>
          <w:rFonts w:ascii="Palatino Linotype" w:eastAsia="Palatino Linotype" w:hAnsi="Palatino Linotype" w:cs="Palatino Linotype"/>
          <w:i/>
          <w:sz w:val="22"/>
          <w:szCs w:val="22"/>
        </w:rPr>
        <w:t> </w:t>
      </w:r>
      <w:r w:rsidRPr="005426E1">
        <w:rPr>
          <w:rFonts w:ascii="Palatino Linotype" w:eastAsia="Palatino Linotype" w:hAnsi="Palatino Linotype" w:cs="Palatino Linotype"/>
          <w:b/>
          <w:i/>
          <w:sz w:val="22"/>
          <w:szCs w:val="22"/>
        </w:rPr>
        <w:t xml:space="preserve">VII. </w:t>
      </w:r>
      <w:r w:rsidRPr="005426E1">
        <w:rPr>
          <w:rFonts w:ascii="Palatino Linotype" w:eastAsia="Palatino Linotype" w:hAnsi="Palatino Linotype" w:cs="Palatino Linotype"/>
          <w:i/>
          <w:sz w:val="22"/>
          <w:szCs w:val="22"/>
        </w:rPr>
        <w:t>La inobservancia a las disposiciones en materia de acceso a la información pública será sancionada en los términos que dispongan las leyes. [...]”</w:t>
      </w:r>
    </w:p>
    <w:p w14:paraId="16A47CD3"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F556B17"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Esto es, que cualquier persona tiene el derecho al acceso de la información pública, información que consiste en aquella que sea generada, obtenida, adquirida, transformada, administrada o en posesión de los Sujetos Obligados, como así también lo señala la Ley de Transparencia y Acceso a la Información Pública del Estado de México y Municipios en su artículo 4,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4AFA3349"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7B8E60DE"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Artículo 4.</w:t>
      </w:r>
      <w:r w:rsidRPr="005426E1">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20270D53"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w:t>
      </w:r>
      <w:r w:rsidRPr="005426E1">
        <w:rPr>
          <w:rFonts w:ascii="Palatino Linotype" w:eastAsia="Palatino Linotype" w:hAnsi="Palatino Linotype" w:cs="Palatino Linotype"/>
          <w:i/>
          <w:sz w:val="22"/>
          <w:szCs w:val="22"/>
        </w:rPr>
        <w:lastRenderedPageBreak/>
        <w:t>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1536F98E"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Los sujetos obligados deben poner en práctica, políticas y programas de acceso a la información que se apeguen a criterios de publicidad, veracidad, oportunidad, precisión y suficiencia en beneficio de los solicitantes.”</w:t>
      </w:r>
    </w:p>
    <w:p w14:paraId="79106C3D" w14:textId="77777777" w:rsidR="008B17FE" w:rsidRPr="005426E1" w:rsidRDefault="008B17FE">
      <w:pPr>
        <w:spacing w:line="360" w:lineRule="auto"/>
        <w:ind w:left="567" w:right="560"/>
        <w:jc w:val="both"/>
        <w:rPr>
          <w:rFonts w:ascii="Palatino Linotype" w:eastAsia="Palatino Linotype" w:hAnsi="Palatino Linotype" w:cs="Palatino Linotype"/>
          <w:i/>
          <w:sz w:val="22"/>
          <w:szCs w:val="22"/>
        </w:rPr>
      </w:pPr>
    </w:p>
    <w:p w14:paraId="06154E15"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De lo precedente, se desprende que los Sujetos Obligados tienen la obligación o deber de atender las solicitudes de acceso a la información pública que se les hagan de su conocimiento y proporcionar la información pública que obren en su poder como así lo establece el artículo 12 de la Ley de Transparencia y Acceso a la Información Pública del Estado de México y Municipios, el cual a la letra dice:</w:t>
      </w:r>
    </w:p>
    <w:p w14:paraId="7A614116"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000AD172"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Artículo 12.</w:t>
      </w:r>
      <w:r w:rsidRPr="005426E1">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3A11BDFC"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 </w:t>
      </w:r>
    </w:p>
    <w:p w14:paraId="55B22F88"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2FD66AB8"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lastRenderedPageBreak/>
        <w:t>Es decir, que el derecho de acceso a la información pública se satisface en aquellos casos en que se entregue documento en que conste la información requerida, toda vez que, los Sujetos Obligados no tienen el deber de generar, poseer o administrar la información pública con el grado de detalle solicitado; esto es, que no tienen el deber de generar un documento ad hoc, para satisfacer el derecho de acceso a la información pública, como así lo establece el Criterio 03/17 emitido por el Instituto Nacional de Transparencia, Acceso a la Información Pública y Protección de Datos Personales, el cual señala lo siguiente:</w:t>
      </w:r>
    </w:p>
    <w:p w14:paraId="4FC8E76A"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6962ADCA" w14:textId="77777777" w:rsidR="008B17FE" w:rsidRPr="005426E1" w:rsidRDefault="006F5C2E">
      <w:pPr>
        <w:spacing w:line="360" w:lineRule="auto"/>
        <w:ind w:left="567" w:right="56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Criterio 03/17</w:t>
      </w:r>
    </w:p>
    <w:p w14:paraId="09B207E3"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 xml:space="preserve">“NO EXISTE OBLIGACIÓN DE ELABORAR DOCUMENTOS AD HOC PARA ATENDER LAS SOLICITUDES DE ACCESO A LA INFORMACIÓN. </w:t>
      </w:r>
      <w:r w:rsidRPr="005426E1">
        <w:rPr>
          <w:rFonts w:ascii="Palatino Linotype" w:eastAsia="Palatino Linotype" w:hAnsi="Palatino Linotype" w:cs="Palatino Linotype"/>
          <w:i/>
          <w:sz w:val="22"/>
          <w:szCs w:val="22"/>
        </w:rPr>
        <w:t>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0DE5395A" w14:textId="77777777" w:rsidR="008B17FE" w:rsidRPr="005426E1" w:rsidRDefault="008B17FE">
      <w:pPr>
        <w:spacing w:line="360" w:lineRule="auto"/>
        <w:ind w:left="567" w:right="560"/>
        <w:jc w:val="both"/>
        <w:rPr>
          <w:rFonts w:ascii="Palatino Linotype" w:eastAsia="Palatino Linotype" w:hAnsi="Palatino Linotype" w:cs="Palatino Linotype"/>
          <w:b/>
          <w:i/>
          <w:sz w:val="22"/>
          <w:szCs w:val="22"/>
        </w:rPr>
      </w:pPr>
    </w:p>
    <w:p w14:paraId="2DD5F9C7"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Por otra parte, y aunado a lo antepuesto, el último párrafo del artículo 24 de la Ley de la materia, dispone que los Sujetos Obligados sólo proporcionarán la información pública que generen, administren o posean en el ejercicio de sus atribuciones; por consiguiente, la </w:t>
      </w:r>
      <w:r w:rsidRPr="005426E1">
        <w:rPr>
          <w:rFonts w:ascii="Palatino Linotype" w:eastAsia="Palatino Linotype" w:hAnsi="Palatino Linotype" w:cs="Palatino Linotype"/>
          <w:sz w:val="22"/>
          <w:szCs w:val="22"/>
        </w:rPr>
        <w:lastRenderedPageBreak/>
        <w:t>información pública se encuentra a disposición de cualquier persona, lo que implica que es deber de los Sujetos Obligados, garantizar el Derecho de Acceso a la Información Pública.</w:t>
      </w:r>
    </w:p>
    <w:p w14:paraId="04DC1718"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0A6EB85B"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54A33D38"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15707619"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166F4E03"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47109405"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Artículo 3.</w:t>
      </w:r>
      <w:r w:rsidRPr="005426E1">
        <w:rPr>
          <w:rFonts w:ascii="Palatino Linotype" w:eastAsia="Palatino Linotype" w:hAnsi="Palatino Linotype" w:cs="Palatino Linotype"/>
          <w:i/>
          <w:sz w:val="22"/>
          <w:szCs w:val="22"/>
        </w:rPr>
        <w:t xml:space="preserve"> Para los efectos de la presente Ley se entenderá por:</w:t>
      </w:r>
    </w:p>
    <w:p w14:paraId="620B4FDE"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6703DF7F"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XI. Documento:</w:t>
      </w:r>
      <w:r w:rsidRPr="005426E1">
        <w:rPr>
          <w:rFonts w:ascii="Palatino Linotype" w:eastAsia="Palatino Linotype" w:hAnsi="Palatino Linotype" w:cs="Palatino Linotype"/>
          <w:i/>
          <w:sz w:val="22"/>
          <w:szCs w:val="22"/>
        </w:rPr>
        <w:t xml:space="preserve"> Los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sus </w:t>
      </w:r>
      <w:r w:rsidRPr="005426E1">
        <w:rPr>
          <w:rFonts w:ascii="Palatino Linotype" w:eastAsia="Palatino Linotype" w:hAnsi="Palatino Linotype" w:cs="Palatino Linotype"/>
          <w:i/>
          <w:sz w:val="22"/>
          <w:szCs w:val="22"/>
        </w:rPr>
        <w:lastRenderedPageBreak/>
        <w:t xml:space="preserve">servidores públicos e integrantes, sin importar su fuente o fecha de elaboración. Los documentos podrán estar en cualquier medio, sea escrito, impreso, sonoro, visual, electrónico, informático u holográfico…” </w:t>
      </w:r>
    </w:p>
    <w:p w14:paraId="1AA201E7"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542FAA92"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43AF90F5"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4158F2C0" w14:textId="77777777" w:rsidR="008B17FE" w:rsidRPr="005426E1" w:rsidRDefault="006F5C2E">
      <w:pPr>
        <w:spacing w:line="360" w:lineRule="auto"/>
        <w:ind w:left="567" w:right="56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CRITERIO 0002-11</w:t>
      </w:r>
    </w:p>
    <w:p w14:paraId="0C65913C"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5426E1">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2F816A56"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En </w:t>
      </w:r>
      <w:proofErr w:type="gramStart"/>
      <w:r w:rsidRPr="005426E1">
        <w:rPr>
          <w:rFonts w:ascii="Palatino Linotype" w:eastAsia="Palatino Linotype" w:hAnsi="Palatino Linotype" w:cs="Palatino Linotype"/>
          <w:i/>
          <w:sz w:val="22"/>
          <w:szCs w:val="22"/>
        </w:rPr>
        <w:t>consecuencia</w:t>
      </w:r>
      <w:proofErr w:type="gramEnd"/>
      <w:r w:rsidRPr="005426E1">
        <w:rPr>
          <w:rFonts w:ascii="Palatino Linotype" w:eastAsia="Palatino Linotype" w:hAnsi="Palatino Linotype" w:cs="Palatino Linotype"/>
          <w:i/>
          <w:sz w:val="22"/>
          <w:szCs w:val="22"/>
        </w:rPr>
        <w:t xml:space="preserve"> el acceso a la información se refiere a que se cumplan cualquiera de los siguientes tres supuestos:</w:t>
      </w:r>
    </w:p>
    <w:p w14:paraId="12D94048"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1)</w:t>
      </w:r>
      <w:r w:rsidRPr="005426E1">
        <w:rPr>
          <w:rFonts w:ascii="Palatino Linotype" w:eastAsia="Palatino Linotype" w:hAnsi="Palatino Linotype" w:cs="Palatino Linotype"/>
          <w:i/>
          <w:sz w:val="22"/>
          <w:szCs w:val="22"/>
        </w:rPr>
        <w:tab/>
        <w:t xml:space="preserve">Que se trate de información registrada en cualquier soporte documental, </w:t>
      </w:r>
      <w:proofErr w:type="gramStart"/>
      <w:r w:rsidRPr="005426E1">
        <w:rPr>
          <w:rFonts w:ascii="Palatino Linotype" w:eastAsia="Palatino Linotype" w:hAnsi="Palatino Linotype" w:cs="Palatino Linotype"/>
          <w:i/>
          <w:sz w:val="22"/>
          <w:szCs w:val="22"/>
        </w:rPr>
        <w:t>que</w:t>
      </w:r>
      <w:proofErr w:type="gramEnd"/>
      <w:r w:rsidRPr="005426E1">
        <w:rPr>
          <w:rFonts w:ascii="Palatino Linotype" w:eastAsia="Palatino Linotype" w:hAnsi="Palatino Linotype" w:cs="Palatino Linotype"/>
          <w:i/>
          <w:sz w:val="22"/>
          <w:szCs w:val="22"/>
        </w:rPr>
        <w:t xml:space="preserve"> en ejercicio de las atribuciones conferidas, sea generada por los Sujetos Obligados;</w:t>
      </w:r>
    </w:p>
    <w:p w14:paraId="3383D83C"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2)</w:t>
      </w:r>
      <w:r w:rsidRPr="005426E1">
        <w:rPr>
          <w:rFonts w:ascii="Palatino Linotype" w:eastAsia="Palatino Linotype" w:hAnsi="Palatino Linotype" w:cs="Palatino Linotype"/>
          <w:i/>
          <w:sz w:val="22"/>
          <w:szCs w:val="22"/>
        </w:rPr>
        <w:tab/>
        <w:t xml:space="preserve">Que se trate de información registrada en cualquier soporte documental, </w:t>
      </w:r>
      <w:proofErr w:type="gramStart"/>
      <w:r w:rsidRPr="005426E1">
        <w:rPr>
          <w:rFonts w:ascii="Palatino Linotype" w:eastAsia="Palatino Linotype" w:hAnsi="Palatino Linotype" w:cs="Palatino Linotype"/>
          <w:i/>
          <w:sz w:val="22"/>
          <w:szCs w:val="22"/>
        </w:rPr>
        <w:t>que</w:t>
      </w:r>
      <w:proofErr w:type="gramEnd"/>
      <w:r w:rsidRPr="005426E1">
        <w:rPr>
          <w:rFonts w:ascii="Palatino Linotype" w:eastAsia="Palatino Linotype" w:hAnsi="Palatino Linotype" w:cs="Palatino Linotype"/>
          <w:i/>
          <w:sz w:val="22"/>
          <w:szCs w:val="22"/>
        </w:rPr>
        <w:t xml:space="preserve"> en ejercicio de las atribuciones conferidas, sea administrada por los Sujetos Obligados, y</w:t>
      </w:r>
    </w:p>
    <w:p w14:paraId="640B339C" w14:textId="77777777" w:rsidR="008B17FE" w:rsidRPr="005426E1" w:rsidRDefault="006F5C2E">
      <w:pPr>
        <w:spacing w:line="360" w:lineRule="auto"/>
        <w:ind w:left="567" w:right="56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lastRenderedPageBreak/>
        <w:t xml:space="preserve">3) Que se trate de información registrada en cualquier soporte documental, </w:t>
      </w:r>
      <w:proofErr w:type="gramStart"/>
      <w:r w:rsidRPr="005426E1">
        <w:rPr>
          <w:rFonts w:ascii="Palatino Linotype" w:eastAsia="Palatino Linotype" w:hAnsi="Palatino Linotype" w:cs="Palatino Linotype"/>
          <w:i/>
          <w:sz w:val="22"/>
          <w:szCs w:val="22"/>
        </w:rPr>
        <w:t>que</w:t>
      </w:r>
      <w:proofErr w:type="gramEnd"/>
      <w:r w:rsidRPr="005426E1">
        <w:rPr>
          <w:rFonts w:ascii="Palatino Linotype" w:eastAsia="Palatino Linotype" w:hAnsi="Palatino Linotype" w:cs="Palatino Linotype"/>
          <w:i/>
          <w:sz w:val="22"/>
          <w:szCs w:val="22"/>
        </w:rPr>
        <w:t xml:space="preserve"> en ejercicio de las atribuciones conferidas, se encuentre en posesión de los Sujetos Obligados.” </w:t>
      </w:r>
    </w:p>
    <w:p w14:paraId="1CC7E242"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B3FB7BF"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De ahí que el Sujeto Obligado cuenta con el deber de satisfacer las solicitudes de acceso a la información que le sean formuladas y entregar la información pública que obre en sus archivos; más aún si la misma se trata de información pública de oficio la cual se relaciona con aquella que se genere de acuerdo con sus facultades, atribuciones señaladas por la Ley en la materia, así como de interés público, es decir, aquella que resulta relevante o beneficiosa para la sociedad y no simplemente de interés individual y cuya divulgación resulta útil para que el público comprenda las actividades que llevan a cabo los Sujetos Obligados. </w:t>
      </w:r>
    </w:p>
    <w:p w14:paraId="1678F5F4"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98043C5"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Resulta conveniente indicar que el Recurrente solicitó la siguiente información:</w:t>
      </w:r>
    </w:p>
    <w:p w14:paraId="08B4A3E7"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15008566" w14:textId="77777777" w:rsidR="008B17FE" w:rsidRPr="005426E1" w:rsidRDefault="006F5C2E">
      <w:pPr>
        <w:numPr>
          <w:ilvl w:val="0"/>
          <w:numId w:val="11"/>
        </w:num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Denuncias recibidas en derechos humanos y su resolución del uno de enero al treinta de junio de dos mil diecinueve y dos mil veintiuno, y del uno de enero al treinta y uno de diciembre de dos mil veintidós.</w:t>
      </w:r>
    </w:p>
    <w:p w14:paraId="500A6189"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94CA98C"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El Sujeto Obligado fue omiso en dar respuesta a las solicitudes, siendo esta falta de respuesta el motivo de inconformidad del particular.</w:t>
      </w:r>
    </w:p>
    <w:p w14:paraId="4D114576"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2AA2A566"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Mediante informe justificado, el Sujeto Obligado remitió la siguiente información:</w:t>
      </w:r>
    </w:p>
    <w:p w14:paraId="3CAFF240" w14:textId="77777777" w:rsidR="008B17FE" w:rsidRPr="005426E1" w:rsidRDefault="006F5C2E">
      <w:pPr>
        <w:numPr>
          <w:ilvl w:val="0"/>
          <w:numId w:val="11"/>
        </w:num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Ocho quejas en versión pública del uno de julio al treinta y uno de diciembre de dos mil veintidós;</w:t>
      </w:r>
    </w:p>
    <w:p w14:paraId="44ED63EE" w14:textId="77777777" w:rsidR="008B17FE" w:rsidRPr="005426E1" w:rsidRDefault="006F5C2E">
      <w:pPr>
        <w:numPr>
          <w:ilvl w:val="0"/>
          <w:numId w:val="11"/>
        </w:num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Seis quejas en versión pública del uno de enero al treinta de junio de dos mil veintidós;</w:t>
      </w:r>
    </w:p>
    <w:p w14:paraId="621F83C4" w14:textId="77777777" w:rsidR="008B17FE" w:rsidRPr="005426E1" w:rsidRDefault="006F5C2E">
      <w:pPr>
        <w:numPr>
          <w:ilvl w:val="0"/>
          <w:numId w:val="11"/>
        </w:num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lastRenderedPageBreak/>
        <w:t>Tres quejas en versión pública del uno de enero al treinta de junio de dos mil veintidós; y,</w:t>
      </w:r>
    </w:p>
    <w:p w14:paraId="6E0EDC07" w14:textId="77777777" w:rsidR="008B17FE" w:rsidRPr="005426E1" w:rsidRDefault="006F5C2E">
      <w:pPr>
        <w:numPr>
          <w:ilvl w:val="0"/>
          <w:numId w:val="11"/>
        </w:num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Tres quejas en versión pública del uno de enero al treinta de junio de dos mil diecinueve.</w:t>
      </w:r>
    </w:p>
    <w:p w14:paraId="4B1BF2FA"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0A45332C"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Derivado de la naturaleza de la información requerida, es necesario traer a contexto la Ley Orgánica Municipal del Estado de México, que contiene lo siguiente:</w:t>
      </w:r>
    </w:p>
    <w:p w14:paraId="1BC8C400"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00140381" w14:textId="77777777" w:rsidR="008B17FE" w:rsidRPr="005426E1" w:rsidRDefault="006F5C2E">
      <w:pPr>
        <w:spacing w:line="360" w:lineRule="auto"/>
        <w:ind w:right="49"/>
        <w:jc w:val="center"/>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CAPÍTULO TERCERO</w:t>
      </w:r>
    </w:p>
    <w:p w14:paraId="1AD714A0" w14:textId="77777777" w:rsidR="008B17FE" w:rsidRPr="005426E1" w:rsidRDefault="006F5C2E">
      <w:pPr>
        <w:spacing w:line="360" w:lineRule="auto"/>
        <w:ind w:right="49"/>
        <w:jc w:val="center"/>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ATRIBUCIONES DE LOS AYUNTAMIENTOS</w:t>
      </w:r>
    </w:p>
    <w:p w14:paraId="483F10C6"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Artículo 31.- Son atribuciones de los ayuntamientos:</w:t>
      </w:r>
    </w:p>
    <w:p w14:paraId="36734A75"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7FFC2BC3"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IX Bis. Crear en el ámbito de sus respectivas competencias una Defensoría Municipal de Derechos Humanos, la cual gozará de autonomía en sus decisiones y en el ejercicio de presupuesto;</w:t>
      </w:r>
    </w:p>
    <w:p w14:paraId="0827E010"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7CCB81FA" w14:textId="77777777" w:rsidR="008B17FE" w:rsidRPr="005426E1" w:rsidRDefault="008B17FE">
      <w:pPr>
        <w:spacing w:line="360" w:lineRule="auto"/>
        <w:ind w:left="567" w:right="843"/>
        <w:jc w:val="both"/>
        <w:rPr>
          <w:rFonts w:ascii="Palatino Linotype" w:eastAsia="Palatino Linotype" w:hAnsi="Palatino Linotype" w:cs="Palatino Linotype"/>
          <w:i/>
          <w:sz w:val="22"/>
          <w:szCs w:val="22"/>
        </w:rPr>
      </w:pPr>
    </w:p>
    <w:p w14:paraId="26464E8E"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Artículo 147 C.- La Defensoría Municipal de los Derechos Humanos para el ejercicio de sus funciones debe coordinarse con la Comisión de Derechos Humanos del Estado de México.</w:t>
      </w:r>
    </w:p>
    <w:p w14:paraId="72406570" w14:textId="77777777" w:rsidR="008B17FE" w:rsidRPr="005426E1" w:rsidRDefault="008B17FE">
      <w:pPr>
        <w:spacing w:line="360" w:lineRule="auto"/>
        <w:ind w:left="567" w:right="843"/>
        <w:jc w:val="both"/>
        <w:rPr>
          <w:rFonts w:ascii="Palatino Linotype" w:eastAsia="Palatino Linotype" w:hAnsi="Palatino Linotype" w:cs="Palatino Linotype"/>
          <w:i/>
          <w:sz w:val="22"/>
          <w:szCs w:val="22"/>
        </w:rPr>
      </w:pPr>
    </w:p>
    <w:p w14:paraId="2B80814F"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Artículo 147 K.- Son atribuciones del Defensor Municipal de Derechos Humanos: </w:t>
      </w:r>
    </w:p>
    <w:p w14:paraId="7BED84D8" w14:textId="77777777" w:rsidR="008B17FE" w:rsidRPr="005426E1" w:rsidRDefault="006F5C2E">
      <w:pPr>
        <w:spacing w:line="360" w:lineRule="auto"/>
        <w:ind w:left="567" w:right="843"/>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I. Recibir las quejas de la población de su municipalidad y remitirlas a la Comisión de Derechos Humanos del Estado de México, por conducto de sus visitadurías, en términos de la normatividad aplicable; </w:t>
      </w:r>
    </w:p>
    <w:p w14:paraId="620E47CE" w14:textId="77777777" w:rsidR="008B17FE" w:rsidRPr="005426E1" w:rsidRDefault="006F5C2E">
      <w:pPr>
        <w:spacing w:line="360" w:lineRule="auto"/>
        <w:ind w:left="567" w:right="843"/>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lastRenderedPageBreak/>
        <w:t>II. Informar a la Comisión de Derechos Humanos del Estado, acerca de presumibles violaciones a los derechos humanos por actos u omisiones de naturaleza administrativa de cualquier autoridad o servidor público que residan en el municipio de su adscripción;</w:t>
      </w:r>
    </w:p>
    <w:p w14:paraId="58E5950F" w14:textId="77777777" w:rsidR="008B17FE" w:rsidRPr="005426E1" w:rsidRDefault="006F5C2E">
      <w:pPr>
        <w:spacing w:line="360" w:lineRule="auto"/>
        <w:ind w:left="567" w:right="843"/>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III. Observar que la autoridad municipal rinda de manera oportuna y veraz los informes que solicite la Comisión de Derechos Humanos; </w:t>
      </w:r>
    </w:p>
    <w:p w14:paraId="7A943783" w14:textId="77777777" w:rsidR="008B17FE" w:rsidRPr="005426E1" w:rsidRDefault="006F5C2E">
      <w:pPr>
        <w:spacing w:line="360" w:lineRule="auto"/>
        <w:ind w:left="567" w:right="843"/>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IV. Verificar que las medidas precautorias o cautelares solicitadas por la Comisión de Derechos Humanos del Estado de México sean cumplidas en sus términos, una vez aceptadas por la autoridad dentro de su municipio; </w:t>
      </w:r>
    </w:p>
    <w:p w14:paraId="23229F58"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V. Elaborar acta circunstanciada por hechos que puedan ser considerados violatorios de derechos humanos que ocurran dentro de su adscripción, teniendo fe pública solo para ese efecto, debiendo remitirla a la Visitaduría correspondiente dentro de las 24 horas siguientes; </w:t>
      </w:r>
    </w:p>
    <w:p w14:paraId="0247A51A"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VI. Practicar conjuntamente con el Visitador respectivo las conciliaciones y mediaciones que se deriven de las quejas de las que tenga conocimiento, conforme lo establecen la Ley de la Comisión de Derechos Humanos del Estado de México y su reglamento; </w:t>
      </w:r>
    </w:p>
    <w:p w14:paraId="1195776B" w14:textId="77777777" w:rsidR="008B17FE" w:rsidRPr="005426E1" w:rsidRDefault="006F5C2E">
      <w:pPr>
        <w:spacing w:line="360" w:lineRule="auto"/>
        <w:ind w:left="567" w:right="843"/>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VII. Coadyuvar con la Comisión de Derechos Humanos del Estado de México en el seguimiento de las recomendaciones que el organismo dicte en contra de autoridades o servidores públicos que residan o ejerzan funciones dentro del municipio; </w:t>
      </w:r>
    </w:p>
    <w:p w14:paraId="2E12F45A"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VIII. Proponer medidas administrativas a los servidores públicos para </w:t>
      </w:r>
      <w:proofErr w:type="gramStart"/>
      <w:r w:rsidRPr="005426E1">
        <w:rPr>
          <w:rFonts w:ascii="Palatino Linotype" w:eastAsia="Palatino Linotype" w:hAnsi="Palatino Linotype" w:cs="Palatino Linotype"/>
          <w:i/>
          <w:sz w:val="22"/>
          <w:szCs w:val="22"/>
        </w:rPr>
        <w:t>que</w:t>
      </w:r>
      <w:proofErr w:type="gramEnd"/>
      <w:r w:rsidRPr="005426E1">
        <w:rPr>
          <w:rFonts w:ascii="Palatino Linotype" w:eastAsia="Palatino Linotype" w:hAnsi="Palatino Linotype" w:cs="Palatino Linotype"/>
          <w:i/>
          <w:sz w:val="22"/>
          <w:szCs w:val="22"/>
        </w:rPr>
        <w:t xml:space="preserve"> durante el desempeño de sus funciones, actúen con pleno respeto a los derechos humanos; </w:t>
      </w:r>
    </w:p>
    <w:p w14:paraId="2834FF2F"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IX. Desarrollar programas y acciones tendentes a promover los derechos humanos; </w:t>
      </w:r>
    </w:p>
    <w:p w14:paraId="142E636D"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X. Fomentar y difundir la práctica de los derechos humanos con la participación de organismos no gubernamentales del municipio; </w:t>
      </w:r>
    </w:p>
    <w:p w14:paraId="52A90CA9"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lastRenderedPageBreak/>
        <w:t xml:space="preserve">XI. Participar en las acciones y programas de los organismos no gubernamentales de derechos humanos de su municipio, así como supervisar las actividades y evento que éstos realicen; </w:t>
      </w:r>
    </w:p>
    <w:p w14:paraId="3A5794D9"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XII. Asesorar y orientar a los habitantes de su municipio, en especial a los menores, mujeres, adultos mayores, personas en discapacidad, indígenas y detenidos o arrestados, a fin de que les sean respetados sus derechos humanos; </w:t>
      </w:r>
    </w:p>
    <w:p w14:paraId="4CF6206C"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XIII. Participar, promover y fomentar los cursos de capacitación que imparta la Comisión de Derechos Humanos del Estado de México; </w:t>
      </w:r>
    </w:p>
    <w:p w14:paraId="1946B60A"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XIV. Coordinar acciones con autoridades de salud, de seguridad pública estatal y otras que correspondan, para supervisar que en los centros de atención de adicciones de su municipio no se vulneren los derechos humanos de las personas que se encuentran internadas en los mismos; </w:t>
      </w:r>
    </w:p>
    <w:p w14:paraId="48C25933"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XV. Supervisar las comandancias y cárceles municipales, a fin de verificar que cuenten con las condiciones necesarias para realizar sus funciones y no se vulneren los derechos humanos de las personas privadas de su libertad; </w:t>
      </w:r>
    </w:p>
    <w:p w14:paraId="62E4E2E0"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XVI. Realizar investigaciones y diagnósticos en materia económica, social, cultural y ambiental, relacionados con la observancia y vigencia de los derechos humanos, para el planteamiento de políticas públicas y programas que se traduzcan en acciones que en la esfera de su competencia aplique el municipio, informando de ello a la Comisión de Derechos Humanos del Estado de México;</w:t>
      </w:r>
    </w:p>
    <w:p w14:paraId="01E0940E"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XVII. Proponer a la autoridad municipal y comprometer que privilegie la adopción de medidas para el ejercicio de los derechos siguientes: de protección y asistencia a la familia, a la alimentación, a la vivienda, a la salud, a la educación, a la cultura y a un medio ambiente sano, a partir de un mínimo universal existente que registre avances y nunca retrocesos; </w:t>
      </w:r>
    </w:p>
    <w:p w14:paraId="1F9C870C"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lastRenderedPageBreak/>
        <w:t xml:space="preserve">XVIII. Promover los derechos de la niñez, de los adolescentes, de la mujer, de los adultos mayores, de las personas en discapacidad, de los indígenas y en sí, de todos los grupos vulnerables; y </w:t>
      </w:r>
    </w:p>
    <w:p w14:paraId="52F5A669"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XIX. Las demás que les confiera esta Ley, otras disposiciones y la Comisión de Derechos Humanos del Estado de México. </w:t>
      </w:r>
    </w:p>
    <w:p w14:paraId="34FDECD3" w14:textId="77777777" w:rsidR="008B17FE" w:rsidRPr="005426E1" w:rsidRDefault="008B17FE">
      <w:pPr>
        <w:spacing w:line="360" w:lineRule="auto"/>
        <w:ind w:left="567" w:right="843"/>
        <w:jc w:val="both"/>
        <w:rPr>
          <w:rFonts w:ascii="Palatino Linotype" w:eastAsia="Palatino Linotype" w:hAnsi="Palatino Linotype" w:cs="Palatino Linotype"/>
          <w:i/>
          <w:sz w:val="22"/>
          <w:szCs w:val="22"/>
        </w:rPr>
      </w:pPr>
    </w:p>
    <w:p w14:paraId="0C733CF6" w14:textId="77777777" w:rsidR="008B17FE" w:rsidRPr="005426E1" w:rsidRDefault="006F5C2E">
      <w:pPr>
        <w:spacing w:line="360" w:lineRule="auto"/>
        <w:ind w:left="567" w:right="843"/>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Artículo 147 L.- El Defensor Municipal de Derechos Humanos deberá coordinar sus acciones con la Comisión de Derechos Humanos del Estado de México, a través del Visitador General de la región a la que corresponda el municipio. </w:t>
      </w:r>
    </w:p>
    <w:p w14:paraId="3BF668D5" w14:textId="77777777" w:rsidR="008B17FE" w:rsidRPr="005426E1" w:rsidRDefault="008B17FE">
      <w:pPr>
        <w:spacing w:line="360" w:lineRule="auto"/>
        <w:ind w:left="567" w:right="843"/>
        <w:jc w:val="both"/>
        <w:rPr>
          <w:rFonts w:ascii="Palatino Linotype" w:eastAsia="Palatino Linotype" w:hAnsi="Palatino Linotype" w:cs="Palatino Linotype"/>
          <w:i/>
          <w:sz w:val="22"/>
          <w:szCs w:val="22"/>
        </w:rPr>
      </w:pPr>
    </w:p>
    <w:p w14:paraId="77208772"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Artículo 147 M.- El Defensor Municipal de Derechos Humanos ejercerá el presupuesto que le asigne el ayuntamiento, con sujeción a políticas de racionalidad, austeridad y disciplina presupuestal. Para tal efecto, el ayuntamiento anualmente deberá incluir en su presupuesto de egresos, las partidas correspondientes a la operatividad de la Defensoría Municipal de Derechos Humanos. </w:t>
      </w:r>
    </w:p>
    <w:p w14:paraId="35F918FA" w14:textId="77777777" w:rsidR="008B17FE" w:rsidRPr="005426E1" w:rsidRDefault="008B17FE">
      <w:pPr>
        <w:spacing w:line="360" w:lineRule="auto"/>
        <w:ind w:left="567" w:right="843"/>
        <w:jc w:val="both"/>
        <w:rPr>
          <w:rFonts w:ascii="Palatino Linotype" w:eastAsia="Palatino Linotype" w:hAnsi="Palatino Linotype" w:cs="Palatino Linotype"/>
          <w:i/>
          <w:sz w:val="22"/>
          <w:szCs w:val="22"/>
        </w:rPr>
      </w:pPr>
    </w:p>
    <w:p w14:paraId="303FEC56"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Artículo 147 N.- El Defensor Municipal de Derechos Humanos presentará por escrito al ayuntamiento, un informe anual sobre las actividades que haya realizado en el periodo inmediato anterior, del que turnará copia a la Comisión de Derechos Humanos de la entidad. </w:t>
      </w:r>
    </w:p>
    <w:p w14:paraId="1F5A7DF4" w14:textId="77777777" w:rsidR="008B17FE" w:rsidRPr="005426E1" w:rsidRDefault="008B17FE">
      <w:pPr>
        <w:spacing w:line="360" w:lineRule="auto"/>
        <w:ind w:left="567" w:right="843"/>
        <w:jc w:val="both"/>
        <w:rPr>
          <w:rFonts w:ascii="Palatino Linotype" w:eastAsia="Palatino Linotype" w:hAnsi="Palatino Linotype" w:cs="Palatino Linotype"/>
          <w:i/>
          <w:sz w:val="22"/>
          <w:szCs w:val="22"/>
        </w:rPr>
      </w:pPr>
    </w:p>
    <w:p w14:paraId="6D9EC3E4" w14:textId="77777777" w:rsidR="008B17FE" w:rsidRPr="005426E1" w:rsidRDefault="006F5C2E">
      <w:pPr>
        <w:spacing w:line="360" w:lineRule="auto"/>
        <w:ind w:left="567" w:right="8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Artículo 147 O.- Corresponderá a la Comisión de Derechos Humanos del Estado de México expedir las disposiciones que reglamenten la organización y funcionamiento de las Defensorías Municipales de Derechos Humanos.</w:t>
      </w:r>
    </w:p>
    <w:p w14:paraId="7ECE0240"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40395E57"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lastRenderedPageBreak/>
        <w:t>Tal y como se aprecia, la normatividad en cita, establece que corresponde al Ayuntamiento crear la Defensoría Municipal de Derechos Humanos, la cual tiene entre sus atribuciones recibir las quejas de la población y remitirlas a la Comisión de Derechos Humanos del Estado de México por conducto de sus visitadurías; informar, acerca de presumibles violaciones a los derechos humanos por actos u omisiones de naturaleza administrativa de cualquier autoridad o servidor público que resida en el municipio; y, coadyuvar con la Comisión  en el seguimiento de las recomendaciones que el organismo dicte en contra de las autoridades o servidores públicos que residan o ejerzan funciones dentro del municipio.</w:t>
      </w:r>
    </w:p>
    <w:p w14:paraId="73E50AA4"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4D62A05"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Dicho lo anterior, es necesario traer a contexto el Reglamento Interno de la Comisión de Derechos Humanos del Estado de México en sus artículos 5, 7 y 14, cuyo contenido es el siguiente:</w:t>
      </w:r>
    </w:p>
    <w:p w14:paraId="1716BFC9" w14:textId="77777777" w:rsidR="008B17FE" w:rsidRPr="005426E1" w:rsidRDefault="006F5C2E">
      <w:pPr>
        <w:ind w:left="567" w:right="567"/>
        <w:jc w:val="both"/>
        <w:rPr>
          <w:rFonts w:ascii="Palatino Linotype" w:eastAsia="Palatino Linotype" w:hAnsi="Palatino Linotype" w:cs="Palatino Linotype"/>
          <w:b/>
          <w:i/>
        </w:rPr>
      </w:pPr>
      <w:r w:rsidRPr="005426E1">
        <w:rPr>
          <w:rFonts w:ascii="Palatino Linotype" w:eastAsia="Palatino Linotype" w:hAnsi="Palatino Linotype" w:cs="Palatino Linotype"/>
          <w:b/>
          <w:i/>
        </w:rPr>
        <w:t>I. Primera Visitaduría General;</w:t>
      </w:r>
    </w:p>
    <w:p w14:paraId="5EC83DD0" w14:textId="77777777" w:rsidR="008B17FE" w:rsidRPr="005426E1" w:rsidRDefault="006F5C2E">
      <w:pPr>
        <w:ind w:left="567" w:right="567"/>
        <w:jc w:val="both"/>
        <w:rPr>
          <w:rFonts w:ascii="Palatino Linotype" w:eastAsia="Palatino Linotype" w:hAnsi="Palatino Linotype" w:cs="Palatino Linotype"/>
          <w:b/>
          <w:i/>
        </w:rPr>
      </w:pPr>
      <w:r w:rsidRPr="005426E1">
        <w:rPr>
          <w:rFonts w:ascii="Palatino Linotype" w:eastAsia="Palatino Linotype" w:hAnsi="Palatino Linotype" w:cs="Palatino Linotype"/>
          <w:b/>
          <w:i/>
        </w:rPr>
        <w:t>I Bis. Segunda Visitaduría General;</w:t>
      </w:r>
    </w:p>
    <w:p w14:paraId="42F82C74"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II. Secretaría General;</w:t>
      </w:r>
    </w:p>
    <w:p w14:paraId="45CE3A74"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III. Dirección General de Administración y Finanzas;</w:t>
      </w:r>
    </w:p>
    <w:p w14:paraId="13A54597"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IV. Áreas de apoyo de la Presidencia;</w:t>
      </w:r>
    </w:p>
    <w:p w14:paraId="466B7657" w14:textId="77777777" w:rsidR="008B17FE" w:rsidRPr="005426E1" w:rsidRDefault="006F5C2E">
      <w:pPr>
        <w:ind w:left="567" w:right="567"/>
        <w:jc w:val="both"/>
        <w:rPr>
          <w:rFonts w:ascii="Palatino Linotype" w:eastAsia="Palatino Linotype" w:hAnsi="Palatino Linotype" w:cs="Palatino Linotype"/>
          <w:b/>
          <w:i/>
        </w:rPr>
      </w:pPr>
      <w:r w:rsidRPr="005426E1">
        <w:rPr>
          <w:rFonts w:ascii="Palatino Linotype" w:eastAsia="Palatino Linotype" w:hAnsi="Palatino Linotype" w:cs="Palatino Linotype"/>
          <w:b/>
          <w:i/>
        </w:rPr>
        <w:t>V. Visitadurías Generales;</w:t>
      </w:r>
    </w:p>
    <w:p w14:paraId="23A7C232"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VI. Órgano Interno de Control;</w:t>
      </w:r>
    </w:p>
    <w:p w14:paraId="75D1C2CA"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VII. Instituto de Investigaciones y Formación en Derechos Humanos; y</w:t>
      </w:r>
    </w:p>
    <w:p w14:paraId="0B2ABC4B"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VIII. Unidad de Servicios, Orientación y Recepción de Quejas.</w:t>
      </w:r>
    </w:p>
    <w:p w14:paraId="018634EF" w14:textId="77777777" w:rsidR="008B17FE" w:rsidRPr="005426E1" w:rsidRDefault="008B17FE">
      <w:pPr>
        <w:ind w:left="567" w:right="567"/>
        <w:jc w:val="both"/>
        <w:rPr>
          <w:rFonts w:ascii="Palatino Linotype" w:eastAsia="Palatino Linotype" w:hAnsi="Palatino Linotype" w:cs="Palatino Linotype"/>
          <w:b/>
          <w:i/>
        </w:rPr>
      </w:pPr>
    </w:p>
    <w:p w14:paraId="14A96455"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Artículo 7.-</w:t>
      </w:r>
      <w:r w:rsidRPr="005426E1">
        <w:rPr>
          <w:rFonts w:ascii="Palatino Linotype" w:eastAsia="Palatino Linotype" w:hAnsi="Palatino Linotype" w:cs="Palatino Linotype"/>
          <w:i/>
        </w:rPr>
        <w:t xml:space="preserve"> </w:t>
      </w:r>
      <w:r w:rsidRPr="005426E1">
        <w:rPr>
          <w:rFonts w:ascii="Palatino Linotype" w:eastAsia="Palatino Linotype" w:hAnsi="Palatino Linotype" w:cs="Palatino Linotype"/>
          <w:b/>
          <w:i/>
        </w:rPr>
        <w:t>Para la atención de quejas</w:t>
      </w:r>
      <w:r w:rsidRPr="005426E1">
        <w:rPr>
          <w:rFonts w:ascii="Palatino Linotype" w:eastAsia="Palatino Linotype" w:hAnsi="Palatino Linotype" w:cs="Palatino Linotype"/>
          <w:i/>
        </w:rPr>
        <w:t xml:space="preserve"> y denuncias por violaciones a derechos humanos, así como para el despacho de los asuntos competencia del Organismo, y los que señale la Presidencia; </w:t>
      </w:r>
      <w:r w:rsidRPr="005426E1">
        <w:rPr>
          <w:rFonts w:ascii="Palatino Linotype" w:eastAsia="Palatino Linotype" w:hAnsi="Palatino Linotype" w:cs="Palatino Linotype"/>
          <w:b/>
          <w:i/>
        </w:rPr>
        <w:t>la Primera Visitaduría General y la Segunda Visitaduría General, contarán con las Visitadurías</w:t>
      </w:r>
      <w:r w:rsidRPr="005426E1">
        <w:rPr>
          <w:rFonts w:ascii="Palatino Linotype" w:eastAsia="Palatino Linotype" w:hAnsi="Palatino Linotype" w:cs="Palatino Linotype"/>
          <w:i/>
        </w:rPr>
        <w:t xml:space="preserve">, así como con las unidades administrativas que </w:t>
      </w:r>
      <w:proofErr w:type="gramStart"/>
      <w:r w:rsidRPr="005426E1">
        <w:rPr>
          <w:rFonts w:ascii="Palatino Linotype" w:eastAsia="Palatino Linotype" w:hAnsi="Palatino Linotype" w:cs="Palatino Linotype"/>
          <w:i/>
        </w:rPr>
        <w:t>las necesidades del servicio requiera</w:t>
      </w:r>
      <w:proofErr w:type="gramEnd"/>
      <w:r w:rsidRPr="005426E1">
        <w:rPr>
          <w:rFonts w:ascii="Palatino Linotype" w:eastAsia="Palatino Linotype" w:hAnsi="Palatino Linotype" w:cs="Palatino Linotype"/>
          <w:i/>
        </w:rPr>
        <w:t>.</w:t>
      </w:r>
    </w:p>
    <w:p w14:paraId="417ACA80" w14:textId="77777777" w:rsidR="008B17FE" w:rsidRPr="005426E1" w:rsidRDefault="008B17FE">
      <w:pPr>
        <w:ind w:left="567" w:right="567"/>
        <w:jc w:val="both"/>
        <w:rPr>
          <w:rFonts w:ascii="Palatino Linotype" w:eastAsia="Palatino Linotype" w:hAnsi="Palatino Linotype" w:cs="Palatino Linotype"/>
          <w:i/>
        </w:rPr>
      </w:pPr>
    </w:p>
    <w:p w14:paraId="1EB769A1" w14:textId="77777777" w:rsidR="008B17FE" w:rsidRPr="005426E1" w:rsidRDefault="006F5C2E">
      <w:pPr>
        <w:ind w:left="567" w:right="567"/>
        <w:jc w:val="both"/>
        <w:rPr>
          <w:rFonts w:ascii="Palatino Linotype" w:eastAsia="Palatino Linotype" w:hAnsi="Palatino Linotype" w:cs="Palatino Linotype"/>
          <w:b/>
          <w:i/>
        </w:rPr>
      </w:pPr>
      <w:r w:rsidRPr="005426E1">
        <w:rPr>
          <w:rFonts w:ascii="Palatino Linotype" w:eastAsia="Palatino Linotype" w:hAnsi="Palatino Linotype" w:cs="Palatino Linotype"/>
          <w:b/>
          <w:i/>
        </w:rPr>
        <w:t>Atribuciones de las Visitadurías Generales</w:t>
      </w:r>
    </w:p>
    <w:p w14:paraId="7D5C0E77"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lastRenderedPageBreak/>
        <w:t>Artículo 14.-</w:t>
      </w:r>
      <w:r w:rsidRPr="005426E1">
        <w:rPr>
          <w:rFonts w:ascii="Palatino Linotype" w:eastAsia="Palatino Linotype" w:hAnsi="Palatino Linotype" w:cs="Palatino Linotype"/>
          <w:i/>
        </w:rPr>
        <w:t xml:space="preserve"> Las </w:t>
      </w:r>
      <w:r w:rsidRPr="005426E1">
        <w:rPr>
          <w:rFonts w:ascii="Palatino Linotype" w:eastAsia="Palatino Linotype" w:hAnsi="Palatino Linotype" w:cs="Palatino Linotype"/>
          <w:b/>
          <w:i/>
        </w:rPr>
        <w:t>Visitadurías Generales</w:t>
      </w:r>
      <w:r w:rsidRPr="005426E1">
        <w:rPr>
          <w:rFonts w:ascii="Palatino Linotype" w:eastAsia="Palatino Linotype" w:hAnsi="Palatino Linotype" w:cs="Palatino Linotype"/>
          <w:i/>
        </w:rPr>
        <w:t xml:space="preserve">, además de las facultades y obligaciones señaladas en la Ley, </w:t>
      </w:r>
      <w:r w:rsidRPr="005426E1">
        <w:rPr>
          <w:rFonts w:ascii="Palatino Linotype" w:eastAsia="Palatino Linotype" w:hAnsi="Palatino Linotype" w:cs="Palatino Linotype"/>
          <w:i/>
          <w:u w:val="single"/>
        </w:rPr>
        <w:t xml:space="preserve">conocerán de los asuntos y </w:t>
      </w:r>
      <w:r w:rsidRPr="005426E1">
        <w:rPr>
          <w:rFonts w:ascii="Palatino Linotype" w:eastAsia="Palatino Linotype" w:hAnsi="Palatino Linotype" w:cs="Palatino Linotype"/>
          <w:b/>
          <w:i/>
          <w:u w:val="single"/>
        </w:rPr>
        <w:t>procedimientos que establezcan otras regulaciones, relacionados con presuntas violaciones a derechos humanos</w:t>
      </w:r>
      <w:r w:rsidRPr="005426E1">
        <w:rPr>
          <w:rFonts w:ascii="Palatino Linotype" w:eastAsia="Palatino Linotype" w:hAnsi="Palatino Linotype" w:cs="Palatino Linotype"/>
          <w:i/>
          <w:u w:val="single"/>
        </w:rPr>
        <w:t xml:space="preserve"> competencia del Organismo</w:t>
      </w:r>
      <w:r w:rsidRPr="005426E1">
        <w:rPr>
          <w:rFonts w:ascii="Palatino Linotype" w:eastAsia="Palatino Linotype" w:hAnsi="Palatino Linotype" w:cs="Palatino Linotype"/>
          <w:i/>
        </w:rPr>
        <w:t>.</w:t>
      </w:r>
    </w:p>
    <w:p w14:paraId="4FA3E849"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5E131880"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De los preceptos legales normativos se indica que las unidades administrativas con las que cuenta el Sujeto Obligado y que de acuerdo a sus facultades y atribuciones, son las encargadas </w:t>
      </w:r>
      <w:r w:rsidRPr="005426E1">
        <w:rPr>
          <w:rFonts w:ascii="Palatino Linotype" w:eastAsia="Palatino Linotype" w:hAnsi="Palatino Linotype" w:cs="Palatino Linotype"/>
          <w:b/>
        </w:rPr>
        <w:t>de llevar a cabo los procedimientos relacionados con presuntas violaciones a derechos humanos</w:t>
      </w:r>
      <w:r w:rsidRPr="005426E1">
        <w:rPr>
          <w:rFonts w:ascii="Palatino Linotype" w:eastAsia="Palatino Linotype" w:hAnsi="Palatino Linotype" w:cs="Palatino Linotype"/>
        </w:rPr>
        <w:t xml:space="preserve"> son las Visitadurías Generales de las que se encuentran a cargo Primera Visitaduría General y Segunda Visitaduría General, las cuales coadyuvarán con las Defensorías Municipales de Derechos Humanos para el seguimiento a las recomendaciones que al respecto se emitan.</w:t>
      </w:r>
    </w:p>
    <w:p w14:paraId="1D9FDA7E" w14:textId="77777777" w:rsidR="008B17FE" w:rsidRPr="005426E1" w:rsidRDefault="008B17FE">
      <w:pPr>
        <w:spacing w:line="360" w:lineRule="auto"/>
        <w:jc w:val="both"/>
        <w:rPr>
          <w:rFonts w:ascii="Palatino Linotype" w:eastAsia="Palatino Linotype" w:hAnsi="Palatino Linotype" w:cs="Palatino Linotype"/>
        </w:rPr>
      </w:pPr>
    </w:p>
    <w:p w14:paraId="188DCE25"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De lo anteriormente expuesto, se determina que existe fuente obligacional de las Defensorías Municipales no sólo de recibir quejas por presumibles violaciones a derechos humanos y remitirlas a la Comisión, sino también de dar seguimiento a las recomendaciones que emita el Organismo.</w:t>
      </w:r>
    </w:p>
    <w:p w14:paraId="132A2807" w14:textId="77777777" w:rsidR="008B17FE" w:rsidRPr="005426E1" w:rsidRDefault="008B17FE">
      <w:pPr>
        <w:spacing w:line="360" w:lineRule="auto"/>
        <w:jc w:val="both"/>
        <w:rPr>
          <w:rFonts w:ascii="Palatino Linotype" w:eastAsia="Palatino Linotype" w:hAnsi="Palatino Linotype" w:cs="Palatino Linotype"/>
        </w:rPr>
      </w:pPr>
    </w:p>
    <w:p w14:paraId="534E4C10" w14:textId="77777777" w:rsidR="008B17FE" w:rsidRPr="005426E1" w:rsidRDefault="006F5C2E">
      <w:pPr>
        <w:pBdr>
          <w:top w:val="nil"/>
          <w:left w:val="nil"/>
          <w:bottom w:val="nil"/>
          <w:right w:val="nil"/>
          <w:between w:val="nil"/>
        </w:pBdr>
        <w:spacing w:line="360" w:lineRule="auto"/>
        <w:jc w:val="both"/>
        <w:rPr>
          <w:sz w:val="22"/>
          <w:szCs w:val="22"/>
        </w:rPr>
      </w:pPr>
      <w:r w:rsidRPr="005426E1">
        <w:rPr>
          <w:rFonts w:ascii="Palatino Linotype" w:eastAsia="Palatino Linotype" w:hAnsi="Palatino Linotype" w:cs="Palatino Linotype"/>
          <w:sz w:val="22"/>
          <w:szCs w:val="22"/>
        </w:rPr>
        <w:t>En este caso en particular, el Sujeto Obligado turnó la solicitud a la Defensoría Municipal de Derechos Humanos, por lo que se cumplió con el requisito de turnar la solicitud de información a las unidades administrativas competentes que por sus atribuciones puedan contar con la información requerida, conforme el procedimiento establecido en los artículos 151, 159, 160, 162, 163, 164, 165 y 166, de la Ley de Transparencia y Acceso a la Información Pública del Estado de México y Municipios, el cual es el siguiente:</w:t>
      </w:r>
    </w:p>
    <w:p w14:paraId="7DC8F280" w14:textId="77777777" w:rsidR="008B17FE" w:rsidRPr="005426E1" w:rsidRDefault="008B17FE">
      <w:pPr>
        <w:spacing w:line="360" w:lineRule="auto"/>
        <w:rPr>
          <w:sz w:val="22"/>
          <w:szCs w:val="22"/>
        </w:rPr>
      </w:pPr>
    </w:p>
    <w:p w14:paraId="210C1FE6" w14:textId="77777777" w:rsidR="008B17FE" w:rsidRPr="005426E1" w:rsidRDefault="006F5C2E">
      <w:pPr>
        <w:numPr>
          <w:ilvl w:val="0"/>
          <w:numId w:val="16"/>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lastRenderedPageBreak/>
        <w:t>Las Unidades de Transparencia de los Sujetos Obligados deben garantizar las medidas y condiciones de accesibilidad para que toda persona puede ejercer el derecho de acceso a la información; por lo que, son las responsables de hacer las notificaciones correspondientes, además de llevar a cabo de todas las gestiones necesarias para facilitar el acceso de la información;</w:t>
      </w:r>
    </w:p>
    <w:p w14:paraId="693076B8" w14:textId="77777777" w:rsidR="008B17FE" w:rsidRPr="005426E1" w:rsidRDefault="008B17FE">
      <w:pPr>
        <w:pBdr>
          <w:top w:val="nil"/>
          <w:left w:val="nil"/>
          <w:bottom w:val="nil"/>
          <w:right w:val="nil"/>
          <w:between w:val="nil"/>
        </w:pBdr>
        <w:spacing w:line="360" w:lineRule="auto"/>
        <w:ind w:left="360"/>
        <w:jc w:val="both"/>
        <w:rPr>
          <w:rFonts w:ascii="Palatino Linotype" w:eastAsia="Palatino Linotype" w:hAnsi="Palatino Linotype" w:cs="Palatino Linotype"/>
          <w:sz w:val="22"/>
          <w:szCs w:val="22"/>
        </w:rPr>
      </w:pPr>
    </w:p>
    <w:p w14:paraId="03476B95" w14:textId="77777777" w:rsidR="008B17FE" w:rsidRPr="005426E1" w:rsidRDefault="006F5C2E">
      <w:pPr>
        <w:numPr>
          <w:ilvl w:val="0"/>
          <w:numId w:val="16"/>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Los Sujetos Obligados podrán requerirle a los Solicitantes, que complementen, corrijan o amplíen su solicitud de información, cuando resulten los datos proporcionados insuficientes, incorrectos, incompletos o erróneos; solicitar dicha aclaración, interrumpirá el plazo para dar respuesta y comenzará a computarse el día siguiente al desahogo de esta;</w:t>
      </w:r>
    </w:p>
    <w:p w14:paraId="65F6D478" w14:textId="77777777" w:rsidR="008B17FE" w:rsidRPr="005426E1" w:rsidRDefault="008B17FE">
      <w:pPr>
        <w:pBdr>
          <w:top w:val="nil"/>
          <w:left w:val="nil"/>
          <w:bottom w:val="nil"/>
          <w:right w:val="nil"/>
          <w:between w:val="nil"/>
        </w:pBdr>
        <w:spacing w:line="360" w:lineRule="auto"/>
        <w:ind w:left="720"/>
        <w:rPr>
          <w:rFonts w:ascii="Palatino Linotype" w:eastAsia="Palatino Linotype" w:hAnsi="Palatino Linotype" w:cs="Palatino Linotype"/>
          <w:sz w:val="22"/>
          <w:szCs w:val="22"/>
        </w:rPr>
      </w:pPr>
    </w:p>
    <w:p w14:paraId="4941F948" w14:textId="77777777" w:rsidR="008B17FE" w:rsidRPr="005426E1" w:rsidRDefault="006F5C2E">
      <w:pPr>
        <w:numPr>
          <w:ilvl w:val="0"/>
          <w:numId w:val="16"/>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Las respuestas a los requerimientos informativos deberán notificarse al interesado en el menor tiempo posible, que no podrá exceder </w:t>
      </w:r>
      <w:r w:rsidRPr="005426E1">
        <w:rPr>
          <w:rFonts w:ascii="Palatino Linotype" w:eastAsia="Palatino Linotype" w:hAnsi="Palatino Linotype" w:cs="Palatino Linotype"/>
          <w:b/>
          <w:sz w:val="22"/>
          <w:szCs w:val="22"/>
        </w:rPr>
        <w:t>quince días, contados a partir del día siguiente a la presentación de ésta.</w:t>
      </w:r>
      <w:r w:rsidRPr="005426E1">
        <w:rPr>
          <w:rFonts w:ascii="Palatino Linotype" w:eastAsia="Palatino Linotype" w:hAnsi="Palatino Linotype" w:cs="Palatino Linotype"/>
          <w:sz w:val="22"/>
          <w:szCs w:val="22"/>
        </w:rPr>
        <w:t xml:space="preserve"> Excepcionalmente, el plazo referido podrá ampliarse por siete días hábiles más, cuando existan razones fundadas y motivadas, a través del Comité de Transparencia;</w:t>
      </w:r>
    </w:p>
    <w:p w14:paraId="0305090A" w14:textId="77777777" w:rsidR="008B17FE" w:rsidRPr="005426E1" w:rsidRDefault="008B17FE">
      <w:pPr>
        <w:pBdr>
          <w:top w:val="nil"/>
          <w:left w:val="nil"/>
          <w:bottom w:val="nil"/>
          <w:right w:val="nil"/>
          <w:between w:val="nil"/>
        </w:pBdr>
        <w:spacing w:line="360" w:lineRule="auto"/>
        <w:ind w:left="720"/>
        <w:rPr>
          <w:rFonts w:ascii="Palatino Linotype" w:eastAsia="Palatino Linotype" w:hAnsi="Palatino Linotype" w:cs="Palatino Linotype"/>
          <w:sz w:val="22"/>
          <w:szCs w:val="22"/>
        </w:rPr>
      </w:pPr>
    </w:p>
    <w:p w14:paraId="73387BDA" w14:textId="77777777" w:rsidR="008B17FE" w:rsidRPr="005426E1" w:rsidRDefault="006F5C2E">
      <w:pPr>
        <w:numPr>
          <w:ilvl w:val="0"/>
          <w:numId w:val="16"/>
        </w:numPr>
        <w:pBdr>
          <w:top w:val="nil"/>
          <w:left w:val="nil"/>
          <w:bottom w:val="nil"/>
          <w:right w:val="nil"/>
          <w:between w:val="nil"/>
        </w:pBdr>
        <w:spacing w:line="360" w:lineRule="auto"/>
        <w:jc w:val="both"/>
        <w:rPr>
          <w:rFonts w:ascii="Palatino Linotype" w:eastAsia="Palatino Linotype" w:hAnsi="Palatino Linotype" w:cs="Palatino Linotype"/>
          <w:b/>
          <w:sz w:val="22"/>
          <w:szCs w:val="22"/>
          <w:u w:val="single"/>
        </w:rPr>
      </w:pPr>
      <w:r w:rsidRPr="005426E1">
        <w:rPr>
          <w:rFonts w:ascii="Palatino Linotype" w:eastAsia="Palatino Linotype" w:hAnsi="Palatino Linotype" w:cs="Palatino Linotype"/>
          <w:b/>
          <w:sz w:val="22"/>
          <w:szCs w:val="22"/>
          <w:u w:val="single"/>
        </w:rPr>
        <w:t>Las Unidades de Transparencia garantizarán que las solicitudes se turnen a todas las áreas competentes que cuenten con la información o deban tenerla de acuerdo con sus facultades, funciones y atribuciones, para que realicen una búsqueda exhaustiva y razonable de la documentación solicitada, con el fin de que proporcionen las expresiones documentales que se encuentren en sus archivos o que estén constreñidos a elaborar;</w:t>
      </w:r>
    </w:p>
    <w:p w14:paraId="58F45561" w14:textId="77777777" w:rsidR="008B17FE" w:rsidRPr="005426E1" w:rsidRDefault="008B17FE">
      <w:pPr>
        <w:pBdr>
          <w:top w:val="nil"/>
          <w:left w:val="nil"/>
          <w:bottom w:val="nil"/>
          <w:right w:val="nil"/>
          <w:between w:val="nil"/>
        </w:pBdr>
        <w:spacing w:line="360" w:lineRule="auto"/>
        <w:ind w:left="720"/>
        <w:rPr>
          <w:rFonts w:ascii="Palatino Linotype" w:eastAsia="Palatino Linotype" w:hAnsi="Palatino Linotype" w:cs="Palatino Linotype"/>
          <w:b/>
          <w:sz w:val="22"/>
          <w:szCs w:val="22"/>
          <w:u w:val="single"/>
        </w:rPr>
      </w:pPr>
    </w:p>
    <w:p w14:paraId="307C4C78" w14:textId="77777777" w:rsidR="008B17FE" w:rsidRPr="005426E1" w:rsidRDefault="006F5C2E">
      <w:pPr>
        <w:numPr>
          <w:ilvl w:val="0"/>
          <w:numId w:val="16"/>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sz w:val="22"/>
          <w:szCs w:val="22"/>
        </w:rPr>
        <w:lastRenderedPageBreak/>
        <w:t>El acceso se dará en la modalidad de entrega y en su caso, de envío elegido por el solicitante, cuando no pueda entregarse en dicha modalidad, el Sujeto Obligado deberá ofrecer otras; por lo cual, deberá fundamentar y motivar la necesidad de modificar el medio de entrega, y</w:t>
      </w:r>
    </w:p>
    <w:p w14:paraId="2B8E7674" w14:textId="77777777" w:rsidR="008B17FE" w:rsidRPr="005426E1" w:rsidRDefault="008B17FE">
      <w:pPr>
        <w:pBdr>
          <w:top w:val="nil"/>
          <w:left w:val="nil"/>
          <w:bottom w:val="nil"/>
          <w:right w:val="nil"/>
          <w:between w:val="nil"/>
        </w:pBdr>
        <w:spacing w:line="360" w:lineRule="auto"/>
        <w:ind w:left="360"/>
        <w:jc w:val="both"/>
        <w:rPr>
          <w:rFonts w:ascii="Palatino Linotype" w:eastAsia="Palatino Linotype" w:hAnsi="Palatino Linotype" w:cs="Palatino Linotype"/>
          <w:b/>
          <w:sz w:val="22"/>
          <w:szCs w:val="22"/>
        </w:rPr>
      </w:pPr>
    </w:p>
    <w:p w14:paraId="13631856" w14:textId="77777777" w:rsidR="008B17FE" w:rsidRPr="005426E1" w:rsidRDefault="006F5C2E">
      <w:pPr>
        <w:numPr>
          <w:ilvl w:val="0"/>
          <w:numId w:val="16"/>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sz w:val="22"/>
          <w:szCs w:val="22"/>
        </w:rPr>
        <w:t>Las Unidades de Transparencia, tendrán disponible la información requerida durante un plazo mínimo de sesenta días hábiles, contados a partir de que el solicitante hubiere realizado, en su caso, el pago respectivo, el cual deberá efectuarse en un plazo no mayor a treinta días hábiles; por lo que, una vez transcurrida dicha temporalidad, los Sujetos Obligados darán por concluida la solicitud y procederán de ser el caso, a la destrucción del material.</w:t>
      </w:r>
    </w:p>
    <w:p w14:paraId="5BA946B3" w14:textId="77777777" w:rsidR="008B17FE" w:rsidRPr="005426E1" w:rsidRDefault="008B17FE">
      <w:pPr>
        <w:spacing w:line="360" w:lineRule="auto"/>
        <w:rPr>
          <w:sz w:val="22"/>
          <w:szCs w:val="22"/>
        </w:rPr>
      </w:pPr>
    </w:p>
    <w:p w14:paraId="080A285B" w14:textId="77777777" w:rsidR="008B17FE" w:rsidRPr="005426E1" w:rsidRDefault="006F5C2E">
      <w:p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u w:val="single"/>
        </w:rPr>
      </w:pPr>
      <w:r w:rsidRPr="005426E1">
        <w:rPr>
          <w:rFonts w:ascii="Palatino Linotype" w:eastAsia="Palatino Linotype" w:hAnsi="Palatino Linotype" w:cs="Palatino Linotype"/>
          <w:sz w:val="22"/>
          <w:szCs w:val="22"/>
        </w:rPr>
        <w:t>De esta manera, se el procedimiento de búsqueda de la información se tiene por atendido al haber turnado la solicitud a la Defensoría Municipal de Derechos Humanos, esto de conformidad con lo que dispone la Ley Orgánica Municipal en el artículo 147 k y el Reglamento Interior de la Comisión de Derechos Humanos del Estado de México, artículo 5, 7 y 14, por tener atribuciones de recibir quejas por presuntas violaciones a derechos humanos y dar seguimiento a las recomendaciones que emita la Comisión.</w:t>
      </w:r>
    </w:p>
    <w:p w14:paraId="08BAF10C" w14:textId="77777777" w:rsidR="008B17FE" w:rsidRPr="005426E1" w:rsidRDefault="008B17FE">
      <w:p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u w:val="single"/>
        </w:rPr>
      </w:pPr>
    </w:p>
    <w:p w14:paraId="06BDFF80"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En el presente asunto en particular el Sujeto Obligado entregó un total de veinte quejas recibidas en la Defensoría Municipal de Derechos Humanos, las cuales se encuentran en una incorrecta versión pública, en razón de que se dejaron a la vista datos personales de la autoridad responsable, así como la edad del quejoso. </w:t>
      </w:r>
    </w:p>
    <w:p w14:paraId="41FF966F" w14:textId="77777777" w:rsidR="008B17FE" w:rsidRPr="005426E1" w:rsidRDefault="008B17FE">
      <w:pPr>
        <w:spacing w:line="360" w:lineRule="auto"/>
        <w:jc w:val="both"/>
        <w:rPr>
          <w:rFonts w:ascii="Palatino Linotype" w:eastAsia="Palatino Linotype" w:hAnsi="Palatino Linotype" w:cs="Palatino Linotype"/>
        </w:rPr>
      </w:pPr>
    </w:p>
    <w:p w14:paraId="053AFE5D"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lastRenderedPageBreak/>
        <w:t>Además, existió una omisión de pronunciarse respecto a la resolución de dichas quejas por la autoridad competente. La Comisión de Derechos Humanos del Estado de México tiene la atribución de emitir RECOMENDACIONES. Esto es una resolución derivada de una investigación en la que se acreditan violaciones a derechos humanos. Las recomendaciones incluyen la descripción de los hechos, las evidencias reunidas resultado de las diversas diligencias practicadas por personal adscrito a las Visitadurías del Organismo, así como las ponderaciones, que describen y argumentan los derechos humanos vulnerados a las personas por actos u omisiones de las autoridades y servidores públicos en ejercicio de sus funciones. Al final, se incluyen puntos recomendatorios con fines específicos tendentes a hacer prevalecer los derechos fundamentales de las personas, y si bien no son vinculantes, su probada oportunidad, implicaciones éticas y basamento en los derechos humanos la erigen en un instrumento público que permite el correcto funcionamiento de las instituciones al revelar el abuso e irregularidades cometidas por servidores públicos municipales y estatales, así como alternativas que permitan erradicar dichas conductas con el distintivo enfoque del respeto a la dignidad humana.</w:t>
      </w:r>
    </w:p>
    <w:p w14:paraId="433CE7B0" w14:textId="77777777" w:rsidR="008B17FE" w:rsidRPr="005426E1" w:rsidRDefault="008B17FE">
      <w:pPr>
        <w:spacing w:line="360" w:lineRule="auto"/>
        <w:jc w:val="both"/>
        <w:rPr>
          <w:rFonts w:ascii="Palatino Linotype" w:eastAsia="Palatino Linotype" w:hAnsi="Palatino Linotype" w:cs="Palatino Linotype"/>
        </w:rPr>
      </w:pPr>
    </w:p>
    <w:p w14:paraId="129123BB" w14:textId="77777777" w:rsidR="008B17FE" w:rsidRPr="005426E1" w:rsidRDefault="006F5C2E">
      <w:pPr>
        <w:spacing w:line="360" w:lineRule="auto"/>
        <w:jc w:val="both"/>
        <w:rPr>
          <w:rFonts w:ascii="Palatino Linotype" w:eastAsia="Palatino Linotype" w:hAnsi="Palatino Linotype" w:cs="Palatino Linotype"/>
          <w:u w:val="single"/>
        </w:rPr>
      </w:pPr>
      <w:r w:rsidRPr="005426E1">
        <w:rPr>
          <w:rFonts w:ascii="Palatino Linotype" w:eastAsia="Palatino Linotype" w:hAnsi="Palatino Linotype" w:cs="Palatino Linotype"/>
        </w:rPr>
        <w:t xml:space="preserve">Las Recomendaciones que emite la Comisión se encuentran disponibles para su publicación </w:t>
      </w:r>
      <w:hyperlink r:id="rId8">
        <w:r w:rsidRPr="005426E1">
          <w:rPr>
            <w:rFonts w:ascii="Palatino Linotype" w:eastAsia="Palatino Linotype" w:hAnsi="Palatino Linotype" w:cs="Palatino Linotype"/>
            <w:u w:val="single"/>
          </w:rPr>
          <w:t>https://www.codhem.org.mx/recomendaciones/</w:t>
        </w:r>
      </w:hyperlink>
    </w:p>
    <w:p w14:paraId="651479C6" w14:textId="77777777" w:rsidR="008B17FE" w:rsidRPr="005426E1" w:rsidRDefault="008B17FE">
      <w:pPr>
        <w:spacing w:line="360" w:lineRule="auto"/>
        <w:jc w:val="both"/>
        <w:rPr>
          <w:rFonts w:ascii="Palatino Linotype" w:eastAsia="Palatino Linotype" w:hAnsi="Palatino Linotype" w:cs="Palatino Linotype"/>
          <w:u w:val="single"/>
        </w:rPr>
      </w:pPr>
    </w:p>
    <w:p w14:paraId="5D908DA6" w14:textId="77777777" w:rsidR="008B17FE" w:rsidRPr="005426E1" w:rsidRDefault="006F5C2E">
      <w:pPr>
        <w:spacing w:line="360" w:lineRule="auto"/>
        <w:jc w:val="both"/>
        <w:rPr>
          <w:rFonts w:ascii="Palatino Linotype" w:eastAsia="Palatino Linotype" w:hAnsi="Palatino Linotype" w:cs="Palatino Linotype"/>
          <w:u w:val="single"/>
        </w:rPr>
      </w:pPr>
      <w:r w:rsidRPr="005426E1">
        <w:rPr>
          <w:rFonts w:ascii="Palatino Linotype" w:eastAsia="Palatino Linotype" w:hAnsi="Palatino Linotype" w:cs="Palatino Linotype"/>
          <w:noProof/>
          <w:u w:val="single"/>
        </w:rPr>
        <w:lastRenderedPageBreak/>
        <w:drawing>
          <wp:inline distT="0" distB="0" distL="0" distR="0" wp14:anchorId="63E3B654" wp14:editId="31D6A3DC">
            <wp:extent cx="5756275" cy="4167505"/>
            <wp:effectExtent l="0" t="0" r="0" b="0"/>
            <wp:docPr id="3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5756275" cy="4167505"/>
                    </a:xfrm>
                    <a:prstGeom prst="rect">
                      <a:avLst/>
                    </a:prstGeom>
                    <a:ln/>
                  </pic:spPr>
                </pic:pic>
              </a:graphicData>
            </a:graphic>
          </wp:inline>
        </w:drawing>
      </w:r>
    </w:p>
    <w:p w14:paraId="0D9708A7" w14:textId="77777777" w:rsidR="008B17FE" w:rsidRPr="005426E1" w:rsidRDefault="008B17FE">
      <w:pPr>
        <w:spacing w:line="360" w:lineRule="auto"/>
        <w:jc w:val="both"/>
        <w:rPr>
          <w:rFonts w:ascii="Palatino Linotype" w:eastAsia="Palatino Linotype" w:hAnsi="Palatino Linotype" w:cs="Palatino Linotype"/>
        </w:rPr>
      </w:pPr>
    </w:p>
    <w:p w14:paraId="76339EFE"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La autoridad competente  proporcionó parcialmente la información requerida al haber remitido las quejas recibidas por la Defensoría Municipal de Derechos Humanos; sin embargo, ante el desconocimiento del estatus de los procedimientos que derivaron de las quejas o la calificación que se le haya otorgado a las posibles violaciones a derechos humanos, no se pusieron a la vista del Recurrente ya que en las documentales se encuentran datos como el nombre del servidor público responsable de las posibles violaciones.</w:t>
      </w:r>
    </w:p>
    <w:p w14:paraId="35677C8C" w14:textId="77777777" w:rsidR="008B17FE" w:rsidRPr="005426E1" w:rsidRDefault="008B17FE">
      <w:pPr>
        <w:spacing w:line="360" w:lineRule="auto"/>
        <w:jc w:val="both"/>
        <w:rPr>
          <w:rFonts w:ascii="Palatino Linotype" w:eastAsia="Palatino Linotype" w:hAnsi="Palatino Linotype" w:cs="Palatino Linotype"/>
        </w:rPr>
      </w:pPr>
    </w:p>
    <w:p w14:paraId="5E21CD84" w14:textId="77777777" w:rsidR="008B17FE" w:rsidRPr="005426E1" w:rsidRDefault="006F5C2E">
      <w:pPr>
        <w:spacing w:line="360" w:lineRule="auto"/>
        <w:jc w:val="both"/>
        <w:rPr>
          <w:rFonts w:ascii="Palatino Linotype" w:eastAsia="Palatino Linotype" w:hAnsi="Palatino Linotype" w:cs="Palatino Linotype"/>
          <w:b/>
        </w:rPr>
      </w:pPr>
      <w:r w:rsidRPr="005426E1">
        <w:rPr>
          <w:rFonts w:ascii="Palatino Linotype" w:eastAsia="Palatino Linotype" w:hAnsi="Palatino Linotype" w:cs="Palatino Linotype"/>
        </w:rPr>
        <w:lastRenderedPageBreak/>
        <w:t xml:space="preserve">Derivado de lo anteriormente dicho, es necesario analizar la naturaleza de la información, en apego a las siguientes consideraciones de hecho y de derecho, a efecto de determinar si es procedente la entrega de la información, o </w:t>
      </w:r>
      <w:proofErr w:type="gramStart"/>
      <w:r w:rsidRPr="005426E1">
        <w:rPr>
          <w:rFonts w:ascii="Palatino Linotype" w:eastAsia="Palatino Linotype" w:hAnsi="Palatino Linotype" w:cs="Palatino Linotype"/>
        </w:rPr>
        <w:t>si</w:t>
      </w:r>
      <w:proofErr w:type="gramEnd"/>
      <w:r w:rsidRPr="005426E1">
        <w:rPr>
          <w:rFonts w:ascii="Palatino Linotype" w:eastAsia="Palatino Linotype" w:hAnsi="Palatino Linotype" w:cs="Palatino Linotype"/>
        </w:rPr>
        <w:t xml:space="preserve"> por el contrario, lo conducente es su clasificación.</w:t>
      </w:r>
    </w:p>
    <w:p w14:paraId="51D625CE" w14:textId="77777777" w:rsidR="008B17FE" w:rsidRPr="005426E1" w:rsidRDefault="008B17FE">
      <w:pPr>
        <w:spacing w:line="360" w:lineRule="auto"/>
        <w:jc w:val="both"/>
        <w:rPr>
          <w:rFonts w:ascii="Palatino Linotype" w:eastAsia="Palatino Linotype" w:hAnsi="Palatino Linotype" w:cs="Palatino Linotype"/>
          <w:b/>
        </w:rPr>
      </w:pPr>
    </w:p>
    <w:p w14:paraId="1F753C69" w14:textId="77777777" w:rsidR="008B17FE" w:rsidRPr="005426E1" w:rsidRDefault="006F5C2E">
      <w:pPr>
        <w:numPr>
          <w:ilvl w:val="0"/>
          <w:numId w:val="15"/>
        </w:numPr>
        <w:pBdr>
          <w:top w:val="nil"/>
          <w:left w:val="nil"/>
          <w:bottom w:val="nil"/>
          <w:right w:val="nil"/>
          <w:between w:val="nil"/>
        </w:pBdr>
        <w:spacing w:line="360" w:lineRule="auto"/>
        <w:jc w:val="both"/>
        <w:rPr>
          <w:rFonts w:ascii="Palatino Linotype" w:eastAsia="Palatino Linotype" w:hAnsi="Palatino Linotype" w:cs="Palatino Linotype"/>
          <w:b/>
        </w:rPr>
      </w:pPr>
      <w:r w:rsidRPr="005426E1">
        <w:rPr>
          <w:rFonts w:ascii="Palatino Linotype" w:eastAsia="Palatino Linotype" w:hAnsi="Palatino Linotype" w:cs="Palatino Linotype"/>
          <w:b/>
          <w:u w:val="single"/>
        </w:rPr>
        <w:t>De los expedientes en trámite.</w:t>
      </w:r>
    </w:p>
    <w:p w14:paraId="6F9B432F" w14:textId="77777777" w:rsidR="008B17FE" w:rsidRPr="005426E1" w:rsidRDefault="008B17FE">
      <w:pPr>
        <w:pBdr>
          <w:top w:val="nil"/>
          <w:left w:val="nil"/>
          <w:bottom w:val="nil"/>
          <w:right w:val="nil"/>
          <w:between w:val="nil"/>
        </w:pBdr>
        <w:spacing w:line="360" w:lineRule="auto"/>
        <w:ind w:left="720"/>
        <w:jc w:val="both"/>
        <w:rPr>
          <w:rFonts w:ascii="Palatino Linotype" w:eastAsia="Palatino Linotype" w:hAnsi="Palatino Linotype" w:cs="Palatino Linotype"/>
          <w:b/>
          <w:u w:val="single"/>
        </w:rPr>
      </w:pPr>
    </w:p>
    <w:p w14:paraId="326D675F"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Al respecto, el artículo 140, fracciones VI, VIII y X, de la Ley de Transparencia y Acceso a la Información Pública del Estado de México y Municipios </w:t>
      </w:r>
      <w:r w:rsidRPr="005426E1">
        <w:rPr>
          <w:rFonts w:ascii="Palatino Linotype" w:eastAsia="Palatino Linotype" w:hAnsi="Palatino Linotype" w:cs="Palatino Linotype"/>
          <w:i/>
        </w:rPr>
        <w:t>(homólogo al 113, fracción XI, de la Ley General de Transparencia y Acceso a la Información Pública)</w:t>
      </w:r>
      <w:r w:rsidRPr="005426E1">
        <w:rPr>
          <w:rFonts w:ascii="Palatino Linotype" w:eastAsia="Palatino Linotype" w:hAnsi="Palatino Linotype" w:cs="Palatino Linotype"/>
        </w:rPr>
        <w:t xml:space="preserve">, establecen que será información </w:t>
      </w:r>
      <w:r w:rsidRPr="005426E1">
        <w:rPr>
          <w:rFonts w:ascii="Palatino Linotype" w:eastAsia="Palatino Linotype" w:hAnsi="Palatino Linotype" w:cs="Palatino Linotype"/>
          <w:b/>
        </w:rPr>
        <w:t>RESERVADA</w:t>
      </w:r>
      <w:r w:rsidRPr="005426E1">
        <w:rPr>
          <w:rFonts w:ascii="Palatino Linotype" w:eastAsia="Palatino Linotype" w:hAnsi="Palatino Linotype" w:cs="Palatino Linotype"/>
        </w:rPr>
        <w:t xml:space="preserve">, aquella que vulnere la conducción de los expedientes judiciales o de los </w:t>
      </w:r>
      <w:r w:rsidRPr="005426E1">
        <w:rPr>
          <w:rFonts w:ascii="Palatino Linotype" w:eastAsia="Palatino Linotype" w:hAnsi="Palatino Linotype" w:cs="Palatino Linotype"/>
          <w:b/>
          <w:u w:val="single"/>
        </w:rPr>
        <w:t>procedimientos administrativos seguidos en forma de juicio</w:t>
      </w:r>
      <w:r w:rsidRPr="005426E1">
        <w:rPr>
          <w:rFonts w:ascii="Palatino Linotype" w:eastAsia="Palatino Linotype" w:hAnsi="Palatino Linotype" w:cs="Palatino Linotype"/>
        </w:rPr>
        <w:t>, en tanto no hayan causado estado. En ese sentido, los Lineamientos Generales en Materia de Clasificación y Desclasificación de la Información, así como para la Elaboración de Versiones Públicas –Lineamientos Generales-, prevén lo siguiente:</w:t>
      </w:r>
    </w:p>
    <w:p w14:paraId="2A2386BF" w14:textId="77777777" w:rsidR="008B17FE" w:rsidRPr="005426E1" w:rsidRDefault="008B17FE">
      <w:pPr>
        <w:spacing w:line="360" w:lineRule="auto"/>
        <w:jc w:val="both"/>
        <w:rPr>
          <w:rFonts w:ascii="Palatino Linotype" w:eastAsia="Palatino Linotype" w:hAnsi="Palatino Linotype" w:cs="Palatino Linotype"/>
        </w:rPr>
      </w:pPr>
    </w:p>
    <w:p w14:paraId="2FF5220F"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“Trigésimo.</w:t>
      </w:r>
      <w:r w:rsidRPr="005426E1">
        <w:rPr>
          <w:rFonts w:ascii="Palatino Linotype" w:eastAsia="Palatino Linotype" w:hAnsi="Palatino Linotype" w:cs="Palatino Linotype"/>
          <w:i/>
        </w:rPr>
        <w:t xml:space="preserve"> De conformidad con el artículo 113, fracción XI de la Ley General, podrá considerarse como información reservada, aquella que vulnere la conducción de los expedientes judiciales o de los procedimientos administrativos seguidos en forma de juicio, siempre y cuando se acrediten los siguientes elementos: </w:t>
      </w:r>
    </w:p>
    <w:p w14:paraId="6A2856AA" w14:textId="77777777" w:rsidR="008B17FE" w:rsidRPr="005426E1" w:rsidRDefault="008B17FE">
      <w:pPr>
        <w:ind w:left="567" w:right="567"/>
        <w:jc w:val="both"/>
        <w:rPr>
          <w:rFonts w:ascii="Palatino Linotype" w:eastAsia="Palatino Linotype" w:hAnsi="Palatino Linotype" w:cs="Palatino Linotype"/>
          <w:i/>
        </w:rPr>
      </w:pPr>
    </w:p>
    <w:p w14:paraId="2891A0F5"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I.</w:t>
      </w:r>
      <w:r w:rsidRPr="005426E1">
        <w:rPr>
          <w:rFonts w:ascii="Palatino Linotype" w:eastAsia="Palatino Linotype" w:hAnsi="Palatino Linotype" w:cs="Palatino Linotype"/>
          <w:i/>
        </w:rPr>
        <w:t xml:space="preserve"> La existencia de un juicio o procedimiento administrativo materialmente jurisdiccional, que se encuentre en trámite; </w:t>
      </w:r>
    </w:p>
    <w:p w14:paraId="75D8B1BD" w14:textId="77777777" w:rsidR="008B17FE" w:rsidRPr="005426E1" w:rsidRDefault="008B17FE">
      <w:pPr>
        <w:ind w:left="567" w:right="567"/>
        <w:jc w:val="both"/>
        <w:rPr>
          <w:rFonts w:ascii="Palatino Linotype" w:eastAsia="Palatino Linotype" w:hAnsi="Palatino Linotype" w:cs="Palatino Linotype"/>
          <w:i/>
        </w:rPr>
      </w:pPr>
    </w:p>
    <w:p w14:paraId="15279E97"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II.</w:t>
      </w:r>
      <w:r w:rsidRPr="005426E1">
        <w:rPr>
          <w:rFonts w:ascii="Palatino Linotype" w:eastAsia="Palatino Linotype" w:hAnsi="Palatino Linotype" w:cs="Palatino Linotype"/>
          <w:i/>
        </w:rPr>
        <w:t xml:space="preserve"> Que la información solicitada se refiera a actuaciones, diligencias o constancias propias del procedimiento; y</w:t>
      </w:r>
    </w:p>
    <w:p w14:paraId="2BFBD54F" w14:textId="77777777" w:rsidR="008B17FE" w:rsidRPr="005426E1" w:rsidRDefault="008B17FE">
      <w:pPr>
        <w:ind w:left="567" w:right="567"/>
        <w:jc w:val="both"/>
        <w:rPr>
          <w:rFonts w:ascii="Palatino Linotype" w:eastAsia="Palatino Linotype" w:hAnsi="Palatino Linotype" w:cs="Palatino Linotype"/>
          <w:i/>
        </w:rPr>
      </w:pPr>
    </w:p>
    <w:p w14:paraId="7732F1FE"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III.</w:t>
      </w:r>
      <w:r w:rsidRPr="005426E1">
        <w:rPr>
          <w:rFonts w:ascii="Palatino Linotype" w:eastAsia="Palatino Linotype" w:hAnsi="Palatino Linotype" w:cs="Palatino Linotype"/>
          <w:i/>
        </w:rPr>
        <w:t xml:space="preserve"> Que su difusión afecte o interrumpa la libertad de decisión de las autoridades dentro del juicio o procedimiento administrativo seguido en forma de juicio.</w:t>
      </w:r>
    </w:p>
    <w:p w14:paraId="787A833F" w14:textId="77777777" w:rsidR="008B17FE" w:rsidRPr="005426E1" w:rsidRDefault="008B17FE">
      <w:pPr>
        <w:ind w:left="567" w:right="567"/>
        <w:jc w:val="both"/>
        <w:rPr>
          <w:rFonts w:ascii="Palatino Linotype" w:eastAsia="Palatino Linotype" w:hAnsi="Palatino Linotype" w:cs="Palatino Linotype"/>
          <w:i/>
        </w:rPr>
      </w:pPr>
    </w:p>
    <w:p w14:paraId="0F0A1056"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 xml:space="preserve">Para los efectos del primer párrafo de este numeral, se considera procedimiento seguido en forma de juicio a aquel formalmente administrativo, pero materialmente jurisdiccional; esto es, en el que concurran los siguientes elementos: </w:t>
      </w:r>
    </w:p>
    <w:p w14:paraId="10215DE1" w14:textId="77777777" w:rsidR="008B17FE" w:rsidRPr="005426E1" w:rsidRDefault="008B17FE">
      <w:pPr>
        <w:ind w:left="567" w:right="567"/>
        <w:jc w:val="both"/>
        <w:rPr>
          <w:rFonts w:ascii="Palatino Linotype" w:eastAsia="Palatino Linotype" w:hAnsi="Palatino Linotype" w:cs="Palatino Linotype"/>
          <w:i/>
        </w:rPr>
      </w:pPr>
    </w:p>
    <w:p w14:paraId="6B1B41C6"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1.</w:t>
      </w:r>
      <w:r w:rsidRPr="005426E1">
        <w:rPr>
          <w:rFonts w:ascii="Palatino Linotype" w:eastAsia="Palatino Linotype" w:hAnsi="Palatino Linotype" w:cs="Palatino Linotype"/>
          <w:i/>
        </w:rPr>
        <w:t xml:space="preserve"> Que se trate de un procedimiento en el que la autoridad dirima una controversia entre partes contendientes, así como los procedimientos en que la autoridad, frente al particular, prepare su resolución definitiva, aunque sólo sea un trámite para cumplir con la garantía de audiencia, y </w:t>
      </w:r>
    </w:p>
    <w:p w14:paraId="0FB73C3F" w14:textId="77777777" w:rsidR="008B17FE" w:rsidRPr="005426E1" w:rsidRDefault="008B17FE">
      <w:pPr>
        <w:ind w:left="567" w:right="567"/>
        <w:jc w:val="both"/>
        <w:rPr>
          <w:rFonts w:ascii="Palatino Linotype" w:eastAsia="Palatino Linotype" w:hAnsi="Palatino Linotype" w:cs="Palatino Linotype"/>
          <w:i/>
        </w:rPr>
      </w:pPr>
    </w:p>
    <w:p w14:paraId="038F0559"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2.</w:t>
      </w:r>
      <w:r w:rsidRPr="005426E1">
        <w:rPr>
          <w:rFonts w:ascii="Palatino Linotype" w:eastAsia="Palatino Linotype" w:hAnsi="Palatino Linotype" w:cs="Palatino Linotype"/>
          <w:i/>
        </w:rPr>
        <w:t xml:space="preserve"> Que se cumplan las formalidades esenciales del procedimiento. </w:t>
      </w:r>
    </w:p>
    <w:p w14:paraId="20CCCD3F" w14:textId="77777777" w:rsidR="008B17FE" w:rsidRPr="005426E1" w:rsidRDefault="008B17FE">
      <w:pPr>
        <w:ind w:left="567" w:right="567"/>
        <w:jc w:val="both"/>
        <w:rPr>
          <w:rFonts w:ascii="Palatino Linotype" w:eastAsia="Palatino Linotype" w:hAnsi="Palatino Linotype" w:cs="Palatino Linotype"/>
          <w:i/>
        </w:rPr>
      </w:pPr>
    </w:p>
    <w:p w14:paraId="6BEAC047"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No serán objeto de reserva las resoluciones interlocutorias o definitivas que se dicten dentro de los procedimientos o con las que se concluya el mismo. En estos casos deberá otorgarse acceso a la resolución en versión pública, testando la información clasificada.”</w:t>
      </w:r>
    </w:p>
    <w:p w14:paraId="27DF4E31" w14:textId="77777777" w:rsidR="008B17FE" w:rsidRPr="005426E1" w:rsidRDefault="008B17FE">
      <w:pPr>
        <w:spacing w:line="360" w:lineRule="auto"/>
        <w:jc w:val="both"/>
        <w:rPr>
          <w:rFonts w:ascii="Palatino Linotype" w:eastAsia="Palatino Linotype" w:hAnsi="Palatino Linotype" w:cs="Palatino Linotype"/>
        </w:rPr>
      </w:pPr>
    </w:p>
    <w:p w14:paraId="3CC784F1"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De la normatividad citada, se desprende que el supuesto de clasificación, prevé que como información </w:t>
      </w:r>
      <w:r w:rsidRPr="005426E1">
        <w:rPr>
          <w:rFonts w:ascii="Palatino Linotype" w:eastAsia="Palatino Linotype" w:hAnsi="Palatino Linotype" w:cs="Palatino Linotype"/>
          <w:b/>
        </w:rPr>
        <w:t>RESERVADA</w:t>
      </w:r>
      <w:r w:rsidRPr="005426E1">
        <w:rPr>
          <w:rFonts w:ascii="Palatino Linotype" w:eastAsia="Palatino Linotype" w:hAnsi="Palatino Linotype" w:cs="Palatino Linotype"/>
        </w:rPr>
        <w:t xml:space="preserve"> podrá clasificarse aquella que vulnere la conducción de los expedientes judiciales o de </w:t>
      </w:r>
      <w:r w:rsidRPr="005426E1">
        <w:rPr>
          <w:rFonts w:ascii="Palatino Linotype" w:eastAsia="Palatino Linotype" w:hAnsi="Palatino Linotype" w:cs="Palatino Linotype"/>
          <w:b/>
          <w:u w:val="single"/>
        </w:rPr>
        <w:t>los procedimientos administrativos seguidos en forma de juicio, en tanto no hayan causado estado</w:t>
      </w:r>
      <w:r w:rsidRPr="005426E1">
        <w:rPr>
          <w:rFonts w:ascii="Palatino Linotype" w:eastAsia="Palatino Linotype" w:hAnsi="Palatino Linotype" w:cs="Palatino Linotype"/>
        </w:rPr>
        <w:t>. Por lo cual, para considerar que se actualiza dicha causal es necesario que se configuren los siguientes elementos:</w:t>
      </w:r>
    </w:p>
    <w:p w14:paraId="4D43F4E8" w14:textId="77777777" w:rsidR="008B17FE" w:rsidRPr="005426E1" w:rsidRDefault="008B17FE">
      <w:pPr>
        <w:spacing w:line="360" w:lineRule="auto"/>
        <w:jc w:val="both"/>
        <w:rPr>
          <w:rFonts w:ascii="Palatino Linotype" w:eastAsia="Palatino Linotype" w:hAnsi="Palatino Linotype" w:cs="Palatino Linotype"/>
        </w:rPr>
      </w:pPr>
    </w:p>
    <w:p w14:paraId="43173C93" w14:textId="77777777" w:rsidR="008B17FE" w:rsidRPr="005426E1" w:rsidRDefault="006F5C2E">
      <w:pPr>
        <w:numPr>
          <w:ilvl w:val="0"/>
          <w:numId w:val="13"/>
        </w:num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La existencia de un juicio o procedimiento administrativo materialmente jurisdiccional, que se encuentre en trámite;</w:t>
      </w:r>
    </w:p>
    <w:p w14:paraId="6D7BBA80" w14:textId="77777777" w:rsidR="008B17FE" w:rsidRPr="005426E1" w:rsidRDefault="006F5C2E">
      <w:pPr>
        <w:numPr>
          <w:ilvl w:val="0"/>
          <w:numId w:val="13"/>
        </w:num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lastRenderedPageBreak/>
        <w:t>Que la información solicitada se refiera a actuaciones, diligencias o constancias propias del procedimiento, y</w:t>
      </w:r>
    </w:p>
    <w:p w14:paraId="3EAEBE4E" w14:textId="77777777" w:rsidR="008B17FE" w:rsidRPr="005426E1" w:rsidRDefault="006F5C2E">
      <w:pPr>
        <w:numPr>
          <w:ilvl w:val="0"/>
          <w:numId w:val="13"/>
        </w:num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Que su difusión afecte o interrumpa la libertad de decisión de las autoridades dentro del juicio o procedimiento administrativo seguido en forma de juicio.</w:t>
      </w:r>
    </w:p>
    <w:p w14:paraId="50C78F46" w14:textId="77777777" w:rsidR="008B17FE" w:rsidRPr="005426E1" w:rsidRDefault="008B17FE">
      <w:pPr>
        <w:spacing w:line="360" w:lineRule="auto"/>
        <w:jc w:val="both"/>
        <w:rPr>
          <w:rFonts w:ascii="Palatino Linotype" w:eastAsia="Palatino Linotype" w:hAnsi="Palatino Linotype" w:cs="Palatino Linotype"/>
          <w:b/>
        </w:rPr>
      </w:pPr>
    </w:p>
    <w:p w14:paraId="12D06193"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Con base en lo expuesto, se advierte que la información susceptible de clasificarse como </w:t>
      </w:r>
      <w:r w:rsidRPr="005426E1">
        <w:rPr>
          <w:rFonts w:ascii="Palatino Linotype" w:eastAsia="Palatino Linotype" w:hAnsi="Palatino Linotype" w:cs="Palatino Linotype"/>
          <w:b/>
        </w:rPr>
        <w:t>RESERVADA</w:t>
      </w:r>
      <w:r w:rsidRPr="005426E1">
        <w:rPr>
          <w:rFonts w:ascii="Palatino Linotype" w:eastAsia="Palatino Linotype" w:hAnsi="Palatino Linotype" w:cs="Palatino Linotype"/>
        </w:rPr>
        <w:t xml:space="preserve"> bajo el supuesto aludido por el </w:t>
      </w:r>
      <w:r w:rsidRPr="005426E1">
        <w:rPr>
          <w:rFonts w:ascii="Palatino Linotype" w:eastAsia="Palatino Linotype" w:hAnsi="Palatino Linotype" w:cs="Palatino Linotype"/>
          <w:b/>
        </w:rPr>
        <w:t>Sujeto Obligado</w:t>
      </w:r>
      <w:r w:rsidRPr="005426E1">
        <w:rPr>
          <w:rFonts w:ascii="Palatino Linotype" w:eastAsia="Palatino Linotype" w:hAnsi="Palatino Linotype" w:cs="Palatino Linotype"/>
        </w:rPr>
        <w:t>, es aquella cuya difusión vulnere la conducción de los expedientes judiciales o procedimientos administrativos seguidos en forma de juicio, en tanto no hayan causado estado.</w:t>
      </w:r>
    </w:p>
    <w:p w14:paraId="5F3C0284" w14:textId="77777777" w:rsidR="008B17FE" w:rsidRPr="005426E1" w:rsidRDefault="008B17FE">
      <w:pPr>
        <w:spacing w:line="360" w:lineRule="auto"/>
        <w:jc w:val="both"/>
        <w:rPr>
          <w:rFonts w:ascii="Palatino Linotype" w:eastAsia="Palatino Linotype" w:hAnsi="Palatino Linotype" w:cs="Palatino Linotype"/>
        </w:rPr>
      </w:pPr>
    </w:p>
    <w:p w14:paraId="1C39720C"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En relación con lo anterior, es menester precisar que para que se trate de un</w:t>
      </w:r>
      <w:r w:rsidRPr="005426E1">
        <w:rPr>
          <w:rFonts w:ascii="Palatino Linotype" w:eastAsia="Palatino Linotype" w:hAnsi="Palatino Linotype" w:cs="Palatino Linotype"/>
          <w:b/>
        </w:rPr>
        <w:t xml:space="preserve"> </w:t>
      </w:r>
      <w:r w:rsidRPr="005426E1">
        <w:rPr>
          <w:rFonts w:ascii="Palatino Linotype" w:eastAsia="Palatino Linotype" w:hAnsi="Palatino Linotype" w:cs="Palatino Linotype"/>
        </w:rPr>
        <w:t xml:space="preserve">juicio o procedimiento administrativo materialmente jurisdiccional, debe cumplirse con lo dispuesto en los Lineamientos Generales en materia de clasificación y desclasificación de la información, así como lo sostenido por la Segunda Sala de la Suprema Corte de Justicia de la Nación, en la Tesis 2a./J. 22/2003, consistente en que un “procedimiento en forma de juicio”, debe entenderse </w:t>
      </w:r>
      <w:r w:rsidRPr="005426E1">
        <w:rPr>
          <w:rFonts w:ascii="Palatino Linotype" w:eastAsia="Palatino Linotype" w:hAnsi="Palatino Linotype" w:cs="Palatino Linotype"/>
          <w:i/>
        </w:rPr>
        <w:t>lato sensu</w:t>
      </w:r>
      <w:r w:rsidRPr="005426E1">
        <w:rPr>
          <w:rFonts w:ascii="Palatino Linotype" w:eastAsia="Palatino Linotype" w:hAnsi="Palatino Linotype" w:cs="Palatino Linotype"/>
        </w:rPr>
        <w:t>, no únicamente comprendiendo los procedimientos en que la autoridad dirime una controversia entre las partes, sino que deben incluir todos aquellos procedimientos en que una autoridad frente a la particular, prepara su resolución definitiva, aunque sólo sea un trámite para cumplir con la garantía de audiencia,</w:t>
      </w:r>
      <w:r w:rsidRPr="005426E1">
        <w:rPr>
          <w:rFonts w:ascii="Palatino Linotype" w:eastAsia="Palatino Linotype" w:hAnsi="Palatino Linotype" w:cs="Palatino Linotype"/>
          <w:b/>
        </w:rPr>
        <w:t xml:space="preserve"> </w:t>
      </w:r>
      <w:r w:rsidRPr="005426E1">
        <w:rPr>
          <w:rFonts w:ascii="Palatino Linotype" w:eastAsia="Palatino Linotype" w:hAnsi="Palatino Linotype" w:cs="Palatino Linotype"/>
        </w:rPr>
        <w:t>tal como se muestra a continuación:</w:t>
      </w:r>
    </w:p>
    <w:p w14:paraId="62D90602" w14:textId="77777777" w:rsidR="008B17FE" w:rsidRPr="005426E1" w:rsidRDefault="008B17FE">
      <w:pPr>
        <w:spacing w:line="360" w:lineRule="auto"/>
        <w:jc w:val="both"/>
        <w:rPr>
          <w:rFonts w:ascii="Palatino Linotype" w:eastAsia="Palatino Linotype" w:hAnsi="Palatino Linotype" w:cs="Palatino Linotype"/>
        </w:rPr>
      </w:pPr>
    </w:p>
    <w:p w14:paraId="3AC857CA" w14:textId="77777777" w:rsidR="008B17FE" w:rsidRPr="005426E1" w:rsidRDefault="006F5C2E">
      <w:pPr>
        <w:ind w:left="567" w:right="567"/>
        <w:jc w:val="both"/>
        <w:rPr>
          <w:rFonts w:ascii="Palatino Linotype" w:eastAsia="Palatino Linotype" w:hAnsi="Palatino Linotype" w:cs="Palatino Linotype"/>
          <w:b/>
          <w:i/>
        </w:rPr>
      </w:pPr>
      <w:r w:rsidRPr="005426E1">
        <w:rPr>
          <w:rFonts w:ascii="Palatino Linotype" w:eastAsia="Palatino Linotype" w:hAnsi="Palatino Linotype" w:cs="Palatino Linotype"/>
          <w:i/>
        </w:rPr>
        <w:t>“</w:t>
      </w:r>
      <w:r w:rsidRPr="005426E1">
        <w:rPr>
          <w:rFonts w:ascii="Palatino Linotype" w:eastAsia="Palatino Linotype" w:hAnsi="Palatino Linotype" w:cs="Palatino Linotype"/>
          <w:b/>
          <w:i/>
        </w:rPr>
        <w:t xml:space="preserve">PROCEDIMIENTOS EN FORMA DE JUICIO SEGUIDOS POR AUTORIDADES DISTINTAS DE TRIBUNALES A QUE SE REFIERE EL </w:t>
      </w:r>
      <w:r w:rsidRPr="005426E1">
        <w:rPr>
          <w:rFonts w:ascii="Palatino Linotype" w:eastAsia="Palatino Linotype" w:hAnsi="Palatino Linotype" w:cs="Palatino Linotype"/>
          <w:b/>
          <w:i/>
        </w:rPr>
        <w:lastRenderedPageBreak/>
        <w:t xml:space="preserve">ARTÍCULO 114, FRACCIÓN II, PÁRRAFO SEGUNDO, DE LA LEY DE AMPARO. SU CONCEPTO COMPRENDE TANTO AQUELLOS EN QUE LA AUTORIDAD DIRIME UNA CONTROVERSIA ENTRE PARTES CONTENDIENTES, COMO LOS PROCEDIMIENTOS MEDIANTE LOS QUE LA AUTORIDAD PREPARA SU RESOLUCIÓN DEFINITIVA CON INTERVENCIÓN DEL PARTICULAR. </w:t>
      </w:r>
      <w:r w:rsidRPr="005426E1">
        <w:rPr>
          <w:rFonts w:ascii="Palatino Linotype" w:eastAsia="Palatino Linotype" w:hAnsi="Palatino Linotype" w:cs="Palatino Linotype"/>
          <w:i/>
        </w:rPr>
        <w:t xml:space="preserve">La Ley de Amparo establece </w:t>
      </w:r>
      <w:proofErr w:type="gramStart"/>
      <w:r w:rsidRPr="005426E1">
        <w:rPr>
          <w:rFonts w:ascii="Palatino Linotype" w:eastAsia="Palatino Linotype" w:hAnsi="Palatino Linotype" w:cs="Palatino Linotype"/>
          <w:i/>
        </w:rPr>
        <w:t>que</w:t>
      </w:r>
      <w:proofErr w:type="gramEnd"/>
      <w:r w:rsidRPr="005426E1">
        <w:rPr>
          <w:rFonts w:ascii="Palatino Linotype" w:eastAsia="Palatino Linotype" w:hAnsi="Palatino Linotype" w:cs="Palatino Linotype"/>
          <w:i/>
        </w:rPr>
        <w:t xml:space="preserve"> tratándose de actos dentro de un procedimiento, la </w:t>
      </w:r>
      <w:r w:rsidRPr="005426E1">
        <w:rPr>
          <w:rFonts w:ascii="Palatino Linotype" w:eastAsia="Palatino Linotype" w:hAnsi="Palatino Linotype" w:cs="Palatino Linotype"/>
          <w:b/>
          <w:i/>
        </w:rPr>
        <w:t>regla general, con algunas excepciones, es que el juicio constitucional sólo procede hasta la resolución definitiva,</w:t>
      </w:r>
      <w:r w:rsidRPr="005426E1">
        <w:rPr>
          <w:rFonts w:ascii="Palatino Linotype" w:eastAsia="Palatino Linotype" w:hAnsi="Palatino Linotype" w:cs="Palatino Linotype"/>
          <w:i/>
        </w:rPr>
        <w:t xml:space="preserve"> ocasión en la cual cabe alegar tanto violaciones de fondo como de procedimiento, sistema que tiene el propósito de armonizar la protección de las garantías constitucionales del gobernado, con la necesidad de asegurar la </w:t>
      </w:r>
      <w:proofErr w:type="spellStart"/>
      <w:r w:rsidRPr="005426E1">
        <w:rPr>
          <w:rFonts w:ascii="Palatino Linotype" w:eastAsia="Palatino Linotype" w:hAnsi="Palatino Linotype" w:cs="Palatino Linotype"/>
          <w:i/>
        </w:rPr>
        <w:t>expeditez</w:t>
      </w:r>
      <w:proofErr w:type="spellEnd"/>
      <w:r w:rsidRPr="005426E1">
        <w:rPr>
          <w:rFonts w:ascii="Palatino Linotype" w:eastAsia="Palatino Linotype" w:hAnsi="Palatino Linotype" w:cs="Palatino Linotype"/>
          <w:i/>
        </w:rPr>
        <w:t xml:space="preserve"> de las diligencias procedimentales. Tal es la estructura que dicha Ley adopta en el amparo directo, así como en los procedimientos de ejecución y en los procedimientos de remate, como lo establece en sus artículos </w:t>
      </w:r>
      <w:hyperlink r:id="rId10">
        <w:r w:rsidRPr="005426E1">
          <w:rPr>
            <w:rFonts w:ascii="Palatino Linotype" w:eastAsia="Palatino Linotype" w:hAnsi="Palatino Linotype" w:cs="Palatino Linotype"/>
            <w:i/>
            <w:u w:val="single"/>
          </w:rPr>
          <w:t>158</w:t>
        </w:r>
      </w:hyperlink>
      <w:r w:rsidRPr="005426E1">
        <w:rPr>
          <w:rFonts w:ascii="Palatino Linotype" w:eastAsia="Palatino Linotype" w:hAnsi="Palatino Linotype" w:cs="Palatino Linotype"/>
          <w:i/>
        </w:rPr>
        <w:t xml:space="preserve"> y </w:t>
      </w:r>
      <w:hyperlink r:id="rId11">
        <w:r w:rsidRPr="005426E1">
          <w:rPr>
            <w:rFonts w:ascii="Palatino Linotype" w:eastAsia="Palatino Linotype" w:hAnsi="Palatino Linotype" w:cs="Palatino Linotype"/>
            <w:i/>
            <w:u w:val="single"/>
          </w:rPr>
          <w:t>114, fracción III</w:t>
        </w:r>
      </w:hyperlink>
      <w:r w:rsidRPr="005426E1">
        <w:rPr>
          <w:rFonts w:ascii="Palatino Linotype" w:eastAsia="Palatino Linotype" w:hAnsi="Palatino Linotype" w:cs="Palatino Linotype"/>
          <w:i/>
        </w:rPr>
        <w:t xml:space="preserve">, respectivamente. Por tanto, </w:t>
      </w:r>
      <w:r w:rsidRPr="005426E1">
        <w:rPr>
          <w:rFonts w:ascii="Palatino Linotype" w:eastAsia="Palatino Linotype" w:hAnsi="Palatino Linotype" w:cs="Palatino Linotype"/>
          <w:b/>
          <w:i/>
        </w:rPr>
        <w:t xml:space="preserve">al establecer el segundo párrafo de la fracción II del artículo 114 acabado de citar, que cuando el acto reclamado de autoridades distintas de tribunales judiciales, administrativos o del trabajo, emanen de un procedimiento en forma de juicio, el amparo sólo procede en contra de la resolución definitiva, </w:t>
      </w:r>
      <w:r w:rsidRPr="005426E1">
        <w:rPr>
          <w:rFonts w:ascii="Palatino Linotype" w:eastAsia="Palatino Linotype" w:hAnsi="Palatino Linotype" w:cs="Palatino Linotype"/>
          <w:b/>
          <w:i/>
          <w:u w:val="single"/>
        </w:rPr>
        <w:t>debe interpretarse de manera amplia</w:t>
      </w:r>
      <w:r w:rsidRPr="005426E1">
        <w:rPr>
          <w:rFonts w:ascii="Palatino Linotype" w:eastAsia="Palatino Linotype" w:hAnsi="Palatino Linotype" w:cs="Palatino Linotype"/>
          <w:b/>
          <w:i/>
        </w:rPr>
        <w:t xml:space="preserve"> la expresión "procedimiento en forma de juicio", comprendiendo aquellos en que la autoridad dirime una controversia entre partes contendientes, así como todos los procedimientos en que la autoridad, frente al particular, prepara su resolución definitiva, aunque sólo sea un trámite para cumplir con la garantía de audiencia, pues si en todos ellos se reclaman actos dentro de procedimiento, en todos debe de aplicarse la misma regla, conclusión que es acorde con la interpretación literal de dicho párrafo.</w:t>
      </w:r>
      <w:r w:rsidRPr="005426E1">
        <w:rPr>
          <w:rFonts w:ascii="Palatino Linotype" w:eastAsia="Palatino Linotype" w:hAnsi="Palatino Linotype" w:cs="Palatino Linotype"/>
          <w:i/>
        </w:rPr>
        <w:t>”</w:t>
      </w:r>
    </w:p>
    <w:p w14:paraId="32DCAACA"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Por lo cual, se procede analizar cada uno de los requisitos señalados en los Lineamientos Generales, con la finalidad de verificar si se configura la hipótesis de reserva en estudio:</w:t>
      </w:r>
    </w:p>
    <w:p w14:paraId="5690C905" w14:textId="77777777" w:rsidR="008B17FE" w:rsidRPr="005426E1" w:rsidRDefault="008B17FE">
      <w:pPr>
        <w:spacing w:line="360" w:lineRule="auto"/>
        <w:jc w:val="both"/>
        <w:rPr>
          <w:rFonts w:ascii="Palatino Linotype" w:eastAsia="Palatino Linotype" w:hAnsi="Palatino Linotype" w:cs="Palatino Linotype"/>
          <w:b/>
        </w:rPr>
      </w:pPr>
    </w:p>
    <w:p w14:paraId="0B7CA328" w14:textId="77777777" w:rsidR="008B17FE" w:rsidRPr="005426E1" w:rsidRDefault="006F5C2E">
      <w:pPr>
        <w:numPr>
          <w:ilvl w:val="0"/>
          <w:numId w:val="14"/>
        </w:numPr>
        <w:spacing w:line="360" w:lineRule="auto"/>
        <w:ind w:left="426"/>
        <w:jc w:val="both"/>
        <w:rPr>
          <w:rFonts w:ascii="Palatino Linotype" w:eastAsia="Palatino Linotype" w:hAnsi="Palatino Linotype" w:cs="Palatino Linotype"/>
          <w:b/>
        </w:rPr>
      </w:pPr>
      <w:r w:rsidRPr="005426E1">
        <w:rPr>
          <w:rFonts w:ascii="Palatino Linotype" w:eastAsia="Palatino Linotype" w:hAnsi="Palatino Linotype" w:cs="Palatino Linotype"/>
          <w:b/>
        </w:rPr>
        <w:lastRenderedPageBreak/>
        <w:t xml:space="preserve">La existencia </w:t>
      </w:r>
      <w:r w:rsidRPr="005426E1">
        <w:rPr>
          <w:rFonts w:ascii="Palatino Linotype" w:eastAsia="Palatino Linotype" w:hAnsi="Palatino Linotype" w:cs="Palatino Linotype"/>
        </w:rPr>
        <w:t>de un juicio o</w:t>
      </w:r>
      <w:r w:rsidRPr="005426E1">
        <w:rPr>
          <w:rFonts w:ascii="Palatino Linotype" w:eastAsia="Palatino Linotype" w:hAnsi="Palatino Linotype" w:cs="Palatino Linotype"/>
          <w:b/>
        </w:rPr>
        <w:t xml:space="preserve"> procedimiento administrativo materialmente jurisdiccional, que se encuentre en trámite</w:t>
      </w:r>
    </w:p>
    <w:p w14:paraId="478BDCF2" w14:textId="77777777" w:rsidR="008B17FE" w:rsidRPr="005426E1" w:rsidRDefault="008B17FE">
      <w:pPr>
        <w:spacing w:line="360" w:lineRule="auto"/>
        <w:jc w:val="both"/>
        <w:rPr>
          <w:rFonts w:ascii="Palatino Linotype" w:eastAsia="Palatino Linotype" w:hAnsi="Palatino Linotype" w:cs="Palatino Linotype"/>
        </w:rPr>
      </w:pPr>
    </w:p>
    <w:p w14:paraId="5BA7F838"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Este elemento formal, se tendría por acreditado al momento de señalar que, al momento de recibirse la solicitud de acceso a la información los procedimientos o algunos de ellos, se encontraran en trámite, sin que cuenten con una resolución definitiva, en este caso una recomendación por parte de la Comisión de Derechos Humanos del Estado de México. </w:t>
      </w:r>
    </w:p>
    <w:p w14:paraId="55EA610C" w14:textId="77777777" w:rsidR="008B17FE" w:rsidRPr="005426E1" w:rsidRDefault="008B17FE">
      <w:pPr>
        <w:spacing w:line="360" w:lineRule="auto"/>
        <w:jc w:val="both"/>
        <w:rPr>
          <w:rFonts w:ascii="Palatino Linotype" w:eastAsia="Palatino Linotype" w:hAnsi="Palatino Linotype" w:cs="Palatino Linotype"/>
        </w:rPr>
      </w:pPr>
    </w:p>
    <w:p w14:paraId="1B99E7FF" w14:textId="77777777" w:rsidR="008B17FE" w:rsidRPr="005426E1" w:rsidRDefault="006F5C2E">
      <w:pPr>
        <w:numPr>
          <w:ilvl w:val="0"/>
          <w:numId w:val="14"/>
        </w:numPr>
        <w:spacing w:line="360" w:lineRule="auto"/>
        <w:jc w:val="both"/>
        <w:rPr>
          <w:rFonts w:ascii="Palatino Linotype" w:eastAsia="Palatino Linotype" w:hAnsi="Palatino Linotype" w:cs="Palatino Linotype"/>
          <w:b/>
        </w:rPr>
      </w:pPr>
      <w:r w:rsidRPr="005426E1">
        <w:rPr>
          <w:rFonts w:ascii="Palatino Linotype" w:eastAsia="Palatino Linotype" w:hAnsi="Palatino Linotype" w:cs="Palatino Linotype"/>
          <w:b/>
        </w:rPr>
        <w:t>Que la información solicitada se refiera a actuaciones, diligencias o constancias propias del procedimiento, y</w:t>
      </w:r>
    </w:p>
    <w:p w14:paraId="7A65E4EB" w14:textId="77777777" w:rsidR="008B17FE" w:rsidRPr="005426E1" w:rsidRDefault="008B17FE">
      <w:pPr>
        <w:rPr>
          <w:rFonts w:ascii="Palatino Linotype" w:eastAsia="Palatino Linotype" w:hAnsi="Palatino Linotype" w:cs="Palatino Linotype"/>
        </w:rPr>
      </w:pPr>
    </w:p>
    <w:p w14:paraId="320C0FEC"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Dicho elemento, se acredita pues al ser parte elemental del expediente, es claro que forma parte de las actuaciones propias del procedimiento, las cuales contienen </w:t>
      </w:r>
      <w:r w:rsidRPr="005426E1">
        <w:rPr>
          <w:rFonts w:ascii="Palatino Linotype" w:eastAsia="Palatino Linotype" w:hAnsi="Palatino Linotype" w:cs="Palatino Linotype"/>
          <w:b/>
        </w:rPr>
        <w:t>los hechos y motivos por el cual se inició el procedimiento administrativo respectivo, siendo la queja o denuncia el elemento base cobre el cual se inicia el procedimiento.</w:t>
      </w:r>
    </w:p>
    <w:p w14:paraId="13CB90A7" w14:textId="77777777" w:rsidR="008B17FE" w:rsidRPr="005426E1" w:rsidRDefault="008B17FE">
      <w:pPr>
        <w:spacing w:line="360" w:lineRule="auto"/>
        <w:jc w:val="both"/>
        <w:rPr>
          <w:rFonts w:ascii="Palatino Linotype" w:eastAsia="Palatino Linotype" w:hAnsi="Palatino Linotype" w:cs="Palatino Linotype"/>
        </w:rPr>
      </w:pPr>
    </w:p>
    <w:p w14:paraId="037907D3"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Así, las quejas y anexos se encuentran en los legajos de los expedientes y forman parte elemental al momento de emitir una resolución y se integran de actuaciones y constancias propias del procedimiento.</w:t>
      </w:r>
    </w:p>
    <w:p w14:paraId="552DE31F" w14:textId="77777777" w:rsidR="008B17FE" w:rsidRPr="005426E1" w:rsidRDefault="008B17FE">
      <w:pPr>
        <w:ind w:left="720"/>
        <w:rPr>
          <w:rFonts w:ascii="Palatino Linotype" w:eastAsia="Palatino Linotype" w:hAnsi="Palatino Linotype" w:cs="Palatino Linotype"/>
        </w:rPr>
      </w:pPr>
    </w:p>
    <w:p w14:paraId="5C6F0250" w14:textId="77777777" w:rsidR="008B17FE" w:rsidRPr="005426E1" w:rsidRDefault="006F5C2E">
      <w:pPr>
        <w:numPr>
          <w:ilvl w:val="0"/>
          <w:numId w:val="14"/>
        </w:numPr>
        <w:spacing w:line="360" w:lineRule="auto"/>
        <w:ind w:left="567"/>
        <w:jc w:val="both"/>
        <w:rPr>
          <w:rFonts w:ascii="Palatino Linotype" w:eastAsia="Palatino Linotype" w:hAnsi="Palatino Linotype" w:cs="Palatino Linotype"/>
          <w:b/>
        </w:rPr>
      </w:pPr>
      <w:r w:rsidRPr="005426E1">
        <w:rPr>
          <w:rFonts w:ascii="Palatino Linotype" w:eastAsia="Palatino Linotype" w:hAnsi="Palatino Linotype" w:cs="Palatino Linotype"/>
          <w:b/>
        </w:rPr>
        <w:t>Que su difusión afecte o interrumpa la libertad de decisión de las autoridades dentro del juicio o procedimiento administrativo seguido en forma de juicio.</w:t>
      </w:r>
    </w:p>
    <w:p w14:paraId="29B8A00A" w14:textId="77777777" w:rsidR="008B17FE" w:rsidRPr="005426E1" w:rsidRDefault="008B17FE">
      <w:pPr>
        <w:spacing w:line="360" w:lineRule="auto"/>
        <w:jc w:val="both"/>
        <w:rPr>
          <w:rFonts w:ascii="Palatino Linotype" w:eastAsia="Palatino Linotype" w:hAnsi="Palatino Linotype" w:cs="Palatino Linotype"/>
          <w:b/>
        </w:rPr>
      </w:pPr>
    </w:p>
    <w:p w14:paraId="2AE06578"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Como se señaló en el punto anterior, las quejas forman parte elemental de los expedientes respectivos y contienen los hechos de manera detallada por las cuales se inició el procedimiento administrativo, el cual su divulgación podría afectar la decisión de las autoridades, por lo que, en su caso, se acreditaría el requisito referido.</w:t>
      </w:r>
    </w:p>
    <w:p w14:paraId="7DA16B28" w14:textId="77777777" w:rsidR="008B17FE" w:rsidRPr="005426E1" w:rsidRDefault="008B17FE">
      <w:pPr>
        <w:spacing w:line="360" w:lineRule="auto"/>
        <w:jc w:val="both"/>
        <w:rPr>
          <w:rFonts w:ascii="Palatino Linotype" w:eastAsia="Palatino Linotype" w:hAnsi="Palatino Linotype" w:cs="Palatino Linotype"/>
        </w:rPr>
      </w:pPr>
    </w:p>
    <w:p w14:paraId="3498D112"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Así, en el caso, de que se encuentre en trámite el procedimiento administrativo, el </w:t>
      </w:r>
      <w:r w:rsidRPr="005426E1">
        <w:rPr>
          <w:rFonts w:ascii="Palatino Linotype" w:eastAsia="Palatino Linotype" w:hAnsi="Palatino Linotype" w:cs="Palatino Linotype"/>
          <w:b/>
        </w:rPr>
        <w:t>Sujeto Obligado</w:t>
      </w:r>
      <w:r w:rsidRPr="005426E1">
        <w:rPr>
          <w:rFonts w:ascii="Palatino Linotype" w:eastAsia="Palatino Linotype" w:hAnsi="Palatino Linotype" w:cs="Palatino Linotype"/>
        </w:rPr>
        <w:t xml:space="preserve"> deberá desarrollar una </w:t>
      </w:r>
      <w:r w:rsidRPr="005426E1">
        <w:rPr>
          <w:rFonts w:ascii="Palatino Linotype" w:eastAsia="Palatino Linotype" w:hAnsi="Palatino Linotype" w:cs="Palatino Linotype"/>
          <w:b/>
        </w:rPr>
        <w:t>prueba de daño</w:t>
      </w:r>
      <w:r w:rsidRPr="005426E1">
        <w:rPr>
          <w:rFonts w:ascii="Palatino Linotype" w:eastAsia="Palatino Linotype" w:hAnsi="Palatino Linotype" w:cs="Palatino Linotype"/>
        </w:rPr>
        <w:t xml:space="preserve"> específica, acreditando las circunstancias analizadas por este Instituto, para lo cual, deberá tomar en cuenta lo establecido en el artículo 141, de la Ley de Transparencia y Acceso a la Información Pública del Estado de México y Municipios, que establece que las causales de reserva se deberán fundar y motivar, a través de la aplicación de la prueba de daño establecida en el artículo 129 de dicho ordenamiento, que se debe justificar de la siguiente manera:</w:t>
      </w:r>
    </w:p>
    <w:p w14:paraId="65997CF9" w14:textId="77777777" w:rsidR="008B17FE" w:rsidRPr="005426E1" w:rsidRDefault="008B17FE">
      <w:pPr>
        <w:tabs>
          <w:tab w:val="left" w:pos="4962"/>
        </w:tabs>
        <w:spacing w:line="360" w:lineRule="auto"/>
        <w:jc w:val="both"/>
        <w:rPr>
          <w:rFonts w:ascii="Palatino Linotype" w:eastAsia="Palatino Linotype" w:hAnsi="Palatino Linotype" w:cs="Palatino Linotype"/>
        </w:rPr>
      </w:pPr>
    </w:p>
    <w:p w14:paraId="4C5C49B4" w14:textId="77777777" w:rsidR="008B17FE" w:rsidRPr="005426E1" w:rsidRDefault="006F5C2E">
      <w:pPr>
        <w:numPr>
          <w:ilvl w:val="0"/>
          <w:numId w:val="12"/>
        </w:numPr>
        <w:tabs>
          <w:tab w:val="left" w:pos="4962"/>
        </w:tabs>
        <w:spacing w:line="360" w:lineRule="auto"/>
        <w:ind w:left="851" w:hanging="437"/>
        <w:jc w:val="both"/>
        <w:rPr>
          <w:rFonts w:ascii="Palatino Linotype" w:eastAsia="Palatino Linotype" w:hAnsi="Palatino Linotype" w:cs="Palatino Linotype"/>
        </w:rPr>
      </w:pPr>
      <w:r w:rsidRPr="005426E1">
        <w:rPr>
          <w:rFonts w:ascii="Palatino Linotype" w:eastAsia="Palatino Linotype" w:hAnsi="Palatino Linotype" w:cs="Palatino Linotype"/>
        </w:rPr>
        <w:t>La divulgación de la información representa un riesgo real, demostrable e identificable de perjuicio significativo al interés público o a la seguridad nacional.</w:t>
      </w:r>
    </w:p>
    <w:p w14:paraId="0B8451CA" w14:textId="77777777" w:rsidR="008B17FE" w:rsidRPr="005426E1" w:rsidRDefault="006F5C2E">
      <w:pPr>
        <w:numPr>
          <w:ilvl w:val="0"/>
          <w:numId w:val="12"/>
        </w:numPr>
        <w:tabs>
          <w:tab w:val="left" w:pos="4962"/>
        </w:tabs>
        <w:spacing w:line="360" w:lineRule="auto"/>
        <w:ind w:left="851" w:hanging="437"/>
        <w:jc w:val="both"/>
        <w:rPr>
          <w:rFonts w:ascii="Palatino Linotype" w:eastAsia="Palatino Linotype" w:hAnsi="Palatino Linotype" w:cs="Palatino Linotype"/>
        </w:rPr>
      </w:pPr>
      <w:r w:rsidRPr="005426E1">
        <w:rPr>
          <w:rFonts w:ascii="Palatino Linotype" w:eastAsia="Palatino Linotype" w:hAnsi="Palatino Linotype" w:cs="Palatino Linotype"/>
        </w:rPr>
        <w:t>El riesgo de perjuicio supera el interés público general de que se difunda.</w:t>
      </w:r>
    </w:p>
    <w:p w14:paraId="6E426C3A" w14:textId="77777777" w:rsidR="008B17FE" w:rsidRPr="005426E1" w:rsidRDefault="006F5C2E">
      <w:pPr>
        <w:numPr>
          <w:ilvl w:val="0"/>
          <w:numId w:val="12"/>
        </w:numPr>
        <w:tabs>
          <w:tab w:val="left" w:pos="4962"/>
        </w:tabs>
        <w:spacing w:line="360" w:lineRule="auto"/>
        <w:ind w:left="851" w:hanging="437"/>
        <w:jc w:val="both"/>
        <w:rPr>
          <w:rFonts w:ascii="Palatino Linotype" w:eastAsia="Palatino Linotype" w:hAnsi="Palatino Linotype" w:cs="Palatino Linotype"/>
        </w:rPr>
      </w:pPr>
      <w:r w:rsidRPr="005426E1">
        <w:rPr>
          <w:rFonts w:ascii="Palatino Linotype" w:eastAsia="Palatino Linotype" w:hAnsi="Palatino Linotype" w:cs="Palatino Linotype"/>
        </w:rPr>
        <w:t>Que la limitación se adecua al principio de proporcionalidad y representa el medio menos restrictivo disponible para evitar el perjuicio.</w:t>
      </w:r>
    </w:p>
    <w:p w14:paraId="053ECF9B" w14:textId="77777777" w:rsidR="008B17FE" w:rsidRPr="005426E1" w:rsidRDefault="008B17FE">
      <w:pPr>
        <w:spacing w:line="360" w:lineRule="auto"/>
        <w:jc w:val="both"/>
        <w:rPr>
          <w:rFonts w:ascii="Palatino Linotype" w:eastAsia="Palatino Linotype" w:hAnsi="Palatino Linotype" w:cs="Palatino Linotype"/>
        </w:rPr>
      </w:pPr>
    </w:p>
    <w:p w14:paraId="55AF1B63"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Asimismo, respecto al plazo de reserva, el artículo 125, de la Ley de la materia, establece que la información clasificada como reservada según el artículo 140, de la </w:t>
      </w:r>
      <w:r w:rsidRPr="005426E1">
        <w:rPr>
          <w:rFonts w:ascii="Palatino Linotype" w:eastAsia="Palatino Linotype" w:hAnsi="Palatino Linotype" w:cs="Palatino Linotype"/>
        </w:rPr>
        <w:lastRenderedPageBreak/>
        <w:t xml:space="preserve">Ley Federal de Transparencia y Acceso a la Información Pública, podrá permanecer con tal carácter hasta por un periodo de cinco años. </w:t>
      </w:r>
    </w:p>
    <w:p w14:paraId="39BA9A01" w14:textId="77777777" w:rsidR="008B17FE" w:rsidRPr="005426E1" w:rsidRDefault="008B17FE">
      <w:pPr>
        <w:spacing w:line="360" w:lineRule="auto"/>
        <w:jc w:val="both"/>
        <w:rPr>
          <w:rFonts w:ascii="Palatino Linotype" w:eastAsia="Palatino Linotype" w:hAnsi="Palatino Linotype" w:cs="Palatino Linotype"/>
        </w:rPr>
      </w:pPr>
    </w:p>
    <w:p w14:paraId="46B2E790"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Por otra parte, señala que los documentos reservados serán desclasificados cuando se extingan las causas que dieron origen a su clasificación, expire el plazo establecido, exista resolución de una autoridad competente que determine que existe una causa de interés público que prevalece sobre la reserva de la información, o bien el Comité de Transparencia considere pertinente la desclasificación o se trate de información que esté relacionada con violaciones graves a derechos humanos o delitos de lesa humanidad. </w:t>
      </w:r>
    </w:p>
    <w:p w14:paraId="586A58ED" w14:textId="77777777" w:rsidR="008B17FE" w:rsidRPr="005426E1" w:rsidRDefault="008B17FE">
      <w:pPr>
        <w:spacing w:line="360" w:lineRule="auto"/>
        <w:jc w:val="both"/>
        <w:rPr>
          <w:rFonts w:ascii="Palatino Linotype" w:eastAsia="Palatino Linotype" w:hAnsi="Palatino Linotype" w:cs="Palatino Linotype"/>
        </w:rPr>
      </w:pPr>
    </w:p>
    <w:p w14:paraId="02E25F3B"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Conforme a lo anterior, para el caso que el expediente se encuentre en trámite, el </w:t>
      </w:r>
      <w:r w:rsidRPr="005426E1">
        <w:rPr>
          <w:rFonts w:ascii="Palatino Linotype" w:eastAsia="Palatino Linotype" w:hAnsi="Palatino Linotype" w:cs="Palatino Linotype"/>
          <w:b/>
        </w:rPr>
        <w:t>Sujeto Obligado</w:t>
      </w:r>
      <w:r w:rsidRPr="005426E1">
        <w:rPr>
          <w:rFonts w:ascii="Palatino Linotype" w:eastAsia="Palatino Linotype" w:hAnsi="Palatino Linotype" w:cs="Palatino Linotype"/>
        </w:rPr>
        <w:t>, a través de su Comité de Transparencia, deberá emitir el Acuerdo mediante el cual se confirme la clasificación de manera fundada y motivada, mediante la realización de la prueba de daño establecida en los Lineamientos Generales y la Ley de Transparencia y Acceso a la Información Pública del Estado de México y Municipios.</w:t>
      </w:r>
    </w:p>
    <w:p w14:paraId="416C19D3" w14:textId="77777777" w:rsidR="008B17FE" w:rsidRPr="005426E1" w:rsidRDefault="008B17FE">
      <w:pPr>
        <w:spacing w:line="360" w:lineRule="auto"/>
        <w:jc w:val="both"/>
        <w:rPr>
          <w:rFonts w:ascii="Palatino Linotype" w:eastAsia="Palatino Linotype" w:hAnsi="Palatino Linotype" w:cs="Palatino Linotype"/>
        </w:rPr>
      </w:pPr>
    </w:p>
    <w:p w14:paraId="6B2780C1" w14:textId="77777777" w:rsidR="008B17FE" w:rsidRPr="005426E1" w:rsidRDefault="006F5C2E">
      <w:pPr>
        <w:tabs>
          <w:tab w:val="left" w:pos="709"/>
        </w:tabs>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Por otro lado, no se omite señalar, que de conformidad al artículo 115 de la Ley General de Transparencia y Acceso a la Información Pública, 142 de la Ley de Transparencia y Acceso a la Información Pública del Estado de México y Municipios, y el Trigésimo Séptimo de los Lineamientos Generales, establecen que no podrá invocarse con el carácter de reservada, aquella información que se encuentre relacionada con posibles </w:t>
      </w:r>
      <w:r w:rsidRPr="005426E1">
        <w:rPr>
          <w:rFonts w:ascii="Palatino Linotype" w:eastAsia="Palatino Linotype" w:hAnsi="Palatino Linotype" w:cs="Palatino Linotype"/>
        </w:rPr>
        <w:lastRenderedPageBreak/>
        <w:t>violaciones a derechos humanos o actos de corrupción, preceptos legales que establecen lo siguiente:</w:t>
      </w:r>
    </w:p>
    <w:p w14:paraId="6583596F" w14:textId="77777777" w:rsidR="008B17FE" w:rsidRPr="005426E1" w:rsidRDefault="008B17FE">
      <w:pPr>
        <w:tabs>
          <w:tab w:val="left" w:pos="709"/>
        </w:tabs>
        <w:spacing w:line="360" w:lineRule="auto"/>
        <w:jc w:val="both"/>
        <w:rPr>
          <w:rFonts w:ascii="Palatino Linotype" w:eastAsia="Palatino Linotype" w:hAnsi="Palatino Linotype" w:cs="Palatino Linotype"/>
        </w:rPr>
      </w:pPr>
    </w:p>
    <w:p w14:paraId="7B0AD1C2" w14:textId="77777777" w:rsidR="008B17FE" w:rsidRPr="005426E1" w:rsidRDefault="006F5C2E">
      <w:pPr>
        <w:tabs>
          <w:tab w:val="left" w:pos="709"/>
        </w:tabs>
        <w:jc w:val="center"/>
        <w:rPr>
          <w:rFonts w:ascii="Palatino Linotype" w:eastAsia="Palatino Linotype" w:hAnsi="Palatino Linotype" w:cs="Palatino Linotype"/>
          <w:b/>
          <w:i/>
        </w:rPr>
      </w:pPr>
      <w:r w:rsidRPr="005426E1">
        <w:rPr>
          <w:rFonts w:ascii="Palatino Linotype" w:eastAsia="Palatino Linotype" w:hAnsi="Palatino Linotype" w:cs="Palatino Linotype"/>
          <w:b/>
          <w:i/>
        </w:rPr>
        <w:t>Ley General de Transparencia y Acceso a la Información Pública</w:t>
      </w:r>
    </w:p>
    <w:p w14:paraId="691E08E5" w14:textId="77777777" w:rsidR="008B17FE" w:rsidRPr="005426E1" w:rsidRDefault="008B17FE">
      <w:pPr>
        <w:tabs>
          <w:tab w:val="left" w:pos="709"/>
        </w:tabs>
        <w:ind w:left="567" w:right="567"/>
        <w:jc w:val="both"/>
        <w:rPr>
          <w:rFonts w:ascii="Palatino Linotype" w:eastAsia="Palatino Linotype" w:hAnsi="Palatino Linotype" w:cs="Palatino Linotype"/>
          <w:b/>
          <w:i/>
        </w:rPr>
      </w:pPr>
    </w:p>
    <w:p w14:paraId="40481820"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Artículo 115.</w:t>
      </w:r>
      <w:r w:rsidRPr="005426E1">
        <w:rPr>
          <w:rFonts w:ascii="Palatino Linotype" w:eastAsia="Palatino Linotype" w:hAnsi="Palatino Linotype" w:cs="Palatino Linotype"/>
          <w:i/>
        </w:rPr>
        <w:t xml:space="preserve"> No podrá invocarse el carácter de reservado cuando:</w:t>
      </w:r>
    </w:p>
    <w:p w14:paraId="28D262C9"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I. Se trate de violaciones graves de derechos humanos o delitos de lesa humanidad, o</w:t>
      </w:r>
    </w:p>
    <w:p w14:paraId="2A2486B9"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II. Se trate de información relacionada con actos de corrupción de acuerdo con las leyes aplicables.</w:t>
      </w:r>
    </w:p>
    <w:p w14:paraId="5651288B" w14:textId="77777777" w:rsidR="008B17FE" w:rsidRPr="005426E1" w:rsidRDefault="008B17FE">
      <w:pPr>
        <w:tabs>
          <w:tab w:val="left" w:pos="709"/>
        </w:tabs>
        <w:ind w:left="567" w:right="567"/>
        <w:jc w:val="both"/>
        <w:rPr>
          <w:rFonts w:ascii="Palatino Linotype" w:eastAsia="Palatino Linotype" w:hAnsi="Palatino Linotype" w:cs="Palatino Linotype"/>
          <w:i/>
        </w:rPr>
      </w:pPr>
    </w:p>
    <w:p w14:paraId="028D4553" w14:textId="77777777" w:rsidR="008B17FE" w:rsidRPr="005426E1" w:rsidRDefault="006F5C2E">
      <w:pPr>
        <w:tabs>
          <w:tab w:val="left" w:pos="709"/>
        </w:tabs>
        <w:ind w:left="567" w:right="567"/>
        <w:jc w:val="center"/>
        <w:rPr>
          <w:rFonts w:ascii="Palatino Linotype" w:eastAsia="Palatino Linotype" w:hAnsi="Palatino Linotype" w:cs="Palatino Linotype"/>
          <w:b/>
          <w:i/>
        </w:rPr>
      </w:pPr>
      <w:r w:rsidRPr="005426E1">
        <w:rPr>
          <w:rFonts w:ascii="Palatino Linotype" w:eastAsia="Palatino Linotype" w:hAnsi="Palatino Linotype" w:cs="Palatino Linotype"/>
          <w:b/>
          <w:i/>
        </w:rPr>
        <w:t>Ley de Transparencia y Acceso a la Información Pública del Estado de México y Municipios</w:t>
      </w:r>
    </w:p>
    <w:p w14:paraId="00A9390E" w14:textId="77777777" w:rsidR="008B17FE" w:rsidRPr="005426E1" w:rsidRDefault="008B17FE">
      <w:pPr>
        <w:tabs>
          <w:tab w:val="left" w:pos="709"/>
        </w:tabs>
        <w:ind w:left="567" w:right="567"/>
        <w:jc w:val="center"/>
        <w:rPr>
          <w:rFonts w:ascii="Palatino Linotype" w:eastAsia="Palatino Linotype" w:hAnsi="Palatino Linotype" w:cs="Palatino Linotype"/>
          <w:i/>
        </w:rPr>
      </w:pPr>
    </w:p>
    <w:p w14:paraId="76FE6E87"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Artículo 142.</w:t>
      </w:r>
      <w:r w:rsidRPr="005426E1">
        <w:rPr>
          <w:rFonts w:ascii="Palatino Linotype" w:eastAsia="Palatino Linotype" w:hAnsi="Palatino Linotype" w:cs="Palatino Linotype"/>
          <w:i/>
        </w:rPr>
        <w:t xml:space="preserve"> Bajo ninguna circunstancia podrá invocarse el carácter de reservado cuando:</w:t>
      </w:r>
    </w:p>
    <w:p w14:paraId="19E33AD5"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I. Se trate de violaciones graves de derechos humanos, calificada así por autoridad competente;</w:t>
      </w:r>
    </w:p>
    <w:p w14:paraId="3D54C589"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II.</w:t>
      </w:r>
      <w:r w:rsidRPr="005426E1">
        <w:rPr>
          <w:rFonts w:ascii="Palatino Linotype" w:eastAsia="Palatino Linotype" w:hAnsi="Palatino Linotype" w:cs="Palatino Linotype"/>
          <w:i/>
        </w:rPr>
        <w:t xml:space="preserve"> Se trate de la investigación de posibles violaciones graves de derechos humanos aun cuando no exista pronunciamiento previo de autoridad competente, cuando se determine, a partir de criterios cuantitativos y cualitativos la trascendencia social de las violaciones;</w:t>
      </w:r>
    </w:p>
    <w:p w14:paraId="782AEF89"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III.</w:t>
      </w:r>
      <w:r w:rsidRPr="005426E1">
        <w:rPr>
          <w:rFonts w:ascii="Palatino Linotype" w:eastAsia="Palatino Linotype" w:hAnsi="Palatino Linotype" w:cs="Palatino Linotype"/>
          <w:i/>
        </w:rPr>
        <w:t xml:space="preserve"> Se trate de delitos de lesa humanidad conforme a los tratados ratificados por el Senado de la República, las resoluciones emitidas por organismos internacionales cuya competencia sea reconocida por el Estado Mexicano, así como en las disposiciones jurídicas aplicables; y</w:t>
      </w:r>
    </w:p>
    <w:p w14:paraId="223441A6"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b/>
          <w:i/>
        </w:rPr>
        <w:t>IV.</w:t>
      </w:r>
      <w:r w:rsidRPr="005426E1">
        <w:rPr>
          <w:rFonts w:ascii="Palatino Linotype" w:eastAsia="Palatino Linotype" w:hAnsi="Palatino Linotype" w:cs="Palatino Linotype"/>
          <w:i/>
        </w:rPr>
        <w:t xml:space="preserve"> Se trate de información relacionada con actos de corrupción de conformidad con las disposiciones jurídicas aplicables.</w:t>
      </w:r>
    </w:p>
    <w:p w14:paraId="49C73FEA" w14:textId="77777777" w:rsidR="008B17FE" w:rsidRPr="005426E1" w:rsidRDefault="008B17FE">
      <w:pPr>
        <w:tabs>
          <w:tab w:val="left" w:pos="709"/>
        </w:tabs>
        <w:ind w:left="567" w:right="567"/>
        <w:jc w:val="both"/>
        <w:rPr>
          <w:rFonts w:ascii="Palatino Linotype" w:eastAsia="Palatino Linotype" w:hAnsi="Palatino Linotype" w:cs="Palatino Linotype"/>
          <w:b/>
          <w:i/>
        </w:rPr>
      </w:pPr>
    </w:p>
    <w:p w14:paraId="7BEBE033" w14:textId="77777777" w:rsidR="008B17FE" w:rsidRPr="005426E1" w:rsidRDefault="006F5C2E">
      <w:pPr>
        <w:tabs>
          <w:tab w:val="left" w:pos="709"/>
        </w:tabs>
        <w:ind w:left="567" w:right="567"/>
        <w:jc w:val="center"/>
        <w:rPr>
          <w:rFonts w:ascii="Palatino Linotype" w:eastAsia="Palatino Linotype" w:hAnsi="Palatino Linotype" w:cs="Palatino Linotype"/>
          <w:b/>
          <w:i/>
        </w:rPr>
      </w:pPr>
      <w:r w:rsidRPr="005426E1">
        <w:rPr>
          <w:rFonts w:ascii="Palatino Linotype" w:eastAsia="Palatino Linotype" w:hAnsi="Palatino Linotype" w:cs="Palatino Linotype"/>
          <w:b/>
          <w:i/>
        </w:rPr>
        <w:t>LINEAMIENTOS GENERALES EN MATERIA DE CLASIFICACIÓN Y DESCLASIFICACIÓN DE LA INFORMACIÓN, ASÍ COMO PARA LA ELABORACIÓN DE VERSIONES PÚBLICAS.</w:t>
      </w:r>
    </w:p>
    <w:p w14:paraId="23050FD2" w14:textId="77777777" w:rsidR="008B17FE" w:rsidRPr="005426E1" w:rsidRDefault="008B17FE">
      <w:pPr>
        <w:tabs>
          <w:tab w:val="left" w:pos="709"/>
        </w:tabs>
        <w:ind w:left="567" w:right="567"/>
        <w:jc w:val="both"/>
        <w:rPr>
          <w:rFonts w:ascii="Palatino Linotype" w:eastAsia="Palatino Linotype" w:hAnsi="Palatino Linotype" w:cs="Palatino Linotype"/>
          <w:i/>
        </w:rPr>
      </w:pPr>
    </w:p>
    <w:p w14:paraId="143CB88B"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Trigésimo séptimo. No podrá invocarse el carácter de reservado de la información cuando:</w:t>
      </w:r>
    </w:p>
    <w:p w14:paraId="78806A62" w14:textId="77777777" w:rsidR="008B17FE" w:rsidRPr="005426E1" w:rsidRDefault="006F5C2E">
      <w:pPr>
        <w:tabs>
          <w:tab w:val="left" w:pos="709"/>
        </w:tabs>
        <w:ind w:left="567" w:right="567"/>
        <w:jc w:val="both"/>
        <w:rPr>
          <w:rFonts w:ascii="Palatino Linotype" w:eastAsia="Palatino Linotype" w:hAnsi="Palatino Linotype" w:cs="Palatino Linotype"/>
          <w:b/>
          <w:i/>
        </w:rPr>
      </w:pPr>
      <w:r w:rsidRPr="005426E1">
        <w:rPr>
          <w:rFonts w:ascii="Palatino Linotype" w:eastAsia="Palatino Linotype" w:hAnsi="Palatino Linotype" w:cs="Palatino Linotype"/>
          <w:b/>
          <w:i/>
        </w:rPr>
        <w:t>I.        Se trate de violaciones graves de derechos humanos;</w:t>
      </w:r>
    </w:p>
    <w:p w14:paraId="717E3326"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II.       Se trate de delitos de lesa humanidad conforme a los tratados internacionales ratificados por el Estado mexicano, las resoluciones emitidas por organismos internacionales cuya competencia sea reconocida por el Estado mexicano, así como en las disposiciones legales aplicables;</w:t>
      </w:r>
    </w:p>
    <w:p w14:paraId="117D3B42"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 xml:space="preserve"> III.      Se trate de información relacionada con actos de corrupción. Lo anterior, en función del uso o aprovechamiento indebido y excesivo de las facultades, funciones y competencias, en beneficio propio o de un tercero, por parte de un servidor público o de otra persona que reciba y ejerza recursos públicos o realice actos de autoridad en el ámbito federal, estatal y municipal, y de acuerdo con las leyes aplicables y los tratados internacionales ratificados por el Estado mexicano; o</w:t>
      </w:r>
    </w:p>
    <w:p w14:paraId="0C570F99" w14:textId="77777777" w:rsidR="008B17FE" w:rsidRPr="005426E1" w:rsidRDefault="006F5C2E">
      <w:pPr>
        <w:tabs>
          <w:tab w:val="left" w:pos="709"/>
        </w:tabs>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IV.      Cuando se trate de información relativa a la asignación y ejercicio de los gastos de campañas, precampañas y gastos en general de partidos políticos con cuenta al presupuesto público, ni las aportaciones de cualquier tipo o especie que realicen los particulares sin importar el destino de los recursos aportados; lo anterior de conformidad con lo establecido en la Ley General de Partidos Políticos.</w:t>
      </w:r>
    </w:p>
    <w:p w14:paraId="02FE120A" w14:textId="77777777" w:rsidR="008B17FE" w:rsidRPr="005426E1" w:rsidRDefault="008B17FE">
      <w:pPr>
        <w:tabs>
          <w:tab w:val="left" w:pos="709"/>
        </w:tabs>
        <w:spacing w:line="360" w:lineRule="auto"/>
        <w:jc w:val="both"/>
        <w:rPr>
          <w:rFonts w:ascii="Palatino Linotype" w:eastAsia="Palatino Linotype" w:hAnsi="Palatino Linotype" w:cs="Palatino Linotype"/>
        </w:rPr>
      </w:pPr>
    </w:p>
    <w:p w14:paraId="6806B89C" w14:textId="77777777" w:rsidR="008B17FE" w:rsidRPr="005426E1" w:rsidRDefault="006F5C2E">
      <w:pPr>
        <w:tabs>
          <w:tab w:val="left" w:pos="709"/>
        </w:tabs>
        <w:spacing w:line="360" w:lineRule="auto"/>
        <w:jc w:val="both"/>
        <w:rPr>
          <w:rFonts w:ascii="Palatino Linotype" w:eastAsia="Palatino Linotype" w:hAnsi="Palatino Linotype" w:cs="Palatino Linotype"/>
          <w:b/>
        </w:rPr>
      </w:pPr>
      <w:r w:rsidRPr="005426E1">
        <w:rPr>
          <w:rFonts w:ascii="Palatino Linotype" w:eastAsia="Palatino Linotype" w:hAnsi="Palatino Linotype" w:cs="Palatino Linotype"/>
        </w:rPr>
        <w:t xml:space="preserve">Al respecto, derivado de la excepción establecida en los preceptos legales antes citados, resulta oportuno mencionar que en tal supuesto, este Instituto considera que si la información de la los procedimientos administrativos son relativos a alguna de las fracciones de los artículos 115 de la Ley General de Transparencia y Acceso a la Información Pública, 142 de la Ley de Transparencia y Acceso a la Información Pública del Estado de México y Municipios, y Trigésimo Séptimo de los Lineamientos Generales en Materia de Clasificación y Desclasificación de la Información, así como para la Elaboración de Versiones Públicas; </w:t>
      </w:r>
      <w:r w:rsidRPr="005426E1">
        <w:rPr>
          <w:rFonts w:ascii="Palatino Linotype" w:eastAsia="Palatino Linotype" w:hAnsi="Palatino Linotype" w:cs="Palatino Linotype"/>
          <w:b/>
        </w:rPr>
        <w:t xml:space="preserve">no podrá invocarse con el carácter de clasificada. </w:t>
      </w:r>
    </w:p>
    <w:p w14:paraId="64E5349B" w14:textId="77777777" w:rsidR="008B17FE" w:rsidRPr="005426E1" w:rsidRDefault="008B17FE">
      <w:pPr>
        <w:spacing w:line="360" w:lineRule="auto"/>
        <w:jc w:val="both"/>
        <w:rPr>
          <w:rFonts w:ascii="Palatino Linotype" w:eastAsia="Palatino Linotype" w:hAnsi="Palatino Linotype" w:cs="Palatino Linotype"/>
        </w:rPr>
      </w:pPr>
    </w:p>
    <w:p w14:paraId="481FF96C" w14:textId="77777777" w:rsidR="008B17FE" w:rsidRPr="005426E1" w:rsidRDefault="006F5C2E">
      <w:pPr>
        <w:numPr>
          <w:ilvl w:val="0"/>
          <w:numId w:val="15"/>
        </w:numPr>
        <w:pBdr>
          <w:top w:val="nil"/>
          <w:left w:val="nil"/>
          <w:bottom w:val="nil"/>
          <w:right w:val="nil"/>
          <w:between w:val="nil"/>
        </w:pBdr>
        <w:spacing w:line="360" w:lineRule="auto"/>
        <w:jc w:val="both"/>
        <w:rPr>
          <w:rFonts w:ascii="Palatino Linotype" w:eastAsia="Palatino Linotype" w:hAnsi="Palatino Linotype" w:cs="Palatino Linotype"/>
          <w:b/>
          <w:u w:val="single"/>
        </w:rPr>
      </w:pPr>
      <w:r w:rsidRPr="005426E1">
        <w:rPr>
          <w:rFonts w:ascii="Palatino Linotype" w:eastAsia="Palatino Linotype" w:hAnsi="Palatino Linotype" w:cs="Palatino Linotype"/>
          <w:b/>
          <w:u w:val="single"/>
        </w:rPr>
        <w:t>De los expedientes Concluidos</w:t>
      </w:r>
    </w:p>
    <w:p w14:paraId="0DB07948" w14:textId="77777777" w:rsidR="008B17FE" w:rsidRPr="005426E1" w:rsidRDefault="008B17FE">
      <w:pPr>
        <w:pBdr>
          <w:top w:val="nil"/>
          <w:left w:val="nil"/>
          <w:bottom w:val="nil"/>
          <w:right w:val="nil"/>
          <w:between w:val="nil"/>
        </w:pBdr>
        <w:spacing w:line="360" w:lineRule="auto"/>
        <w:ind w:left="720"/>
        <w:jc w:val="both"/>
        <w:rPr>
          <w:rFonts w:ascii="Palatino Linotype" w:eastAsia="Palatino Linotype" w:hAnsi="Palatino Linotype" w:cs="Palatino Linotype"/>
          <w:b/>
          <w:u w:val="single"/>
        </w:rPr>
      </w:pPr>
    </w:p>
    <w:p w14:paraId="462978DA"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Ahora bien, para el caso de que las quejas presentadas a la fecha de la solicitud cuenten se encuentran concluidas, ya no se actualizaría la causal de </w:t>
      </w:r>
      <w:r w:rsidRPr="005426E1">
        <w:rPr>
          <w:rFonts w:ascii="Palatino Linotype" w:eastAsia="Palatino Linotype" w:hAnsi="Palatino Linotype" w:cs="Palatino Linotype"/>
          <w:b/>
        </w:rPr>
        <w:t>RESERVA</w:t>
      </w:r>
      <w:r w:rsidRPr="005426E1">
        <w:rPr>
          <w:rFonts w:ascii="Palatino Linotype" w:eastAsia="Palatino Linotype" w:hAnsi="Palatino Linotype" w:cs="Palatino Linotype"/>
        </w:rPr>
        <w:t>, pues no se actualizaría el primero de los requisitos establecidos en el Trigésimo de los Lineamientos Generales, por lo que, tendría que proporcionar la información en versión pública.</w:t>
      </w:r>
    </w:p>
    <w:p w14:paraId="400E17CA" w14:textId="77777777" w:rsidR="008B17FE" w:rsidRPr="005426E1" w:rsidRDefault="008B17FE">
      <w:pPr>
        <w:spacing w:line="360" w:lineRule="auto"/>
        <w:jc w:val="both"/>
        <w:rPr>
          <w:rFonts w:ascii="Palatino Linotype" w:eastAsia="Palatino Linotype" w:hAnsi="Palatino Linotype" w:cs="Palatino Linotype"/>
        </w:rPr>
      </w:pPr>
    </w:p>
    <w:p w14:paraId="77B37CFE"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Lo anterior, toma sustento con los artículos 3°, fracción XXI y 111 de la Ley General de Transparencia y Acceso a la Información Pública, 3°, fracción XLV, y 137 de la Ley de Transparencia y Acceso a la Información Pública del Estado de México y Municipios y los numerales Segundo, fracción XVIII, y Quincuagésimo sexto de los Lineamientos Generales que establecen que cuando un documento contenga información pública y reservada o confidencial, la Unidad de Transparencia para efectos de atender al requerimiento informativo, deberá elaborar una versión Pública, en la que se testen las partes o secciones clasificadas, indicando su contenido de manera genérica y fundando y motivando su clasificación; documento que deberá ser aprobado por el Comité de Transparencia.</w:t>
      </w:r>
    </w:p>
    <w:p w14:paraId="3BCF0998" w14:textId="77777777" w:rsidR="008B17FE" w:rsidRPr="005426E1" w:rsidRDefault="008B17FE">
      <w:pPr>
        <w:spacing w:line="360" w:lineRule="auto"/>
        <w:jc w:val="both"/>
        <w:rPr>
          <w:rFonts w:ascii="Palatino Linotype" w:eastAsia="Palatino Linotype" w:hAnsi="Palatino Linotype" w:cs="Palatino Linotype"/>
        </w:rPr>
      </w:pPr>
    </w:p>
    <w:p w14:paraId="10AFE6A9"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Ahora bien, de ser el caso de que los procedimientos se encuentren concluidos en los que no se haya emitido una recomendación; es decir, se trate de una resolución en la que no resultó responsable el servidor público contra el cual se interpuso la queja o </w:t>
      </w:r>
      <w:r w:rsidRPr="005426E1">
        <w:rPr>
          <w:rFonts w:ascii="Palatino Linotype" w:eastAsia="Palatino Linotype" w:hAnsi="Palatino Linotype" w:cs="Palatino Linotype"/>
        </w:rPr>
        <w:lastRenderedPageBreak/>
        <w:t xml:space="preserve">bien la recomendación no se relacione con alguno de los actos establecidos en el artículo 142 de la Ley de Transparencia ,  el Sujeto Obligado debe verificar de manera detallada y minuciosa la documentación a proporcionar, ya que se integra de datos personales que identifican o hacen identificables a las partes, tanto al quejoso como al servidor público, tales como: Nombre, cargo, fecha de nacimiento, edad, nacionalidad, domicilio, número telefónico, entre otros, los cuales deberán clasificarse como información confidencial. </w:t>
      </w:r>
    </w:p>
    <w:p w14:paraId="47309E16" w14:textId="77777777" w:rsidR="008B17FE" w:rsidRPr="005426E1" w:rsidRDefault="008B17FE">
      <w:pPr>
        <w:spacing w:line="360" w:lineRule="auto"/>
        <w:jc w:val="both"/>
        <w:rPr>
          <w:rFonts w:ascii="Palatino Linotype" w:eastAsia="Palatino Linotype" w:hAnsi="Palatino Linotype" w:cs="Palatino Linotype"/>
        </w:rPr>
      </w:pPr>
    </w:p>
    <w:p w14:paraId="2F2D90C7"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En este entendido, es evidente que en caso de existir procedimientos concluidos sin recomendación o bien la recomendación no se relacione con alguno de los actos establecidos en el artículo 142 de la Ley de Transparencia, los datos que hagan identificable al servidor público, así como los datos del quejoso, tiene el carácter de confidencial, en términos del artículo 143, fracción I de la Ley de Transparencia y Acceso a la Información Pública del Estado de México y Municipios.</w:t>
      </w:r>
    </w:p>
    <w:p w14:paraId="0217F385" w14:textId="77777777" w:rsidR="008B17FE" w:rsidRPr="005426E1" w:rsidRDefault="008B17FE">
      <w:pPr>
        <w:spacing w:line="360" w:lineRule="auto"/>
        <w:jc w:val="both"/>
        <w:rPr>
          <w:rFonts w:ascii="Palatino Linotype" w:eastAsia="Palatino Linotype" w:hAnsi="Palatino Linotype" w:cs="Palatino Linotype"/>
        </w:rPr>
      </w:pPr>
    </w:p>
    <w:p w14:paraId="6BE5E4E5" w14:textId="77777777" w:rsidR="008B17FE" w:rsidRPr="005426E1" w:rsidRDefault="006F5C2E">
      <w:pPr>
        <w:spacing w:line="360" w:lineRule="auto"/>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Al respecto, resulta necesario precisar que la Suprema Corte de Justicia de la Nación ha reconocido como derechos fundamentales de las personas, </w:t>
      </w:r>
      <w:r w:rsidRPr="005426E1">
        <w:rPr>
          <w:rFonts w:ascii="Palatino Linotype" w:eastAsia="Palatino Linotype" w:hAnsi="Palatino Linotype" w:cs="Palatino Linotype"/>
          <w:b/>
        </w:rPr>
        <w:t>el derecho a la intimidad</w:t>
      </w:r>
      <w:r w:rsidRPr="005426E1">
        <w:rPr>
          <w:rFonts w:ascii="Palatino Linotype" w:eastAsia="Palatino Linotype" w:hAnsi="Palatino Linotype" w:cs="Palatino Linotype"/>
        </w:rPr>
        <w:t>, en el siguiente criterio:</w:t>
      </w:r>
    </w:p>
    <w:p w14:paraId="6D8B0C25" w14:textId="77777777" w:rsidR="008B17FE" w:rsidRPr="005426E1" w:rsidRDefault="008B17FE">
      <w:pPr>
        <w:spacing w:line="360" w:lineRule="auto"/>
        <w:ind w:right="-93"/>
        <w:jc w:val="both"/>
        <w:rPr>
          <w:rFonts w:ascii="Palatino Linotype" w:eastAsia="Palatino Linotype" w:hAnsi="Palatino Linotype" w:cs="Palatino Linotype"/>
        </w:rPr>
      </w:pPr>
    </w:p>
    <w:p w14:paraId="0A5DC807" w14:textId="77777777" w:rsidR="008B17FE" w:rsidRPr="005426E1" w:rsidRDefault="006F5C2E">
      <w:pPr>
        <w:ind w:left="567" w:right="567"/>
        <w:jc w:val="both"/>
        <w:rPr>
          <w:rFonts w:ascii="Palatino Linotype" w:eastAsia="Palatino Linotype" w:hAnsi="Palatino Linotype" w:cs="Palatino Linotype"/>
          <w:b/>
          <w:i/>
        </w:rPr>
      </w:pPr>
      <w:r w:rsidRPr="005426E1">
        <w:rPr>
          <w:rFonts w:ascii="Palatino Linotype" w:eastAsia="Palatino Linotype" w:hAnsi="Palatino Linotype" w:cs="Palatino Linotype"/>
          <w:i/>
        </w:rPr>
        <w:t>“</w:t>
      </w:r>
      <w:r w:rsidRPr="005426E1">
        <w:rPr>
          <w:rFonts w:ascii="Palatino Linotype" w:eastAsia="Palatino Linotype" w:hAnsi="Palatino Linotype" w:cs="Palatino Linotype"/>
          <w:b/>
          <w:i/>
        </w:rPr>
        <w:t xml:space="preserve">DERECHOS A LA INTIMIDAD, PROPIA IMAGEN, IDENTIDAD PERSONAL Y SEXUAL. CONSTITUYEN DERECHOS DE DEFENSA Y GARANTÍA ESENCIAL PARA LA CONDICIÓN HUMANA.  </w:t>
      </w:r>
      <w:r w:rsidRPr="005426E1">
        <w:rPr>
          <w:rFonts w:ascii="Palatino Linotype" w:eastAsia="Palatino Linotype" w:hAnsi="Palatino Linotype" w:cs="Palatino Linotype"/>
          <w:i/>
        </w:rPr>
        <w:t xml:space="preserve">Dentro de los derechos personalísimos se encuentran necesariamente comprendidos el </w:t>
      </w:r>
      <w:r w:rsidRPr="005426E1">
        <w:rPr>
          <w:rFonts w:ascii="Palatino Linotype" w:eastAsia="Palatino Linotype" w:hAnsi="Palatino Linotype" w:cs="Palatino Linotype"/>
          <w:b/>
          <w:i/>
        </w:rPr>
        <w:t>derecho a la intimidad y a la propia imagen</w:t>
      </w:r>
      <w:r w:rsidRPr="005426E1">
        <w:rPr>
          <w:rFonts w:ascii="Palatino Linotype" w:eastAsia="Palatino Linotype" w:hAnsi="Palatino Linotype" w:cs="Palatino Linotype"/>
          <w:i/>
        </w:rPr>
        <w:t xml:space="preserve">, así como a la </w:t>
      </w:r>
      <w:r w:rsidRPr="005426E1">
        <w:rPr>
          <w:rFonts w:ascii="Palatino Linotype" w:eastAsia="Palatino Linotype" w:hAnsi="Palatino Linotype" w:cs="Palatino Linotype"/>
          <w:b/>
          <w:i/>
        </w:rPr>
        <w:t>identidad personal</w:t>
      </w:r>
      <w:r w:rsidRPr="005426E1">
        <w:rPr>
          <w:rFonts w:ascii="Palatino Linotype" w:eastAsia="Palatino Linotype" w:hAnsi="Palatino Linotype" w:cs="Palatino Linotype"/>
          <w:i/>
        </w:rPr>
        <w:t xml:space="preserve"> y sexual; </w:t>
      </w:r>
      <w:r w:rsidRPr="005426E1">
        <w:rPr>
          <w:rFonts w:ascii="Palatino Linotype" w:eastAsia="Palatino Linotype" w:hAnsi="Palatino Linotype" w:cs="Palatino Linotype"/>
          <w:i/>
        </w:rPr>
        <w:lastRenderedPageBreak/>
        <w:t xml:space="preserve">entendiéndose por el primero, </w:t>
      </w:r>
      <w:r w:rsidRPr="005426E1">
        <w:rPr>
          <w:rFonts w:ascii="Palatino Linotype" w:eastAsia="Palatino Linotype" w:hAnsi="Palatino Linotype" w:cs="Palatino Linotype"/>
          <w:b/>
          <w:i/>
        </w:rPr>
        <w:t>el derecho del individuo a no ser conocido por otros en ciertos aspectos de su vida</w:t>
      </w:r>
      <w:r w:rsidRPr="005426E1">
        <w:rPr>
          <w:rFonts w:ascii="Palatino Linotype" w:eastAsia="Palatino Linotype" w:hAnsi="Palatino Linotype" w:cs="Palatino Linotype"/>
          <w:i/>
        </w:rPr>
        <w:t xml:space="preserve"> y, </w:t>
      </w:r>
      <w:r w:rsidRPr="005426E1">
        <w:rPr>
          <w:rFonts w:ascii="Palatino Linotype" w:eastAsia="Palatino Linotype" w:hAnsi="Palatino Linotype" w:cs="Palatino Linotype"/>
          <w:b/>
          <w:i/>
        </w:rPr>
        <w:t>por ende, el poder de decisión sobre la publicidad o información de datos relativos a su persona</w:t>
      </w:r>
      <w:r w:rsidRPr="005426E1">
        <w:rPr>
          <w:rFonts w:ascii="Palatino Linotype" w:eastAsia="Palatino Linotype" w:hAnsi="Palatino Linotype" w:cs="Palatino Linotype"/>
          <w:i/>
        </w:rPr>
        <w:t>, familia, pensamientos o sentimientos;</w:t>
      </w:r>
      <w:r w:rsidRPr="005426E1">
        <w:rPr>
          <w:rFonts w:ascii="Palatino Linotype" w:eastAsia="Palatino Linotype" w:hAnsi="Palatino Linotype" w:cs="Palatino Linotype"/>
          <w:b/>
          <w:i/>
        </w:rPr>
        <w:t xml:space="preserve"> </w:t>
      </w:r>
      <w:r w:rsidRPr="005426E1">
        <w:rPr>
          <w:rFonts w:ascii="Palatino Linotype" w:eastAsia="Palatino Linotype" w:hAnsi="Palatino Linotype" w:cs="Palatino Linotype"/>
          <w:i/>
        </w:rPr>
        <w:t xml:space="preserve">a la </w:t>
      </w:r>
      <w:r w:rsidRPr="005426E1">
        <w:rPr>
          <w:rFonts w:ascii="Palatino Linotype" w:eastAsia="Palatino Linotype" w:hAnsi="Palatino Linotype" w:cs="Palatino Linotype"/>
          <w:b/>
          <w:i/>
        </w:rPr>
        <w:t>propia imagen, como aquel derecho de decidir, en forma libre, sobre la manera en que elige mostrarse frente a los demás</w:t>
      </w:r>
      <w:r w:rsidRPr="005426E1">
        <w:rPr>
          <w:rFonts w:ascii="Palatino Linotype" w:eastAsia="Palatino Linotype" w:hAnsi="Palatino Linotype" w:cs="Palatino Linotype"/>
          <w:i/>
        </w:rPr>
        <w:t xml:space="preserve">; a la identidad personal, entendida como el derecho de todo individuo a ser uno mismo, en la propia conciencia y en la opinión de los demás, es decir, es la forma en que se ve a sí mismo y se proyecta en la sociedad, de acuerdo con sus caracteres físicos e internos y sus acciones, que lo individualizan ante la sociedad y permiten identificarlo; y que implica, por tanto, la identidad sexual, al ser la manera en que cada individuo se proyecta frente a sí y ante la sociedad desde su perspectiva sexual, no sólo en cuanto a sus preferencias sexuales sino, primordialmente, en cuanto a cómo se percibe él, con base en sus sentimientos y convicciones más profundos de pertenencia o no al sexo que legalmente le fue asignado al nacer y que, de acuerdo a ese ajuste personalísimo en el desarrollo de cada individuo, proyectará su vida en todos los ámbitos, privado y público, por lo que al ser la sexualidad un elemento esencial de la persona y de su psique, la autodeterminación sexual forma parte de ese ámbito propio y reservado de lo íntimo, la parte de la vida que se desea mantener fuera del alcance de terceros o del conocimiento público. Por consiguiente, </w:t>
      </w:r>
      <w:r w:rsidRPr="005426E1">
        <w:rPr>
          <w:rFonts w:ascii="Palatino Linotype" w:eastAsia="Palatino Linotype" w:hAnsi="Palatino Linotype" w:cs="Palatino Linotype"/>
          <w:b/>
          <w:i/>
        </w:rPr>
        <w:t>al constituir derechos inherentes a la persona, fuera de la injerencia de los demás, se configuran como derechos de defensa y garantía esencial para la condición humana, ya que pueden reclamarse tanto en defensa de la intimidad violada o amenazada, como exigir del Estado que prevenga la existencia de eventuales intromisiones que los lesionen por lo que, si bien no son absolutos, sólo por ley podrá justificarse su intromisión, siempre que medie un interés superior.</w:t>
      </w:r>
      <w:r w:rsidRPr="005426E1">
        <w:rPr>
          <w:rFonts w:ascii="Palatino Linotype" w:eastAsia="Palatino Linotype" w:hAnsi="Palatino Linotype" w:cs="Palatino Linotype"/>
          <w:i/>
        </w:rPr>
        <w:t>”</w:t>
      </w:r>
    </w:p>
    <w:p w14:paraId="4ACF6D43" w14:textId="77777777" w:rsidR="008B17FE" w:rsidRPr="005426E1" w:rsidRDefault="006F5C2E">
      <w:pPr>
        <w:spacing w:line="360" w:lineRule="auto"/>
        <w:ind w:right="-93"/>
        <w:jc w:val="both"/>
        <w:rPr>
          <w:rFonts w:ascii="Palatino Linotype" w:eastAsia="Palatino Linotype" w:hAnsi="Palatino Linotype" w:cs="Palatino Linotype"/>
        </w:rPr>
      </w:pPr>
      <w:r w:rsidRPr="005426E1">
        <w:rPr>
          <w:rFonts w:ascii="Palatino Linotype" w:eastAsia="Palatino Linotype" w:hAnsi="Palatino Linotype" w:cs="Palatino Linotype"/>
        </w:rPr>
        <w:t xml:space="preserve"> </w:t>
      </w:r>
    </w:p>
    <w:p w14:paraId="129F9070" w14:textId="77777777" w:rsidR="008B17FE" w:rsidRPr="005426E1" w:rsidRDefault="006F5C2E">
      <w:pPr>
        <w:spacing w:line="360" w:lineRule="auto"/>
        <w:jc w:val="both"/>
        <w:rPr>
          <w:rFonts w:ascii="Palatino Linotype" w:eastAsia="Palatino Linotype" w:hAnsi="Palatino Linotype" w:cs="Palatino Linotype"/>
          <w:b/>
        </w:rPr>
      </w:pPr>
      <w:r w:rsidRPr="005426E1">
        <w:rPr>
          <w:rFonts w:ascii="Palatino Linotype" w:eastAsia="Palatino Linotype" w:hAnsi="Palatino Linotype" w:cs="Palatino Linotype"/>
        </w:rPr>
        <w:t xml:space="preserve">En ese sentido, es derecho de todo individuo a no ser conocido por otros en ciertos aspectos de su vida y, por ende, el poder de decisión sobre la publicidad o información de datos relativos a su persona </w:t>
      </w:r>
      <w:r w:rsidRPr="005426E1">
        <w:rPr>
          <w:rFonts w:ascii="Palatino Linotype" w:eastAsia="Palatino Linotype" w:hAnsi="Palatino Linotype" w:cs="Palatino Linotype"/>
          <w:b/>
        </w:rPr>
        <w:t>(derecho a la intimidad).</w:t>
      </w:r>
    </w:p>
    <w:p w14:paraId="0E74DE26" w14:textId="77777777" w:rsidR="008B17FE" w:rsidRPr="005426E1" w:rsidRDefault="008B17FE">
      <w:pPr>
        <w:spacing w:line="360" w:lineRule="auto"/>
        <w:jc w:val="both"/>
        <w:rPr>
          <w:rFonts w:ascii="Palatino Linotype" w:eastAsia="Palatino Linotype" w:hAnsi="Palatino Linotype" w:cs="Palatino Linotype"/>
        </w:rPr>
      </w:pPr>
    </w:p>
    <w:p w14:paraId="347B19E4" w14:textId="77777777" w:rsidR="008B17FE" w:rsidRPr="005426E1" w:rsidRDefault="006F5C2E">
      <w:pPr>
        <w:spacing w:line="360" w:lineRule="auto"/>
        <w:ind w:right="-93"/>
        <w:jc w:val="both"/>
        <w:rPr>
          <w:rFonts w:ascii="Palatino Linotype" w:eastAsia="Palatino Linotype" w:hAnsi="Palatino Linotype" w:cs="Palatino Linotype"/>
        </w:rPr>
      </w:pPr>
      <w:r w:rsidRPr="005426E1">
        <w:rPr>
          <w:rFonts w:ascii="Palatino Linotype" w:eastAsia="Palatino Linotype" w:hAnsi="Palatino Linotype" w:cs="Palatino Linotype"/>
        </w:rPr>
        <w:lastRenderedPageBreak/>
        <w:t>Además, cabe señalar que lo previsto en la tesis aislada número 1a. CCXIV/2009, emitida por la Primera Sala de la Suprema Corte de Justicia de la Nación, publicada en la Gaceta del Semanario Judicial de la Federación, Tomo XXX, de diciembre de 2009, página 277, de la Novena Época, materia constitucional, que establece lo siguiente:</w:t>
      </w:r>
    </w:p>
    <w:p w14:paraId="719D219B" w14:textId="77777777" w:rsidR="008B17FE" w:rsidRPr="005426E1" w:rsidRDefault="008B17FE">
      <w:pPr>
        <w:spacing w:line="360" w:lineRule="auto"/>
        <w:ind w:right="-93"/>
        <w:jc w:val="both"/>
        <w:rPr>
          <w:rFonts w:ascii="Palatino Linotype" w:eastAsia="Palatino Linotype" w:hAnsi="Palatino Linotype" w:cs="Palatino Linotype"/>
        </w:rPr>
      </w:pPr>
    </w:p>
    <w:p w14:paraId="341F3916" w14:textId="77777777" w:rsidR="008B17FE" w:rsidRPr="005426E1" w:rsidRDefault="006F5C2E">
      <w:pPr>
        <w:ind w:left="567" w:right="567"/>
        <w:jc w:val="both"/>
        <w:rPr>
          <w:rFonts w:ascii="Palatino Linotype" w:eastAsia="Palatino Linotype" w:hAnsi="Palatino Linotype" w:cs="Palatino Linotype"/>
          <w:i/>
        </w:rPr>
      </w:pPr>
      <w:r w:rsidRPr="005426E1">
        <w:rPr>
          <w:rFonts w:ascii="Palatino Linotype" w:eastAsia="Palatino Linotype" w:hAnsi="Palatino Linotype" w:cs="Palatino Linotype"/>
          <w:i/>
        </w:rPr>
        <w:t>“</w:t>
      </w:r>
      <w:r w:rsidRPr="005426E1">
        <w:rPr>
          <w:rFonts w:ascii="Palatino Linotype" w:eastAsia="Palatino Linotype" w:hAnsi="Palatino Linotype" w:cs="Palatino Linotype"/>
          <w:b/>
          <w:i/>
        </w:rPr>
        <w:t xml:space="preserve">DERECHO A LA VIDA PRIVADA. SU CONTENIDO GENERAL Y LA IMPORTANCIA DE NO DESCONTEXTUALIZAR LAS REFERENCIAS A LA MISMA. </w:t>
      </w:r>
      <w:r w:rsidRPr="005426E1">
        <w:rPr>
          <w:rFonts w:ascii="Palatino Linotype" w:eastAsia="Palatino Linotype" w:hAnsi="Palatino Linotype" w:cs="Palatino Linotype"/>
          <w:i/>
        </w:rPr>
        <w:t xml:space="preserve">La Suprema Corte de Justicia de la Nación se ha referido en varias tesis a los rasgos característicos de la noción de lo ‘privado’. Así, lo ha relacionado con: lo que no constituye vida pública; el ámbito reservado frente a la acción y el conocimiento de los demás; lo que se desea compartir únicamente con aquellos que uno elige; las actividades de las personas en la esfera particular, relacionadas con el hogar y la familia; o aquello que las personas no desempeñan con el carácter de servidores públicos. Por otro lado, el derecho a la vida privada (o intimidad) está reconocido y protegido en declaraciones y tratados de derechos humanos que forman parte del orden jurídico mexicano, como la Declaración Universal de los Derechos Humanos (artículo 12), el Pacto Internacional de Derechos Civiles y Políticos (artículo 17), la Convención Americana sobre Derechos Humanos (artículo 11) y la Convención sobre los Derechos del Niño (artículo 16). Al interpretar estas disposiciones, los organismos internacionales han destacado que la noción de vida privada atañe a la esfera de la vida en la que las personas pueden expresar libremente su identidad, ya sea en sus relaciones con los demás o en lo individual, y han destacado su vinculación con un amplio abanico de otros derechos, como la inviolabilidad de la correspondencia y de las comunicaciones en general, la inviolabilidad del domicilio, las garantías respecto de los registros personales y corporales, las relacionadas con la recopilación y registro de información personal en bancos de datos y otros dispositivos; el derecho a una vivienda adecuada, a la salud y a la igualdad; los derechos reproductivos, o la protección en caso de desalojos forzados. Las afirmaciones contenidas en las resoluciones nacionales e internacionales son útiles en la medida en que no se tomen de manera descontextualizada, emerjan de un análisis cuidadoso de los diferentes escenarios </w:t>
      </w:r>
      <w:r w:rsidRPr="005426E1">
        <w:rPr>
          <w:rFonts w:ascii="Palatino Linotype" w:eastAsia="Palatino Linotype" w:hAnsi="Palatino Linotype" w:cs="Palatino Linotype"/>
          <w:i/>
        </w:rPr>
        <w:lastRenderedPageBreak/>
        <w:t xml:space="preserve">jurídicos en los que la idea de privacidad entra en juego y no se pretenda derivar de ellas un concepto mecánico de vida privada, de referentes fijos e inmutables. Lo único que estas resoluciones permiten reconstruir, en términos abstractos, es la imagen general que evoca la idea de privacidad en nuestro contexto cultural. </w:t>
      </w:r>
      <w:r w:rsidRPr="005426E1">
        <w:rPr>
          <w:rFonts w:ascii="Palatino Linotype" w:eastAsia="Palatino Linotype" w:hAnsi="Palatino Linotype" w:cs="Palatino Linotype"/>
          <w:b/>
          <w:i/>
        </w:rPr>
        <w:t>Según esta noción, las personas tienen derecho a gozar de un ámbito de proyección de su existencia que quede reservado de la invasión y la mirada de los demás, que les concierna sólo a ellos y les provea de condiciones adecuadas para el despliegue de su individualidad -para el desarrollo de su autonomía y su libertad-.</w:t>
      </w:r>
      <w:r w:rsidRPr="005426E1">
        <w:rPr>
          <w:rFonts w:ascii="Palatino Linotype" w:eastAsia="Palatino Linotype" w:hAnsi="Palatino Linotype" w:cs="Palatino Linotype"/>
          <w:i/>
        </w:rPr>
        <w:t xml:space="preserve"> A un nivel más concreto, la misma idea puede describirse apelando al derecho de las personas a mantener fuera del conocimiento de los demás (o, a veces, dentro del círculo de sus personas más próximas) ciertas manifestaciones o dimensiones de su existencia (conducta, datos, información, objetos) y al correspondiente derecho a que los demás no las invadan sin su consentimiento. </w:t>
      </w:r>
      <w:r w:rsidRPr="005426E1">
        <w:rPr>
          <w:rFonts w:ascii="Palatino Linotype" w:eastAsia="Palatino Linotype" w:hAnsi="Palatino Linotype" w:cs="Palatino Linotype"/>
          <w:b/>
          <w:i/>
        </w:rPr>
        <w:t>En un sentido amplio, entonces, la protección constitucional de la vida privada implica poder conducir parte de la vida de uno protegido de la mirada y las injerencias de los demás</w:t>
      </w:r>
      <w:r w:rsidRPr="005426E1">
        <w:rPr>
          <w:rFonts w:ascii="Palatino Linotype" w:eastAsia="Palatino Linotype" w:hAnsi="Palatino Linotype" w:cs="Palatino Linotype"/>
          <w:i/>
        </w:rPr>
        <w:t>, y guarda conexiones de variado tipo con pretensiones más concretas que los textos constitucionales actuales reconocen a veces como derechos conexos: el derecho de poder tomar libremente ciertas decisiones atinentes al propio plan de vida, el derecho a ver protegidas ciertas manifestaciones de integridad física y moral, el derecho al honor o reputación, el derecho a no ser presentado bajo una falsa apariencia, el derecho a impedir la divulgación de ciertos hechos o la publicación no autorizada de cierto tipo de fotografías, la protección contra el espionaje, la protección contra el uso abusivo de las comunicaciones privadas, o la protección contra la divulgación de informaciones comunicadas o recibidas confidencialmente por un particular.”</w:t>
      </w:r>
    </w:p>
    <w:p w14:paraId="2CDDCB8C" w14:textId="77777777" w:rsidR="008B17FE" w:rsidRPr="005426E1" w:rsidRDefault="008B17FE">
      <w:pPr>
        <w:spacing w:line="360" w:lineRule="auto"/>
        <w:ind w:right="-93"/>
        <w:jc w:val="both"/>
        <w:rPr>
          <w:rFonts w:ascii="Palatino Linotype" w:eastAsia="Palatino Linotype" w:hAnsi="Palatino Linotype" w:cs="Palatino Linotype"/>
        </w:rPr>
      </w:pPr>
    </w:p>
    <w:p w14:paraId="53D6896F" w14:textId="77777777" w:rsidR="008B17FE" w:rsidRPr="005426E1" w:rsidRDefault="006F5C2E">
      <w:pPr>
        <w:spacing w:line="360" w:lineRule="auto"/>
        <w:ind w:right="-93"/>
        <w:jc w:val="both"/>
        <w:rPr>
          <w:rFonts w:ascii="Palatino Linotype" w:eastAsia="Palatino Linotype" w:hAnsi="Palatino Linotype" w:cs="Palatino Linotype"/>
        </w:rPr>
      </w:pPr>
      <w:r w:rsidRPr="005426E1">
        <w:rPr>
          <w:rFonts w:ascii="Palatino Linotype" w:eastAsia="Palatino Linotype" w:hAnsi="Palatino Linotype" w:cs="Palatino Linotype"/>
        </w:rPr>
        <w:t>En ese contexto, los anexos podrían conformarse de información que hace identificable alguna de las partes, o bien, que sean totalmente referentes a la vida privada o íntima de alguna estas; cuya revelación iría en contra del derecho a la vida privada.</w:t>
      </w:r>
    </w:p>
    <w:p w14:paraId="68633D6A" w14:textId="77777777" w:rsidR="008B17FE" w:rsidRPr="005426E1" w:rsidRDefault="008B17FE">
      <w:pPr>
        <w:spacing w:line="360" w:lineRule="auto"/>
        <w:ind w:right="-93"/>
        <w:jc w:val="both"/>
        <w:rPr>
          <w:rFonts w:ascii="Palatino Linotype" w:eastAsia="Palatino Linotype" w:hAnsi="Palatino Linotype" w:cs="Palatino Linotype"/>
        </w:rPr>
      </w:pPr>
    </w:p>
    <w:p w14:paraId="42380065" w14:textId="77777777" w:rsidR="008B17FE" w:rsidRPr="005426E1" w:rsidRDefault="006F5C2E">
      <w:pPr>
        <w:spacing w:line="360" w:lineRule="auto"/>
        <w:ind w:right="-93"/>
        <w:jc w:val="both"/>
        <w:rPr>
          <w:rFonts w:ascii="Palatino Linotype" w:eastAsia="Palatino Linotype" w:hAnsi="Palatino Linotype" w:cs="Palatino Linotype"/>
        </w:rPr>
      </w:pPr>
      <w:r w:rsidRPr="005426E1">
        <w:rPr>
          <w:rFonts w:ascii="Palatino Linotype" w:eastAsia="Palatino Linotype" w:hAnsi="Palatino Linotype" w:cs="Palatino Linotype"/>
        </w:rPr>
        <w:lastRenderedPageBreak/>
        <w:t>No obstante, si los procedimientos concluidos arribaron en una recomendación por actos relacionados con el artículo 142 de la ley de transparencia  y estas han quedado firmes, es decir, que  el procedimiento ya no acepta recurso o medio de defensa alguno, es procedente entregar el soporte documental en versión pública para el caso de que el mismo contenga datos personales susceptibles de protegerse, pero dejando visible el nombre del servidor público al que va dirigida dicha recomendación, reiterando que en dicho supuesto, no se vulnera el derecho de las personas, aun cuando estas sean plenamente identificables.</w:t>
      </w:r>
    </w:p>
    <w:p w14:paraId="79740A50" w14:textId="77777777" w:rsidR="008B17FE" w:rsidRPr="005426E1" w:rsidRDefault="008B17FE">
      <w:pPr>
        <w:spacing w:line="360" w:lineRule="auto"/>
        <w:ind w:right="-93"/>
        <w:jc w:val="both"/>
        <w:rPr>
          <w:rFonts w:ascii="Palatino Linotype" w:eastAsia="Palatino Linotype" w:hAnsi="Palatino Linotype" w:cs="Palatino Linotype"/>
        </w:rPr>
      </w:pPr>
    </w:p>
    <w:p w14:paraId="73BCA748"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Por otro lado, es de señalar que, como ya se mencionó </w:t>
      </w:r>
      <w:r w:rsidRPr="005426E1">
        <w:rPr>
          <w:rFonts w:ascii="Palatino Linotype" w:eastAsia="Palatino Linotype" w:hAnsi="Palatino Linotype" w:cs="Palatino Linotype"/>
          <w:b/>
          <w:sz w:val="22"/>
          <w:szCs w:val="22"/>
        </w:rPr>
        <w:t>el Sujeto Obligado,</w:t>
      </w:r>
      <w:r w:rsidRPr="005426E1">
        <w:rPr>
          <w:rFonts w:ascii="Palatino Linotype" w:eastAsia="Palatino Linotype" w:hAnsi="Palatino Linotype" w:cs="Palatino Linotype"/>
          <w:sz w:val="22"/>
          <w:szCs w:val="22"/>
        </w:rPr>
        <w:t xml:space="preserve"> </w:t>
      </w:r>
      <w:r w:rsidRPr="005426E1">
        <w:rPr>
          <w:rFonts w:ascii="Palatino Linotype" w:eastAsia="Palatino Linotype" w:hAnsi="Palatino Linotype" w:cs="Palatino Linotype"/>
          <w:sz w:val="22"/>
          <w:szCs w:val="22"/>
          <w:u w:val="single"/>
        </w:rPr>
        <w:t>omitió proporcionar la respuesta a la solicitud de acceso a la información pública,</w:t>
      </w:r>
      <w:r w:rsidRPr="005426E1">
        <w:rPr>
          <w:rFonts w:ascii="Palatino Linotype" w:eastAsia="Palatino Linotype" w:hAnsi="Palatino Linotype" w:cs="Palatino Linotype"/>
          <w:sz w:val="22"/>
          <w:szCs w:val="22"/>
        </w:rPr>
        <w:t xml:space="preserve"> en el término contemplado en el ya citado artículo 163 de la ley de la materia, razón por la que, en términos de lo previsto en el artículo 190 de la Ley de Transparencia y Acceso a la Información Pública del Estado de México y Municipios, se </w:t>
      </w:r>
      <w:r w:rsidRPr="005426E1">
        <w:rPr>
          <w:rFonts w:ascii="Palatino Linotype" w:eastAsia="Palatino Linotype" w:hAnsi="Palatino Linotype" w:cs="Palatino Linotype"/>
          <w:b/>
          <w:sz w:val="22"/>
          <w:szCs w:val="22"/>
        </w:rPr>
        <w:t xml:space="preserve">ORDENA </w:t>
      </w:r>
      <w:r w:rsidRPr="005426E1">
        <w:rPr>
          <w:rFonts w:ascii="Palatino Linotype" w:eastAsia="Palatino Linotype" w:hAnsi="Palatino Linotype" w:cs="Palatino Linotype"/>
          <w:sz w:val="22"/>
          <w:szCs w:val="22"/>
        </w:rPr>
        <w:t xml:space="preserve">dar vista a la </w:t>
      </w:r>
      <w:r w:rsidRPr="005426E1">
        <w:rPr>
          <w:rFonts w:ascii="Palatino Linotype" w:eastAsia="Palatino Linotype" w:hAnsi="Palatino Linotype" w:cs="Palatino Linotype"/>
          <w:b/>
          <w:sz w:val="22"/>
          <w:szCs w:val="22"/>
        </w:rPr>
        <w:t>Secretaría Técnica del Pleno</w:t>
      </w:r>
      <w:r w:rsidRPr="005426E1">
        <w:rPr>
          <w:rFonts w:ascii="Palatino Linotype" w:eastAsia="Palatino Linotype" w:hAnsi="Palatino Linotype" w:cs="Palatino Linotype"/>
          <w:sz w:val="22"/>
          <w:szCs w:val="22"/>
        </w:rPr>
        <w:t xml:space="preserve"> a efecto de que ejerza las atribuciones previstas en la normatividad aplicable y comunique al </w:t>
      </w:r>
      <w:r w:rsidRPr="005426E1">
        <w:rPr>
          <w:rFonts w:ascii="Palatino Linotype" w:eastAsia="Palatino Linotype" w:hAnsi="Palatino Linotype" w:cs="Palatino Linotype"/>
          <w:b/>
          <w:sz w:val="22"/>
          <w:szCs w:val="22"/>
        </w:rPr>
        <w:t>Órgano Interno de Control Competente</w:t>
      </w:r>
      <w:r w:rsidRPr="005426E1">
        <w:rPr>
          <w:rFonts w:ascii="Palatino Linotype" w:eastAsia="Palatino Linotype" w:hAnsi="Palatino Linotype" w:cs="Palatino Linotype"/>
          <w:sz w:val="22"/>
          <w:szCs w:val="22"/>
        </w:rPr>
        <w:t xml:space="preserve"> para que éste último, en ejercicio de sus atribuciones resuelva lo conducente y determine en su caso el grado de responsabilidad en el incumplimiento de las obligaciones establecidas en la citada ley. </w:t>
      </w:r>
    </w:p>
    <w:p w14:paraId="276A57B0"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5B2CF62"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Quinto. Versión Pública. </w:t>
      </w:r>
      <w:r w:rsidRPr="005426E1">
        <w:rPr>
          <w:rFonts w:ascii="Palatino Linotype" w:eastAsia="Palatino Linotype" w:hAnsi="Palatino Linotype" w:cs="Palatino Linotype"/>
          <w:sz w:val="22"/>
          <w:szCs w:val="22"/>
        </w:rPr>
        <w:t xml:space="preserve">Finalmente para la entrega del soporte documental que deberá proporcionar el sujeto obligado para dar satisfacción de la derecho humano de acceso a la información de la persona solicitante, deberá considerar que ello no es absoluto, sino que encuentra como excepciones que la información sobre la cual se peticiona el acceso, contenga datos que deban ser clasificados en los términos que la misma Ley de la Materia señala, el </w:t>
      </w:r>
      <w:r w:rsidRPr="005426E1">
        <w:rPr>
          <w:rFonts w:ascii="Palatino Linotype" w:eastAsia="Palatino Linotype" w:hAnsi="Palatino Linotype" w:cs="Palatino Linotype"/>
          <w:b/>
          <w:sz w:val="22"/>
          <w:szCs w:val="22"/>
        </w:rPr>
        <w:lastRenderedPageBreak/>
        <w:t>Sujeto Obligado</w:t>
      </w:r>
      <w:r w:rsidRPr="005426E1">
        <w:rPr>
          <w:rFonts w:ascii="Palatino Linotype" w:eastAsia="Palatino Linotype" w:hAnsi="Palatino Linotype" w:cs="Palatino Linotype"/>
          <w:sz w:val="22"/>
          <w:szCs w:val="22"/>
        </w:rPr>
        <w:t xml:space="preserve"> tendrá que elaborar la versión pública de los documentos que vaya entregar para dar cumplimiento a esta resolución, a fin de satisfacer el derecho de acceso a la información pública de la recurrente sin menoscabar el derecho a la protección de los datos personales de terceros.</w:t>
      </w:r>
    </w:p>
    <w:p w14:paraId="27CAB147"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25FFBFFE"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Lo anterior, de conformidad a lo que señalan los artículos 3 fracciones IX, XX, XXI y XLV, 91, 132 fracciones II y III, y 143 fracción I de la Ley de Transparencia y Acceso a la Información Pública del Estado de México y Municipios que establecen:</w:t>
      </w:r>
    </w:p>
    <w:p w14:paraId="5F754CE3"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Artículo 3</w:t>
      </w:r>
      <w:r w:rsidRPr="005426E1">
        <w:rPr>
          <w:rFonts w:ascii="Palatino Linotype" w:eastAsia="Palatino Linotype" w:hAnsi="Palatino Linotype" w:cs="Palatino Linotype"/>
          <w:i/>
          <w:sz w:val="22"/>
          <w:szCs w:val="22"/>
        </w:rPr>
        <w:t>. Para los efectos de la presente Ley se entenderá por:</w:t>
      </w:r>
    </w:p>
    <w:p w14:paraId="32138399"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31AC43F9"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IX. Datos personales:</w:t>
      </w:r>
      <w:r w:rsidRPr="005426E1">
        <w:rPr>
          <w:rFonts w:ascii="Palatino Linotype" w:eastAsia="Palatino Linotype" w:hAnsi="Palatino Linotype" w:cs="Palatino Linotype"/>
          <w:i/>
          <w:sz w:val="22"/>
          <w:szCs w:val="22"/>
        </w:rPr>
        <w:t xml:space="preserve"> La información concerniente a una persona, identificada o identificable según lo dispuesto por la Ley de Protección de Datos Personales del Estado de México; </w:t>
      </w:r>
    </w:p>
    <w:p w14:paraId="38B8748F"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XX. Información clasificada</w:t>
      </w:r>
      <w:r w:rsidRPr="005426E1">
        <w:rPr>
          <w:rFonts w:ascii="Palatino Linotype" w:eastAsia="Palatino Linotype" w:hAnsi="Palatino Linotype" w:cs="Palatino Linotype"/>
          <w:i/>
          <w:sz w:val="22"/>
          <w:szCs w:val="22"/>
        </w:rPr>
        <w:t>: Aquella considerada por la presente Ley como reservada o confidencial;</w:t>
      </w:r>
    </w:p>
    <w:p w14:paraId="175C6845"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XXI. Información confidencial:</w:t>
      </w:r>
      <w:r w:rsidRPr="005426E1">
        <w:rPr>
          <w:rFonts w:ascii="Palatino Linotype" w:eastAsia="Palatino Linotype" w:hAnsi="Palatino Linotype" w:cs="Palatino Linotype"/>
          <w:i/>
          <w:sz w:val="22"/>
          <w:szCs w:val="22"/>
        </w:rPr>
        <w:t xml:space="preserve"> Se considera como información confidencial los secretos bancario, fiduciario, industrial, comercial, fiscal, bursátil y postal, cuya titularidad corresponda a particulares, sujetos de derecho internacional o a sujetos obligados cuando no involucren el ejercicio de recursos públicos;</w:t>
      </w:r>
    </w:p>
    <w:p w14:paraId="4F18DC22"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XLV. Versión pública:</w:t>
      </w:r>
      <w:r w:rsidRPr="005426E1">
        <w:rPr>
          <w:rFonts w:ascii="Palatino Linotype" w:eastAsia="Palatino Linotype" w:hAnsi="Palatino Linotype" w:cs="Palatino Linotype"/>
          <w:i/>
          <w:sz w:val="22"/>
          <w:szCs w:val="22"/>
        </w:rPr>
        <w:t xml:space="preserve"> Documento en el que se elimine, suprime o borra la información clasificada como reservada o confidencial para permitir su acceso.</w:t>
      </w:r>
    </w:p>
    <w:p w14:paraId="07C1DF9E"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33AC6D04"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 xml:space="preserve">Artículo 91. </w:t>
      </w:r>
      <w:r w:rsidRPr="005426E1">
        <w:rPr>
          <w:rFonts w:ascii="Palatino Linotype" w:eastAsia="Palatino Linotype" w:hAnsi="Palatino Linotype" w:cs="Palatino Linotype"/>
          <w:i/>
          <w:sz w:val="22"/>
          <w:szCs w:val="22"/>
        </w:rPr>
        <w:t>El acceso a la información pública será restringido excepcionalmente, cuando ésta sea clasificada como reservada o confidencial.</w:t>
      </w:r>
    </w:p>
    <w:p w14:paraId="78DF0A44"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 xml:space="preserve">Artículo 132. </w:t>
      </w:r>
      <w:r w:rsidRPr="005426E1">
        <w:rPr>
          <w:rFonts w:ascii="Palatino Linotype" w:eastAsia="Palatino Linotype" w:hAnsi="Palatino Linotype" w:cs="Palatino Linotype"/>
          <w:i/>
          <w:sz w:val="22"/>
          <w:szCs w:val="22"/>
        </w:rPr>
        <w:t>La clasificación de la información se llevará a cabo en el momento en que:</w:t>
      </w:r>
    </w:p>
    <w:p w14:paraId="1F99CE69"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w:t>
      </w:r>
      <w:r w:rsidRPr="005426E1">
        <w:rPr>
          <w:rFonts w:ascii="Palatino Linotype" w:eastAsia="Palatino Linotype" w:hAnsi="Palatino Linotype" w:cs="Palatino Linotype"/>
          <w:i/>
          <w:sz w:val="22"/>
          <w:szCs w:val="22"/>
        </w:rPr>
        <w:t>. Se reciba una solicitud de acceso a la información;</w:t>
      </w:r>
    </w:p>
    <w:p w14:paraId="6A9067C9"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II</w:t>
      </w:r>
      <w:r w:rsidRPr="005426E1">
        <w:rPr>
          <w:rFonts w:ascii="Palatino Linotype" w:eastAsia="Palatino Linotype" w:hAnsi="Palatino Linotype" w:cs="Palatino Linotype"/>
          <w:i/>
          <w:sz w:val="22"/>
          <w:szCs w:val="22"/>
        </w:rPr>
        <w:t>. Se determine mediante resolución de autoridad competente; o</w:t>
      </w:r>
    </w:p>
    <w:p w14:paraId="40EA7B76"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lastRenderedPageBreak/>
        <w:t>III</w:t>
      </w:r>
      <w:r w:rsidRPr="005426E1">
        <w:rPr>
          <w:rFonts w:ascii="Palatino Linotype" w:eastAsia="Palatino Linotype" w:hAnsi="Palatino Linotype" w:cs="Palatino Linotype"/>
          <w:i/>
          <w:sz w:val="22"/>
          <w:szCs w:val="22"/>
        </w:rPr>
        <w:t>. Se generen versiones públicas para dar cumplimiento a las obligaciones de transparencia previstas en esta Ley.</w:t>
      </w:r>
    </w:p>
    <w:p w14:paraId="7E8F37DA"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575EAC2A"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Artículo 143</w:t>
      </w:r>
      <w:r w:rsidRPr="005426E1">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65FFBEC4"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w:t>
      </w:r>
      <w:r w:rsidRPr="005426E1">
        <w:rPr>
          <w:rFonts w:ascii="Palatino Linotype" w:eastAsia="Palatino Linotype" w:hAnsi="Palatino Linotype" w:cs="Palatino Linotype"/>
          <w:i/>
          <w:sz w:val="22"/>
          <w:szCs w:val="22"/>
        </w:rPr>
        <w:t xml:space="preserve"> Se refiera a la información privada y los datos personales concernientes a una persona física o jurídico colectiva identificada o identificable;</w:t>
      </w:r>
    </w:p>
    <w:p w14:paraId="1F465A8B"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II.</w:t>
      </w:r>
      <w:r w:rsidRPr="005426E1">
        <w:rPr>
          <w:rFonts w:ascii="Palatino Linotype" w:eastAsia="Palatino Linotype" w:hAnsi="Palatino Linotype" w:cs="Palatino Linotype"/>
          <w:i/>
          <w:sz w:val="22"/>
          <w:szCs w:val="22"/>
        </w:rPr>
        <w:t xml:space="preserve"> Los secretos bancario, fiduciario, industrial, comercial, fiscal, bursátil y postal, cuya titularidad corresponda a particulares, sujetos de derecho internacional o a sujetos obligados cuando no involucren el ejercicio de recursos públicos; y</w:t>
      </w:r>
    </w:p>
    <w:p w14:paraId="690C4B34"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III</w:t>
      </w:r>
      <w:r w:rsidRPr="005426E1">
        <w:rPr>
          <w:rFonts w:ascii="Palatino Linotype" w:eastAsia="Palatino Linotype" w:hAnsi="Palatino Linotype" w:cs="Palatino Linotype"/>
          <w:i/>
          <w:sz w:val="22"/>
          <w:szCs w:val="22"/>
        </w:rPr>
        <w:t>. La que presenten los particulares a los sujetos obligados, de conformidad con lo dispuesto por las leyes o los tratados internacionales.</w:t>
      </w:r>
    </w:p>
    <w:p w14:paraId="17ADF963"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La información confidencial no estará sujeta a temporalidad alguna y sólo podrán tener acceso a ella los titulares de la misma, sus representantes y los servidores públicos facultados para ello.</w:t>
      </w:r>
    </w:p>
    <w:p w14:paraId="0845093C" w14:textId="77777777" w:rsidR="008B17FE" w:rsidRPr="005426E1" w:rsidRDefault="006F5C2E">
      <w:pPr>
        <w:spacing w:before="120" w:after="120"/>
        <w:ind w:left="567"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No se considerará confidencial la información que se encuentre en los registros públicos o en fuentes de acceso público, ni tampoco la que sea considerada por la presente ley como información pública.”</w:t>
      </w:r>
    </w:p>
    <w:p w14:paraId="5B7FF419"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56C450DA"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De los artículos transcritos anteriormente, se observan las excepciones que tiene el derecho de acceso a la información pública, respecto a algunos tipos de información, lo cual restringe su acceso, precisando de manera clara las hipótesis que dan lugar a clasificar la información, la cual puede ser de dos maneras: Reservada o Confidencial.</w:t>
      </w:r>
    </w:p>
    <w:p w14:paraId="445E9901"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7C20A515"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En otras palabras, la información confidencial será cuando por su naturaleza, contenga datos personales concernientes a una persona física o jurídico colectiva identificada o identificable, los secretos bancario, fiduciario, industrial, comercial, fiscal, bursátil y postal, cuya titularidad corresponda a particulares, sujetos de derecho internacional o a Sujetos Obligados cuando no </w:t>
      </w:r>
      <w:r w:rsidRPr="005426E1">
        <w:rPr>
          <w:rFonts w:ascii="Palatino Linotype" w:eastAsia="Palatino Linotype" w:hAnsi="Palatino Linotype" w:cs="Palatino Linotype"/>
          <w:sz w:val="22"/>
          <w:szCs w:val="22"/>
        </w:rPr>
        <w:lastRenderedPageBreak/>
        <w:t>involucren el ejercicio de recursos públicos y la que presenten los particulares a los Sujetos Obligados, de conformidad con lo dispuesto por las leyes o los tratados internacionales.</w:t>
      </w:r>
    </w:p>
    <w:p w14:paraId="0B6A2226" w14:textId="77777777" w:rsidR="008B17FE" w:rsidRPr="005426E1" w:rsidRDefault="008B17FE">
      <w:pPr>
        <w:spacing w:line="360" w:lineRule="auto"/>
        <w:jc w:val="both"/>
        <w:rPr>
          <w:rFonts w:ascii="Palatino Linotype" w:eastAsia="Palatino Linotype" w:hAnsi="Palatino Linotype" w:cs="Palatino Linotype"/>
          <w:i/>
          <w:sz w:val="22"/>
          <w:szCs w:val="22"/>
        </w:rPr>
      </w:pPr>
    </w:p>
    <w:p w14:paraId="01ACC7AD"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De igual forma, para el caso de la información confidencial se aprecia, que se establece un procedimiento para clasificar la información como confidencial, mediante el cual se fundamentará y motivará la necesidad de clasificar la información, en el que se precisen los motivos que obliguen a la clasificación; lo que se consolida con lo señalado por el artículo 168 de la Ley en la Materia, que señala:</w:t>
      </w:r>
    </w:p>
    <w:p w14:paraId="5C74F058"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0D35382A" w14:textId="77777777" w:rsidR="008B17FE" w:rsidRPr="005426E1" w:rsidRDefault="006F5C2E">
      <w:pPr>
        <w:ind w:left="567" w:right="616"/>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Artículo 168</w:t>
      </w:r>
      <w:r w:rsidRPr="005426E1">
        <w:rPr>
          <w:rFonts w:ascii="Palatino Linotype" w:eastAsia="Palatino Linotype" w:hAnsi="Palatino Linotype" w:cs="Palatino Linotype"/>
          <w:i/>
          <w:sz w:val="22"/>
          <w:szCs w:val="22"/>
        </w:rPr>
        <w:t>. En caso de que los sujetos obligados consideren que los documentos o la información deban ser clasificados, se sujetará a lo siguiente:</w:t>
      </w:r>
    </w:p>
    <w:p w14:paraId="4DB865B8" w14:textId="77777777" w:rsidR="008B17FE" w:rsidRPr="005426E1" w:rsidRDefault="006F5C2E">
      <w:pPr>
        <w:ind w:left="567" w:right="616"/>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w:t>
      </w:r>
      <w:r w:rsidRPr="005426E1">
        <w:rPr>
          <w:rFonts w:ascii="Palatino Linotype" w:eastAsia="Palatino Linotype" w:hAnsi="Palatino Linotype" w:cs="Palatino Linotype"/>
          <w:i/>
          <w:sz w:val="22"/>
          <w:szCs w:val="22"/>
        </w:rPr>
        <w:t xml:space="preserve"> El Área deberá remitir la solicitud, así como un escrito en el que </w:t>
      </w:r>
      <w:r w:rsidRPr="005426E1">
        <w:rPr>
          <w:rFonts w:ascii="Palatino Linotype" w:eastAsia="Palatino Linotype" w:hAnsi="Palatino Linotype" w:cs="Palatino Linotype"/>
          <w:b/>
          <w:i/>
          <w:sz w:val="22"/>
          <w:szCs w:val="22"/>
        </w:rPr>
        <w:t>funde y motive la clasificación al Comité de Transparencia</w:t>
      </w:r>
      <w:r w:rsidRPr="005426E1">
        <w:rPr>
          <w:rFonts w:ascii="Palatino Linotype" w:eastAsia="Palatino Linotype" w:hAnsi="Palatino Linotype" w:cs="Palatino Linotype"/>
          <w:i/>
          <w:sz w:val="22"/>
          <w:szCs w:val="22"/>
        </w:rPr>
        <w:t>, mismo que deberá resolver para:</w:t>
      </w:r>
    </w:p>
    <w:p w14:paraId="3623221B" w14:textId="77777777" w:rsidR="008B17FE" w:rsidRPr="005426E1" w:rsidRDefault="006F5C2E">
      <w:pPr>
        <w:ind w:left="567" w:right="616"/>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i/>
          <w:sz w:val="22"/>
          <w:szCs w:val="22"/>
        </w:rPr>
        <w:t>a</w:t>
      </w:r>
      <w:r w:rsidRPr="005426E1">
        <w:rPr>
          <w:rFonts w:ascii="Palatino Linotype" w:eastAsia="Palatino Linotype" w:hAnsi="Palatino Linotype" w:cs="Palatino Linotype"/>
          <w:b/>
          <w:i/>
          <w:sz w:val="22"/>
          <w:szCs w:val="22"/>
        </w:rPr>
        <w:t>) Confirmar la clasificación;</w:t>
      </w:r>
    </w:p>
    <w:p w14:paraId="7CE02C9D" w14:textId="77777777" w:rsidR="008B17FE" w:rsidRPr="005426E1" w:rsidRDefault="006F5C2E">
      <w:pPr>
        <w:ind w:left="567" w:right="616"/>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b) Modificar la clasificación y otorgar total o parcialmente el acceso a la información; y c) Revocar la clasificación y conceder el acceso a la información.</w:t>
      </w:r>
    </w:p>
    <w:p w14:paraId="3F1C75D3" w14:textId="77777777" w:rsidR="008B17FE" w:rsidRPr="005426E1" w:rsidRDefault="006F5C2E">
      <w:pPr>
        <w:ind w:left="567" w:right="616"/>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II.</w:t>
      </w:r>
      <w:r w:rsidRPr="005426E1">
        <w:rPr>
          <w:rFonts w:ascii="Palatino Linotype" w:eastAsia="Palatino Linotype" w:hAnsi="Palatino Linotype" w:cs="Palatino Linotype"/>
          <w:i/>
          <w:sz w:val="22"/>
          <w:szCs w:val="22"/>
        </w:rPr>
        <w:t xml:space="preserve"> El Comité de Transparencia podrá tener acceso a la información que esté en poder del Área correspondiente, de la cual se haya solicitado su clasificación; y</w:t>
      </w:r>
    </w:p>
    <w:p w14:paraId="41E103FB" w14:textId="77777777" w:rsidR="008B17FE" w:rsidRPr="005426E1" w:rsidRDefault="006F5C2E">
      <w:pPr>
        <w:ind w:left="567" w:right="616"/>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III.</w:t>
      </w:r>
      <w:r w:rsidRPr="005426E1">
        <w:rPr>
          <w:rFonts w:ascii="Palatino Linotype" w:eastAsia="Palatino Linotype" w:hAnsi="Palatino Linotype" w:cs="Palatino Linotype"/>
          <w:i/>
          <w:sz w:val="22"/>
          <w:szCs w:val="22"/>
        </w:rPr>
        <w:t xml:space="preserve"> La resolución del Comité de Transparencia será notificada al interesado en el plazo de respuesta a la solicitud que establece esta Ley.” </w:t>
      </w:r>
    </w:p>
    <w:p w14:paraId="70629656" w14:textId="77777777" w:rsidR="008B17FE" w:rsidRPr="005426E1" w:rsidRDefault="008B17FE">
      <w:pPr>
        <w:spacing w:line="360" w:lineRule="auto"/>
        <w:ind w:right="51"/>
        <w:jc w:val="both"/>
        <w:rPr>
          <w:rFonts w:ascii="Palatino Linotype" w:eastAsia="Palatino Linotype" w:hAnsi="Palatino Linotype" w:cs="Palatino Linotype"/>
          <w:sz w:val="22"/>
          <w:szCs w:val="22"/>
        </w:rPr>
      </w:pPr>
    </w:p>
    <w:p w14:paraId="112E5F80" w14:textId="77777777" w:rsidR="008B17FE" w:rsidRPr="005426E1" w:rsidRDefault="006F5C2E">
      <w:pPr>
        <w:spacing w:line="360" w:lineRule="auto"/>
        <w:ind w:right="51"/>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deberá proceder a testar los datos personales que se encuentren contenidos en los documentos a entregar por parte del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para satisfacer el derecho de acceso a la información pública de la recurrente, esto es, los datos concernientes a una persona identificada o identificable, o aquellos datos que tengan el carácter de sensibles, es decir los que afectan la esfera más íntima de su titular </w:t>
      </w:r>
      <w:r w:rsidRPr="005426E1">
        <w:rPr>
          <w:rFonts w:ascii="Palatino Linotype" w:eastAsia="Palatino Linotype" w:hAnsi="Palatino Linotype" w:cs="Palatino Linotype"/>
          <w:sz w:val="22"/>
          <w:szCs w:val="22"/>
        </w:rPr>
        <w:lastRenderedPageBreak/>
        <w:t>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3B126786" w14:textId="77777777" w:rsidR="008B17FE" w:rsidRPr="005426E1" w:rsidRDefault="008B17FE">
      <w:pPr>
        <w:spacing w:line="360" w:lineRule="auto"/>
        <w:ind w:right="51"/>
        <w:jc w:val="both"/>
        <w:rPr>
          <w:rFonts w:ascii="Palatino Linotype" w:eastAsia="Palatino Linotype" w:hAnsi="Palatino Linotype" w:cs="Palatino Linotype"/>
          <w:sz w:val="22"/>
          <w:szCs w:val="22"/>
        </w:rPr>
      </w:pPr>
    </w:p>
    <w:p w14:paraId="4C1A5818"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En el caso específico, es criterio reiterado de este Instituto que además de los datos especificados en la Ley de Transparencia y Acceso a la Información Pública del Estado de México y Municipios, se consideran confidenciales y por tanto deben testarse al momento de la elaboración de versiones públicas el </w:t>
      </w:r>
      <w:r w:rsidRPr="005426E1">
        <w:rPr>
          <w:rFonts w:ascii="Palatino Linotype" w:eastAsia="Palatino Linotype" w:hAnsi="Palatino Linotype" w:cs="Palatino Linotype"/>
          <w:b/>
          <w:sz w:val="22"/>
          <w:szCs w:val="22"/>
        </w:rPr>
        <w:t>Registro Federal de Contribuyentes</w:t>
      </w:r>
      <w:r w:rsidRPr="005426E1">
        <w:rPr>
          <w:rFonts w:ascii="Palatino Linotype" w:eastAsia="Palatino Linotype" w:hAnsi="Palatino Linotype" w:cs="Palatino Linotype"/>
          <w:sz w:val="22"/>
          <w:szCs w:val="22"/>
        </w:rPr>
        <w:t xml:space="preserve"> (RFC), la </w:t>
      </w:r>
      <w:r w:rsidRPr="005426E1">
        <w:rPr>
          <w:rFonts w:ascii="Palatino Linotype" w:eastAsia="Palatino Linotype" w:hAnsi="Palatino Linotype" w:cs="Palatino Linotype"/>
          <w:b/>
          <w:sz w:val="22"/>
          <w:szCs w:val="22"/>
        </w:rPr>
        <w:t>Clave Única de Registro de Población</w:t>
      </w:r>
      <w:r w:rsidRPr="005426E1">
        <w:rPr>
          <w:rFonts w:ascii="Palatino Linotype" w:eastAsia="Palatino Linotype" w:hAnsi="Palatino Linotype" w:cs="Palatino Linotype"/>
          <w:sz w:val="22"/>
          <w:szCs w:val="22"/>
        </w:rPr>
        <w:t xml:space="preserve"> (CURP), así como el</w:t>
      </w:r>
      <w:r w:rsidRPr="005426E1">
        <w:rPr>
          <w:rFonts w:ascii="Palatino Linotype" w:eastAsia="Palatino Linotype" w:hAnsi="Palatino Linotype" w:cs="Palatino Linotype"/>
          <w:b/>
          <w:sz w:val="22"/>
          <w:szCs w:val="22"/>
        </w:rPr>
        <w:t xml:space="preserve"> número de empleado</w:t>
      </w:r>
      <w:r w:rsidRPr="005426E1">
        <w:rPr>
          <w:rFonts w:ascii="Palatino Linotype" w:eastAsia="Palatino Linotype" w:hAnsi="Palatino Linotype" w:cs="Palatino Linotype"/>
          <w:sz w:val="22"/>
          <w:szCs w:val="22"/>
        </w:rPr>
        <w:t xml:space="preserve">. </w:t>
      </w:r>
    </w:p>
    <w:p w14:paraId="29B27772"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3E9D2B61"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En cuanto al RFC, este constituye un dato personal, ya que para su obtención es necesario acreditar ante la autoridad fiscal previamente la identidad de la persona, su fecha de nacimiento, entre otros aspectos. </w:t>
      </w:r>
    </w:p>
    <w:p w14:paraId="2E95EF59"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490BEB45"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Ahora bien, las personas físicas tramitan su inscripción en el registro con el propósito de realizar —mediante esa clave de identificación— operaciones o actividades de naturaleza fiscal, la cual, les permite hacerse identificables respecto de una situación fiscal determinada.</w:t>
      </w:r>
    </w:p>
    <w:p w14:paraId="694D89E9"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5EB0934C"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Lo anterior es compartido por el Instituto Nacional de Transparencia, Acceso a la Información y Protección de Datos (INAI) a través del Criterio 19/17, el cual es del tenor literal siguiente:</w:t>
      </w:r>
    </w:p>
    <w:p w14:paraId="370FBAC7" w14:textId="77777777" w:rsidR="008B17FE" w:rsidRPr="005426E1" w:rsidRDefault="006F5C2E">
      <w:pPr>
        <w:spacing w:after="120"/>
        <w:ind w:left="851"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 xml:space="preserve">“Registro Federal de Contribuyentes (RFC) de personas físicas. </w:t>
      </w:r>
      <w:r w:rsidRPr="005426E1">
        <w:rPr>
          <w:rFonts w:ascii="Palatino Linotype" w:eastAsia="Palatino Linotype" w:hAnsi="Palatino Linotype" w:cs="Palatino Linotype"/>
          <w:i/>
          <w:sz w:val="22"/>
          <w:szCs w:val="22"/>
        </w:rPr>
        <w:t>El RFC es una clave de carácter fiscal, única e irrepetible, que permite identificar al titular, su edad y fecha de nacimiento, por lo que es un dato personal de carácter confidencial.” (Sic)</w:t>
      </w:r>
    </w:p>
    <w:p w14:paraId="717D3AE8" w14:textId="77777777" w:rsidR="008B17FE" w:rsidRPr="005426E1" w:rsidRDefault="008B17FE">
      <w:pPr>
        <w:spacing w:after="120"/>
        <w:ind w:left="851" w:right="902"/>
        <w:jc w:val="both"/>
        <w:rPr>
          <w:rFonts w:ascii="Palatino Linotype" w:eastAsia="Palatino Linotype" w:hAnsi="Palatino Linotype" w:cs="Palatino Linotype"/>
          <w:sz w:val="22"/>
          <w:szCs w:val="22"/>
        </w:rPr>
      </w:pPr>
    </w:p>
    <w:p w14:paraId="6C49D595"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lastRenderedPageBreak/>
        <w:t xml:space="preserve">Así, el RFC se vincula al nombre de su titular y permite identificar la edad de la persona, su fecha de nacimiento, así como su </w:t>
      </w:r>
      <w:proofErr w:type="spellStart"/>
      <w:r w:rsidRPr="005426E1">
        <w:rPr>
          <w:rFonts w:ascii="Palatino Linotype" w:eastAsia="Palatino Linotype" w:hAnsi="Palatino Linotype" w:cs="Palatino Linotype"/>
          <w:sz w:val="22"/>
          <w:szCs w:val="22"/>
        </w:rPr>
        <w:t>homoclave</w:t>
      </w:r>
      <w:proofErr w:type="spellEnd"/>
      <w:r w:rsidRPr="005426E1">
        <w:rPr>
          <w:rFonts w:ascii="Palatino Linotype" w:eastAsia="Palatino Linotype" w:hAnsi="Palatino Linotype" w:cs="Palatino Linotype"/>
          <w:sz w:val="22"/>
          <w:szCs w:val="22"/>
        </w:rPr>
        <w:t>, la cual es única e irrepetible y determina la identificación de dicha persona para efectos fiscales, por lo que constituye un dato personal que concierne a una persona física identificada e identificable en términos de los artículos 3, fracción IX de la Ley de Transparencia y Acceso a la Información Pública del Estado de México y Municipios y 4 fracción VII de la Ley de Protección de Datos Personales del Estado de México.</w:t>
      </w:r>
    </w:p>
    <w:p w14:paraId="6793A658"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2661697E"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En cuanto al CURP, en virtud de que este se integra por datos personales que únicamente le conciernen a un particular como son su fecha de nacimiento, su nombre, sus apellidos y su lugar de nacimiento; información que permite distinguirlo del resto de los habitantes, se considera que es de carácter confidencial.</w:t>
      </w:r>
    </w:p>
    <w:p w14:paraId="0218D35B"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0D70EF9A"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Argumento que es compartido por el Instituto Nacional de Transparencia, Acceso a la Información y Protección de Datos (INAI)</w:t>
      </w:r>
      <w:r w:rsidRPr="005426E1">
        <w:rPr>
          <w:rFonts w:ascii="Palatino Linotype" w:eastAsia="Palatino Linotype" w:hAnsi="Palatino Linotype" w:cs="Palatino Linotype"/>
          <w:b/>
          <w:sz w:val="22"/>
          <w:szCs w:val="22"/>
        </w:rPr>
        <w:t xml:space="preserve">, conforme al </w:t>
      </w:r>
      <w:r w:rsidRPr="005426E1">
        <w:rPr>
          <w:rFonts w:ascii="Palatino Linotype" w:eastAsia="Palatino Linotype" w:hAnsi="Palatino Linotype" w:cs="Palatino Linotype"/>
          <w:sz w:val="22"/>
          <w:szCs w:val="22"/>
        </w:rPr>
        <w:t xml:space="preserve">criterio número 18/17, el cual refiere: </w:t>
      </w:r>
    </w:p>
    <w:p w14:paraId="40A49A80" w14:textId="77777777" w:rsidR="008B17FE" w:rsidRPr="005426E1" w:rsidRDefault="006F5C2E">
      <w:pPr>
        <w:spacing w:after="120"/>
        <w:ind w:left="851" w:right="902"/>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i/>
          <w:sz w:val="22"/>
          <w:szCs w:val="22"/>
        </w:rPr>
        <w:t xml:space="preserve">“Clave Única de Registro de Población (CURP). </w:t>
      </w:r>
      <w:r w:rsidRPr="005426E1">
        <w:rPr>
          <w:rFonts w:ascii="Palatino Linotype" w:eastAsia="Palatino Linotype" w:hAnsi="Palatino Linotype" w:cs="Palatino Linotype"/>
          <w:i/>
          <w:sz w:val="22"/>
          <w:szCs w:val="22"/>
        </w:rPr>
        <w:t>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 (Sic)</w:t>
      </w:r>
    </w:p>
    <w:p w14:paraId="05C7E9C9"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616069DB" w14:textId="77777777" w:rsidR="008B17FE" w:rsidRPr="005426E1" w:rsidRDefault="008B17FE">
      <w:pPr>
        <w:pBdr>
          <w:top w:val="nil"/>
          <w:left w:val="nil"/>
          <w:bottom w:val="nil"/>
          <w:right w:val="nil"/>
          <w:between w:val="nil"/>
        </w:pBdr>
        <w:ind w:left="720"/>
        <w:rPr>
          <w:rFonts w:ascii="Palatino Linotype" w:eastAsia="Palatino Linotype" w:hAnsi="Palatino Linotype" w:cs="Palatino Linotype"/>
        </w:rPr>
      </w:pPr>
    </w:p>
    <w:p w14:paraId="4AC9EC58"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rPr>
        <w:t xml:space="preserve">Relativo al </w:t>
      </w:r>
      <w:r w:rsidRPr="005426E1">
        <w:rPr>
          <w:rFonts w:ascii="Palatino Linotype" w:eastAsia="Palatino Linotype" w:hAnsi="Palatino Linotype" w:cs="Palatino Linotype"/>
          <w:b/>
        </w:rPr>
        <w:t>domicilio</w:t>
      </w:r>
      <w:r w:rsidRPr="005426E1">
        <w:rPr>
          <w:rFonts w:ascii="Palatino Linotype" w:eastAsia="Palatino Linotype" w:hAnsi="Palatino Linotype" w:cs="Palatino Linotype"/>
        </w:rPr>
        <w:t xml:space="preserve">, de acuerdo con lo señalado en los artículos 2.3 y 2.5 del Código Civil del Estado de México, el domicilio es un atributo de la personalidad y un derecho de las personas. Este tiene como propósito que una persona pueda establecerse temporal o permanentemente en un lugar determinado, para habitar, establecer su </w:t>
      </w:r>
      <w:r w:rsidRPr="005426E1">
        <w:rPr>
          <w:rFonts w:ascii="Palatino Linotype" w:eastAsia="Palatino Linotype" w:hAnsi="Palatino Linotype" w:cs="Palatino Linotype"/>
        </w:rPr>
        <w:lastRenderedPageBreak/>
        <w:t>centro de trabajo o negocios, por lo que atañe únicamente a su privacidad e intimidad, razón por la que no es de carácter pública la información.</w:t>
      </w:r>
    </w:p>
    <w:p w14:paraId="3F7CDA7D"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33D6C42E"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De tales circunstancias, se considera que 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deberá proporcionar dicho dato, en el caso, de que este se conforme únicamente de números, símbolos o dígitos, que de ninguna manera puedan revelar datos personales o de acceso a sistemas con información de los trabajadores; en el caso contrario, procederá su clasificación, en términos del artículo 143, fracción I, de la Ley de la materia.</w:t>
      </w:r>
    </w:p>
    <w:p w14:paraId="5130D939"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5A0A489B"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Al respecto, se destaca que la versión pública que elabore </w:t>
      </w:r>
      <w:r w:rsidRPr="005426E1">
        <w:rPr>
          <w:rFonts w:ascii="Palatino Linotype" w:eastAsia="Palatino Linotype" w:hAnsi="Palatino Linotype" w:cs="Palatino Linotype"/>
          <w:b/>
          <w:sz w:val="22"/>
          <w:szCs w:val="22"/>
        </w:rPr>
        <w:t>el Sujeto Obligado</w:t>
      </w:r>
      <w:r w:rsidRPr="005426E1">
        <w:rPr>
          <w:rFonts w:ascii="Palatino Linotype" w:eastAsia="Palatino Linotype" w:hAnsi="Palatino Linotype" w:cs="Palatino Linotype"/>
          <w:sz w:val="22"/>
          <w:szCs w:val="22"/>
        </w:rPr>
        <w:t xml:space="preserve"> debe cumplir con las formalidades exigidas en la ley, por lo que para tal efecto emitirá el Acuerdo del Comité de Transparencia en términos de la Ley de Transparencia y Acceso a la Información Pública del Estado de México y Municipios, y los Lineamientos Generales en Materia de Clasificación y Desclasificación de la Información, Así como para la elaboración de versiones públicas emitidos por el Consejo Nacional de Transparencia, con el cual sustentara la clasificación de datos y con ello la "versión pública" de los documentos materia de las solicitudes.</w:t>
      </w:r>
    </w:p>
    <w:p w14:paraId="57904789"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55153BD1"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Efectivamente, cuando se clasifica información como confidencial o reservada es importante someterlo al Comité de Transparencia, quien debe confirmar, modificar o revocar la clasificación.</w:t>
      </w:r>
    </w:p>
    <w:p w14:paraId="2AA4B418"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0B9DB72B"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En ese contexto, la clasificación de la información no opera con la simple supresión de datos que se haga en los documentos de que se trate o con la simple decisión que tome el Servidor Público Habilitado o el </w:t>
      </w:r>
      <w:proofErr w:type="gramStart"/>
      <w:r w:rsidRPr="005426E1">
        <w:rPr>
          <w:rFonts w:ascii="Palatino Linotype" w:eastAsia="Palatino Linotype" w:hAnsi="Palatino Linotype" w:cs="Palatino Linotype"/>
          <w:sz w:val="22"/>
          <w:szCs w:val="22"/>
        </w:rPr>
        <w:t>Responsable</w:t>
      </w:r>
      <w:proofErr w:type="gramEnd"/>
      <w:r w:rsidRPr="005426E1">
        <w:rPr>
          <w:rFonts w:ascii="Palatino Linotype" w:eastAsia="Palatino Linotype" w:hAnsi="Palatino Linotype" w:cs="Palatino Linotype"/>
          <w:sz w:val="22"/>
          <w:szCs w:val="22"/>
        </w:rPr>
        <w:t xml:space="preserve"> de la Unidad de Transparencia del Sujeto Obligado, sino </w:t>
      </w:r>
      <w:r w:rsidRPr="005426E1">
        <w:rPr>
          <w:rFonts w:ascii="Palatino Linotype" w:eastAsia="Palatino Linotype" w:hAnsi="Palatino Linotype" w:cs="Palatino Linotype"/>
          <w:sz w:val="22"/>
          <w:szCs w:val="22"/>
        </w:rPr>
        <w:lastRenderedPageBreak/>
        <w:t>que ello deberá realizarse en términos de lo que disponen los artículos 49 fracción VIII, 53, fracción X y 59, fracción V, de la Ley en consulta, cuyo sentido literal es el siguiente:</w:t>
      </w:r>
    </w:p>
    <w:p w14:paraId="3C8893CF" w14:textId="77777777" w:rsidR="008B17FE" w:rsidRPr="005426E1" w:rsidRDefault="008B17FE">
      <w:pPr>
        <w:spacing w:line="360" w:lineRule="auto"/>
        <w:ind w:right="51"/>
        <w:jc w:val="both"/>
        <w:rPr>
          <w:rFonts w:ascii="Palatino Linotype" w:eastAsia="Palatino Linotype" w:hAnsi="Palatino Linotype" w:cs="Palatino Linotype"/>
          <w:sz w:val="22"/>
          <w:szCs w:val="22"/>
        </w:rPr>
      </w:pPr>
    </w:p>
    <w:p w14:paraId="5E9B45F6" w14:textId="77777777" w:rsidR="008B17FE" w:rsidRPr="005426E1" w:rsidRDefault="006F5C2E">
      <w:pPr>
        <w:ind w:left="992" w:right="10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“Artículo 49.</w:t>
      </w:r>
      <w:r w:rsidRPr="005426E1">
        <w:rPr>
          <w:rFonts w:ascii="Palatino Linotype" w:eastAsia="Palatino Linotype" w:hAnsi="Palatino Linotype" w:cs="Palatino Linotype"/>
          <w:i/>
          <w:sz w:val="22"/>
          <w:szCs w:val="22"/>
        </w:rPr>
        <w:t xml:space="preserve"> </w:t>
      </w:r>
      <w:r w:rsidRPr="005426E1">
        <w:rPr>
          <w:rFonts w:ascii="Palatino Linotype" w:eastAsia="Palatino Linotype" w:hAnsi="Palatino Linotype" w:cs="Palatino Linotype"/>
          <w:b/>
          <w:i/>
          <w:sz w:val="22"/>
          <w:szCs w:val="22"/>
        </w:rPr>
        <w:t>Los Comités de Transparencia</w:t>
      </w:r>
      <w:r w:rsidRPr="005426E1">
        <w:rPr>
          <w:rFonts w:ascii="Palatino Linotype" w:eastAsia="Palatino Linotype" w:hAnsi="Palatino Linotype" w:cs="Palatino Linotype"/>
          <w:i/>
          <w:sz w:val="22"/>
          <w:szCs w:val="22"/>
        </w:rPr>
        <w:t xml:space="preserve"> tendrán las siguientes atribuciones:</w:t>
      </w:r>
    </w:p>
    <w:p w14:paraId="05D7DF70" w14:textId="77777777" w:rsidR="008B17FE" w:rsidRPr="005426E1" w:rsidRDefault="006F5C2E">
      <w:pPr>
        <w:ind w:left="992" w:right="10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VIII. Aprobar, modificar o revocar la clasificación de la información</w:t>
      </w:r>
      <w:r w:rsidRPr="005426E1">
        <w:rPr>
          <w:rFonts w:ascii="Palatino Linotype" w:eastAsia="Palatino Linotype" w:hAnsi="Palatino Linotype" w:cs="Palatino Linotype"/>
          <w:i/>
          <w:sz w:val="22"/>
          <w:szCs w:val="22"/>
        </w:rPr>
        <w:t>…”</w:t>
      </w:r>
    </w:p>
    <w:p w14:paraId="45A382D6" w14:textId="77777777" w:rsidR="008B17FE" w:rsidRPr="005426E1" w:rsidRDefault="006F5C2E">
      <w:pPr>
        <w:ind w:left="992" w:right="10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Artículo 53.</w:t>
      </w:r>
      <w:r w:rsidRPr="005426E1">
        <w:rPr>
          <w:rFonts w:ascii="Palatino Linotype" w:eastAsia="Palatino Linotype" w:hAnsi="Palatino Linotype" w:cs="Palatino Linotype"/>
          <w:i/>
          <w:sz w:val="22"/>
          <w:szCs w:val="22"/>
        </w:rPr>
        <w:t xml:space="preserve"> Las </w:t>
      </w:r>
      <w:r w:rsidRPr="005426E1">
        <w:rPr>
          <w:rFonts w:ascii="Palatino Linotype" w:eastAsia="Palatino Linotype" w:hAnsi="Palatino Linotype" w:cs="Palatino Linotype"/>
          <w:b/>
          <w:i/>
          <w:sz w:val="22"/>
          <w:szCs w:val="22"/>
        </w:rPr>
        <w:t>Unidades de Transparencia</w:t>
      </w:r>
      <w:r w:rsidRPr="005426E1">
        <w:rPr>
          <w:rFonts w:ascii="Palatino Linotype" w:eastAsia="Palatino Linotype" w:hAnsi="Palatino Linotype" w:cs="Palatino Linotype"/>
          <w:i/>
          <w:sz w:val="22"/>
          <w:szCs w:val="22"/>
        </w:rPr>
        <w:t xml:space="preserve"> tendrán las siguientes </w:t>
      </w:r>
      <w:r w:rsidRPr="005426E1">
        <w:rPr>
          <w:rFonts w:ascii="Palatino Linotype" w:eastAsia="Palatino Linotype" w:hAnsi="Palatino Linotype" w:cs="Palatino Linotype"/>
          <w:b/>
          <w:i/>
          <w:sz w:val="22"/>
          <w:szCs w:val="22"/>
        </w:rPr>
        <w:t>funciones</w:t>
      </w:r>
      <w:r w:rsidRPr="005426E1">
        <w:rPr>
          <w:rFonts w:ascii="Palatino Linotype" w:eastAsia="Palatino Linotype" w:hAnsi="Palatino Linotype" w:cs="Palatino Linotype"/>
          <w:i/>
          <w:sz w:val="22"/>
          <w:szCs w:val="22"/>
        </w:rPr>
        <w:t>:</w:t>
      </w:r>
    </w:p>
    <w:p w14:paraId="2CDF1998" w14:textId="77777777" w:rsidR="008B17FE" w:rsidRPr="005426E1" w:rsidRDefault="006F5C2E">
      <w:pPr>
        <w:ind w:left="992" w:right="10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X. Presentar ante el Comité, el proyecto de clasificación de información</w:t>
      </w:r>
      <w:r w:rsidRPr="005426E1">
        <w:rPr>
          <w:rFonts w:ascii="Palatino Linotype" w:eastAsia="Palatino Linotype" w:hAnsi="Palatino Linotype" w:cs="Palatino Linotype"/>
          <w:i/>
          <w:sz w:val="22"/>
          <w:szCs w:val="22"/>
        </w:rPr>
        <w:t xml:space="preserve">…” </w:t>
      </w:r>
    </w:p>
    <w:p w14:paraId="05E5AB7F" w14:textId="77777777" w:rsidR="008B17FE" w:rsidRPr="005426E1" w:rsidRDefault="006F5C2E">
      <w:pPr>
        <w:ind w:left="992" w:right="10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“Artículo 59.</w:t>
      </w:r>
      <w:r w:rsidRPr="005426E1">
        <w:rPr>
          <w:rFonts w:ascii="Palatino Linotype" w:eastAsia="Palatino Linotype" w:hAnsi="Palatino Linotype" w:cs="Palatino Linotype"/>
          <w:i/>
          <w:sz w:val="22"/>
          <w:szCs w:val="22"/>
        </w:rPr>
        <w:t xml:space="preserve"> Los </w:t>
      </w:r>
      <w:r w:rsidRPr="005426E1">
        <w:rPr>
          <w:rFonts w:ascii="Palatino Linotype" w:eastAsia="Palatino Linotype" w:hAnsi="Palatino Linotype" w:cs="Palatino Linotype"/>
          <w:b/>
          <w:i/>
          <w:sz w:val="22"/>
          <w:szCs w:val="22"/>
        </w:rPr>
        <w:t>servidores públicos habilitados</w:t>
      </w:r>
      <w:r w:rsidRPr="005426E1">
        <w:rPr>
          <w:rFonts w:ascii="Palatino Linotype" w:eastAsia="Palatino Linotype" w:hAnsi="Palatino Linotype" w:cs="Palatino Linotype"/>
          <w:i/>
          <w:sz w:val="22"/>
          <w:szCs w:val="22"/>
        </w:rPr>
        <w:t xml:space="preserve"> tendrán las </w:t>
      </w:r>
      <w:r w:rsidRPr="005426E1">
        <w:rPr>
          <w:rFonts w:ascii="Palatino Linotype" w:eastAsia="Palatino Linotype" w:hAnsi="Palatino Linotype" w:cs="Palatino Linotype"/>
          <w:b/>
          <w:i/>
          <w:sz w:val="22"/>
          <w:szCs w:val="22"/>
        </w:rPr>
        <w:t>funciones</w:t>
      </w:r>
      <w:r w:rsidRPr="005426E1">
        <w:rPr>
          <w:rFonts w:ascii="Palatino Linotype" w:eastAsia="Palatino Linotype" w:hAnsi="Palatino Linotype" w:cs="Palatino Linotype"/>
          <w:i/>
          <w:sz w:val="22"/>
          <w:szCs w:val="22"/>
        </w:rPr>
        <w:t xml:space="preserve"> siguientes:</w:t>
      </w:r>
    </w:p>
    <w:p w14:paraId="56F0E15B" w14:textId="77777777" w:rsidR="008B17FE" w:rsidRPr="005426E1" w:rsidRDefault="006F5C2E">
      <w:pPr>
        <w:ind w:left="992" w:right="1043"/>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V. Integrar y presentar al responsable de la Unidad de Transparencia la propuesta de clasificación de información</w:t>
      </w:r>
      <w:r w:rsidRPr="005426E1">
        <w:rPr>
          <w:rFonts w:ascii="Palatino Linotype" w:eastAsia="Palatino Linotype" w:hAnsi="Palatino Linotype" w:cs="Palatino Linotype"/>
          <w:i/>
          <w:sz w:val="22"/>
          <w:szCs w:val="22"/>
        </w:rPr>
        <w:t>, la cual tendrá los fundamentos y argumentos en que se basa dicha propuesta</w:t>
      </w:r>
      <w:proofErr w:type="gramStart"/>
      <w:r w:rsidRPr="005426E1">
        <w:rPr>
          <w:rFonts w:ascii="Palatino Linotype" w:eastAsia="Palatino Linotype" w:hAnsi="Palatino Linotype" w:cs="Palatino Linotype"/>
          <w:i/>
          <w:sz w:val="22"/>
          <w:szCs w:val="22"/>
        </w:rPr>
        <w:t>…”(</w:t>
      </w:r>
      <w:proofErr w:type="gramEnd"/>
      <w:r w:rsidRPr="005426E1">
        <w:rPr>
          <w:rFonts w:ascii="Palatino Linotype" w:eastAsia="Palatino Linotype" w:hAnsi="Palatino Linotype" w:cs="Palatino Linotype"/>
          <w:i/>
          <w:sz w:val="22"/>
          <w:szCs w:val="22"/>
        </w:rPr>
        <w:t>Sic)</w:t>
      </w:r>
    </w:p>
    <w:p w14:paraId="72023F11" w14:textId="77777777" w:rsidR="008B17FE" w:rsidRPr="005426E1" w:rsidRDefault="008B17FE">
      <w:pPr>
        <w:ind w:left="992" w:right="1043"/>
        <w:jc w:val="both"/>
        <w:rPr>
          <w:rFonts w:ascii="Palatino Linotype" w:eastAsia="Palatino Linotype" w:hAnsi="Palatino Linotype" w:cs="Palatino Linotype"/>
          <w:i/>
          <w:sz w:val="22"/>
          <w:szCs w:val="22"/>
        </w:rPr>
      </w:pPr>
    </w:p>
    <w:p w14:paraId="5B3A554D"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Denotándose de dichos elementos normativos que el determinar la clasificación de la información es un trabajo en conjunto tanto de los Servidores Públicos Habilitados, de las Unidades de Transparencia y del Comité de Transparencia del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67E75AFD"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319A8AF5"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Para lo cual, a su vez en el caso de información de carácter confidencial, se debe atender a lo que señala el artículo 149 de la Ley de Transparencia Local vigente, que se lee como sigue:</w:t>
      </w:r>
    </w:p>
    <w:p w14:paraId="10D193D3"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5320CFAE" w14:textId="77777777" w:rsidR="008B17FE" w:rsidRPr="005426E1" w:rsidRDefault="006F5C2E">
      <w:pPr>
        <w:spacing w:after="240"/>
        <w:ind w:left="993" w:right="1041"/>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Artículo 149.</w:t>
      </w:r>
      <w:r w:rsidRPr="005426E1">
        <w:rPr>
          <w:rFonts w:ascii="Palatino Linotype" w:eastAsia="Palatino Linotype" w:hAnsi="Palatino Linotype" w:cs="Palatino Linotype"/>
          <w:i/>
          <w:sz w:val="22"/>
          <w:szCs w:val="22"/>
        </w:rPr>
        <w:t xml:space="preserve"> El </w:t>
      </w:r>
      <w:r w:rsidRPr="005426E1">
        <w:rPr>
          <w:rFonts w:ascii="Palatino Linotype" w:eastAsia="Palatino Linotype" w:hAnsi="Palatino Linotype" w:cs="Palatino Linotype"/>
          <w:b/>
          <w:i/>
          <w:sz w:val="22"/>
          <w:szCs w:val="22"/>
        </w:rPr>
        <w:t>acuerdo que clasifique la información como confidencial</w:t>
      </w:r>
      <w:r w:rsidRPr="005426E1">
        <w:rPr>
          <w:rFonts w:ascii="Palatino Linotype" w:eastAsia="Palatino Linotype" w:hAnsi="Palatino Linotype" w:cs="Palatino Linotype"/>
          <w:i/>
          <w:sz w:val="22"/>
          <w:szCs w:val="22"/>
        </w:rPr>
        <w:t xml:space="preserve"> deberá contener un razonamiento lógico en el que demuestre que </w:t>
      </w:r>
      <w:r w:rsidRPr="005426E1">
        <w:rPr>
          <w:rFonts w:ascii="Palatino Linotype" w:eastAsia="Palatino Linotype" w:hAnsi="Palatino Linotype" w:cs="Palatino Linotype"/>
          <w:i/>
          <w:sz w:val="22"/>
          <w:szCs w:val="22"/>
        </w:rPr>
        <w:lastRenderedPageBreak/>
        <w:t xml:space="preserve">la información se encuentra en alguna o algunas de las hipótesis previstas en la presente Ley.” </w:t>
      </w:r>
    </w:p>
    <w:p w14:paraId="2CCC31BC" w14:textId="77777777" w:rsidR="008B17FE" w:rsidRPr="005426E1" w:rsidRDefault="008B17FE">
      <w:pPr>
        <w:spacing w:after="240"/>
        <w:ind w:left="993" w:right="1041"/>
        <w:jc w:val="both"/>
        <w:rPr>
          <w:rFonts w:ascii="Palatino Linotype" w:eastAsia="Palatino Linotype" w:hAnsi="Palatino Linotype" w:cs="Palatino Linotype"/>
          <w:i/>
          <w:sz w:val="22"/>
          <w:szCs w:val="22"/>
        </w:rPr>
      </w:pPr>
    </w:p>
    <w:p w14:paraId="309CC5E0" w14:textId="77777777" w:rsidR="008B17FE" w:rsidRPr="005426E1" w:rsidRDefault="006F5C2E">
      <w:pPr>
        <w:spacing w:line="360" w:lineRule="auto"/>
        <w:ind w:right="51"/>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Es decir, 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095FEE48"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4044F3B5"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Igualmente, los Lineamientos Generales en Materia de Clasificación y Desclasificación de la Información, así como para la elaboración de Versiones Públicas, emitidos por el Consejo Nacional del Sistema Nacional de Transparencia, Acceso a la Información Pública y Protección de Datos Personales, publicados en el Diario Oficial de la Federación el día quince de abril de dos mil dieciséis, tienen por objeto establecer los criterios con base en los cuales los sujetos obligados clasificarán como reservada o confidencial la información que posean, desclasificarán y generarán, en su caso, versiones públicas de documentos que contengan partes o secciones clasificadas.</w:t>
      </w:r>
    </w:p>
    <w:p w14:paraId="30463F65"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11FADAF7"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Entorno a lo que aquí nos interesa, los Lineamientos Quincuagésimo, Quincuagésimo primero, Quincuagésimo segundo, Quincuagésimo cuarto y Quincuagésimo quinto señalan las formalidades que deberá llevar el acuerdo de clasificación que deberá emitir 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siendo estas las siguientes:</w:t>
      </w:r>
    </w:p>
    <w:p w14:paraId="5FAEDDF7"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52863B53" w14:textId="77777777" w:rsidR="008B17FE" w:rsidRPr="005426E1" w:rsidRDefault="006F5C2E">
      <w:pPr>
        <w:ind w:left="567"/>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“CAPÍTULO VIII </w:t>
      </w:r>
    </w:p>
    <w:p w14:paraId="029EBCE4" w14:textId="77777777" w:rsidR="008B17FE" w:rsidRPr="005426E1" w:rsidRDefault="006F5C2E">
      <w:pPr>
        <w:ind w:left="567"/>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DE LOS ELEMENTOS PARA LA CLASIFICACIÓN </w:t>
      </w:r>
    </w:p>
    <w:p w14:paraId="1EC13339"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 xml:space="preserve">Quincuagésimo. </w:t>
      </w:r>
      <w:r w:rsidRPr="005426E1">
        <w:rPr>
          <w:rFonts w:ascii="Palatino Linotype" w:eastAsia="Palatino Linotype" w:hAnsi="Palatino Linotype" w:cs="Palatino Linotype"/>
          <w:i/>
          <w:sz w:val="22"/>
          <w:szCs w:val="22"/>
        </w:rPr>
        <w:t xml:space="preserve">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 </w:t>
      </w:r>
    </w:p>
    <w:p w14:paraId="74D6D49E"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 xml:space="preserve">Quincuagésimo primero. </w:t>
      </w:r>
      <w:r w:rsidRPr="005426E1">
        <w:rPr>
          <w:rFonts w:ascii="Palatino Linotype" w:eastAsia="Palatino Linotype" w:hAnsi="Palatino Linotype" w:cs="Palatino Linotype"/>
          <w:i/>
          <w:sz w:val="22"/>
          <w:szCs w:val="22"/>
        </w:rPr>
        <w:t xml:space="preserve">Toda acta del Comité de Transparencia deberá contener: </w:t>
      </w:r>
    </w:p>
    <w:p w14:paraId="70A7AA1B"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I. El número de sesión y fecha; </w:t>
      </w:r>
    </w:p>
    <w:p w14:paraId="6B35BF9F"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II. El nombre del área que solicitó la clasificación de información; </w:t>
      </w:r>
    </w:p>
    <w:p w14:paraId="080533AC"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III. La fundamentación legal y motivación correspondiente; </w:t>
      </w:r>
    </w:p>
    <w:p w14:paraId="4A9BF92B"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IV. La resolución o resoluciones aprobadas; y </w:t>
      </w:r>
    </w:p>
    <w:p w14:paraId="5CB2BC7D"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V. La rúbrica o firma digital de cada integrante del Comité de Transparencia. </w:t>
      </w:r>
    </w:p>
    <w:p w14:paraId="4FF5E765"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p>
    <w:p w14:paraId="27BADB52" w14:textId="77777777" w:rsidR="008B17FE" w:rsidRPr="005426E1" w:rsidRDefault="006F5C2E">
      <w:pPr>
        <w:ind w:left="567" w:right="900"/>
        <w:jc w:val="both"/>
        <w:rPr>
          <w:rFonts w:ascii="Palatino Linotype" w:eastAsia="Palatino Linotype" w:hAnsi="Palatino Linotype" w:cs="Palatino Linotype"/>
          <w:b/>
          <w:i/>
          <w:sz w:val="22"/>
          <w:szCs w:val="22"/>
          <w:u w:val="single"/>
        </w:rPr>
      </w:pPr>
      <w:r w:rsidRPr="005426E1">
        <w:rPr>
          <w:rFonts w:ascii="Palatino Linotype" w:eastAsia="Palatino Linotype" w:hAnsi="Palatino Linotype" w:cs="Palatino Linotype"/>
          <w:i/>
          <w:sz w:val="22"/>
          <w:szCs w:val="22"/>
        </w:rPr>
        <w:t xml:space="preserve">En los casos de resoluciones del Comité de Transparencia en las que se </w:t>
      </w:r>
      <w:r w:rsidRPr="005426E1">
        <w:rPr>
          <w:rFonts w:ascii="Palatino Linotype" w:eastAsia="Palatino Linotype" w:hAnsi="Palatino Linotype" w:cs="Palatino Linotype"/>
          <w:b/>
          <w:i/>
          <w:sz w:val="22"/>
          <w:szCs w:val="22"/>
          <w:u w:val="single"/>
        </w:rPr>
        <w:t>confirme la clasificación de información confidencial solo se deberán de identificar los tipos de datos protegidos, de conformidad con el lineamiento trigésimo octavo.</w:t>
      </w:r>
    </w:p>
    <w:p w14:paraId="467C9328" w14:textId="77777777" w:rsidR="008B17FE" w:rsidRPr="005426E1" w:rsidRDefault="006F5C2E">
      <w:pPr>
        <w:ind w:left="567" w:right="90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Quincuagésimo segundo. </w:t>
      </w:r>
      <w:r w:rsidRPr="005426E1">
        <w:rPr>
          <w:rFonts w:ascii="Palatino Linotype" w:eastAsia="Palatino Linotype" w:hAnsi="Palatino Linotype" w:cs="Palatino Linotype"/>
          <w:i/>
          <w:sz w:val="22"/>
          <w:szCs w:val="22"/>
        </w:rPr>
        <w:t xml:space="preserve">Para la clasificación y elaboración de versiones públicas de documentos que contengan información clasificada como reservada o </w:t>
      </w:r>
      <w:r w:rsidRPr="005426E1">
        <w:rPr>
          <w:rFonts w:ascii="Palatino Linotype" w:eastAsia="Palatino Linotype" w:hAnsi="Palatino Linotype" w:cs="Palatino Linotype"/>
          <w:b/>
          <w:i/>
          <w:sz w:val="22"/>
          <w:szCs w:val="22"/>
        </w:rPr>
        <w:t>confidencial,</w:t>
      </w:r>
      <w:r w:rsidRPr="005426E1">
        <w:rPr>
          <w:rFonts w:ascii="Palatino Linotype" w:eastAsia="Palatino Linotype" w:hAnsi="Palatino Linotype" w:cs="Palatino Linotype"/>
          <w:i/>
          <w:sz w:val="22"/>
          <w:szCs w:val="22"/>
        </w:rPr>
        <w:t xml:space="preserve"> las áreas de los sujetos obligados deberán tomar las medidas pertinentes tendientes a asegurar que el espacio utilizado para testar la información no podrá ser empleado para la sobreposición de contenido distinto al autorizado por el Comité.</w:t>
      </w:r>
    </w:p>
    <w:p w14:paraId="3426527A"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En el caso específico de la clasificación y elaboración de versiones públicas de documentos que contengan información confidencial, las áreas de los sujetos obligados deberán: </w:t>
      </w:r>
    </w:p>
    <w:p w14:paraId="3D36F035" w14:textId="77777777" w:rsidR="008B17FE" w:rsidRPr="005426E1" w:rsidRDefault="006F5C2E">
      <w:pPr>
        <w:ind w:left="567" w:right="90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I. Fijar la fecha en que se elaboró la versión pública y la fecha en la cual el Comité de Transparencia confirmó dicha versión; </w:t>
      </w:r>
    </w:p>
    <w:p w14:paraId="7FA9EB94" w14:textId="77777777" w:rsidR="008B17FE" w:rsidRPr="005426E1" w:rsidRDefault="006F5C2E">
      <w:pPr>
        <w:ind w:left="567" w:right="90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II. Señalar dentro del documento el tipo de información confidencial que fue testada en cada caso específico, de conformidad con el lineamiento trigésimo octavo; y </w:t>
      </w:r>
    </w:p>
    <w:p w14:paraId="34BF9429" w14:textId="77777777" w:rsidR="008B17FE" w:rsidRPr="005426E1" w:rsidRDefault="006F5C2E">
      <w:pPr>
        <w:ind w:left="567" w:right="90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 xml:space="preserve">III. Señalar las personas o instancias autorizadas a acceder a la información clasificada. </w:t>
      </w:r>
    </w:p>
    <w:p w14:paraId="34A3CB6D"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En los documentos de difusión electrónica, señalar en la primera hoja y en el nombre del archivo, que la versión pública corresponde a un documento que contiene </w:t>
      </w:r>
      <w:r w:rsidRPr="005426E1">
        <w:rPr>
          <w:rFonts w:ascii="Palatino Linotype" w:eastAsia="Palatino Linotype" w:hAnsi="Palatino Linotype" w:cs="Palatino Linotype"/>
          <w:b/>
          <w:i/>
          <w:sz w:val="22"/>
          <w:szCs w:val="22"/>
          <w:u w:val="single"/>
        </w:rPr>
        <w:t>información confidencial.</w:t>
      </w:r>
      <w:r w:rsidRPr="005426E1">
        <w:rPr>
          <w:rFonts w:ascii="Palatino Linotype" w:eastAsia="Palatino Linotype" w:hAnsi="Palatino Linotype" w:cs="Palatino Linotype"/>
          <w:i/>
          <w:sz w:val="22"/>
          <w:szCs w:val="22"/>
        </w:rPr>
        <w:t xml:space="preserve"> </w:t>
      </w:r>
    </w:p>
    <w:p w14:paraId="0ABFE8F8" w14:textId="77777777" w:rsidR="008B17FE" w:rsidRPr="005426E1" w:rsidRDefault="006F5C2E">
      <w:pPr>
        <w:ind w:left="567" w:right="90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t>[…]</w:t>
      </w:r>
    </w:p>
    <w:p w14:paraId="7F5939CC" w14:textId="77777777" w:rsidR="008B17FE" w:rsidRPr="005426E1" w:rsidRDefault="006F5C2E">
      <w:pPr>
        <w:ind w:left="567" w:right="900"/>
        <w:jc w:val="both"/>
        <w:rPr>
          <w:rFonts w:ascii="Palatino Linotype" w:eastAsia="Palatino Linotype" w:hAnsi="Palatino Linotype" w:cs="Palatino Linotype"/>
          <w:b/>
          <w:i/>
          <w:sz w:val="22"/>
          <w:szCs w:val="22"/>
        </w:rPr>
      </w:pPr>
      <w:r w:rsidRPr="005426E1">
        <w:rPr>
          <w:rFonts w:ascii="Palatino Linotype" w:eastAsia="Palatino Linotype" w:hAnsi="Palatino Linotype" w:cs="Palatino Linotype"/>
          <w:b/>
          <w:i/>
          <w:sz w:val="22"/>
          <w:szCs w:val="22"/>
        </w:rPr>
        <w:lastRenderedPageBreak/>
        <w:t xml:space="preserve">Quincuagésimo cuarto. </w:t>
      </w:r>
      <w:r w:rsidRPr="005426E1">
        <w:rPr>
          <w:rFonts w:ascii="Palatino Linotype" w:eastAsia="Palatino Linotype" w:hAnsi="Palatino Linotype" w:cs="Palatino Linotype"/>
          <w:i/>
          <w:sz w:val="22"/>
          <w:szCs w:val="22"/>
        </w:rPr>
        <w:t xml:space="preserve">Cuando el Comité de Transparencia confirme la clasificación de documentos reservados y/o </w:t>
      </w:r>
      <w:r w:rsidRPr="005426E1">
        <w:rPr>
          <w:rFonts w:ascii="Palatino Linotype" w:eastAsia="Palatino Linotype" w:hAnsi="Palatino Linotype" w:cs="Palatino Linotype"/>
          <w:b/>
          <w:i/>
          <w:sz w:val="22"/>
          <w:szCs w:val="22"/>
        </w:rPr>
        <w:t>confidenciales</w:t>
      </w:r>
      <w:r w:rsidRPr="005426E1">
        <w:rPr>
          <w:rFonts w:ascii="Palatino Linotype" w:eastAsia="Palatino Linotype" w:hAnsi="Palatino Linotype" w:cs="Palatino Linotype"/>
          <w:i/>
          <w:sz w:val="22"/>
          <w:szCs w:val="22"/>
        </w:rPr>
        <w:t>,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r w:rsidRPr="005426E1">
        <w:rPr>
          <w:rFonts w:ascii="Palatino Linotype" w:eastAsia="Palatino Linotype" w:hAnsi="Palatino Linotype" w:cs="Palatino Linotype"/>
          <w:b/>
          <w:i/>
          <w:sz w:val="22"/>
          <w:szCs w:val="22"/>
        </w:rPr>
        <w:t xml:space="preserve"> </w:t>
      </w:r>
    </w:p>
    <w:p w14:paraId="1D0B40CC" w14:textId="77777777" w:rsidR="008B17FE" w:rsidRPr="005426E1" w:rsidRDefault="006F5C2E">
      <w:pPr>
        <w:ind w:left="567"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 xml:space="preserve">Quincuagésimo quinto. </w:t>
      </w:r>
      <w:r w:rsidRPr="005426E1">
        <w:rPr>
          <w:rFonts w:ascii="Palatino Linotype" w:eastAsia="Palatino Linotype" w:hAnsi="Palatino Linotype" w:cs="Palatino Linotype"/>
          <w:i/>
          <w:sz w:val="22"/>
          <w:szCs w:val="22"/>
        </w:rPr>
        <w:t xml:space="preserve">Cada área del sujeto obligado podrá designar formalmente a una o más personas como responsables del </w:t>
      </w:r>
      <w:proofErr w:type="spellStart"/>
      <w:r w:rsidRPr="005426E1">
        <w:rPr>
          <w:rFonts w:ascii="Palatino Linotype" w:eastAsia="Palatino Linotype" w:hAnsi="Palatino Linotype" w:cs="Palatino Linotype"/>
          <w:i/>
          <w:sz w:val="22"/>
          <w:szCs w:val="22"/>
        </w:rPr>
        <w:t>testado</w:t>
      </w:r>
      <w:proofErr w:type="spellEnd"/>
      <w:r w:rsidRPr="005426E1">
        <w:rPr>
          <w:rFonts w:ascii="Palatino Linotype" w:eastAsia="Palatino Linotype" w:hAnsi="Palatino Linotype" w:cs="Palatino Linotype"/>
          <w:i/>
          <w:sz w:val="22"/>
          <w:szCs w:val="22"/>
        </w:rPr>
        <w:t xml:space="preserve">,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(Énfasis añadido) </w:t>
      </w:r>
    </w:p>
    <w:p w14:paraId="53C184FC" w14:textId="77777777" w:rsidR="008B17FE" w:rsidRPr="005426E1" w:rsidRDefault="006F5C2E">
      <w:pPr>
        <w:spacing w:before="240" w:after="240"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Asimismo, deberá observar los Lineamientos Quincuagésimo sexto, Quincuagésimo séptimo y Quincuagésimo octavo, establecen lo siguiente:</w:t>
      </w:r>
    </w:p>
    <w:p w14:paraId="42179E33" w14:textId="77777777" w:rsidR="008B17FE" w:rsidRPr="005426E1" w:rsidRDefault="006F5C2E">
      <w:pPr>
        <w:ind w:left="851"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w:t>
      </w:r>
      <w:r w:rsidRPr="005426E1">
        <w:rPr>
          <w:rFonts w:ascii="Palatino Linotype" w:eastAsia="Palatino Linotype" w:hAnsi="Palatino Linotype" w:cs="Palatino Linotype"/>
          <w:b/>
          <w:i/>
          <w:sz w:val="22"/>
          <w:szCs w:val="22"/>
        </w:rPr>
        <w:t>Quincuagésimo sexto</w:t>
      </w:r>
      <w:r w:rsidRPr="005426E1">
        <w:rPr>
          <w:rFonts w:ascii="Palatino Linotype" w:eastAsia="Palatino Linotype" w:hAnsi="Palatino Linotype" w:cs="Palatino Linotype"/>
          <w:i/>
          <w:sz w:val="22"/>
          <w:szCs w:val="22"/>
        </w:rPr>
        <w:t>. Cuando la elaboración de la versión pública del documento o expediente que contenga partes o secciones reservadas o confidenciales, genere costos por reproducción por derivar de una solicitud de información o determinación de una autoridad competente, ésta será elaborada hasta que se haya acreditado el pago correspondiente.</w:t>
      </w:r>
    </w:p>
    <w:p w14:paraId="1F1CDE86" w14:textId="77777777" w:rsidR="008B17FE" w:rsidRPr="005426E1" w:rsidRDefault="006F5C2E">
      <w:pPr>
        <w:ind w:left="851"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Quincuagésimo séptimo</w:t>
      </w:r>
      <w:r w:rsidRPr="005426E1">
        <w:rPr>
          <w:rFonts w:ascii="Palatino Linotype" w:eastAsia="Palatino Linotype" w:hAnsi="Palatino Linotype" w:cs="Palatino Linotype"/>
          <w:i/>
          <w:sz w:val="22"/>
          <w:szCs w:val="22"/>
        </w:rPr>
        <w:t xml:space="preserve">. Se considera, en principio, como información pública y no podrá omitirse de las versiones públicas la siguiente: </w:t>
      </w:r>
    </w:p>
    <w:p w14:paraId="319185E9" w14:textId="77777777" w:rsidR="008B17FE" w:rsidRPr="005426E1" w:rsidRDefault="006F5C2E">
      <w:pPr>
        <w:ind w:left="851"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w:t>
      </w:r>
      <w:r w:rsidRPr="005426E1">
        <w:rPr>
          <w:rFonts w:ascii="Palatino Linotype" w:eastAsia="Palatino Linotype" w:hAnsi="Palatino Linotype" w:cs="Palatino Linotype"/>
          <w:i/>
          <w:sz w:val="22"/>
          <w:szCs w:val="22"/>
        </w:rPr>
        <w:t xml:space="preserve">. La relativa a las Obligaciones de Transparencia que contempla el Título V de la Ley General y las demás disposiciones legales aplicables; </w:t>
      </w:r>
    </w:p>
    <w:p w14:paraId="36CAFD35" w14:textId="77777777" w:rsidR="008B17FE" w:rsidRPr="005426E1" w:rsidRDefault="006F5C2E">
      <w:pPr>
        <w:ind w:left="851"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II.</w:t>
      </w:r>
      <w:r w:rsidRPr="005426E1">
        <w:rPr>
          <w:rFonts w:ascii="Palatino Linotype" w:eastAsia="Palatino Linotype" w:hAnsi="Palatino Linotype" w:cs="Palatino Linotype"/>
          <w:i/>
          <w:sz w:val="22"/>
          <w:szCs w:val="22"/>
        </w:rPr>
        <w:t xml:space="preserve"> El nombre de los integrantes de los sujetos obligados en los documentos, y sus firmas autógrafas o digitales, cuando sean utilizados en el ejercicio de las facultades conferidas para el desempeño del servicio público, y</w:t>
      </w:r>
    </w:p>
    <w:p w14:paraId="2460B19F" w14:textId="77777777" w:rsidR="008B17FE" w:rsidRPr="005426E1" w:rsidRDefault="006F5C2E">
      <w:pPr>
        <w:ind w:left="851"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III</w:t>
      </w:r>
      <w:r w:rsidRPr="005426E1">
        <w:rPr>
          <w:rFonts w:ascii="Palatino Linotype" w:eastAsia="Palatino Linotype" w:hAnsi="Palatino Linotype" w:cs="Palatino Linotype"/>
          <w:i/>
          <w:sz w:val="22"/>
          <w:szCs w:val="22"/>
        </w:rPr>
        <w:t xml:space="preserve">. La información que documente decisiones y los actos de autoridad concluidos de los sujetos obligados, así como el ejercicio de las facultades o actividades de los servidores públicos, de manera que se pueda valorar el desempeño de los mismos. </w:t>
      </w:r>
    </w:p>
    <w:p w14:paraId="2C8AF2A9" w14:textId="77777777" w:rsidR="008B17FE" w:rsidRPr="005426E1" w:rsidRDefault="006F5C2E">
      <w:pPr>
        <w:ind w:left="851"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Lo anterior, siempre y cuando no se acredite alguna causal de clasificación, prevista en las leyes o en los tratados internacionales suscritas por el Estado mexicano.  </w:t>
      </w:r>
    </w:p>
    <w:p w14:paraId="698C0553" w14:textId="77777777" w:rsidR="008B17FE" w:rsidRPr="005426E1" w:rsidRDefault="006F5C2E">
      <w:pPr>
        <w:ind w:left="851" w:right="902"/>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b/>
          <w:i/>
          <w:sz w:val="22"/>
          <w:szCs w:val="22"/>
        </w:rPr>
        <w:t>Quincuagésimo octavo</w:t>
      </w:r>
      <w:r w:rsidRPr="005426E1">
        <w:rPr>
          <w:rFonts w:ascii="Palatino Linotype" w:eastAsia="Palatino Linotype" w:hAnsi="Palatino Linotype" w:cs="Palatino Linotype"/>
          <w:i/>
          <w:sz w:val="22"/>
          <w:szCs w:val="22"/>
        </w:rPr>
        <w:t>. Los sujetos obligados garantizarán que los sistemas o medios empleados para eliminar la información en las versiones públicas sean irreversibles, de tal forma que no permitan su recuperación o la visualización de la misma.”</w:t>
      </w:r>
    </w:p>
    <w:p w14:paraId="3BB52961"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30013B1E"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lastRenderedPageBreak/>
        <w:t xml:space="preserve">Por lo tanto, la entrega de documentos en su versión pública debe acompañarse necesariamente del Acuerdo del Comité de Transparencia que la sustente el cual debe estar debidamente fundado y motivado, en el que se expongan los fundamentos y razonamientos que llevaron al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a testar, suprimir o eliminar datos de dicho soporte documental, ya que no hacerlo, se reitera que lo entregado no tendría un sustento jurídico ni resultaría ser una versión pública, sino más bien una documentación ilegible, incompleta o tachada; ya que el no justificar las causas o motivos por las que no se aprecian determinados datos -ya sea porque se testan o suprimen- deja al solicitante en estado de incertidumbre, al no conocer o comprender porque no aparecen en la documentación respectiva.</w:t>
      </w:r>
    </w:p>
    <w:p w14:paraId="3A45AF50"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1E63597F"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Así, con fundamento en lo prescrito en los artículos 5 párrafos trigésimo tercero, trigésimo cuarto y trigésimo quinto fracciones IV y V de la Constitución Política del Estado Libre y Soberano de México; 2, fracción II; 29, 36 fracciones I y II; 176, 178, 181, 185, fracción I, 186, fracción III, así como 188 de la Ley de Transparencia y Acceso a la Información Pública del Estado de México y Municipios, este Pleno:</w:t>
      </w:r>
    </w:p>
    <w:p w14:paraId="646D10E9"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472EA831" w14:textId="77777777" w:rsidR="008B17FE" w:rsidRPr="005426E1" w:rsidRDefault="006F5C2E">
      <w:pPr>
        <w:widowControl w:val="0"/>
        <w:spacing w:line="360" w:lineRule="auto"/>
        <w:jc w:val="center"/>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R E S U E L V E:</w:t>
      </w:r>
    </w:p>
    <w:p w14:paraId="63F728B4" w14:textId="77777777" w:rsidR="008B17FE" w:rsidRPr="005426E1" w:rsidRDefault="008B17FE">
      <w:pPr>
        <w:spacing w:line="360" w:lineRule="auto"/>
        <w:jc w:val="both"/>
        <w:rPr>
          <w:rFonts w:ascii="Palatino Linotype" w:eastAsia="Palatino Linotype" w:hAnsi="Palatino Linotype" w:cs="Palatino Linotype"/>
          <w:b/>
          <w:sz w:val="22"/>
          <w:szCs w:val="22"/>
        </w:rPr>
      </w:pPr>
    </w:p>
    <w:p w14:paraId="1BE1777B"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Primero. </w:t>
      </w:r>
      <w:r w:rsidRPr="005426E1">
        <w:rPr>
          <w:rFonts w:ascii="Palatino Linotype" w:eastAsia="Palatino Linotype" w:hAnsi="Palatino Linotype" w:cs="Palatino Linotype"/>
          <w:sz w:val="22"/>
          <w:szCs w:val="22"/>
        </w:rPr>
        <w:t xml:space="preserve">Resultan </w:t>
      </w:r>
      <w:r w:rsidRPr="005426E1">
        <w:rPr>
          <w:rFonts w:ascii="Palatino Linotype" w:eastAsia="Palatino Linotype" w:hAnsi="Palatino Linotype" w:cs="Palatino Linotype"/>
          <w:b/>
          <w:sz w:val="22"/>
          <w:szCs w:val="22"/>
        </w:rPr>
        <w:t>FUNDADOS</w:t>
      </w:r>
      <w:r w:rsidRPr="005426E1">
        <w:rPr>
          <w:rFonts w:ascii="Palatino Linotype" w:eastAsia="Palatino Linotype" w:hAnsi="Palatino Linotype" w:cs="Palatino Linotype"/>
          <w:sz w:val="22"/>
          <w:szCs w:val="22"/>
        </w:rPr>
        <w:t xml:space="preserve"> los motivos de inconformidad de la parte </w:t>
      </w:r>
      <w:r w:rsidRPr="005426E1">
        <w:rPr>
          <w:rFonts w:ascii="Palatino Linotype" w:eastAsia="Palatino Linotype" w:hAnsi="Palatino Linotype" w:cs="Palatino Linotype"/>
          <w:b/>
          <w:sz w:val="22"/>
          <w:szCs w:val="22"/>
        </w:rPr>
        <w:t>Recurrente</w:t>
      </w:r>
      <w:r w:rsidRPr="005426E1">
        <w:rPr>
          <w:rFonts w:ascii="Palatino Linotype" w:eastAsia="Palatino Linotype" w:hAnsi="Palatino Linotype" w:cs="Palatino Linotype"/>
          <w:sz w:val="22"/>
          <w:szCs w:val="22"/>
        </w:rPr>
        <w:t xml:space="preserve"> en los recursos de revisión </w:t>
      </w:r>
      <w:r w:rsidRPr="005426E1">
        <w:rPr>
          <w:rFonts w:ascii="Palatino Linotype" w:eastAsia="Palatino Linotype" w:hAnsi="Palatino Linotype" w:cs="Palatino Linotype"/>
          <w:b/>
          <w:sz w:val="22"/>
          <w:szCs w:val="22"/>
        </w:rPr>
        <w:t xml:space="preserve">00654/INFOEM/IP/RR/2025, 00659/INFOEM/IP/RR/2025, 00660/INFOEM/IP/RR/2025 y 00661/INFOEM/IP/RR/2025 </w:t>
      </w:r>
      <w:r w:rsidRPr="005426E1">
        <w:rPr>
          <w:rFonts w:ascii="Palatino Linotype" w:eastAsia="Palatino Linotype" w:hAnsi="Palatino Linotype" w:cs="Palatino Linotype"/>
          <w:sz w:val="22"/>
          <w:szCs w:val="22"/>
        </w:rPr>
        <w:t xml:space="preserve">en términos del </w:t>
      </w:r>
      <w:r w:rsidRPr="005426E1">
        <w:rPr>
          <w:rFonts w:ascii="Palatino Linotype" w:eastAsia="Palatino Linotype" w:hAnsi="Palatino Linotype" w:cs="Palatino Linotype"/>
          <w:b/>
          <w:sz w:val="22"/>
          <w:szCs w:val="22"/>
        </w:rPr>
        <w:t>Considerando Cuarto</w:t>
      </w:r>
      <w:r w:rsidRPr="005426E1">
        <w:rPr>
          <w:rFonts w:ascii="Palatino Linotype" w:eastAsia="Palatino Linotype" w:hAnsi="Palatino Linotype" w:cs="Palatino Linotype"/>
          <w:sz w:val="22"/>
          <w:szCs w:val="22"/>
        </w:rPr>
        <w:t xml:space="preserve"> de la presente resolución.</w:t>
      </w:r>
    </w:p>
    <w:p w14:paraId="33B1675A"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37D6ADFB" w14:textId="77777777" w:rsidR="008B17FE" w:rsidRPr="005426E1" w:rsidRDefault="006F5C2E">
      <w:pPr>
        <w:spacing w:line="360" w:lineRule="auto"/>
        <w:jc w:val="both"/>
        <w:rPr>
          <w:rFonts w:ascii="Palatino Linotype" w:eastAsia="Palatino Linotype" w:hAnsi="Palatino Linotype" w:cs="Palatino Linotype"/>
          <w:sz w:val="22"/>
          <w:szCs w:val="22"/>
        </w:rPr>
      </w:pPr>
      <w:bookmarkStart w:id="2" w:name="_heading=h.3dy6vkm" w:colFirst="0" w:colLast="0"/>
      <w:bookmarkEnd w:id="2"/>
      <w:r w:rsidRPr="005426E1">
        <w:rPr>
          <w:rFonts w:ascii="Palatino Linotype" w:eastAsia="Palatino Linotype" w:hAnsi="Palatino Linotype" w:cs="Palatino Linotype"/>
          <w:b/>
          <w:sz w:val="22"/>
          <w:szCs w:val="22"/>
        </w:rPr>
        <w:lastRenderedPageBreak/>
        <w:t xml:space="preserve">SEGUNDO. </w:t>
      </w:r>
      <w:r w:rsidRPr="005426E1">
        <w:rPr>
          <w:rFonts w:ascii="Palatino Linotype" w:eastAsia="Palatino Linotype" w:hAnsi="Palatino Linotype" w:cs="Palatino Linotype"/>
          <w:sz w:val="22"/>
          <w:szCs w:val="22"/>
        </w:rPr>
        <w:t>Se</w:t>
      </w:r>
      <w:r w:rsidRPr="005426E1">
        <w:rPr>
          <w:rFonts w:ascii="Palatino Linotype" w:eastAsia="Palatino Linotype" w:hAnsi="Palatino Linotype" w:cs="Palatino Linotype"/>
          <w:b/>
          <w:sz w:val="22"/>
          <w:szCs w:val="22"/>
        </w:rPr>
        <w:t xml:space="preserve"> ORDENA </w:t>
      </w:r>
      <w:r w:rsidRPr="005426E1">
        <w:rPr>
          <w:rFonts w:ascii="Palatino Linotype" w:eastAsia="Palatino Linotype" w:hAnsi="Palatino Linotype" w:cs="Palatino Linotype"/>
          <w:sz w:val="22"/>
          <w:szCs w:val="22"/>
        </w:rPr>
        <w:t xml:space="preserve">al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a que,</w:t>
      </w:r>
      <w:r w:rsidRPr="005426E1">
        <w:rPr>
          <w:rFonts w:ascii="Palatino Linotype" w:eastAsia="Palatino Linotype" w:hAnsi="Palatino Linotype" w:cs="Palatino Linotype"/>
          <w:b/>
          <w:sz w:val="22"/>
          <w:szCs w:val="22"/>
        </w:rPr>
        <w:t xml:space="preserve"> </w:t>
      </w:r>
      <w:r w:rsidRPr="005426E1">
        <w:rPr>
          <w:rFonts w:ascii="Palatino Linotype" w:eastAsia="Palatino Linotype" w:hAnsi="Palatino Linotype" w:cs="Palatino Linotype"/>
          <w:sz w:val="22"/>
          <w:szCs w:val="22"/>
        </w:rPr>
        <w:t>en términos del Considerando Cuarto y Quinto, haga entrega, vía Sistema de Acceso a la Información Mexiquense, de ser el caso en versión pública, los documentos donde conste la siguiente información:</w:t>
      </w:r>
    </w:p>
    <w:p w14:paraId="41DD3832"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5EC1B0FA" w14:textId="77777777" w:rsidR="008B17FE" w:rsidRPr="005426E1" w:rsidRDefault="006F5C2E">
      <w:pPr>
        <w:numPr>
          <w:ilvl w:val="3"/>
          <w:numId w:val="10"/>
        </w:numPr>
        <w:pBdr>
          <w:top w:val="nil"/>
          <w:left w:val="nil"/>
          <w:bottom w:val="nil"/>
          <w:right w:val="nil"/>
          <w:between w:val="nil"/>
        </w:pBdr>
        <w:spacing w:line="360" w:lineRule="auto"/>
        <w:ind w:left="426" w:right="49"/>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Del uno de enero al treinta de junio de dos mil diecinueve y de dos mil veintiuno, y del uno de enero al treinta y uno de diciembre de dos mil veintidós.</w:t>
      </w:r>
    </w:p>
    <w:p w14:paraId="47AF465B" w14:textId="77777777" w:rsidR="008B17FE" w:rsidRPr="005426E1" w:rsidRDefault="008B17FE">
      <w:pPr>
        <w:spacing w:line="360" w:lineRule="auto"/>
        <w:jc w:val="both"/>
        <w:rPr>
          <w:rFonts w:ascii="Palatino Linotype" w:eastAsia="Palatino Linotype" w:hAnsi="Palatino Linotype" w:cs="Palatino Linotype"/>
          <w:b/>
          <w:sz w:val="22"/>
          <w:szCs w:val="22"/>
        </w:rPr>
      </w:pPr>
    </w:p>
    <w:p w14:paraId="2A2ADB3D" w14:textId="77777777" w:rsidR="008B17FE" w:rsidRPr="005426E1" w:rsidRDefault="006F5C2E">
      <w:pPr>
        <w:numPr>
          <w:ilvl w:val="0"/>
          <w:numId w:val="1"/>
        </w:num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El o los documentos en donde consten las quejas presentadas en la Defensoría Municipal de Derechos Humanos en contra de los servidores públicos, así como su resolución o recomendación de procedimientos concluidos, o bien, que se encuentren en trámite, pero actualicen algún supuesto del artículo 142 de la Ley de Transparencia y Acceso a la Información Pública del Estado de México y Municipios;</w:t>
      </w:r>
    </w:p>
    <w:p w14:paraId="49298641" w14:textId="77777777" w:rsidR="008B17FE" w:rsidRPr="005426E1" w:rsidRDefault="006F5C2E">
      <w:pPr>
        <w:numPr>
          <w:ilvl w:val="0"/>
          <w:numId w:val="1"/>
        </w:num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El Acuerdo emitido por el Comité de Transparencia en el que clasifique como información reservada, las quejas y resoluciones o recomendaciones que formen parte de algún procedimiento que se encuentre en trámite y que no se relacionen con los supuestos que establece el artículo 142 de la Ley de Transparencia y Acceso a la Información Pública del Estado de México y Municipios.</w:t>
      </w:r>
    </w:p>
    <w:p w14:paraId="5910564F" w14:textId="77777777" w:rsidR="008B17FE" w:rsidRPr="005426E1" w:rsidRDefault="008B17FE">
      <w:pPr>
        <w:spacing w:line="360" w:lineRule="auto"/>
        <w:ind w:right="49"/>
        <w:jc w:val="both"/>
        <w:rPr>
          <w:rFonts w:ascii="Palatino Linotype" w:eastAsia="Palatino Linotype" w:hAnsi="Palatino Linotype" w:cs="Palatino Linotype"/>
          <w:b/>
          <w:sz w:val="22"/>
          <w:szCs w:val="22"/>
        </w:rPr>
      </w:pPr>
    </w:p>
    <w:p w14:paraId="62CC07B6" w14:textId="77777777" w:rsidR="008B17FE" w:rsidRPr="005426E1" w:rsidRDefault="006F5C2E">
      <w:pPr>
        <w:tabs>
          <w:tab w:val="left" w:pos="7655"/>
        </w:tabs>
        <w:spacing w:after="120"/>
        <w:ind w:left="720" w:right="900"/>
        <w:jc w:val="both"/>
        <w:rPr>
          <w:rFonts w:ascii="Palatino Linotype" w:eastAsia="Palatino Linotype" w:hAnsi="Palatino Linotype" w:cs="Palatino Linotype"/>
          <w:i/>
          <w:sz w:val="22"/>
          <w:szCs w:val="22"/>
        </w:rPr>
      </w:pPr>
      <w:r w:rsidRPr="005426E1">
        <w:rPr>
          <w:rFonts w:ascii="Palatino Linotype" w:eastAsia="Palatino Linotype" w:hAnsi="Palatino Linotype" w:cs="Palatino Linotype"/>
          <w:i/>
          <w:sz w:val="22"/>
          <w:szCs w:val="22"/>
        </w:rPr>
        <w:t xml:space="preserve">Deberá emitir el Acuerdo del Comité de Transparencia en términos de la Ley de Transparencia y Acceso a la Información Pública del Estado de México y Municipios, en el que funde y motive las razones sobre los datos que se supriman o eliminen y se ponga a disposición de </w:t>
      </w:r>
      <w:r w:rsidRPr="005426E1">
        <w:rPr>
          <w:rFonts w:ascii="Palatino Linotype" w:eastAsia="Palatino Linotype" w:hAnsi="Palatino Linotype" w:cs="Palatino Linotype"/>
          <w:b/>
          <w:i/>
          <w:sz w:val="22"/>
          <w:szCs w:val="22"/>
        </w:rPr>
        <w:t>la parte</w:t>
      </w:r>
      <w:r w:rsidRPr="005426E1">
        <w:rPr>
          <w:rFonts w:ascii="Palatino Linotype" w:eastAsia="Palatino Linotype" w:hAnsi="Palatino Linotype" w:cs="Palatino Linotype"/>
          <w:i/>
          <w:sz w:val="22"/>
          <w:szCs w:val="22"/>
        </w:rPr>
        <w:t xml:space="preserve"> </w:t>
      </w:r>
      <w:r w:rsidRPr="005426E1">
        <w:rPr>
          <w:rFonts w:ascii="Palatino Linotype" w:eastAsia="Palatino Linotype" w:hAnsi="Palatino Linotype" w:cs="Palatino Linotype"/>
          <w:b/>
          <w:i/>
          <w:sz w:val="22"/>
          <w:szCs w:val="22"/>
        </w:rPr>
        <w:t>Recurrente</w:t>
      </w:r>
      <w:r w:rsidRPr="005426E1">
        <w:rPr>
          <w:rFonts w:ascii="Palatino Linotype" w:eastAsia="Palatino Linotype" w:hAnsi="Palatino Linotype" w:cs="Palatino Linotype"/>
          <w:i/>
          <w:sz w:val="22"/>
          <w:szCs w:val="22"/>
        </w:rPr>
        <w:t>.</w:t>
      </w:r>
    </w:p>
    <w:p w14:paraId="4850CA5A" w14:textId="77777777" w:rsidR="008B17FE" w:rsidRPr="005426E1" w:rsidRDefault="008B17FE">
      <w:pPr>
        <w:spacing w:line="360" w:lineRule="auto"/>
        <w:jc w:val="both"/>
        <w:rPr>
          <w:rFonts w:ascii="Palatino Linotype" w:eastAsia="Palatino Linotype" w:hAnsi="Palatino Linotype" w:cs="Palatino Linotype"/>
          <w:sz w:val="22"/>
          <w:szCs w:val="22"/>
        </w:rPr>
      </w:pPr>
    </w:p>
    <w:p w14:paraId="5E6FB47D" w14:textId="77777777" w:rsidR="008B17FE" w:rsidRPr="005426E1" w:rsidRDefault="006F5C2E">
      <w:pPr>
        <w:spacing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Tercero.</w:t>
      </w:r>
      <w:r w:rsidRPr="005426E1">
        <w:rPr>
          <w:rFonts w:ascii="Palatino Linotype" w:eastAsia="Palatino Linotype" w:hAnsi="Palatino Linotype" w:cs="Palatino Linotype"/>
          <w:sz w:val="22"/>
          <w:szCs w:val="22"/>
        </w:rPr>
        <w:t xml:space="preserve"> </w:t>
      </w:r>
      <w:r w:rsidRPr="005426E1">
        <w:rPr>
          <w:rFonts w:ascii="Palatino Linotype" w:eastAsia="Palatino Linotype" w:hAnsi="Palatino Linotype" w:cs="Palatino Linotype"/>
          <w:b/>
          <w:sz w:val="22"/>
          <w:szCs w:val="22"/>
        </w:rPr>
        <w:t xml:space="preserve">Notifíquese vía Sistema de Acceso a la Información Mexiquense </w:t>
      </w:r>
      <w:r w:rsidRPr="005426E1">
        <w:rPr>
          <w:rFonts w:ascii="Palatino Linotype" w:eastAsia="Palatino Linotype" w:hAnsi="Palatino Linotype" w:cs="Palatino Linotype"/>
          <w:sz w:val="22"/>
          <w:szCs w:val="22"/>
        </w:rPr>
        <w:t>la presente resolución al T</w:t>
      </w:r>
      <w:r w:rsidRPr="005426E1">
        <w:rPr>
          <w:rFonts w:ascii="Palatino Linotype" w:eastAsia="Palatino Linotype" w:hAnsi="Palatino Linotype" w:cs="Palatino Linotype"/>
          <w:b/>
          <w:sz w:val="22"/>
          <w:szCs w:val="22"/>
        </w:rPr>
        <w:t xml:space="preserve">itular de la Unidad de Transparencia </w:t>
      </w:r>
      <w:r w:rsidRPr="005426E1">
        <w:rPr>
          <w:rFonts w:ascii="Palatino Linotype" w:eastAsia="Palatino Linotype" w:hAnsi="Palatino Linotype" w:cs="Palatino Linotype"/>
          <w:sz w:val="22"/>
          <w:szCs w:val="22"/>
        </w:rPr>
        <w:t xml:space="preserve">del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para que </w:t>
      </w:r>
      <w:r w:rsidRPr="005426E1">
        <w:rPr>
          <w:rFonts w:ascii="Palatino Linotype" w:eastAsia="Palatino Linotype" w:hAnsi="Palatino Linotype" w:cs="Palatino Linotype"/>
          <w:sz w:val="22"/>
          <w:szCs w:val="22"/>
        </w:rPr>
        <w:lastRenderedPageBreak/>
        <w:t>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7E6BF86C"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0F263F59" w14:textId="77777777" w:rsidR="008B17FE" w:rsidRPr="005426E1" w:rsidRDefault="006F5C2E">
      <w:pPr>
        <w:spacing w:before="240" w:after="240" w:line="360" w:lineRule="auto"/>
        <w:ind w:right="49"/>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Cuarto. Notifíquese vía SAIMEX, </w:t>
      </w:r>
      <w:r w:rsidRPr="005426E1">
        <w:rPr>
          <w:rFonts w:ascii="Palatino Linotype" w:eastAsia="Palatino Linotype" w:hAnsi="Palatino Linotype" w:cs="Palatino Linotype"/>
          <w:sz w:val="22"/>
          <w:szCs w:val="22"/>
        </w:rPr>
        <w:t>a</w:t>
      </w:r>
      <w:r w:rsidRPr="005426E1">
        <w:rPr>
          <w:rFonts w:ascii="Palatino Linotype" w:eastAsia="Palatino Linotype" w:hAnsi="Palatino Linotype" w:cs="Palatino Linotype"/>
          <w:b/>
          <w:sz w:val="22"/>
          <w:szCs w:val="22"/>
        </w:rPr>
        <w:t xml:space="preserve"> la parte Recurrente</w:t>
      </w:r>
      <w:r w:rsidRPr="005426E1">
        <w:rPr>
          <w:rFonts w:ascii="Palatino Linotype" w:eastAsia="Palatino Linotype" w:hAnsi="Palatino Linotype" w:cs="Palatino Linotype"/>
          <w:sz w:val="22"/>
          <w:szCs w:val="22"/>
        </w:rPr>
        <w:t xml:space="preserve"> la presente resolución, así como, que de conformidad con lo establecido en los artículos 159 y 160 de la Ley General de Transparencia y Acceso a la Información Pública, y en el artículo 196 de la Ley de Transparencia y Acceso a la Información Pública del Estado de México y Municipios, podrá impugnarla vía recurso de inconformidad ante el Instituto Nacional de Transparencia, Acceso a la Información y Protección de Datos Personales, o bien, vía Juicio de Amparo en los términos de las leyes aplicables.</w:t>
      </w:r>
    </w:p>
    <w:p w14:paraId="4958F367" w14:textId="77777777" w:rsidR="008B17FE" w:rsidRPr="005426E1" w:rsidRDefault="006F5C2E">
      <w:pPr>
        <w:spacing w:line="360" w:lineRule="auto"/>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b/>
          <w:sz w:val="22"/>
          <w:szCs w:val="22"/>
        </w:rPr>
        <w:t xml:space="preserve">Quinto. Notifíquese vía Sistema de Acceso a la Información Mexiquense </w:t>
      </w:r>
      <w:r w:rsidRPr="005426E1">
        <w:rPr>
          <w:rFonts w:ascii="Palatino Linotype" w:eastAsia="Palatino Linotype" w:hAnsi="Palatino Linotype" w:cs="Palatino Linotype"/>
          <w:sz w:val="22"/>
          <w:szCs w:val="22"/>
        </w:rPr>
        <w:t xml:space="preserve">a la parte </w:t>
      </w:r>
      <w:r w:rsidRPr="005426E1">
        <w:rPr>
          <w:rFonts w:ascii="Palatino Linotype" w:eastAsia="Palatino Linotype" w:hAnsi="Palatino Linotype" w:cs="Palatino Linotype"/>
          <w:b/>
          <w:sz w:val="22"/>
          <w:szCs w:val="22"/>
        </w:rPr>
        <w:t xml:space="preserve">Recurrente </w:t>
      </w:r>
      <w:r w:rsidRPr="005426E1">
        <w:rPr>
          <w:rFonts w:ascii="Palatino Linotype" w:eastAsia="Palatino Linotype" w:hAnsi="Palatino Linotype" w:cs="Palatino Linotype"/>
          <w:sz w:val="22"/>
          <w:szCs w:val="22"/>
        </w:rPr>
        <w:t xml:space="preserve">que la respuesta que dé el </w:t>
      </w:r>
      <w:r w:rsidRPr="005426E1">
        <w:rPr>
          <w:rFonts w:ascii="Palatino Linotype" w:eastAsia="Palatino Linotype" w:hAnsi="Palatino Linotype" w:cs="Palatino Linotype"/>
          <w:b/>
          <w:sz w:val="22"/>
          <w:szCs w:val="22"/>
        </w:rPr>
        <w:t>Sujeto Obligado</w:t>
      </w:r>
      <w:r w:rsidRPr="005426E1">
        <w:rPr>
          <w:rFonts w:ascii="Palatino Linotype" w:eastAsia="Palatino Linotype" w:hAnsi="Palatino Linotype" w:cs="Palatino Linotype"/>
          <w:sz w:val="22"/>
          <w:szCs w:val="22"/>
        </w:rPr>
        <w:t xml:space="preserve"> derivada de la presente resolución es susceptible de ser impugnadas nuevamente, mediante recurso de revisión, ante el Instituto, en términos del artículo 179, último párrafo de la Ley de Transparencia y Acceso a la Información Pública del Estado de México y Municipios.</w:t>
      </w:r>
    </w:p>
    <w:p w14:paraId="747E877D" w14:textId="77777777" w:rsidR="008B17FE" w:rsidRPr="005426E1" w:rsidRDefault="008B17FE">
      <w:pPr>
        <w:spacing w:line="360" w:lineRule="auto"/>
        <w:jc w:val="both"/>
        <w:rPr>
          <w:rFonts w:ascii="Palatino Linotype" w:eastAsia="Palatino Linotype" w:hAnsi="Palatino Linotype" w:cs="Palatino Linotype"/>
          <w:b/>
          <w:sz w:val="22"/>
          <w:szCs w:val="22"/>
        </w:rPr>
      </w:pPr>
    </w:p>
    <w:p w14:paraId="3520B4C8" w14:textId="77777777" w:rsidR="008B17FE" w:rsidRPr="005426E1" w:rsidRDefault="006F5C2E">
      <w:pPr>
        <w:spacing w:line="360" w:lineRule="auto"/>
        <w:jc w:val="both"/>
        <w:rPr>
          <w:rFonts w:ascii="Palatino Linotype" w:eastAsia="Palatino Linotype" w:hAnsi="Palatino Linotype" w:cs="Palatino Linotype"/>
          <w:b/>
          <w:sz w:val="22"/>
          <w:szCs w:val="22"/>
        </w:rPr>
      </w:pPr>
      <w:r w:rsidRPr="005426E1">
        <w:rPr>
          <w:rFonts w:ascii="Palatino Linotype" w:eastAsia="Palatino Linotype" w:hAnsi="Palatino Linotype" w:cs="Palatino Linotype"/>
          <w:b/>
          <w:sz w:val="22"/>
          <w:szCs w:val="22"/>
        </w:rPr>
        <w:t xml:space="preserve">Sexto. Gírese </w:t>
      </w:r>
      <w:r w:rsidRPr="005426E1">
        <w:rPr>
          <w:rFonts w:ascii="Palatino Linotype" w:eastAsia="Palatino Linotype" w:hAnsi="Palatino Linotype" w:cs="Palatino Linotype"/>
          <w:sz w:val="22"/>
          <w:szCs w:val="22"/>
        </w:rPr>
        <w:t xml:space="preserve">vista a la </w:t>
      </w:r>
      <w:r w:rsidRPr="005426E1">
        <w:rPr>
          <w:rFonts w:ascii="Palatino Linotype" w:eastAsia="Palatino Linotype" w:hAnsi="Palatino Linotype" w:cs="Palatino Linotype"/>
          <w:b/>
          <w:sz w:val="22"/>
          <w:szCs w:val="22"/>
        </w:rPr>
        <w:t>Secretaría Técnica del Pleno</w:t>
      </w:r>
      <w:r w:rsidRPr="005426E1">
        <w:rPr>
          <w:rFonts w:ascii="Palatino Linotype" w:eastAsia="Palatino Linotype" w:hAnsi="Palatino Linotype" w:cs="Palatino Linotype"/>
          <w:sz w:val="22"/>
          <w:szCs w:val="22"/>
        </w:rPr>
        <w:t xml:space="preserve"> de este Instituto para hacer del conocimiento del Órgano Interno de Control competente la presente resolución, a fin de que </w:t>
      </w:r>
      <w:r w:rsidRPr="005426E1">
        <w:rPr>
          <w:rFonts w:ascii="Palatino Linotype" w:eastAsia="Palatino Linotype" w:hAnsi="Palatino Linotype" w:cs="Palatino Linotype"/>
          <w:sz w:val="22"/>
          <w:szCs w:val="22"/>
        </w:rPr>
        <w:lastRenderedPageBreak/>
        <w:t>de conformidad con el artículo 190 de la Ley de Transparencia y Acceso a la Información Pública del Estado de México y Municipios se determine lo conducente, en términos de lo señalado en el Considerando Cuarto</w:t>
      </w:r>
      <w:r w:rsidRPr="005426E1">
        <w:rPr>
          <w:rFonts w:ascii="Palatino Linotype" w:eastAsia="Palatino Linotype" w:hAnsi="Palatino Linotype" w:cs="Palatino Linotype"/>
          <w:b/>
          <w:sz w:val="22"/>
          <w:szCs w:val="22"/>
        </w:rPr>
        <w:t xml:space="preserve"> </w:t>
      </w:r>
      <w:r w:rsidRPr="005426E1">
        <w:rPr>
          <w:rFonts w:ascii="Palatino Linotype" w:eastAsia="Palatino Linotype" w:hAnsi="Palatino Linotype" w:cs="Palatino Linotype"/>
          <w:sz w:val="22"/>
          <w:szCs w:val="22"/>
        </w:rPr>
        <w:t>de la presente resolución.</w:t>
      </w:r>
      <w:r w:rsidRPr="005426E1">
        <w:rPr>
          <w:rFonts w:ascii="Palatino Linotype" w:eastAsia="Palatino Linotype" w:hAnsi="Palatino Linotype" w:cs="Palatino Linotype"/>
          <w:b/>
          <w:sz w:val="22"/>
          <w:szCs w:val="22"/>
        </w:rPr>
        <w:t xml:space="preserve"> </w:t>
      </w:r>
    </w:p>
    <w:p w14:paraId="42C42590" w14:textId="77777777" w:rsidR="008B17FE" w:rsidRPr="005426E1" w:rsidRDefault="008B17FE">
      <w:pPr>
        <w:spacing w:line="360" w:lineRule="auto"/>
        <w:ind w:right="49"/>
        <w:jc w:val="both"/>
        <w:rPr>
          <w:rFonts w:ascii="Palatino Linotype" w:eastAsia="Palatino Linotype" w:hAnsi="Palatino Linotype" w:cs="Palatino Linotype"/>
          <w:sz w:val="22"/>
          <w:szCs w:val="22"/>
        </w:rPr>
      </w:pPr>
    </w:p>
    <w:p w14:paraId="79E1D508" w14:textId="62AF202F" w:rsidR="008B17FE" w:rsidRPr="005426E1" w:rsidRDefault="006F5C2E">
      <w:pPr>
        <w:spacing w:line="360" w:lineRule="auto"/>
        <w:ind w:right="-93"/>
        <w:jc w:val="both"/>
        <w:rPr>
          <w:rFonts w:ascii="Palatino Linotype" w:eastAsia="Palatino Linotype" w:hAnsi="Palatino Linotype" w:cs="Palatino Linotype"/>
          <w:sz w:val="22"/>
          <w:szCs w:val="22"/>
        </w:rPr>
      </w:pPr>
      <w:r w:rsidRPr="005426E1">
        <w:rPr>
          <w:rFonts w:ascii="Palatino Linotype" w:eastAsia="Palatino Linotype" w:hAnsi="Palatino Linotype" w:cs="Palatino Linotype"/>
          <w:sz w:val="22"/>
          <w:szCs w:val="22"/>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w:t>
      </w:r>
      <w:r w:rsidR="005426E1" w:rsidRPr="005426E1">
        <w:rPr>
          <w:rFonts w:ascii="Palatino Linotype" w:eastAsia="Palatino Linotype" w:hAnsi="Palatino Linotype" w:cs="Palatino Linotype"/>
          <w:sz w:val="22"/>
          <w:szCs w:val="22"/>
        </w:rPr>
        <w:t xml:space="preserve">EMITIENDO VOTO PARTICULAR, </w:t>
      </w:r>
      <w:r w:rsidRPr="005426E1">
        <w:rPr>
          <w:rFonts w:ascii="Palatino Linotype" w:eastAsia="Palatino Linotype" w:hAnsi="Palatino Linotype" w:cs="Palatino Linotype"/>
          <w:sz w:val="22"/>
          <w:szCs w:val="22"/>
        </w:rPr>
        <w:t>SHARON CRISTINA MORALES MARTÍNEZ, LUIS GUSTAVO PARRA NORIEGA</w:t>
      </w:r>
      <w:r w:rsidR="005426E1" w:rsidRPr="005426E1">
        <w:rPr>
          <w:rFonts w:ascii="Palatino Linotype" w:eastAsia="Palatino Linotype" w:hAnsi="Palatino Linotype" w:cs="Palatino Linotype"/>
          <w:sz w:val="22"/>
          <w:szCs w:val="22"/>
        </w:rPr>
        <w:t>, EMITIENDO VOTO PARTICULAR</w:t>
      </w:r>
      <w:r w:rsidRPr="005426E1">
        <w:rPr>
          <w:rFonts w:ascii="Palatino Linotype" w:eastAsia="Palatino Linotype" w:hAnsi="Palatino Linotype" w:cs="Palatino Linotype"/>
          <w:sz w:val="22"/>
          <w:szCs w:val="22"/>
        </w:rPr>
        <w:t xml:space="preserve"> Y GUADALUPE RAMÍREZ PEÑA; EN LA NOVENA SESIÓN ORDINARIA CELEBRADA EL DOCE DE MARZO DE DOS MIL VEINTICINCO, ANTE EL SECRETARIO TÉCNICO DEL PLENO ALEXIS TAPIA RAMÍREZ.</w:t>
      </w:r>
    </w:p>
    <w:p w14:paraId="67B69E4C" w14:textId="61F308DF" w:rsidR="008B17FE" w:rsidRPr="005426E1" w:rsidRDefault="008B17FE">
      <w:pPr>
        <w:spacing w:line="360" w:lineRule="auto"/>
        <w:ind w:right="49"/>
        <w:jc w:val="both"/>
        <w:rPr>
          <w:rFonts w:ascii="Palatino Linotype" w:eastAsia="Palatino Linotype" w:hAnsi="Palatino Linotype" w:cs="Palatino Linotype"/>
          <w:sz w:val="22"/>
          <w:szCs w:val="22"/>
        </w:rPr>
      </w:pPr>
    </w:p>
    <w:p w14:paraId="43A837DE" w14:textId="277405DC" w:rsidR="005426E1" w:rsidRPr="005426E1" w:rsidRDefault="005426E1">
      <w:pPr>
        <w:spacing w:line="360" w:lineRule="auto"/>
        <w:ind w:right="49"/>
        <w:jc w:val="both"/>
        <w:rPr>
          <w:rFonts w:ascii="Palatino Linotype" w:eastAsia="Palatino Linotype" w:hAnsi="Palatino Linotype" w:cs="Palatino Linotype"/>
          <w:sz w:val="22"/>
          <w:szCs w:val="22"/>
        </w:rPr>
      </w:pPr>
    </w:p>
    <w:p w14:paraId="291183F8" w14:textId="200079AB" w:rsidR="005426E1" w:rsidRPr="005426E1" w:rsidRDefault="005426E1">
      <w:pPr>
        <w:spacing w:line="360" w:lineRule="auto"/>
        <w:ind w:right="49"/>
        <w:jc w:val="both"/>
        <w:rPr>
          <w:rFonts w:ascii="Palatino Linotype" w:eastAsia="Palatino Linotype" w:hAnsi="Palatino Linotype" w:cs="Palatino Linotype"/>
          <w:sz w:val="22"/>
          <w:szCs w:val="22"/>
        </w:rPr>
      </w:pPr>
    </w:p>
    <w:p w14:paraId="4D484DEB" w14:textId="69E1FE12" w:rsidR="005426E1" w:rsidRPr="005426E1" w:rsidRDefault="005426E1">
      <w:pPr>
        <w:spacing w:line="360" w:lineRule="auto"/>
        <w:ind w:right="49"/>
        <w:jc w:val="both"/>
        <w:rPr>
          <w:rFonts w:ascii="Palatino Linotype" w:eastAsia="Palatino Linotype" w:hAnsi="Palatino Linotype" w:cs="Palatino Linotype"/>
          <w:sz w:val="22"/>
          <w:szCs w:val="22"/>
        </w:rPr>
      </w:pPr>
    </w:p>
    <w:p w14:paraId="1DDCE03E" w14:textId="3D936CFC" w:rsidR="005426E1" w:rsidRPr="005426E1" w:rsidRDefault="005426E1">
      <w:pPr>
        <w:spacing w:line="360" w:lineRule="auto"/>
        <w:ind w:right="49"/>
        <w:jc w:val="both"/>
        <w:rPr>
          <w:rFonts w:ascii="Palatino Linotype" w:eastAsia="Palatino Linotype" w:hAnsi="Palatino Linotype" w:cs="Palatino Linotype"/>
          <w:sz w:val="22"/>
          <w:szCs w:val="22"/>
        </w:rPr>
      </w:pPr>
    </w:p>
    <w:p w14:paraId="5BC8DDCE" w14:textId="43F21502" w:rsidR="005426E1" w:rsidRPr="005426E1" w:rsidRDefault="005426E1">
      <w:pPr>
        <w:spacing w:line="360" w:lineRule="auto"/>
        <w:ind w:right="49"/>
        <w:jc w:val="both"/>
        <w:rPr>
          <w:rFonts w:ascii="Palatino Linotype" w:eastAsia="Palatino Linotype" w:hAnsi="Palatino Linotype" w:cs="Palatino Linotype"/>
          <w:sz w:val="22"/>
          <w:szCs w:val="22"/>
        </w:rPr>
      </w:pPr>
    </w:p>
    <w:p w14:paraId="391CBA27" w14:textId="1E1E4E80" w:rsidR="005426E1" w:rsidRPr="005426E1" w:rsidRDefault="005426E1">
      <w:pPr>
        <w:spacing w:line="360" w:lineRule="auto"/>
        <w:ind w:right="49"/>
        <w:jc w:val="both"/>
        <w:rPr>
          <w:rFonts w:ascii="Palatino Linotype" w:eastAsia="Palatino Linotype" w:hAnsi="Palatino Linotype" w:cs="Palatino Linotype"/>
          <w:sz w:val="22"/>
          <w:szCs w:val="22"/>
        </w:rPr>
      </w:pPr>
    </w:p>
    <w:p w14:paraId="0BB6404C" w14:textId="69CD5522" w:rsidR="005426E1" w:rsidRPr="005426E1" w:rsidRDefault="005426E1">
      <w:pPr>
        <w:spacing w:line="360" w:lineRule="auto"/>
        <w:ind w:right="49"/>
        <w:jc w:val="both"/>
        <w:rPr>
          <w:rFonts w:ascii="Palatino Linotype" w:eastAsia="Palatino Linotype" w:hAnsi="Palatino Linotype" w:cs="Palatino Linotype"/>
          <w:sz w:val="22"/>
          <w:szCs w:val="22"/>
        </w:rPr>
      </w:pPr>
    </w:p>
    <w:p w14:paraId="0547FC08" w14:textId="359C69FE" w:rsidR="005426E1" w:rsidRPr="005426E1" w:rsidRDefault="005426E1">
      <w:pPr>
        <w:spacing w:line="360" w:lineRule="auto"/>
        <w:ind w:right="49"/>
        <w:jc w:val="both"/>
        <w:rPr>
          <w:rFonts w:ascii="Palatino Linotype" w:eastAsia="Palatino Linotype" w:hAnsi="Palatino Linotype" w:cs="Palatino Linotype"/>
          <w:sz w:val="22"/>
          <w:szCs w:val="22"/>
        </w:rPr>
      </w:pPr>
    </w:p>
    <w:p w14:paraId="4C9AF9C2" w14:textId="706C6210" w:rsidR="005426E1" w:rsidRPr="005426E1" w:rsidRDefault="005426E1">
      <w:pPr>
        <w:spacing w:line="360" w:lineRule="auto"/>
        <w:ind w:right="49"/>
        <w:jc w:val="both"/>
        <w:rPr>
          <w:rFonts w:ascii="Palatino Linotype" w:eastAsia="Palatino Linotype" w:hAnsi="Palatino Linotype" w:cs="Palatino Linotype"/>
          <w:sz w:val="22"/>
          <w:szCs w:val="22"/>
        </w:rPr>
      </w:pPr>
    </w:p>
    <w:p w14:paraId="08FAF0CF" w14:textId="1DF4E561" w:rsidR="005426E1" w:rsidRPr="005426E1" w:rsidRDefault="005426E1">
      <w:pPr>
        <w:spacing w:line="360" w:lineRule="auto"/>
        <w:ind w:right="49"/>
        <w:jc w:val="both"/>
        <w:rPr>
          <w:rFonts w:ascii="Palatino Linotype" w:eastAsia="Palatino Linotype" w:hAnsi="Palatino Linotype" w:cs="Palatino Linotype"/>
          <w:sz w:val="22"/>
          <w:szCs w:val="22"/>
        </w:rPr>
      </w:pPr>
    </w:p>
    <w:p w14:paraId="57108C35" w14:textId="30DFC285" w:rsidR="005426E1" w:rsidRPr="005426E1" w:rsidRDefault="005426E1">
      <w:pPr>
        <w:spacing w:line="360" w:lineRule="auto"/>
        <w:ind w:right="49"/>
        <w:jc w:val="both"/>
        <w:rPr>
          <w:rFonts w:ascii="Palatino Linotype" w:eastAsia="Palatino Linotype" w:hAnsi="Palatino Linotype" w:cs="Palatino Linotype"/>
          <w:sz w:val="22"/>
          <w:szCs w:val="22"/>
        </w:rPr>
      </w:pPr>
    </w:p>
    <w:p w14:paraId="1336260F" w14:textId="1F5EDAB4" w:rsidR="005426E1" w:rsidRPr="005426E1" w:rsidRDefault="005426E1">
      <w:pPr>
        <w:spacing w:line="360" w:lineRule="auto"/>
        <w:ind w:right="49"/>
        <w:jc w:val="both"/>
        <w:rPr>
          <w:rFonts w:ascii="Palatino Linotype" w:eastAsia="Palatino Linotype" w:hAnsi="Palatino Linotype" w:cs="Palatino Linotype"/>
          <w:sz w:val="22"/>
          <w:szCs w:val="22"/>
        </w:rPr>
      </w:pPr>
    </w:p>
    <w:p w14:paraId="14F8E949" w14:textId="2C1A4A58" w:rsidR="005426E1" w:rsidRPr="005426E1" w:rsidRDefault="005426E1">
      <w:pPr>
        <w:spacing w:line="360" w:lineRule="auto"/>
        <w:ind w:right="49"/>
        <w:jc w:val="both"/>
        <w:rPr>
          <w:rFonts w:ascii="Palatino Linotype" w:eastAsia="Palatino Linotype" w:hAnsi="Palatino Linotype" w:cs="Palatino Linotype"/>
          <w:sz w:val="22"/>
          <w:szCs w:val="22"/>
        </w:rPr>
      </w:pPr>
    </w:p>
    <w:p w14:paraId="07A2EDFC" w14:textId="10909220" w:rsidR="005426E1" w:rsidRPr="005426E1" w:rsidRDefault="005426E1">
      <w:pPr>
        <w:spacing w:line="360" w:lineRule="auto"/>
        <w:ind w:right="49"/>
        <w:jc w:val="both"/>
        <w:rPr>
          <w:rFonts w:ascii="Palatino Linotype" w:eastAsia="Palatino Linotype" w:hAnsi="Palatino Linotype" w:cs="Palatino Linotype"/>
          <w:sz w:val="22"/>
          <w:szCs w:val="22"/>
        </w:rPr>
      </w:pPr>
    </w:p>
    <w:p w14:paraId="1542843C" w14:textId="33D7A486" w:rsidR="005426E1" w:rsidRPr="005426E1" w:rsidRDefault="005426E1">
      <w:pPr>
        <w:spacing w:line="360" w:lineRule="auto"/>
        <w:ind w:right="49"/>
        <w:jc w:val="both"/>
        <w:rPr>
          <w:rFonts w:ascii="Palatino Linotype" w:eastAsia="Palatino Linotype" w:hAnsi="Palatino Linotype" w:cs="Palatino Linotype"/>
          <w:sz w:val="22"/>
          <w:szCs w:val="22"/>
        </w:rPr>
      </w:pPr>
    </w:p>
    <w:p w14:paraId="72CF8164" w14:textId="1DA3DBEE" w:rsidR="005426E1" w:rsidRPr="005426E1" w:rsidRDefault="005426E1">
      <w:pPr>
        <w:spacing w:line="360" w:lineRule="auto"/>
        <w:ind w:right="49"/>
        <w:jc w:val="both"/>
        <w:rPr>
          <w:rFonts w:ascii="Palatino Linotype" w:eastAsia="Palatino Linotype" w:hAnsi="Palatino Linotype" w:cs="Palatino Linotype"/>
          <w:sz w:val="22"/>
          <w:szCs w:val="22"/>
        </w:rPr>
      </w:pPr>
    </w:p>
    <w:p w14:paraId="32390404" w14:textId="505BDD07" w:rsidR="005426E1" w:rsidRPr="005426E1" w:rsidRDefault="005426E1">
      <w:pPr>
        <w:spacing w:line="360" w:lineRule="auto"/>
        <w:ind w:right="49"/>
        <w:jc w:val="both"/>
        <w:rPr>
          <w:rFonts w:ascii="Palatino Linotype" w:eastAsia="Palatino Linotype" w:hAnsi="Palatino Linotype" w:cs="Palatino Linotype"/>
          <w:sz w:val="22"/>
          <w:szCs w:val="22"/>
        </w:rPr>
      </w:pPr>
    </w:p>
    <w:p w14:paraId="6F3B2BA2" w14:textId="4C05DABD" w:rsidR="005426E1" w:rsidRPr="005426E1" w:rsidRDefault="005426E1">
      <w:pPr>
        <w:spacing w:line="360" w:lineRule="auto"/>
        <w:ind w:right="49"/>
        <w:jc w:val="both"/>
        <w:rPr>
          <w:rFonts w:ascii="Palatino Linotype" w:eastAsia="Palatino Linotype" w:hAnsi="Palatino Linotype" w:cs="Palatino Linotype"/>
          <w:sz w:val="22"/>
          <w:szCs w:val="22"/>
        </w:rPr>
      </w:pPr>
    </w:p>
    <w:p w14:paraId="17A56C4A" w14:textId="40380E60" w:rsidR="005426E1" w:rsidRPr="005426E1" w:rsidRDefault="005426E1">
      <w:pPr>
        <w:spacing w:line="360" w:lineRule="auto"/>
        <w:ind w:right="49"/>
        <w:jc w:val="both"/>
        <w:rPr>
          <w:rFonts w:ascii="Palatino Linotype" w:eastAsia="Palatino Linotype" w:hAnsi="Palatino Linotype" w:cs="Palatino Linotype"/>
          <w:sz w:val="22"/>
          <w:szCs w:val="22"/>
        </w:rPr>
      </w:pPr>
    </w:p>
    <w:p w14:paraId="418C5B42" w14:textId="77777777" w:rsidR="005426E1" w:rsidRPr="005426E1" w:rsidRDefault="005426E1">
      <w:pPr>
        <w:spacing w:line="360" w:lineRule="auto"/>
        <w:ind w:right="49"/>
        <w:jc w:val="both"/>
        <w:rPr>
          <w:rFonts w:ascii="Palatino Linotype" w:eastAsia="Palatino Linotype" w:hAnsi="Palatino Linotype" w:cs="Palatino Linotype"/>
          <w:sz w:val="22"/>
          <w:szCs w:val="22"/>
        </w:rPr>
      </w:pPr>
    </w:p>
    <w:sectPr w:rsidR="005426E1" w:rsidRPr="005426E1">
      <w:headerReference w:type="default" r:id="rId12"/>
      <w:footerReference w:type="default" r:id="rId13"/>
      <w:headerReference w:type="first" r:id="rId14"/>
      <w:footerReference w:type="first" r:id="rId15"/>
      <w:pgSz w:w="12240" w:h="15840"/>
      <w:pgMar w:top="2041" w:right="1474"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A88F2" w14:textId="77777777" w:rsidR="00B4367D" w:rsidRDefault="00B4367D">
      <w:r>
        <w:separator/>
      </w:r>
    </w:p>
  </w:endnote>
  <w:endnote w:type="continuationSeparator" w:id="0">
    <w:p w14:paraId="239D903A" w14:textId="77777777" w:rsidR="00B4367D" w:rsidRDefault="00B436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3125A" w14:textId="77777777" w:rsidR="008B17FE" w:rsidRDefault="006F5C2E">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A55168">
      <w:rPr>
        <w:b/>
        <w:noProof/>
        <w:color w:val="000000"/>
      </w:rPr>
      <w:t>56</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A55168">
      <w:rPr>
        <w:b/>
        <w:noProof/>
        <w:color w:val="000000"/>
      </w:rPr>
      <w:t>58</w:t>
    </w:r>
    <w:r>
      <w:rPr>
        <w:b/>
        <w:color w:val="000000"/>
      </w:rPr>
      <w:fldChar w:fldCharType="end"/>
    </w:r>
  </w:p>
  <w:p w14:paraId="7703DF42" w14:textId="77777777" w:rsidR="008B17FE" w:rsidRDefault="008B17FE">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7AFDC" w14:textId="77777777" w:rsidR="008B17FE" w:rsidRDefault="006F5C2E">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A55168">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A55168">
      <w:rPr>
        <w:b/>
        <w:noProof/>
        <w:color w:val="000000"/>
      </w:rPr>
      <w:t>58</w:t>
    </w:r>
    <w:r>
      <w:rPr>
        <w:b/>
        <w:color w:val="000000"/>
      </w:rPr>
      <w:fldChar w:fldCharType="end"/>
    </w:r>
  </w:p>
  <w:p w14:paraId="19528F19" w14:textId="77777777" w:rsidR="008B17FE" w:rsidRDefault="008B17FE">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5F332" w14:textId="77777777" w:rsidR="00B4367D" w:rsidRDefault="00B4367D">
      <w:r>
        <w:separator/>
      </w:r>
    </w:p>
  </w:footnote>
  <w:footnote w:type="continuationSeparator" w:id="0">
    <w:p w14:paraId="1A89C766" w14:textId="77777777" w:rsidR="00B4367D" w:rsidRDefault="00B4367D">
      <w:r>
        <w:continuationSeparator/>
      </w:r>
    </w:p>
  </w:footnote>
  <w:footnote w:id="1">
    <w:p w14:paraId="20E343F5" w14:textId="77777777" w:rsidR="008B17FE" w:rsidRDefault="006F5C2E">
      <w:pPr>
        <w:spacing w:before="240"/>
        <w:jc w:val="both"/>
        <w:rPr>
          <w:rFonts w:ascii="Palatino Linotype" w:eastAsia="Palatino Linotype" w:hAnsi="Palatino Linotype" w:cs="Palatino Linotype"/>
          <w:sz w:val="16"/>
          <w:szCs w:val="16"/>
        </w:rPr>
      </w:pPr>
      <w:r>
        <w:rPr>
          <w:vertAlign w:val="superscript"/>
        </w:rPr>
        <w:footnoteRef/>
      </w:r>
      <w:r>
        <w:rPr>
          <w:rFonts w:ascii="Palatino Linotype" w:eastAsia="Palatino Linotype" w:hAnsi="Palatino Linotype" w:cs="Palatino Linotype"/>
          <w:sz w:val="16"/>
          <w:szCs w:val="16"/>
        </w:rPr>
        <w:t>“Artículo 178.</w:t>
      </w:r>
    </w:p>
    <w:p w14:paraId="49B2D6E9" w14:textId="77777777" w:rsidR="008B17FE" w:rsidRDefault="006F5C2E">
      <w:pPr>
        <w:jc w:val="both"/>
        <w:rPr>
          <w:rFonts w:ascii="Palatino Linotype" w:eastAsia="Palatino Linotype" w:hAnsi="Palatino Linotype" w:cs="Palatino Linotype"/>
          <w:sz w:val="16"/>
          <w:szCs w:val="16"/>
        </w:rPr>
      </w:pPr>
      <w:r>
        <w:rPr>
          <w:rFonts w:ascii="Palatino Linotype" w:eastAsia="Palatino Linotype" w:hAnsi="Palatino Linotype" w:cs="Palatino Linotype"/>
          <w:sz w:val="16"/>
          <w:szCs w:val="16"/>
        </w:rPr>
        <w:t>…</w:t>
      </w:r>
    </w:p>
    <w:p w14:paraId="6CEB785E" w14:textId="77777777" w:rsidR="008B17FE" w:rsidRDefault="006F5C2E">
      <w:pPr>
        <w:spacing w:after="240"/>
        <w:jc w:val="both"/>
      </w:pPr>
      <w:r>
        <w:rPr>
          <w:rFonts w:ascii="Palatino Linotype" w:eastAsia="Palatino Linotype" w:hAnsi="Palatino Linotype" w:cs="Palatino Linotype"/>
          <w:sz w:val="16"/>
          <w:szCs w:val="16"/>
        </w:rPr>
        <w:t>A falta de respuesta del sujeto obligado, dentro de los plazos establecidos en esta Ley, a una solicitud de acceso a la información pública, el recurso podrá ser interpuesto en cualquier momento, acompañado con el documento que pruebe la fecha en que presentó la solicitud…”(Sic)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15E76" w14:textId="77777777" w:rsidR="008B17FE" w:rsidRDefault="006F5C2E">
    <w:pPr>
      <w:widowControl w:val="0"/>
      <w:pBdr>
        <w:top w:val="nil"/>
        <w:left w:val="nil"/>
        <w:bottom w:val="nil"/>
        <w:right w:val="nil"/>
        <w:between w:val="nil"/>
      </w:pBdr>
      <w:rPr>
        <w:color w:val="000000"/>
      </w:rPr>
    </w:pPr>
    <w:r>
      <w:rPr>
        <w:noProof/>
      </w:rPr>
      <w:drawing>
        <wp:anchor distT="0" distB="0" distL="0" distR="0" simplePos="0" relativeHeight="251658240" behindDoc="1" locked="0" layoutInCell="1" hidden="0" allowOverlap="1" wp14:anchorId="2BA78DF9" wp14:editId="55FE5A61">
          <wp:simplePos x="0" y="0"/>
          <wp:positionH relativeFrom="column">
            <wp:posOffset>-717548</wp:posOffset>
          </wp:positionH>
          <wp:positionV relativeFrom="paragraph">
            <wp:posOffset>-250188</wp:posOffset>
          </wp:positionV>
          <wp:extent cx="7809876" cy="10165823"/>
          <wp:effectExtent l="0" t="0" r="0" b="0"/>
          <wp:wrapNone/>
          <wp:docPr id="3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09876" cy="10165823"/>
                  </a:xfrm>
                  <a:prstGeom prst="rect">
                    <a:avLst/>
                  </a:prstGeom>
                  <a:ln/>
                </pic:spPr>
              </pic:pic>
            </a:graphicData>
          </a:graphic>
        </wp:anchor>
      </w:drawing>
    </w:r>
  </w:p>
  <w:tbl>
    <w:tblPr>
      <w:tblStyle w:val="a1"/>
      <w:tblW w:w="5603" w:type="dxa"/>
      <w:tblInd w:w="3611" w:type="dxa"/>
      <w:tblLayout w:type="fixed"/>
      <w:tblLook w:val="0400" w:firstRow="0" w:lastRow="0" w:firstColumn="0" w:lastColumn="0" w:noHBand="0" w:noVBand="1"/>
    </w:tblPr>
    <w:tblGrid>
      <w:gridCol w:w="2551"/>
      <w:gridCol w:w="3052"/>
    </w:tblGrid>
    <w:tr w:rsidR="008B17FE" w14:paraId="130B6FE7" w14:textId="77777777">
      <w:tc>
        <w:tcPr>
          <w:tcW w:w="2551" w:type="dxa"/>
          <w:vAlign w:val="center"/>
        </w:tcPr>
        <w:p w14:paraId="77719813"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Recurso de Revisión:</w:t>
          </w:r>
        </w:p>
        <w:p w14:paraId="5BE40E7B" w14:textId="77777777" w:rsidR="008B17FE" w:rsidRDefault="008B17F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p>
      </w:tc>
      <w:tc>
        <w:tcPr>
          <w:tcW w:w="3052" w:type="dxa"/>
          <w:vAlign w:val="center"/>
        </w:tcPr>
        <w:p w14:paraId="570C6F01"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sz w:val="22"/>
              <w:szCs w:val="22"/>
            </w:rPr>
            <w:t>00654/INFOEM/IP/RR/2025</w:t>
          </w:r>
          <w:r>
            <w:rPr>
              <w:rFonts w:ascii="Palatino Linotype" w:eastAsia="Palatino Linotype" w:hAnsi="Palatino Linotype" w:cs="Palatino Linotype"/>
              <w:b/>
              <w:color w:val="000000"/>
            </w:rPr>
            <w:t xml:space="preserve"> y acumulado</w:t>
          </w:r>
        </w:p>
      </w:tc>
    </w:tr>
    <w:tr w:rsidR="008B17FE" w14:paraId="016E7948" w14:textId="77777777">
      <w:trPr>
        <w:trHeight w:val="217"/>
      </w:trPr>
      <w:tc>
        <w:tcPr>
          <w:tcW w:w="2551" w:type="dxa"/>
          <w:vAlign w:val="center"/>
        </w:tcPr>
        <w:p w14:paraId="38D0B208"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Sujeto obligado:</w:t>
          </w:r>
        </w:p>
      </w:tc>
      <w:tc>
        <w:tcPr>
          <w:tcW w:w="3052" w:type="dxa"/>
          <w:vAlign w:val="center"/>
        </w:tcPr>
        <w:p w14:paraId="394AB0D4" w14:textId="77777777" w:rsidR="008B17FE" w:rsidRDefault="006F5C2E">
          <w:pPr>
            <w:pBdr>
              <w:top w:val="nil"/>
              <w:left w:val="nil"/>
              <w:bottom w:val="nil"/>
              <w:right w:val="nil"/>
              <w:between w:val="nil"/>
            </w:pBdr>
            <w:tabs>
              <w:tab w:val="center" w:pos="4419"/>
              <w:tab w:val="right" w:pos="8838"/>
            </w:tabs>
            <w:ind w:right="168"/>
            <w:jc w:val="both"/>
            <w:rPr>
              <w:rFonts w:ascii="Palatino Linotype" w:eastAsia="Palatino Linotype" w:hAnsi="Palatino Linotype" w:cs="Palatino Linotype"/>
              <w:b/>
              <w:color w:val="000000"/>
            </w:rPr>
          </w:pPr>
          <w:r>
            <w:rPr>
              <w:rFonts w:ascii="Palatino Linotype" w:eastAsia="Palatino Linotype" w:hAnsi="Palatino Linotype" w:cs="Palatino Linotype"/>
              <w:b/>
              <w:color w:val="000000"/>
              <w:sz w:val="22"/>
              <w:szCs w:val="22"/>
            </w:rPr>
            <w:t>Ayuntamiento de Toluca</w:t>
          </w:r>
        </w:p>
      </w:tc>
    </w:tr>
    <w:tr w:rsidR="008B17FE" w14:paraId="0997EEFB" w14:textId="77777777">
      <w:tc>
        <w:tcPr>
          <w:tcW w:w="2551" w:type="dxa"/>
          <w:vAlign w:val="center"/>
        </w:tcPr>
        <w:p w14:paraId="062F5E7B"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Comisionada ponente:</w:t>
          </w:r>
        </w:p>
      </w:tc>
      <w:tc>
        <w:tcPr>
          <w:tcW w:w="3052" w:type="dxa"/>
          <w:vAlign w:val="center"/>
        </w:tcPr>
        <w:p w14:paraId="62484550"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Guadalupe Ramírez Peña</w:t>
          </w:r>
        </w:p>
      </w:tc>
    </w:tr>
  </w:tbl>
  <w:p w14:paraId="24B7D067" w14:textId="77777777" w:rsidR="008B17FE" w:rsidRDefault="008B17FE">
    <w:pPr>
      <w:pBdr>
        <w:top w:val="nil"/>
        <w:left w:val="nil"/>
        <w:bottom w:val="nil"/>
        <w:right w:val="nil"/>
        <w:between w:val="nil"/>
      </w:pBdr>
      <w:tabs>
        <w:tab w:val="center" w:pos="4419"/>
        <w:tab w:val="right" w:pos="8838"/>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EF561" w14:textId="77777777" w:rsidR="008B17FE" w:rsidRDefault="008B17FE">
    <w:pPr>
      <w:widowControl w:val="0"/>
      <w:pBdr>
        <w:top w:val="nil"/>
        <w:left w:val="nil"/>
        <w:bottom w:val="nil"/>
        <w:right w:val="nil"/>
        <w:between w:val="nil"/>
      </w:pBdr>
      <w:rPr>
        <w:rFonts w:ascii="Palatino Linotype" w:eastAsia="Palatino Linotype" w:hAnsi="Palatino Linotype" w:cs="Palatino Linotype"/>
        <w:sz w:val="22"/>
        <w:szCs w:val="22"/>
      </w:rPr>
    </w:pPr>
  </w:p>
  <w:tbl>
    <w:tblPr>
      <w:tblStyle w:val="a2"/>
      <w:tblW w:w="5603" w:type="dxa"/>
      <w:tblInd w:w="3611" w:type="dxa"/>
      <w:tblLayout w:type="fixed"/>
      <w:tblLook w:val="0400" w:firstRow="0" w:lastRow="0" w:firstColumn="0" w:lastColumn="0" w:noHBand="0" w:noVBand="1"/>
    </w:tblPr>
    <w:tblGrid>
      <w:gridCol w:w="2551"/>
      <w:gridCol w:w="3052"/>
    </w:tblGrid>
    <w:tr w:rsidR="008B17FE" w14:paraId="1F133A3E" w14:textId="77777777">
      <w:tc>
        <w:tcPr>
          <w:tcW w:w="2551" w:type="dxa"/>
          <w:vAlign w:val="center"/>
        </w:tcPr>
        <w:p w14:paraId="758832B2"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Recurso de Revisión:</w:t>
          </w:r>
        </w:p>
        <w:p w14:paraId="050DDA2B" w14:textId="77777777" w:rsidR="008B17FE" w:rsidRDefault="008B17F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p>
      </w:tc>
      <w:tc>
        <w:tcPr>
          <w:tcW w:w="3052" w:type="dxa"/>
          <w:vAlign w:val="center"/>
        </w:tcPr>
        <w:p w14:paraId="7F774EB4"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00654/INFOEM/IP/RR/2025 y acumulados</w:t>
          </w:r>
        </w:p>
      </w:tc>
    </w:tr>
    <w:tr w:rsidR="008B17FE" w14:paraId="729C138F" w14:textId="77777777">
      <w:tc>
        <w:tcPr>
          <w:tcW w:w="2551" w:type="dxa"/>
          <w:vAlign w:val="center"/>
        </w:tcPr>
        <w:p w14:paraId="3FAE10E6"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Recurrente:</w:t>
          </w:r>
        </w:p>
      </w:tc>
      <w:tc>
        <w:tcPr>
          <w:tcW w:w="3052" w:type="dxa"/>
          <w:vAlign w:val="center"/>
        </w:tcPr>
        <w:p w14:paraId="13CB201F" w14:textId="77777777" w:rsidR="008B17FE" w:rsidRDefault="008B17F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p>
      </w:tc>
    </w:tr>
    <w:tr w:rsidR="008B17FE" w14:paraId="65CB9A3F" w14:textId="77777777">
      <w:trPr>
        <w:trHeight w:val="152"/>
      </w:trPr>
      <w:tc>
        <w:tcPr>
          <w:tcW w:w="2551" w:type="dxa"/>
          <w:vAlign w:val="center"/>
        </w:tcPr>
        <w:p w14:paraId="68A74E08" w14:textId="77777777" w:rsidR="008B17FE" w:rsidRDefault="006F5C2E">
          <w:pPr>
            <w:tabs>
              <w:tab w:val="center" w:pos="4419"/>
              <w:tab w:val="right" w:pos="8838"/>
            </w:tabs>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Sujeto obligado:</w:t>
          </w:r>
          <w:r>
            <w:rPr>
              <w:noProof/>
            </w:rPr>
            <w:drawing>
              <wp:anchor distT="0" distB="0" distL="0" distR="0" simplePos="0" relativeHeight="251659264" behindDoc="1" locked="0" layoutInCell="1" hidden="0" allowOverlap="1" wp14:anchorId="19DE1BAC" wp14:editId="78D8668E">
                <wp:simplePos x="0" y="0"/>
                <wp:positionH relativeFrom="column">
                  <wp:posOffset>-3065144</wp:posOffset>
                </wp:positionH>
                <wp:positionV relativeFrom="paragraph">
                  <wp:posOffset>-1162049</wp:posOffset>
                </wp:positionV>
                <wp:extent cx="7809865" cy="10165715"/>
                <wp:effectExtent l="0" t="0" r="0" b="0"/>
                <wp:wrapNone/>
                <wp:docPr id="3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p w14:paraId="7569771F" w14:textId="77777777" w:rsidR="008B17FE" w:rsidRDefault="008B17FE">
          <w:pPr>
            <w:tabs>
              <w:tab w:val="center" w:pos="4419"/>
              <w:tab w:val="right" w:pos="8838"/>
            </w:tabs>
            <w:rPr>
              <w:rFonts w:ascii="Palatino Linotype" w:eastAsia="Palatino Linotype" w:hAnsi="Palatino Linotype" w:cs="Palatino Linotype"/>
              <w:b/>
              <w:color w:val="000000"/>
              <w:sz w:val="22"/>
              <w:szCs w:val="22"/>
            </w:rPr>
          </w:pPr>
        </w:p>
      </w:tc>
      <w:tc>
        <w:tcPr>
          <w:tcW w:w="3052" w:type="dxa"/>
          <w:vAlign w:val="center"/>
        </w:tcPr>
        <w:p w14:paraId="6A0BE7E1" w14:textId="77777777" w:rsidR="008B17FE" w:rsidRDefault="006F5C2E">
          <w:pPr>
            <w:pBdr>
              <w:top w:val="nil"/>
              <w:left w:val="nil"/>
              <w:bottom w:val="nil"/>
              <w:right w:val="nil"/>
              <w:between w:val="nil"/>
            </w:pBdr>
            <w:tabs>
              <w:tab w:val="center" w:pos="4419"/>
              <w:tab w:val="right" w:pos="8838"/>
            </w:tabs>
            <w:ind w:right="174"/>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Ayuntamiento de Toluca</w:t>
          </w:r>
        </w:p>
      </w:tc>
    </w:tr>
    <w:tr w:rsidR="008B17FE" w14:paraId="04825ACA" w14:textId="77777777">
      <w:tc>
        <w:tcPr>
          <w:tcW w:w="2551" w:type="dxa"/>
          <w:vAlign w:val="center"/>
        </w:tcPr>
        <w:p w14:paraId="4EE95839"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Comisionada ponente:</w:t>
          </w:r>
        </w:p>
      </w:tc>
      <w:tc>
        <w:tcPr>
          <w:tcW w:w="3052" w:type="dxa"/>
          <w:vAlign w:val="center"/>
        </w:tcPr>
        <w:p w14:paraId="68EA6DC7" w14:textId="77777777" w:rsidR="008B17FE" w:rsidRDefault="006F5C2E">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Guadalupe Ramírez Peña</w:t>
          </w:r>
        </w:p>
      </w:tc>
    </w:tr>
  </w:tbl>
  <w:p w14:paraId="17E1B5A7" w14:textId="77777777" w:rsidR="008B17FE" w:rsidRDefault="006F5C2E">
    <w:pPr>
      <w:rPr>
        <w:color w:val="000000"/>
        <w:sz w:val="22"/>
        <w:szCs w:val="22"/>
      </w:rPr>
    </w:pPr>
    <w:r>
      <w:rPr>
        <w:color w:val="000000"/>
        <w:sz w:val="22"/>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23927"/>
    <w:multiLevelType w:val="multilevel"/>
    <w:tmpl w:val="8570796A"/>
    <w:lvl w:ilvl="0">
      <w:start w:val="7"/>
      <w:numFmt w:val="upp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8566D9F"/>
    <w:multiLevelType w:val="multilevel"/>
    <w:tmpl w:val="87647CD4"/>
    <w:lvl w:ilvl="0">
      <w:start w:val="1"/>
      <w:numFmt w:val="decimal"/>
      <w:lvlText w:val="%1)"/>
      <w:lvlJc w:val="left"/>
      <w:pPr>
        <w:ind w:left="720" w:hanging="360"/>
      </w:pPr>
      <w:rPr>
        <w:b/>
      </w:rPr>
    </w:lvl>
    <w:lvl w:ilvl="1">
      <w:numFmt w:val="decimal"/>
      <w:lvlText w:val="o"/>
      <w:lvlJc w:val="left"/>
      <w:pPr>
        <w:ind w:left="1440" w:hanging="360"/>
      </w:pPr>
      <w:rPr>
        <w:rFonts w:ascii="Courier New" w:eastAsia="Courier New" w:hAnsi="Courier New" w:cs="Courier New"/>
      </w:rPr>
    </w:lvl>
    <w:lvl w:ilvl="2">
      <w:numFmt w:val="decimal"/>
      <w:lvlText w:val=""/>
      <w:lvlJc w:val="left"/>
      <w:pPr>
        <w:ind w:left="2160" w:hanging="360"/>
      </w:pPr>
      <w:rPr>
        <w:rFonts w:ascii="Noto Sans Symbols" w:eastAsia="Noto Sans Symbols" w:hAnsi="Noto Sans Symbols" w:cs="Noto Sans Symbols"/>
      </w:rPr>
    </w:lvl>
    <w:lvl w:ilvl="3">
      <w:numFmt w:val="decimal"/>
      <w:lvlText w:val=""/>
      <w:lvlJc w:val="left"/>
      <w:pPr>
        <w:ind w:left="2880" w:hanging="360"/>
      </w:pPr>
      <w:rPr>
        <w:rFonts w:ascii="Noto Sans Symbols" w:eastAsia="Noto Sans Symbols" w:hAnsi="Noto Sans Symbols" w:cs="Noto Sans Symbols"/>
      </w:rPr>
    </w:lvl>
    <w:lvl w:ilvl="4">
      <w:numFmt w:val="decimal"/>
      <w:lvlText w:val="o"/>
      <w:lvlJc w:val="left"/>
      <w:pPr>
        <w:ind w:left="3600" w:hanging="360"/>
      </w:pPr>
      <w:rPr>
        <w:rFonts w:ascii="Courier New" w:eastAsia="Courier New" w:hAnsi="Courier New" w:cs="Courier New"/>
      </w:rPr>
    </w:lvl>
    <w:lvl w:ilvl="5">
      <w:numFmt w:val="decimal"/>
      <w:lvlText w:val=""/>
      <w:lvlJc w:val="left"/>
      <w:pPr>
        <w:ind w:left="4320" w:hanging="360"/>
      </w:pPr>
      <w:rPr>
        <w:rFonts w:ascii="Noto Sans Symbols" w:eastAsia="Noto Sans Symbols" w:hAnsi="Noto Sans Symbols" w:cs="Noto Sans Symbols"/>
      </w:rPr>
    </w:lvl>
    <w:lvl w:ilvl="6">
      <w:numFmt w:val="decimal"/>
      <w:lvlText w:val=""/>
      <w:lvlJc w:val="left"/>
      <w:pPr>
        <w:ind w:left="5040" w:hanging="360"/>
      </w:pPr>
      <w:rPr>
        <w:rFonts w:ascii="Noto Sans Symbols" w:eastAsia="Noto Sans Symbols" w:hAnsi="Noto Sans Symbols" w:cs="Noto Sans Symbols"/>
      </w:rPr>
    </w:lvl>
    <w:lvl w:ilvl="7">
      <w:numFmt w:val="decimal"/>
      <w:lvlText w:val="o"/>
      <w:lvlJc w:val="left"/>
      <w:pPr>
        <w:ind w:left="5760" w:hanging="360"/>
      </w:pPr>
      <w:rPr>
        <w:rFonts w:ascii="Courier New" w:eastAsia="Courier New" w:hAnsi="Courier New" w:cs="Courier New"/>
      </w:rPr>
    </w:lvl>
    <w:lvl w:ilvl="8">
      <w:numFmt w:val="decimal"/>
      <w:lvlText w:val=""/>
      <w:lvlJc w:val="left"/>
      <w:pPr>
        <w:ind w:left="6480" w:hanging="360"/>
      </w:pPr>
      <w:rPr>
        <w:rFonts w:ascii="Noto Sans Symbols" w:eastAsia="Noto Sans Symbols" w:hAnsi="Noto Sans Symbols" w:cs="Noto Sans Symbols"/>
      </w:rPr>
    </w:lvl>
  </w:abstractNum>
  <w:abstractNum w:abstractNumId="2" w15:restartNumberingAfterBreak="0">
    <w:nsid w:val="0B1A210D"/>
    <w:multiLevelType w:val="multilevel"/>
    <w:tmpl w:val="4B905DA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3" w15:restartNumberingAfterBreak="0">
    <w:nsid w:val="10857137"/>
    <w:multiLevelType w:val="multilevel"/>
    <w:tmpl w:val="16728BB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4" w15:restartNumberingAfterBreak="0">
    <w:nsid w:val="194103B7"/>
    <w:multiLevelType w:val="multilevel"/>
    <w:tmpl w:val="4A1430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A893F31"/>
    <w:multiLevelType w:val="multilevel"/>
    <w:tmpl w:val="D65036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7BC0CEB"/>
    <w:multiLevelType w:val="multilevel"/>
    <w:tmpl w:val="64FED0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28F5099"/>
    <w:multiLevelType w:val="multilevel"/>
    <w:tmpl w:val="948EB5BC"/>
    <w:lvl w:ilvl="0">
      <w:start w:val="1"/>
      <w:numFmt w:val="decimal"/>
      <w:lvlText w:val="%1)"/>
      <w:lvlJc w:val="left"/>
      <w:pPr>
        <w:ind w:left="720" w:hanging="360"/>
      </w:pPr>
      <w:rPr>
        <w:b/>
      </w:rPr>
    </w:lvl>
    <w:lvl w:ilvl="1">
      <w:numFmt w:val="decimal"/>
      <w:lvlText w:val="o"/>
      <w:lvlJc w:val="left"/>
      <w:pPr>
        <w:ind w:left="1440" w:hanging="360"/>
      </w:pPr>
      <w:rPr>
        <w:rFonts w:ascii="Courier New" w:eastAsia="Courier New" w:hAnsi="Courier New" w:cs="Courier New"/>
      </w:rPr>
    </w:lvl>
    <w:lvl w:ilvl="2">
      <w:numFmt w:val="decimal"/>
      <w:lvlText w:val=""/>
      <w:lvlJc w:val="left"/>
      <w:pPr>
        <w:ind w:left="2160" w:hanging="360"/>
      </w:pPr>
      <w:rPr>
        <w:rFonts w:ascii="Noto Sans Symbols" w:eastAsia="Noto Sans Symbols" w:hAnsi="Noto Sans Symbols" w:cs="Noto Sans Symbols"/>
      </w:rPr>
    </w:lvl>
    <w:lvl w:ilvl="3">
      <w:numFmt w:val="decimal"/>
      <w:lvlText w:val=""/>
      <w:lvlJc w:val="left"/>
      <w:pPr>
        <w:ind w:left="2880" w:hanging="360"/>
      </w:pPr>
      <w:rPr>
        <w:rFonts w:ascii="Noto Sans Symbols" w:eastAsia="Noto Sans Symbols" w:hAnsi="Noto Sans Symbols" w:cs="Noto Sans Symbols"/>
      </w:rPr>
    </w:lvl>
    <w:lvl w:ilvl="4">
      <w:numFmt w:val="decimal"/>
      <w:lvlText w:val="o"/>
      <w:lvlJc w:val="left"/>
      <w:pPr>
        <w:ind w:left="3600" w:hanging="360"/>
      </w:pPr>
      <w:rPr>
        <w:rFonts w:ascii="Courier New" w:eastAsia="Courier New" w:hAnsi="Courier New" w:cs="Courier New"/>
      </w:rPr>
    </w:lvl>
    <w:lvl w:ilvl="5">
      <w:numFmt w:val="decimal"/>
      <w:lvlText w:val=""/>
      <w:lvlJc w:val="left"/>
      <w:pPr>
        <w:ind w:left="4320" w:hanging="360"/>
      </w:pPr>
      <w:rPr>
        <w:rFonts w:ascii="Noto Sans Symbols" w:eastAsia="Noto Sans Symbols" w:hAnsi="Noto Sans Symbols" w:cs="Noto Sans Symbols"/>
      </w:rPr>
    </w:lvl>
    <w:lvl w:ilvl="6">
      <w:numFmt w:val="decimal"/>
      <w:lvlText w:val=""/>
      <w:lvlJc w:val="left"/>
      <w:pPr>
        <w:ind w:left="5040" w:hanging="360"/>
      </w:pPr>
      <w:rPr>
        <w:rFonts w:ascii="Noto Sans Symbols" w:eastAsia="Noto Sans Symbols" w:hAnsi="Noto Sans Symbols" w:cs="Noto Sans Symbols"/>
      </w:rPr>
    </w:lvl>
    <w:lvl w:ilvl="7">
      <w:numFmt w:val="decimal"/>
      <w:lvlText w:val="o"/>
      <w:lvlJc w:val="left"/>
      <w:pPr>
        <w:ind w:left="5760" w:hanging="360"/>
      </w:pPr>
      <w:rPr>
        <w:rFonts w:ascii="Courier New" w:eastAsia="Courier New" w:hAnsi="Courier New" w:cs="Courier New"/>
      </w:rPr>
    </w:lvl>
    <w:lvl w:ilvl="8">
      <w:numFmt w:val="decimal"/>
      <w:lvlText w:val=""/>
      <w:lvlJc w:val="left"/>
      <w:pPr>
        <w:ind w:left="6480" w:hanging="360"/>
      </w:pPr>
      <w:rPr>
        <w:rFonts w:ascii="Noto Sans Symbols" w:eastAsia="Noto Sans Symbols" w:hAnsi="Noto Sans Symbols" w:cs="Noto Sans Symbols"/>
      </w:rPr>
    </w:lvl>
  </w:abstractNum>
  <w:abstractNum w:abstractNumId="8" w15:restartNumberingAfterBreak="0">
    <w:nsid w:val="3B130D1B"/>
    <w:multiLevelType w:val="multilevel"/>
    <w:tmpl w:val="EF52DF02"/>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9" w15:restartNumberingAfterBreak="0">
    <w:nsid w:val="41157190"/>
    <w:multiLevelType w:val="multilevel"/>
    <w:tmpl w:val="D166BC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4C7E34A8"/>
    <w:multiLevelType w:val="multilevel"/>
    <w:tmpl w:val="910025AA"/>
    <w:lvl w:ilvl="0">
      <w:start w:val="1"/>
      <w:numFmt w:val="lowerLetter"/>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19B74B6"/>
    <w:multiLevelType w:val="multilevel"/>
    <w:tmpl w:val="7DCED8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57DB2900"/>
    <w:multiLevelType w:val="multilevel"/>
    <w:tmpl w:val="3978348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3" w15:restartNumberingAfterBreak="0">
    <w:nsid w:val="65083AFE"/>
    <w:multiLevelType w:val="multilevel"/>
    <w:tmpl w:val="D5DCDA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652C24AF"/>
    <w:multiLevelType w:val="multilevel"/>
    <w:tmpl w:val="0E4E24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74E70F9F"/>
    <w:multiLevelType w:val="multilevel"/>
    <w:tmpl w:val="D0307238"/>
    <w:lvl w:ilvl="0">
      <w:start w:val="1"/>
      <w:numFmt w:val="upp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0"/>
  </w:num>
  <w:num w:numId="2">
    <w:abstractNumId w:val="14"/>
  </w:num>
  <w:num w:numId="3">
    <w:abstractNumId w:val="3"/>
  </w:num>
  <w:num w:numId="4">
    <w:abstractNumId w:val="6"/>
  </w:num>
  <w:num w:numId="5">
    <w:abstractNumId w:val="9"/>
  </w:num>
  <w:num w:numId="6">
    <w:abstractNumId w:val="2"/>
  </w:num>
  <w:num w:numId="7">
    <w:abstractNumId w:val="4"/>
  </w:num>
  <w:num w:numId="8">
    <w:abstractNumId w:val="12"/>
  </w:num>
  <w:num w:numId="9">
    <w:abstractNumId w:val="5"/>
  </w:num>
  <w:num w:numId="10">
    <w:abstractNumId w:val="0"/>
  </w:num>
  <w:num w:numId="11">
    <w:abstractNumId w:val="11"/>
  </w:num>
  <w:num w:numId="12">
    <w:abstractNumId w:val="15"/>
  </w:num>
  <w:num w:numId="13">
    <w:abstractNumId w:val="1"/>
  </w:num>
  <w:num w:numId="14">
    <w:abstractNumId w:val="7"/>
  </w:num>
  <w:num w:numId="15">
    <w:abstractNumId w:val="13"/>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17FE"/>
    <w:rsid w:val="005426E1"/>
    <w:rsid w:val="006F5C2E"/>
    <w:rsid w:val="008B17FE"/>
    <w:rsid w:val="00A55168"/>
    <w:rsid w:val="00B4367D"/>
    <w:rsid w:val="00E2311F"/>
    <w:rsid w:val="00E930E9"/>
    <w:rsid w:val="00F961D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03C86"/>
  <w15:docId w15:val="{3A4E7FD6-C3A8-46E6-9F91-6502D15DA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1881"/>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aliases w:val="Cita textual"/>
    <w:basedOn w:val="Normal"/>
    <w:next w:val="Normal"/>
    <w:link w:val="TtuloCar"/>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table" w:customStyle="1" w:styleId="TableNormal1">
    <w:name w:val="Table Normal1"/>
    <w:tblPr>
      <w:tblCellMar>
        <w:top w:w="0" w:type="dxa"/>
        <w:left w:w="0" w:type="dxa"/>
        <w:bottom w:w="0" w:type="dxa"/>
        <w:right w:w="0" w:type="dxa"/>
      </w:tblCellMar>
    </w:tblPr>
  </w:style>
  <w:style w:type="paragraph" w:styleId="Encabezado">
    <w:name w:val="header"/>
    <w:basedOn w:val="Normal"/>
    <w:link w:val="EncabezadoCar"/>
    <w:uiPriority w:val="99"/>
    <w:unhideWhenUsed/>
    <w:rsid w:val="00CD74AE"/>
    <w:pPr>
      <w:tabs>
        <w:tab w:val="center" w:pos="4419"/>
        <w:tab w:val="right" w:pos="8838"/>
      </w:tabs>
    </w:pPr>
  </w:style>
  <w:style w:type="character" w:customStyle="1" w:styleId="EncabezadoCar">
    <w:name w:val="Encabezado Car"/>
    <w:basedOn w:val="Fuentedeprrafopredeter"/>
    <w:link w:val="Encabezado"/>
    <w:uiPriority w:val="99"/>
    <w:rsid w:val="00CD74AE"/>
  </w:style>
  <w:style w:type="paragraph" w:styleId="Piedepgina">
    <w:name w:val="footer"/>
    <w:basedOn w:val="Normal"/>
    <w:link w:val="PiedepginaCar"/>
    <w:uiPriority w:val="99"/>
    <w:unhideWhenUsed/>
    <w:rsid w:val="00CD74AE"/>
    <w:pPr>
      <w:tabs>
        <w:tab w:val="center" w:pos="4419"/>
        <w:tab w:val="right" w:pos="8838"/>
      </w:tabs>
    </w:pPr>
  </w:style>
  <w:style w:type="character" w:customStyle="1" w:styleId="PiedepginaCar">
    <w:name w:val="Pie de página Car"/>
    <w:basedOn w:val="Fuentedeprrafopredeter"/>
    <w:link w:val="Piedepgina"/>
    <w:uiPriority w:val="99"/>
    <w:rsid w:val="00CD74AE"/>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72"/>
    <w:qFormat/>
    <w:rsid w:val="00CD74AE"/>
    <w:pPr>
      <w:ind w:left="720"/>
      <w:contextualSpacing/>
    </w:pPr>
  </w:style>
  <w:style w:type="character" w:styleId="Hipervnculo">
    <w:name w:val="Hyperlink"/>
    <w:aliases w:val="Hipervínculo1,Hipervínculo11,Hipervínculo12,Hipervínculo13,Hipervínculo14,Hipervínculo15"/>
    <w:basedOn w:val="Fuentedeprrafopredeter"/>
    <w:uiPriority w:val="99"/>
    <w:unhideWhenUsed/>
    <w:qFormat/>
    <w:rsid w:val="00CD74AE"/>
    <w:rPr>
      <w:color w:val="0563C1" w:themeColor="hyperlink"/>
      <w:u w:val="single"/>
    </w:rPr>
  </w:style>
  <w:style w:type="table" w:styleId="Tablaconcuadrcula">
    <w:name w:val="Table Grid"/>
    <w:basedOn w:val="Tablanormal"/>
    <w:uiPriority w:val="39"/>
    <w:rsid w:val="009C1D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D2AA5"/>
    <w:pPr>
      <w:spacing w:before="100" w:beforeAutospacing="1" w:after="100" w:afterAutospacing="1"/>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72"/>
    <w:qFormat/>
    <w:locked/>
    <w:rsid w:val="009F3FE6"/>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6">
    <w:name w:val="6"/>
    <w:basedOn w:val="TableNormal1"/>
    <w:tblPr>
      <w:tblStyleRowBandSize w:val="1"/>
      <w:tblStyleColBandSize w:val="1"/>
      <w:tblCellMar>
        <w:top w:w="15" w:type="dxa"/>
        <w:left w:w="15" w:type="dxa"/>
        <w:bottom w:w="15" w:type="dxa"/>
        <w:right w:w="15" w:type="dxa"/>
      </w:tblCellMar>
    </w:tblPr>
  </w:style>
  <w:style w:type="table" w:customStyle="1" w:styleId="5">
    <w:name w:val="5"/>
    <w:basedOn w:val="TableNormal1"/>
    <w:tblPr>
      <w:tblStyleRowBandSize w:val="1"/>
      <w:tblStyleColBandSize w:val="1"/>
      <w:tblCellMar>
        <w:left w:w="115" w:type="dxa"/>
        <w:right w:w="115" w:type="dxa"/>
      </w:tblCellMar>
    </w:tblPr>
  </w:style>
  <w:style w:type="table" w:customStyle="1" w:styleId="4">
    <w:name w:val="4"/>
    <w:basedOn w:val="TableNormal1"/>
    <w:tblPr>
      <w:tblStyleRowBandSize w:val="1"/>
      <w:tblStyleColBandSize w:val="1"/>
      <w:tblCellMar>
        <w:left w:w="115" w:type="dxa"/>
        <w:right w:w="115" w:type="dxa"/>
      </w:tblCellMar>
    </w:tblPr>
  </w:style>
  <w:style w:type="table" w:customStyle="1" w:styleId="3">
    <w:name w:val="3"/>
    <w:basedOn w:val="TableNormal1"/>
    <w:tblPr>
      <w:tblStyleRowBandSize w:val="1"/>
      <w:tblStyleColBandSize w:val="1"/>
      <w:tblCellMar>
        <w:top w:w="15" w:type="dxa"/>
        <w:left w:w="115" w:type="dxa"/>
        <w:bottom w:w="15" w:type="dxa"/>
        <w:right w:w="115" w:type="dxa"/>
      </w:tblCellMar>
    </w:tblPr>
  </w:style>
  <w:style w:type="table" w:customStyle="1" w:styleId="2">
    <w:name w:val="2"/>
    <w:basedOn w:val="TableNormal1"/>
    <w:tblPr>
      <w:tblStyleRowBandSize w:val="1"/>
      <w:tblStyleColBandSize w:val="1"/>
      <w:tblCellMar>
        <w:top w:w="15" w:type="dxa"/>
        <w:left w:w="115" w:type="dxa"/>
        <w:bottom w:w="15" w:type="dxa"/>
        <w:right w:w="115" w:type="dxa"/>
      </w:tblCellMar>
    </w:tblPr>
  </w:style>
  <w:style w:type="table" w:customStyle="1" w:styleId="1">
    <w:name w:val="1"/>
    <w:basedOn w:val="TableNormal1"/>
    <w:tblPr>
      <w:tblStyleRowBandSize w:val="1"/>
      <w:tblStyleColBandSize w:val="1"/>
      <w:tblCellMar>
        <w:top w:w="15" w:type="dxa"/>
        <w:left w:w="115" w:type="dxa"/>
        <w:bottom w:w="15" w:type="dxa"/>
        <w:right w:w="115" w:type="dxa"/>
      </w:tblCellMar>
    </w:tblPr>
  </w:style>
  <w:style w:type="character" w:customStyle="1" w:styleId="Mencinsinresolver1">
    <w:name w:val="Mención sin resolver1"/>
    <w:basedOn w:val="Fuentedeprrafopredeter"/>
    <w:uiPriority w:val="99"/>
    <w:semiHidden/>
    <w:unhideWhenUsed/>
    <w:rsid w:val="00B63FC6"/>
    <w:rPr>
      <w:color w:val="605E5C"/>
      <w:shd w:val="clear" w:color="auto" w:fill="E1DFDD"/>
    </w:rPr>
  </w:style>
  <w:style w:type="character" w:customStyle="1" w:styleId="Mencinsinresolver2">
    <w:name w:val="Mención sin resolver2"/>
    <w:basedOn w:val="Fuentedeprrafopredeter"/>
    <w:uiPriority w:val="99"/>
    <w:semiHidden/>
    <w:unhideWhenUsed/>
    <w:rsid w:val="00AC79ED"/>
    <w:rPr>
      <w:color w:val="605E5C"/>
      <w:shd w:val="clear" w:color="auto" w:fill="E1DFDD"/>
    </w:rPr>
  </w:style>
  <w:style w:type="paragraph" w:customStyle="1" w:styleId="Default">
    <w:name w:val="Default"/>
    <w:rsid w:val="00A27592"/>
    <w:pPr>
      <w:autoSpaceDE w:val="0"/>
      <w:autoSpaceDN w:val="0"/>
      <w:adjustRightInd w:val="0"/>
    </w:pPr>
    <w:rPr>
      <w:rFonts w:ascii="Arial" w:hAnsi="Arial" w:cs="Arial"/>
      <w:color w:val="000000"/>
    </w:rPr>
  </w:style>
  <w:style w:type="character" w:customStyle="1" w:styleId="normaltextrun">
    <w:name w:val="normaltextrun"/>
    <w:basedOn w:val="Fuentedeprrafopredeter"/>
    <w:rsid w:val="002F3C2D"/>
  </w:style>
  <w:style w:type="paragraph" w:styleId="Sinespaciado">
    <w:name w:val="No Spacing"/>
    <w:aliases w:val="Francesa,INAI"/>
    <w:link w:val="SinespaciadoCar"/>
    <w:uiPriority w:val="1"/>
    <w:qFormat/>
    <w:rsid w:val="00F01E4E"/>
    <w:rPr>
      <w:lang w:val="es-ES" w:eastAsia="es-ES"/>
    </w:rPr>
  </w:style>
  <w:style w:type="character" w:customStyle="1" w:styleId="SinespaciadoCar">
    <w:name w:val="Sin espaciado Car"/>
    <w:aliases w:val="Francesa Car,INAI Car"/>
    <w:link w:val="Sinespaciado"/>
    <w:uiPriority w:val="1"/>
    <w:locked/>
    <w:rsid w:val="00F01E4E"/>
    <w:rPr>
      <w:rFonts w:ascii="Times New Roman" w:eastAsia="Times New Roman" w:hAnsi="Times New Roman" w:cs="Times New Roman"/>
      <w:sz w:val="24"/>
      <w:szCs w:val="24"/>
      <w:lang w:val="es-ES" w:eastAsia="es-ES"/>
    </w:rPr>
  </w:style>
  <w:style w:type="table" w:customStyle="1" w:styleId="9">
    <w:name w:val="9"/>
    <w:basedOn w:val="TableNormal2"/>
    <w:tblPr>
      <w:tblStyleRowBandSize w:val="1"/>
      <w:tblStyleColBandSize w:val="1"/>
      <w:tblCellMar>
        <w:left w:w="108" w:type="dxa"/>
        <w:right w:w="108" w:type="dxa"/>
      </w:tblCellMar>
    </w:tblPr>
  </w:style>
  <w:style w:type="table" w:customStyle="1" w:styleId="8">
    <w:name w:val="8"/>
    <w:basedOn w:val="TableNormal2"/>
    <w:tblPr>
      <w:tblStyleRowBandSize w:val="1"/>
      <w:tblStyleColBandSize w:val="1"/>
      <w:tblCellMar>
        <w:top w:w="15" w:type="dxa"/>
        <w:left w:w="115" w:type="dxa"/>
        <w:bottom w:w="15" w:type="dxa"/>
        <w:right w:w="115" w:type="dxa"/>
      </w:tblCellMar>
    </w:tblPr>
  </w:style>
  <w:style w:type="table" w:customStyle="1" w:styleId="7">
    <w:name w:val="7"/>
    <w:basedOn w:val="TableNormal2"/>
    <w:tblPr>
      <w:tblStyleRowBandSize w:val="1"/>
      <w:tblStyleColBandSize w:val="1"/>
      <w:tblCellMar>
        <w:top w:w="15" w:type="dxa"/>
        <w:left w:w="115" w:type="dxa"/>
        <w:bottom w:w="15" w:type="dxa"/>
        <w:right w:w="115" w:type="dxa"/>
      </w:tblCellMar>
    </w:tblPr>
  </w:style>
  <w:style w:type="character" w:customStyle="1" w:styleId="Mencinsinresolver3">
    <w:name w:val="Mención sin resolver3"/>
    <w:basedOn w:val="Fuentedeprrafopredeter"/>
    <w:uiPriority w:val="99"/>
    <w:semiHidden/>
    <w:unhideWhenUsed/>
    <w:rsid w:val="00B91EC4"/>
    <w:rPr>
      <w:color w:val="605E5C"/>
      <w:shd w:val="clear" w:color="auto" w:fill="E1DFDD"/>
    </w:rPr>
  </w:style>
  <w:style w:type="character" w:styleId="Refdecomentario">
    <w:name w:val="annotation reference"/>
    <w:basedOn w:val="Fuentedeprrafopredeter"/>
    <w:uiPriority w:val="99"/>
    <w:semiHidden/>
    <w:unhideWhenUsed/>
    <w:rsid w:val="007266CA"/>
    <w:rPr>
      <w:sz w:val="16"/>
      <w:szCs w:val="16"/>
    </w:rPr>
  </w:style>
  <w:style w:type="paragraph" w:styleId="Textocomentario">
    <w:name w:val="annotation text"/>
    <w:basedOn w:val="Normal"/>
    <w:link w:val="TextocomentarioCar"/>
    <w:uiPriority w:val="99"/>
    <w:semiHidden/>
    <w:unhideWhenUsed/>
    <w:rsid w:val="007266CA"/>
    <w:rPr>
      <w:sz w:val="20"/>
      <w:szCs w:val="20"/>
    </w:rPr>
  </w:style>
  <w:style w:type="character" w:customStyle="1" w:styleId="TextocomentarioCar">
    <w:name w:val="Texto comentario Car"/>
    <w:basedOn w:val="Fuentedeprrafopredeter"/>
    <w:link w:val="Textocomentario"/>
    <w:uiPriority w:val="99"/>
    <w:semiHidden/>
    <w:rsid w:val="007266CA"/>
    <w:rPr>
      <w:rFonts w:eastAsia="Times New Roman" w:cs="Times New Roman"/>
      <w:sz w:val="20"/>
      <w:szCs w:val="20"/>
      <w:lang w:eastAsia="en-US"/>
    </w:rPr>
  </w:style>
  <w:style w:type="paragraph" w:styleId="Asuntodelcomentario">
    <w:name w:val="annotation subject"/>
    <w:basedOn w:val="Textocomentario"/>
    <w:next w:val="Textocomentario"/>
    <w:link w:val="AsuntodelcomentarioCar"/>
    <w:uiPriority w:val="99"/>
    <w:semiHidden/>
    <w:unhideWhenUsed/>
    <w:rsid w:val="007266CA"/>
    <w:rPr>
      <w:b/>
      <w:bCs/>
    </w:rPr>
  </w:style>
  <w:style w:type="character" w:customStyle="1" w:styleId="AsuntodelcomentarioCar">
    <w:name w:val="Asunto del comentario Car"/>
    <w:basedOn w:val="TextocomentarioCar"/>
    <w:link w:val="Asuntodelcomentario"/>
    <w:uiPriority w:val="99"/>
    <w:semiHidden/>
    <w:rsid w:val="007266CA"/>
    <w:rPr>
      <w:rFonts w:eastAsia="Times New Roman" w:cs="Times New Roman"/>
      <w:b/>
      <w:bCs/>
      <w:sz w:val="20"/>
      <w:szCs w:val="20"/>
      <w:lang w:eastAsia="en-US"/>
    </w:rPr>
  </w:style>
  <w:style w:type="character" w:styleId="Textodelmarcadordeposicin">
    <w:name w:val="Placeholder Text"/>
    <w:basedOn w:val="Fuentedeprrafopredeter"/>
    <w:uiPriority w:val="99"/>
    <w:semiHidden/>
    <w:rsid w:val="007266CA"/>
    <w:rPr>
      <w:color w:val="808080"/>
    </w:rPr>
  </w:style>
  <w:style w:type="character" w:styleId="Hipervnculovisitado">
    <w:name w:val="FollowedHyperlink"/>
    <w:basedOn w:val="Fuentedeprrafopredeter"/>
    <w:uiPriority w:val="99"/>
    <w:semiHidden/>
    <w:unhideWhenUsed/>
    <w:rsid w:val="00FC1F2B"/>
    <w:rPr>
      <w:color w:val="954F72" w:themeColor="followedHyperlink"/>
      <w:u w:val="single"/>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FC1F2B"/>
    <w:rPr>
      <w:rFonts w:asciiTheme="minorHAnsi" w:eastAsiaTheme="minorHAnsi" w:hAnsiTheme="minorHAnsi" w:cstheme="minorBidi"/>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FC1F2B"/>
    <w:rPr>
      <w:rFonts w:asciiTheme="minorHAnsi" w:eastAsiaTheme="minorHAnsi" w:hAnsiTheme="minorHAnsi" w:cstheme="minorBidi"/>
      <w:sz w:val="20"/>
      <w:szCs w:val="20"/>
      <w:lang w:eastAsia="en-U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FC1F2B"/>
    <w:rPr>
      <w:vertAlign w:val="superscript"/>
    </w:rPr>
  </w:style>
  <w:style w:type="character" w:customStyle="1" w:styleId="TtuloCar">
    <w:name w:val="Título Car"/>
    <w:aliases w:val="Cita textual Car"/>
    <w:basedOn w:val="Fuentedeprrafopredeter"/>
    <w:link w:val="Ttulo"/>
    <w:uiPriority w:val="10"/>
    <w:rsid w:val="00EC101D"/>
    <w:rPr>
      <w:rFonts w:eastAsia="Times New Roman" w:cs="Times New Roman"/>
      <w:b/>
      <w:sz w:val="72"/>
      <w:szCs w:val="72"/>
      <w:lang w:eastAsia="en-US"/>
    </w:rPr>
  </w:style>
  <w:style w:type="table" w:customStyle="1" w:styleId="Tablanormal11">
    <w:name w:val="Tabla normal 11"/>
    <w:basedOn w:val="Tablanormal"/>
    <w:uiPriority w:val="41"/>
    <w:rsid w:val="009A0A8D"/>
    <w:rPr>
      <w:rFonts w:asciiTheme="minorHAnsi" w:eastAsiaTheme="minorHAnsi" w:hAnsiTheme="minorHAnsi" w:cstheme="minorBidi"/>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a">
    <w:basedOn w:val="TableNormal0"/>
    <w:tblPr>
      <w:tblStyleRowBandSize w:val="1"/>
      <w:tblStyleColBandSize w:val="1"/>
      <w:tblCellMar>
        <w:left w:w="115" w:type="dxa"/>
        <w:right w:w="115" w:type="dxa"/>
      </w:tblCellMar>
    </w:tblPr>
  </w:style>
  <w:style w:type="table" w:customStyle="1" w:styleId="a0">
    <w:basedOn w:val="TableNormal0"/>
    <w:tblPr>
      <w:tblStyleRowBandSize w:val="1"/>
      <w:tblStyleColBandSize w:val="1"/>
      <w:tblCellMar>
        <w:left w:w="115" w:type="dxa"/>
        <w:right w:w="115" w:type="dxa"/>
      </w:tblCellMar>
    </w:tblPr>
  </w:style>
  <w:style w:type="table" w:customStyle="1" w:styleId="a1">
    <w:basedOn w:val="TableNormal0"/>
    <w:tblPr>
      <w:tblStyleRowBandSize w:val="1"/>
      <w:tblStyleColBandSize w:val="1"/>
      <w:tblCellMar>
        <w:top w:w="15" w:type="dxa"/>
        <w:left w:w="115" w:type="dxa"/>
        <w:bottom w:w="15" w:type="dxa"/>
        <w:right w:w="115" w:type="dxa"/>
      </w:tblCellMar>
    </w:tblPr>
  </w:style>
  <w:style w:type="table" w:customStyle="1" w:styleId="a2">
    <w:basedOn w:val="TableNormal0"/>
    <w:tblPr>
      <w:tblStyleRowBandSize w:val="1"/>
      <w:tblStyleColBandSize w:val="1"/>
      <w:tblCellMar>
        <w:top w:w="15" w:type="dxa"/>
        <w:left w:w="115" w:type="dxa"/>
        <w:bottom w:w="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codhem.org.mx/recomendacione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Zs6NuIblt6jhQ/R39iIJMJXXNgQ==">CgMxLjAyCWguMWZvYjl0ZTIJaC4zem55c2g3MgloLjNkeTZ2a204AHIhMTIzZURiMlNXUU9JZURCeUxxWnRhbFFna1NMVkpiandf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58</Pages>
  <Words>14605</Words>
  <Characters>80330</Characters>
  <Application>Microsoft Office Word</Application>
  <DocSecurity>0</DocSecurity>
  <Lines>669</Lines>
  <Paragraphs>189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Cuenta Microsoft</dc:creator>
  <cp:lastModifiedBy>Maricela Villagómez Martínez</cp:lastModifiedBy>
  <cp:revision>2</cp:revision>
  <cp:lastPrinted>2025-03-14T16:42:00Z</cp:lastPrinted>
  <dcterms:created xsi:type="dcterms:W3CDTF">2025-03-31T23:33:00Z</dcterms:created>
  <dcterms:modified xsi:type="dcterms:W3CDTF">2025-03-31T23:33:00Z</dcterms:modified>
</cp:coreProperties>
</file>