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6784B" w:rsidRDefault="00AE3DA7" w:rsidP="00E6784B">
          <w:pPr>
            <w:pStyle w:val="TtulodeTDC"/>
            <w:spacing w:before="0" w:line="240" w:lineRule="auto"/>
            <w:rPr>
              <w:rFonts w:ascii="Palatino Linotype" w:hAnsi="Palatino Linotype"/>
              <w:color w:val="auto"/>
              <w:sz w:val="24"/>
              <w:szCs w:val="24"/>
              <w:lang w:val="es-ES"/>
            </w:rPr>
          </w:pPr>
          <w:r w:rsidRPr="00E6784B">
            <w:rPr>
              <w:rFonts w:ascii="Palatino Linotype" w:hAnsi="Palatino Linotype"/>
              <w:color w:val="auto"/>
              <w:sz w:val="24"/>
              <w:szCs w:val="24"/>
              <w:lang w:val="es-ES"/>
            </w:rPr>
            <w:t>Contenido</w:t>
          </w:r>
        </w:p>
        <w:p w14:paraId="3EB312A7" w14:textId="77777777" w:rsidR="00AA6EA9" w:rsidRPr="00E6784B" w:rsidRDefault="00AA6EA9" w:rsidP="00E6784B">
          <w:pPr>
            <w:spacing w:line="240" w:lineRule="auto"/>
            <w:rPr>
              <w:sz w:val="16"/>
              <w:szCs w:val="16"/>
              <w:lang w:val="es-ES" w:eastAsia="es-MX"/>
            </w:rPr>
          </w:pPr>
        </w:p>
        <w:p w14:paraId="77FA1534" w14:textId="308A59A6" w:rsidR="00E6784B" w:rsidRPr="00E6784B" w:rsidRDefault="00AE3DA7" w:rsidP="00E6784B">
          <w:pPr>
            <w:pStyle w:val="TDC1"/>
            <w:tabs>
              <w:tab w:val="right" w:leader="dot" w:pos="9034"/>
            </w:tabs>
            <w:rPr>
              <w:rFonts w:asciiTheme="minorHAnsi" w:eastAsiaTheme="minorEastAsia" w:hAnsiTheme="minorHAnsi" w:cstheme="minorBidi"/>
              <w:noProof/>
              <w:szCs w:val="22"/>
              <w:lang w:eastAsia="es-MX"/>
            </w:rPr>
          </w:pPr>
          <w:r w:rsidRPr="00E6784B">
            <w:rPr>
              <w:sz w:val="16"/>
              <w:szCs w:val="16"/>
            </w:rPr>
            <w:fldChar w:fldCharType="begin"/>
          </w:r>
          <w:r w:rsidRPr="00E6784B">
            <w:rPr>
              <w:sz w:val="16"/>
              <w:szCs w:val="16"/>
            </w:rPr>
            <w:instrText xml:space="preserve"> TOC \o "1-3" \h \z \u </w:instrText>
          </w:r>
          <w:r w:rsidRPr="00E6784B">
            <w:rPr>
              <w:sz w:val="16"/>
              <w:szCs w:val="16"/>
            </w:rPr>
            <w:fldChar w:fldCharType="separate"/>
          </w:r>
          <w:hyperlink w:anchor="_Toc199971941" w:history="1">
            <w:r w:rsidR="00E6784B" w:rsidRPr="00E6784B">
              <w:rPr>
                <w:rStyle w:val="Hipervnculo"/>
                <w:noProof/>
                <w:color w:val="auto"/>
              </w:rPr>
              <w:t>ANTECEDENTES</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_Toc199971941 \h </w:instrText>
            </w:r>
            <w:r w:rsidR="00E6784B" w:rsidRPr="00E6784B">
              <w:rPr>
                <w:noProof/>
                <w:webHidden/>
              </w:rPr>
            </w:r>
            <w:r w:rsidR="00E6784B" w:rsidRPr="00E6784B">
              <w:rPr>
                <w:noProof/>
                <w:webHidden/>
              </w:rPr>
              <w:fldChar w:fldCharType="separate"/>
            </w:r>
            <w:r w:rsidR="003A53D3">
              <w:rPr>
                <w:noProof/>
                <w:webHidden/>
              </w:rPr>
              <w:t>1</w:t>
            </w:r>
            <w:r w:rsidR="00E6784B" w:rsidRPr="00E6784B">
              <w:rPr>
                <w:noProof/>
                <w:webHidden/>
              </w:rPr>
              <w:fldChar w:fldCharType="end"/>
            </w:r>
          </w:hyperlink>
        </w:p>
        <w:p w14:paraId="500C6A5E" w14:textId="6CA533EF" w:rsidR="00E6784B" w:rsidRPr="00E6784B" w:rsidRDefault="0034597C" w:rsidP="00E6784B">
          <w:pPr>
            <w:pStyle w:val="TDC2"/>
            <w:rPr>
              <w:rFonts w:asciiTheme="minorHAnsi" w:eastAsiaTheme="minorEastAsia" w:hAnsiTheme="minorHAnsi" w:cstheme="minorBidi"/>
              <w:noProof/>
              <w:szCs w:val="22"/>
              <w:lang w:eastAsia="es-MX"/>
            </w:rPr>
          </w:pPr>
          <w:hyperlink w:anchor="_Toc199971942" w:history="1">
            <w:r w:rsidR="00E6784B" w:rsidRPr="00E6784B">
              <w:rPr>
                <w:rStyle w:val="Hipervnculo"/>
                <w:noProof/>
                <w:color w:val="auto"/>
              </w:rPr>
              <w:t>DE LA SOLICITUD DE INFORMACIÓN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_Toc199971942 \h </w:instrText>
            </w:r>
            <w:r w:rsidR="00E6784B" w:rsidRPr="00E6784B">
              <w:rPr>
                <w:noProof/>
                <w:webHidden/>
              </w:rPr>
            </w:r>
            <w:r w:rsidR="00E6784B" w:rsidRPr="00E6784B">
              <w:rPr>
                <w:noProof/>
                <w:webHidden/>
              </w:rPr>
              <w:fldChar w:fldCharType="separate"/>
            </w:r>
            <w:r w:rsidR="003A53D3">
              <w:rPr>
                <w:noProof/>
                <w:webHidden/>
              </w:rPr>
              <w:t>1</w:t>
            </w:r>
            <w:r w:rsidR="00E6784B" w:rsidRPr="00E6784B">
              <w:rPr>
                <w:noProof/>
                <w:webHidden/>
              </w:rPr>
              <w:fldChar w:fldCharType="end"/>
            </w:r>
          </w:hyperlink>
        </w:p>
        <w:p w14:paraId="0759895E" w14:textId="19A1B74F" w:rsidR="00E6784B" w:rsidRPr="00E6784B" w:rsidRDefault="0034597C" w:rsidP="00E6784B">
          <w:pPr>
            <w:pStyle w:val="TDC3"/>
            <w:rPr>
              <w:rFonts w:asciiTheme="minorHAnsi" w:eastAsiaTheme="minorEastAsia" w:hAnsiTheme="minorHAnsi" w:cstheme="minorBidi"/>
              <w:noProof/>
              <w:szCs w:val="22"/>
              <w:lang w:eastAsia="es-MX"/>
            </w:rPr>
          </w:pPr>
          <w:hyperlink w:anchor="_Toc199971943" w:history="1">
            <w:r w:rsidR="00E6784B" w:rsidRPr="00E6784B">
              <w:rPr>
                <w:rStyle w:val="Hipervnculo"/>
                <w:noProof/>
                <w:color w:val="auto"/>
              </w:rPr>
              <w:t>a) Solicitud de información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_Toc199971943 \h </w:instrText>
            </w:r>
            <w:r w:rsidR="00E6784B" w:rsidRPr="00E6784B">
              <w:rPr>
                <w:noProof/>
                <w:webHidden/>
              </w:rPr>
            </w:r>
            <w:r w:rsidR="00E6784B" w:rsidRPr="00E6784B">
              <w:rPr>
                <w:noProof/>
                <w:webHidden/>
              </w:rPr>
              <w:fldChar w:fldCharType="separate"/>
            </w:r>
            <w:r w:rsidR="003A53D3">
              <w:rPr>
                <w:noProof/>
                <w:webHidden/>
              </w:rPr>
              <w:t>1</w:t>
            </w:r>
            <w:r w:rsidR="00E6784B" w:rsidRPr="00E6784B">
              <w:rPr>
                <w:noProof/>
                <w:webHidden/>
              </w:rPr>
              <w:fldChar w:fldCharType="end"/>
            </w:r>
          </w:hyperlink>
        </w:p>
        <w:p w14:paraId="10F7A03C" w14:textId="66BB5AA5" w:rsidR="00E6784B" w:rsidRPr="00E6784B" w:rsidRDefault="0034597C" w:rsidP="00E6784B">
          <w:pPr>
            <w:pStyle w:val="TDC3"/>
            <w:rPr>
              <w:rFonts w:asciiTheme="minorHAnsi" w:eastAsiaTheme="minorEastAsia" w:hAnsiTheme="minorHAnsi" w:cstheme="minorBidi"/>
              <w:noProof/>
              <w:szCs w:val="22"/>
              <w:lang w:eastAsia="es-MX"/>
            </w:rPr>
          </w:pPr>
          <w:hyperlink w:anchor="_Toc199971944" w:history="1">
            <w:r w:rsidR="00E6784B" w:rsidRPr="00E6784B">
              <w:rPr>
                <w:rStyle w:val="Hipervnculo"/>
                <w:noProof/>
                <w:color w:val="auto"/>
              </w:rPr>
              <w:t xml:space="preserve">b) </w:t>
            </w:r>
            <w:r w:rsidR="00E6784B" w:rsidRPr="00E6784B">
              <w:rPr>
                <w:rStyle w:val="Hipervnculo"/>
                <w:noProof/>
                <w:color w:val="auto"/>
                <w:lang w:val="es-ES"/>
              </w:rPr>
              <w:t xml:space="preserve">Respuesta </w:t>
            </w:r>
            <w:r w:rsidR="00E6784B" w:rsidRPr="00E6784B">
              <w:rPr>
                <w:rStyle w:val="Hipervnculo"/>
                <w:rFonts w:eastAsia="Calibri"/>
                <w:noProof/>
                <w:color w:val="auto"/>
                <w:lang w:eastAsia="en-US"/>
              </w:rPr>
              <w:t>del Sujeto Obligado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_Toc199971944 \h </w:instrText>
            </w:r>
            <w:r w:rsidR="00E6784B" w:rsidRPr="00E6784B">
              <w:rPr>
                <w:noProof/>
                <w:webHidden/>
              </w:rPr>
            </w:r>
            <w:r w:rsidR="00E6784B" w:rsidRPr="00E6784B">
              <w:rPr>
                <w:noProof/>
                <w:webHidden/>
              </w:rPr>
              <w:fldChar w:fldCharType="separate"/>
            </w:r>
            <w:r w:rsidR="003A53D3">
              <w:rPr>
                <w:noProof/>
                <w:webHidden/>
              </w:rPr>
              <w:t>3</w:t>
            </w:r>
            <w:r w:rsidR="00E6784B" w:rsidRPr="00E6784B">
              <w:rPr>
                <w:noProof/>
                <w:webHidden/>
              </w:rPr>
              <w:fldChar w:fldCharType="end"/>
            </w:r>
          </w:hyperlink>
        </w:p>
        <w:p w14:paraId="06CAE369" w14:textId="5922766F" w:rsidR="00E6784B" w:rsidRPr="00E6784B" w:rsidRDefault="0034597C" w:rsidP="00E6784B">
          <w:pPr>
            <w:pStyle w:val="TDC2"/>
            <w:rPr>
              <w:rFonts w:asciiTheme="minorHAnsi" w:eastAsiaTheme="minorEastAsia" w:hAnsiTheme="minorHAnsi" w:cstheme="minorBidi"/>
              <w:noProof/>
              <w:szCs w:val="22"/>
              <w:lang w:eastAsia="es-MX"/>
            </w:rPr>
          </w:pPr>
          <w:hyperlink w:anchor="_Toc199971945" w:history="1">
            <w:r w:rsidR="00E6784B" w:rsidRPr="00E6784B">
              <w:rPr>
                <w:rStyle w:val="Hipervnculo"/>
                <w:noProof/>
                <w:color w:val="auto"/>
              </w:rPr>
              <w:t>DEL RECURSO DE REVISIÓN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_Toc199971945 \h </w:instrText>
            </w:r>
            <w:r w:rsidR="00E6784B" w:rsidRPr="00E6784B">
              <w:rPr>
                <w:noProof/>
                <w:webHidden/>
              </w:rPr>
            </w:r>
            <w:r w:rsidR="00E6784B" w:rsidRPr="00E6784B">
              <w:rPr>
                <w:noProof/>
                <w:webHidden/>
              </w:rPr>
              <w:fldChar w:fldCharType="separate"/>
            </w:r>
            <w:r w:rsidR="003A53D3">
              <w:rPr>
                <w:noProof/>
                <w:webHidden/>
              </w:rPr>
              <w:t>5</w:t>
            </w:r>
            <w:r w:rsidR="00E6784B" w:rsidRPr="00E6784B">
              <w:rPr>
                <w:noProof/>
                <w:webHidden/>
              </w:rPr>
              <w:fldChar w:fldCharType="end"/>
            </w:r>
          </w:hyperlink>
        </w:p>
        <w:p w14:paraId="3082DCCE" w14:textId="4E715C12" w:rsidR="00E6784B" w:rsidRPr="00E6784B" w:rsidRDefault="0034597C" w:rsidP="00E6784B">
          <w:pPr>
            <w:pStyle w:val="TDC3"/>
            <w:rPr>
              <w:rFonts w:asciiTheme="minorHAnsi" w:eastAsiaTheme="minorEastAsia" w:hAnsiTheme="minorHAnsi" w:cstheme="minorBidi"/>
              <w:noProof/>
              <w:szCs w:val="22"/>
              <w:lang w:eastAsia="es-MX"/>
            </w:rPr>
          </w:pPr>
          <w:hyperlink w:anchor="_Toc199971946" w:history="1">
            <w:r w:rsidR="00E6784B" w:rsidRPr="00E6784B">
              <w:rPr>
                <w:rStyle w:val="Hipervnculo"/>
                <w:noProof/>
                <w:color w:val="auto"/>
              </w:rPr>
              <w:t>a) Interposición del Recurso de Revisión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_Toc199971946 \h </w:instrText>
            </w:r>
            <w:r w:rsidR="00E6784B" w:rsidRPr="00E6784B">
              <w:rPr>
                <w:noProof/>
                <w:webHidden/>
              </w:rPr>
            </w:r>
            <w:r w:rsidR="00E6784B" w:rsidRPr="00E6784B">
              <w:rPr>
                <w:noProof/>
                <w:webHidden/>
              </w:rPr>
              <w:fldChar w:fldCharType="separate"/>
            </w:r>
            <w:r w:rsidR="003A53D3">
              <w:rPr>
                <w:noProof/>
                <w:webHidden/>
              </w:rPr>
              <w:t>5</w:t>
            </w:r>
            <w:r w:rsidR="00E6784B" w:rsidRPr="00E6784B">
              <w:rPr>
                <w:noProof/>
                <w:webHidden/>
              </w:rPr>
              <w:fldChar w:fldCharType="end"/>
            </w:r>
          </w:hyperlink>
        </w:p>
        <w:p w14:paraId="275DA461" w14:textId="0E963546" w:rsidR="00E6784B" w:rsidRPr="00E6784B" w:rsidRDefault="0034597C" w:rsidP="00E6784B">
          <w:pPr>
            <w:pStyle w:val="TDC3"/>
            <w:rPr>
              <w:rFonts w:asciiTheme="minorHAnsi" w:eastAsiaTheme="minorEastAsia" w:hAnsiTheme="minorHAnsi" w:cstheme="minorBidi"/>
              <w:noProof/>
              <w:szCs w:val="22"/>
              <w:lang w:eastAsia="es-MX"/>
            </w:rPr>
          </w:pPr>
          <w:hyperlink w:anchor="_Toc199971947" w:history="1">
            <w:r w:rsidR="00E6784B" w:rsidRPr="00E6784B">
              <w:rPr>
                <w:rStyle w:val="Hipervnculo"/>
                <w:noProof/>
                <w:color w:val="auto"/>
              </w:rPr>
              <w:t>b) Turno del Recurso de Revisión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_Toc199971947 \h </w:instrText>
            </w:r>
            <w:r w:rsidR="00E6784B" w:rsidRPr="00E6784B">
              <w:rPr>
                <w:noProof/>
                <w:webHidden/>
              </w:rPr>
            </w:r>
            <w:r w:rsidR="00E6784B" w:rsidRPr="00E6784B">
              <w:rPr>
                <w:noProof/>
                <w:webHidden/>
              </w:rPr>
              <w:fldChar w:fldCharType="separate"/>
            </w:r>
            <w:r w:rsidR="003A53D3">
              <w:rPr>
                <w:noProof/>
                <w:webHidden/>
              </w:rPr>
              <w:t>5</w:t>
            </w:r>
            <w:r w:rsidR="00E6784B" w:rsidRPr="00E6784B">
              <w:rPr>
                <w:noProof/>
                <w:webHidden/>
              </w:rPr>
              <w:fldChar w:fldCharType="end"/>
            </w:r>
          </w:hyperlink>
        </w:p>
        <w:p w14:paraId="4E77D309" w14:textId="307D280A" w:rsidR="00E6784B" w:rsidRPr="00E6784B" w:rsidRDefault="0034597C" w:rsidP="00E6784B">
          <w:pPr>
            <w:pStyle w:val="TDC3"/>
            <w:rPr>
              <w:rFonts w:asciiTheme="minorHAnsi" w:eastAsiaTheme="minorEastAsia" w:hAnsiTheme="minorHAnsi" w:cstheme="minorBidi"/>
              <w:noProof/>
              <w:szCs w:val="22"/>
              <w:lang w:eastAsia="es-MX"/>
            </w:rPr>
          </w:pPr>
          <w:hyperlink w:anchor="_Toc199971948" w:history="1">
            <w:r w:rsidR="00E6784B" w:rsidRPr="00E6784B">
              <w:rPr>
                <w:rStyle w:val="Hipervnculo"/>
                <w:noProof/>
                <w:color w:val="auto"/>
              </w:rPr>
              <w:t>c) Admisión del Recurso de Revisión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_Toc199971948 \h </w:instrText>
            </w:r>
            <w:r w:rsidR="00E6784B" w:rsidRPr="00E6784B">
              <w:rPr>
                <w:noProof/>
                <w:webHidden/>
              </w:rPr>
            </w:r>
            <w:r w:rsidR="00E6784B" w:rsidRPr="00E6784B">
              <w:rPr>
                <w:noProof/>
                <w:webHidden/>
              </w:rPr>
              <w:fldChar w:fldCharType="separate"/>
            </w:r>
            <w:r w:rsidR="003A53D3">
              <w:rPr>
                <w:noProof/>
                <w:webHidden/>
              </w:rPr>
              <w:t>6</w:t>
            </w:r>
            <w:r w:rsidR="00E6784B" w:rsidRPr="00E6784B">
              <w:rPr>
                <w:noProof/>
                <w:webHidden/>
              </w:rPr>
              <w:fldChar w:fldCharType="end"/>
            </w:r>
          </w:hyperlink>
        </w:p>
        <w:p w14:paraId="65E7EA24" w14:textId="7BED7E2C" w:rsidR="00E6784B" w:rsidRPr="00E6784B" w:rsidRDefault="0034597C" w:rsidP="00E6784B">
          <w:pPr>
            <w:pStyle w:val="TDC3"/>
            <w:rPr>
              <w:rFonts w:asciiTheme="minorHAnsi" w:eastAsiaTheme="minorEastAsia" w:hAnsiTheme="minorHAnsi" w:cstheme="minorBidi"/>
              <w:noProof/>
              <w:szCs w:val="22"/>
              <w:lang w:eastAsia="es-MX"/>
            </w:rPr>
          </w:pPr>
          <w:hyperlink w:anchor="_Toc199971949" w:history="1">
            <w:r w:rsidR="00E6784B" w:rsidRPr="00E6784B">
              <w:rPr>
                <w:rStyle w:val="Hipervnculo"/>
                <w:noProof/>
                <w:color w:val="auto"/>
              </w:rPr>
              <w:t>d) Informe Justificado del Sujeto Obligado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_Toc199971949 \h </w:instrText>
            </w:r>
            <w:r w:rsidR="00E6784B" w:rsidRPr="00E6784B">
              <w:rPr>
                <w:noProof/>
                <w:webHidden/>
              </w:rPr>
            </w:r>
            <w:r w:rsidR="00E6784B" w:rsidRPr="00E6784B">
              <w:rPr>
                <w:noProof/>
                <w:webHidden/>
              </w:rPr>
              <w:fldChar w:fldCharType="separate"/>
            </w:r>
            <w:r w:rsidR="003A53D3">
              <w:rPr>
                <w:noProof/>
                <w:webHidden/>
              </w:rPr>
              <w:t>6</w:t>
            </w:r>
            <w:r w:rsidR="00E6784B" w:rsidRPr="00E6784B">
              <w:rPr>
                <w:noProof/>
                <w:webHidden/>
              </w:rPr>
              <w:fldChar w:fldCharType="end"/>
            </w:r>
          </w:hyperlink>
        </w:p>
        <w:p w14:paraId="0D0E5A2C" w14:textId="31B51CE1" w:rsidR="00E6784B" w:rsidRPr="00E6784B" w:rsidRDefault="0034597C" w:rsidP="00E6784B">
          <w:pPr>
            <w:pStyle w:val="TDC3"/>
            <w:rPr>
              <w:rFonts w:asciiTheme="minorHAnsi" w:eastAsiaTheme="minorEastAsia" w:hAnsiTheme="minorHAnsi" w:cstheme="minorBidi"/>
              <w:noProof/>
              <w:szCs w:val="22"/>
              <w:lang w:eastAsia="es-MX"/>
            </w:rPr>
          </w:pPr>
          <w:hyperlink w:anchor="_Toc199971950" w:history="1">
            <w:r w:rsidR="00E6784B" w:rsidRPr="00E6784B">
              <w:rPr>
                <w:rStyle w:val="Hipervnculo"/>
                <w:rFonts w:eastAsia="Calibri"/>
                <w:bCs/>
                <w:noProof/>
                <w:color w:val="auto"/>
                <w:lang w:eastAsia="en-US"/>
              </w:rPr>
              <w:t>e)</w:t>
            </w:r>
            <w:r w:rsidR="00E6784B" w:rsidRPr="00E6784B">
              <w:rPr>
                <w:rStyle w:val="Hipervnculo"/>
                <w:noProof/>
                <w:color w:val="auto"/>
              </w:rPr>
              <w:t xml:space="preserve"> </w:t>
            </w:r>
            <w:r w:rsidR="00E6784B" w:rsidRPr="00E6784B">
              <w:rPr>
                <w:rStyle w:val="Hipervnculo"/>
                <w:noProof/>
                <w:color w:val="auto"/>
                <w:lang w:val="es-ES"/>
              </w:rPr>
              <w:t>Manifestaciones de la Parte Recurrente</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_Toc199971950 \h </w:instrText>
            </w:r>
            <w:r w:rsidR="00E6784B" w:rsidRPr="00E6784B">
              <w:rPr>
                <w:noProof/>
                <w:webHidden/>
              </w:rPr>
            </w:r>
            <w:r w:rsidR="00E6784B" w:rsidRPr="00E6784B">
              <w:rPr>
                <w:noProof/>
                <w:webHidden/>
              </w:rPr>
              <w:fldChar w:fldCharType="separate"/>
            </w:r>
            <w:r w:rsidR="003A53D3">
              <w:rPr>
                <w:noProof/>
                <w:webHidden/>
              </w:rPr>
              <w:t>6</w:t>
            </w:r>
            <w:r w:rsidR="00E6784B" w:rsidRPr="00E6784B">
              <w:rPr>
                <w:noProof/>
                <w:webHidden/>
              </w:rPr>
              <w:fldChar w:fldCharType="end"/>
            </w:r>
          </w:hyperlink>
        </w:p>
        <w:p w14:paraId="7AA5FD75" w14:textId="7735D51F" w:rsidR="00E6784B" w:rsidRPr="00E6784B" w:rsidRDefault="0034597C" w:rsidP="00E6784B">
          <w:pPr>
            <w:pStyle w:val="TDC3"/>
            <w:rPr>
              <w:rFonts w:asciiTheme="minorHAnsi" w:eastAsiaTheme="minorEastAsia" w:hAnsiTheme="minorHAnsi" w:cstheme="minorBidi"/>
              <w:noProof/>
              <w:szCs w:val="22"/>
              <w:lang w:eastAsia="es-MX"/>
            </w:rPr>
          </w:pPr>
          <w:hyperlink w:anchor="_Toc199971951" w:history="1">
            <w:r w:rsidR="00E6784B" w:rsidRPr="00E6784B">
              <w:rPr>
                <w:rStyle w:val="Hipervnculo"/>
                <w:rFonts w:eastAsia="Calibri"/>
                <w:noProof/>
                <w:color w:val="auto"/>
              </w:rPr>
              <w:t>f) Ampliación de plazo para resolver el Recurso de Revisión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_Toc199971951 \h </w:instrText>
            </w:r>
            <w:r w:rsidR="00E6784B" w:rsidRPr="00E6784B">
              <w:rPr>
                <w:noProof/>
                <w:webHidden/>
              </w:rPr>
            </w:r>
            <w:r w:rsidR="00E6784B" w:rsidRPr="00E6784B">
              <w:rPr>
                <w:noProof/>
                <w:webHidden/>
              </w:rPr>
              <w:fldChar w:fldCharType="separate"/>
            </w:r>
            <w:r w:rsidR="003A53D3">
              <w:rPr>
                <w:noProof/>
                <w:webHidden/>
              </w:rPr>
              <w:t>6</w:t>
            </w:r>
            <w:r w:rsidR="00E6784B" w:rsidRPr="00E6784B">
              <w:rPr>
                <w:noProof/>
                <w:webHidden/>
              </w:rPr>
              <w:fldChar w:fldCharType="end"/>
            </w:r>
          </w:hyperlink>
        </w:p>
        <w:p w14:paraId="4CF9698A" w14:textId="4BB7725E" w:rsidR="00E6784B" w:rsidRPr="00E6784B" w:rsidRDefault="0034597C" w:rsidP="00E6784B">
          <w:pPr>
            <w:pStyle w:val="TDC3"/>
            <w:rPr>
              <w:rFonts w:asciiTheme="minorHAnsi" w:eastAsiaTheme="minorEastAsia" w:hAnsiTheme="minorHAnsi" w:cstheme="minorBidi"/>
              <w:noProof/>
              <w:szCs w:val="22"/>
              <w:lang w:eastAsia="es-MX"/>
            </w:rPr>
          </w:pPr>
          <w:hyperlink w:anchor="_Toc199971952" w:history="1">
            <w:r w:rsidR="00E6784B" w:rsidRPr="00E6784B">
              <w:rPr>
                <w:rStyle w:val="Hipervnculo"/>
                <w:noProof/>
                <w:color w:val="auto"/>
              </w:rPr>
              <w:t>g) Cierre de instrucción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_Toc199971952 \h </w:instrText>
            </w:r>
            <w:r w:rsidR="00E6784B" w:rsidRPr="00E6784B">
              <w:rPr>
                <w:noProof/>
                <w:webHidden/>
              </w:rPr>
            </w:r>
            <w:r w:rsidR="00E6784B" w:rsidRPr="00E6784B">
              <w:rPr>
                <w:noProof/>
                <w:webHidden/>
              </w:rPr>
              <w:fldChar w:fldCharType="separate"/>
            </w:r>
            <w:r w:rsidR="003A53D3">
              <w:rPr>
                <w:noProof/>
                <w:webHidden/>
              </w:rPr>
              <w:t>7</w:t>
            </w:r>
            <w:r w:rsidR="00E6784B" w:rsidRPr="00E6784B">
              <w:rPr>
                <w:noProof/>
                <w:webHidden/>
              </w:rPr>
              <w:fldChar w:fldCharType="end"/>
            </w:r>
          </w:hyperlink>
        </w:p>
        <w:p w14:paraId="1752ACAD" w14:textId="0DBCADEA" w:rsidR="00E6784B" w:rsidRPr="00E6784B" w:rsidRDefault="0034597C" w:rsidP="00E6784B">
          <w:pPr>
            <w:pStyle w:val="TDC1"/>
            <w:tabs>
              <w:tab w:val="right" w:leader="dot" w:pos="9034"/>
            </w:tabs>
            <w:rPr>
              <w:rFonts w:asciiTheme="minorHAnsi" w:eastAsiaTheme="minorEastAsia" w:hAnsiTheme="minorHAnsi" w:cstheme="minorBidi"/>
              <w:noProof/>
              <w:szCs w:val="22"/>
              <w:lang w:eastAsia="es-MX"/>
            </w:rPr>
          </w:pPr>
          <w:hyperlink w:anchor="_Toc199971953" w:history="1">
            <w:r w:rsidR="00E6784B" w:rsidRPr="00E6784B">
              <w:rPr>
                <w:rStyle w:val="Hipervnculo"/>
                <w:rFonts w:eastAsiaTheme="minorHAnsi"/>
                <w:noProof/>
                <w:color w:val="auto"/>
                <w:lang w:eastAsia="en-US"/>
              </w:rPr>
              <w:t>CONSIDERANDOS</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_Toc199971953 \h </w:instrText>
            </w:r>
            <w:r w:rsidR="00E6784B" w:rsidRPr="00E6784B">
              <w:rPr>
                <w:noProof/>
                <w:webHidden/>
              </w:rPr>
            </w:r>
            <w:r w:rsidR="00E6784B" w:rsidRPr="00E6784B">
              <w:rPr>
                <w:noProof/>
                <w:webHidden/>
              </w:rPr>
              <w:fldChar w:fldCharType="separate"/>
            </w:r>
            <w:r w:rsidR="003A53D3">
              <w:rPr>
                <w:noProof/>
                <w:webHidden/>
              </w:rPr>
              <w:t>7</w:t>
            </w:r>
            <w:r w:rsidR="00E6784B" w:rsidRPr="00E6784B">
              <w:rPr>
                <w:noProof/>
                <w:webHidden/>
              </w:rPr>
              <w:fldChar w:fldCharType="end"/>
            </w:r>
          </w:hyperlink>
        </w:p>
        <w:p w14:paraId="59B71EA5" w14:textId="42EB37D6" w:rsidR="00E6784B" w:rsidRPr="00E6784B" w:rsidRDefault="0034597C" w:rsidP="00E6784B">
          <w:pPr>
            <w:pStyle w:val="TDC2"/>
            <w:rPr>
              <w:rFonts w:asciiTheme="minorHAnsi" w:eastAsiaTheme="minorEastAsia" w:hAnsiTheme="minorHAnsi" w:cstheme="minorBidi"/>
              <w:noProof/>
              <w:szCs w:val="22"/>
              <w:lang w:eastAsia="es-MX"/>
            </w:rPr>
          </w:pPr>
          <w:hyperlink w:anchor="_Toc199971954" w:history="1">
            <w:r w:rsidR="00E6784B" w:rsidRPr="00E6784B">
              <w:rPr>
                <w:rStyle w:val="Hipervnculo"/>
                <w:rFonts w:eastAsia="Batang"/>
                <w:noProof/>
                <w:color w:val="auto"/>
              </w:rPr>
              <w:t>PRIMERO. Procedibilidad</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_Toc199971954 \h </w:instrText>
            </w:r>
            <w:r w:rsidR="00E6784B" w:rsidRPr="00E6784B">
              <w:rPr>
                <w:noProof/>
                <w:webHidden/>
              </w:rPr>
            </w:r>
            <w:r w:rsidR="00E6784B" w:rsidRPr="00E6784B">
              <w:rPr>
                <w:noProof/>
                <w:webHidden/>
              </w:rPr>
              <w:fldChar w:fldCharType="separate"/>
            </w:r>
            <w:r w:rsidR="003A53D3">
              <w:rPr>
                <w:noProof/>
                <w:webHidden/>
              </w:rPr>
              <w:t>7</w:t>
            </w:r>
            <w:r w:rsidR="00E6784B" w:rsidRPr="00E6784B">
              <w:rPr>
                <w:noProof/>
                <w:webHidden/>
              </w:rPr>
              <w:fldChar w:fldCharType="end"/>
            </w:r>
          </w:hyperlink>
        </w:p>
        <w:p w14:paraId="611F89D0" w14:textId="617316AA" w:rsidR="00E6784B" w:rsidRPr="00E6784B" w:rsidRDefault="0034597C" w:rsidP="00E6784B">
          <w:pPr>
            <w:pStyle w:val="TDC3"/>
            <w:rPr>
              <w:rFonts w:asciiTheme="minorHAnsi" w:eastAsiaTheme="minorEastAsia" w:hAnsiTheme="minorHAnsi" w:cstheme="minorBidi"/>
              <w:noProof/>
              <w:szCs w:val="22"/>
              <w:lang w:eastAsia="es-MX"/>
            </w:rPr>
          </w:pPr>
          <w:hyperlink w:anchor="_Toc199971955" w:history="1">
            <w:r w:rsidR="00E6784B" w:rsidRPr="00E6784B">
              <w:rPr>
                <w:rStyle w:val="Hipervnculo"/>
                <w:noProof/>
                <w:color w:val="auto"/>
              </w:rPr>
              <w:t>a) Competencia del Instituto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_Toc199971955 \h </w:instrText>
            </w:r>
            <w:r w:rsidR="00E6784B" w:rsidRPr="00E6784B">
              <w:rPr>
                <w:noProof/>
                <w:webHidden/>
              </w:rPr>
            </w:r>
            <w:r w:rsidR="00E6784B" w:rsidRPr="00E6784B">
              <w:rPr>
                <w:noProof/>
                <w:webHidden/>
              </w:rPr>
              <w:fldChar w:fldCharType="separate"/>
            </w:r>
            <w:r w:rsidR="003A53D3">
              <w:rPr>
                <w:noProof/>
                <w:webHidden/>
              </w:rPr>
              <w:t>7</w:t>
            </w:r>
            <w:r w:rsidR="00E6784B" w:rsidRPr="00E6784B">
              <w:rPr>
                <w:noProof/>
                <w:webHidden/>
              </w:rPr>
              <w:fldChar w:fldCharType="end"/>
            </w:r>
          </w:hyperlink>
        </w:p>
        <w:p w14:paraId="11F6E3A8" w14:textId="47D01EF2" w:rsidR="00E6784B" w:rsidRPr="00E6784B" w:rsidRDefault="0034597C" w:rsidP="00E6784B">
          <w:pPr>
            <w:pStyle w:val="TDC3"/>
            <w:rPr>
              <w:rFonts w:asciiTheme="minorHAnsi" w:eastAsiaTheme="minorEastAsia" w:hAnsiTheme="minorHAnsi" w:cstheme="minorBidi"/>
              <w:noProof/>
              <w:szCs w:val="22"/>
              <w:lang w:eastAsia="es-MX"/>
            </w:rPr>
          </w:pPr>
          <w:hyperlink w:anchor="_Toc199971956" w:history="1">
            <w:r w:rsidR="00E6784B" w:rsidRPr="00E6784B">
              <w:rPr>
                <w:rStyle w:val="Hipervnculo"/>
                <w:noProof/>
                <w:color w:val="auto"/>
              </w:rPr>
              <w:t>b) Legitimidad de la parte recurrente</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_Toc199971956 \h </w:instrText>
            </w:r>
            <w:r w:rsidR="00E6784B" w:rsidRPr="00E6784B">
              <w:rPr>
                <w:noProof/>
                <w:webHidden/>
              </w:rPr>
            </w:r>
            <w:r w:rsidR="00E6784B" w:rsidRPr="00E6784B">
              <w:rPr>
                <w:noProof/>
                <w:webHidden/>
              </w:rPr>
              <w:fldChar w:fldCharType="separate"/>
            </w:r>
            <w:r w:rsidR="003A53D3">
              <w:rPr>
                <w:noProof/>
                <w:webHidden/>
              </w:rPr>
              <w:t>8</w:t>
            </w:r>
            <w:r w:rsidR="00E6784B" w:rsidRPr="00E6784B">
              <w:rPr>
                <w:noProof/>
                <w:webHidden/>
              </w:rPr>
              <w:fldChar w:fldCharType="end"/>
            </w:r>
          </w:hyperlink>
        </w:p>
        <w:p w14:paraId="47885782" w14:textId="051E0B3F" w:rsidR="00E6784B" w:rsidRPr="00E6784B" w:rsidRDefault="0034597C" w:rsidP="00E6784B">
          <w:pPr>
            <w:pStyle w:val="TDC3"/>
            <w:rPr>
              <w:rFonts w:asciiTheme="minorHAnsi" w:eastAsiaTheme="minorEastAsia" w:hAnsiTheme="minorHAnsi" w:cstheme="minorBidi"/>
              <w:noProof/>
              <w:szCs w:val="22"/>
              <w:lang w:eastAsia="es-MX"/>
            </w:rPr>
          </w:pPr>
          <w:hyperlink w:anchor="_Toc199971957" w:history="1">
            <w:r w:rsidR="00E6784B" w:rsidRPr="00E6784B">
              <w:rPr>
                <w:rStyle w:val="Hipervnculo"/>
                <w:rFonts w:eastAsia="Calibri"/>
                <w:noProof/>
                <w:color w:val="auto"/>
                <w:lang w:eastAsia="es-ES_tradnl"/>
              </w:rPr>
              <w:t>c) Plazo para interponer el recurso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_Toc199971957 \h </w:instrText>
            </w:r>
            <w:r w:rsidR="00E6784B" w:rsidRPr="00E6784B">
              <w:rPr>
                <w:noProof/>
                <w:webHidden/>
              </w:rPr>
            </w:r>
            <w:r w:rsidR="00E6784B" w:rsidRPr="00E6784B">
              <w:rPr>
                <w:noProof/>
                <w:webHidden/>
              </w:rPr>
              <w:fldChar w:fldCharType="separate"/>
            </w:r>
            <w:r w:rsidR="003A53D3">
              <w:rPr>
                <w:noProof/>
                <w:webHidden/>
              </w:rPr>
              <w:t>8</w:t>
            </w:r>
            <w:r w:rsidR="00E6784B" w:rsidRPr="00E6784B">
              <w:rPr>
                <w:noProof/>
                <w:webHidden/>
              </w:rPr>
              <w:fldChar w:fldCharType="end"/>
            </w:r>
          </w:hyperlink>
        </w:p>
        <w:p w14:paraId="5491E7E6" w14:textId="20746B83" w:rsidR="00E6784B" w:rsidRPr="00E6784B" w:rsidRDefault="0034597C" w:rsidP="00E6784B">
          <w:pPr>
            <w:pStyle w:val="TDC3"/>
            <w:rPr>
              <w:rFonts w:asciiTheme="minorHAnsi" w:eastAsiaTheme="minorEastAsia" w:hAnsiTheme="minorHAnsi" w:cstheme="minorBidi"/>
              <w:noProof/>
              <w:szCs w:val="22"/>
              <w:lang w:eastAsia="es-MX"/>
            </w:rPr>
          </w:pPr>
          <w:hyperlink w:anchor="_Toc199971958" w:history="1">
            <w:r w:rsidR="00E6784B" w:rsidRPr="00E6784B">
              <w:rPr>
                <w:rStyle w:val="Hipervnculo"/>
                <w:rFonts w:eastAsia="Calibri"/>
                <w:noProof/>
                <w:color w:val="auto"/>
                <w:lang w:eastAsia="es-ES_tradnl"/>
              </w:rPr>
              <w:t>d) Causal de Procedencia</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_Toc199971958 \h </w:instrText>
            </w:r>
            <w:r w:rsidR="00E6784B" w:rsidRPr="00E6784B">
              <w:rPr>
                <w:noProof/>
                <w:webHidden/>
              </w:rPr>
            </w:r>
            <w:r w:rsidR="00E6784B" w:rsidRPr="00E6784B">
              <w:rPr>
                <w:noProof/>
                <w:webHidden/>
              </w:rPr>
              <w:fldChar w:fldCharType="separate"/>
            </w:r>
            <w:r w:rsidR="003A53D3">
              <w:rPr>
                <w:noProof/>
                <w:webHidden/>
              </w:rPr>
              <w:t>8</w:t>
            </w:r>
            <w:r w:rsidR="00E6784B" w:rsidRPr="00E6784B">
              <w:rPr>
                <w:noProof/>
                <w:webHidden/>
              </w:rPr>
              <w:fldChar w:fldCharType="end"/>
            </w:r>
          </w:hyperlink>
        </w:p>
        <w:p w14:paraId="7C7A3BF1" w14:textId="650526B1" w:rsidR="00E6784B" w:rsidRPr="00E6784B" w:rsidRDefault="0034597C" w:rsidP="00E6784B">
          <w:pPr>
            <w:pStyle w:val="TDC3"/>
            <w:rPr>
              <w:rFonts w:asciiTheme="minorHAnsi" w:eastAsiaTheme="minorEastAsia" w:hAnsiTheme="minorHAnsi" w:cstheme="minorBidi"/>
              <w:noProof/>
              <w:szCs w:val="22"/>
              <w:lang w:eastAsia="es-MX"/>
            </w:rPr>
          </w:pPr>
          <w:hyperlink w:anchor="_Toc199971959" w:history="1">
            <w:r w:rsidR="00E6784B" w:rsidRPr="00E6784B">
              <w:rPr>
                <w:rStyle w:val="Hipervnculo"/>
                <w:noProof/>
                <w:color w:val="auto"/>
              </w:rPr>
              <w:t>e) Requisitos formales para la interposición del recurso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_Toc199971959 \h </w:instrText>
            </w:r>
            <w:r w:rsidR="00E6784B" w:rsidRPr="00E6784B">
              <w:rPr>
                <w:noProof/>
                <w:webHidden/>
              </w:rPr>
            </w:r>
            <w:r w:rsidR="00E6784B" w:rsidRPr="00E6784B">
              <w:rPr>
                <w:noProof/>
                <w:webHidden/>
              </w:rPr>
              <w:fldChar w:fldCharType="separate"/>
            </w:r>
            <w:r w:rsidR="003A53D3">
              <w:rPr>
                <w:noProof/>
                <w:webHidden/>
              </w:rPr>
              <w:t>8</w:t>
            </w:r>
            <w:r w:rsidR="00E6784B" w:rsidRPr="00E6784B">
              <w:rPr>
                <w:noProof/>
                <w:webHidden/>
              </w:rPr>
              <w:fldChar w:fldCharType="end"/>
            </w:r>
          </w:hyperlink>
        </w:p>
        <w:p w14:paraId="785A8123" w14:textId="40C6E046" w:rsidR="00E6784B" w:rsidRPr="00E6784B" w:rsidRDefault="0034597C" w:rsidP="00E6784B">
          <w:pPr>
            <w:pStyle w:val="TDC2"/>
            <w:rPr>
              <w:rFonts w:asciiTheme="minorHAnsi" w:eastAsiaTheme="minorEastAsia" w:hAnsiTheme="minorHAnsi" w:cstheme="minorBidi"/>
              <w:noProof/>
              <w:szCs w:val="22"/>
              <w:lang w:eastAsia="es-MX"/>
            </w:rPr>
          </w:pPr>
          <w:hyperlink w:anchor="_Toc199971960" w:history="1">
            <w:r w:rsidR="00E6784B" w:rsidRPr="00E6784B">
              <w:rPr>
                <w:rStyle w:val="Hipervnculo"/>
                <w:noProof/>
                <w:color w:val="auto"/>
              </w:rPr>
              <w:t>SEGUNDO. Estudio de Fondo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_Toc199971960 \h </w:instrText>
            </w:r>
            <w:r w:rsidR="00E6784B" w:rsidRPr="00E6784B">
              <w:rPr>
                <w:noProof/>
                <w:webHidden/>
              </w:rPr>
            </w:r>
            <w:r w:rsidR="00E6784B" w:rsidRPr="00E6784B">
              <w:rPr>
                <w:noProof/>
                <w:webHidden/>
              </w:rPr>
              <w:fldChar w:fldCharType="separate"/>
            </w:r>
            <w:r w:rsidR="003A53D3">
              <w:rPr>
                <w:noProof/>
                <w:webHidden/>
              </w:rPr>
              <w:t>9</w:t>
            </w:r>
            <w:r w:rsidR="00E6784B" w:rsidRPr="00E6784B">
              <w:rPr>
                <w:noProof/>
                <w:webHidden/>
              </w:rPr>
              <w:fldChar w:fldCharType="end"/>
            </w:r>
          </w:hyperlink>
        </w:p>
        <w:p w14:paraId="43190DD5" w14:textId="00ECDCEA" w:rsidR="00E6784B" w:rsidRPr="00E6784B" w:rsidRDefault="0034597C" w:rsidP="00E6784B">
          <w:pPr>
            <w:pStyle w:val="TDC3"/>
            <w:rPr>
              <w:rFonts w:asciiTheme="minorHAnsi" w:eastAsiaTheme="minorEastAsia" w:hAnsiTheme="minorHAnsi" w:cstheme="minorBidi"/>
              <w:noProof/>
              <w:szCs w:val="22"/>
              <w:lang w:eastAsia="es-MX"/>
            </w:rPr>
          </w:pPr>
          <w:hyperlink w:anchor="_Toc199971961" w:history="1">
            <w:r w:rsidR="00E6784B" w:rsidRPr="00E6784B">
              <w:rPr>
                <w:rStyle w:val="Hipervnculo"/>
                <w:noProof/>
                <w:color w:val="auto"/>
              </w:rPr>
              <w:t>a) Mandato de transparencia y responsabilidad del Sujeto Obligado</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_Toc199971961 \h </w:instrText>
            </w:r>
            <w:r w:rsidR="00E6784B" w:rsidRPr="00E6784B">
              <w:rPr>
                <w:noProof/>
                <w:webHidden/>
              </w:rPr>
            </w:r>
            <w:r w:rsidR="00E6784B" w:rsidRPr="00E6784B">
              <w:rPr>
                <w:noProof/>
                <w:webHidden/>
              </w:rPr>
              <w:fldChar w:fldCharType="separate"/>
            </w:r>
            <w:r w:rsidR="003A53D3">
              <w:rPr>
                <w:noProof/>
                <w:webHidden/>
              </w:rPr>
              <w:t>9</w:t>
            </w:r>
            <w:r w:rsidR="00E6784B" w:rsidRPr="00E6784B">
              <w:rPr>
                <w:noProof/>
                <w:webHidden/>
              </w:rPr>
              <w:fldChar w:fldCharType="end"/>
            </w:r>
          </w:hyperlink>
        </w:p>
        <w:p w14:paraId="3334706F" w14:textId="134776E6" w:rsidR="00E6784B" w:rsidRPr="00E6784B" w:rsidRDefault="0034597C" w:rsidP="00E6784B">
          <w:pPr>
            <w:pStyle w:val="TDC3"/>
            <w:rPr>
              <w:rFonts w:asciiTheme="minorHAnsi" w:eastAsiaTheme="minorEastAsia" w:hAnsiTheme="minorHAnsi" w:cstheme="minorBidi"/>
              <w:noProof/>
              <w:szCs w:val="22"/>
              <w:lang w:eastAsia="es-MX"/>
            </w:rPr>
          </w:pPr>
          <w:hyperlink w:anchor="_Toc199971962" w:history="1">
            <w:r w:rsidR="00E6784B" w:rsidRPr="00E6784B">
              <w:rPr>
                <w:rStyle w:val="Hipervnculo"/>
                <w:rFonts w:eastAsia="Calibri"/>
                <w:noProof/>
                <w:color w:val="auto"/>
                <w:lang w:eastAsia="es-ES_tradnl"/>
              </w:rPr>
              <w:t>b) Controversia a resolver</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_Toc199971962 \h </w:instrText>
            </w:r>
            <w:r w:rsidR="00E6784B" w:rsidRPr="00E6784B">
              <w:rPr>
                <w:noProof/>
                <w:webHidden/>
              </w:rPr>
            </w:r>
            <w:r w:rsidR="00E6784B" w:rsidRPr="00E6784B">
              <w:rPr>
                <w:noProof/>
                <w:webHidden/>
              </w:rPr>
              <w:fldChar w:fldCharType="separate"/>
            </w:r>
            <w:r w:rsidR="003A53D3">
              <w:rPr>
                <w:noProof/>
                <w:webHidden/>
              </w:rPr>
              <w:t>12</w:t>
            </w:r>
            <w:r w:rsidR="00E6784B" w:rsidRPr="00E6784B">
              <w:rPr>
                <w:noProof/>
                <w:webHidden/>
              </w:rPr>
              <w:fldChar w:fldCharType="end"/>
            </w:r>
          </w:hyperlink>
        </w:p>
        <w:p w14:paraId="7DCA13CF" w14:textId="48342846" w:rsidR="00E6784B" w:rsidRPr="00E6784B" w:rsidRDefault="0034597C" w:rsidP="00E6784B">
          <w:pPr>
            <w:pStyle w:val="TDC3"/>
            <w:rPr>
              <w:rFonts w:asciiTheme="minorHAnsi" w:eastAsiaTheme="minorEastAsia" w:hAnsiTheme="minorHAnsi" w:cstheme="minorBidi"/>
              <w:noProof/>
              <w:szCs w:val="22"/>
              <w:lang w:eastAsia="es-MX"/>
            </w:rPr>
          </w:pPr>
          <w:hyperlink w:anchor="_Toc199971963" w:history="1">
            <w:r w:rsidR="00E6784B" w:rsidRPr="00E6784B">
              <w:rPr>
                <w:rStyle w:val="Hipervnculo"/>
                <w:noProof/>
                <w:color w:val="auto"/>
              </w:rPr>
              <w:t>c) Estudio de la controversia</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_Toc199971963 \h </w:instrText>
            </w:r>
            <w:r w:rsidR="00E6784B" w:rsidRPr="00E6784B">
              <w:rPr>
                <w:noProof/>
                <w:webHidden/>
              </w:rPr>
            </w:r>
            <w:r w:rsidR="00E6784B" w:rsidRPr="00E6784B">
              <w:rPr>
                <w:noProof/>
                <w:webHidden/>
              </w:rPr>
              <w:fldChar w:fldCharType="separate"/>
            </w:r>
            <w:r w:rsidR="003A53D3">
              <w:rPr>
                <w:noProof/>
                <w:webHidden/>
              </w:rPr>
              <w:t>14</w:t>
            </w:r>
            <w:r w:rsidR="00E6784B" w:rsidRPr="00E6784B">
              <w:rPr>
                <w:noProof/>
                <w:webHidden/>
              </w:rPr>
              <w:fldChar w:fldCharType="end"/>
            </w:r>
          </w:hyperlink>
        </w:p>
        <w:p w14:paraId="4C66E2F6" w14:textId="012E6E91" w:rsidR="00E6784B" w:rsidRPr="00E6784B" w:rsidRDefault="0034597C" w:rsidP="00E6784B">
          <w:pPr>
            <w:pStyle w:val="TDC3"/>
            <w:rPr>
              <w:rFonts w:asciiTheme="minorHAnsi" w:eastAsiaTheme="minorEastAsia" w:hAnsiTheme="minorHAnsi" w:cstheme="minorBidi"/>
              <w:noProof/>
              <w:szCs w:val="22"/>
              <w:lang w:eastAsia="es-MX"/>
            </w:rPr>
          </w:pPr>
          <w:hyperlink w:anchor="_Toc199971964" w:history="1">
            <w:r w:rsidR="00E6784B" w:rsidRPr="00E6784B">
              <w:rPr>
                <w:rStyle w:val="Hipervnculo"/>
                <w:noProof/>
                <w:color w:val="auto"/>
              </w:rPr>
              <w:t>d) Versión pública</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_Toc199971964 \h </w:instrText>
            </w:r>
            <w:r w:rsidR="00E6784B" w:rsidRPr="00E6784B">
              <w:rPr>
                <w:noProof/>
                <w:webHidden/>
              </w:rPr>
            </w:r>
            <w:r w:rsidR="00E6784B" w:rsidRPr="00E6784B">
              <w:rPr>
                <w:noProof/>
                <w:webHidden/>
              </w:rPr>
              <w:fldChar w:fldCharType="separate"/>
            </w:r>
            <w:r w:rsidR="003A53D3">
              <w:rPr>
                <w:noProof/>
                <w:webHidden/>
              </w:rPr>
              <w:t>37</w:t>
            </w:r>
            <w:r w:rsidR="00E6784B" w:rsidRPr="00E6784B">
              <w:rPr>
                <w:noProof/>
                <w:webHidden/>
              </w:rPr>
              <w:fldChar w:fldCharType="end"/>
            </w:r>
          </w:hyperlink>
        </w:p>
        <w:p w14:paraId="221DCD76" w14:textId="691665B5" w:rsidR="00E6784B" w:rsidRPr="00E6784B" w:rsidRDefault="0034597C" w:rsidP="00E6784B">
          <w:pPr>
            <w:pStyle w:val="TDC3"/>
            <w:rPr>
              <w:rFonts w:asciiTheme="minorHAnsi" w:eastAsiaTheme="minorEastAsia" w:hAnsiTheme="minorHAnsi" w:cstheme="minorBidi"/>
              <w:noProof/>
              <w:szCs w:val="22"/>
              <w:lang w:eastAsia="es-MX"/>
            </w:rPr>
          </w:pPr>
          <w:hyperlink w:anchor="_Toc199971965" w:history="1">
            <w:r w:rsidR="00E6784B" w:rsidRPr="00E6784B">
              <w:rPr>
                <w:rStyle w:val="Hipervnculo"/>
                <w:noProof/>
                <w:color w:val="auto"/>
              </w:rPr>
              <w:t>e) Conclusión</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_Toc199971965 \h </w:instrText>
            </w:r>
            <w:r w:rsidR="00E6784B" w:rsidRPr="00E6784B">
              <w:rPr>
                <w:noProof/>
                <w:webHidden/>
              </w:rPr>
            </w:r>
            <w:r w:rsidR="00E6784B" w:rsidRPr="00E6784B">
              <w:rPr>
                <w:noProof/>
                <w:webHidden/>
              </w:rPr>
              <w:fldChar w:fldCharType="separate"/>
            </w:r>
            <w:r w:rsidR="003A53D3">
              <w:rPr>
                <w:noProof/>
                <w:webHidden/>
              </w:rPr>
              <w:t>62</w:t>
            </w:r>
            <w:r w:rsidR="00E6784B" w:rsidRPr="00E6784B">
              <w:rPr>
                <w:noProof/>
                <w:webHidden/>
              </w:rPr>
              <w:fldChar w:fldCharType="end"/>
            </w:r>
          </w:hyperlink>
        </w:p>
        <w:p w14:paraId="6C5FF664" w14:textId="576B346C" w:rsidR="00E6784B" w:rsidRPr="00E6784B" w:rsidRDefault="0034597C" w:rsidP="00E6784B">
          <w:pPr>
            <w:pStyle w:val="TDC1"/>
            <w:tabs>
              <w:tab w:val="right" w:leader="dot" w:pos="9034"/>
            </w:tabs>
            <w:rPr>
              <w:rFonts w:asciiTheme="minorHAnsi" w:eastAsiaTheme="minorEastAsia" w:hAnsiTheme="minorHAnsi" w:cstheme="minorBidi"/>
              <w:noProof/>
              <w:szCs w:val="22"/>
              <w:lang w:eastAsia="es-MX"/>
            </w:rPr>
          </w:pPr>
          <w:hyperlink w:anchor="_Toc199971966" w:history="1">
            <w:r w:rsidR="00E6784B" w:rsidRPr="00E6784B">
              <w:rPr>
                <w:rStyle w:val="Hipervnculo"/>
                <w:noProof/>
                <w:color w:val="auto"/>
              </w:rPr>
              <w:t>RESUELVE</w:t>
            </w:r>
            <w:r w:rsidR="00E6784B" w:rsidRPr="00E6784B">
              <w:rPr>
                <w:noProof/>
                <w:webHidden/>
              </w:rPr>
              <w:tab/>
            </w:r>
            <w:r w:rsidR="00E6784B" w:rsidRPr="00E6784B">
              <w:rPr>
                <w:noProof/>
                <w:webHidden/>
              </w:rPr>
              <w:fldChar w:fldCharType="begin"/>
            </w:r>
            <w:r w:rsidR="00E6784B" w:rsidRPr="00E6784B">
              <w:rPr>
                <w:noProof/>
                <w:webHidden/>
              </w:rPr>
              <w:instrText xml:space="preserve"> PAGEREF _Toc199971966 \h </w:instrText>
            </w:r>
            <w:r w:rsidR="00E6784B" w:rsidRPr="00E6784B">
              <w:rPr>
                <w:noProof/>
                <w:webHidden/>
              </w:rPr>
            </w:r>
            <w:r w:rsidR="00E6784B" w:rsidRPr="00E6784B">
              <w:rPr>
                <w:noProof/>
                <w:webHidden/>
              </w:rPr>
              <w:fldChar w:fldCharType="separate"/>
            </w:r>
            <w:r w:rsidR="003A53D3">
              <w:rPr>
                <w:noProof/>
                <w:webHidden/>
              </w:rPr>
              <w:t>63</w:t>
            </w:r>
            <w:r w:rsidR="00E6784B" w:rsidRPr="00E6784B">
              <w:rPr>
                <w:noProof/>
                <w:webHidden/>
              </w:rPr>
              <w:fldChar w:fldCharType="end"/>
            </w:r>
          </w:hyperlink>
        </w:p>
        <w:p w14:paraId="0C82FD7A" w14:textId="32FEE73E" w:rsidR="009B2945" w:rsidRPr="00E6784B" w:rsidRDefault="00AE3DA7" w:rsidP="00E6784B">
          <w:pPr>
            <w:spacing w:line="240" w:lineRule="auto"/>
            <w:rPr>
              <w:b/>
              <w:bCs/>
              <w:lang w:val="es-ES"/>
            </w:rPr>
          </w:pPr>
          <w:r w:rsidRPr="00E6784B">
            <w:rPr>
              <w:b/>
              <w:bCs/>
              <w:sz w:val="16"/>
              <w:szCs w:val="16"/>
              <w:lang w:val="es-ES"/>
            </w:rPr>
            <w:fldChar w:fldCharType="end"/>
          </w:r>
        </w:p>
      </w:sdtContent>
    </w:sdt>
    <w:p w14:paraId="603A07E2" w14:textId="77777777" w:rsidR="00646436" w:rsidRPr="00E6784B" w:rsidRDefault="00646436" w:rsidP="00E6784B">
      <w:pPr>
        <w:rPr>
          <w:rFonts w:cs="Tahoma"/>
          <w:szCs w:val="22"/>
        </w:rPr>
        <w:sectPr w:rsidR="00646436" w:rsidRPr="00E6784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6029A8D" w:rsidR="00775BFC" w:rsidRPr="00E6784B" w:rsidRDefault="00775BFC" w:rsidP="00E6784B">
      <w:r w:rsidRPr="00E6784B">
        <w:lastRenderedPageBreak/>
        <w:t>Resolución del Pleno del Instituto de Transparencia, Acceso a la Información Pública y Protección de Datos Personales del Estado de México y Municipios, con domicilio en Metepec, Estado de México, de</w:t>
      </w:r>
      <w:r w:rsidR="00C265E0" w:rsidRPr="00E6784B">
        <w:t>l</w:t>
      </w:r>
      <w:r w:rsidRPr="00E6784B">
        <w:t xml:space="preserve"> </w:t>
      </w:r>
      <w:r w:rsidR="00C265E0" w:rsidRPr="00E6784B">
        <w:rPr>
          <w:b/>
        </w:rPr>
        <w:t xml:space="preserve">cuatro </w:t>
      </w:r>
      <w:r w:rsidRPr="00E6784B">
        <w:rPr>
          <w:b/>
        </w:rPr>
        <w:t xml:space="preserve">de </w:t>
      </w:r>
      <w:r w:rsidR="00C265E0" w:rsidRPr="00E6784B">
        <w:rPr>
          <w:b/>
        </w:rPr>
        <w:t xml:space="preserve">junio </w:t>
      </w:r>
      <w:r w:rsidRPr="00E6784B">
        <w:rPr>
          <w:b/>
        </w:rPr>
        <w:t xml:space="preserve">de dos mil </w:t>
      </w:r>
      <w:r w:rsidR="00FE368B" w:rsidRPr="00E6784B">
        <w:rPr>
          <w:b/>
        </w:rPr>
        <w:t>veinticinco</w:t>
      </w:r>
      <w:r w:rsidRPr="00E6784B">
        <w:t>.</w:t>
      </w:r>
    </w:p>
    <w:p w14:paraId="0AF3AAC4" w14:textId="77777777" w:rsidR="00775BFC" w:rsidRPr="00E6784B" w:rsidRDefault="00775BFC" w:rsidP="00E6784B"/>
    <w:p w14:paraId="40EAE038" w14:textId="64BE9E86" w:rsidR="00775BFC" w:rsidRPr="00E6784B" w:rsidRDefault="00775BFC" w:rsidP="00E6784B">
      <w:pPr>
        <w:rPr>
          <w:b/>
          <w:bCs/>
        </w:rPr>
      </w:pPr>
      <w:r w:rsidRPr="00E6784B">
        <w:rPr>
          <w:b/>
        </w:rPr>
        <w:t xml:space="preserve">VISTO </w:t>
      </w:r>
      <w:r w:rsidRPr="00E6784B">
        <w:t xml:space="preserve">el expediente formado con motivo del Recurso de Revisión </w:t>
      </w:r>
      <w:r w:rsidR="00C265E0" w:rsidRPr="00E6784B">
        <w:rPr>
          <w:rFonts w:eastAsia="Calibri"/>
          <w:b/>
          <w:lang w:eastAsia="en-US"/>
        </w:rPr>
        <w:t>03712/</w:t>
      </w:r>
      <w:r w:rsidRPr="00E6784B">
        <w:rPr>
          <w:rFonts w:eastAsia="Calibri"/>
          <w:b/>
          <w:lang w:eastAsia="en-US"/>
        </w:rPr>
        <w:t>INFOEM/IP/RR/</w:t>
      </w:r>
      <w:r w:rsidR="00C265E0" w:rsidRPr="00E6784B">
        <w:rPr>
          <w:rFonts w:eastAsia="Calibri"/>
          <w:b/>
          <w:lang w:eastAsia="en-US"/>
        </w:rPr>
        <w:t>2025</w:t>
      </w:r>
      <w:r w:rsidRPr="00E6784B">
        <w:rPr>
          <w:rFonts w:eastAsia="Calibri"/>
          <w:lang w:eastAsia="en-US"/>
        </w:rPr>
        <w:t xml:space="preserve"> </w:t>
      </w:r>
      <w:r w:rsidRPr="00E6784B">
        <w:t xml:space="preserve">interpuesto por </w:t>
      </w:r>
      <w:bookmarkStart w:id="2" w:name="_GoBack"/>
      <w:r w:rsidR="004C26F7">
        <w:rPr>
          <w:b/>
          <w:bCs/>
        </w:rPr>
        <w:t>XXXXXXX</w:t>
      </w:r>
      <w:bookmarkEnd w:id="2"/>
      <w:r w:rsidR="00C265E0" w:rsidRPr="00E6784B">
        <w:rPr>
          <w:b/>
          <w:bCs/>
        </w:rPr>
        <w:t>,</w:t>
      </w:r>
      <w:r w:rsidRPr="00E6784B">
        <w:t xml:space="preserve"> a quien en lo subsecuente se le denominará </w:t>
      </w:r>
      <w:r w:rsidRPr="00E6784B">
        <w:rPr>
          <w:b/>
          <w:bCs/>
        </w:rPr>
        <w:t>LA PARTE RECURRENTE</w:t>
      </w:r>
      <w:r w:rsidRPr="00E6784B">
        <w:t>, en contra de la respuesta emitida por</w:t>
      </w:r>
      <w:r w:rsidR="00CC65E0" w:rsidRPr="00E6784B">
        <w:t xml:space="preserve"> el</w:t>
      </w:r>
      <w:r w:rsidRPr="00E6784B">
        <w:t xml:space="preserve"> </w:t>
      </w:r>
      <w:r w:rsidR="00CC65E0" w:rsidRPr="00E6784B">
        <w:rPr>
          <w:b/>
          <w:bCs/>
        </w:rPr>
        <w:t>Instituto de Capacitación y Adiestramiento para el Trabajo Industrial</w:t>
      </w:r>
      <w:r w:rsidRPr="00E6784B">
        <w:t xml:space="preserve">, en adelante </w:t>
      </w:r>
      <w:r w:rsidRPr="00E6784B">
        <w:rPr>
          <w:b/>
          <w:bCs/>
        </w:rPr>
        <w:t>EL SUJETO OBLIGADO</w:t>
      </w:r>
      <w:r w:rsidRPr="00E6784B">
        <w:rPr>
          <w:rFonts w:eastAsia="Calibri"/>
          <w:lang w:eastAsia="en-US"/>
        </w:rPr>
        <w:t xml:space="preserve">, </w:t>
      </w:r>
      <w:r w:rsidRPr="00E6784B">
        <w:t>se emite la presente Resolución con base en los Antecedentes y Considerandos que se exponen a continuación:</w:t>
      </w:r>
    </w:p>
    <w:p w14:paraId="2116968C" w14:textId="77777777" w:rsidR="00775BFC" w:rsidRPr="00E6784B" w:rsidRDefault="00775BFC" w:rsidP="00E6784B"/>
    <w:p w14:paraId="5A444FB6" w14:textId="639D3567" w:rsidR="00664420" w:rsidRPr="00E6784B" w:rsidRDefault="00664420" w:rsidP="00E6784B">
      <w:pPr>
        <w:pStyle w:val="Ttulo1"/>
      </w:pPr>
      <w:bookmarkStart w:id="3" w:name="_Toc199971941"/>
      <w:r w:rsidRPr="00E6784B">
        <w:t>ANTECEDENTES</w:t>
      </w:r>
      <w:bookmarkEnd w:id="3"/>
    </w:p>
    <w:p w14:paraId="5CB5034E" w14:textId="77777777" w:rsidR="00AC2DB8" w:rsidRPr="00E6784B" w:rsidRDefault="00AC2DB8" w:rsidP="00E6784B"/>
    <w:p w14:paraId="09B2D38F" w14:textId="6E49D146" w:rsidR="00664420" w:rsidRPr="00E6784B" w:rsidRDefault="00E37A3F" w:rsidP="00E6784B">
      <w:pPr>
        <w:pStyle w:val="Ttulo2"/>
      </w:pPr>
      <w:bookmarkStart w:id="4" w:name="_Toc199971942"/>
      <w:r w:rsidRPr="00E6784B">
        <w:t>DE LA SOLICITUD DE INFORMACIÓN</w:t>
      </w:r>
      <w:bookmarkEnd w:id="4"/>
    </w:p>
    <w:p w14:paraId="7B7535DF" w14:textId="77777777" w:rsidR="00E37A3F" w:rsidRPr="00E6784B" w:rsidRDefault="00E37A3F" w:rsidP="00E6784B"/>
    <w:p w14:paraId="2C6AD1A5" w14:textId="0405B3CD" w:rsidR="00664420" w:rsidRPr="00E6784B" w:rsidRDefault="00E37A3F" w:rsidP="00E6784B">
      <w:pPr>
        <w:pStyle w:val="Ttulo3"/>
      </w:pPr>
      <w:bookmarkStart w:id="5" w:name="_Toc199971943"/>
      <w:r w:rsidRPr="00E6784B">
        <w:t xml:space="preserve">a) </w:t>
      </w:r>
      <w:r w:rsidR="006B10B0" w:rsidRPr="00E6784B">
        <w:t>S</w:t>
      </w:r>
      <w:r w:rsidR="00664420" w:rsidRPr="00E6784B">
        <w:t xml:space="preserve">olicitud de </w:t>
      </w:r>
      <w:r w:rsidR="006B10B0" w:rsidRPr="00E6784B">
        <w:t>i</w:t>
      </w:r>
      <w:r w:rsidR="00664420" w:rsidRPr="00E6784B">
        <w:t>nformación</w:t>
      </w:r>
      <w:bookmarkEnd w:id="5"/>
    </w:p>
    <w:p w14:paraId="06DCD29D" w14:textId="6D0A9BAE" w:rsidR="009A2D78" w:rsidRPr="00E6784B" w:rsidRDefault="006B10B0" w:rsidP="00E6784B">
      <w:pPr>
        <w:pStyle w:val="Prrafodelista"/>
        <w:tabs>
          <w:tab w:val="left" w:pos="0"/>
        </w:tabs>
        <w:ind w:left="0"/>
        <w:contextualSpacing w:val="0"/>
        <w:rPr>
          <w:rFonts w:cs="Tahoma"/>
        </w:rPr>
      </w:pPr>
      <w:r w:rsidRPr="00E6784B">
        <w:rPr>
          <w:rFonts w:cs="Tahoma"/>
        </w:rPr>
        <w:t>El</w:t>
      </w:r>
      <w:r w:rsidR="00664420" w:rsidRPr="00E6784B">
        <w:rPr>
          <w:rFonts w:cs="Tahoma"/>
        </w:rPr>
        <w:t xml:space="preserve"> </w:t>
      </w:r>
      <w:r w:rsidR="00292B4B" w:rsidRPr="00E6784B">
        <w:rPr>
          <w:rFonts w:cs="Tahoma"/>
          <w:b/>
          <w:bCs/>
        </w:rPr>
        <w:t>trece</w:t>
      </w:r>
      <w:r w:rsidR="00664420" w:rsidRPr="00E6784B">
        <w:rPr>
          <w:rFonts w:cs="Tahoma"/>
          <w:b/>
          <w:bCs/>
        </w:rPr>
        <w:t xml:space="preserve"> de </w:t>
      </w:r>
      <w:r w:rsidR="00292B4B" w:rsidRPr="00E6784B">
        <w:rPr>
          <w:rFonts w:cs="Tahoma"/>
          <w:b/>
          <w:bCs/>
        </w:rPr>
        <w:t>febrero</w:t>
      </w:r>
      <w:r w:rsidR="00664420" w:rsidRPr="00E6784B">
        <w:rPr>
          <w:rFonts w:cs="Tahoma"/>
          <w:b/>
          <w:bCs/>
        </w:rPr>
        <w:t xml:space="preserve"> de dos mil </w:t>
      </w:r>
      <w:r w:rsidR="00FE368B" w:rsidRPr="00E6784B">
        <w:rPr>
          <w:rFonts w:cs="Tahoma"/>
          <w:b/>
          <w:bCs/>
        </w:rPr>
        <w:t>veinticinco</w:t>
      </w:r>
      <w:r w:rsidR="00664420" w:rsidRPr="00E6784B">
        <w:rPr>
          <w:rFonts w:cs="Tahoma"/>
        </w:rPr>
        <w:t xml:space="preserve">, </w:t>
      </w:r>
      <w:r w:rsidRPr="00E6784B">
        <w:rPr>
          <w:b/>
          <w:bCs/>
        </w:rPr>
        <w:t>LA PARTE RECURRENTE</w:t>
      </w:r>
      <w:r w:rsidR="00664420" w:rsidRPr="00E6784B">
        <w:rPr>
          <w:rFonts w:cs="Tahoma"/>
        </w:rPr>
        <w:t xml:space="preserve"> presentó una solicitud de acceso a la información pública </w:t>
      </w:r>
      <w:r w:rsidR="001F3515" w:rsidRPr="00E6784B">
        <w:rPr>
          <w:rFonts w:cs="Tahoma"/>
        </w:rPr>
        <w:t xml:space="preserve">ante el </w:t>
      </w:r>
      <w:r w:rsidR="001F3515" w:rsidRPr="00E6784B">
        <w:rPr>
          <w:rFonts w:cs="Tahoma"/>
          <w:b/>
          <w:bCs/>
        </w:rPr>
        <w:t>SUJETO OBLIGADO</w:t>
      </w:r>
      <w:r w:rsidR="001F3515" w:rsidRPr="00E6784B">
        <w:rPr>
          <w:rFonts w:cs="Tahoma"/>
        </w:rPr>
        <w:t xml:space="preserve">, </w:t>
      </w:r>
      <w:r w:rsidR="00664420" w:rsidRPr="00E6784B">
        <w:rPr>
          <w:rFonts w:cs="Tahoma"/>
        </w:rPr>
        <w:t xml:space="preserve">a través del </w:t>
      </w:r>
      <w:r w:rsidRPr="00E6784B">
        <w:rPr>
          <w:rFonts w:cs="Tahoma"/>
        </w:rPr>
        <w:t>Sistema de Acceso a la Información Mexiquense</w:t>
      </w:r>
      <w:r w:rsidR="009A2D78" w:rsidRPr="00E6784B">
        <w:rPr>
          <w:rFonts w:cs="Tahoma"/>
        </w:rPr>
        <w:t xml:space="preserve"> (</w:t>
      </w:r>
      <w:r w:rsidRPr="00E6784B">
        <w:rPr>
          <w:rFonts w:cs="Tahoma"/>
        </w:rPr>
        <w:t>SAIMEX</w:t>
      </w:r>
      <w:r w:rsidR="009A2D78" w:rsidRPr="00E6784B">
        <w:rPr>
          <w:rFonts w:cs="Tahoma"/>
        </w:rPr>
        <w:t>). Dicha solicitud quedó</w:t>
      </w:r>
      <w:r w:rsidRPr="00E6784B">
        <w:rPr>
          <w:rFonts w:cs="Tahoma"/>
        </w:rPr>
        <w:t xml:space="preserve"> registrada c</w:t>
      </w:r>
      <w:r w:rsidR="00664420" w:rsidRPr="00E6784B">
        <w:rPr>
          <w:rFonts w:cs="Tahoma"/>
        </w:rPr>
        <w:t>on el número de folio</w:t>
      </w:r>
      <w:r w:rsidR="00664420" w:rsidRPr="00E6784B">
        <w:rPr>
          <w:rFonts w:cs="Tahoma"/>
          <w:b/>
          <w:bCs/>
        </w:rPr>
        <w:t xml:space="preserve"> </w:t>
      </w:r>
      <w:r w:rsidR="00292B4B" w:rsidRPr="00E6784B">
        <w:rPr>
          <w:rFonts w:cs="Tahoma"/>
          <w:b/>
          <w:bCs/>
        </w:rPr>
        <w:t>00004/ICATI/IP/2025</w:t>
      </w:r>
      <w:r w:rsidR="002A3601" w:rsidRPr="00E6784B">
        <w:rPr>
          <w:rFonts w:cs="Tahoma"/>
        </w:rPr>
        <w:t xml:space="preserve"> y en ella </w:t>
      </w:r>
      <w:r w:rsidR="009A2D78" w:rsidRPr="00E6784B">
        <w:rPr>
          <w:rFonts w:cs="Tahoma"/>
        </w:rPr>
        <w:t>se requirió la siguiente información:</w:t>
      </w:r>
    </w:p>
    <w:p w14:paraId="0459D6AC" w14:textId="77777777" w:rsidR="00664420" w:rsidRPr="00E6784B" w:rsidRDefault="00664420" w:rsidP="00E6784B">
      <w:pPr>
        <w:tabs>
          <w:tab w:val="left" w:pos="4667"/>
        </w:tabs>
        <w:ind w:left="567" w:right="567"/>
        <w:rPr>
          <w:rFonts w:cs="Tahoma"/>
          <w:b/>
          <w:bCs/>
        </w:rPr>
      </w:pPr>
    </w:p>
    <w:p w14:paraId="179FB369" w14:textId="0C093C1E" w:rsidR="00664420" w:rsidRPr="00E6784B" w:rsidRDefault="00292B4B" w:rsidP="00E6784B">
      <w:pPr>
        <w:pStyle w:val="Puesto"/>
      </w:pPr>
      <w:r w:rsidRPr="00E6784B">
        <w:t xml:space="preserve">CON FUNDAMENTO EN EL ARTICULO 1° Y 8° CONSTITUCIÓN POLÍTICA DE LOS ESTADOS UNIDOS MEXICANOS, Y CON SUSTENTO EN LA TESIS CON REGISTRO DIGITAL: 2000299, EMANADA DE LA SUPREMA CORTE DE JUSTICIA DE LA NACIÓN, ASÍ COMO TAMBIÉN CON APOYO DEL CONTROL </w:t>
      </w:r>
      <w:r w:rsidRPr="00E6784B">
        <w:lastRenderedPageBreak/>
        <w:t xml:space="preserve">DE CONVENCIONALIDAD EXOFICIO; Y EN EJERCICIO DE MI DERECHO DE PETICIÓN SOLICITO SABER LO SIGUIENTE: 1) LAS FUNCIONES QUE TIENE EL INSTITUTO DE CAPACITACIÓN Y ADIESTRAMIENTO PARA EL TRABAJO INDUSTRIAL (ICATI) DE VALLE DE BRAVO, MÉXICO. 2) EL DOMICILIO DONDE SE ENCUENTRA EL INSTITUTO DE CAPACITACIÓN Y ADIESTRAMIENTO PARA EL TRABAJO INDUSTRIAL (ICATI) DE VALLE DE BRAVO, MÉXICO. 3) FOTOGRAFIAS EXTERIORES E INTERIORES DEL INSTITUTO DE CAPACITACIÓN Y ADIESTRAMIENTO PARA EL TRABAJO INDUSTRIAL (ICATI) DE VALLE DE BRAVO, MÉXICO. 4) LAS FOTOGRAFIAS DE LAS OFICINAS INTERIORES DEL INSTITUTO DE CAPACITACIÓN Y ADIESTRAMIENTO PARA EL TRABAJO INDUSTRIAL (ICATI) DE VALLE DE BRAVO, MÉXICO. 5) EL ORGANIGRAMA DEL PERSONAL ADSCRITO AL ÁREA DE LA UNIDAD DE INFORMACIÓN, PLANEACIÓN, PROGRAMACIÓN Y EVALUACIÓN DEL AYUNTAMIENTO DE VALLE DE BRAVO, MÉXICO. 6) LISTA DE TODOS LOS SERVIDORES PUBLICOS QUE INTEGRAN EL INSTITUTO DE CAPACITACIÓN Y ADIESTRAMIENTO PARA EL TRABAJO INDUSTRIAL (ICATI) DE VALLE DE BRAVO, MÉXICO. 7) LAS FUNCIONES GENERALES Y ESPECIFICAS DE LOS SERVIDORES PUBLICOS QUE INTEGRAN EL INSTITUTO DE CAPACITACIÓN Y ADIESTRAMIENTO PARA EL TRABAJO INDUSTRIAL (ICATI) DE VALLE DE BRAVO, MÉXICO. 8) GAFETE CON FOTOGRAFIA DE LOS SERVIDORES PUBLICOS QUE INTEGRAN EL INSTITUTO DE CAPACITACIÓN Y ADIESTRAMIENTO PARA EL TRABAJO INDUSTRIAL (ICATI) DE VALLE DE BRAVO, MÉXICO. 9) LOS HORARIOS DE FUNCIONAMIENTO Y ATENCION AL PUBLICO EN GENERAL DEL INSTITUTO DE CAPACITACIÓN Y ADIESTRAMIENTO PARA EL TRABAJO INDUSTRIAL (ICATI) DE VALLE DE BRAVO, MÉXICO. 10) CODIGO DE ETICA DEL INSTITUTO DE CAPACITACIÓN Y ADIESTRAMIENTO PARA EL TRABAJO INDUSTRIAL (ICATI) DE VALLE DE BRAVO, MÉXICO. 11) EL MANUAL DE ORGANIZACION DEL INSTITUTO DE CAPACITACIÓN Y ADIESTRAMIENTO PARA EL TRABAJO INDUSTRIAL (ICATI) DE VALLE DE BRAVO, MÉXICO. 12) EL MANUAL DE PROCEDIMIENTOS DEL INSTITUTO DE CAPACITACIÓN Y ADIESTRAMIENTO PARA EL TRABAJO INDUSTRIAL (ICATI) DE VALLE DE BRAVO, MÉXICO. 13) EL REGLAMENTO INTERNO DEL INSTITUTO DE CAPACITACIÓN Y ADIESTRAMIENTO PARA EL TRABAJO INDUSTRIAL (ICATI) DE VALLE DE BRAVO, MÉXICO. 14) LOS SALARIOS Y REMUNERACIONES ANUALES DE TODO EL PERSONAL QUE LABORA EN EL </w:t>
      </w:r>
      <w:r w:rsidRPr="00E6784B">
        <w:lastRenderedPageBreak/>
        <w:t>INSTITUTO DE CAPACITACIÓN Y ADIESTRAMIENTO PARA EL TRABAJO INDUSTRIAL (ICATI) DE VALLE DE BRAVO, MÉXICO; JUNTO CON SUS PRESTACIONES DE LEY. 15) LOS GAFETES OFICIALES CON FOTOGRAFIA DE TODO EL PERSONAL QUE CONFORMA EL INSTITUTO DE CAPACITACIÓN Y ADIESTRAMIENTO PARA EL TRABAJO INDUSTRIAL (ICATI) DE VALLE DE BRAVO, MÉXICO</w:t>
      </w:r>
      <w:r w:rsidR="00664420" w:rsidRPr="00E6784B">
        <w:t>.</w:t>
      </w:r>
    </w:p>
    <w:p w14:paraId="64B27DE3" w14:textId="77777777" w:rsidR="00664420" w:rsidRPr="00E6784B" w:rsidRDefault="00664420" w:rsidP="00E6784B">
      <w:pPr>
        <w:tabs>
          <w:tab w:val="left" w:pos="4667"/>
        </w:tabs>
        <w:ind w:left="567" w:right="567"/>
        <w:rPr>
          <w:rFonts w:cs="Tahoma"/>
          <w:bCs/>
          <w:i/>
          <w:szCs w:val="22"/>
        </w:rPr>
      </w:pPr>
    </w:p>
    <w:p w14:paraId="0BD6321D" w14:textId="56D9ABBC" w:rsidR="00664420" w:rsidRPr="00E6784B" w:rsidRDefault="009A2D78" w:rsidP="00E6784B">
      <w:pPr>
        <w:tabs>
          <w:tab w:val="left" w:pos="4667"/>
        </w:tabs>
        <w:ind w:left="567" w:right="567"/>
        <w:rPr>
          <w:rFonts w:cs="Tahoma"/>
          <w:bCs/>
          <w:szCs w:val="22"/>
        </w:rPr>
      </w:pPr>
      <w:r w:rsidRPr="00E6784B">
        <w:rPr>
          <w:rFonts w:cs="Tahoma"/>
          <w:b/>
          <w:bCs/>
          <w:szCs w:val="22"/>
        </w:rPr>
        <w:t>Modalidad de entrega</w:t>
      </w:r>
      <w:r w:rsidRPr="00E6784B">
        <w:rPr>
          <w:rFonts w:cs="Tahoma"/>
          <w:bCs/>
          <w:szCs w:val="22"/>
        </w:rPr>
        <w:t>: a</w:t>
      </w:r>
      <w:r w:rsidR="00664420" w:rsidRPr="00E6784B">
        <w:rPr>
          <w:rFonts w:cs="Tahoma"/>
          <w:bCs/>
          <w:i/>
          <w:szCs w:val="22"/>
        </w:rPr>
        <w:t xml:space="preserve"> través del SAIMEX</w:t>
      </w:r>
      <w:r w:rsidRPr="00E6784B">
        <w:rPr>
          <w:rFonts w:cs="Tahoma"/>
          <w:bCs/>
          <w:i/>
          <w:szCs w:val="22"/>
        </w:rPr>
        <w:t>.</w:t>
      </w:r>
    </w:p>
    <w:p w14:paraId="334D2860" w14:textId="77777777" w:rsidR="00664420" w:rsidRPr="00E6784B" w:rsidRDefault="00664420" w:rsidP="00E6784B">
      <w:pPr>
        <w:autoSpaceDE w:val="0"/>
        <w:autoSpaceDN w:val="0"/>
        <w:adjustRightInd w:val="0"/>
        <w:ind w:right="-28"/>
        <w:rPr>
          <w:rFonts w:cs="Tahoma"/>
          <w:bCs/>
          <w:i/>
          <w:szCs w:val="22"/>
        </w:rPr>
      </w:pPr>
    </w:p>
    <w:p w14:paraId="3212BA4D" w14:textId="51FBD24B" w:rsidR="00664420" w:rsidRPr="00E6784B" w:rsidRDefault="00E37A3F" w:rsidP="00E6784B">
      <w:pPr>
        <w:pStyle w:val="Ttulo3"/>
        <w:rPr>
          <w:rFonts w:eastAsia="Calibri"/>
          <w:lang w:eastAsia="en-US"/>
        </w:rPr>
      </w:pPr>
      <w:bookmarkStart w:id="6" w:name="_Toc199971944"/>
      <w:r w:rsidRPr="00E6784B">
        <w:t xml:space="preserve">b) </w:t>
      </w:r>
      <w:r w:rsidR="00664420" w:rsidRPr="00E6784B">
        <w:rPr>
          <w:lang w:val="es-ES"/>
        </w:rPr>
        <w:t xml:space="preserve">Respuesta </w:t>
      </w:r>
      <w:r w:rsidR="00664420" w:rsidRPr="00E6784B">
        <w:rPr>
          <w:rFonts w:eastAsia="Calibri"/>
          <w:lang w:eastAsia="en-US"/>
        </w:rPr>
        <w:t>del Sujeto Obligado</w:t>
      </w:r>
      <w:bookmarkEnd w:id="6"/>
    </w:p>
    <w:p w14:paraId="79199CC1" w14:textId="1F40977B" w:rsidR="00664420" w:rsidRPr="00E6784B" w:rsidRDefault="00664420" w:rsidP="00E6784B">
      <w:pPr>
        <w:pStyle w:val="Sinespaciado"/>
        <w:spacing w:line="360" w:lineRule="auto"/>
        <w:rPr>
          <w:lang w:val="es-ES"/>
        </w:rPr>
      </w:pPr>
      <w:r w:rsidRPr="00E6784B">
        <w:rPr>
          <w:lang w:val="es-ES"/>
        </w:rPr>
        <w:t xml:space="preserve">El </w:t>
      </w:r>
      <w:r w:rsidR="00292B4B" w:rsidRPr="00E6784B">
        <w:rPr>
          <w:b/>
          <w:bCs/>
          <w:lang w:val="es-ES"/>
        </w:rPr>
        <w:t>siete</w:t>
      </w:r>
      <w:r w:rsidRPr="00E6784B">
        <w:rPr>
          <w:b/>
          <w:bCs/>
          <w:lang w:val="es-ES"/>
        </w:rPr>
        <w:t xml:space="preserve"> de </w:t>
      </w:r>
      <w:r w:rsidR="00292B4B" w:rsidRPr="00E6784B">
        <w:rPr>
          <w:b/>
          <w:bCs/>
          <w:lang w:val="es-ES"/>
        </w:rPr>
        <w:t xml:space="preserve">marzo </w:t>
      </w:r>
      <w:r w:rsidRPr="00E6784B">
        <w:rPr>
          <w:b/>
          <w:bCs/>
          <w:lang w:val="es-ES"/>
        </w:rPr>
        <w:t xml:space="preserve">de dos mil </w:t>
      </w:r>
      <w:r w:rsidR="00FE368B" w:rsidRPr="00E6784B">
        <w:rPr>
          <w:b/>
          <w:bCs/>
          <w:lang w:val="es-ES"/>
        </w:rPr>
        <w:t>veinticinco</w:t>
      </w:r>
      <w:r w:rsidRPr="00E6784B">
        <w:rPr>
          <w:lang w:val="es-ES"/>
        </w:rPr>
        <w:t xml:space="preserve">, </w:t>
      </w:r>
      <w:r w:rsidR="00F07EE6" w:rsidRPr="00E6784B">
        <w:rPr>
          <w:lang w:val="es-ES"/>
        </w:rPr>
        <w:t xml:space="preserve">el Titular de la Unidad de Transparencia del </w:t>
      </w:r>
      <w:r w:rsidR="00F07EE6" w:rsidRPr="00E6784B">
        <w:rPr>
          <w:b/>
          <w:lang w:val="es-ES"/>
        </w:rPr>
        <w:t>SUJETO OBLIGADO</w:t>
      </w:r>
      <w:r w:rsidR="00F07EE6" w:rsidRPr="00E6784B">
        <w:rPr>
          <w:lang w:val="es-ES"/>
        </w:rPr>
        <w:t xml:space="preserve"> notificó la siguiente respuesta a través del </w:t>
      </w:r>
      <w:r w:rsidRPr="00E6784B">
        <w:rPr>
          <w:lang w:val="es-ES"/>
        </w:rPr>
        <w:t>SAIMEX</w:t>
      </w:r>
      <w:r w:rsidR="00F07EE6" w:rsidRPr="00E6784B">
        <w:rPr>
          <w:lang w:val="es-ES"/>
        </w:rPr>
        <w:t>:</w:t>
      </w:r>
    </w:p>
    <w:p w14:paraId="669F7EFD" w14:textId="77777777" w:rsidR="00664420" w:rsidRPr="00E6784B" w:rsidRDefault="00664420" w:rsidP="00E6784B">
      <w:pPr>
        <w:tabs>
          <w:tab w:val="left" w:pos="4667"/>
        </w:tabs>
        <w:ind w:left="567" w:right="567"/>
        <w:rPr>
          <w:rFonts w:cs="Tahoma"/>
          <w:b/>
          <w:bCs/>
        </w:rPr>
      </w:pPr>
    </w:p>
    <w:p w14:paraId="042FE73D" w14:textId="795C1616" w:rsidR="00F07EE6" w:rsidRPr="00E6784B" w:rsidRDefault="00642F68" w:rsidP="00E6784B">
      <w:pPr>
        <w:pStyle w:val="Puesto"/>
      </w:pPr>
      <w:r w:rsidRPr="00E6784B">
        <w:t xml:space="preserve">Al respecto, se hace de su conocimiento que este Instituto de Capacitación y Adiestramiento para el Trabajo Industrial, tiene como misión, visión, objetivo y de acuerdo al Manual General de Organización del Instituto de Capacitación y Adiestramiento para el Trabajo Industrial (ICATI), se enlistan las funciones de este Instituto, el siguiente: “Misión Somos una Institución dedicada a proporcionar servicios de capacitación tanto para facilitar la inserción al mercado laboral de quienes se capacitan con el objeto de aprender a realizar una actividad económica, como para mejorar la productividad de las empresas con el fortalecimiento de su capital humano” (SIC). “Visión Ser un instituto reconocido por ofertar capacitación vanguardista e integral, que mejore la calidad de vida de la sociedad mexiquense a través de la vinculación y posicionamiento de capacitandos competentes en los sectores de atención público, social y privado.” (SIC). “Objetivo General Planear, estructurar, establecer e impulsar sistemas de capacitación y adiestramiento para y en el trabajo, promoviendo la vinculación del organismo con el sector productivo y empresarial de la entidad, a fin de ofertar los servicios de capacitación y adiestramiento, mediante el desarrollo de tecnología y la operación de programas en la materia, atendiendo eficientemente las demandas en materia de capacitación, las características de las regiones socio-económicas de la entidad y los lineamientos dictados por la Secretaría del Trabajo.” (SIC). “Funciones • Desarrollar proyectos que propongan la implementación de sistemas y métodos. Que permitan elevar el nivel de capacitación y adiestramiento que proporcionan </w:t>
      </w:r>
      <w:r w:rsidRPr="00E6784B">
        <w:lastRenderedPageBreak/>
        <w:t>las Escuelas de Artes y Oficios (EDAYO) del instituto. • Proponer y fomentar convenios de colaboración e intercambio con diferentes instancias, organismos y empresas, entre otros; que permitan al instituto fortalecer las actividades que desarrolla en materia de capacitación y vinculación para dar seguimiento a los objetivos y programas institucionales. • Organizar, difundir y apoyar acciones de capacitación (talleres, asesorías, entre otros) para la integración de proyectos productivos que estén dirigidos a los capacitandos de las Escuelas de Artes y Oficios, los cuales les permitirán acceder a financiamientos para el autoempleo.” (SIC).   Si bien el Instituto de Capacitación para el Trabajo Industrial (ICATI), con el objetivo de favorecer a la población mexiquense, ofrece cursos que desarrollan los conocimientos y habilidades de las personas que requieren capacitarse en corto tiempo para incorporarse al mercado laboral por medio del empleo o autoempleo formales y a su vez se pueden solicitar estos cursos para: organizaciones sociales, instituciones de Gobierno Federal, Estatal o Municipal, las comunidades a través del Delegado Municipal, Comisariado Ejidal, Presidente Seccional o de alguna otra instancia debidamente reconocida o también la capacitación y vinculación a los egresados del este Instituto y al público en general que desee obtener conocimientos gerenciales, así como herramientas técnicas para diseñar o implementar un proyecto productivo, fomentando el autoempleo y el empleo formal, todo esto con la finalidad de impulsar la productividad de las empresas, ofreciendo cursos para satisfacer las necesidades de diversos sectores y poder contribuir con el desarrollo económico. Se cuenta con una página oficial de este Instituto, la liga electrónica se muestra a continuación https://icati.edomex.gob.mx/acerca-icati, con la finalidad que cualquier inquietud que tenga acerca de este Instituto sea visualmente aclarada, por todo lo anterior, se le hace de su conocimiento que este Instituto no cuenta con ningún Instituto de Capacitación y Adiestramiento para el Trabajo Industrial (ICATI) situado en el Municipio Valle de Bravo. Así mismo, y de conformidad a lo establecido en los artículos 24 fracción XI y 88 de la Ley de Transparencia y Acceso a la Información Pública del Estado de México y Municipios, damos por finalizada la atención a la misma; y hacemos de su conocimiento que en términos de los artículos 176, 177, 178, 179 y 180 de la Ley en comento, usted puede presentar dentro del plazo de 15 días hábiles siguientes a la notificación de la presente, recurso de revisión ante el Órgano Garante</w:t>
      </w:r>
      <w:r w:rsidR="00F07EE6" w:rsidRPr="00E6784B">
        <w:t>.</w:t>
      </w:r>
    </w:p>
    <w:p w14:paraId="5D11024C" w14:textId="77777777" w:rsidR="00664420" w:rsidRPr="00E6784B" w:rsidRDefault="00664420" w:rsidP="00E6784B">
      <w:pPr>
        <w:autoSpaceDE w:val="0"/>
        <w:autoSpaceDN w:val="0"/>
        <w:adjustRightInd w:val="0"/>
        <w:ind w:right="-28"/>
        <w:rPr>
          <w:rFonts w:cs="Tahoma"/>
          <w:bCs/>
          <w:szCs w:val="22"/>
        </w:rPr>
      </w:pPr>
    </w:p>
    <w:p w14:paraId="70920289" w14:textId="1734249B" w:rsidR="00664420" w:rsidRPr="00E6784B" w:rsidRDefault="00F07EE6" w:rsidP="00E6784B">
      <w:pPr>
        <w:autoSpaceDE w:val="0"/>
        <w:autoSpaceDN w:val="0"/>
        <w:adjustRightInd w:val="0"/>
        <w:ind w:right="-28"/>
        <w:rPr>
          <w:rFonts w:cs="Tahoma"/>
          <w:bCs/>
          <w:szCs w:val="22"/>
          <w:lang w:val="es-ES"/>
        </w:rPr>
      </w:pPr>
      <w:r w:rsidRPr="00E6784B">
        <w:rPr>
          <w:rFonts w:cs="Tahoma"/>
          <w:bCs/>
          <w:szCs w:val="22"/>
          <w:lang w:val="es-ES"/>
        </w:rPr>
        <w:t xml:space="preserve">Asimismo, </w:t>
      </w:r>
      <w:r w:rsidRPr="00E6784B">
        <w:rPr>
          <w:rFonts w:cs="Tahoma"/>
          <w:b/>
          <w:szCs w:val="22"/>
          <w:lang w:val="es-ES"/>
        </w:rPr>
        <w:t xml:space="preserve">EL SUJETO OBLIGADO </w:t>
      </w:r>
      <w:r w:rsidRPr="00E6784B">
        <w:rPr>
          <w:rFonts w:cs="Tahoma"/>
          <w:bCs/>
          <w:szCs w:val="22"/>
          <w:lang w:val="es-ES"/>
        </w:rPr>
        <w:t>adjuntó a su respuesta los archivos electrónicos que se describen a continuación</w:t>
      </w:r>
      <w:r w:rsidR="00664420" w:rsidRPr="00E6784B">
        <w:rPr>
          <w:rFonts w:cs="Tahoma"/>
          <w:bCs/>
          <w:szCs w:val="22"/>
          <w:lang w:val="es-ES"/>
        </w:rPr>
        <w:t>:</w:t>
      </w:r>
    </w:p>
    <w:p w14:paraId="2C78354F" w14:textId="77777777" w:rsidR="00664420" w:rsidRPr="00E6784B" w:rsidRDefault="00664420" w:rsidP="00E6784B">
      <w:pPr>
        <w:autoSpaceDE w:val="0"/>
        <w:autoSpaceDN w:val="0"/>
        <w:adjustRightInd w:val="0"/>
        <w:ind w:right="-28"/>
        <w:rPr>
          <w:rFonts w:cs="Tahoma"/>
          <w:bCs/>
          <w:szCs w:val="22"/>
          <w:lang w:val="es-ES"/>
        </w:rPr>
      </w:pPr>
    </w:p>
    <w:p w14:paraId="2ED4B04A" w14:textId="5ABA97AA" w:rsidR="00DE1133" w:rsidRPr="00E6784B" w:rsidRDefault="00642F68" w:rsidP="00E6784B">
      <w:pPr>
        <w:autoSpaceDE w:val="0"/>
        <w:autoSpaceDN w:val="0"/>
        <w:adjustRightInd w:val="0"/>
        <w:ind w:right="-28"/>
        <w:rPr>
          <w:rFonts w:cs="Tahoma"/>
          <w:szCs w:val="22"/>
          <w:lang w:val="es-ES"/>
        </w:rPr>
      </w:pPr>
      <w:r w:rsidRPr="00E6784B">
        <w:rPr>
          <w:rFonts w:cs="Tahoma"/>
          <w:b/>
          <w:szCs w:val="22"/>
          <w:lang w:val="es-ES"/>
        </w:rPr>
        <w:lastRenderedPageBreak/>
        <w:t xml:space="preserve">RESPUESTA AL SOLICITANTE 119.pdf </w:t>
      </w:r>
      <w:r w:rsidRPr="00E6784B">
        <w:rPr>
          <w:rFonts w:cs="Tahoma"/>
          <w:szCs w:val="22"/>
          <w:lang w:val="es-ES"/>
        </w:rPr>
        <w:t xml:space="preserve">Archivo que contiene la respuesta emitida por el Jefe de la Unidad de </w:t>
      </w:r>
      <w:r w:rsidR="001A701B" w:rsidRPr="00E6784B">
        <w:rPr>
          <w:rFonts w:cs="Tahoma"/>
          <w:szCs w:val="22"/>
          <w:lang w:val="es-ES"/>
        </w:rPr>
        <w:t>Información Planeación, Programación y Evaluación y Responsable de las Funciones de la Unidad de Transparencia mediante el cual remite la misión visión objetivos y funciones del instituto e informa que no cuentan con ningún instituto en valle de bravo.</w:t>
      </w:r>
    </w:p>
    <w:p w14:paraId="52460699" w14:textId="77777777" w:rsidR="00664420" w:rsidRPr="00E6784B" w:rsidRDefault="00664420" w:rsidP="00E6784B">
      <w:pPr>
        <w:autoSpaceDE w:val="0"/>
        <w:autoSpaceDN w:val="0"/>
        <w:adjustRightInd w:val="0"/>
        <w:ind w:right="-28"/>
        <w:rPr>
          <w:rFonts w:cs="Tahoma"/>
          <w:bCs/>
          <w:szCs w:val="22"/>
          <w:lang w:val="es-ES"/>
        </w:rPr>
      </w:pPr>
    </w:p>
    <w:p w14:paraId="5A5DAB9E" w14:textId="77777777" w:rsidR="00E37A3F" w:rsidRPr="00E6784B" w:rsidRDefault="00E37A3F" w:rsidP="00E6784B">
      <w:pPr>
        <w:pStyle w:val="Ttulo2"/>
        <w:jc w:val="left"/>
      </w:pPr>
      <w:bookmarkStart w:id="7" w:name="_Toc199971945"/>
      <w:r w:rsidRPr="00E6784B">
        <w:t>DEL RECURSO DE REVISIÓN</w:t>
      </w:r>
      <w:bookmarkEnd w:id="7"/>
    </w:p>
    <w:p w14:paraId="0B17CD08" w14:textId="77777777" w:rsidR="00664420" w:rsidRPr="00E6784B" w:rsidRDefault="00664420" w:rsidP="00E6784B">
      <w:pPr>
        <w:autoSpaceDE w:val="0"/>
        <w:autoSpaceDN w:val="0"/>
        <w:adjustRightInd w:val="0"/>
        <w:ind w:right="-28"/>
        <w:rPr>
          <w:rFonts w:cs="Tahoma"/>
          <w:bCs/>
          <w:szCs w:val="22"/>
          <w:lang w:val="es-ES"/>
        </w:rPr>
      </w:pPr>
    </w:p>
    <w:p w14:paraId="2B216813" w14:textId="61ADBB2B" w:rsidR="00664420" w:rsidRPr="00E6784B" w:rsidRDefault="006E25BC" w:rsidP="00E6784B">
      <w:pPr>
        <w:pStyle w:val="Ttulo3"/>
      </w:pPr>
      <w:bookmarkStart w:id="8" w:name="_Toc199971946"/>
      <w:r w:rsidRPr="00E6784B">
        <w:rPr>
          <w:szCs w:val="32"/>
        </w:rPr>
        <w:t>a)</w:t>
      </w:r>
      <w:r w:rsidRPr="00E6784B">
        <w:t xml:space="preserve"> </w:t>
      </w:r>
      <w:r w:rsidR="00664420" w:rsidRPr="00E6784B">
        <w:t>Interposición del Recurso de Revisión</w:t>
      </w:r>
      <w:bookmarkEnd w:id="8"/>
    </w:p>
    <w:p w14:paraId="6279C622" w14:textId="2FE41558" w:rsidR="00664420" w:rsidRPr="00E6784B" w:rsidRDefault="00664420" w:rsidP="00E6784B">
      <w:pPr>
        <w:autoSpaceDE w:val="0"/>
        <w:autoSpaceDN w:val="0"/>
        <w:adjustRightInd w:val="0"/>
        <w:ind w:right="-28"/>
        <w:rPr>
          <w:rFonts w:cs="Tahoma"/>
          <w:szCs w:val="22"/>
        </w:rPr>
      </w:pPr>
      <w:r w:rsidRPr="00E6784B">
        <w:rPr>
          <w:rFonts w:cs="Tahoma"/>
          <w:szCs w:val="22"/>
        </w:rPr>
        <w:t xml:space="preserve">El </w:t>
      </w:r>
      <w:r w:rsidR="001A701B" w:rsidRPr="00E6784B">
        <w:rPr>
          <w:rFonts w:cs="Tahoma"/>
          <w:b/>
          <w:bCs/>
          <w:szCs w:val="22"/>
        </w:rPr>
        <w:t>veintiocho</w:t>
      </w:r>
      <w:r w:rsidRPr="00E6784B">
        <w:rPr>
          <w:rFonts w:cs="Tahoma"/>
          <w:b/>
          <w:bCs/>
          <w:szCs w:val="22"/>
        </w:rPr>
        <w:t xml:space="preserve"> de </w:t>
      </w:r>
      <w:r w:rsidR="001A701B" w:rsidRPr="00E6784B">
        <w:rPr>
          <w:rFonts w:cs="Tahoma"/>
          <w:b/>
          <w:bCs/>
          <w:szCs w:val="22"/>
        </w:rPr>
        <w:t xml:space="preserve">marzo </w:t>
      </w:r>
      <w:r w:rsidRPr="00E6784B">
        <w:rPr>
          <w:rFonts w:cs="Tahoma"/>
          <w:b/>
          <w:bCs/>
          <w:szCs w:val="22"/>
        </w:rPr>
        <w:t xml:space="preserve">de dos mil </w:t>
      </w:r>
      <w:r w:rsidR="00FE368B" w:rsidRPr="00E6784B">
        <w:rPr>
          <w:rFonts w:cs="Tahoma"/>
          <w:b/>
          <w:bCs/>
          <w:szCs w:val="22"/>
        </w:rPr>
        <w:t xml:space="preserve">veinticinco </w:t>
      </w:r>
      <w:r w:rsidR="00F75D23" w:rsidRPr="00E6784B">
        <w:rPr>
          <w:rFonts w:cs="Tahoma"/>
          <w:b/>
          <w:bCs/>
          <w:szCs w:val="22"/>
        </w:rPr>
        <w:t>LA PARTE RECURRENTE</w:t>
      </w:r>
      <w:r w:rsidR="00F75D23" w:rsidRPr="00E6784B">
        <w:rPr>
          <w:rFonts w:cs="Tahoma"/>
          <w:szCs w:val="22"/>
        </w:rPr>
        <w:t xml:space="preserve"> interpuso el recurso de revisión en contra de la respuesta emitida por el </w:t>
      </w:r>
      <w:r w:rsidR="00F75D23" w:rsidRPr="00E6784B">
        <w:rPr>
          <w:rFonts w:cs="Tahoma"/>
          <w:b/>
          <w:bCs/>
          <w:szCs w:val="22"/>
        </w:rPr>
        <w:t>SUJETO OBLIGADO</w:t>
      </w:r>
      <w:r w:rsidR="00953430" w:rsidRPr="00E6784B">
        <w:rPr>
          <w:rFonts w:cs="Tahoma"/>
          <w:szCs w:val="22"/>
        </w:rPr>
        <w:t xml:space="preserve">, mismo que fue registrado en el SAIMEX con el número de expediente </w:t>
      </w:r>
      <w:r w:rsidR="001A701B" w:rsidRPr="00E6784B">
        <w:rPr>
          <w:rFonts w:cs="Tahoma"/>
          <w:b/>
          <w:bCs/>
          <w:szCs w:val="22"/>
        </w:rPr>
        <w:t>03712/</w:t>
      </w:r>
      <w:r w:rsidR="00953430" w:rsidRPr="00E6784B">
        <w:rPr>
          <w:rFonts w:cs="Tahoma"/>
          <w:b/>
          <w:bCs/>
          <w:szCs w:val="22"/>
        </w:rPr>
        <w:t>INFOEM/IP/RR</w:t>
      </w:r>
      <w:r w:rsidR="001A701B" w:rsidRPr="00E6784B">
        <w:rPr>
          <w:rFonts w:cs="Tahoma"/>
          <w:b/>
          <w:bCs/>
          <w:szCs w:val="22"/>
        </w:rPr>
        <w:t>/2025</w:t>
      </w:r>
      <w:r w:rsidR="00953430" w:rsidRPr="00E6784B">
        <w:rPr>
          <w:rFonts w:cs="Tahoma"/>
          <w:szCs w:val="22"/>
        </w:rPr>
        <w:t xml:space="preserve"> y en el cual manifiesta lo siguiente</w:t>
      </w:r>
      <w:r w:rsidRPr="00E6784B">
        <w:rPr>
          <w:rFonts w:cs="Tahoma"/>
          <w:szCs w:val="22"/>
        </w:rPr>
        <w:t>:</w:t>
      </w:r>
    </w:p>
    <w:p w14:paraId="74B30008" w14:textId="77777777" w:rsidR="00664420" w:rsidRPr="00E6784B" w:rsidRDefault="00664420" w:rsidP="00E6784B">
      <w:pPr>
        <w:tabs>
          <w:tab w:val="left" w:pos="4667"/>
        </w:tabs>
        <w:ind w:right="539"/>
        <w:rPr>
          <w:rFonts w:cs="Tahoma"/>
          <w:szCs w:val="22"/>
        </w:rPr>
      </w:pPr>
    </w:p>
    <w:p w14:paraId="12153283" w14:textId="77777777" w:rsidR="00664420" w:rsidRPr="00E6784B" w:rsidRDefault="00664420" w:rsidP="00E6784B">
      <w:pPr>
        <w:tabs>
          <w:tab w:val="left" w:pos="4667"/>
        </w:tabs>
        <w:ind w:left="567" w:right="539"/>
        <w:rPr>
          <w:rFonts w:cs="Tahoma"/>
          <w:b/>
          <w:iCs/>
        </w:rPr>
      </w:pPr>
      <w:r w:rsidRPr="00E6784B">
        <w:rPr>
          <w:rFonts w:cs="Tahoma"/>
          <w:b/>
          <w:iCs/>
        </w:rPr>
        <w:t>ACTO IMPUGNADO</w:t>
      </w:r>
      <w:r w:rsidRPr="00E6784B">
        <w:rPr>
          <w:rFonts w:cs="Tahoma"/>
          <w:b/>
          <w:iCs/>
        </w:rPr>
        <w:tab/>
      </w:r>
    </w:p>
    <w:p w14:paraId="523F8BF4" w14:textId="3C56858B" w:rsidR="00664420" w:rsidRPr="00E6784B" w:rsidRDefault="001A701B" w:rsidP="00E6784B">
      <w:pPr>
        <w:tabs>
          <w:tab w:val="left" w:pos="4667"/>
        </w:tabs>
        <w:ind w:left="567" w:right="539"/>
        <w:rPr>
          <w:rFonts w:cs="Tahoma"/>
          <w:bCs/>
          <w:i/>
        </w:rPr>
      </w:pPr>
      <w:r w:rsidRPr="00E6784B">
        <w:rPr>
          <w:rFonts w:cs="Tahoma"/>
          <w:bCs/>
          <w:i/>
        </w:rPr>
        <w:t>NEGATIVA A PROPORCIONARME LA INFORMACION QUE SOLICITE</w:t>
      </w:r>
      <w:r w:rsidR="00664420" w:rsidRPr="00E6784B">
        <w:rPr>
          <w:rFonts w:cs="Tahoma"/>
          <w:bCs/>
          <w:i/>
        </w:rPr>
        <w:t>.</w:t>
      </w:r>
    </w:p>
    <w:p w14:paraId="6AE8EA9A" w14:textId="77777777" w:rsidR="00664420" w:rsidRPr="00E6784B" w:rsidRDefault="00664420" w:rsidP="00E6784B">
      <w:pPr>
        <w:tabs>
          <w:tab w:val="left" w:pos="4667"/>
        </w:tabs>
        <w:ind w:left="567" w:right="539"/>
        <w:rPr>
          <w:rFonts w:cs="Tahoma"/>
          <w:bCs/>
          <w:i/>
        </w:rPr>
      </w:pPr>
    </w:p>
    <w:p w14:paraId="047D036B" w14:textId="77777777" w:rsidR="00664420" w:rsidRPr="00E6784B" w:rsidRDefault="00664420" w:rsidP="00E6784B">
      <w:pPr>
        <w:tabs>
          <w:tab w:val="left" w:pos="4667"/>
        </w:tabs>
        <w:ind w:left="567" w:right="539"/>
        <w:rPr>
          <w:rFonts w:cs="Tahoma"/>
          <w:b/>
          <w:iCs/>
        </w:rPr>
      </w:pPr>
      <w:r w:rsidRPr="00E6784B">
        <w:rPr>
          <w:rFonts w:cs="Tahoma"/>
          <w:b/>
          <w:iCs/>
        </w:rPr>
        <w:t>RAZONES O MOTIVOS DE LA INCONFORMIDAD</w:t>
      </w:r>
      <w:r w:rsidRPr="00E6784B">
        <w:rPr>
          <w:rFonts w:cs="Tahoma"/>
          <w:b/>
          <w:iCs/>
        </w:rPr>
        <w:tab/>
      </w:r>
    </w:p>
    <w:p w14:paraId="1DAE2563" w14:textId="358B64D0" w:rsidR="00953430" w:rsidRPr="00E6784B" w:rsidRDefault="001A701B" w:rsidP="00E6784B">
      <w:pPr>
        <w:tabs>
          <w:tab w:val="left" w:pos="4667"/>
        </w:tabs>
        <w:ind w:left="567" w:right="539"/>
        <w:rPr>
          <w:rFonts w:cs="Tahoma"/>
          <w:bCs/>
          <w:i/>
        </w:rPr>
      </w:pPr>
      <w:r w:rsidRPr="00E6784B">
        <w:rPr>
          <w:rFonts w:cs="Tahoma"/>
          <w:bCs/>
          <w:i/>
        </w:rPr>
        <w:t>NO ME PROPORCIONARON LA INFORMACION QUE SOLICITE</w:t>
      </w:r>
      <w:r w:rsidR="00953430" w:rsidRPr="00E6784B">
        <w:rPr>
          <w:rFonts w:cs="Tahoma"/>
          <w:bCs/>
          <w:i/>
        </w:rPr>
        <w:t>.</w:t>
      </w:r>
    </w:p>
    <w:p w14:paraId="48FE75EA" w14:textId="77777777" w:rsidR="00664420" w:rsidRPr="00E6784B" w:rsidRDefault="00664420" w:rsidP="00E6784B">
      <w:pPr>
        <w:tabs>
          <w:tab w:val="left" w:pos="4667"/>
        </w:tabs>
        <w:ind w:right="567"/>
        <w:rPr>
          <w:rFonts w:cs="Tahoma"/>
          <w:b/>
          <w:bCs/>
        </w:rPr>
      </w:pPr>
    </w:p>
    <w:p w14:paraId="6804DEF1" w14:textId="3C4F6CB5" w:rsidR="00664420" w:rsidRPr="00E6784B" w:rsidRDefault="006E25BC" w:rsidP="00E6784B">
      <w:pPr>
        <w:pStyle w:val="Ttulo3"/>
      </w:pPr>
      <w:bookmarkStart w:id="9" w:name="_Toc199971947"/>
      <w:r w:rsidRPr="00E6784B">
        <w:t>b</w:t>
      </w:r>
      <w:r w:rsidR="00664420" w:rsidRPr="00E6784B">
        <w:t>) Turno del Recurso de Revisión</w:t>
      </w:r>
      <w:bookmarkEnd w:id="9"/>
    </w:p>
    <w:p w14:paraId="1173671B" w14:textId="03186189" w:rsidR="00C72DAA" w:rsidRPr="00E6784B" w:rsidRDefault="00C72DAA" w:rsidP="00E6784B">
      <w:r w:rsidRPr="00E6784B">
        <w:t>Con fundamento en el artículo 185, fracción I de la Ley de Transparencia y Acceso a la Información Pública del Estado de México y Municipios, el</w:t>
      </w:r>
      <w:r w:rsidRPr="00E6784B">
        <w:rPr>
          <w:b/>
          <w:bCs/>
        </w:rPr>
        <w:t xml:space="preserve"> </w:t>
      </w:r>
      <w:r w:rsidR="001A701B" w:rsidRPr="00E6784B">
        <w:rPr>
          <w:rFonts w:eastAsia="Palatino Linotype" w:cs="Palatino Linotype"/>
          <w:b/>
        </w:rPr>
        <w:t>veintiocho</w:t>
      </w:r>
      <w:r w:rsidRPr="00E6784B">
        <w:rPr>
          <w:rFonts w:eastAsia="Palatino Linotype" w:cs="Palatino Linotype"/>
          <w:b/>
        </w:rPr>
        <w:t xml:space="preserve"> de </w:t>
      </w:r>
      <w:r w:rsidR="001A701B" w:rsidRPr="00E6784B">
        <w:rPr>
          <w:rFonts w:eastAsia="Palatino Linotype" w:cs="Palatino Linotype"/>
          <w:b/>
        </w:rPr>
        <w:t xml:space="preserve">marzo </w:t>
      </w:r>
      <w:r w:rsidRPr="00E6784B">
        <w:rPr>
          <w:rFonts w:eastAsia="Palatino Linotype" w:cs="Palatino Linotype"/>
          <w:b/>
        </w:rPr>
        <w:t xml:space="preserve">de dos mil </w:t>
      </w:r>
      <w:r w:rsidR="00FE368B" w:rsidRPr="00E6784B">
        <w:rPr>
          <w:rFonts w:eastAsia="Palatino Linotype" w:cs="Palatino Linotype"/>
          <w:b/>
        </w:rPr>
        <w:t xml:space="preserve">veinticinco </w:t>
      </w:r>
      <w:r w:rsidRPr="00E6784B">
        <w:t>se turnó el recurso de revisión a través del</w:t>
      </w:r>
      <w:r w:rsidRPr="00E6784B">
        <w:rPr>
          <w:rFonts w:eastAsia="Arial Unicode MS"/>
        </w:rPr>
        <w:t xml:space="preserve"> </w:t>
      </w:r>
      <w:r w:rsidRPr="00E6784B">
        <w:rPr>
          <w:rFonts w:eastAsia="Arial Unicode MS"/>
          <w:bCs/>
        </w:rPr>
        <w:t>SAIMEX</w:t>
      </w:r>
      <w:r w:rsidRPr="00E6784B">
        <w:t xml:space="preserve"> a la </w:t>
      </w:r>
      <w:r w:rsidRPr="00E6784B">
        <w:rPr>
          <w:b/>
        </w:rPr>
        <w:t>Comisionada Sharon Cristina Morales Martínez</w:t>
      </w:r>
      <w:r w:rsidRPr="00E6784B">
        <w:rPr>
          <w:bCs/>
        </w:rPr>
        <w:t xml:space="preserve">, </w:t>
      </w:r>
      <w:r w:rsidRPr="00E6784B">
        <w:t xml:space="preserve">a efecto de decretar su admisión o desechamiento. </w:t>
      </w:r>
    </w:p>
    <w:p w14:paraId="18F305CB" w14:textId="77777777" w:rsidR="00664420" w:rsidRPr="00E6784B" w:rsidRDefault="00664420" w:rsidP="00E6784B">
      <w:pPr>
        <w:rPr>
          <w:rFonts w:eastAsia="Batang" w:cs="Tahoma"/>
          <w:bCs/>
          <w:szCs w:val="22"/>
        </w:rPr>
      </w:pPr>
    </w:p>
    <w:p w14:paraId="3E31EC2D" w14:textId="295256A1" w:rsidR="00664420" w:rsidRPr="00E6784B" w:rsidRDefault="006E25BC" w:rsidP="00E6784B">
      <w:pPr>
        <w:pStyle w:val="Ttulo3"/>
      </w:pPr>
      <w:bookmarkStart w:id="10" w:name="_Toc199971948"/>
      <w:r w:rsidRPr="00E6784B">
        <w:t>c</w:t>
      </w:r>
      <w:r w:rsidR="00664420" w:rsidRPr="00E6784B">
        <w:t>) Admisión del Recurso de Revisión</w:t>
      </w:r>
      <w:bookmarkEnd w:id="10"/>
    </w:p>
    <w:p w14:paraId="240447D5" w14:textId="3377C5DF" w:rsidR="000E09C4" w:rsidRPr="00E6784B" w:rsidRDefault="000E09C4" w:rsidP="00E6784B">
      <w:pPr>
        <w:rPr>
          <w:rFonts w:cs="Arial"/>
        </w:rPr>
      </w:pPr>
      <w:r w:rsidRPr="00E6784B">
        <w:rPr>
          <w:rFonts w:cs="Arial"/>
        </w:rPr>
        <w:t xml:space="preserve">El </w:t>
      </w:r>
      <w:r w:rsidR="001A701B" w:rsidRPr="00E6784B">
        <w:rPr>
          <w:rFonts w:eastAsia="Palatino Linotype" w:cs="Palatino Linotype"/>
          <w:b/>
        </w:rPr>
        <w:t>primero de abril de dos mil veinticinco</w:t>
      </w:r>
      <w:r w:rsidR="00FE368B" w:rsidRPr="00E6784B">
        <w:rPr>
          <w:rFonts w:eastAsia="Palatino Linotype" w:cs="Palatino Linotype"/>
          <w:b/>
        </w:rPr>
        <w:t xml:space="preserve"> </w:t>
      </w:r>
      <w:r w:rsidRPr="00E6784B">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6784B">
        <w:rPr>
          <w:rFonts w:cs="Arial"/>
        </w:rPr>
        <w:t>, fracción II</w:t>
      </w:r>
      <w:r w:rsidRPr="00E6784B">
        <w:rPr>
          <w:rFonts w:cs="Arial"/>
        </w:rPr>
        <w:t xml:space="preserve"> de la Ley de Transparencia y Acceso a la Información Pública del Estado de México y Municipios.</w:t>
      </w:r>
    </w:p>
    <w:p w14:paraId="34EC3F86" w14:textId="77777777" w:rsidR="00D2790D" w:rsidRPr="00E6784B" w:rsidRDefault="00D2790D" w:rsidP="00E6784B">
      <w:pPr>
        <w:rPr>
          <w:rFonts w:cs="Arial"/>
        </w:rPr>
      </w:pPr>
    </w:p>
    <w:p w14:paraId="3B820F58" w14:textId="5C138A9B" w:rsidR="00865CF4" w:rsidRPr="00E6784B" w:rsidRDefault="006E25BC" w:rsidP="00E6784B">
      <w:pPr>
        <w:pStyle w:val="Ttulo3"/>
      </w:pPr>
      <w:bookmarkStart w:id="11" w:name="_Toc199971949"/>
      <w:r w:rsidRPr="00E6784B">
        <w:t>d</w:t>
      </w:r>
      <w:r w:rsidR="00D2790D" w:rsidRPr="00E6784B">
        <w:t xml:space="preserve">) </w:t>
      </w:r>
      <w:r w:rsidR="00865CF4" w:rsidRPr="00E6784B">
        <w:t>Informe Justificado del Sujeto Obligado</w:t>
      </w:r>
      <w:bookmarkEnd w:id="11"/>
    </w:p>
    <w:p w14:paraId="14A706BE" w14:textId="52AE49E7" w:rsidR="00865CF4" w:rsidRPr="00E6784B" w:rsidRDefault="00865CF4" w:rsidP="00E6784B">
      <w:pPr>
        <w:rPr>
          <w:rFonts w:eastAsia="Arial Unicode MS" w:cs="Arial"/>
        </w:rPr>
      </w:pPr>
      <w:r w:rsidRPr="00E6784B">
        <w:rPr>
          <w:rFonts w:cs="Tahoma"/>
          <w:b/>
          <w:szCs w:val="24"/>
        </w:rPr>
        <w:t xml:space="preserve">EL SUJETO OBLIGADO </w:t>
      </w:r>
      <w:r w:rsidRPr="00E6784B">
        <w:rPr>
          <w:rFonts w:eastAsia="Arial Unicode MS" w:cs="Arial"/>
        </w:rPr>
        <w:t>rindió su informe justificado dentro del término legal</w:t>
      </w:r>
      <w:r w:rsidR="009D5EA9" w:rsidRPr="00E6784B">
        <w:rPr>
          <w:rFonts w:eastAsia="Arial Unicode MS" w:cs="Arial"/>
        </w:rPr>
        <w:t>mente concedido para tal efecto mediante el cual confirma su respuesta inicial.</w:t>
      </w:r>
    </w:p>
    <w:p w14:paraId="66BA6FC7" w14:textId="77777777" w:rsidR="00865CF4" w:rsidRPr="00E6784B" w:rsidRDefault="00865CF4" w:rsidP="00E6784B">
      <w:pPr>
        <w:rPr>
          <w:rFonts w:cs="Tahoma"/>
          <w:bCs/>
          <w:szCs w:val="24"/>
        </w:rPr>
      </w:pPr>
    </w:p>
    <w:p w14:paraId="755B7730" w14:textId="050DCB8D" w:rsidR="00664420" w:rsidRPr="00E6784B" w:rsidRDefault="001A701B" w:rsidP="00E6784B">
      <w:pPr>
        <w:pStyle w:val="Ttulo3"/>
        <w:rPr>
          <w:lang w:val="es-ES"/>
        </w:rPr>
      </w:pPr>
      <w:bookmarkStart w:id="12" w:name="_Toc199971950"/>
      <w:r w:rsidRPr="00E6784B">
        <w:rPr>
          <w:rFonts w:eastAsia="Calibri"/>
          <w:bCs/>
          <w:lang w:eastAsia="en-US"/>
        </w:rPr>
        <w:t>e</w:t>
      </w:r>
      <w:r w:rsidR="00664420" w:rsidRPr="00E6784B">
        <w:rPr>
          <w:rFonts w:eastAsia="Calibri"/>
          <w:bCs/>
          <w:lang w:eastAsia="en-US"/>
        </w:rPr>
        <w:t>)</w:t>
      </w:r>
      <w:r w:rsidR="00664420" w:rsidRPr="00E6784B">
        <w:t xml:space="preserve"> </w:t>
      </w:r>
      <w:r w:rsidR="00865CF4" w:rsidRPr="00E6784B">
        <w:rPr>
          <w:lang w:val="es-ES"/>
        </w:rPr>
        <w:t>Manifestaciones de la Parte Recurrente</w:t>
      </w:r>
      <w:bookmarkEnd w:id="12"/>
    </w:p>
    <w:p w14:paraId="4E8AF011" w14:textId="77777777" w:rsidR="00865CF4" w:rsidRPr="00E6784B" w:rsidRDefault="00865CF4" w:rsidP="00E6784B">
      <w:pPr>
        <w:rPr>
          <w:rFonts w:eastAsia="Arial Unicode MS" w:cs="Arial"/>
        </w:rPr>
      </w:pPr>
      <w:r w:rsidRPr="00E6784B">
        <w:rPr>
          <w:rFonts w:cs="Tahoma"/>
          <w:b/>
          <w:szCs w:val="24"/>
        </w:rPr>
        <w:t xml:space="preserve">LA PARTE RECURRENTE </w:t>
      </w:r>
      <w:r w:rsidRPr="00E6784B">
        <w:rPr>
          <w:rFonts w:eastAsia="Arial Unicode MS" w:cs="Arial"/>
        </w:rPr>
        <w:t>no realizó manifestación alguna dentro del término legalmente concedido para tal efecto, ni presentó pruebas o alegatos.</w:t>
      </w:r>
    </w:p>
    <w:p w14:paraId="24F87764" w14:textId="77777777" w:rsidR="00664420" w:rsidRPr="00E6784B" w:rsidRDefault="00664420" w:rsidP="00E6784B">
      <w:pPr>
        <w:rPr>
          <w:rFonts w:cs="Tahoma"/>
          <w:bCs/>
          <w:szCs w:val="24"/>
        </w:rPr>
      </w:pPr>
    </w:p>
    <w:p w14:paraId="6B09022E" w14:textId="7F522E40" w:rsidR="00664420" w:rsidRPr="00E6784B" w:rsidRDefault="009D445B" w:rsidP="00E6784B">
      <w:pPr>
        <w:pStyle w:val="Ttulo3"/>
        <w:rPr>
          <w:rFonts w:eastAsia="Calibri"/>
        </w:rPr>
      </w:pPr>
      <w:bookmarkStart w:id="13" w:name="_Toc199971951"/>
      <w:r w:rsidRPr="00E6784B">
        <w:rPr>
          <w:rFonts w:eastAsia="Calibri"/>
        </w:rPr>
        <w:t>f</w:t>
      </w:r>
      <w:r w:rsidR="00664420" w:rsidRPr="00E6784B">
        <w:rPr>
          <w:rFonts w:eastAsia="Calibri"/>
        </w:rPr>
        <w:t>) Ampliación de plazo</w:t>
      </w:r>
      <w:r w:rsidR="00865CF4" w:rsidRPr="00E6784B">
        <w:rPr>
          <w:rFonts w:eastAsia="Calibri"/>
        </w:rPr>
        <w:t xml:space="preserve"> para resolver el Recurso de Revisión</w:t>
      </w:r>
      <w:bookmarkEnd w:id="13"/>
    </w:p>
    <w:p w14:paraId="10B20CA8" w14:textId="42033414" w:rsidR="00664420" w:rsidRPr="00E6784B" w:rsidRDefault="00865CF4" w:rsidP="00E6784B">
      <w:pPr>
        <w:tabs>
          <w:tab w:val="left" w:pos="3261"/>
        </w:tabs>
        <w:rPr>
          <w:rFonts w:eastAsia="Calibri" w:cs="Tahoma"/>
          <w:szCs w:val="22"/>
        </w:rPr>
      </w:pPr>
      <w:r w:rsidRPr="00E6784B">
        <w:rPr>
          <w:rFonts w:eastAsia="Calibri" w:cs="Tahoma"/>
          <w:szCs w:val="22"/>
        </w:rPr>
        <w:t xml:space="preserve">Con fundamento en lo dispuesto en el artículo 181, párrafo tercero, de la Ley de Transparencia y Acceso a la Información Pública del Estado de México y Municipios, </w:t>
      </w:r>
      <w:r w:rsidRPr="00E6784B">
        <w:rPr>
          <w:rFonts w:eastAsia="Calibri" w:cs="Tahoma"/>
          <w:b/>
          <w:bCs/>
          <w:szCs w:val="22"/>
        </w:rPr>
        <w:t>e</w:t>
      </w:r>
      <w:r w:rsidR="00664420" w:rsidRPr="00E6784B">
        <w:rPr>
          <w:rFonts w:eastAsia="Calibri" w:cs="Tahoma"/>
          <w:b/>
          <w:bCs/>
          <w:szCs w:val="22"/>
        </w:rPr>
        <w:t xml:space="preserve">l </w:t>
      </w:r>
      <w:r w:rsidR="009D445B" w:rsidRPr="00E6784B">
        <w:rPr>
          <w:rFonts w:eastAsia="Calibri" w:cs="Tahoma"/>
          <w:b/>
          <w:bCs/>
          <w:szCs w:val="22"/>
        </w:rPr>
        <w:t>veintitrés</w:t>
      </w:r>
      <w:r w:rsidR="00664420" w:rsidRPr="00E6784B">
        <w:rPr>
          <w:rFonts w:eastAsia="Calibri" w:cs="Tahoma"/>
          <w:b/>
          <w:bCs/>
          <w:szCs w:val="22"/>
        </w:rPr>
        <w:t xml:space="preserve"> de </w:t>
      </w:r>
      <w:r w:rsidR="009D445B" w:rsidRPr="00E6784B">
        <w:rPr>
          <w:rFonts w:eastAsia="Calibri" w:cs="Tahoma"/>
          <w:b/>
          <w:bCs/>
          <w:szCs w:val="22"/>
        </w:rPr>
        <w:t xml:space="preserve">mayo de </w:t>
      </w:r>
      <w:r w:rsidR="00664420" w:rsidRPr="00E6784B">
        <w:rPr>
          <w:rFonts w:eastAsia="Calibri" w:cs="Tahoma"/>
          <w:b/>
          <w:bCs/>
          <w:szCs w:val="22"/>
        </w:rPr>
        <w:t xml:space="preserve">dos mil </w:t>
      </w:r>
      <w:r w:rsidR="00FE368B" w:rsidRPr="00E6784B">
        <w:rPr>
          <w:rFonts w:eastAsia="Calibri" w:cs="Tahoma"/>
          <w:b/>
          <w:bCs/>
          <w:szCs w:val="22"/>
        </w:rPr>
        <w:t xml:space="preserve">veinticinco </w:t>
      </w:r>
      <w:r w:rsidR="005723CB" w:rsidRPr="00E6784B">
        <w:rPr>
          <w:rFonts w:eastAsia="Calibri" w:cs="Tahoma"/>
          <w:szCs w:val="22"/>
        </w:rPr>
        <w:t xml:space="preserve">se </w:t>
      </w:r>
      <w:r w:rsidR="00664420" w:rsidRPr="00E6784B">
        <w:rPr>
          <w:rFonts w:eastAsia="Calibri" w:cs="Tahoma"/>
          <w:szCs w:val="22"/>
        </w:rPr>
        <w:t xml:space="preserve">acordó ampliar por un periodo razonable el plazo para resolver el </w:t>
      </w:r>
      <w:r w:rsidR="005723CB" w:rsidRPr="00E6784B">
        <w:rPr>
          <w:rFonts w:eastAsia="Calibri" w:cs="Tahoma"/>
          <w:szCs w:val="22"/>
        </w:rPr>
        <w:t xml:space="preserve">presente </w:t>
      </w:r>
      <w:r w:rsidR="00664420" w:rsidRPr="00E6784B">
        <w:rPr>
          <w:rFonts w:eastAsia="Calibri" w:cs="Tahoma"/>
          <w:szCs w:val="22"/>
        </w:rPr>
        <w:t>Recurso de Revisión</w:t>
      </w:r>
      <w:r w:rsidR="00606A65" w:rsidRPr="00E6784B">
        <w:rPr>
          <w:rFonts w:eastAsia="Calibri" w:cs="Tahoma"/>
          <w:szCs w:val="22"/>
        </w:rPr>
        <w:t>.</w:t>
      </w:r>
    </w:p>
    <w:p w14:paraId="199C40A1" w14:textId="77777777" w:rsidR="00664420" w:rsidRPr="00E6784B" w:rsidRDefault="00664420" w:rsidP="00E6784B">
      <w:pPr>
        <w:tabs>
          <w:tab w:val="left" w:pos="3261"/>
        </w:tabs>
        <w:rPr>
          <w:rFonts w:eastAsia="Calibri" w:cs="Tahoma"/>
          <w:szCs w:val="22"/>
        </w:rPr>
      </w:pPr>
    </w:p>
    <w:p w14:paraId="6923684C" w14:textId="77777777" w:rsidR="00664420" w:rsidRPr="00E6784B" w:rsidRDefault="00664420" w:rsidP="00E6784B">
      <w:pPr>
        <w:rPr>
          <w:rFonts w:cs="Tahoma"/>
          <w:szCs w:val="22"/>
        </w:rPr>
      </w:pPr>
    </w:p>
    <w:p w14:paraId="0E651988" w14:textId="43B77B9D" w:rsidR="00664420" w:rsidRPr="00E6784B" w:rsidRDefault="009D445B" w:rsidP="00E6784B">
      <w:pPr>
        <w:pStyle w:val="Ttulo3"/>
      </w:pPr>
      <w:bookmarkStart w:id="14" w:name="_Toc199971952"/>
      <w:r w:rsidRPr="00E6784B">
        <w:lastRenderedPageBreak/>
        <w:t>g</w:t>
      </w:r>
      <w:r w:rsidR="00664420" w:rsidRPr="00E6784B">
        <w:t>) Cierre de instrucción</w:t>
      </w:r>
      <w:bookmarkEnd w:id="14"/>
    </w:p>
    <w:p w14:paraId="79AF95DC" w14:textId="32714C0B" w:rsidR="00664420" w:rsidRPr="00E6784B" w:rsidRDefault="00BF091A" w:rsidP="00E6784B">
      <w:r w:rsidRPr="00E6784B">
        <w:rPr>
          <w:rFonts w:cs="Tahoma"/>
          <w:szCs w:val="22"/>
        </w:rPr>
        <w:t>Al no existir diligencias pendientes por desahogar</w:t>
      </w:r>
      <w:r w:rsidRPr="00E6784B">
        <w:rPr>
          <w:rFonts w:cs="Arial"/>
        </w:rPr>
        <w:t xml:space="preserve">, el </w:t>
      </w:r>
      <w:bookmarkStart w:id="15" w:name="_Hlk104892386"/>
      <w:r w:rsidR="009D445B" w:rsidRPr="00E6784B">
        <w:rPr>
          <w:rFonts w:cs="Arial"/>
          <w:b/>
        </w:rPr>
        <w:t>tres</w:t>
      </w:r>
      <w:r w:rsidRPr="00E6784B">
        <w:rPr>
          <w:rFonts w:cs="Arial"/>
          <w:b/>
        </w:rPr>
        <w:t xml:space="preserve"> de </w:t>
      </w:r>
      <w:bookmarkEnd w:id="15"/>
      <w:r w:rsidR="009D445B" w:rsidRPr="00E6784B">
        <w:rPr>
          <w:rFonts w:cs="Arial"/>
          <w:b/>
        </w:rPr>
        <w:t xml:space="preserve">junio </w:t>
      </w:r>
      <w:r w:rsidRPr="00E6784B">
        <w:rPr>
          <w:rFonts w:cs="Arial"/>
          <w:b/>
        </w:rPr>
        <w:t xml:space="preserve">de dos mil </w:t>
      </w:r>
      <w:r w:rsidR="00FE368B" w:rsidRPr="00E6784B">
        <w:rPr>
          <w:rFonts w:cs="Arial"/>
          <w:b/>
        </w:rPr>
        <w:t xml:space="preserve">veinticinco </w:t>
      </w:r>
      <w:r w:rsidRPr="00E6784B">
        <w:rPr>
          <w:rFonts w:cs="Arial"/>
        </w:rPr>
        <w:t xml:space="preserve">la </w:t>
      </w:r>
      <w:r w:rsidRPr="00E6784B">
        <w:rPr>
          <w:rFonts w:cs="Arial"/>
          <w:b/>
          <w:bCs/>
        </w:rPr>
        <w:t xml:space="preserve">Comisionada </w:t>
      </w:r>
      <w:r w:rsidRPr="00E6784B">
        <w:rPr>
          <w:b/>
        </w:rPr>
        <w:t xml:space="preserve">Sharon Cristina Morales Martínez </w:t>
      </w:r>
      <w:r w:rsidRPr="00E6784B">
        <w:rPr>
          <w:rFonts w:cs="Arial"/>
        </w:rPr>
        <w:t>acordó el cierre de instrucción</w:t>
      </w:r>
      <w:r w:rsidR="0011350D" w:rsidRPr="00E6784B">
        <w:rPr>
          <w:rFonts w:cs="Arial"/>
        </w:rPr>
        <w:t xml:space="preserve"> y</w:t>
      </w:r>
      <w:r w:rsidRPr="00E6784B">
        <w:rPr>
          <w:rFonts w:cs="Arial"/>
        </w:rPr>
        <w:t xml:space="preserve"> </w:t>
      </w:r>
      <w:r w:rsidR="0011350D" w:rsidRPr="00E6784B">
        <w:rPr>
          <w:rFonts w:cs="Arial"/>
        </w:rPr>
        <w:t xml:space="preserve">la </w:t>
      </w:r>
      <w:r w:rsidRPr="00E6784B">
        <w:rPr>
          <w:rFonts w:cs="Arial"/>
        </w:rPr>
        <w:t>remisión del expediente a efecto de ser resuelto, de conformidad con lo establecido en el artículo 185 fracciones VI y VIII de la Ley de Transparencia y Acceso a la Información Pública del Estado de México y Municipios</w:t>
      </w:r>
      <w:r w:rsidRPr="00E6784B">
        <w:t>.</w:t>
      </w:r>
      <w:r w:rsidR="0011350D" w:rsidRPr="00E6784B">
        <w:t xml:space="preserve"> Dicho acuerdo </w:t>
      </w:r>
      <w:r w:rsidR="00664420" w:rsidRPr="00E6784B">
        <w:rPr>
          <w:rFonts w:cs="Tahoma"/>
          <w:szCs w:val="22"/>
        </w:rPr>
        <w:t xml:space="preserve">fue notificado a las partes el mismo día a través del </w:t>
      </w:r>
      <w:r w:rsidR="00664420" w:rsidRPr="00E6784B">
        <w:rPr>
          <w:rFonts w:cs="Tahoma"/>
          <w:szCs w:val="22"/>
          <w:lang w:val="es-ES"/>
        </w:rPr>
        <w:t>SAIMEX</w:t>
      </w:r>
      <w:r w:rsidR="00664420" w:rsidRPr="00E6784B">
        <w:rPr>
          <w:rFonts w:cs="Tahoma"/>
          <w:szCs w:val="22"/>
        </w:rPr>
        <w:t>.</w:t>
      </w:r>
    </w:p>
    <w:p w14:paraId="741683E3" w14:textId="77777777" w:rsidR="0011350D" w:rsidRPr="00E6784B" w:rsidRDefault="0011350D" w:rsidP="00E6784B">
      <w:pPr>
        <w:rPr>
          <w:rFonts w:cs="Tahoma"/>
          <w:szCs w:val="22"/>
        </w:rPr>
      </w:pPr>
    </w:p>
    <w:p w14:paraId="7A9629DE" w14:textId="77777777" w:rsidR="00664420" w:rsidRPr="00E6784B" w:rsidRDefault="00664420" w:rsidP="00E6784B">
      <w:pPr>
        <w:pStyle w:val="Ttulo1"/>
        <w:rPr>
          <w:rFonts w:eastAsiaTheme="minorHAnsi"/>
          <w:lang w:eastAsia="en-US"/>
        </w:rPr>
      </w:pPr>
      <w:bookmarkStart w:id="16" w:name="_Toc199971953"/>
      <w:r w:rsidRPr="00E6784B">
        <w:rPr>
          <w:rFonts w:eastAsiaTheme="minorHAnsi"/>
          <w:lang w:eastAsia="en-US"/>
        </w:rPr>
        <w:t>CONSIDERANDOS</w:t>
      </w:r>
      <w:bookmarkEnd w:id="16"/>
    </w:p>
    <w:p w14:paraId="6DD1243B" w14:textId="77777777" w:rsidR="00664420" w:rsidRPr="00E6784B" w:rsidRDefault="00664420" w:rsidP="00E6784B">
      <w:pPr>
        <w:contextualSpacing/>
        <w:jc w:val="center"/>
        <w:rPr>
          <w:rFonts w:eastAsiaTheme="minorHAnsi" w:cs="Tahoma"/>
          <w:b/>
          <w:szCs w:val="22"/>
          <w:lang w:eastAsia="en-US"/>
        </w:rPr>
      </w:pPr>
    </w:p>
    <w:p w14:paraId="0B67CB92" w14:textId="2E307D3B" w:rsidR="00664420" w:rsidRPr="00E6784B" w:rsidRDefault="00664420" w:rsidP="00E6784B">
      <w:pPr>
        <w:pStyle w:val="Ttulo2"/>
        <w:rPr>
          <w:rFonts w:eastAsia="Batang"/>
        </w:rPr>
      </w:pPr>
      <w:bookmarkStart w:id="17" w:name="_Toc199971954"/>
      <w:r w:rsidRPr="00E6784B">
        <w:rPr>
          <w:rFonts w:eastAsia="Batang"/>
        </w:rPr>
        <w:t xml:space="preserve">PRIMERO. </w:t>
      </w:r>
      <w:r w:rsidR="00BA55A8" w:rsidRPr="00E6784B">
        <w:rPr>
          <w:rFonts w:eastAsia="Batang"/>
        </w:rPr>
        <w:t>Procedibilidad</w:t>
      </w:r>
      <w:bookmarkEnd w:id="17"/>
    </w:p>
    <w:p w14:paraId="39C52BC1" w14:textId="56FCC20D" w:rsidR="00BA55A8" w:rsidRPr="00E6784B" w:rsidRDefault="00BA55A8" w:rsidP="00E6784B">
      <w:pPr>
        <w:pStyle w:val="Ttulo3"/>
      </w:pPr>
      <w:bookmarkStart w:id="18" w:name="_Toc199971955"/>
      <w:r w:rsidRPr="00E6784B">
        <w:t>a) Competencia</w:t>
      </w:r>
      <w:r w:rsidR="00150C49" w:rsidRPr="00E6784B">
        <w:t xml:space="preserve"> del Instituto</w:t>
      </w:r>
      <w:bookmarkEnd w:id="18"/>
    </w:p>
    <w:p w14:paraId="56E64942" w14:textId="0A14A870" w:rsidR="0011350D" w:rsidRPr="00E6784B" w:rsidRDefault="0011350D" w:rsidP="00E6784B">
      <w:pPr>
        <w:rPr>
          <w:rFonts w:cs="Arial"/>
        </w:rPr>
      </w:pPr>
      <w:r w:rsidRPr="00E6784B">
        <w:t xml:space="preserve">Este Instituto de Transparencia, Acceso a la Información Pública y Protección de Datos Personales del Estado de México y Municipios es competente para conocer y resolver </w:t>
      </w:r>
      <w:r w:rsidR="005F65B7" w:rsidRPr="00E6784B">
        <w:t xml:space="preserve">el </w:t>
      </w:r>
      <w:r w:rsidRPr="00E6784B">
        <w:t xml:space="preserve">presente Recurso de Revisión, conforme a lo dispuesto en los artículos 6, Apartado A de la Constitución Política de los Estados Unidos Mexicanos; 5, </w:t>
      </w:r>
      <w:r w:rsidR="008D18C3" w:rsidRPr="00E6784B">
        <w:t>párrafos trigésimo séptimo, trigésimo octavo y trigésimo noveno, fracciones IV y V de la Constitución Política del Estado Libre y Soberano de México</w:t>
      </w:r>
      <w:r w:rsidRPr="00E6784B">
        <w:t>; ordinal 2, fracción II, 13, 29, 36, fracciones I y II, 176, 178, 179, 181 párrafo tercero y 185 de la Ley de Transparencia y Acceso a la Información Pública del Estado de México y Municipios</w:t>
      </w:r>
      <w:r w:rsidRPr="00E6784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6784B" w:rsidRDefault="00DB1C09" w:rsidP="00E6784B">
      <w:pPr>
        <w:rPr>
          <w:rFonts w:cs="Arial"/>
        </w:rPr>
      </w:pPr>
    </w:p>
    <w:p w14:paraId="517A2DD6" w14:textId="4169BE4D" w:rsidR="00664420" w:rsidRPr="00E6784B" w:rsidRDefault="00BA55A8" w:rsidP="00E6784B">
      <w:pPr>
        <w:pStyle w:val="Ttulo3"/>
      </w:pPr>
      <w:bookmarkStart w:id="19" w:name="_Toc199971956"/>
      <w:r w:rsidRPr="00E6784B">
        <w:lastRenderedPageBreak/>
        <w:t>b)</w:t>
      </w:r>
      <w:r w:rsidR="00664420" w:rsidRPr="00E6784B">
        <w:t xml:space="preserve"> </w:t>
      </w:r>
      <w:r w:rsidR="00D91CB4" w:rsidRPr="00E6784B">
        <w:t>Legitimidad</w:t>
      </w:r>
      <w:r w:rsidRPr="00E6784B">
        <w:t xml:space="preserve"> de la parte recurrente</w:t>
      </w:r>
      <w:bookmarkEnd w:id="19"/>
    </w:p>
    <w:p w14:paraId="26FEA382" w14:textId="0B06695C" w:rsidR="00D91CB4" w:rsidRPr="00E6784B" w:rsidRDefault="00D91CB4" w:rsidP="00E6784B">
      <w:pPr>
        <w:rPr>
          <w:rFonts w:cs="Arial"/>
          <w:bCs/>
        </w:rPr>
      </w:pPr>
      <w:r w:rsidRPr="00E6784B">
        <w:rPr>
          <w:rFonts w:cs="Arial"/>
          <w:bCs/>
        </w:rPr>
        <w:t>El recurso de revisión fue interpuesto por parte legítima, ya que se presentó por la misma persona que formuló la solicitud de acceso a la Información Pública,</w:t>
      </w:r>
      <w:r w:rsidRPr="00E6784B">
        <w:rPr>
          <w:rFonts w:cs="Arial"/>
          <w:b/>
          <w:bCs/>
        </w:rPr>
        <w:t xml:space="preserve"> </w:t>
      </w:r>
      <w:r w:rsidRPr="00E6784B">
        <w:rPr>
          <w:rFonts w:cs="Arial"/>
        </w:rPr>
        <w:t>debido a que los datos de acceso</w:t>
      </w:r>
      <w:r w:rsidRPr="00E6784B">
        <w:rPr>
          <w:rFonts w:cs="Arial"/>
          <w:b/>
          <w:bCs/>
        </w:rPr>
        <w:t xml:space="preserve"> </w:t>
      </w:r>
      <w:r w:rsidRPr="00E6784B">
        <w:rPr>
          <w:rFonts w:cs="Arial"/>
        </w:rPr>
        <w:t>SAIMEX</w:t>
      </w:r>
      <w:r w:rsidRPr="00E6784B">
        <w:rPr>
          <w:rFonts w:eastAsia="Calibri" w:cs="Arial"/>
          <w:lang w:eastAsia="en-US"/>
        </w:rPr>
        <w:t xml:space="preserve"> son personales e irrepetibles.</w:t>
      </w:r>
    </w:p>
    <w:p w14:paraId="2C367810" w14:textId="77777777" w:rsidR="00D91CB4" w:rsidRPr="00E6784B" w:rsidRDefault="00D91CB4" w:rsidP="00E6784B"/>
    <w:p w14:paraId="496490FC" w14:textId="1A5F3FDB" w:rsidR="00D91CB4" w:rsidRPr="00E6784B" w:rsidRDefault="00BA55A8" w:rsidP="00E6784B">
      <w:pPr>
        <w:pStyle w:val="Ttulo3"/>
        <w:rPr>
          <w:rFonts w:eastAsia="Calibri"/>
          <w:lang w:eastAsia="es-ES_tradnl"/>
        </w:rPr>
      </w:pPr>
      <w:bookmarkStart w:id="20" w:name="_Toc199971957"/>
      <w:r w:rsidRPr="00E6784B">
        <w:rPr>
          <w:rFonts w:eastAsia="Calibri"/>
          <w:lang w:eastAsia="es-ES_tradnl"/>
        </w:rPr>
        <w:t>c)</w:t>
      </w:r>
      <w:r w:rsidR="00664420" w:rsidRPr="00E6784B">
        <w:rPr>
          <w:rFonts w:eastAsia="Calibri"/>
          <w:lang w:eastAsia="es-ES_tradnl"/>
        </w:rPr>
        <w:t xml:space="preserve"> </w:t>
      </w:r>
      <w:r w:rsidR="00D91CB4" w:rsidRPr="00E6784B">
        <w:rPr>
          <w:rFonts w:eastAsia="Calibri"/>
          <w:lang w:eastAsia="es-ES_tradnl"/>
        </w:rPr>
        <w:t>Plazo para interponer el recurso</w:t>
      </w:r>
      <w:bookmarkEnd w:id="20"/>
    </w:p>
    <w:p w14:paraId="106D37EE" w14:textId="4F26E3E9" w:rsidR="00D91CB4" w:rsidRPr="00E6784B" w:rsidRDefault="00D91CB4" w:rsidP="00E6784B">
      <w:pPr>
        <w:rPr>
          <w:rFonts w:eastAsiaTheme="minorEastAsia" w:cs="Arial"/>
          <w:lang w:val="es-ES_tradnl"/>
        </w:rPr>
      </w:pPr>
      <w:r w:rsidRPr="00E6784B">
        <w:rPr>
          <w:rFonts w:cs="Arial"/>
          <w:b/>
        </w:rPr>
        <w:t>EL SUJETO OBLIGADO</w:t>
      </w:r>
      <w:r w:rsidRPr="00E6784B">
        <w:rPr>
          <w:rFonts w:cs="Arial"/>
        </w:rPr>
        <w:t xml:space="preserve"> notificó la respuesta a la solicitud de acceso a la Información Pública el </w:t>
      </w:r>
      <w:r w:rsidR="00F53A6D" w:rsidRPr="00E6784B">
        <w:rPr>
          <w:rFonts w:eastAsia="Palatino Linotype" w:cs="Palatino Linotype"/>
          <w:b/>
        </w:rPr>
        <w:t xml:space="preserve">siete </w:t>
      </w:r>
      <w:r w:rsidRPr="00E6784B">
        <w:rPr>
          <w:rFonts w:eastAsia="Palatino Linotype" w:cs="Palatino Linotype"/>
          <w:b/>
        </w:rPr>
        <w:t xml:space="preserve">de </w:t>
      </w:r>
      <w:r w:rsidR="00E5724C" w:rsidRPr="00E6784B">
        <w:rPr>
          <w:rFonts w:eastAsia="Palatino Linotype" w:cs="Palatino Linotype"/>
          <w:b/>
        </w:rPr>
        <w:t>marzo</w:t>
      </w:r>
      <w:r w:rsidRPr="00E6784B">
        <w:rPr>
          <w:rFonts w:eastAsia="Palatino Linotype" w:cs="Palatino Linotype"/>
          <w:b/>
        </w:rPr>
        <w:t xml:space="preserve"> de dos mil </w:t>
      </w:r>
      <w:r w:rsidR="00FE368B" w:rsidRPr="00E6784B">
        <w:rPr>
          <w:rFonts w:eastAsia="Palatino Linotype" w:cs="Palatino Linotype"/>
          <w:b/>
        </w:rPr>
        <w:t xml:space="preserve">veinticinco </w:t>
      </w:r>
      <w:r w:rsidR="00A53315" w:rsidRPr="00E6784B">
        <w:rPr>
          <w:rFonts w:cs="Arial"/>
        </w:rPr>
        <w:t xml:space="preserve">y el recurso </w:t>
      </w:r>
      <w:r w:rsidR="00A53315" w:rsidRPr="00E6784B">
        <w:rPr>
          <w:rFonts w:eastAsia="Palatino Linotype" w:cs="Palatino Linotype"/>
        </w:rPr>
        <w:t xml:space="preserve">que nos ocupa se interpuso el </w:t>
      </w:r>
      <w:r w:rsidR="00E5724C" w:rsidRPr="00E6784B">
        <w:rPr>
          <w:rFonts w:eastAsia="Palatino Linotype" w:cs="Palatino Linotype"/>
          <w:b/>
        </w:rPr>
        <w:t>veintiocho</w:t>
      </w:r>
      <w:r w:rsidR="00A53315" w:rsidRPr="00E6784B">
        <w:rPr>
          <w:rFonts w:eastAsia="Palatino Linotype" w:cs="Palatino Linotype"/>
          <w:b/>
        </w:rPr>
        <w:t xml:space="preserve"> de </w:t>
      </w:r>
      <w:r w:rsidR="00E5724C" w:rsidRPr="00E6784B">
        <w:rPr>
          <w:rFonts w:eastAsia="Palatino Linotype" w:cs="Palatino Linotype"/>
          <w:b/>
        </w:rPr>
        <w:t xml:space="preserve">marzo </w:t>
      </w:r>
      <w:r w:rsidR="00A53315" w:rsidRPr="00E6784B">
        <w:rPr>
          <w:rFonts w:eastAsia="Palatino Linotype" w:cs="Palatino Linotype"/>
          <w:b/>
        </w:rPr>
        <w:t xml:space="preserve">de dos mil </w:t>
      </w:r>
      <w:r w:rsidR="00FE368B" w:rsidRPr="00E6784B">
        <w:rPr>
          <w:rFonts w:eastAsia="Palatino Linotype" w:cs="Palatino Linotype"/>
          <w:b/>
        </w:rPr>
        <w:t>veinticinco</w:t>
      </w:r>
      <w:r w:rsidR="00A53315" w:rsidRPr="00E6784B">
        <w:rPr>
          <w:rFonts w:eastAsia="Palatino Linotype" w:cs="Palatino Linotype"/>
          <w:bCs/>
        </w:rPr>
        <w:t>;</w:t>
      </w:r>
      <w:r w:rsidR="00A53315" w:rsidRPr="00E6784B">
        <w:rPr>
          <w:rFonts w:eastAsia="Palatino Linotype" w:cs="Palatino Linotype"/>
        </w:rPr>
        <w:t xml:space="preserve"> por lo tanto, éste se encuentra dentro del margen temporal previsto en el artículo 178 de la </w:t>
      </w:r>
      <w:r w:rsidR="00A53315" w:rsidRPr="00E6784B">
        <w:rPr>
          <w:rFonts w:cs="Arial"/>
        </w:rPr>
        <w:t>Ley de Transparencia y Acceso a la Información Pública del Estado de México y Municipios</w:t>
      </w:r>
      <w:r w:rsidR="00163D12" w:rsidRPr="00E6784B">
        <w:rPr>
          <w:rFonts w:cs="Arial"/>
        </w:rPr>
        <w:t>.</w:t>
      </w:r>
    </w:p>
    <w:p w14:paraId="49076992" w14:textId="77777777" w:rsidR="00D91CB4" w:rsidRPr="00E6784B" w:rsidRDefault="00D91CB4" w:rsidP="00E6784B">
      <w:pPr>
        <w:rPr>
          <w:rFonts w:eastAsia="Palatino Linotype" w:cs="Palatino Linotype"/>
        </w:rPr>
      </w:pPr>
    </w:p>
    <w:p w14:paraId="46C0EB3A" w14:textId="15F1A919" w:rsidR="00A53315" w:rsidRPr="00E6784B" w:rsidRDefault="00BA55A8" w:rsidP="00E6784B">
      <w:pPr>
        <w:pStyle w:val="Ttulo3"/>
        <w:rPr>
          <w:rFonts w:eastAsia="Calibri"/>
          <w:lang w:eastAsia="es-ES_tradnl"/>
        </w:rPr>
      </w:pPr>
      <w:bookmarkStart w:id="21" w:name="_Toc199971958"/>
      <w:r w:rsidRPr="00E6784B">
        <w:rPr>
          <w:rFonts w:eastAsia="Calibri"/>
          <w:lang w:eastAsia="es-ES_tradnl"/>
        </w:rPr>
        <w:t>d)</w:t>
      </w:r>
      <w:r w:rsidR="00D91CB4" w:rsidRPr="00E6784B">
        <w:rPr>
          <w:rFonts w:eastAsia="Calibri"/>
          <w:lang w:eastAsia="es-ES_tradnl"/>
        </w:rPr>
        <w:t xml:space="preserve"> </w:t>
      </w:r>
      <w:r w:rsidR="009A0277" w:rsidRPr="00E6784B">
        <w:rPr>
          <w:rFonts w:eastAsia="Calibri"/>
          <w:lang w:eastAsia="es-ES_tradnl"/>
        </w:rPr>
        <w:t>Causal de Procedencia</w:t>
      </w:r>
      <w:bookmarkEnd w:id="21"/>
    </w:p>
    <w:p w14:paraId="190404A6" w14:textId="4A941703" w:rsidR="00BA55A8" w:rsidRPr="00E6784B" w:rsidRDefault="00BA55A8" w:rsidP="00E6784B">
      <w:r w:rsidRPr="00E6784B">
        <w:rPr>
          <w:rFonts w:cs="Arial"/>
        </w:rPr>
        <w:t xml:space="preserve">Resulta procedente la interposición del recurso de revisión, ya que </w:t>
      </w:r>
      <w:r w:rsidRPr="00E6784B">
        <w:rPr>
          <w:rFonts w:eastAsia="Calibri" w:cs="Tahoma"/>
          <w:szCs w:val="22"/>
          <w:lang w:eastAsia="es-MX"/>
        </w:rPr>
        <w:t xml:space="preserve">se actualiza la causal de procedencia señalada en el artículo 179, fracción </w:t>
      </w:r>
      <w:r w:rsidR="00E5724C" w:rsidRPr="00E6784B">
        <w:rPr>
          <w:rFonts w:eastAsia="Calibri" w:cs="Tahoma"/>
          <w:szCs w:val="22"/>
          <w:lang w:eastAsia="es-MX"/>
        </w:rPr>
        <w:t>I</w:t>
      </w:r>
      <w:r w:rsidRPr="00E6784B">
        <w:rPr>
          <w:rFonts w:cs="Arial"/>
        </w:rPr>
        <w:t xml:space="preserve"> de la </w:t>
      </w:r>
      <w:r w:rsidRPr="00E6784B">
        <w:t>Ley de Transparencia y Acceso a la Información Pública del Estado de México y Municipios.</w:t>
      </w:r>
    </w:p>
    <w:p w14:paraId="0EFF7141" w14:textId="77777777" w:rsidR="00362A11" w:rsidRPr="00E6784B" w:rsidRDefault="00362A11" w:rsidP="00E6784B"/>
    <w:p w14:paraId="2284D7EB" w14:textId="3EE1D036" w:rsidR="00BA55A8" w:rsidRPr="00E6784B" w:rsidRDefault="00362A11" w:rsidP="00E6784B">
      <w:pPr>
        <w:pStyle w:val="Ttulo3"/>
      </w:pPr>
      <w:bookmarkStart w:id="22" w:name="_Toc199971959"/>
      <w:r w:rsidRPr="00E6784B">
        <w:t>e) Requisitos formales para la interposición del recurso</w:t>
      </w:r>
      <w:bookmarkEnd w:id="22"/>
    </w:p>
    <w:p w14:paraId="6390674A" w14:textId="78A894DD" w:rsidR="00BA55A8" w:rsidRPr="00E6784B" w:rsidRDefault="00BA55A8" w:rsidP="00E6784B">
      <w:pPr>
        <w:rPr>
          <w:rFonts w:cs="Arial"/>
        </w:rPr>
      </w:pPr>
      <w:r w:rsidRPr="00E6784B">
        <w:rPr>
          <w:rFonts w:cs="Arial"/>
          <w:b/>
          <w:bCs/>
        </w:rPr>
        <w:t xml:space="preserve">LA PARTE RECURRENTE </w:t>
      </w:r>
      <w:r w:rsidRPr="00E6784B">
        <w:rPr>
          <w:rFonts w:cs="Arial"/>
        </w:rPr>
        <w:t>acreditó todos y cada uno de los elementos formales exigidos por el artículo 180 de la misma normatividad.</w:t>
      </w:r>
    </w:p>
    <w:p w14:paraId="20BDA7EE" w14:textId="77777777" w:rsidR="005F5301" w:rsidRPr="00E6784B" w:rsidRDefault="005F5301" w:rsidP="00E6784B">
      <w:pPr>
        <w:rPr>
          <w:rFonts w:cs="Arial"/>
        </w:rPr>
      </w:pPr>
    </w:p>
    <w:p w14:paraId="1E5C9B96" w14:textId="77777777" w:rsidR="005F5301" w:rsidRPr="00E6784B" w:rsidRDefault="005F5301" w:rsidP="00E6784B">
      <w:pPr>
        <w:rPr>
          <w:rFonts w:cs="Arial"/>
          <w:sz w:val="24"/>
          <w:szCs w:val="24"/>
          <w:lang w:val="es-ES"/>
        </w:rPr>
      </w:pPr>
      <w:r w:rsidRPr="00E6784B">
        <w:rPr>
          <w:sz w:val="24"/>
          <w:szCs w:val="24"/>
          <w:lang w:val="es-ES"/>
        </w:rPr>
        <w:t xml:space="preserve">Es importante mencionar que, de la revisión del expediente electrónico del </w:t>
      </w:r>
      <w:r w:rsidRPr="00E6784B">
        <w:rPr>
          <w:bCs/>
          <w:sz w:val="24"/>
          <w:szCs w:val="24"/>
          <w:lang w:val="es-ES"/>
        </w:rPr>
        <w:t>SAIMEX,</w:t>
      </w:r>
      <w:r w:rsidRPr="00E6784B">
        <w:rPr>
          <w:sz w:val="24"/>
          <w:szCs w:val="24"/>
          <w:lang w:val="es-ES"/>
        </w:rPr>
        <w:t xml:space="preserve"> se observa que </w:t>
      </w:r>
      <w:r w:rsidRPr="00E6784B">
        <w:rPr>
          <w:b/>
          <w:bCs/>
          <w:sz w:val="24"/>
          <w:szCs w:val="24"/>
          <w:lang w:val="es-ES"/>
        </w:rPr>
        <w:t>LA PARTE RECURRENTE</w:t>
      </w:r>
      <w:r w:rsidRPr="00E6784B">
        <w:rPr>
          <w:sz w:val="24"/>
          <w:szCs w:val="24"/>
          <w:lang w:val="es-ES"/>
        </w:rPr>
        <w:t xml:space="preserve"> no proporcionó su nombre para ser </w:t>
      </w:r>
      <w:r w:rsidRPr="00E6784B">
        <w:rPr>
          <w:sz w:val="24"/>
          <w:szCs w:val="24"/>
          <w:lang w:val="es-ES"/>
        </w:rPr>
        <w:lastRenderedPageBreak/>
        <w:t xml:space="preserve">identificado, lo que en estricto sentido provoca que </w:t>
      </w:r>
      <w:r w:rsidRPr="00E6784B">
        <w:rPr>
          <w:rFonts w:cs="Arial"/>
          <w:sz w:val="24"/>
          <w:szCs w:val="24"/>
          <w:lang w:val="es-ES"/>
        </w:rPr>
        <w:t>no</w:t>
      </w:r>
      <w:r w:rsidRPr="00E6784B">
        <w:rPr>
          <w:sz w:val="24"/>
          <w:szCs w:val="24"/>
          <w:lang w:val="es-ES"/>
        </w:rPr>
        <w:t xml:space="preserve"> se colmen los requisitos establecidos en el artículo 180 de la Ley de Transparencia; sin embargo, el artículo 15 de </w:t>
      </w:r>
      <w:r w:rsidRPr="00E6784B">
        <w:rPr>
          <w:rFonts w:cs="Arial"/>
          <w:sz w:val="24"/>
          <w:szCs w:val="24"/>
          <w:lang w:val="es-ES" w:eastAsia="es-MX"/>
        </w:rPr>
        <w:t xml:space="preserve">Ley de Transparencia y Acceso a la </w:t>
      </w:r>
      <w:r w:rsidRPr="00E6784B">
        <w:rPr>
          <w:rFonts w:cs="Arial"/>
          <w:sz w:val="24"/>
          <w:szCs w:val="24"/>
          <w:lang w:val="es-ES"/>
        </w:rPr>
        <w:t>Información</w:t>
      </w:r>
      <w:r w:rsidRPr="00E6784B">
        <w:rPr>
          <w:rFonts w:cs="Arial"/>
          <w:sz w:val="24"/>
          <w:szCs w:val="24"/>
          <w:lang w:val="es-ES" w:eastAsia="es-MX"/>
        </w:rPr>
        <w:t xml:space="preserve"> Pública del Estado de México y Municipios </w:t>
      </w:r>
      <w:r w:rsidRPr="00E6784B">
        <w:rPr>
          <w:rFonts w:cs="Arial"/>
          <w:iCs/>
          <w:sz w:val="24"/>
          <w:szCs w:val="24"/>
          <w:lang w:val="es-ES"/>
        </w:rPr>
        <w:t xml:space="preserve">prevé que </w:t>
      </w:r>
      <w:r w:rsidRPr="00E6784B">
        <w:rPr>
          <w:sz w:val="24"/>
          <w:szCs w:val="24"/>
          <w:lang w:val="es-ES"/>
        </w:rPr>
        <w:t xml:space="preserve">toda persona tendrá acceso a la información </w:t>
      </w:r>
      <w:r w:rsidRPr="00E6784B">
        <w:rPr>
          <w:rFonts w:cs="Arial"/>
          <w:sz w:val="24"/>
          <w:szCs w:val="24"/>
          <w:lang w:val="es-ES"/>
        </w:rPr>
        <w:t xml:space="preserve">sin necesidad de acreditar interés alguno o justificar su utilización, de lo que se infiere que </w:t>
      </w:r>
      <w:r w:rsidRPr="00E6784B">
        <w:rPr>
          <w:rFonts w:cs="Arial"/>
          <w:b/>
          <w:sz w:val="24"/>
          <w:szCs w:val="24"/>
          <w:u w:val="single"/>
          <w:lang w:val="es-ES"/>
        </w:rPr>
        <w:t xml:space="preserve">el nombre no es un requisito </w:t>
      </w:r>
      <w:r w:rsidRPr="00E6784B">
        <w:rPr>
          <w:rFonts w:cs="Arial"/>
          <w:b/>
          <w:iCs/>
          <w:sz w:val="24"/>
          <w:szCs w:val="24"/>
          <w:u w:val="single"/>
          <w:lang w:val="es-ES"/>
        </w:rPr>
        <w:t>indispensable</w:t>
      </w:r>
      <w:r w:rsidRPr="00E6784B">
        <w:rPr>
          <w:rFonts w:cs="Arial"/>
          <w:sz w:val="24"/>
          <w:szCs w:val="24"/>
          <w:lang w:val="es-ES"/>
        </w:rPr>
        <w:t xml:space="preserve"> para que las y los ciudadanos ejerzan el derecho de acceso a la información pública. </w:t>
      </w:r>
    </w:p>
    <w:p w14:paraId="0DBCFA60" w14:textId="77777777" w:rsidR="005F5301" w:rsidRPr="00E6784B" w:rsidRDefault="005F5301" w:rsidP="00E6784B">
      <w:pPr>
        <w:rPr>
          <w:rFonts w:cs="Arial"/>
          <w:sz w:val="24"/>
          <w:szCs w:val="24"/>
          <w:lang w:val="es-ES"/>
        </w:rPr>
      </w:pPr>
    </w:p>
    <w:p w14:paraId="4B63C5CE" w14:textId="647DDEF6" w:rsidR="005F5301" w:rsidRPr="00E6784B" w:rsidRDefault="005F5301" w:rsidP="00E6784B">
      <w:pPr>
        <w:rPr>
          <w:sz w:val="24"/>
          <w:szCs w:val="24"/>
          <w:lang w:val="es-ES"/>
        </w:rPr>
      </w:pPr>
      <w:r w:rsidRPr="00E6784B">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E6784B">
        <w:rPr>
          <w:sz w:val="24"/>
          <w:szCs w:val="24"/>
          <w:lang w:val="es-ES"/>
        </w:rPr>
        <w:t xml:space="preserve"> </w:t>
      </w:r>
      <w:r w:rsidRPr="00E6784B">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E6784B">
        <w:rPr>
          <w:sz w:val="24"/>
          <w:szCs w:val="24"/>
          <w:lang w:val="es-ES"/>
        </w:rPr>
        <w:t>algunos</w:t>
      </w:r>
      <w:r w:rsidRPr="00E6784B">
        <w:rPr>
          <w:sz w:val="24"/>
          <w:szCs w:val="24"/>
          <w:lang w:val="es-ES"/>
        </w:rPr>
        <w:t xml:space="preserve"> requisitos, entre ellos, el nombre de</w:t>
      </w:r>
      <w:r w:rsidR="00057B2D" w:rsidRPr="00E6784B">
        <w:rPr>
          <w:sz w:val="24"/>
          <w:szCs w:val="24"/>
          <w:lang w:val="es-ES"/>
        </w:rPr>
        <w:t xml:space="preserve"> </w:t>
      </w:r>
      <w:r w:rsidR="00057B2D" w:rsidRPr="00E6784B">
        <w:rPr>
          <w:b/>
          <w:bCs/>
          <w:sz w:val="24"/>
          <w:szCs w:val="24"/>
          <w:lang w:val="es-ES"/>
        </w:rPr>
        <w:t>LA PARTE RECURRENTE</w:t>
      </w:r>
      <w:r w:rsidRPr="00E6784B">
        <w:rPr>
          <w:rFonts w:cs="Arial"/>
          <w:b/>
          <w:sz w:val="24"/>
          <w:szCs w:val="24"/>
          <w:lang w:val="es-ES"/>
        </w:rPr>
        <w:t>;</w:t>
      </w:r>
      <w:r w:rsidRPr="00E6784B">
        <w:rPr>
          <w:sz w:val="24"/>
          <w:szCs w:val="24"/>
          <w:lang w:val="es-ES"/>
        </w:rPr>
        <w:t xml:space="preserve"> por lo que, en el presente caso, al haber sido presentado el recurso de revisión vía </w:t>
      </w:r>
      <w:r w:rsidRPr="00E6784B">
        <w:rPr>
          <w:bCs/>
          <w:sz w:val="24"/>
          <w:szCs w:val="24"/>
          <w:lang w:val="es-ES"/>
        </w:rPr>
        <w:t>SAIMEX</w:t>
      </w:r>
      <w:r w:rsidRPr="00E6784B">
        <w:rPr>
          <w:sz w:val="24"/>
          <w:szCs w:val="24"/>
          <w:lang w:val="es-ES"/>
        </w:rPr>
        <w:t>, dicho requisito resulta innecesario.</w:t>
      </w:r>
    </w:p>
    <w:p w14:paraId="7744E955" w14:textId="77777777" w:rsidR="00575400" w:rsidRPr="00E6784B" w:rsidRDefault="00575400" w:rsidP="00E6784B">
      <w:pPr>
        <w:rPr>
          <w:rFonts w:cs="Arial"/>
        </w:rPr>
      </w:pPr>
    </w:p>
    <w:p w14:paraId="457548E9" w14:textId="3F7AF03B" w:rsidR="00C71CEF" w:rsidRPr="00E6784B" w:rsidRDefault="00C71CEF" w:rsidP="00E6784B">
      <w:pPr>
        <w:pStyle w:val="Ttulo2"/>
      </w:pPr>
      <w:bookmarkStart w:id="23" w:name="_Toc199971960"/>
      <w:r w:rsidRPr="00E6784B">
        <w:t>SEGUNDO. Estudio de Fondo</w:t>
      </w:r>
      <w:bookmarkEnd w:id="23"/>
    </w:p>
    <w:p w14:paraId="2A308F59" w14:textId="0FF373F0" w:rsidR="00C049E2" w:rsidRPr="00E6784B" w:rsidRDefault="00C71CEF" w:rsidP="00E6784B">
      <w:pPr>
        <w:pStyle w:val="Ttulo3"/>
      </w:pPr>
      <w:bookmarkStart w:id="24" w:name="_Toc199971961"/>
      <w:r w:rsidRPr="00E6784B">
        <w:t>a</w:t>
      </w:r>
      <w:r w:rsidR="00C049E2" w:rsidRPr="00E6784B">
        <w:t>) Mandato de transparencia y responsabilidad del Sujeto Obligado</w:t>
      </w:r>
      <w:bookmarkEnd w:id="24"/>
    </w:p>
    <w:p w14:paraId="6901A889" w14:textId="59EEDAE1" w:rsidR="00C049E2" w:rsidRPr="00E6784B" w:rsidRDefault="00C049E2" w:rsidP="00E6784B">
      <w:pPr>
        <w:rPr>
          <w:rFonts w:eastAsia="Palatino Linotype"/>
        </w:rPr>
      </w:pPr>
      <w:r w:rsidRPr="00E6784B">
        <w:rPr>
          <w:rFonts w:eastAsia="Palatino Linotype"/>
        </w:rPr>
        <w:t xml:space="preserve">El </w:t>
      </w:r>
      <w:r w:rsidR="00717E59" w:rsidRPr="00E6784B">
        <w:rPr>
          <w:rFonts w:eastAsia="Palatino Linotype"/>
        </w:rPr>
        <w:t>d</w:t>
      </w:r>
      <w:r w:rsidRPr="00E6784B">
        <w:rPr>
          <w:rFonts w:eastAsia="Palatino Linotype"/>
        </w:rPr>
        <w:t xml:space="preserve">erecho de </w:t>
      </w:r>
      <w:r w:rsidR="00717E59" w:rsidRPr="00E6784B">
        <w:rPr>
          <w:rFonts w:eastAsia="Palatino Linotype"/>
        </w:rPr>
        <w:t>a</w:t>
      </w:r>
      <w:r w:rsidRPr="00E6784B">
        <w:rPr>
          <w:rFonts w:eastAsia="Palatino Linotype"/>
        </w:rPr>
        <w:t xml:space="preserve">cceso a la </w:t>
      </w:r>
      <w:r w:rsidR="00717E59" w:rsidRPr="00E6784B">
        <w:rPr>
          <w:rFonts w:eastAsia="Palatino Linotype"/>
        </w:rPr>
        <w:t>i</w:t>
      </w:r>
      <w:r w:rsidRPr="00E6784B">
        <w:rPr>
          <w:rFonts w:eastAsia="Palatino Linotype"/>
        </w:rPr>
        <w:t xml:space="preserve">nformación </w:t>
      </w:r>
      <w:r w:rsidR="00717E59" w:rsidRPr="00E6784B">
        <w:rPr>
          <w:rFonts w:eastAsia="Palatino Linotype"/>
        </w:rPr>
        <w:t>p</w:t>
      </w:r>
      <w:r w:rsidRPr="00E6784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6784B">
        <w:rPr>
          <w:rFonts w:eastAsia="Palatino Linotype"/>
        </w:rPr>
        <w:t>:</w:t>
      </w:r>
    </w:p>
    <w:p w14:paraId="7FAB8D32" w14:textId="77777777" w:rsidR="00C049E2" w:rsidRPr="00E6784B" w:rsidRDefault="00C049E2" w:rsidP="00E6784B">
      <w:pPr>
        <w:rPr>
          <w:rFonts w:eastAsia="Palatino Linotype"/>
        </w:rPr>
      </w:pPr>
    </w:p>
    <w:p w14:paraId="05320813" w14:textId="77777777" w:rsidR="00C049E2" w:rsidRPr="00E6784B" w:rsidRDefault="00C049E2" w:rsidP="00E6784B">
      <w:pPr>
        <w:spacing w:line="240" w:lineRule="auto"/>
        <w:ind w:left="567" w:right="539"/>
        <w:rPr>
          <w:rFonts w:eastAsia="Palatino Linotype"/>
          <w:b/>
          <w:i/>
        </w:rPr>
      </w:pPr>
      <w:r w:rsidRPr="00E6784B">
        <w:rPr>
          <w:rFonts w:eastAsia="Palatino Linotype"/>
          <w:b/>
          <w:i/>
        </w:rPr>
        <w:t>Constitución Política de los Estados Unidos Mexicanos</w:t>
      </w:r>
    </w:p>
    <w:p w14:paraId="6B6C67B6" w14:textId="77777777" w:rsidR="00C049E2" w:rsidRPr="00E6784B" w:rsidRDefault="00C049E2" w:rsidP="00E6784B">
      <w:pPr>
        <w:spacing w:line="240" w:lineRule="auto"/>
        <w:ind w:left="567" w:right="539"/>
        <w:rPr>
          <w:rFonts w:eastAsia="Palatino Linotype"/>
          <w:b/>
          <w:i/>
        </w:rPr>
      </w:pPr>
      <w:r w:rsidRPr="00E6784B">
        <w:rPr>
          <w:rFonts w:eastAsia="Palatino Linotype"/>
          <w:b/>
          <w:i/>
        </w:rPr>
        <w:lastRenderedPageBreak/>
        <w:t>“Artículo 6.</w:t>
      </w:r>
    </w:p>
    <w:p w14:paraId="38D3B4C4" w14:textId="77777777" w:rsidR="00C049E2" w:rsidRPr="00E6784B" w:rsidRDefault="00C049E2" w:rsidP="00E6784B">
      <w:pPr>
        <w:spacing w:line="240" w:lineRule="auto"/>
        <w:ind w:left="567" w:right="539"/>
        <w:rPr>
          <w:rFonts w:eastAsia="Palatino Linotype"/>
          <w:i/>
        </w:rPr>
      </w:pPr>
      <w:r w:rsidRPr="00E6784B">
        <w:rPr>
          <w:rFonts w:eastAsia="Palatino Linotype"/>
          <w:i/>
        </w:rPr>
        <w:t>(…)</w:t>
      </w:r>
    </w:p>
    <w:p w14:paraId="2CCAA297" w14:textId="6602827B" w:rsidR="00C049E2" w:rsidRPr="00E6784B" w:rsidRDefault="00C049E2" w:rsidP="00E6784B">
      <w:pPr>
        <w:spacing w:line="240" w:lineRule="auto"/>
        <w:ind w:left="567" w:right="539"/>
        <w:rPr>
          <w:rFonts w:eastAsia="Palatino Linotype"/>
          <w:i/>
        </w:rPr>
      </w:pPr>
      <w:r w:rsidRPr="00E6784B">
        <w:rPr>
          <w:rFonts w:eastAsia="Palatino Linotype"/>
          <w:i/>
        </w:rPr>
        <w:t>Para efectos de lo dispuesto en el presente artículo se observará lo siguiente:</w:t>
      </w:r>
    </w:p>
    <w:p w14:paraId="74CC3718" w14:textId="77777777" w:rsidR="00C049E2" w:rsidRPr="00E6784B" w:rsidRDefault="00C049E2" w:rsidP="00E6784B">
      <w:pPr>
        <w:spacing w:line="240" w:lineRule="auto"/>
        <w:ind w:left="567" w:right="539"/>
        <w:rPr>
          <w:rFonts w:eastAsia="Palatino Linotype"/>
          <w:b/>
          <w:i/>
        </w:rPr>
      </w:pPr>
      <w:r w:rsidRPr="00E6784B">
        <w:rPr>
          <w:rFonts w:eastAsia="Palatino Linotype"/>
          <w:b/>
          <w:i/>
        </w:rPr>
        <w:t>A</w:t>
      </w:r>
      <w:r w:rsidRPr="00E6784B">
        <w:rPr>
          <w:rFonts w:eastAsia="Palatino Linotype"/>
          <w:i/>
        </w:rPr>
        <w:t xml:space="preserve">. </w:t>
      </w:r>
      <w:r w:rsidRPr="00E6784B">
        <w:rPr>
          <w:rFonts w:eastAsia="Palatino Linotype"/>
          <w:b/>
          <w:i/>
        </w:rPr>
        <w:t>Para el ejercicio del derecho de acceso a la información</w:t>
      </w:r>
      <w:r w:rsidRPr="00E6784B">
        <w:rPr>
          <w:rFonts w:eastAsia="Palatino Linotype"/>
          <w:i/>
        </w:rPr>
        <w:t xml:space="preserve">, la Federación y </w:t>
      </w:r>
      <w:r w:rsidRPr="00E6784B">
        <w:rPr>
          <w:rFonts w:eastAsia="Palatino Linotype"/>
          <w:b/>
          <w:i/>
        </w:rPr>
        <w:t>las entidades federativas, en el ámbito de sus respectivas competencias, se regirán por los siguientes principios y bases:</w:t>
      </w:r>
    </w:p>
    <w:p w14:paraId="596A956B" w14:textId="77777777" w:rsidR="00C049E2" w:rsidRPr="00E6784B" w:rsidRDefault="00C049E2" w:rsidP="00E6784B">
      <w:pPr>
        <w:spacing w:line="240" w:lineRule="auto"/>
        <w:ind w:left="567" w:right="539"/>
        <w:rPr>
          <w:rFonts w:eastAsia="Palatino Linotype"/>
          <w:i/>
        </w:rPr>
      </w:pPr>
      <w:r w:rsidRPr="00E6784B">
        <w:rPr>
          <w:rFonts w:eastAsia="Palatino Linotype"/>
          <w:b/>
          <w:i/>
        </w:rPr>
        <w:t xml:space="preserve">I. </w:t>
      </w:r>
      <w:r w:rsidRPr="00E6784B">
        <w:rPr>
          <w:rFonts w:eastAsia="Palatino Linotype"/>
          <w:b/>
          <w:i/>
        </w:rPr>
        <w:tab/>
        <w:t>Toda la información en posesión de cualquier</w:t>
      </w:r>
      <w:r w:rsidRPr="00E6784B">
        <w:rPr>
          <w:rFonts w:eastAsia="Palatino Linotype"/>
          <w:i/>
        </w:rPr>
        <w:t xml:space="preserve"> </w:t>
      </w:r>
      <w:r w:rsidRPr="00E6784B">
        <w:rPr>
          <w:rFonts w:eastAsia="Palatino Linotype"/>
          <w:b/>
          <w:i/>
        </w:rPr>
        <w:t>autoridad</w:t>
      </w:r>
      <w:r w:rsidRPr="00E6784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6784B">
        <w:rPr>
          <w:rFonts w:eastAsia="Palatino Linotype"/>
          <w:b/>
          <w:i/>
        </w:rPr>
        <w:t>municipal</w:t>
      </w:r>
      <w:r w:rsidRPr="00E6784B">
        <w:rPr>
          <w:rFonts w:eastAsia="Palatino Linotype"/>
          <w:i/>
        </w:rPr>
        <w:t xml:space="preserve">, </w:t>
      </w:r>
      <w:r w:rsidRPr="00E6784B">
        <w:rPr>
          <w:rFonts w:eastAsia="Palatino Linotype"/>
          <w:b/>
          <w:i/>
        </w:rPr>
        <w:t>es pública</w:t>
      </w:r>
      <w:r w:rsidRPr="00E6784B">
        <w:rPr>
          <w:rFonts w:eastAsia="Palatino Linotype"/>
          <w:i/>
        </w:rPr>
        <w:t xml:space="preserve"> y sólo podrá ser reservada temporalmente por razones de interés público y seguridad nacional, en los términos que fijen las leyes. </w:t>
      </w:r>
      <w:r w:rsidRPr="00E6784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6784B">
        <w:rPr>
          <w:rFonts w:eastAsia="Palatino Linotype"/>
          <w:i/>
        </w:rPr>
        <w:t>, la ley determinará los supuestos específicos bajo los cuales procederá la declaración de inexistencia de la información.”</w:t>
      </w:r>
    </w:p>
    <w:p w14:paraId="68F313E4" w14:textId="77777777" w:rsidR="00C049E2" w:rsidRPr="00E6784B" w:rsidRDefault="00C049E2" w:rsidP="00E6784B">
      <w:pPr>
        <w:spacing w:line="240" w:lineRule="auto"/>
        <w:ind w:left="567" w:right="539"/>
        <w:rPr>
          <w:rFonts w:eastAsia="Palatino Linotype"/>
          <w:b/>
          <w:i/>
        </w:rPr>
      </w:pPr>
    </w:p>
    <w:p w14:paraId="504F12DB" w14:textId="77777777" w:rsidR="00C049E2" w:rsidRPr="00E6784B" w:rsidRDefault="00C049E2" w:rsidP="00E6784B">
      <w:pPr>
        <w:spacing w:line="240" w:lineRule="auto"/>
        <w:ind w:left="567" w:right="539"/>
        <w:rPr>
          <w:rFonts w:eastAsia="Palatino Linotype"/>
          <w:b/>
          <w:i/>
        </w:rPr>
      </w:pPr>
      <w:r w:rsidRPr="00E6784B">
        <w:rPr>
          <w:rFonts w:eastAsia="Palatino Linotype"/>
          <w:b/>
          <w:i/>
        </w:rPr>
        <w:t>Constitución Política del Estado Libre y Soberano de México</w:t>
      </w:r>
    </w:p>
    <w:p w14:paraId="04932D29" w14:textId="77777777" w:rsidR="00C049E2" w:rsidRPr="00E6784B" w:rsidRDefault="00C049E2" w:rsidP="00E6784B">
      <w:pPr>
        <w:spacing w:line="240" w:lineRule="auto"/>
        <w:ind w:left="567" w:right="539"/>
        <w:rPr>
          <w:rFonts w:eastAsia="Palatino Linotype"/>
          <w:i/>
        </w:rPr>
      </w:pPr>
      <w:r w:rsidRPr="00E6784B">
        <w:rPr>
          <w:rFonts w:eastAsia="Palatino Linotype"/>
          <w:b/>
          <w:i/>
        </w:rPr>
        <w:t>“Artículo 5</w:t>
      </w:r>
      <w:r w:rsidRPr="00E6784B">
        <w:rPr>
          <w:rFonts w:eastAsia="Palatino Linotype"/>
          <w:i/>
        </w:rPr>
        <w:t xml:space="preserve">.- </w:t>
      </w:r>
    </w:p>
    <w:p w14:paraId="1D3829F4" w14:textId="77777777" w:rsidR="00C049E2" w:rsidRPr="00E6784B" w:rsidRDefault="00C049E2" w:rsidP="00E6784B">
      <w:pPr>
        <w:spacing w:line="240" w:lineRule="auto"/>
        <w:ind w:left="567" w:right="539"/>
        <w:rPr>
          <w:rFonts w:eastAsia="Palatino Linotype"/>
          <w:i/>
        </w:rPr>
      </w:pPr>
      <w:r w:rsidRPr="00E6784B">
        <w:rPr>
          <w:rFonts w:eastAsia="Palatino Linotype"/>
          <w:i/>
        </w:rPr>
        <w:t>(…)</w:t>
      </w:r>
    </w:p>
    <w:p w14:paraId="0EAE47FD" w14:textId="77777777" w:rsidR="00C049E2" w:rsidRPr="00E6784B" w:rsidRDefault="00C049E2" w:rsidP="00E6784B">
      <w:pPr>
        <w:spacing w:line="240" w:lineRule="auto"/>
        <w:ind w:left="567" w:right="539"/>
        <w:rPr>
          <w:rFonts w:eastAsia="Palatino Linotype"/>
          <w:i/>
        </w:rPr>
      </w:pPr>
      <w:r w:rsidRPr="00E6784B">
        <w:rPr>
          <w:rFonts w:eastAsia="Palatino Linotype"/>
          <w:b/>
          <w:i/>
        </w:rPr>
        <w:t>El derecho a la información será garantizado por el Estado. La ley establecerá las previsiones que permitan asegurar la protección, el respeto y la difusión de este derecho</w:t>
      </w:r>
      <w:r w:rsidRPr="00E6784B">
        <w:rPr>
          <w:rFonts w:eastAsia="Palatino Linotype"/>
          <w:i/>
        </w:rPr>
        <w:t>.</w:t>
      </w:r>
    </w:p>
    <w:p w14:paraId="4F0C804A" w14:textId="77777777" w:rsidR="00C049E2" w:rsidRPr="00E6784B" w:rsidRDefault="00C049E2" w:rsidP="00E6784B">
      <w:pPr>
        <w:spacing w:line="240" w:lineRule="auto"/>
        <w:ind w:left="567" w:right="539"/>
        <w:rPr>
          <w:rFonts w:eastAsia="Palatino Linotype"/>
          <w:i/>
        </w:rPr>
      </w:pPr>
      <w:r w:rsidRPr="00E6784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6784B" w:rsidRDefault="00C049E2" w:rsidP="00E6784B">
      <w:pPr>
        <w:spacing w:line="240" w:lineRule="auto"/>
        <w:ind w:left="567" w:right="539"/>
        <w:rPr>
          <w:rFonts w:eastAsia="Palatino Linotype"/>
          <w:i/>
        </w:rPr>
      </w:pPr>
      <w:r w:rsidRPr="00E6784B">
        <w:rPr>
          <w:rFonts w:eastAsia="Palatino Linotype"/>
          <w:b/>
          <w:i/>
        </w:rPr>
        <w:t>Este derecho se regirá por los principios y bases siguientes</w:t>
      </w:r>
      <w:r w:rsidRPr="00E6784B">
        <w:rPr>
          <w:rFonts w:eastAsia="Palatino Linotype"/>
          <w:i/>
        </w:rPr>
        <w:t>:</w:t>
      </w:r>
    </w:p>
    <w:p w14:paraId="4A3E8CBA" w14:textId="77777777" w:rsidR="00C049E2" w:rsidRPr="00E6784B" w:rsidRDefault="00C049E2" w:rsidP="00E6784B">
      <w:pPr>
        <w:spacing w:line="240" w:lineRule="auto"/>
        <w:ind w:left="567" w:right="539"/>
        <w:rPr>
          <w:rFonts w:eastAsia="Palatino Linotype"/>
          <w:i/>
        </w:rPr>
      </w:pPr>
      <w:r w:rsidRPr="00E6784B">
        <w:rPr>
          <w:rFonts w:eastAsia="Palatino Linotype"/>
          <w:b/>
          <w:i/>
        </w:rPr>
        <w:t>I. Toda la información en posesión de cualquier autoridad, entidad, órgano y organismos de los</w:t>
      </w:r>
      <w:r w:rsidRPr="00E6784B">
        <w:rPr>
          <w:rFonts w:eastAsia="Palatino Linotype"/>
          <w:i/>
        </w:rPr>
        <w:t xml:space="preserve"> Poderes Ejecutivo, Legislativo y Judicial, órganos autónomos, partidos políticos, fideicomisos y fondos públicos estatales y </w:t>
      </w:r>
      <w:r w:rsidRPr="00E6784B">
        <w:rPr>
          <w:rFonts w:eastAsia="Palatino Linotype"/>
          <w:b/>
          <w:i/>
        </w:rPr>
        <w:t>municipales</w:t>
      </w:r>
      <w:r w:rsidRPr="00E6784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6784B">
        <w:rPr>
          <w:rFonts w:eastAsia="Palatino Linotype"/>
          <w:b/>
          <w:i/>
        </w:rPr>
        <w:t>es pública</w:t>
      </w:r>
      <w:r w:rsidRPr="00E6784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6784B">
        <w:rPr>
          <w:rFonts w:eastAsia="Palatino Linotype"/>
          <w:b/>
          <w:i/>
        </w:rPr>
        <w:t xml:space="preserve">En la </w:t>
      </w:r>
      <w:r w:rsidRPr="00E6784B">
        <w:rPr>
          <w:rFonts w:eastAsia="Palatino Linotype"/>
          <w:b/>
          <w:i/>
        </w:rPr>
        <w:lastRenderedPageBreak/>
        <w:t>interpretación de este derecho deberá prevalecer el principio de máxima publicidad</w:t>
      </w:r>
      <w:r w:rsidRPr="00E6784B">
        <w:rPr>
          <w:rFonts w:eastAsia="Palatino Linotype"/>
          <w:i/>
        </w:rPr>
        <w:t xml:space="preserve">. </w:t>
      </w:r>
      <w:r w:rsidRPr="00E6784B">
        <w:rPr>
          <w:rFonts w:eastAsia="Palatino Linotype"/>
          <w:b/>
          <w:i/>
        </w:rPr>
        <w:t>Los sujetos obligados deberán documentar todo acto que derive del ejercicio de sus facultades, competencias o funciones</w:t>
      </w:r>
      <w:r w:rsidRPr="00E6784B">
        <w:rPr>
          <w:rFonts w:eastAsia="Palatino Linotype"/>
          <w:i/>
        </w:rPr>
        <w:t>, la ley determinará los supuestos específicos bajo los cuales procederá la declaración de inexistencia de la información.”</w:t>
      </w:r>
    </w:p>
    <w:p w14:paraId="5CA98E37" w14:textId="77777777" w:rsidR="00C049E2" w:rsidRPr="00E6784B" w:rsidRDefault="00C049E2" w:rsidP="00E6784B">
      <w:pPr>
        <w:rPr>
          <w:rFonts w:eastAsia="Palatino Linotype"/>
          <w:b/>
          <w:i/>
        </w:rPr>
      </w:pPr>
    </w:p>
    <w:p w14:paraId="6FC1BB3B" w14:textId="3BF4A33D" w:rsidR="00C049E2" w:rsidRPr="00E6784B" w:rsidRDefault="00717E59" w:rsidP="00E6784B">
      <w:pPr>
        <w:rPr>
          <w:rFonts w:eastAsia="Palatino Linotype"/>
          <w:i/>
        </w:rPr>
      </w:pPr>
      <w:r w:rsidRPr="00E6784B">
        <w:rPr>
          <w:rFonts w:eastAsia="Palatino Linotype"/>
        </w:rPr>
        <w:t xml:space="preserve">Asimismo, </w:t>
      </w:r>
      <w:r w:rsidR="00C049E2" w:rsidRPr="00E6784B">
        <w:rPr>
          <w:rFonts w:eastAsia="Palatino Linotype"/>
        </w:rPr>
        <w:t>el artículo 150 de la Ley de Transparencia y Acceso a la Información Pública del Estado de México y Municipios</w:t>
      </w:r>
      <w:r w:rsidR="00057B2D" w:rsidRPr="00E6784B">
        <w:rPr>
          <w:rFonts w:eastAsia="Palatino Linotype"/>
        </w:rPr>
        <w:t xml:space="preserve"> </w:t>
      </w:r>
      <w:r w:rsidR="00E9335C" w:rsidRPr="00E6784B">
        <w:rPr>
          <w:rFonts w:eastAsia="Palatino Linotype"/>
        </w:rPr>
        <w:t xml:space="preserve">indica </w:t>
      </w:r>
      <w:r w:rsidR="00057B2D" w:rsidRPr="00E6784B">
        <w:rPr>
          <w:rFonts w:eastAsia="Palatino Linotype"/>
        </w:rPr>
        <w:t>que</w:t>
      </w:r>
      <w:r w:rsidR="00C049E2" w:rsidRPr="00E6784B">
        <w:rPr>
          <w:rFonts w:eastAsia="Palatino Linotype"/>
        </w:rPr>
        <w:t xml:space="preserve"> la solicitud es la garantía primaria del Derecho de Acceso a la Información, además, establece que se regirá </w:t>
      </w:r>
      <w:r w:rsidR="00C049E2" w:rsidRPr="00E6784B">
        <w:rPr>
          <w:rFonts w:eastAsia="Palatino Linotype"/>
          <w:i/>
        </w:rPr>
        <w:t>por los principios de simplicidad, rapidez</w:t>
      </w:r>
      <w:r w:rsidR="005F65B7" w:rsidRPr="00E6784B">
        <w:rPr>
          <w:rFonts w:eastAsia="Palatino Linotype"/>
          <w:i/>
        </w:rPr>
        <w:t>,</w:t>
      </w:r>
      <w:r w:rsidR="00C049E2" w:rsidRPr="00E6784B">
        <w:rPr>
          <w:rFonts w:eastAsia="Palatino Linotype"/>
          <w:i/>
        </w:rPr>
        <w:t xml:space="preserve"> gratuidad del procedimiento, auxilio y orientación a los particulare</w:t>
      </w:r>
      <w:r w:rsidR="001A58B3" w:rsidRPr="00E6784B">
        <w:rPr>
          <w:rFonts w:eastAsia="Palatino Linotype"/>
          <w:i/>
        </w:rPr>
        <w:t>s.</w:t>
      </w:r>
    </w:p>
    <w:p w14:paraId="033466A6" w14:textId="77777777" w:rsidR="001A58B3" w:rsidRPr="00E6784B" w:rsidRDefault="001A58B3" w:rsidP="00E6784B">
      <w:pPr>
        <w:rPr>
          <w:rFonts w:eastAsia="Palatino Linotype"/>
          <w:i/>
        </w:rPr>
      </w:pPr>
    </w:p>
    <w:p w14:paraId="04ADA10B" w14:textId="574A944A" w:rsidR="001A58B3" w:rsidRPr="00E6784B" w:rsidRDefault="00233F17" w:rsidP="00E6784B">
      <w:pPr>
        <w:rPr>
          <w:rFonts w:eastAsia="Palatino Linotype" w:cs="Palatino Linotype"/>
          <w:i/>
          <w:szCs w:val="22"/>
        </w:rPr>
      </w:pPr>
      <w:r w:rsidRPr="00E6784B">
        <w:rPr>
          <w:rFonts w:eastAsia="Palatino Linotype" w:cs="Palatino Linotype"/>
        </w:rPr>
        <w:t xml:space="preserve">Por su parte, el artículo 4 de </w:t>
      </w:r>
      <w:r w:rsidR="001A58B3" w:rsidRPr="00E6784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6784B">
        <w:rPr>
          <w:rFonts w:eastAsia="Palatino Linotype" w:cs="Palatino Linotype"/>
        </w:rPr>
        <w:t>.</w:t>
      </w:r>
    </w:p>
    <w:p w14:paraId="1407DBB8" w14:textId="77777777" w:rsidR="001A58B3" w:rsidRPr="00E6784B" w:rsidRDefault="001A58B3" w:rsidP="00E6784B">
      <w:pPr>
        <w:rPr>
          <w:rFonts w:eastAsia="Palatino Linotype" w:cs="Palatino Linotype"/>
        </w:rPr>
      </w:pPr>
    </w:p>
    <w:p w14:paraId="7552AA79" w14:textId="5C52E4A4" w:rsidR="001A58B3" w:rsidRPr="00E6784B" w:rsidRDefault="001A58B3" w:rsidP="00E6784B">
      <w:pPr>
        <w:rPr>
          <w:rFonts w:eastAsia="Palatino Linotype" w:cs="Palatino Linotype"/>
        </w:rPr>
      </w:pPr>
      <w:r w:rsidRPr="00E6784B">
        <w:rPr>
          <w:rFonts w:eastAsia="Palatino Linotype" w:cs="Palatino Linotype"/>
        </w:rPr>
        <w:t xml:space="preserve">Esto es, que los Sujetos Obligados </w:t>
      </w:r>
      <w:r w:rsidR="00FA5957" w:rsidRPr="00E6784B">
        <w:rPr>
          <w:rFonts w:eastAsia="Palatino Linotype" w:cs="Palatino Linotype"/>
        </w:rPr>
        <w:t>deben</w:t>
      </w:r>
      <w:r w:rsidRPr="00E6784B">
        <w:rPr>
          <w:rFonts w:eastAsia="Palatino Linotype" w:cs="Palatino Linotype"/>
        </w:rPr>
        <w:t xml:space="preserve"> atender las solicitudes de acceso a la información pública que se les </w:t>
      </w:r>
      <w:r w:rsidR="00FA5957" w:rsidRPr="00E6784B">
        <w:rPr>
          <w:rFonts w:eastAsia="Palatino Linotype" w:cs="Palatino Linotype"/>
        </w:rPr>
        <w:t>sean realizadas,</w:t>
      </w:r>
      <w:r w:rsidRPr="00E6784B">
        <w:rPr>
          <w:rFonts w:eastAsia="Palatino Linotype" w:cs="Palatino Linotype"/>
        </w:rPr>
        <w:t xml:space="preserve"> y proporcionar la información pública que obre en su poder</w:t>
      </w:r>
      <w:r w:rsidR="00FA5957" w:rsidRPr="00E6784B">
        <w:rPr>
          <w:rFonts w:eastAsia="Palatino Linotype" w:cs="Palatino Linotype"/>
        </w:rPr>
        <w:t>,</w:t>
      </w:r>
      <w:r w:rsidRPr="00E6784B">
        <w:rPr>
          <w:rFonts w:eastAsia="Palatino Linotype" w:cs="Palatino Linotype"/>
        </w:rPr>
        <w:t xml:space="preserve"> conforme </w:t>
      </w:r>
      <w:r w:rsidR="00FA5957" w:rsidRPr="00E6784B">
        <w:rPr>
          <w:rFonts w:eastAsia="Palatino Linotype" w:cs="Palatino Linotype"/>
        </w:rPr>
        <w:t>a</w:t>
      </w:r>
      <w:r w:rsidRPr="00E6784B">
        <w:rPr>
          <w:rFonts w:eastAsia="Palatino Linotype" w:cs="Palatino Linotype"/>
        </w:rPr>
        <w:t xml:space="preserve">l estado </w:t>
      </w:r>
      <w:r w:rsidR="00FA5957" w:rsidRPr="00E6784B">
        <w:rPr>
          <w:rFonts w:eastAsia="Palatino Linotype" w:cs="Palatino Linotype"/>
        </w:rPr>
        <w:t xml:space="preserve">en </w:t>
      </w:r>
      <w:r w:rsidRPr="00E6784B">
        <w:rPr>
          <w:rFonts w:eastAsia="Palatino Linotype" w:cs="Palatino Linotype"/>
        </w:rPr>
        <w:t>que se encuentr</w:t>
      </w:r>
      <w:r w:rsidR="00FA5957" w:rsidRPr="00E6784B">
        <w:rPr>
          <w:rFonts w:eastAsia="Palatino Linotype" w:cs="Palatino Linotype"/>
        </w:rPr>
        <w:t>e, sin que sea necesario</w:t>
      </w:r>
      <w:r w:rsidRPr="00E6784B">
        <w:rPr>
          <w:rFonts w:eastAsia="Palatino Linotype" w:cs="Palatino Linotype"/>
        </w:rPr>
        <w:t xml:space="preserve"> </w:t>
      </w:r>
      <w:r w:rsidR="00FA5957" w:rsidRPr="00E6784B">
        <w:rPr>
          <w:rFonts w:eastAsia="Palatino Linotype" w:cs="Palatino Linotype"/>
        </w:rPr>
        <w:t>procesar</w:t>
      </w:r>
      <w:r w:rsidRPr="00E6784B">
        <w:rPr>
          <w:rFonts w:eastAsia="Palatino Linotype" w:cs="Palatino Linotype"/>
        </w:rPr>
        <w:t xml:space="preserve"> la misma, ni presentarla conforme al interés del solicitante; </w:t>
      </w:r>
      <w:r w:rsidR="00FA5957" w:rsidRPr="00E6784B">
        <w:rPr>
          <w:rFonts w:eastAsia="Palatino Linotype" w:cs="Palatino Linotype"/>
        </w:rPr>
        <w:t>tal y como</w:t>
      </w:r>
      <w:r w:rsidRPr="00E6784B">
        <w:rPr>
          <w:rFonts w:eastAsia="Palatino Linotype" w:cs="Palatino Linotype"/>
        </w:rPr>
        <w:t xml:space="preserve"> lo establece el artículo 12 de la Ley de Transparencia y Acceso a la Información Pública del Estado de México y Municipios</w:t>
      </w:r>
      <w:r w:rsidR="00970EB3" w:rsidRPr="00E6784B">
        <w:rPr>
          <w:rFonts w:eastAsia="Palatino Linotype" w:cs="Palatino Linotype"/>
        </w:rPr>
        <w:t>.</w:t>
      </w:r>
    </w:p>
    <w:p w14:paraId="73245195" w14:textId="77777777" w:rsidR="00970EB3" w:rsidRPr="00E6784B" w:rsidRDefault="00970EB3" w:rsidP="00E6784B">
      <w:pPr>
        <w:rPr>
          <w:rFonts w:eastAsia="Palatino Linotype" w:cs="Palatino Linotype"/>
        </w:rPr>
      </w:pPr>
    </w:p>
    <w:p w14:paraId="7F62D4DF" w14:textId="775730E1" w:rsidR="001A58B3" w:rsidRPr="00E6784B" w:rsidRDefault="001A58B3" w:rsidP="00E6784B">
      <w:pPr>
        <w:rPr>
          <w:rFonts w:eastAsia="Palatino Linotype" w:cs="Palatino Linotype"/>
        </w:rPr>
      </w:pPr>
      <w:r w:rsidRPr="00E6784B">
        <w:rPr>
          <w:rFonts w:eastAsia="Palatino Linotype" w:cs="Palatino Linotype"/>
        </w:rPr>
        <w:t>Es decir, que todo sujeto obligado que genere, recopile, administre, procese, archive, posea o conserven, son responsables de la misma</w:t>
      </w:r>
      <w:r w:rsidR="00970EB3" w:rsidRPr="00E6784B">
        <w:rPr>
          <w:rFonts w:eastAsia="Palatino Linotype" w:cs="Palatino Linotype"/>
        </w:rPr>
        <w:t>,</w:t>
      </w:r>
      <w:r w:rsidRPr="00E6784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6784B">
        <w:rPr>
          <w:rFonts w:eastAsia="Palatino Linotype" w:cs="Palatino Linotype"/>
        </w:rPr>
        <w:t>o</w:t>
      </w:r>
      <w:r w:rsidRPr="00E6784B">
        <w:rPr>
          <w:rFonts w:eastAsia="Palatino Linotype" w:cs="Palatino Linotype"/>
        </w:rPr>
        <w:t xml:space="preserve"> practicar investigaciones; en otras palabras, que los Sujetos Obligados sólo se concretarán a proporcionar la información solicitada que tengan en su poder en el </w:t>
      </w:r>
      <w:r w:rsidRPr="00E6784B">
        <w:rPr>
          <w:rFonts w:eastAsia="Palatino Linotype" w:cs="Palatino Linotype"/>
        </w:rPr>
        <w:lastRenderedPageBreak/>
        <w:t>estado que se encuentra, sin necesidad de concretarse al interés o términos específicos del solicitante.</w:t>
      </w:r>
    </w:p>
    <w:p w14:paraId="0D8D6507" w14:textId="77777777" w:rsidR="001A58B3" w:rsidRPr="00E6784B" w:rsidRDefault="001A58B3" w:rsidP="00E6784B">
      <w:pPr>
        <w:rPr>
          <w:rFonts w:eastAsia="Palatino Linotype" w:cs="Palatino Linotype"/>
        </w:rPr>
      </w:pPr>
    </w:p>
    <w:p w14:paraId="04E42DFE" w14:textId="573F1198" w:rsidR="001A58B3" w:rsidRPr="00E6784B" w:rsidRDefault="001A58B3" w:rsidP="00E6784B">
      <w:pPr>
        <w:rPr>
          <w:rFonts w:eastAsia="Palatino Linotype" w:cs="Palatino Linotype"/>
        </w:rPr>
      </w:pPr>
      <w:r w:rsidRPr="00E6784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6784B">
        <w:rPr>
          <w:rFonts w:eastAsia="Palatino Linotype" w:cs="Palatino Linotype"/>
        </w:rPr>
        <w:t>, s</w:t>
      </w:r>
      <w:r w:rsidRPr="00E6784B">
        <w:rPr>
          <w:rFonts w:eastAsia="Palatino Linotype" w:cs="Palatino Linotype"/>
        </w:rPr>
        <w:t xml:space="preserve">iempre y cuando no se trate de información reservada o </w:t>
      </w:r>
      <w:r w:rsidR="00331F35" w:rsidRPr="00E6784B">
        <w:rPr>
          <w:rFonts w:eastAsia="Palatino Linotype" w:cs="Palatino Linotype"/>
        </w:rPr>
        <w:t>confidencial.</w:t>
      </w:r>
    </w:p>
    <w:p w14:paraId="40C5219F" w14:textId="77777777" w:rsidR="001A58B3" w:rsidRPr="00E6784B" w:rsidRDefault="001A58B3" w:rsidP="00E6784B">
      <w:pPr>
        <w:rPr>
          <w:rFonts w:eastAsia="Palatino Linotype" w:cs="Palatino Linotype"/>
        </w:rPr>
      </w:pPr>
    </w:p>
    <w:p w14:paraId="2E629608" w14:textId="01727E15" w:rsidR="00C049E2" w:rsidRPr="00E6784B" w:rsidRDefault="006067C7" w:rsidP="00E6784B">
      <w:pPr>
        <w:rPr>
          <w:rFonts w:eastAsia="Palatino Linotype"/>
        </w:rPr>
      </w:pPr>
      <w:bookmarkStart w:id="25" w:name="_heading=h.2s8eyo1" w:colFirst="0" w:colLast="0"/>
      <w:bookmarkEnd w:id="25"/>
      <w:r w:rsidRPr="00E6784B">
        <w:rPr>
          <w:rFonts w:eastAsia="Palatino Linotype"/>
        </w:rPr>
        <w:t>Con base en lo anterior</w:t>
      </w:r>
      <w:r w:rsidR="00B22A80" w:rsidRPr="00E6784B">
        <w:rPr>
          <w:rFonts w:eastAsia="Palatino Linotype"/>
        </w:rPr>
        <w:t>, se considera que</w:t>
      </w:r>
      <w:r w:rsidR="00C049E2" w:rsidRPr="00E6784B">
        <w:rPr>
          <w:rFonts w:eastAsia="Palatino Linotype"/>
        </w:rPr>
        <w:t xml:space="preserve"> </w:t>
      </w:r>
      <w:r w:rsidR="00B22A80" w:rsidRPr="00E6784B">
        <w:rPr>
          <w:rFonts w:eastAsia="Palatino Linotype"/>
          <w:b/>
          <w:bCs/>
        </w:rPr>
        <w:t>EL</w:t>
      </w:r>
      <w:r w:rsidR="00C049E2" w:rsidRPr="00E6784B">
        <w:rPr>
          <w:rFonts w:eastAsia="Palatino Linotype"/>
        </w:rPr>
        <w:t xml:space="preserve"> </w:t>
      </w:r>
      <w:r w:rsidR="00C049E2" w:rsidRPr="00E6784B">
        <w:rPr>
          <w:rFonts w:eastAsia="Palatino Linotype"/>
          <w:b/>
        </w:rPr>
        <w:t>SUJETO OBLIGADO</w:t>
      </w:r>
      <w:r w:rsidR="00C049E2" w:rsidRPr="00E6784B">
        <w:rPr>
          <w:rFonts w:eastAsia="Palatino Linotype"/>
        </w:rPr>
        <w:t xml:space="preserve"> </w:t>
      </w:r>
      <w:r w:rsidR="00B22A80" w:rsidRPr="00E6784B">
        <w:rPr>
          <w:rFonts w:eastAsia="Palatino Linotype"/>
        </w:rPr>
        <w:t xml:space="preserve">se </w:t>
      </w:r>
      <w:r w:rsidR="00717E59" w:rsidRPr="00E6784B">
        <w:rPr>
          <w:rFonts w:eastAsia="Palatino Linotype"/>
        </w:rPr>
        <w:t>encontraba</w:t>
      </w:r>
      <w:r w:rsidR="00B22A80" w:rsidRPr="00E6784B">
        <w:rPr>
          <w:rFonts w:eastAsia="Palatino Linotype"/>
        </w:rPr>
        <w:t xml:space="preserve"> compelido a</w:t>
      </w:r>
      <w:r w:rsidR="00C049E2" w:rsidRPr="00E6784B">
        <w:rPr>
          <w:rFonts w:eastAsia="Palatino Linotype"/>
        </w:rPr>
        <w:t xml:space="preserve"> atender la solicitud de acceso a la información </w:t>
      </w:r>
      <w:r w:rsidR="00B22A80" w:rsidRPr="00E6784B">
        <w:rPr>
          <w:rFonts w:eastAsia="Palatino Linotype"/>
        </w:rPr>
        <w:t xml:space="preserve">realizada por </w:t>
      </w:r>
      <w:r w:rsidR="00B22A80" w:rsidRPr="00E6784B">
        <w:rPr>
          <w:rFonts w:eastAsia="Palatino Linotype"/>
          <w:b/>
          <w:bCs/>
        </w:rPr>
        <w:t>LA PARTE RECURRENTE</w:t>
      </w:r>
      <w:r w:rsidR="00331F35" w:rsidRPr="00E6784B">
        <w:rPr>
          <w:rFonts w:eastAsia="Palatino Linotype"/>
        </w:rPr>
        <w:t>.</w:t>
      </w:r>
    </w:p>
    <w:p w14:paraId="1611F147" w14:textId="77777777" w:rsidR="00BD5A7C" w:rsidRPr="00E6784B" w:rsidRDefault="00BD5A7C" w:rsidP="00E6784B">
      <w:pPr>
        <w:rPr>
          <w:rFonts w:eastAsia="Palatino Linotype"/>
        </w:rPr>
      </w:pPr>
    </w:p>
    <w:p w14:paraId="51A0E8B4" w14:textId="676DCA47" w:rsidR="00664420" w:rsidRPr="00E6784B" w:rsidRDefault="00C71CEF" w:rsidP="00E6784B">
      <w:pPr>
        <w:pStyle w:val="Ttulo3"/>
        <w:rPr>
          <w:rFonts w:eastAsia="Calibri"/>
          <w:lang w:eastAsia="es-ES_tradnl"/>
        </w:rPr>
      </w:pPr>
      <w:bookmarkStart w:id="26" w:name="_Toc199971962"/>
      <w:r w:rsidRPr="00E6784B">
        <w:rPr>
          <w:rFonts w:eastAsia="Calibri"/>
          <w:lang w:eastAsia="es-ES_tradnl"/>
        </w:rPr>
        <w:t>b)</w:t>
      </w:r>
      <w:r w:rsidR="00A53315" w:rsidRPr="00E6784B">
        <w:rPr>
          <w:rFonts w:eastAsia="Calibri"/>
          <w:lang w:eastAsia="es-ES_tradnl"/>
        </w:rPr>
        <w:t xml:space="preserve"> </w:t>
      </w:r>
      <w:r w:rsidR="00A21A20" w:rsidRPr="00E6784B">
        <w:rPr>
          <w:rFonts w:eastAsia="Calibri"/>
          <w:lang w:eastAsia="es-ES_tradnl"/>
        </w:rPr>
        <w:t>Controversia a resolver</w:t>
      </w:r>
      <w:bookmarkEnd w:id="26"/>
    </w:p>
    <w:p w14:paraId="5DAE2A65" w14:textId="6362591A" w:rsidR="00664420" w:rsidRPr="00E6784B" w:rsidRDefault="00664420" w:rsidP="00E6784B">
      <w:pPr>
        <w:rPr>
          <w:rFonts w:eastAsia="Calibri"/>
          <w:lang w:eastAsia="es-ES_tradnl"/>
        </w:rPr>
      </w:pPr>
      <w:r w:rsidRPr="00E6784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6784B">
        <w:rPr>
          <w:rFonts w:eastAsia="Calibri"/>
          <w:b/>
          <w:bCs/>
          <w:lang w:eastAsia="es-ES_tradnl"/>
        </w:rPr>
        <w:t>LA PARTE RECURRENTE</w:t>
      </w:r>
      <w:r w:rsidR="00933735" w:rsidRPr="00E6784B">
        <w:rPr>
          <w:rFonts w:eastAsia="Calibri"/>
          <w:lang w:eastAsia="es-ES_tradnl"/>
        </w:rPr>
        <w:t xml:space="preserve"> solicitó del Instituto de Capacitación y Adiestramiento para el Trabajo Industrial (ICATI) de Valle de Bravo, México.</w:t>
      </w:r>
    </w:p>
    <w:p w14:paraId="7D9D559B" w14:textId="77777777" w:rsidR="00664420" w:rsidRPr="00E6784B" w:rsidRDefault="00664420" w:rsidP="00E6784B">
      <w:pPr>
        <w:tabs>
          <w:tab w:val="left" w:pos="4962"/>
        </w:tabs>
        <w:contextualSpacing/>
        <w:rPr>
          <w:rFonts w:eastAsia="Calibri" w:cs="Tahoma"/>
          <w:iCs/>
          <w:szCs w:val="22"/>
          <w:lang w:eastAsia="es-ES_tradnl"/>
        </w:rPr>
      </w:pPr>
    </w:p>
    <w:p w14:paraId="0F089524" w14:textId="78543C1A" w:rsidR="00E5724C" w:rsidRPr="00E6784B" w:rsidRDefault="00E5724C" w:rsidP="00E6784B">
      <w:pPr>
        <w:tabs>
          <w:tab w:val="left" w:pos="4962"/>
        </w:tabs>
        <w:rPr>
          <w:rFonts w:cs="Tahoma"/>
          <w:bCs/>
          <w:iCs/>
          <w:szCs w:val="22"/>
        </w:rPr>
      </w:pPr>
      <w:r w:rsidRPr="00E6784B">
        <w:rPr>
          <w:rFonts w:cs="Tahoma"/>
          <w:bCs/>
          <w:iCs/>
          <w:szCs w:val="22"/>
        </w:rPr>
        <w:t xml:space="preserve">1) FUNCIONES. </w:t>
      </w:r>
    </w:p>
    <w:p w14:paraId="6DD7DBB5" w14:textId="2FA91D12" w:rsidR="00E5724C" w:rsidRPr="00E6784B" w:rsidRDefault="00933735" w:rsidP="00E6784B">
      <w:pPr>
        <w:tabs>
          <w:tab w:val="left" w:pos="4962"/>
        </w:tabs>
        <w:rPr>
          <w:rFonts w:cs="Tahoma"/>
          <w:bCs/>
          <w:iCs/>
          <w:szCs w:val="22"/>
        </w:rPr>
      </w:pPr>
      <w:r w:rsidRPr="00E6784B">
        <w:rPr>
          <w:rFonts w:cs="Tahoma"/>
          <w:bCs/>
          <w:iCs/>
          <w:szCs w:val="22"/>
        </w:rPr>
        <w:t xml:space="preserve">2) </w:t>
      </w:r>
      <w:r w:rsidR="00E5724C" w:rsidRPr="00E6784B">
        <w:rPr>
          <w:rFonts w:cs="Tahoma"/>
          <w:bCs/>
          <w:iCs/>
          <w:szCs w:val="22"/>
        </w:rPr>
        <w:t xml:space="preserve">DOMICILIO </w:t>
      </w:r>
    </w:p>
    <w:p w14:paraId="68B4B65C" w14:textId="05CD19A7" w:rsidR="00E5724C" w:rsidRPr="00E6784B" w:rsidRDefault="00E5724C" w:rsidP="00E6784B">
      <w:pPr>
        <w:tabs>
          <w:tab w:val="left" w:pos="4962"/>
        </w:tabs>
        <w:rPr>
          <w:rFonts w:cs="Tahoma"/>
          <w:bCs/>
          <w:iCs/>
          <w:szCs w:val="22"/>
        </w:rPr>
      </w:pPr>
      <w:r w:rsidRPr="00E6784B">
        <w:rPr>
          <w:rFonts w:cs="Tahoma"/>
          <w:bCs/>
          <w:iCs/>
          <w:szCs w:val="22"/>
        </w:rPr>
        <w:t xml:space="preserve">3) FOTOGRAFIAS EXTERIORES E INTERIORES. </w:t>
      </w:r>
    </w:p>
    <w:p w14:paraId="544AC116" w14:textId="285DD48A" w:rsidR="00E5724C" w:rsidRPr="00E6784B" w:rsidRDefault="00E5724C" w:rsidP="00E6784B">
      <w:pPr>
        <w:tabs>
          <w:tab w:val="left" w:pos="4962"/>
        </w:tabs>
        <w:rPr>
          <w:rFonts w:cs="Tahoma"/>
          <w:bCs/>
          <w:iCs/>
          <w:szCs w:val="22"/>
        </w:rPr>
      </w:pPr>
      <w:r w:rsidRPr="00E6784B">
        <w:rPr>
          <w:rFonts w:cs="Tahoma"/>
          <w:bCs/>
          <w:iCs/>
          <w:szCs w:val="22"/>
        </w:rPr>
        <w:t xml:space="preserve">4) LAS FOTOGRAFIAS DE LAS OFICINAS INTERIORES. </w:t>
      </w:r>
    </w:p>
    <w:p w14:paraId="34632F4B" w14:textId="77777777" w:rsidR="00E5724C" w:rsidRPr="00E6784B" w:rsidRDefault="00E5724C" w:rsidP="00E6784B">
      <w:pPr>
        <w:tabs>
          <w:tab w:val="left" w:pos="4962"/>
        </w:tabs>
        <w:rPr>
          <w:rFonts w:cs="Tahoma"/>
          <w:bCs/>
          <w:iCs/>
          <w:szCs w:val="22"/>
        </w:rPr>
      </w:pPr>
      <w:r w:rsidRPr="00E6784B">
        <w:rPr>
          <w:rFonts w:cs="Tahoma"/>
          <w:bCs/>
          <w:iCs/>
          <w:szCs w:val="22"/>
        </w:rPr>
        <w:lastRenderedPageBreak/>
        <w:t xml:space="preserve">5) EL ORGANIGRAMA DEL PERSONAL ADSCRITO AL ÁREA DE LA UNIDAD DE INFORMACIÓN, PLANEACIÓN, PROGRAMACIÓN Y EVALUACIÓN DEL AYUNTAMIENTO DE VALLE DE BRAVO, MÉXICO. </w:t>
      </w:r>
    </w:p>
    <w:p w14:paraId="702CBDEC" w14:textId="12C4CB14" w:rsidR="00E5724C" w:rsidRPr="00E6784B" w:rsidRDefault="00E5724C" w:rsidP="00E6784B">
      <w:pPr>
        <w:tabs>
          <w:tab w:val="left" w:pos="4962"/>
        </w:tabs>
        <w:rPr>
          <w:rFonts w:cs="Tahoma"/>
          <w:bCs/>
          <w:iCs/>
          <w:szCs w:val="22"/>
        </w:rPr>
      </w:pPr>
      <w:r w:rsidRPr="00E6784B">
        <w:rPr>
          <w:rFonts w:cs="Tahoma"/>
          <w:bCs/>
          <w:iCs/>
          <w:szCs w:val="22"/>
        </w:rPr>
        <w:t xml:space="preserve">6) LISTA DE TODOS LOS SERVIDORES PUBLICOS QUE </w:t>
      </w:r>
      <w:r w:rsidR="00933735" w:rsidRPr="00E6784B">
        <w:rPr>
          <w:rFonts w:cs="Tahoma"/>
          <w:bCs/>
          <w:iCs/>
          <w:szCs w:val="22"/>
        </w:rPr>
        <w:t>LO INTEGRAN.</w:t>
      </w:r>
    </w:p>
    <w:p w14:paraId="47F1EEA8" w14:textId="3AA53BD5" w:rsidR="00E5724C" w:rsidRPr="00E6784B" w:rsidRDefault="00E5724C" w:rsidP="00E6784B">
      <w:pPr>
        <w:tabs>
          <w:tab w:val="left" w:pos="4962"/>
        </w:tabs>
        <w:rPr>
          <w:rFonts w:cs="Tahoma"/>
          <w:bCs/>
          <w:iCs/>
          <w:szCs w:val="22"/>
        </w:rPr>
      </w:pPr>
      <w:r w:rsidRPr="00E6784B">
        <w:rPr>
          <w:rFonts w:cs="Tahoma"/>
          <w:bCs/>
          <w:iCs/>
          <w:szCs w:val="22"/>
        </w:rPr>
        <w:t xml:space="preserve">7) LAS FUNCIONES GENERALES Y ESPECIFICAS DE LOS SERVIDORES PUBLICOS QUE </w:t>
      </w:r>
      <w:r w:rsidR="00933735" w:rsidRPr="00E6784B">
        <w:rPr>
          <w:rFonts w:cs="Tahoma"/>
          <w:bCs/>
          <w:iCs/>
          <w:szCs w:val="22"/>
        </w:rPr>
        <w:t xml:space="preserve">LO </w:t>
      </w:r>
      <w:r w:rsidRPr="00E6784B">
        <w:rPr>
          <w:rFonts w:cs="Tahoma"/>
          <w:bCs/>
          <w:iCs/>
          <w:szCs w:val="22"/>
        </w:rPr>
        <w:t xml:space="preserve">INTEGRAN. </w:t>
      </w:r>
    </w:p>
    <w:p w14:paraId="4A413507" w14:textId="3A0C913F" w:rsidR="00E5724C" w:rsidRPr="00E6784B" w:rsidRDefault="00E5724C" w:rsidP="00E6784B">
      <w:pPr>
        <w:tabs>
          <w:tab w:val="left" w:pos="4962"/>
        </w:tabs>
        <w:rPr>
          <w:rFonts w:cs="Tahoma"/>
          <w:bCs/>
          <w:iCs/>
          <w:szCs w:val="22"/>
        </w:rPr>
      </w:pPr>
      <w:r w:rsidRPr="00E6784B">
        <w:rPr>
          <w:rFonts w:cs="Tahoma"/>
          <w:bCs/>
          <w:iCs/>
          <w:szCs w:val="22"/>
        </w:rPr>
        <w:t>8) GAFETE CON FOTOGRAFIA DE LOS SERVIDORES PUBLICOS QUE</w:t>
      </w:r>
      <w:r w:rsidR="00933735" w:rsidRPr="00E6784B">
        <w:rPr>
          <w:rFonts w:cs="Tahoma"/>
          <w:bCs/>
          <w:iCs/>
          <w:szCs w:val="22"/>
        </w:rPr>
        <w:t xml:space="preserve"> LO</w:t>
      </w:r>
      <w:r w:rsidRPr="00E6784B">
        <w:rPr>
          <w:rFonts w:cs="Tahoma"/>
          <w:bCs/>
          <w:iCs/>
          <w:szCs w:val="22"/>
        </w:rPr>
        <w:t xml:space="preserve"> INTEGRAN</w:t>
      </w:r>
      <w:r w:rsidR="00933735" w:rsidRPr="00E6784B">
        <w:rPr>
          <w:rFonts w:cs="Tahoma"/>
          <w:bCs/>
          <w:iCs/>
          <w:szCs w:val="22"/>
        </w:rPr>
        <w:t>.</w:t>
      </w:r>
    </w:p>
    <w:p w14:paraId="79AB82C6" w14:textId="5E0A2D91" w:rsidR="00E5724C" w:rsidRPr="00E6784B" w:rsidRDefault="00E5724C" w:rsidP="00E6784B">
      <w:pPr>
        <w:tabs>
          <w:tab w:val="left" w:pos="4962"/>
        </w:tabs>
        <w:rPr>
          <w:rFonts w:cs="Tahoma"/>
          <w:bCs/>
          <w:iCs/>
          <w:szCs w:val="22"/>
        </w:rPr>
      </w:pPr>
      <w:r w:rsidRPr="00E6784B">
        <w:rPr>
          <w:rFonts w:cs="Tahoma"/>
          <w:bCs/>
          <w:iCs/>
          <w:szCs w:val="22"/>
        </w:rPr>
        <w:t xml:space="preserve">9) LOS HORARIOS DE FUNCIONAMIENTO Y ATENCION AL </w:t>
      </w:r>
      <w:r w:rsidR="00933735" w:rsidRPr="00E6784B">
        <w:rPr>
          <w:rFonts w:cs="Tahoma"/>
          <w:bCs/>
          <w:iCs/>
          <w:szCs w:val="22"/>
        </w:rPr>
        <w:t>PÚBLICO</w:t>
      </w:r>
      <w:r w:rsidRPr="00E6784B">
        <w:rPr>
          <w:rFonts w:cs="Tahoma"/>
          <w:bCs/>
          <w:iCs/>
          <w:szCs w:val="22"/>
        </w:rPr>
        <w:t xml:space="preserve">. </w:t>
      </w:r>
    </w:p>
    <w:p w14:paraId="71E60D4E" w14:textId="4AE64F37" w:rsidR="00E5724C" w:rsidRPr="00E6784B" w:rsidRDefault="00E5724C" w:rsidP="00E6784B">
      <w:pPr>
        <w:tabs>
          <w:tab w:val="left" w:pos="4962"/>
        </w:tabs>
        <w:rPr>
          <w:rFonts w:cs="Tahoma"/>
          <w:bCs/>
          <w:iCs/>
          <w:szCs w:val="22"/>
        </w:rPr>
      </w:pPr>
      <w:r w:rsidRPr="00E6784B">
        <w:rPr>
          <w:rFonts w:cs="Tahoma"/>
          <w:bCs/>
          <w:iCs/>
          <w:szCs w:val="22"/>
        </w:rPr>
        <w:t xml:space="preserve">10) CODIGO DE ETICA. </w:t>
      </w:r>
    </w:p>
    <w:p w14:paraId="1439530E" w14:textId="47830A10" w:rsidR="00E5724C" w:rsidRPr="00E6784B" w:rsidRDefault="00E5724C" w:rsidP="00E6784B">
      <w:pPr>
        <w:tabs>
          <w:tab w:val="left" w:pos="4962"/>
        </w:tabs>
        <w:rPr>
          <w:rFonts w:cs="Tahoma"/>
          <w:bCs/>
          <w:iCs/>
          <w:szCs w:val="22"/>
        </w:rPr>
      </w:pPr>
      <w:r w:rsidRPr="00E6784B">
        <w:rPr>
          <w:rFonts w:cs="Tahoma"/>
          <w:bCs/>
          <w:iCs/>
          <w:szCs w:val="22"/>
        </w:rPr>
        <w:t xml:space="preserve">11) EL MANUAL DE ORGANIZACION. </w:t>
      </w:r>
    </w:p>
    <w:p w14:paraId="0EFAE213" w14:textId="7F635653" w:rsidR="00933735" w:rsidRPr="00E6784B" w:rsidRDefault="00E5724C" w:rsidP="00E6784B">
      <w:pPr>
        <w:tabs>
          <w:tab w:val="left" w:pos="4962"/>
        </w:tabs>
        <w:rPr>
          <w:rFonts w:cs="Tahoma"/>
          <w:bCs/>
          <w:iCs/>
          <w:szCs w:val="22"/>
        </w:rPr>
      </w:pPr>
      <w:r w:rsidRPr="00E6784B">
        <w:rPr>
          <w:rFonts w:cs="Tahoma"/>
          <w:bCs/>
          <w:iCs/>
          <w:szCs w:val="22"/>
        </w:rPr>
        <w:t>12) EL MANUAL DE PROCEDIMIENTOS</w:t>
      </w:r>
      <w:r w:rsidR="00933735" w:rsidRPr="00E6784B">
        <w:rPr>
          <w:rFonts w:cs="Tahoma"/>
          <w:bCs/>
          <w:iCs/>
          <w:szCs w:val="22"/>
        </w:rPr>
        <w:t>.</w:t>
      </w:r>
      <w:r w:rsidRPr="00E6784B">
        <w:rPr>
          <w:rFonts w:cs="Tahoma"/>
          <w:bCs/>
          <w:iCs/>
          <w:szCs w:val="22"/>
        </w:rPr>
        <w:t xml:space="preserve"> </w:t>
      </w:r>
    </w:p>
    <w:p w14:paraId="4AB49891" w14:textId="7C1536B7" w:rsidR="00933735" w:rsidRPr="00E6784B" w:rsidRDefault="00933735" w:rsidP="00E6784B">
      <w:pPr>
        <w:tabs>
          <w:tab w:val="left" w:pos="4962"/>
        </w:tabs>
        <w:rPr>
          <w:rFonts w:cs="Tahoma"/>
          <w:bCs/>
          <w:iCs/>
          <w:szCs w:val="22"/>
        </w:rPr>
      </w:pPr>
      <w:r w:rsidRPr="00E6784B">
        <w:rPr>
          <w:rFonts w:cs="Tahoma"/>
          <w:bCs/>
          <w:iCs/>
          <w:szCs w:val="22"/>
        </w:rPr>
        <w:t>13) EL REGLAMENTO INTERNO.</w:t>
      </w:r>
    </w:p>
    <w:p w14:paraId="06038336" w14:textId="77777777" w:rsidR="00933735" w:rsidRPr="00E6784B" w:rsidRDefault="00E5724C" w:rsidP="00E6784B">
      <w:pPr>
        <w:tabs>
          <w:tab w:val="left" w:pos="4962"/>
        </w:tabs>
        <w:rPr>
          <w:rFonts w:cs="Tahoma"/>
          <w:bCs/>
          <w:iCs/>
          <w:szCs w:val="22"/>
        </w:rPr>
      </w:pPr>
      <w:r w:rsidRPr="00E6784B">
        <w:rPr>
          <w:rFonts w:cs="Tahoma"/>
          <w:bCs/>
          <w:iCs/>
          <w:szCs w:val="22"/>
        </w:rPr>
        <w:t xml:space="preserve">14) LOS SALARIOS Y REMUNERACIONES ANUALES DE TODO EL PERSONAL QUE LABORA JUNTO CON SUS PRESTACIONES DE LEY. </w:t>
      </w:r>
    </w:p>
    <w:p w14:paraId="652EBFD1" w14:textId="17276E26" w:rsidR="005D5A50" w:rsidRPr="00E6784B" w:rsidRDefault="005D5A50" w:rsidP="00E6784B">
      <w:pPr>
        <w:tabs>
          <w:tab w:val="left" w:pos="4962"/>
        </w:tabs>
        <w:rPr>
          <w:rFonts w:cs="Tahoma"/>
          <w:bCs/>
          <w:iCs/>
          <w:szCs w:val="22"/>
        </w:rPr>
      </w:pPr>
    </w:p>
    <w:p w14:paraId="15376B08" w14:textId="0A11CE4D" w:rsidR="00166A51" w:rsidRPr="00E6784B" w:rsidRDefault="00664420" w:rsidP="00E6784B">
      <w:pPr>
        <w:autoSpaceDE w:val="0"/>
        <w:autoSpaceDN w:val="0"/>
        <w:adjustRightInd w:val="0"/>
        <w:ind w:right="-28"/>
        <w:rPr>
          <w:rFonts w:cs="Tahoma"/>
          <w:szCs w:val="22"/>
          <w:lang w:val="es-ES"/>
        </w:rPr>
      </w:pPr>
      <w:r w:rsidRPr="00E6784B">
        <w:rPr>
          <w:rFonts w:eastAsiaTheme="minorHAnsi" w:cs="Tahoma"/>
          <w:bCs/>
          <w:iCs/>
          <w:szCs w:val="22"/>
          <w:lang w:eastAsia="en-US"/>
        </w:rPr>
        <w:t xml:space="preserve">En respuesta, </w:t>
      </w:r>
      <w:r w:rsidR="005D5A50" w:rsidRPr="00E6784B">
        <w:rPr>
          <w:rFonts w:eastAsiaTheme="minorHAnsi" w:cs="Tahoma"/>
          <w:b/>
          <w:iCs/>
          <w:szCs w:val="22"/>
          <w:lang w:eastAsia="en-US"/>
        </w:rPr>
        <w:t>EL SUJETO OBLIGADO</w:t>
      </w:r>
      <w:r w:rsidRPr="00E6784B">
        <w:rPr>
          <w:rFonts w:eastAsiaTheme="minorHAnsi" w:cs="Tahoma"/>
          <w:bCs/>
          <w:iCs/>
          <w:szCs w:val="22"/>
          <w:lang w:eastAsia="en-US"/>
        </w:rPr>
        <w:t xml:space="preserve"> se pronunció por conducto de</w:t>
      </w:r>
      <w:r w:rsidR="00166A51" w:rsidRPr="00E6784B">
        <w:rPr>
          <w:rFonts w:eastAsiaTheme="minorHAnsi" w:cs="Tahoma"/>
          <w:bCs/>
          <w:iCs/>
          <w:szCs w:val="22"/>
          <w:lang w:eastAsia="en-US"/>
        </w:rPr>
        <w:t xml:space="preserve"> </w:t>
      </w:r>
      <w:r w:rsidR="00166A51" w:rsidRPr="00E6784B">
        <w:rPr>
          <w:rFonts w:cs="Tahoma"/>
          <w:szCs w:val="22"/>
          <w:lang w:val="es-ES"/>
        </w:rPr>
        <w:t>la Unidad de Información Planeación, Programación y Evaluación y Responsable de las Funciones de la Unidad de Transparencia mediante el cual remite la misión visión objetivos y funciones del instituto e informa que no cuentan con ningún instituto en valle de bravo.</w:t>
      </w:r>
    </w:p>
    <w:p w14:paraId="78248041" w14:textId="77777777" w:rsidR="005B18AF" w:rsidRPr="00E6784B" w:rsidRDefault="005B18AF" w:rsidP="00E6784B">
      <w:pPr>
        <w:tabs>
          <w:tab w:val="left" w:pos="4962"/>
        </w:tabs>
        <w:contextualSpacing/>
        <w:rPr>
          <w:rFonts w:eastAsiaTheme="minorHAnsi" w:cs="Tahoma"/>
          <w:bCs/>
          <w:iCs/>
          <w:szCs w:val="22"/>
          <w:lang w:eastAsia="en-US"/>
        </w:rPr>
      </w:pPr>
    </w:p>
    <w:p w14:paraId="31DD81D7" w14:textId="6FF933E2" w:rsidR="00664420" w:rsidRPr="00E6784B" w:rsidRDefault="00CF7586" w:rsidP="00E6784B">
      <w:pPr>
        <w:tabs>
          <w:tab w:val="left" w:pos="4962"/>
        </w:tabs>
        <w:contextualSpacing/>
        <w:rPr>
          <w:rFonts w:eastAsiaTheme="minorHAnsi" w:cs="Tahoma"/>
          <w:bCs/>
          <w:iCs/>
          <w:szCs w:val="22"/>
          <w:lang w:eastAsia="en-US"/>
        </w:rPr>
      </w:pPr>
      <w:r w:rsidRPr="00E6784B">
        <w:rPr>
          <w:rFonts w:eastAsiaTheme="minorHAnsi" w:cs="Tahoma"/>
          <w:bCs/>
          <w:iCs/>
          <w:szCs w:val="22"/>
          <w:lang w:eastAsia="en-US"/>
        </w:rPr>
        <w:t xml:space="preserve">Ahora bien, en la interposición del presente recurso </w:t>
      </w:r>
      <w:r w:rsidRPr="00E6784B">
        <w:rPr>
          <w:rFonts w:eastAsiaTheme="minorHAnsi" w:cs="Tahoma"/>
          <w:b/>
          <w:iCs/>
          <w:szCs w:val="22"/>
          <w:lang w:eastAsia="en-US"/>
        </w:rPr>
        <w:t>LA PARTE RECURRENTE</w:t>
      </w:r>
      <w:r w:rsidR="00664420" w:rsidRPr="00E6784B">
        <w:rPr>
          <w:rFonts w:eastAsiaTheme="minorHAnsi" w:cs="Tahoma"/>
          <w:bCs/>
          <w:iCs/>
          <w:szCs w:val="22"/>
          <w:lang w:eastAsia="en-US"/>
        </w:rPr>
        <w:t xml:space="preserve"> se inconformó de </w:t>
      </w:r>
      <w:r w:rsidR="00635308" w:rsidRPr="00E6784B">
        <w:rPr>
          <w:rFonts w:eastAsiaTheme="minorHAnsi" w:cs="Tahoma"/>
          <w:bCs/>
          <w:iCs/>
          <w:szCs w:val="22"/>
          <w:lang w:eastAsia="en-US"/>
        </w:rPr>
        <w:t>que se le negó la información solicitada</w:t>
      </w:r>
      <w:r w:rsidRPr="00E6784B">
        <w:rPr>
          <w:rFonts w:eastAsiaTheme="minorHAnsi" w:cs="Tahoma"/>
          <w:bCs/>
          <w:iCs/>
          <w:szCs w:val="22"/>
          <w:lang w:eastAsia="en-US"/>
        </w:rPr>
        <w:t xml:space="preserve"> por lo cual, el estudio </w:t>
      </w:r>
      <w:r w:rsidR="005B18AF" w:rsidRPr="00E6784B">
        <w:rPr>
          <w:rFonts w:eastAsiaTheme="minorHAnsi" w:cs="Tahoma"/>
          <w:bCs/>
          <w:iCs/>
          <w:szCs w:val="22"/>
          <w:lang w:eastAsia="en-US"/>
        </w:rPr>
        <w:t xml:space="preserve">se centrará en determinar si </w:t>
      </w:r>
      <w:r w:rsidR="00635308" w:rsidRPr="00E6784B">
        <w:rPr>
          <w:rFonts w:eastAsiaTheme="minorHAnsi" w:cs="Tahoma"/>
          <w:bCs/>
          <w:iCs/>
          <w:szCs w:val="22"/>
          <w:lang w:eastAsia="en-US"/>
        </w:rPr>
        <w:t>con la respuesta se colma o no con la pretensión de la parte recurrente</w:t>
      </w:r>
      <w:r w:rsidR="00D2790D" w:rsidRPr="00E6784B">
        <w:rPr>
          <w:rFonts w:eastAsiaTheme="minorHAnsi" w:cs="Tahoma"/>
          <w:bCs/>
          <w:iCs/>
          <w:szCs w:val="22"/>
          <w:lang w:eastAsia="en-US"/>
        </w:rPr>
        <w:t>.</w:t>
      </w:r>
    </w:p>
    <w:p w14:paraId="464866F4" w14:textId="77777777" w:rsidR="00635308" w:rsidRPr="00E6784B" w:rsidRDefault="00635308" w:rsidP="00E6784B">
      <w:pPr>
        <w:tabs>
          <w:tab w:val="left" w:pos="4962"/>
        </w:tabs>
        <w:contextualSpacing/>
        <w:rPr>
          <w:rFonts w:eastAsiaTheme="minorHAnsi" w:cs="Tahoma"/>
          <w:bCs/>
          <w:iCs/>
          <w:szCs w:val="22"/>
          <w:lang w:eastAsia="en-US"/>
        </w:rPr>
      </w:pPr>
    </w:p>
    <w:p w14:paraId="414FD2D5" w14:textId="4408E416" w:rsidR="00664420" w:rsidRPr="00E6784B" w:rsidRDefault="00A21A20" w:rsidP="00E6784B">
      <w:pPr>
        <w:pStyle w:val="Ttulo3"/>
      </w:pPr>
      <w:bookmarkStart w:id="27" w:name="_Toc199971963"/>
      <w:r w:rsidRPr="00E6784B">
        <w:lastRenderedPageBreak/>
        <w:t>c)</w:t>
      </w:r>
      <w:r w:rsidR="00664420" w:rsidRPr="00E6784B">
        <w:t xml:space="preserve"> </w:t>
      </w:r>
      <w:r w:rsidRPr="00E6784B">
        <w:t>Estudio de la controversia</w:t>
      </w:r>
      <w:bookmarkEnd w:id="27"/>
    </w:p>
    <w:p w14:paraId="757FF790" w14:textId="04D9B605" w:rsidR="003606AC" w:rsidRPr="00E6784B" w:rsidRDefault="00CF2D8B" w:rsidP="00E6784B">
      <w:pPr>
        <w:ind w:right="-93"/>
        <w:rPr>
          <w:rFonts w:eastAsia="Palatino Linotype" w:cs="Palatino Linotype"/>
        </w:rPr>
      </w:pPr>
      <w:r w:rsidRPr="00E6784B">
        <w:rPr>
          <w:rFonts w:cs="Tahoma"/>
          <w:bCs/>
          <w:szCs w:val="22"/>
        </w:rPr>
        <w:t xml:space="preserve">Una vez determinada la controversia a resolver, </w:t>
      </w:r>
      <w:r w:rsidR="009D2CB8" w:rsidRPr="00E6784B">
        <w:rPr>
          <w:rFonts w:cs="Tahoma"/>
          <w:bCs/>
          <w:szCs w:val="22"/>
        </w:rPr>
        <w:t xml:space="preserve">en primer término debemos esclarecer que el punto </w:t>
      </w:r>
      <w:r w:rsidR="009D2CB8" w:rsidRPr="00E6784B">
        <w:rPr>
          <w:rFonts w:cs="Tahoma"/>
          <w:bCs/>
          <w:i/>
          <w:szCs w:val="22"/>
        </w:rPr>
        <w:t>“5) EL ORGANIGRAMA DEL PERSONAL ADSCRITO AL ÁREA DE LA UNIDAD DE INFORMACIÓN, PLANEACIÓN, PROGRAMACIÓN Y EVALUACIÓN DEL AYUNTAMIENTO DE VALLE DE BRAVO, MÉXICO.”</w:t>
      </w:r>
      <w:r w:rsidR="003606AC" w:rsidRPr="00E6784B">
        <w:rPr>
          <w:rFonts w:cs="Tahoma"/>
          <w:bCs/>
          <w:i/>
          <w:szCs w:val="22"/>
        </w:rPr>
        <w:t xml:space="preserve"> </w:t>
      </w:r>
      <w:r w:rsidR="003606AC" w:rsidRPr="00E6784B">
        <w:rPr>
          <w:rFonts w:cs="Tahoma"/>
          <w:bCs/>
          <w:szCs w:val="22"/>
        </w:rPr>
        <w:t xml:space="preserve">No es competencia del SUJETO OBLIGADO, por lo que </w:t>
      </w:r>
      <w:r w:rsidR="003606AC" w:rsidRPr="00E6784B">
        <w:rPr>
          <w:rFonts w:eastAsia="Calibri" w:cs="Tahoma"/>
          <w:lang w:val="es-ES_tradnl" w:eastAsia="es-ES_tradnl"/>
        </w:rPr>
        <w:t xml:space="preserve">es viable estudiar el tema de la competencia, al respecto </w:t>
      </w:r>
      <w:r w:rsidR="003606AC" w:rsidRPr="00E6784B">
        <w:rPr>
          <w:rFonts w:eastAsia="Palatino Linotype" w:cs="Palatino Linotype"/>
        </w:rPr>
        <w:t>no pasa desapercibido, lo que establece el artículo 167 primer párrafo de la Ley de Transparencia Local, el cual literalmente señala lo siguiente:</w:t>
      </w:r>
    </w:p>
    <w:p w14:paraId="257C55EE" w14:textId="77777777" w:rsidR="005A47CB" w:rsidRPr="00E6784B" w:rsidRDefault="005A47CB" w:rsidP="00E6784B">
      <w:pPr>
        <w:ind w:right="-93"/>
        <w:rPr>
          <w:rFonts w:cs="Tahoma"/>
          <w:bCs/>
          <w:szCs w:val="22"/>
        </w:rPr>
      </w:pPr>
    </w:p>
    <w:p w14:paraId="49493909" w14:textId="77777777" w:rsidR="003606AC" w:rsidRPr="00E6784B" w:rsidRDefault="003606AC" w:rsidP="00E6784B">
      <w:pPr>
        <w:pStyle w:val="Puesto"/>
      </w:pPr>
      <w:r w:rsidRPr="00E6784B">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191DF380" w14:textId="77777777" w:rsidR="003606AC" w:rsidRPr="00E6784B" w:rsidRDefault="003606AC" w:rsidP="00E6784B">
      <w:pPr>
        <w:pStyle w:val="Puesto"/>
      </w:pPr>
    </w:p>
    <w:p w14:paraId="2D133830" w14:textId="77777777" w:rsidR="003606AC" w:rsidRPr="00E6784B" w:rsidRDefault="003606AC" w:rsidP="00E6784B">
      <w:pPr>
        <w:pStyle w:val="Puesto"/>
        <w:rPr>
          <w:b/>
          <w:u w:val="single"/>
        </w:rPr>
      </w:pPr>
      <w:r w:rsidRPr="00E6784B">
        <w:rPr>
          <w:b/>
          <w:u w:val="single"/>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55F563D" w14:textId="77777777" w:rsidR="003606AC" w:rsidRPr="00E6784B" w:rsidRDefault="003606AC" w:rsidP="00E6784B">
      <w:pPr>
        <w:pStyle w:val="Puesto"/>
      </w:pPr>
    </w:p>
    <w:p w14:paraId="457C42F8" w14:textId="77777777" w:rsidR="003606AC" w:rsidRPr="00E6784B" w:rsidRDefault="003606AC" w:rsidP="00E6784B">
      <w:pPr>
        <w:pStyle w:val="Puesto"/>
      </w:pPr>
      <w:r w:rsidRPr="00E6784B">
        <w:t>Si transcurrido el plazo señalado en el primer párrafo de este artículo, el sujeto obligado no declina la competencia en los términos establecidos, podrá canalizar la solicitud ante el sujeto obligado competente.</w:t>
      </w:r>
    </w:p>
    <w:p w14:paraId="4B21F1A5" w14:textId="77777777" w:rsidR="003606AC" w:rsidRPr="00E6784B" w:rsidRDefault="003606AC" w:rsidP="00E6784B">
      <w:pPr>
        <w:pStyle w:val="Prrafodelista"/>
        <w:widowControl w:val="0"/>
        <w:autoSpaceDE w:val="0"/>
        <w:autoSpaceDN w:val="0"/>
        <w:adjustRightInd w:val="0"/>
        <w:ind w:left="0"/>
        <w:rPr>
          <w:rFonts w:eastAsia="Palatino Linotype" w:cs="Palatino Linotype"/>
        </w:rPr>
      </w:pPr>
      <w:r w:rsidRPr="00E6784B">
        <w:rPr>
          <w:rFonts w:eastAsia="Palatino Linotype" w:cs="Palatino Linotype"/>
        </w:rPr>
        <w:t xml:space="preserve"> </w:t>
      </w:r>
    </w:p>
    <w:p w14:paraId="704020B4" w14:textId="22C9C6EC" w:rsidR="003606AC" w:rsidRPr="00E6784B" w:rsidRDefault="003606AC" w:rsidP="00E6784B">
      <w:pPr>
        <w:pStyle w:val="Prrafodelista"/>
        <w:widowControl w:val="0"/>
        <w:autoSpaceDE w:val="0"/>
        <w:autoSpaceDN w:val="0"/>
        <w:adjustRightInd w:val="0"/>
        <w:ind w:left="0"/>
        <w:rPr>
          <w:rFonts w:eastAsia="Palatino Linotype" w:cs="Palatino Linotype"/>
        </w:rPr>
      </w:pPr>
      <w:r w:rsidRPr="00E6784B">
        <w:rPr>
          <w:rFonts w:eastAsia="Palatino Linotype" w:cs="Palatino Linotype"/>
        </w:rPr>
        <w:t>Así del precepto legal anteriormente citado, se tiene que ante la incompetencia parcial determinada por los SUJETOS OBLIGADOS, dicha autoridades se encuentran constreñidas a hacerlo del conocimiento de los particulares en un periodo no mayor a tres días hábiles seguidos a la recepción de la solicitud de información.</w:t>
      </w:r>
    </w:p>
    <w:p w14:paraId="67338A75" w14:textId="77777777" w:rsidR="003606AC" w:rsidRPr="00E6784B" w:rsidRDefault="003606AC" w:rsidP="00E6784B">
      <w:pPr>
        <w:pStyle w:val="Prrafodelista"/>
        <w:widowControl w:val="0"/>
        <w:autoSpaceDE w:val="0"/>
        <w:autoSpaceDN w:val="0"/>
        <w:adjustRightInd w:val="0"/>
        <w:ind w:left="0"/>
        <w:rPr>
          <w:rFonts w:eastAsia="Palatino Linotype" w:cs="Palatino Linotype"/>
        </w:rPr>
      </w:pPr>
    </w:p>
    <w:p w14:paraId="3F538817" w14:textId="7A505051" w:rsidR="003606AC" w:rsidRPr="00E6784B" w:rsidRDefault="003606AC" w:rsidP="00E6784B">
      <w:pPr>
        <w:pStyle w:val="Prrafodelista"/>
        <w:widowControl w:val="0"/>
        <w:autoSpaceDE w:val="0"/>
        <w:autoSpaceDN w:val="0"/>
        <w:adjustRightInd w:val="0"/>
        <w:ind w:left="0"/>
        <w:rPr>
          <w:rFonts w:eastAsia="Calibri" w:cs="Tahoma"/>
          <w:szCs w:val="22"/>
          <w:lang w:eastAsia="en-US"/>
        </w:rPr>
      </w:pPr>
      <w:r w:rsidRPr="00E6784B">
        <w:rPr>
          <w:rFonts w:eastAsia="Palatino Linotype" w:cs="Palatino Linotype"/>
        </w:rPr>
        <w:lastRenderedPageBreak/>
        <w:t xml:space="preserve">No obstante dicha situación no aconteció pero es evidente la señalada incompetencia al ser información que se pidió del Ayuntamiento de Valle de Bravo quien es un SUJETO OBLIGADO diverso al </w:t>
      </w:r>
      <w:r w:rsidRPr="00E6784B">
        <w:rPr>
          <w:rFonts w:eastAsia="Calibri" w:cs="Tahoma"/>
          <w:szCs w:val="22"/>
          <w:lang w:eastAsia="en-US"/>
        </w:rPr>
        <w:t>Instituto de Capacitación y Adiestramiento para el Trabajo Industrial tal como se muestra en la imagen de referencia:</w:t>
      </w:r>
    </w:p>
    <w:p w14:paraId="76263B58" w14:textId="77777777" w:rsidR="003606AC" w:rsidRPr="00E6784B" w:rsidRDefault="003606AC" w:rsidP="00E6784B">
      <w:pPr>
        <w:pStyle w:val="Prrafodelista"/>
        <w:widowControl w:val="0"/>
        <w:autoSpaceDE w:val="0"/>
        <w:autoSpaceDN w:val="0"/>
        <w:adjustRightInd w:val="0"/>
        <w:ind w:left="0"/>
        <w:rPr>
          <w:rFonts w:eastAsia="Calibri" w:cs="Tahoma"/>
          <w:szCs w:val="22"/>
          <w:lang w:eastAsia="en-US"/>
        </w:rPr>
      </w:pPr>
    </w:p>
    <w:p w14:paraId="33BF8BFE" w14:textId="6B385358" w:rsidR="003606AC" w:rsidRPr="00E6784B" w:rsidRDefault="003606AC" w:rsidP="00E6784B">
      <w:pPr>
        <w:pStyle w:val="Prrafodelista"/>
        <w:widowControl w:val="0"/>
        <w:autoSpaceDE w:val="0"/>
        <w:autoSpaceDN w:val="0"/>
        <w:adjustRightInd w:val="0"/>
        <w:ind w:left="0"/>
        <w:rPr>
          <w:rFonts w:eastAsia="Palatino Linotype" w:cs="Palatino Linotype"/>
        </w:rPr>
      </w:pPr>
      <w:r w:rsidRPr="00E6784B">
        <w:rPr>
          <w:rFonts w:eastAsia="Palatino Linotype" w:cs="Palatino Linotype"/>
          <w:noProof/>
          <w:lang w:eastAsia="es-MX"/>
        </w:rPr>
        <w:drawing>
          <wp:inline distT="0" distB="0" distL="0" distR="0" wp14:anchorId="6AE24A5B" wp14:editId="1086BB6A">
            <wp:extent cx="5742940" cy="16871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87195"/>
                    </a:xfrm>
                    <a:prstGeom prst="rect">
                      <a:avLst/>
                    </a:prstGeom>
                  </pic:spPr>
                </pic:pic>
              </a:graphicData>
            </a:graphic>
          </wp:inline>
        </w:drawing>
      </w:r>
    </w:p>
    <w:p w14:paraId="0298AF2E" w14:textId="77777777" w:rsidR="003606AC" w:rsidRPr="00E6784B" w:rsidRDefault="003606AC" w:rsidP="00E6784B">
      <w:pPr>
        <w:pStyle w:val="Prrafodelista"/>
        <w:widowControl w:val="0"/>
        <w:autoSpaceDE w:val="0"/>
        <w:autoSpaceDN w:val="0"/>
        <w:adjustRightInd w:val="0"/>
        <w:ind w:left="0"/>
        <w:rPr>
          <w:rFonts w:eastAsia="Palatino Linotype" w:cs="Palatino Linotype"/>
        </w:rPr>
      </w:pPr>
    </w:p>
    <w:p w14:paraId="36851C80" w14:textId="2AEE7AE1" w:rsidR="003606AC" w:rsidRPr="00E6784B" w:rsidRDefault="003606AC" w:rsidP="00E6784B">
      <w:pPr>
        <w:pBdr>
          <w:top w:val="nil"/>
          <w:left w:val="nil"/>
          <w:bottom w:val="nil"/>
          <w:right w:val="nil"/>
          <w:between w:val="nil"/>
        </w:pBdr>
        <w:ind w:right="51"/>
        <w:rPr>
          <w:rFonts w:eastAsia="Palatino Linotype" w:cs="Palatino Linotype"/>
        </w:rPr>
      </w:pPr>
      <w:r w:rsidRPr="00E6784B">
        <w:rPr>
          <w:rFonts w:eastAsia="Palatino Linotype" w:cs="Palatino Linotype"/>
        </w:rPr>
        <w:t>Aunado a lo anterior, 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2BA33B76" w14:textId="77777777" w:rsidR="003606AC" w:rsidRPr="00E6784B" w:rsidRDefault="003606AC" w:rsidP="00E6784B">
      <w:pPr>
        <w:pBdr>
          <w:top w:val="nil"/>
          <w:left w:val="nil"/>
          <w:bottom w:val="nil"/>
          <w:right w:val="nil"/>
          <w:between w:val="nil"/>
        </w:pBdr>
        <w:tabs>
          <w:tab w:val="left" w:pos="567"/>
          <w:tab w:val="left" w:pos="851"/>
        </w:tabs>
        <w:spacing w:before="240" w:after="240" w:line="276" w:lineRule="auto"/>
        <w:ind w:left="284" w:right="49"/>
        <w:rPr>
          <w:rFonts w:eastAsia="Palatino Linotype" w:cs="Palatino Linotype"/>
        </w:rPr>
      </w:pPr>
      <w:r w:rsidRPr="00E6784B">
        <w:rPr>
          <w:rFonts w:eastAsia="Palatino Linotype" w:cs="Palatino Linotype"/>
        </w:rPr>
        <w:t>•</w:t>
      </w:r>
      <w:r w:rsidRPr="00E6784B">
        <w:rPr>
          <w:rFonts w:eastAsia="Palatino Linotype" w:cs="Palatino Linotype"/>
        </w:rPr>
        <w:tab/>
        <w:t>Competencia: La capacidad de una autoridad para conocer sobre una materia o asunto.</w:t>
      </w:r>
    </w:p>
    <w:p w14:paraId="302CE9FF" w14:textId="77777777" w:rsidR="003606AC" w:rsidRPr="00E6784B" w:rsidRDefault="003606AC" w:rsidP="00E6784B">
      <w:pPr>
        <w:pBdr>
          <w:top w:val="nil"/>
          <w:left w:val="nil"/>
          <w:bottom w:val="nil"/>
          <w:right w:val="nil"/>
          <w:between w:val="nil"/>
        </w:pBdr>
        <w:tabs>
          <w:tab w:val="left" w:pos="567"/>
          <w:tab w:val="left" w:pos="851"/>
        </w:tabs>
        <w:spacing w:before="240" w:after="240" w:line="276" w:lineRule="auto"/>
        <w:ind w:left="284" w:right="49"/>
        <w:rPr>
          <w:rFonts w:eastAsia="Palatino Linotype" w:cs="Palatino Linotype"/>
        </w:rPr>
      </w:pPr>
      <w:r w:rsidRPr="00E6784B">
        <w:rPr>
          <w:rFonts w:eastAsia="Palatino Linotype" w:cs="Palatino Linotype"/>
        </w:rPr>
        <w:t>•</w:t>
      </w:r>
      <w:r w:rsidRPr="00E6784B">
        <w:rPr>
          <w:rFonts w:eastAsia="Palatino Linotype" w:cs="Palatino Linotype"/>
        </w:rPr>
        <w:tab/>
        <w:t>Incompetencia: Falta de Competencia.</w:t>
      </w:r>
    </w:p>
    <w:p w14:paraId="4619A418" w14:textId="77777777" w:rsidR="003606AC" w:rsidRPr="00E6784B" w:rsidRDefault="003606AC" w:rsidP="00E6784B">
      <w:pPr>
        <w:pBdr>
          <w:top w:val="nil"/>
          <w:left w:val="nil"/>
          <w:bottom w:val="nil"/>
          <w:right w:val="nil"/>
          <w:between w:val="nil"/>
        </w:pBdr>
        <w:tabs>
          <w:tab w:val="left" w:pos="567"/>
          <w:tab w:val="left" w:pos="851"/>
        </w:tabs>
        <w:spacing w:before="240"/>
        <w:ind w:left="284" w:right="49"/>
        <w:rPr>
          <w:rFonts w:eastAsia="Palatino Linotype" w:cs="Palatino Linotype"/>
        </w:rPr>
      </w:pPr>
    </w:p>
    <w:p w14:paraId="60B8F8FE" w14:textId="77777777" w:rsidR="003606AC" w:rsidRPr="00E6784B" w:rsidRDefault="003606AC" w:rsidP="00E6784B">
      <w:pPr>
        <w:pBdr>
          <w:top w:val="nil"/>
          <w:left w:val="nil"/>
          <w:bottom w:val="nil"/>
          <w:right w:val="nil"/>
          <w:between w:val="nil"/>
        </w:pBdr>
        <w:ind w:right="49"/>
        <w:rPr>
          <w:rFonts w:eastAsia="Palatino Linotype" w:cs="Palatino Linotype"/>
        </w:rPr>
      </w:pPr>
      <w:r w:rsidRPr="00E6784B">
        <w:rPr>
          <w:rFonts w:eastAsia="Palatino Linotype" w:cs="Palatino Linotype"/>
        </w:rPr>
        <w:t xml:space="preserve">Por lo que, la incompetencia radica en la incapacidad de una autoridad para conocer de un tema o asunto; en el mismo sentido, conviene traer a cuenta tesis aislada número III.2o.P.11 </w:t>
      </w:r>
      <w:r w:rsidRPr="00E6784B">
        <w:rPr>
          <w:rFonts w:eastAsia="Palatino Linotype" w:cs="Palatino Linotype"/>
        </w:rPr>
        <w:lastRenderedPageBreak/>
        <w:t xml:space="preserve">K, publicada en el Semanario Judicial de la Federación y su Gaceta, Novena Época, Tomo XV, Mayo de 2002, Pág. 1243, ya que precisa lo siguiente: </w:t>
      </w:r>
    </w:p>
    <w:p w14:paraId="33352508" w14:textId="77777777" w:rsidR="003606AC" w:rsidRPr="00E6784B" w:rsidRDefault="003606AC" w:rsidP="00E6784B">
      <w:pPr>
        <w:pBdr>
          <w:top w:val="nil"/>
          <w:left w:val="nil"/>
          <w:bottom w:val="nil"/>
          <w:right w:val="nil"/>
          <w:between w:val="nil"/>
        </w:pBdr>
        <w:ind w:right="49"/>
        <w:rPr>
          <w:rFonts w:eastAsia="Palatino Linotype" w:cs="Palatino Linotype"/>
        </w:rPr>
      </w:pPr>
    </w:p>
    <w:p w14:paraId="18DA67F2" w14:textId="77777777" w:rsidR="003606AC" w:rsidRPr="00E6784B" w:rsidRDefault="003606AC" w:rsidP="00E6784B">
      <w:pPr>
        <w:pStyle w:val="Puesto"/>
        <w:rPr>
          <w:rFonts w:eastAsia="Palatino Linotype"/>
        </w:rPr>
      </w:pPr>
      <w:r w:rsidRPr="00E6784B">
        <w:rPr>
          <w:rFonts w:eastAsia="Palatino Linotype"/>
        </w:rPr>
        <w:t>“</w:t>
      </w:r>
      <w:r w:rsidRPr="00E6784B">
        <w:rPr>
          <w:rFonts w:eastAsia="Palatino Linotype"/>
          <w:b/>
        </w:rPr>
        <w:t xml:space="preserve">LEGITIMACIÓN DE FUNCIONARIOS PÚBLICOS. LOS TRIBUNALES DE AMPARO, POR ESTAR VINCULADOS CON EL CONCEPTO DE COMPETENCIA A QUE SE REFIERE EL ARTÍCULO 16 CONSTITUCIONAL, NO PUEDEN CONOCER DE AQUÉLLA. </w:t>
      </w:r>
      <w:r w:rsidRPr="00E6784B">
        <w:rPr>
          <w:rFonts w:eastAsia="Palatino Linotype"/>
        </w:rPr>
        <w:t>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DD25FB2" w14:textId="77777777" w:rsidR="003606AC" w:rsidRPr="00E6784B" w:rsidRDefault="003606AC" w:rsidP="00E6784B">
      <w:pPr>
        <w:pBdr>
          <w:top w:val="nil"/>
          <w:left w:val="nil"/>
          <w:bottom w:val="nil"/>
          <w:right w:val="nil"/>
          <w:between w:val="nil"/>
        </w:pBdr>
        <w:spacing w:before="120" w:after="120"/>
        <w:ind w:left="851" w:right="851"/>
        <w:rPr>
          <w:rFonts w:eastAsia="Palatino Linotype" w:cs="Palatino Linotype"/>
          <w:i/>
        </w:rPr>
      </w:pPr>
    </w:p>
    <w:p w14:paraId="5AADECA8" w14:textId="77777777" w:rsidR="003606AC" w:rsidRPr="00E6784B" w:rsidRDefault="003606AC" w:rsidP="00E6784B">
      <w:pPr>
        <w:pBdr>
          <w:top w:val="nil"/>
          <w:left w:val="nil"/>
          <w:bottom w:val="nil"/>
          <w:right w:val="nil"/>
          <w:between w:val="nil"/>
        </w:pBdr>
        <w:ind w:right="49"/>
        <w:rPr>
          <w:rFonts w:eastAsia="Palatino Linotype" w:cs="Palatino Linotype"/>
        </w:rPr>
      </w:pPr>
      <w:r w:rsidRPr="00E6784B">
        <w:rPr>
          <w:rFonts w:eastAsia="Palatino Linotype" w:cs="Palatino Linotype"/>
        </w:rPr>
        <w:t xml:space="preserve">Asimismo, resulta necesario traer a colación, el Criterio 13/17, emitido por el entonces Instituto Nacional de Transparencia, Acceso a la Información y Protección de Datos Personales, que dispone lo siguiente: </w:t>
      </w:r>
    </w:p>
    <w:p w14:paraId="5D5CBD53" w14:textId="77777777" w:rsidR="003606AC" w:rsidRPr="00E6784B" w:rsidRDefault="003606AC" w:rsidP="00E6784B">
      <w:pPr>
        <w:pBdr>
          <w:top w:val="nil"/>
          <w:left w:val="nil"/>
          <w:bottom w:val="nil"/>
          <w:right w:val="nil"/>
          <w:between w:val="nil"/>
        </w:pBdr>
        <w:ind w:right="49"/>
        <w:rPr>
          <w:rFonts w:eastAsia="Palatino Linotype" w:cs="Palatino Linotype"/>
        </w:rPr>
      </w:pPr>
    </w:p>
    <w:p w14:paraId="49D80041" w14:textId="77777777" w:rsidR="003606AC" w:rsidRPr="00E6784B" w:rsidRDefault="003606AC" w:rsidP="00E6784B">
      <w:pPr>
        <w:pStyle w:val="Puesto"/>
        <w:rPr>
          <w:rFonts w:eastAsia="Palatino Linotype"/>
        </w:rPr>
      </w:pPr>
      <w:r w:rsidRPr="00E6784B">
        <w:rPr>
          <w:rFonts w:eastAsia="Palatino Linotype"/>
          <w:b/>
        </w:rPr>
        <w:t>Incompetencia</w:t>
      </w:r>
      <w:r w:rsidRPr="00E6784B">
        <w:rPr>
          <w:rFonts w:eastAsia="Palatino Linotype"/>
        </w:rPr>
        <w:t>.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EF912F4" w14:textId="77777777" w:rsidR="003606AC" w:rsidRPr="00E6784B" w:rsidRDefault="003606AC" w:rsidP="00E6784B">
      <w:pPr>
        <w:pBdr>
          <w:top w:val="nil"/>
          <w:left w:val="nil"/>
          <w:bottom w:val="nil"/>
          <w:right w:val="nil"/>
          <w:between w:val="nil"/>
        </w:pBdr>
        <w:ind w:left="851" w:right="851"/>
        <w:rPr>
          <w:rFonts w:eastAsia="Palatino Linotype" w:cs="Palatino Linotype"/>
        </w:rPr>
      </w:pPr>
    </w:p>
    <w:p w14:paraId="01E1B5CA" w14:textId="36D807E8" w:rsidR="00EC2AB8" w:rsidRPr="00E6784B" w:rsidRDefault="003606AC" w:rsidP="00E6784B">
      <w:pPr>
        <w:tabs>
          <w:tab w:val="left" w:pos="4962"/>
        </w:tabs>
        <w:rPr>
          <w:rFonts w:cs="Tahoma"/>
          <w:bCs/>
          <w:i/>
          <w:iCs/>
          <w:szCs w:val="22"/>
        </w:rPr>
      </w:pPr>
      <w:r w:rsidRPr="00E6784B">
        <w:rPr>
          <w:rFonts w:eastAsia="Palatino Linotype" w:cs="Palatino Linotype"/>
        </w:rPr>
        <w:t xml:space="preserve">En tal virtud, la incompetencia implica que, de conformidad con las atribuciones conferidas al </w:t>
      </w:r>
      <w:r w:rsidRPr="00E6784B">
        <w:rPr>
          <w:rFonts w:eastAsia="Palatino Linotype" w:cs="Palatino Linotype"/>
          <w:b/>
        </w:rPr>
        <w:t>SUJETO OBLIGADO</w:t>
      </w:r>
      <w:r w:rsidRPr="00E6784B">
        <w:rPr>
          <w:rFonts w:eastAsia="Palatino Linotype" w:cs="Palatino Linotype"/>
        </w:rPr>
        <w:t xml:space="preserve">, no habría razón por la cual éste deba contar con la información solicitada, </w:t>
      </w:r>
      <w:r w:rsidR="00EC2AB8" w:rsidRPr="00E6784B">
        <w:rPr>
          <w:rFonts w:eastAsia="Palatino Linotype" w:cs="Palatino Linotype"/>
        </w:rPr>
        <w:t xml:space="preserve">en consecuencia el SUJETO OBLIGADO no es competente para conocer respecto </w:t>
      </w:r>
      <w:r w:rsidR="00EC2AB8" w:rsidRPr="00E6784B">
        <w:rPr>
          <w:rFonts w:eastAsia="Palatino Linotype" w:cs="Palatino Linotype"/>
        </w:rPr>
        <w:lastRenderedPageBreak/>
        <w:t xml:space="preserve">de la información consistente en </w:t>
      </w:r>
      <w:r w:rsidR="00EC2AB8" w:rsidRPr="00E6784B">
        <w:rPr>
          <w:rFonts w:eastAsia="Palatino Linotype" w:cs="Palatino Linotype"/>
          <w:i/>
        </w:rPr>
        <w:t>“</w:t>
      </w:r>
      <w:r w:rsidR="00EC2AB8" w:rsidRPr="00E6784B">
        <w:rPr>
          <w:rFonts w:cs="Tahoma"/>
          <w:bCs/>
          <w:i/>
          <w:iCs/>
          <w:szCs w:val="22"/>
        </w:rPr>
        <w:t>5) EL ORGANIGRAMA DEL PERSONAL ADSCRITO AL ÁREA DE LA UNIDAD DE INFORMACIÓN, PLANEACIÓN, PROGRAMACIÓN Y EVALUACIÓN DEL AYUNTAMIENTO DE VALLE DE BRAVO, MÉXICO.”</w:t>
      </w:r>
    </w:p>
    <w:p w14:paraId="5249F182" w14:textId="01DB9BB8" w:rsidR="003606AC" w:rsidRPr="00E6784B" w:rsidRDefault="003606AC" w:rsidP="00E6784B">
      <w:pPr>
        <w:pStyle w:val="Prrafodelista"/>
        <w:widowControl w:val="0"/>
        <w:autoSpaceDE w:val="0"/>
        <w:autoSpaceDN w:val="0"/>
        <w:adjustRightInd w:val="0"/>
        <w:ind w:left="0"/>
        <w:rPr>
          <w:szCs w:val="24"/>
          <w:lang w:eastAsia="es-MX"/>
        </w:rPr>
      </w:pPr>
    </w:p>
    <w:p w14:paraId="17DC4C6D" w14:textId="531964C5" w:rsidR="000605CC" w:rsidRPr="00E6784B" w:rsidRDefault="00CD181F" w:rsidP="00E6784B">
      <w:pPr>
        <w:ind w:right="-93"/>
        <w:rPr>
          <w:rFonts w:cs="Tahoma"/>
          <w:bCs/>
          <w:szCs w:val="22"/>
        </w:rPr>
      </w:pPr>
      <w:r w:rsidRPr="00E6784B">
        <w:rPr>
          <w:rFonts w:cs="Tahoma"/>
          <w:bCs/>
          <w:szCs w:val="22"/>
        </w:rPr>
        <w:t>Ahora bien previo al estudio del resto de los puntos que si son competencia del SUJETO OBLIGADO se debe hacer una precisión:</w:t>
      </w:r>
    </w:p>
    <w:p w14:paraId="103BCCC6" w14:textId="77777777" w:rsidR="00CD181F" w:rsidRPr="00E6784B" w:rsidRDefault="00CD181F" w:rsidP="00E6784B">
      <w:pPr>
        <w:ind w:right="-93"/>
        <w:rPr>
          <w:rFonts w:cs="Tahoma"/>
          <w:bCs/>
          <w:szCs w:val="22"/>
        </w:rPr>
      </w:pPr>
    </w:p>
    <w:p w14:paraId="4E8800C7" w14:textId="77777777" w:rsidR="00874897" w:rsidRPr="00E6784B" w:rsidRDefault="00874897" w:rsidP="00E6784B">
      <w:r w:rsidRPr="00E6784B">
        <w:t xml:space="preserve">En la respuesta otorgada por el SUJETO OBLIGADO, se manifiesta que no se cuenta con ningún Instituto de Capacitación y Adiestramiento para el Trabajo Industrial (ICATI) en el municipio de Valle de Bravo. Sin embargo, al realizar un análisis detallado sobre la estructura orgánica del ICATI y su evolución institucional, es posible advertir que </w:t>
      </w:r>
      <w:r w:rsidRPr="00E6784B">
        <w:rPr>
          <w:rFonts w:eastAsiaTheme="majorEastAsia"/>
        </w:rPr>
        <w:t>sí existe una Escuela de Artes y Oficios (EDAYO) en dicho municipio</w:t>
      </w:r>
      <w:r w:rsidRPr="00E6784B">
        <w:t xml:space="preserve">, la cual </w:t>
      </w:r>
      <w:r w:rsidRPr="00E6784B">
        <w:rPr>
          <w:rFonts w:eastAsiaTheme="majorEastAsia"/>
        </w:rPr>
        <w:t>pertenece funcional y estructuralmente al propio Instituto</w:t>
      </w:r>
      <w:r w:rsidRPr="00E6784B">
        <w:t>, lo que evidencia la presencia operativa del organismo en esa demarcación.</w:t>
      </w:r>
    </w:p>
    <w:p w14:paraId="5292B1FA" w14:textId="77777777" w:rsidR="00874897" w:rsidRPr="00E6784B" w:rsidRDefault="00874897" w:rsidP="00E6784B">
      <w:r w:rsidRPr="00E6784B">
        <w:t>Para comprender con precisión esta situación, es necesario revisar el proceso histórico y normativo mediante el cual surgieron y se consolidaron las EDAYOS como parte integrante del ICATI:</w:t>
      </w:r>
    </w:p>
    <w:p w14:paraId="2DF949F4" w14:textId="77777777" w:rsidR="005A47CB" w:rsidRPr="00E6784B" w:rsidRDefault="005A47CB" w:rsidP="00E6784B"/>
    <w:p w14:paraId="3E80CF3B" w14:textId="484536D1" w:rsidR="00874897" w:rsidRPr="00E6784B" w:rsidRDefault="00874897" w:rsidP="00E6784B">
      <w:pPr>
        <w:pStyle w:val="Prrafodelista"/>
        <w:numPr>
          <w:ilvl w:val="0"/>
          <w:numId w:val="17"/>
        </w:numPr>
      </w:pPr>
      <w:r w:rsidRPr="00E6784B">
        <w:t>A través del Decreto número 63, publicado el 29 de diciembre de 1994, se reformaron diversos artículos de la Ley que transformó al ICATI en un organismo descentralizado.</w:t>
      </w:r>
    </w:p>
    <w:p w14:paraId="78D44AED" w14:textId="77777777" w:rsidR="00874897" w:rsidRPr="00E6784B" w:rsidRDefault="00874897" w:rsidP="00E6784B">
      <w:pPr>
        <w:pStyle w:val="Prrafodelista"/>
        <w:numPr>
          <w:ilvl w:val="0"/>
          <w:numId w:val="17"/>
        </w:numPr>
      </w:pPr>
      <w:r w:rsidRPr="00E6784B">
        <w:t xml:space="preserve">En enero de 1996, el ICATI contaba ya con 20 </w:t>
      </w:r>
      <w:r w:rsidRPr="00E6784B">
        <w:rPr>
          <w:rFonts w:eastAsiaTheme="majorEastAsia"/>
        </w:rPr>
        <w:t>Centros de Capacitación de Artes y Oficios (CECAOS)</w:t>
      </w:r>
      <w:r w:rsidRPr="00E6784B">
        <w:t xml:space="preserve"> distribuidos en distintos municipios, </w:t>
      </w:r>
      <w:r w:rsidRPr="00E6784B">
        <w:rPr>
          <w:rFonts w:eastAsiaTheme="majorEastAsia"/>
        </w:rPr>
        <w:t>incluyendo Valle de Bravo</w:t>
      </w:r>
      <w:r w:rsidRPr="00E6784B">
        <w:t>.</w:t>
      </w:r>
    </w:p>
    <w:p w14:paraId="02CB9816" w14:textId="034B5D16" w:rsidR="00874897" w:rsidRPr="00E6784B" w:rsidRDefault="00874897" w:rsidP="00E6784B">
      <w:pPr>
        <w:pStyle w:val="Prrafodelista"/>
        <w:numPr>
          <w:ilvl w:val="0"/>
          <w:numId w:val="17"/>
        </w:numPr>
      </w:pPr>
      <w:r w:rsidRPr="00E6784B">
        <w:lastRenderedPageBreak/>
        <w:t xml:space="preserve">Posteriormente, en marzo de 2002, estos CECAOS cambiaron su denominación a </w:t>
      </w:r>
      <w:r w:rsidRPr="00E6784B">
        <w:rPr>
          <w:rFonts w:eastAsiaTheme="majorEastAsia"/>
        </w:rPr>
        <w:t>Escuelas de Artes y Oficios (EDAYOS)</w:t>
      </w:r>
      <w:r w:rsidRPr="00E6784B">
        <w:t>, conservando la distribución territorial existente y ampliando la red de planteles.</w:t>
      </w:r>
    </w:p>
    <w:p w14:paraId="7D3ED98C" w14:textId="77777777" w:rsidR="00874897" w:rsidRPr="00E6784B" w:rsidRDefault="00874897" w:rsidP="00E6784B"/>
    <w:p w14:paraId="5796233C" w14:textId="77777777" w:rsidR="00874897" w:rsidRPr="00E6784B" w:rsidRDefault="00874897" w:rsidP="00E6784B">
      <w:r w:rsidRPr="00E6784B">
        <w:t xml:space="preserve">Desde entonces y hasta fechas recientes, la EDAYO de Valle de Bravo ha estado considerada dentro de la estructura formal del ICATI. Así lo demuestran diversas autorizaciones de estructura organizacional emitidas por la Secretaría de Finanzas (2003, 2004, 2006, 2007, 2008, 2009, 2013) y la publicación del </w:t>
      </w:r>
      <w:r w:rsidRPr="00E6784B">
        <w:rPr>
          <w:rFonts w:eastAsiaTheme="majorEastAsia"/>
        </w:rPr>
        <w:t>Manual General de Organización del ICATI</w:t>
      </w:r>
      <w:r w:rsidRPr="00E6784B">
        <w:t xml:space="preserve"> en 2015, actualizado en septiembre de 2022, donde se reafirma el papel de las EDAYOS dentro de la operación del Instituto.</w:t>
      </w:r>
    </w:p>
    <w:p w14:paraId="4B78AD09" w14:textId="77777777" w:rsidR="00874897" w:rsidRPr="00E6784B" w:rsidRDefault="00874897" w:rsidP="00E6784B"/>
    <w:p w14:paraId="35D2AB30" w14:textId="77777777" w:rsidR="00874897" w:rsidRPr="00E6784B" w:rsidRDefault="00874897" w:rsidP="00E6784B">
      <w:r w:rsidRPr="00E6784B">
        <w:t xml:space="preserve">Cabe precisar que las EDAYOS son </w:t>
      </w:r>
      <w:r w:rsidRPr="00E6784B">
        <w:rPr>
          <w:rFonts w:eastAsiaTheme="majorEastAsia"/>
        </w:rPr>
        <w:t>unidades desconcentradas del ICATI</w:t>
      </w:r>
      <w:r w:rsidRPr="00E6784B">
        <w:t xml:space="preserve">, por lo cual </w:t>
      </w:r>
      <w:r w:rsidRPr="00E6784B">
        <w:rPr>
          <w:rFonts w:eastAsiaTheme="majorEastAsia"/>
        </w:rPr>
        <w:t>sí dependen administrativa y operativamente del mismo</w:t>
      </w:r>
      <w:r w:rsidRPr="00E6784B">
        <w:t>, como lo reconocen las propias estructuras autorizadas y los manuales oficiales.</w:t>
      </w:r>
    </w:p>
    <w:p w14:paraId="075648FA" w14:textId="77777777" w:rsidR="00874897" w:rsidRPr="00E6784B" w:rsidRDefault="00874897" w:rsidP="00E6784B">
      <w:pPr>
        <w:ind w:right="-93"/>
        <w:rPr>
          <w:rFonts w:cs="Tahoma"/>
          <w:bCs/>
          <w:szCs w:val="22"/>
        </w:rPr>
      </w:pPr>
    </w:p>
    <w:p w14:paraId="6F930044" w14:textId="30F7789C" w:rsidR="00874897" w:rsidRPr="00E6784B" w:rsidRDefault="00874897" w:rsidP="00E6784B">
      <w:pPr>
        <w:ind w:right="-93"/>
        <w:rPr>
          <w:rFonts w:cs="Tahoma"/>
          <w:bCs/>
          <w:szCs w:val="22"/>
        </w:rPr>
      </w:pPr>
      <w:r w:rsidRPr="00E6784B">
        <w:rPr>
          <w:rFonts w:cs="Tahoma"/>
          <w:bCs/>
          <w:szCs w:val="22"/>
        </w:rPr>
        <w:t>Todo lo anterior se refuerza con las propias facultades que tienen diversas áreas dentro del SUJETO OBLIGADO las cuales se encuentran reguladas en su Manual General de Organización y que a la Letra señalan:</w:t>
      </w:r>
    </w:p>
    <w:p w14:paraId="20DAD3B6" w14:textId="77777777" w:rsidR="00874897" w:rsidRPr="00E6784B" w:rsidRDefault="00874897" w:rsidP="00E6784B">
      <w:pPr>
        <w:ind w:right="-93"/>
        <w:rPr>
          <w:rFonts w:cs="Tahoma"/>
          <w:bCs/>
          <w:szCs w:val="22"/>
        </w:rPr>
      </w:pPr>
    </w:p>
    <w:p w14:paraId="05F8BB32" w14:textId="0054ADED" w:rsidR="00874897" w:rsidRPr="00E6784B" w:rsidRDefault="00874897" w:rsidP="00E6784B">
      <w:pPr>
        <w:pStyle w:val="Puesto"/>
        <w:rPr>
          <w:b/>
        </w:rPr>
      </w:pPr>
      <w:r w:rsidRPr="00E6784B">
        <w:rPr>
          <w:b/>
        </w:rPr>
        <w:t>DIRECCIÓN GENERAL</w:t>
      </w:r>
    </w:p>
    <w:p w14:paraId="4BA10D93" w14:textId="77777777" w:rsidR="00874897" w:rsidRPr="00E6784B" w:rsidRDefault="00874897" w:rsidP="00E6784B">
      <w:pPr>
        <w:pStyle w:val="Puesto"/>
        <w:rPr>
          <w:b/>
        </w:rPr>
      </w:pPr>
    </w:p>
    <w:p w14:paraId="7C92AE3F" w14:textId="2C261B91" w:rsidR="00874897" w:rsidRPr="00E6784B" w:rsidRDefault="00874897" w:rsidP="00E6784B">
      <w:pPr>
        <w:pStyle w:val="Puesto"/>
        <w:rPr>
          <w:rFonts w:cs="Tahoma"/>
          <w:bCs/>
          <w:szCs w:val="22"/>
        </w:rPr>
      </w:pPr>
      <w:r w:rsidRPr="00E6784B">
        <w:rPr>
          <w:b/>
        </w:rPr>
        <w:t>OBJETIVO:</w:t>
      </w:r>
      <w:r w:rsidRPr="00E6784B">
        <w:t xml:space="preserve"> Planear, coordinar, supervisar y evaluar las acciones de capacitación y adiestramiento para y en el trabajo, promoviendo la vinculación del Organismo con el sector productivo de la Entidad, atendiendo a las vocaciones productivas de cada región, mediante una administración eficiente que garantice la operación y cumplimiento de las metas y objetivos institucionales del Organismo y de las Escuelas de Artes y Oficios (EDAYOS), así como el respeto a los derechos humanos, la perspectiva de género, la </w:t>
      </w:r>
      <w:r w:rsidRPr="00E6784B">
        <w:lastRenderedPageBreak/>
        <w:t>transparencia, la normatividad aplicable y los acuerdos que emanen del Consejo de Administración.</w:t>
      </w:r>
    </w:p>
    <w:p w14:paraId="143A4988" w14:textId="77777777" w:rsidR="00874897" w:rsidRPr="00E6784B" w:rsidRDefault="00874897" w:rsidP="00E6784B">
      <w:pPr>
        <w:pStyle w:val="Puesto"/>
        <w:rPr>
          <w:rFonts w:cs="Tahoma"/>
          <w:bCs/>
          <w:szCs w:val="22"/>
        </w:rPr>
      </w:pPr>
    </w:p>
    <w:p w14:paraId="1B23AE6A" w14:textId="0A7BFCA4" w:rsidR="00874897" w:rsidRPr="00E6784B" w:rsidRDefault="00874897" w:rsidP="00E6784B">
      <w:pPr>
        <w:pStyle w:val="Puesto"/>
      </w:pPr>
      <w:r w:rsidRPr="00E6784B">
        <w:t>Monitorear y evaluar el funcionamiento de las EDAYOS del Instituto, referente al crecimiento y comportamiento de la matrícula, así como el cumplimiento de metas establecidas en los programas institucionales, con base en la normatividad aplicable vigente.</w:t>
      </w:r>
    </w:p>
    <w:p w14:paraId="5197E3D6" w14:textId="77777777" w:rsidR="00874897" w:rsidRPr="00E6784B" w:rsidRDefault="00874897" w:rsidP="00E6784B">
      <w:pPr>
        <w:pStyle w:val="Puesto"/>
      </w:pPr>
    </w:p>
    <w:p w14:paraId="4B0C74CA" w14:textId="3BC162F1" w:rsidR="00874897" w:rsidRPr="00E6784B" w:rsidRDefault="00874897" w:rsidP="00E6784B">
      <w:pPr>
        <w:pStyle w:val="Puesto"/>
        <w:rPr>
          <w:b/>
        </w:rPr>
      </w:pPr>
      <w:r w:rsidRPr="00E6784B">
        <w:rPr>
          <w:b/>
        </w:rPr>
        <w:t>DEPARTAMENTO DE VINCULACIÓN Y COMUNICACIÓN</w:t>
      </w:r>
    </w:p>
    <w:p w14:paraId="04FD9D02" w14:textId="77777777" w:rsidR="00874897" w:rsidRPr="00E6784B" w:rsidRDefault="00874897" w:rsidP="00E6784B">
      <w:pPr>
        <w:pStyle w:val="Puesto"/>
      </w:pPr>
    </w:p>
    <w:p w14:paraId="107D06F5" w14:textId="5A7920DE" w:rsidR="00874897" w:rsidRPr="00E6784B" w:rsidRDefault="00874897" w:rsidP="00E6784B">
      <w:pPr>
        <w:pStyle w:val="Puesto"/>
      </w:pPr>
      <w:r w:rsidRPr="00E6784B">
        <w:t>Supervisar la integración y funcionamiento de los Comités de Vinculación de las Escuelas de Artes y Oficios, con el propósito de apoyar la operación y el desarrollo de funciones de cada EDAYO, mediante la participación de los sectores público, privado y social.</w:t>
      </w:r>
    </w:p>
    <w:p w14:paraId="73EED064" w14:textId="77777777" w:rsidR="00874897" w:rsidRPr="00E6784B" w:rsidRDefault="00874897" w:rsidP="00E6784B">
      <w:pPr>
        <w:pStyle w:val="Puesto"/>
      </w:pPr>
    </w:p>
    <w:p w14:paraId="2BBD942D" w14:textId="5CD1AA82" w:rsidR="00874897" w:rsidRPr="00E6784B" w:rsidRDefault="00AE30B2" w:rsidP="00E6784B">
      <w:pPr>
        <w:pStyle w:val="Puesto"/>
        <w:rPr>
          <w:b/>
        </w:rPr>
      </w:pPr>
      <w:r w:rsidRPr="00E6784B">
        <w:rPr>
          <w:b/>
        </w:rPr>
        <w:t>COORDINACIÓN DE EDAYOS VALLE DE TOLUCA</w:t>
      </w:r>
    </w:p>
    <w:p w14:paraId="728715B7" w14:textId="77777777" w:rsidR="00AE30B2" w:rsidRPr="00E6784B" w:rsidRDefault="00AE30B2" w:rsidP="00E6784B">
      <w:pPr>
        <w:pStyle w:val="Puesto"/>
      </w:pPr>
    </w:p>
    <w:p w14:paraId="4358FB2D" w14:textId="4DD7814B" w:rsidR="00AE30B2" w:rsidRPr="00E6784B" w:rsidRDefault="00AE30B2" w:rsidP="00E6784B">
      <w:pPr>
        <w:pStyle w:val="Puesto"/>
      </w:pPr>
      <w:r w:rsidRPr="00E6784B">
        <w:rPr>
          <w:b/>
        </w:rPr>
        <w:t>OBJETIVO:</w:t>
      </w:r>
      <w:r w:rsidRPr="00E6784B">
        <w:t xml:space="preserve"> Coordinar y dar seguimiento a las actividades académicas y de vinculación de la capacitación para y en el trabajo, mediante la gestión con las unidades administrativas competentes y la verificación del cumplimiento normativo, para proponer a la Dirección General la mejora continua de los servicios que ofrecen las Escuelas de Artes y Oficios (EDAYOS) del Valle de Toluca.</w:t>
      </w:r>
    </w:p>
    <w:p w14:paraId="5F87FB80" w14:textId="77777777" w:rsidR="00AE30B2" w:rsidRPr="00E6784B" w:rsidRDefault="00AE30B2" w:rsidP="00E6784B">
      <w:pPr>
        <w:pStyle w:val="Puesto"/>
      </w:pPr>
    </w:p>
    <w:p w14:paraId="612BF6AF" w14:textId="77777777" w:rsidR="00AE30B2" w:rsidRPr="00E6784B" w:rsidRDefault="00AE30B2" w:rsidP="00E6784B">
      <w:pPr>
        <w:pStyle w:val="Puesto"/>
        <w:rPr>
          <w:b/>
        </w:rPr>
      </w:pPr>
      <w:r w:rsidRPr="00E6784B">
        <w:rPr>
          <w:b/>
        </w:rPr>
        <w:t xml:space="preserve">FUNCIONES: </w:t>
      </w:r>
    </w:p>
    <w:p w14:paraId="135ED1D9" w14:textId="77777777" w:rsidR="00AE30B2" w:rsidRPr="00E6784B" w:rsidRDefault="00AE30B2" w:rsidP="00E6784B">
      <w:pPr>
        <w:pStyle w:val="Puesto"/>
      </w:pPr>
      <w:r w:rsidRPr="00E6784B">
        <w:t xml:space="preserve">− Supervisar y dar seguimiento a los servicios de capacitación para y en el trabajo que realizan las Escuelas de Artes y Oficios, con apego a las tarifas, calendario autorizado, disposiciones técnico-académicas y normatividad establecida. </w:t>
      </w:r>
    </w:p>
    <w:p w14:paraId="5971ECE2" w14:textId="77777777" w:rsidR="00AE30B2" w:rsidRPr="00E6784B" w:rsidRDefault="00AE30B2" w:rsidP="00E6784B">
      <w:pPr>
        <w:pStyle w:val="Puesto"/>
      </w:pPr>
      <w:r w:rsidRPr="00E6784B">
        <w:t xml:space="preserve">− Supervisar y dar seguimiento a la participación del personal directivo administrativo e instructor de las Escuelas de Artes y Oficios en los Programas de Capacitación establecidos por el Instituto, con el propósito de elevar su desarrollo profesional. </w:t>
      </w:r>
    </w:p>
    <w:p w14:paraId="7EC854DB" w14:textId="0299754B" w:rsidR="00AE30B2" w:rsidRPr="00E6784B" w:rsidRDefault="00AE30B2" w:rsidP="00E6784B">
      <w:pPr>
        <w:pStyle w:val="Puesto"/>
      </w:pPr>
      <w:r w:rsidRPr="00E6784B">
        <w:t>− Participar y supervisar en la integración de los Comités de Vinculación de las Escuelas de Artes y Oficios, fomentando enlaces con el sector productivo y social que permitan mejorar los servicios de capacitación y vinculación, en congruencia con las actividades productivas de la región.</w:t>
      </w:r>
    </w:p>
    <w:p w14:paraId="4DF0CB2F" w14:textId="0478BB9C" w:rsidR="00AE30B2" w:rsidRPr="00E6784B" w:rsidRDefault="00AE30B2" w:rsidP="00E6784B">
      <w:pPr>
        <w:pStyle w:val="Puesto"/>
      </w:pPr>
      <w:r w:rsidRPr="00E6784B">
        <w:t xml:space="preserve">− Supervisar las acciones para la elaboración de reportes de ingreso, deserción, reprobación, eficiencia terminal y seguimiento de personas egresadas, así como estudios de factibilidad para la incorporación de nuevas áreas de capacitación o unidades de capacitación externa </w:t>
      </w:r>
      <w:r w:rsidRPr="00E6784B">
        <w:lastRenderedPageBreak/>
        <w:t>y estudios, a efecto de detectar necesidades de enseñanza en la región conforme a la normatividad establecida.</w:t>
      </w:r>
    </w:p>
    <w:p w14:paraId="11DE8408" w14:textId="50642E5F" w:rsidR="00AE30B2" w:rsidRPr="00E6784B" w:rsidRDefault="00AE30B2" w:rsidP="00E6784B">
      <w:pPr>
        <w:pStyle w:val="Puesto"/>
      </w:pPr>
      <w:r w:rsidRPr="00E6784B">
        <w:t xml:space="preserve">− Analizar resultados de estudios y reportes del comportamiento de la matrícula y de la detección de necesidades de capacitación, para proponer a la Dirección General soluciones de equipamiento, programas de mejora continua o la incorporación de nuevas áreas de capacitación en las Escuelas de Artes y Oficios o Unidades de Capacitación Externa, según se justifique. </w:t>
      </w:r>
    </w:p>
    <w:p w14:paraId="4857B933" w14:textId="207BF19D" w:rsidR="00AE30B2" w:rsidRPr="00E6784B" w:rsidRDefault="00AE30B2" w:rsidP="00E6784B">
      <w:pPr>
        <w:pStyle w:val="Puesto"/>
      </w:pPr>
      <w:r w:rsidRPr="00E6784B">
        <w:t xml:space="preserve">− Gestionar con las unidades administrativas competentes, propuestas de las personas candidatas a ocupar puestos administrativos o de instructor y cambios o permisos especiales, y someterlo a consideración de la persona titular de la Dirección General, debidamente justificados. </w:t>
      </w:r>
    </w:p>
    <w:p w14:paraId="6D37E15A" w14:textId="77777777" w:rsidR="00AE30B2" w:rsidRPr="00E6784B" w:rsidRDefault="00AE30B2" w:rsidP="00E6784B">
      <w:pPr>
        <w:pStyle w:val="Puesto"/>
      </w:pPr>
      <w:r w:rsidRPr="00E6784B">
        <w:t xml:space="preserve">− Gestionar con las unidades administrativas competentes solicitudes de mobiliario y equipo, la implementación de nuevas tecnologías y la viabilidad de inmuebles susceptibles a la instalación de nuevas Escuelas de Artes y Oficios y Unidades de Capacitación Externa, debidamente justificadas para dar cumplimiento a las funciones asignadas y a los Programas de Capacitación establecidos. </w:t>
      </w:r>
    </w:p>
    <w:p w14:paraId="40479FED" w14:textId="77777777" w:rsidR="00AE30B2" w:rsidRPr="00E6784B" w:rsidRDefault="00AE30B2" w:rsidP="00E6784B">
      <w:pPr>
        <w:pStyle w:val="Puesto"/>
      </w:pPr>
      <w:r w:rsidRPr="00E6784B">
        <w:t xml:space="preserve">− Supervisar e informar a la Dirección General de los actos y eventos deportivos, culturales, cívicos o académicos que se llevan a cabo en la EDAYO correspondiente. − Supervisar e informar a la Dirección General de la operación técnico-académica, administrativa y de las prácticas de éxito, para incorporar a la mejora continua los servicios de capacitación que se imparten en las Escuelas de Artes y Oficios. </w:t>
      </w:r>
    </w:p>
    <w:p w14:paraId="23C20244" w14:textId="77777777" w:rsidR="00AE30B2" w:rsidRPr="00E6784B" w:rsidRDefault="00AE30B2" w:rsidP="00E6784B">
      <w:pPr>
        <w:pStyle w:val="Puesto"/>
      </w:pPr>
      <w:r w:rsidRPr="00E6784B">
        <w:t xml:space="preserve">− Supervisar y verificar que la impartición de los cursos de capacitación escolarizados, de extensión, de Capacitación Acelerada Específica, de Capacitación Específica para el Autoempleo, que imparten las Escuelas de Artes y Oficios bajo su adscripción, se otorguen conforme a la normatividad aplicable y al Modelo Educativo de Capacitación que corresponda. </w:t>
      </w:r>
    </w:p>
    <w:p w14:paraId="27F85AA1" w14:textId="77777777" w:rsidR="00AE30B2" w:rsidRPr="00E6784B" w:rsidRDefault="00AE30B2" w:rsidP="00E6784B">
      <w:pPr>
        <w:pStyle w:val="Puesto"/>
      </w:pPr>
      <w:r w:rsidRPr="00E6784B">
        <w:t xml:space="preserve">− Verificar que la entrega de constancias de capacitación se realice de manera oportuna y conforme a la normatividad establecida. </w:t>
      </w:r>
    </w:p>
    <w:p w14:paraId="56CD076B" w14:textId="77777777" w:rsidR="00AE30B2" w:rsidRPr="00E6784B" w:rsidRDefault="00AE30B2" w:rsidP="00E6784B">
      <w:pPr>
        <w:pStyle w:val="Puesto"/>
      </w:pPr>
      <w:r w:rsidRPr="00E6784B">
        <w:t xml:space="preserve">− Supervisar que se lleven a cabo las acciones de difusión de los programas mediante los cuales se promueven los servicios de capacitación para y en el trabajo que proporcionan las Escuelas de Artes y Oficios, en cumplimiento de la normatividad aplicable. </w:t>
      </w:r>
    </w:p>
    <w:p w14:paraId="003A440C" w14:textId="77777777" w:rsidR="00AE30B2" w:rsidRPr="00E6784B" w:rsidRDefault="00AE30B2" w:rsidP="00E6784B">
      <w:pPr>
        <w:pStyle w:val="Puesto"/>
      </w:pPr>
      <w:r w:rsidRPr="00E6784B">
        <w:t xml:space="preserve">− Supervisar el avance y cumplimiento de metas de los cursos escolarizados, de extensión, de Capacitación Acelerada Específica (CAE), de Capacitación Específica para el Autoempleo (CEA), que imparten las Escuelas de Artes y Oficios bajo su adscripción, en las modalidades autorizadas. </w:t>
      </w:r>
    </w:p>
    <w:p w14:paraId="0335F651" w14:textId="77777777" w:rsidR="00AE30B2" w:rsidRPr="00E6784B" w:rsidRDefault="00AE30B2" w:rsidP="00E6784B">
      <w:pPr>
        <w:pStyle w:val="Puesto"/>
      </w:pPr>
      <w:r w:rsidRPr="00E6784B">
        <w:lastRenderedPageBreak/>
        <w:t xml:space="preserve">− Supervisar el avance y cumplimiento de los objetivos del Comité de Vinculación de las Escuelas de Artes y Oficios. </w:t>
      </w:r>
    </w:p>
    <w:p w14:paraId="543573E5" w14:textId="77777777" w:rsidR="00AE30B2" w:rsidRPr="00E6784B" w:rsidRDefault="00AE30B2" w:rsidP="00E6784B">
      <w:pPr>
        <w:pStyle w:val="Puesto"/>
      </w:pPr>
      <w:r w:rsidRPr="00E6784B">
        <w:t>− Desarrollar las demás funciones inherentes al área de su competencia</w:t>
      </w:r>
    </w:p>
    <w:p w14:paraId="2B4EBC8D" w14:textId="77777777" w:rsidR="00AE30B2" w:rsidRPr="00E6784B" w:rsidRDefault="00AE30B2" w:rsidP="00E6784B">
      <w:pPr>
        <w:pStyle w:val="Puesto"/>
      </w:pPr>
    </w:p>
    <w:p w14:paraId="06A42619" w14:textId="1AAD2572" w:rsidR="00AE30B2" w:rsidRPr="00E6784B" w:rsidRDefault="00AE30B2" w:rsidP="00E6784B">
      <w:pPr>
        <w:pStyle w:val="Puesto"/>
        <w:rPr>
          <w:b/>
        </w:rPr>
      </w:pPr>
      <w:r w:rsidRPr="00E6784B">
        <w:rPr>
          <w:b/>
        </w:rPr>
        <w:t>ESCUELAS DE ARTES Y OFICIOS (19)</w:t>
      </w:r>
    </w:p>
    <w:p w14:paraId="7F824EB7" w14:textId="77777777" w:rsidR="00AE30B2" w:rsidRPr="00E6784B" w:rsidRDefault="00AE30B2" w:rsidP="00E6784B">
      <w:pPr>
        <w:pStyle w:val="Puesto"/>
        <w:rPr>
          <w:b/>
        </w:rPr>
      </w:pPr>
    </w:p>
    <w:p w14:paraId="4512CD8C" w14:textId="3E30C75A" w:rsidR="00AE30B2" w:rsidRPr="00E6784B" w:rsidRDefault="00AE30B2" w:rsidP="00E6784B">
      <w:pPr>
        <w:pStyle w:val="Puesto"/>
      </w:pPr>
      <w:r w:rsidRPr="00E6784B">
        <w:rPr>
          <w:b/>
        </w:rPr>
        <w:t>OBJETIVO:</w:t>
      </w:r>
      <w:r w:rsidRPr="00E6784B">
        <w:t xml:space="preserve"> Difundir, coordinar y ejecutar actividades académicas, proporcionando los espacios necesarios para impartir servicios de capacitación para y en el trabajo, promoviendo las acciones de vinculación con el sector productivo y el emprendimiento, en coordinación con las unidades administrativas competentes y con base a la normatividad establecida, para el cumplimiento de metas y objetivos del Instituto de Capacitación y Adiestramiento para el Trabajo Industrial (ICATI).</w:t>
      </w:r>
    </w:p>
    <w:p w14:paraId="705C8B0E" w14:textId="77777777" w:rsidR="00AE30B2" w:rsidRPr="00E6784B" w:rsidRDefault="00AE30B2" w:rsidP="00E6784B">
      <w:pPr>
        <w:pStyle w:val="Puesto"/>
      </w:pPr>
    </w:p>
    <w:p w14:paraId="4A4CD01C" w14:textId="77777777" w:rsidR="00AE30B2" w:rsidRPr="00E6784B" w:rsidRDefault="00AE30B2" w:rsidP="00E6784B">
      <w:pPr>
        <w:pStyle w:val="Puesto"/>
      </w:pPr>
      <w:r w:rsidRPr="00E6784B">
        <w:rPr>
          <w:b/>
        </w:rPr>
        <w:t>FUNCIONES:</w:t>
      </w:r>
      <w:r w:rsidRPr="00E6784B">
        <w:t xml:space="preserve"> − Elaborar e informar a la Dirección Técnico Académica y a la Coordinación de las Escuelas de Artes y Oficios, las propuestas de cursos de capacitación, de nuevas áreas de capacitación o establecimiento de Unidades de Capacitación Externa, las vocaciones productivas regionales, la demanda de mano de obra de las unidades económicas y la demanda social, previo inicio de cada ciclo de capacitación y conforme a la normatividad establecida. </w:t>
      </w:r>
    </w:p>
    <w:p w14:paraId="32B53E79" w14:textId="77777777" w:rsidR="00AE30B2" w:rsidRPr="00E6784B" w:rsidRDefault="00AE30B2" w:rsidP="00E6784B">
      <w:pPr>
        <w:pStyle w:val="Puesto"/>
      </w:pPr>
      <w:r w:rsidRPr="00E6784B">
        <w:t xml:space="preserve">− Elaborar estudios regionales en la zona de influencia que permitan detectar las necesidades de capacitación para y en el trabajo y, sirvan de base para presentar estrategias que mejoren la calidad del servicio otorgado. </w:t>
      </w:r>
    </w:p>
    <w:p w14:paraId="6C2A6A2A" w14:textId="77777777" w:rsidR="00AE30B2" w:rsidRPr="00E6784B" w:rsidRDefault="00AE30B2" w:rsidP="00E6784B">
      <w:pPr>
        <w:pStyle w:val="Puesto"/>
      </w:pPr>
      <w:r w:rsidRPr="00E6784B">
        <w:t xml:space="preserve">− Difundir y orientar al público en general sobre los servicios de capacitación que oferta la EDAYO, propiciando en todo momento la integración de grupos y el aumento de la matrícula, según la capacidad instalada disponible. </w:t>
      </w:r>
    </w:p>
    <w:p w14:paraId="1E2EA385" w14:textId="77777777" w:rsidR="00AE30B2" w:rsidRPr="00E6784B" w:rsidRDefault="00AE30B2" w:rsidP="00E6784B">
      <w:pPr>
        <w:pStyle w:val="Puesto"/>
      </w:pPr>
      <w:r w:rsidRPr="00E6784B">
        <w:t xml:space="preserve">− Integrar, operar y actualizar el Comité de Vinculación de las Escuelas de Artes y Oficios, como medio de comunicación permanente con los sectores productivos, con el propósito de atender las necesidades de mano de obra y fomentar el empleo formal de las personas egresadas de la EDAYO. </w:t>
      </w:r>
    </w:p>
    <w:p w14:paraId="0BBB571A" w14:textId="77777777" w:rsidR="00AE30B2" w:rsidRPr="00E6784B" w:rsidRDefault="00AE30B2" w:rsidP="00E6784B">
      <w:pPr>
        <w:pStyle w:val="Puesto"/>
      </w:pPr>
      <w:r w:rsidRPr="00E6784B">
        <w:t xml:space="preserve">− Ejecutar y verificar que los programas de capacitación impartidos en la EDAYO cumplan con lo establecido en la normatividad aplicable. − Ejecutar las disposiciones para realizar los reportes de ingreso, deserción, reprobación, eficiencia terminal y seguimiento de las personas egresadas, bajo la coordinación de la Dirección Técnico Académica, que permitan generar información cuantitativa y cualitativa de la matrícula de inscritos a los cursos de capacitación en la EDAYO. </w:t>
      </w:r>
    </w:p>
    <w:p w14:paraId="294F7D3E" w14:textId="2D0942C2" w:rsidR="00AE30B2" w:rsidRPr="00E6784B" w:rsidRDefault="00AE30B2" w:rsidP="00E6784B">
      <w:pPr>
        <w:pStyle w:val="Puesto"/>
      </w:pPr>
      <w:r w:rsidRPr="00E6784B">
        <w:lastRenderedPageBreak/>
        <w:t>− Conducir a los solicitantes a la Dirección Técnico Académica para aplicación de exámenes de Reconocimiento Oficial de Competencia Ocupacional (ROCO).</w:t>
      </w:r>
    </w:p>
    <w:p w14:paraId="5C1B2A02" w14:textId="77777777" w:rsidR="00AE30B2" w:rsidRPr="00E6784B" w:rsidRDefault="00AE30B2" w:rsidP="00E6784B">
      <w:pPr>
        <w:pStyle w:val="Puesto"/>
      </w:pPr>
      <w:r w:rsidRPr="00E6784B">
        <w:t xml:space="preserve">− Organizar el desarrollo de eventos deportivos, cívicos, culturales, académicos, así como los actos de inicio o clausura de cursos, con acuerdo a las disposiciones del Instituto. − Organizar, participar e informar a la Coordinación de EDAYOS de las Jornadas de Servicio Comunitario de la Escuela de Artes Oficios, para la práctica y desarrollo de las habilidades de empleabilidad de las personas capacitadas. </w:t>
      </w:r>
    </w:p>
    <w:p w14:paraId="199560D2" w14:textId="77777777" w:rsidR="00AE30B2" w:rsidRPr="00E6784B" w:rsidRDefault="00AE30B2" w:rsidP="00E6784B">
      <w:pPr>
        <w:pStyle w:val="Puesto"/>
      </w:pPr>
      <w:r w:rsidRPr="00E6784B">
        <w:t xml:space="preserve">− Proponer a la Coordinación de EDAYOS y a la Dirección de Administración y Finanzas, las posibles personas candidatas a ocupar puestos administrativos y de instructor, debidamente justificados con base a la normatividad establecida. </w:t>
      </w:r>
    </w:p>
    <w:p w14:paraId="0B29DD0E" w14:textId="77777777" w:rsidR="00AE30B2" w:rsidRPr="00E6784B" w:rsidRDefault="00AE30B2" w:rsidP="00E6784B">
      <w:pPr>
        <w:pStyle w:val="Puesto"/>
      </w:pPr>
      <w:r w:rsidRPr="00E6784B">
        <w:t xml:space="preserve">− Proponer a la Coordinación de EDAYOS y a la Dirección Técnico Académica, las posibles personas candidatas a ocupar puestos de instructor y de Control Escolar, debidamente justificados, con base a la normatividad establecida. </w:t>
      </w:r>
    </w:p>
    <w:p w14:paraId="2F81B61E" w14:textId="77777777" w:rsidR="00AE30B2" w:rsidRPr="00E6784B" w:rsidRDefault="00AE30B2" w:rsidP="00E6784B">
      <w:pPr>
        <w:pStyle w:val="Puesto"/>
      </w:pPr>
      <w:r w:rsidRPr="00E6784B">
        <w:t xml:space="preserve">− Vincular en el sistema informático vigente la Clave Única de Registro de Población (CURP) y el número de matrícula asignado a cada persona inscrita en los cursos de capacitación que se imparten en la EDAYO, para facilitar la identificación, el manejo de la información personal y la integración de los expedientes respectivos. </w:t>
      </w:r>
    </w:p>
    <w:p w14:paraId="5B2F7FB0" w14:textId="77777777" w:rsidR="00AE30B2" w:rsidRPr="00E6784B" w:rsidRDefault="00AE30B2" w:rsidP="00E6784B">
      <w:pPr>
        <w:pStyle w:val="Puesto"/>
      </w:pPr>
      <w:r w:rsidRPr="00E6784B">
        <w:t xml:space="preserve">− Aplicar las disposiciones de la Subdirección de Control Escolar, para el trámite de acreditación a las personas egresadas de los cursos de capacitación de la EDAYO. − Ejecutar las disposiciones de la Dirección Técnico Académica, para supervisar y evaluar el proceso de enseñanza-aprendizaje, el desempeño del personal instructor, el control escolar, el cumplimiento de las metas y la operación de la EDAYO; con el propósito de estructurar las propuestas de mejora continua de los servicios de capacitación. </w:t>
      </w:r>
    </w:p>
    <w:p w14:paraId="37131744" w14:textId="77777777" w:rsidR="00AE30B2" w:rsidRPr="00E6784B" w:rsidRDefault="00AE30B2" w:rsidP="00E6784B">
      <w:pPr>
        <w:pStyle w:val="Puesto"/>
      </w:pPr>
      <w:r w:rsidRPr="00E6784B">
        <w:t xml:space="preserve">− Promover y difundir los servicios de capacitación en el trabajo, con las unidades productivas de la zona de influencia, para la integración de la bolsa de trabajo, la venta de cursos a empresas, la gestión de apoyos de mobiliario y equipamiento y la vinculación de las personas egresadas de los cursos de capacitación. </w:t>
      </w:r>
    </w:p>
    <w:p w14:paraId="197EC83D" w14:textId="77777777" w:rsidR="00AE30B2" w:rsidRPr="00E6784B" w:rsidRDefault="00AE30B2" w:rsidP="00E6784B">
      <w:pPr>
        <w:pStyle w:val="Puesto"/>
      </w:pPr>
      <w:r w:rsidRPr="00E6784B">
        <w:t xml:space="preserve">− Elaborar y actualizar permanentemente el inventario de los bienes muebles e inmuebles asignados a cada una de las áreas de la EDAYO, según las disposiciones administrativas vigentes. </w:t>
      </w:r>
    </w:p>
    <w:p w14:paraId="08818740" w14:textId="77777777" w:rsidR="00AE30B2" w:rsidRPr="00E6784B" w:rsidRDefault="00AE30B2" w:rsidP="00E6784B">
      <w:pPr>
        <w:pStyle w:val="Puesto"/>
      </w:pPr>
      <w:r w:rsidRPr="00E6784B">
        <w:t xml:space="preserve">− Ejecutar las disposiciones de la impartición de cursos en la modalidad de “Capacitación Específica para el Autoempleo” y, atender a los integrantes de las comunidades en situación de pobreza y marginalidad en la entidad. </w:t>
      </w:r>
    </w:p>
    <w:p w14:paraId="47CC9B8E" w14:textId="77777777" w:rsidR="00AE30B2" w:rsidRPr="00E6784B" w:rsidRDefault="00AE30B2" w:rsidP="00E6784B">
      <w:pPr>
        <w:pStyle w:val="Puesto"/>
      </w:pPr>
      <w:r w:rsidRPr="00E6784B">
        <w:t xml:space="preserve">− Ejecutar las disposiciones de la impartición de cursos en la modalidad de “Capacitación Acelerada Específica” y, atender la obligación de capacitación patronal en las unidades económicas de la entidad. </w:t>
      </w:r>
    </w:p>
    <w:p w14:paraId="59E95A37" w14:textId="0F7865F0" w:rsidR="00AE30B2" w:rsidRPr="00E6784B" w:rsidRDefault="00AE30B2" w:rsidP="00E6784B">
      <w:pPr>
        <w:pStyle w:val="Puesto"/>
      </w:pPr>
      <w:r w:rsidRPr="00E6784B">
        <w:lastRenderedPageBreak/>
        <w:t xml:space="preserve">− Coordinar y supervisar la participación del personal instructor de la EDAYO, en las reuniones de academia para la actualización, formación, capacitación, profesionalización y certificación, según las disposiciones de la Dirección Técnico Académica, con el propósito de elevar el nivel académico del Instituto y cumplir con la obligación legal. </w:t>
      </w:r>
    </w:p>
    <w:p w14:paraId="18EB6961" w14:textId="77777777" w:rsidR="00AE30B2" w:rsidRPr="00E6784B" w:rsidRDefault="00AE30B2" w:rsidP="00E6784B">
      <w:pPr>
        <w:pStyle w:val="Puesto"/>
      </w:pPr>
      <w:r w:rsidRPr="00E6784B">
        <w:t xml:space="preserve">− Coordinar y supervisar la participación del personal administrativo y operativo de la EDAYO en los programas de actualización, formación, capacitación, profesionalización y certificación, según las disposiciones de la Dirección de Administración y Finanzas, con el propósito de cumplir con la obligación legal. </w:t>
      </w:r>
    </w:p>
    <w:p w14:paraId="3377B958" w14:textId="77777777" w:rsidR="00AE30B2" w:rsidRPr="00E6784B" w:rsidRDefault="00AE30B2" w:rsidP="00E6784B">
      <w:pPr>
        <w:pStyle w:val="Puesto"/>
      </w:pPr>
      <w:r w:rsidRPr="00E6784B">
        <w:t xml:space="preserve">− Integrar el registro de ingresos por concepto de los servicios de capacitación de la EDAYO y remitirlo en tiempo y forma a las áreas competentes. </w:t>
      </w:r>
    </w:p>
    <w:p w14:paraId="21957F04" w14:textId="77777777" w:rsidR="00AE30B2" w:rsidRPr="00E6784B" w:rsidRDefault="00AE30B2" w:rsidP="00E6784B">
      <w:pPr>
        <w:pStyle w:val="Puesto"/>
      </w:pPr>
      <w:r w:rsidRPr="00E6784B">
        <w:t xml:space="preserve">− Operar, controlar y comprobar el fondo revolvente de la EDAYO, de acuerdo con la normatividad vigente y a las disposiciones de la Dirección de Administración y Finanzas, para gestionar su reposición. </w:t>
      </w:r>
    </w:p>
    <w:p w14:paraId="6870781C" w14:textId="77777777" w:rsidR="00AE30B2" w:rsidRPr="00E6784B" w:rsidRDefault="00AE30B2" w:rsidP="00E6784B">
      <w:pPr>
        <w:pStyle w:val="Puesto"/>
      </w:pPr>
      <w:r w:rsidRPr="00E6784B">
        <w:t xml:space="preserve">− Controlar y vigilar el Programa de Mantenimiento Preventivo y Correctivo del equipo, mobiliario, inmuebles y vehículos asignados a la EDAYO, conforme a las disposiciones de la Dirección de Administración y Finanzas, a fin de conservarlos en condiciones óptimas de uso y aprovechamiento de la capacidad instalada. </w:t>
      </w:r>
    </w:p>
    <w:p w14:paraId="75D2E1AF" w14:textId="77777777" w:rsidR="00AE30B2" w:rsidRPr="00E6784B" w:rsidRDefault="00AE30B2" w:rsidP="00E6784B">
      <w:pPr>
        <w:pStyle w:val="Puesto"/>
      </w:pPr>
      <w:r w:rsidRPr="00E6784B">
        <w:t xml:space="preserve">− Gestionar, resguardar, sistematizar y controlar la papelería, artículos de consumo general, así como los bienes muebles de la EDAYO. </w:t>
      </w:r>
    </w:p>
    <w:p w14:paraId="0DE91F58" w14:textId="3628F1FB" w:rsidR="00AE30B2" w:rsidRPr="00E6784B" w:rsidRDefault="00AE30B2" w:rsidP="00E6784B">
      <w:pPr>
        <w:pStyle w:val="Puesto"/>
      </w:pPr>
      <w:r w:rsidRPr="00E6784B">
        <w:t xml:space="preserve">− Gestionar y supervisar la operación y pago de servicios de energía eléctrica, teléfonos, conectividad, agua, gas, fotocopiado y demás servicios generales que garanticen la operatividad de la EDAYO. </w:t>
      </w:r>
    </w:p>
    <w:p w14:paraId="5BD80A51" w14:textId="77777777" w:rsidR="00AE30B2" w:rsidRPr="00E6784B" w:rsidRDefault="00AE30B2" w:rsidP="00E6784B">
      <w:pPr>
        <w:pStyle w:val="Puesto"/>
      </w:pPr>
      <w:r w:rsidRPr="00E6784B">
        <w:t xml:space="preserve">− Informar a la Coordinación de EDAYOS y al Departamento de Administración de Personal los movimientos e incidencias de las personas servidoras públicas adscritas a la escuela, según la normatividad vigente. </w:t>
      </w:r>
    </w:p>
    <w:p w14:paraId="45D4AC98" w14:textId="77777777" w:rsidR="00AE30B2" w:rsidRPr="00E6784B" w:rsidRDefault="00AE30B2" w:rsidP="00E6784B">
      <w:pPr>
        <w:pStyle w:val="Puesto"/>
      </w:pPr>
      <w:r w:rsidRPr="00E6784B">
        <w:t xml:space="preserve">− Gestionar junto con la Coordinación de EDAYOS los requerimientos de recursos materiales y servicios generales de la escuela, para el desarrollo de las actividades de capacitación programadas. </w:t>
      </w:r>
    </w:p>
    <w:p w14:paraId="3AFCE267" w14:textId="0AEE0AB4" w:rsidR="00AE30B2" w:rsidRPr="00E6784B" w:rsidRDefault="00AE30B2" w:rsidP="00E6784B">
      <w:pPr>
        <w:pStyle w:val="Puesto"/>
      </w:pPr>
      <w:r w:rsidRPr="00E6784B">
        <w:t xml:space="preserve">− Informar a la Coordinación de EDAYOS y a la Dirección de Administración y Finanzas de la donación de bienes y la identificación de fuentes alternas para el equipamiento y mejora de las instalaciones. </w:t>
      </w:r>
    </w:p>
    <w:p w14:paraId="691D59CE" w14:textId="77777777" w:rsidR="00AE30B2" w:rsidRPr="00E6784B" w:rsidRDefault="00AE30B2" w:rsidP="00E6784B">
      <w:pPr>
        <w:pStyle w:val="Puesto"/>
      </w:pPr>
      <w:r w:rsidRPr="00E6784B">
        <w:t xml:space="preserve">− Ejecutar las disposiciones para la integración, operación y cumplimiento de los acuerdos del Comité de Vinculación de las Escuelas de Artes y Oficios. </w:t>
      </w:r>
    </w:p>
    <w:p w14:paraId="347147DF" w14:textId="260B1971" w:rsidR="00AE30B2" w:rsidRPr="00E6784B" w:rsidRDefault="00AE30B2" w:rsidP="00E6784B">
      <w:pPr>
        <w:pStyle w:val="Puesto"/>
      </w:pPr>
      <w:r w:rsidRPr="00E6784B">
        <w:t>− Desarrollar las demás funciones inherentes al área de su competencia.</w:t>
      </w:r>
    </w:p>
    <w:p w14:paraId="2B7AF32C" w14:textId="77777777" w:rsidR="00AE30B2" w:rsidRPr="00E6784B" w:rsidRDefault="00AE30B2" w:rsidP="00E6784B">
      <w:pPr>
        <w:pStyle w:val="Puesto"/>
        <w:rPr>
          <w:rFonts w:cs="Tahoma"/>
          <w:bCs/>
          <w:szCs w:val="22"/>
        </w:rPr>
      </w:pPr>
    </w:p>
    <w:p w14:paraId="13F7FB93" w14:textId="05FB95FB" w:rsidR="00AE30B2" w:rsidRPr="00E6784B" w:rsidRDefault="00AE30B2" w:rsidP="00E6784B">
      <w:r w:rsidRPr="00E6784B">
        <w:lastRenderedPageBreak/>
        <w:t>A partir de lo anterior, resulta incuestionable que las Escuelas de Artes y Oficios (EDAYOS), incluyendo la ubicada en Valle de Bravo, forman parte sustantiva y operativa del Instituto de Capacitación y Adiestramiento para el Trabajo Industrial (ICATI), al estar plenamente integradas en su estructura, normatividad y funcionamiento cotidiano. Por tanto, aun cuando no exista una unidad denominada formalmente como "ICATI Valle de Bravo", el hecho de que opere una EDAYO en dicho municipio, bajo la dirección, supervisión y lineamientos del sujeto obligado, acredita que sí existe presencia institucional y que, en consecuencia, el ICATI cuenta con las atribuciones necesarias para conocer y proporcionar la información solicitada.</w:t>
      </w:r>
    </w:p>
    <w:p w14:paraId="1FB56E24" w14:textId="77777777" w:rsidR="00AE30B2" w:rsidRPr="00E6784B" w:rsidRDefault="00AE30B2" w:rsidP="00E6784B"/>
    <w:p w14:paraId="230BA493" w14:textId="2E269FEC" w:rsidR="00874897" w:rsidRPr="00E6784B" w:rsidRDefault="00AE30B2" w:rsidP="00E6784B">
      <w:r w:rsidRPr="00E6784B">
        <w:t>Una vez determinado que el ICATI sí cuenta con presencia en el municipio de Valle de Bravo a través de la Escuela de Artes y Oficios (EDAYO), resulta necesario analizar la fuente obligacional de los puntos requeridos por lo cual se procede a desagregar cada uno de los puntos solicitados ya sea en lo individual o agrupados por tipo de información.</w:t>
      </w:r>
    </w:p>
    <w:p w14:paraId="1AD1E54C" w14:textId="77777777" w:rsidR="00AE30B2" w:rsidRPr="00E6784B" w:rsidRDefault="00AE30B2" w:rsidP="00E6784B"/>
    <w:p w14:paraId="21E46A60" w14:textId="322049A5" w:rsidR="00AE30B2" w:rsidRPr="00E6784B" w:rsidRDefault="00D04E63" w:rsidP="00E6784B">
      <w:pPr>
        <w:rPr>
          <w:rFonts w:cs="Tahoma"/>
          <w:bCs/>
          <w:iCs/>
          <w:szCs w:val="22"/>
        </w:rPr>
      </w:pPr>
      <w:r w:rsidRPr="00E6784B">
        <w:rPr>
          <w:rFonts w:cs="Tahoma"/>
          <w:bCs/>
          <w:szCs w:val="22"/>
        </w:rPr>
        <w:t xml:space="preserve">Por lo que hace a los puntos </w:t>
      </w:r>
      <w:r w:rsidR="00AE30B2" w:rsidRPr="00E6784B">
        <w:rPr>
          <w:rFonts w:cs="Tahoma"/>
          <w:bCs/>
          <w:iCs/>
          <w:szCs w:val="22"/>
        </w:rPr>
        <w:t>1) FUNCIONES.</w:t>
      </w:r>
      <w:r w:rsidRPr="00E6784B">
        <w:rPr>
          <w:rFonts w:cs="Tahoma"/>
          <w:bCs/>
          <w:iCs/>
          <w:szCs w:val="22"/>
        </w:rPr>
        <w:t xml:space="preserve"> </w:t>
      </w:r>
      <w:r w:rsidR="00AE30B2" w:rsidRPr="00E6784B">
        <w:rPr>
          <w:rFonts w:cs="Tahoma"/>
          <w:bCs/>
          <w:iCs/>
          <w:szCs w:val="22"/>
        </w:rPr>
        <w:t>2) DOMICILIO 3) FOTOGRAFIAS EXTERIORES</w:t>
      </w:r>
      <w:r w:rsidRPr="00E6784B">
        <w:rPr>
          <w:rFonts w:cs="Tahoma"/>
          <w:bCs/>
          <w:iCs/>
          <w:szCs w:val="22"/>
        </w:rPr>
        <w:t xml:space="preserve"> </w:t>
      </w:r>
      <w:r w:rsidR="00AE30B2" w:rsidRPr="00E6784B">
        <w:rPr>
          <w:rFonts w:cs="Tahoma"/>
          <w:bCs/>
          <w:iCs/>
          <w:szCs w:val="22"/>
        </w:rPr>
        <w:t>E INTERIORES. 4) LAS FOTOGRAF</w:t>
      </w:r>
      <w:r w:rsidRPr="00E6784B">
        <w:rPr>
          <w:rFonts w:cs="Tahoma"/>
          <w:bCs/>
          <w:iCs/>
          <w:szCs w:val="22"/>
        </w:rPr>
        <w:t xml:space="preserve">IAS DE LAS OFICINAS INTERIORES y </w:t>
      </w:r>
      <w:r w:rsidR="00AE30B2" w:rsidRPr="00E6784B">
        <w:rPr>
          <w:rFonts w:cs="Tahoma"/>
          <w:bCs/>
          <w:iCs/>
          <w:szCs w:val="22"/>
        </w:rPr>
        <w:t xml:space="preserve">9) LOS HORARIOS DE FUNCIONAMIENTO Y ATENCION AL PÚBLICO. </w:t>
      </w:r>
      <w:r w:rsidRPr="00E6784B">
        <w:rPr>
          <w:rFonts w:cs="Tahoma"/>
          <w:bCs/>
          <w:iCs/>
          <w:szCs w:val="22"/>
        </w:rPr>
        <w:t>Tenemos lo siguiente:</w:t>
      </w:r>
    </w:p>
    <w:p w14:paraId="60FB4073" w14:textId="77777777" w:rsidR="00AE30B2" w:rsidRPr="00E6784B" w:rsidRDefault="00AE30B2" w:rsidP="00E6784B">
      <w:pPr>
        <w:tabs>
          <w:tab w:val="left" w:pos="4962"/>
        </w:tabs>
        <w:rPr>
          <w:rFonts w:cs="Tahoma"/>
          <w:bCs/>
          <w:iCs/>
          <w:szCs w:val="22"/>
        </w:rPr>
      </w:pPr>
    </w:p>
    <w:p w14:paraId="4AA9F899" w14:textId="5E1488FF" w:rsidR="00D04E63" w:rsidRPr="00E6784B" w:rsidRDefault="00D04E63" w:rsidP="00E6784B">
      <w:pPr>
        <w:tabs>
          <w:tab w:val="left" w:pos="4962"/>
        </w:tabs>
      </w:pPr>
      <w:r w:rsidRPr="00E6784B">
        <w:rPr>
          <w:rFonts w:cs="Tahoma"/>
          <w:bCs/>
          <w:iCs/>
          <w:szCs w:val="22"/>
        </w:rPr>
        <w:t xml:space="preserve">Respecto al punto de Funciones se advierte que de manera enunciativa mas no limitativa existen diversas disposiciones jurídicas que pueden colmar con la pretensión de la parte recurrente ya que si bien se solicita de manera genérica las funciones generales del EDAYO lo cierto es que los documentos que podrían colmar con dicha pretensión son el </w:t>
      </w:r>
      <w:r w:rsidRPr="00E6784B">
        <w:rPr>
          <w:rStyle w:val="nfasis"/>
          <w:rFonts w:eastAsiaTheme="majorEastAsia"/>
        </w:rPr>
        <w:t xml:space="preserve">Manual de </w:t>
      </w:r>
      <w:r w:rsidRPr="00E6784B">
        <w:rPr>
          <w:rStyle w:val="nfasis"/>
          <w:rFonts w:eastAsiaTheme="majorEastAsia"/>
          <w:szCs w:val="22"/>
        </w:rPr>
        <w:t xml:space="preserve">Organización Tipo de las Escuelas de Artes y Oficios del ICATI </w:t>
      </w:r>
      <w:r w:rsidRPr="00E6784B">
        <w:rPr>
          <w:rStyle w:val="nfasis"/>
          <w:rFonts w:eastAsiaTheme="majorEastAsia"/>
          <w:i w:val="0"/>
          <w:szCs w:val="22"/>
        </w:rPr>
        <w:t>ya que e</w:t>
      </w:r>
      <w:r w:rsidRPr="00E6784B">
        <w:rPr>
          <w:szCs w:val="22"/>
        </w:rPr>
        <w:t xml:space="preserve">ste documento contiene de forma detallada el objetivo institucional de las EDAYOS, así como las funciones específicas </w:t>
      </w:r>
      <w:r w:rsidRPr="00E6784B">
        <w:rPr>
          <w:szCs w:val="22"/>
        </w:rPr>
        <w:lastRenderedPageBreak/>
        <w:t xml:space="preserve">que desarrollan las distintas áreas y figuras operativas (directivos, administrativos, instructores); además el </w:t>
      </w:r>
      <w:r w:rsidRPr="00E6784B">
        <w:rPr>
          <w:rStyle w:val="nfasis"/>
          <w:rFonts w:eastAsiaTheme="majorEastAsia"/>
          <w:szCs w:val="22"/>
        </w:rPr>
        <w:t>Manual General de Organización del ICATI (última versión actualizada publicada en la Gaceta del Gobierno).</w:t>
      </w:r>
      <w:r w:rsidRPr="00E6784B">
        <w:rPr>
          <w:rStyle w:val="nfasis"/>
          <w:rFonts w:eastAsiaTheme="majorEastAsia"/>
          <w:szCs w:val="22"/>
          <w:lang w:eastAsia="es-MX"/>
        </w:rPr>
        <w:t xml:space="preserve"> </w:t>
      </w:r>
      <w:r w:rsidRPr="00E6784B">
        <w:rPr>
          <w:rStyle w:val="nfasis"/>
          <w:rFonts w:eastAsiaTheme="majorEastAsia"/>
          <w:i w:val="0"/>
          <w:szCs w:val="22"/>
          <w:lang w:eastAsia="es-MX"/>
        </w:rPr>
        <w:t>Podría de igual manera robustecer la respuesta para colmar con la pretensión de la parte recurrente</w:t>
      </w:r>
      <w:r w:rsidRPr="00E6784B">
        <w:rPr>
          <w:rStyle w:val="nfasis"/>
          <w:rFonts w:eastAsiaTheme="majorEastAsia"/>
          <w:szCs w:val="22"/>
        </w:rPr>
        <w:t>.</w:t>
      </w:r>
    </w:p>
    <w:p w14:paraId="2665A6B6" w14:textId="77777777" w:rsidR="00AE30B2" w:rsidRPr="00E6784B" w:rsidRDefault="00AE30B2" w:rsidP="00E6784B">
      <w:pPr>
        <w:tabs>
          <w:tab w:val="left" w:pos="4962"/>
        </w:tabs>
        <w:rPr>
          <w:rFonts w:cs="Tahoma"/>
          <w:bCs/>
          <w:iCs/>
          <w:szCs w:val="22"/>
        </w:rPr>
      </w:pPr>
    </w:p>
    <w:p w14:paraId="4F744FF6" w14:textId="5E5041E8" w:rsidR="00D04E63" w:rsidRPr="00E6784B" w:rsidRDefault="00C029DE" w:rsidP="00E6784B">
      <w:pPr>
        <w:tabs>
          <w:tab w:val="left" w:pos="4962"/>
        </w:tabs>
        <w:rPr>
          <w:rFonts w:cs="Tahoma"/>
          <w:bCs/>
          <w:iCs/>
          <w:szCs w:val="22"/>
        </w:rPr>
      </w:pPr>
      <w:r w:rsidRPr="00E6784B">
        <w:rPr>
          <w:rFonts w:cs="Tahoma"/>
          <w:bCs/>
          <w:iCs/>
          <w:szCs w:val="22"/>
        </w:rPr>
        <w:t>Ahora bien por lo que hace al domicilio, fotografías y horarios de funcionamiento y atención al público se advierte la existencia de diversos documentos que pueden contener tal información como lo pueden ser constancias, contratos, documentos que acrediten la propiedad del inmueble, informes institucionales, reportes de actividades, oficios, circulares y/o cualquier documento que contenga la información solicitada, tan es así que dentro de la página institucional del SUJETO OBLIGADO en el apartado de los EDAYOS podemos advertir parte de la información solicitada como se muestra a manera de referencia en la imagen que se inserta a continuación:</w:t>
      </w:r>
    </w:p>
    <w:p w14:paraId="5A309628" w14:textId="493B9E41" w:rsidR="00C029DE" w:rsidRPr="00E6784B" w:rsidRDefault="00C029DE" w:rsidP="00E6784B">
      <w:pPr>
        <w:tabs>
          <w:tab w:val="left" w:pos="4962"/>
        </w:tabs>
        <w:rPr>
          <w:rFonts w:cs="Tahoma"/>
          <w:bCs/>
          <w:iCs/>
          <w:szCs w:val="22"/>
        </w:rPr>
      </w:pPr>
      <w:r w:rsidRPr="00E6784B">
        <w:rPr>
          <w:rFonts w:cs="Tahoma"/>
          <w:bCs/>
          <w:iCs/>
          <w:noProof/>
          <w:szCs w:val="22"/>
          <w:lang w:eastAsia="es-MX"/>
        </w:rPr>
        <w:drawing>
          <wp:inline distT="0" distB="0" distL="0" distR="0" wp14:anchorId="0F330CD1" wp14:editId="4C1DF770">
            <wp:extent cx="5742940" cy="3181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181350"/>
                    </a:xfrm>
                    <a:prstGeom prst="rect">
                      <a:avLst/>
                    </a:prstGeom>
                  </pic:spPr>
                </pic:pic>
              </a:graphicData>
            </a:graphic>
          </wp:inline>
        </w:drawing>
      </w:r>
    </w:p>
    <w:p w14:paraId="0A164A13" w14:textId="77777777" w:rsidR="00D04E63" w:rsidRPr="00E6784B" w:rsidRDefault="00D04E63" w:rsidP="00E6784B">
      <w:pPr>
        <w:tabs>
          <w:tab w:val="left" w:pos="4962"/>
        </w:tabs>
        <w:rPr>
          <w:rFonts w:cs="Tahoma"/>
          <w:bCs/>
          <w:iCs/>
          <w:szCs w:val="22"/>
        </w:rPr>
      </w:pPr>
    </w:p>
    <w:p w14:paraId="59F7F779" w14:textId="1B9B9BA9" w:rsidR="002527D3" w:rsidRPr="00E6784B" w:rsidRDefault="00C029DE" w:rsidP="00E6784B">
      <w:pPr>
        <w:tabs>
          <w:tab w:val="left" w:pos="4962"/>
        </w:tabs>
        <w:rPr>
          <w:rFonts w:cs="Tahoma"/>
          <w:bCs/>
          <w:iCs/>
          <w:szCs w:val="22"/>
        </w:rPr>
      </w:pPr>
      <w:r w:rsidRPr="00E6784B">
        <w:rPr>
          <w:rFonts w:cs="Tahoma"/>
          <w:bCs/>
          <w:iCs/>
          <w:szCs w:val="22"/>
        </w:rPr>
        <w:t>6) LISTA DE TODOS LOS SERVIDORES PUBLICOS QUE LO INTEGRAN.</w:t>
      </w:r>
      <w:r w:rsidR="00451A59" w:rsidRPr="00E6784B">
        <w:rPr>
          <w:rFonts w:cs="Tahoma"/>
          <w:bCs/>
          <w:iCs/>
          <w:szCs w:val="22"/>
        </w:rPr>
        <w:t xml:space="preserve"> 8) GAFETE CON FOTOGRAFIA DE LOS SERVIDORES PUBLICOS QUE LO INTEGRAN.</w:t>
      </w:r>
      <w:r w:rsidR="002527D3" w:rsidRPr="00E6784B">
        <w:rPr>
          <w:rFonts w:cs="Tahoma"/>
          <w:bCs/>
          <w:iCs/>
          <w:szCs w:val="22"/>
        </w:rPr>
        <w:t xml:space="preserve"> 14) LOS SALARIOS Y REMUNERACIONES ANUALES DE TODO EL PERSONAL QUE LABORA JUNTO CON SUS PRESTACIONES DE LEY. </w:t>
      </w:r>
    </w:p>
    <w:p w14:paraId="22F63264" w14:textId="77777777" w:rsidR="002527D3" w:rsidRPr="00E6784B" w:rsidRDefault="002527D3" w:rsidP="00E6784B">
      <w:pPr>
        <w:tabs>
          <w:tab w:val="left" w:pos="4962"/>
        </w:tabs>
        <w:rPr>
          <w:rFonts w:cs="Tahoma"/>
          <w:bCs/>
          <w:iCs/>
          <w:szCs w:val="22"/>
        </w:rPr>
      </w:pPr>
    </w:p>
    <w:p w14:paraId="42040FEF" w14:textId="4E3F17E2" w:rsidR="002527D3" w:rsidRPr="00E6784B" w:rsidRDefault="002527D3" w:rsidP="00E6784B">
      <w:r w:rsidRPr="00E6784B">
        <w:rPr>
          <w:rFonts w:cs="Tahoma"/>
          <w:bCs/>
          <w:iCs/>
          <w:szCs w:val="22"/>
        </w:rPr>
        <w:t>Por lo que hace a los presentes puntos</w:t>
      </w:r>
      <w:r w:rsidRPr="00E6784B">
        <w:rPr>
          <w:rFonts w:eastAsiaTheme="minorHAnsi" w:cstheme="minorBidi"/>
          <w:lang w:eastAsia="en-US"/>
        </w:rPr>
        <w:t xml:space="preserve">, es importante </w:t>
      </w:r>
      <w:r w:rsidRPr="00E6784B">
        <w:t>traer a contexto el contenido del artículo 92 de la Ley de Transparencia Local y lo establecido en los Lineamientos Técnicos Generales para la Publicación, Homologación y Estandarización de la Información de las Obligaciones establecidas en el Título Quinto y en la Fracción IV del Artículo 31 de la Ley de Transparencia y Acceso a la Información Pública; que deben de difundir los Sujetos Obligados en los Portales de Internet y en la Plataforma Nacional de Transparencia, a saber: </w:t>
      </w:r>
    </w:p>
    <w:p w14:paraId="30E41EF0" w14:textId="77777777" w:rsidR="002527D3" w:rsidRPr="00E6784B" w:rsidRDefault="002527D3" w:rsidP="00E6784B">
      <w:pPr>
        <w:ind w:right="560"/>
        <w:rPr>
          <w:rFonts w:ascii="Times New Roman" w:hAnsi="Times New Roman"/>
        </w:rPr>
      </w:pPr>
    </w:p>
    <w:p w14:paraId="3A83B23B" w14:textId="77777777" w:rsidR="002527D3" w:rsidRPr="00E6784B" w:rsidRDefault="002527D3" w:rsidP="00E6784B">
      <w:pPr>
        <w:pStyle w:val="Puesto"/>
        <w:jc w:val="center"/>
      </w:pPr>
      <w:r w:rsidRPr="00E6784B">
        <w:t>“</w:t>
      </w:r>
      <w:r w:rsidRPr="00E6784B">
        <w:rPr>
          <w:b/>
        </w:rPr>
        <w:t>LEY DE TRANSPARENCIA Y ACCESO A LA INFORMACIÓN PÚBLICA DEL ESTADO DE MÉXICO Y MUNICIPIOS.</w:t>
      </w:r>
    </w:p>
    <w:p w14:paraId="6959617D" w14:textId="77777777" w:rsidR="002527D3" w:rsidRPr="00E6784B" w:rsidRDefault="002527D3" w:rsidP="00E6784B">
      <w:pPr>
        <w:pStyle w:val="Puesto"/>
      </w:pPr>
    </w:p>
    <w:p w14:paraId="24FDF35F" w14:textId="77777777" w:rsidR="002527D3" w:rsidRPr="00E6784B" w:rsidRDefault="002527D3" w:rsidP="00E6784B">
      <w:pPr>
        <w:pStyle w:val="Puesto"/>
      </w:pPr>
      <w:r w:rsidRPr="00E6784B">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6E39C3" w14:textId="77777777" w:rsidR="002527D3" w:rsidRPr="00E6784B" w:rsidRDefault="002527D3" w:rsidP="00E6784B">
      <w:pPr>
        <w:pStyle w:val="Puesto"/>
      </w:pPr>
      <w:r w:rsidRPr="00E6784B">
        <w:t>(…)</w:t>
      </w:r>
    </w:p>
    <w:p w14:paraId="48AAB4CC" w14:textId="77777777" w:rsidR="002527D3" w:rsidRPr="00E6784B" w:rsidRDefault="002527D3" w:rsidP="00E6784B">
      <w:pPr>
        <w:pStyle w:val="Puesto"/>
      </w:pPr>
      <w:r w:rsidRPr="00E6784B">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7E6D079" w14:textId="77777777" w:rsidR="002527D3" w:rsidRPr="00E6784B" w:rsidRDefault="002527D3" w:rsidP="00E6784B">
      <w:pPr>
        <w:pStyle w:val="Puesto"/>
      </w:pPr>
    </w:p>
    <w:p w14:paraId="4CD88E0B" w14:textId="77777777" w:rsidR="002527D3" w:rsidRPr="00E6784B" w:rsidRDefault="002527D3" w:rsidP="00E6784B">
      <w:pPr>
        <w:pStyle w:val="Puesto"/>
        <w:jc w:val="center"/>
        <w:rPr>
          <w:b/>
        </w:rPr>
      </w:pPr>
      <w:r w:rsidRPr="00E6784B">
        <w:rPr>
          <w:b/>
        </w:rPr>
        <w:t xml:space="preserve">LINEAMIENTOS TÉCNICOS GENERALES PARA LA PUBLICACIÓN, HOMOLOGACIÓN Y ESTANDARIZACIÓN DE LA INFORMACIÓN DE LAS OBLIGACIONES ESTABLECIDAS EN EL TÍTULO QUINTO Y EN LA </w:t>
      </w:r>
      <w:r w:rsidRPr="00E6784B">
        <w:rPr>
          <w:b/>
        </w:rPr>
        <w:lastRenderedPageBreak/>
        <w:t>FRACCIÓN IV DEL ARTÍCULO 31 DE LA LEY GENERAL DE TRANSPARENCIA Y ACCESO A LA INFORMACIÓN PÚBLICA, QUE DEBEN DE DIFUNDIR LOS SUJETOS OBLIGADOS EN LOS PORTALES DE INTERNET Y EN LA PLATAFORMA NACIONAL DE TRANSPARENCIA</w:t>
      </w:r>
    </w:p>
    <w:p w14:paraId="2ACE1EE7" w14:textId="77777777" w:rsidR="002527D3" w:rsidRPr="00E6784B" w:rsidRDefault="002527D3" w:rsidP="00E6784B">
      <w:pPr>
        <w:pStyle w:val="Puesto"/>
      </w:pPr>
    </w:p>
    <w:p w14:paraId="408454C4" w14:textId="77777777" w:rsidR="002527D3" w:rsidRPr="00E6784B" w:rsidRDefault="002527D3" w:rsidP="00E6784B">
      <w:pPr>
        <w:pStyle w:val="Puesto"/>
      </w:pPr>
      <w:r w:rsidRPr="00E6784B">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FB4BCAB" w14:textId="77777777" w:rsidR="002527D3" w:rsidRPr="00E6784B" w:rsidRDefault="002527D3" w:rsidP="00E6784B">
      <w:pPr>
        <w:pStyle w:val="Puesto"/>
      </w:pPr>
    </w:p>
    <w:p w14:paraId="43B6C151" w14:textId="77777777" w:rsidR="002527D3" w:rsidRPr="00E6784B" w:rsidRDefault="002527D3" w:rsidP="00E6784B">
      <w:pPr>
        <w:pStyle w:val="Puesto"/>
      </w:pPr>
      <w:r w:rsidRPr="00E6784B">
        <w:t>El directorio deberá incluir al menos el nombre, cargo o nombramiento asignado, nivel del puesto en la estructura orgánica, fecha de alta en el cargo, número telefónico, domicilio para recibir correspondencia y dirección de correo electrónico oficiales</w:t>
      </w:r>
    </w:p>
    <w:p w14:paraId="5523080E" w14:textId="77777777" w:rsidR="002527D3" w:rsidRPr="00E6784B" w:rsidRDefault="002527D3" w:rsidP="00E6784B">
      <w:pPr>
        <w:pStyle w:val="Puesto"/>
      </w:pPr>
      <w:r w:rsidRPr="00E6784B">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3BF8F3CD" w14:textId="77777777" w:rsidR="002527D3" w:rsidRPr="00E6784B" w:rsidRDefault="002527D3" w:rsidP="00E6784B">
      <w:pPr>
        <w:pStyle w:val="Puesto"/>
      </w:pPr>
    </w:p>
    <w:p w14:paraId="58ADDCD5" w14:textId="77777777" w:rsidR="002527D3" w:rsidRPr="00E6784B" w:rsidRDefault="002527D3" w:rsidP="00E6784B">
      <w:pPr>
        <w:pStyle w:val="Puesto"/>
      </w:pPr>
      <w:r w:rsidRPr="00E6784B">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20FDBDA9" w14:textId="77777777" w:rsidR="002527D3" w:rsidRPr="00E6784B" w:rsidRDefault="002527D3" w:rsidP="00E6784B"/>
    <w:p w14:paraId="4161AD8C" w14:textId="77777777" w:rsidR="002527D3" w:rsidRPr="00E6784B" w:rsidRDefault="002527D3" w:rsidP="00E6784B">
      <w:r w:rsidRPr="00E6784B">
        <w:t>Por otro lado, el artículo 92, fracción VIII de la Ley de Transparencia y Acceso a la Información Pública del Estado de México y Municipios, antes invocada señala: </w:t>
      </w:r>
    </w:p>
    <w:p w14:paraId="5B4BB3B1" w14:textId="77777777" w:rsidR="002527D3" w:rsidRPr="00E6784B" w:rsidRDefault="002527D3" w:rsidP="00E6784B"/>
    <w:p w14:paraId="0239735B" w14:textId="77777777" w:rsidR="002527D3" w:rsidRPr="00E6784B" w:rsidRDefault="002527D3" w:rsidP="00E6784B">
      <w:pPr>
        <w:spacing w:line="276" w:lineRule="auto"/>
        <w:ind w:left="851" w:right="900"/>
      </w:pPr>
      <w:r w:rsidRPr="00E6784B">
        <w:rPr>
          <w:i/>
        </w:rPr>
        <w:t>“</w:t>
      </w:r>
      <w:r w:rsidRPr="00E6784B">
        <w:rPr>
          <w:b/>
          <w:i/>
        </w:rPr>
        <w:t>Artículo 92.</w:t>
      </w:r>
      <w:r w:rsidRPr="00E6784B">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10B2CAB" w14:textId="77777777" w:rsidR="002527D3" w:rsidRPr="00E6784B" w:rsidRDefault="002527D3" w:rsidP="00E6784B">
      <w:pPr>
        <w:spacing w:line="276" w:lineRule="auto"/>
        <w:ind w:left="851" w:right="900"/>
      </w:pPr>
      <w:r w:rsidRPr="00E6784B">
        <w:rPr>
          <w:i/>
        </w:rPr>
        <w:t>(…)</w:t>
      </w:r>
    </w:p>
    <w:p w14:paraId="54BD8852" w14:textId="77777777" w:rsidR="002527D3" w:rsidRPr="00E6784B" w:rsidRDefault="002527D3" w:rsidP="00E6784B">
      <w:pPr>
        <w:spacing w:line="276" w:lineRule="auto"/>
        <w:ind w:left="851" w:right="900"/>
      </w:pPr>
      <w:r w:rsidRPr="00E6784B">
        <w:rPr>
          <w:b/>
          <w:i/>
        </w:rPr>
        <w:lastRenderedPageBreak/>
        <w:t>VIII.</w:t>
      </w:r>
      <w:r w:rsidRPr="00E6784B">
        <w:rPr>
          <w:i/>
        </w:rPr>
        <w:t xml:space="preserve"> </w:t>
      </w:r>
      <w:r w:rsidRPr="00E6784B">
        <w:rPr>
          <w:b/>
          <w:i/>
          <w:u w:val="single"/>
        </w:rPr>
        <w:t>La remuneración bruta y neta de todos los servidores públicos</w:t>
      </w:r>
      <w:r w:rsidRPr="00E6784B">
        <w:rPr>
          <w:i/>
        </w:rPr>
        <w:t xml:space="preserve"> de base o de confianza, de todas las percepciones, incluyendo sueldos, prestaciones, gratificaciones, primas, comisiones, dietas, bonos, estímulos, ingresos y sistemas de compensación, señalando la periodicidad de dicha remuneración;”</w:t>
      </w:r>
    </w:p>
    <w:p w14:paraId="06238770" w14:textId="77777777" w:rsidR="002527D3" w:rsidRPr="00E6784B" w:rsidRDefault="002527D3" w:rsidP="00E6784B">
      <w:pPr>
        <w:ind w:right="49"/>
      </w:pPr>
    </w:p>
    <w:p w14:paraId="1C0F7868" w14:textId="6A4D71BC" w:rsidR="002527D3" w:rsidRPr="00E6784B" w:rsidRDefault="002527D3" w:rsidP="00E6784B">
      <w:pPr>
        <w:contextualSpacing/>
        <w:rPr>
          <w:rFonts w:cs="Tahoma"/>
          <w:bCs/>
          <w:iCs/>
        </w:rPr>
      </w:pPr>
      <w:r w:rsidRPr="00E6784B">
        <w:rPr>
          <w:rFonts w:cs="Tahoma"/>
          <w:bCs/>
          <w:iC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así como el directorio de todos los servidores públicos.</w:t>
      </w:r>
    </w:p>
    <w:p w14:paraId="309C6AFA" w14:textId="77777777" w:rsidR="00D04E63" w:rsidRPr="00E6784B" w:rsidRDefault="00D04E63" w:rsidP="00E6784B">
      <w:pPr>
        <w:tabs>
          <w:tab w:val="left" w:pos="4962"/>
        </w:tabs>
        <w:rPr>
          <w:rFonts w:cs="Tahoma"/>
          <w:bCs/>
          <w:iCs/>
          <w:szCs w:val="22"/>
        </w:rPr>
      </w:pPr>
    </w:p>
    <w:p w14:paraId="01037CEC" w14:textId="77777777" w:rsidR="002527D3" w:rsidRPr="00E6784B" w:rsidRDefault="002527D3" w:rsidP="00E6784B">
      <w:pPr>
        <w:tabs>
          <w:tab w:val="left" w:pos="4962"/>
        </w:tabs>
        <w:rPr>
          <w:rFonts w:cs="Tahoma"/>
          <w:bCs/>
          <w:iCs/>
          <w:szCs w:val="22"/>
        </w:rPr>
      </w:pPr>
      <w:r w:rsidRPr="00E6784B">
        <w:rPr>
          <w:rFonts w:cs="Tahoma"/>
          <w:bCs/>
          <w:iCs/>
          <w:szCs w:val="22"/>
        </w:rPr>
        <w:t xml:space="preserve">7) LAS FUNCIONES GENERALES Y ESPECIFICAS DE LOS SERVIDORES PUBLICOS QUE LO INTEGRAN. </w:t>
      </w:r>
    </w:p>
    <w:p w14:paraId="7BC0D6ED" w14:textId="77777777" w:rsidR="00D04E63" w:rsidRPr="00E6784B" w:rsidRDefault="00D04E63" w:rsidP="00E6784B">
      <w:pPr>
        <w:tabs>
          <w:tab w:val="left" w:pos="4962"/>
        </w:tabs>
        <w:rPr>
          <w:rFonts w:cs="Tahoma"/>
          <w:bCs/>
          <w:iCs/>
          <w:szCs w:val="22"/>
        </w:rPr>
      </w:pPr>
    </w:p>
    <w:p w14:paraId="68D6998B" w14:textId="77777777" w:rsidR="0033518B" w:rsidRPr="00E6784B" w:rsidRDefault="0033518B" w:rsidP="00E6784B">
      <w:pPr>
        <w:spacing w:after="240"/>
        <w:ind w:right="-93"/>
      </w:pPr>
      <w:r w:rsidRPr="00E6784B">
        <w:rPr>
          <w:rFonts w:cs="Tahoma"/>
          <w:bCs/>
          <w:szCs w:val="22"/>
        </w:rPr>
        <w:t xml:space="preserve">Respecto a las funciones </w:t>
      </w:r>
      <w:r w:rsidRPr="00E6784B">
        <w:t>es preciso señalar que el artículo 31, fracción IV de la Ley General de Transparencia y Acceso a la Información Pública y los Lineamientos Técnicos Generales para la publicación, homologación y estandarización de la información de las obligaciones establecidas en el Título Quinto señalan que los Sujetos Obligados deben de difundir en los portales de Internet,  la estructura orgánica, en el que se advierta por cada puesto y/o cargo: “atribuciones, responsabilidades y/o funciones”.</w:t>
      </w:r>
    </w:p>
    <w:p w14:paraId="0BCD50AD" w14:textId="77777777" w:rsidR="0033518B" w:rsidRPr="00E6784B" w:rsidRDefault="0033518B" w:rsidP="00E6784B">
      <w:pPr>
        <w:spacing w:after="240"/>
        <w:ind w:right="-93"/>
      </w:pPr>
      <w:r w:rsidRPr="00E6784B">
        <w:t xml:space="preserve">Por su parte, la Ley de Transparencia y Acceso a la Información Pública del Estado de México y Municipios, establece en sus artículos 3, fracción XI, 4 y 18 que todo acto que derive del ejercicio de sus facultades debe ser documentado, de igual forma este tipo de documentación </w:t>
      </w:r>
      <w:r w:rsidRPr="00E6784B">
        <w:lastRenderedPageBreak/>
        <w:t>constituye información pública; además, entiende a los documentos como cualquier registro que documente el ejercicio de facultades, funciones y competencias de los Sujetos Obligados, así como de sus servidores públicos e integrantes.</w:t>
      </w:r>
    </w:p>
    <w:p w14:paraId="5E9CB4E4" w14:textId="77777777" w:rsidR="0033518B" w:rsidRPr="00E6784B" w:rsidRDefault="0033518B" w:rsidP="00E6784B">
      <w:pPr>
        <w:spacing w:after="240"/>
        <w:ind w:right="-93"/>
      </w:pPr>
      <w:r w:rsidRPr="00E6784B">
        <w:t>Por su parte, el artículo 92, fracción II del mismo ordenamiento legal, establece que, dentro de las obligaciones comunes, la publicación de manera permanente y actualizada, de acuerdo con sus facultades, atribuciones y funciones; de la estructura orgánica completa, en un formato que permita vincular cada parte de la estructura con sus atribuciones y responsabilidades que le correspondan a cada servidor público de mando medio y superior, prestador de servicios o miembro de los Sujetos Obligados.</w:t>
      </w:r>
    </w:p>
    <w:p w14:paraId="3CD489F0" w14:textId="77777777" w:rsidR="0033518B" w:rsidRPr="00E6784B" w:rsidRDefault="0033518B" w:rsidP="00E6784B">
      <w:r w:rsidRPr="00E6784B">
        <w:t>Además,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40BC805F" w14:textId="77777777" w:rsidR="0033518B" w:rsidRPr="00E6784B" w:rsidRDefault="0033518B" w:rsidP="00E6784B"/>
    <w:p w14:paraId="1A95A198" w14:textId="77777777" w:rsidR="0033518B" w:rsidRPr="00E6784B" w:rsidRDefault="0033518B" w:rsidP="00E6784B">
      <w:r w:rsidRPr="00E6784B">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7964F8F7" w14:textId="77777777" w:rsidR="0033518B" w:rsidRPr="00E6784B" w:rsidRDefault="0033518B" w:rsidP="00E6784B"/>
    <w:p w14:paraId="31B01723" w14:textId="77777777" w:rsidR="0033518B" w:rsidRPr="00E6784B" w:rsidRDefault="0033518B" w:rsidP="00E6784B">
      <w:r w:rsidRPr="00E6784B">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w:t>
      </w:r>
      <w:r w:rsidRPr="00E6784B">
        <w:lastRenderedPageBreak/>
        <w:t>dejar constancia o registro material de las actividades efectuadas con motivo del ejercicio de sus atribuciones de cualquier acto que derive del ejercicio de sus facultades, competencias o funciones.</w:t>
      </w:r>
    </w:p>
    <w:p w14:paraId="4B7479D9" w14:textId="77777777" w:rsidR="0033518B" w:rsidRPr="00E6784B" w:rsidRDefault="0033518B" w:rsidP="00E6784B"/>
    <w:p w14:paraId="31DC0E4E" w14:textId="26B8D325" w:rsidR="00AE30B2" w:rsidRPr="00E6784B" w:rsidRDefault="00451A59" w:rsidP="00E6784B">
      <w:pPr>
        <w:tabs>
          <w:tab w:val="left" w:pos="4962"/>
        </w:tabs>
        <w:rPr>
          <w:rFonts w:cs="Tahoma"/>
          <w:bCs/>
          <w:iCs/>
          <w:szCs w:val="22"/>
        </w:rPr>
      </w:pPr>
      <w:r w:rsidRPr="00E6784B">
        <w:rPr>
          <w:rFonts w:cs="Tahoma"/>
          <w:bCs/>
          <w:iCs/>
          <w:szCs w:val="22"/>
        </w:rPr>
        <w:t xml:space="preserve">Adicional a lo anterior por lo que hace a los puntos </w:t>
      </w:r>
      <w:r w:rsidR="00AE30B2" w:rsidRPr="00E6784B">
        <w:rPr>
          <w:rFonts w:cs="Tahoma"/>
          <w:bCs/>
          <w:iCs/>
          <w:szCs w:val="22"/>
        </w:rPr>
        <w:t>10) CODIGO DE ETICA. 11) EL MANUAL DE ORGANIZACION.</w:t>
      </w:r>
      <w:r w:rsidR="004A5D70" w:rsidRPr="00E6784B">
        <w:rPr>
          <w:rFonts w:cs="Tahoma"/>
          <w:bCs/>
          <w:iCs/>
          <w:szCs w:val="22"/>
        </w:rPr>
        <w:t xml:space="preserve"> </w:t>
      </w:r>
      <w:r w:rsidR="00AE30B2" w:rsidRPr="00E6784B">
        <w:rPr>
          <w:rFonts w:cs="Tahoma"/>
          <w:bCs/>
          <w:iCs/>
          <w:szCs w:val="22"/>
        </w:rPr>
        <w:t xml:space="preserve">12) EL MANUAL DE PROCEDIMIENTOS. </w:t>
      </w:r>
      <w:r w:rsidR="004A5D70" w:rsidRPr="00E6784B">
        <w:rPr>
          <w:rFonts w:cs="Tahoma"/>
          <w:bCs/>
          <w:iCs/>
          <w:szCs w:val="22"/>
        </w:rPr>
        <w:t xml:space="preserve">Y </w:t>
      </w:r>
      <w:r w:rsidR="00AE30B2" w:rsidRPr="00E6784B">
        <w:rPr>
          <w:rFonts w:cs="Tahoma"/>
          <w:bCs/>
          <w:iCs/>
          <w:szCs w:val="22"/>
        </w:rPr>
        <w:t>13) EL REGLAMENTO INTERNO.</w:t>
      </w:r>
    </w:p>
    <w:p w14:paraId="34AA5B5B" w14:textId="77777777" w:rsidR="005A47CB" w:rsidRPr="00E6784B" w:rsidRDefault="005A47CB" w:rsidP="00E6784B">
      <w:pPr>
        <w:pBdr>
          <w:top w:val="nil"/>
          <w:left w:val="nil"/>
          <w:bottom w:val="nil"/>
          <w:right w:val="nil"/>
          <w:between w:val="nil"/>
        </w:pBdr>
        <w:rPr>
          <w:rFonts w:cs="Tahoma"/>
          <w:b/>
          <w:bCs/>
          <w:iCs/>
          <w:szCs w:val="22"/>
        </w:rPr>
      </w:pPr>
    </w:p>
    <w:p w14:paraId="491073B9" w14:textId="27CFBE0D" w:rsidR="00AE371E" w:rsidRPr="00E6784B" w:rsidRDefault="00AE371E" w:rsidP="00E6784B">
      <w:pPr>
        <w:pBdr>
          <w:top w:val="nil"/>
          <w:left w:val="nil"/>
          <w:bottom w:val="nil"/>
          <w:right w:val="nil"/>
          <w:between w:val="nil"/>
        </w:pBdr>
        <w:rPr>
          <w:rFonts w:cs="Tahoma"/>
          <w:b/>
          <w:bCs/>
          <w:szCs w:val="22"/>
        </w:rPr>
      </w:pPr>
      <w:r w:rsidRPr="00E6784B">
        <w:rPr>
          <w:rFonts w:cs="Tahoma"/>
          <w:b/>
          <w:bCs/>
          <w:iCs/>
          <w:szCs w:val="22"/>
        </w:rPr>
        <w:t>CÓDIGO DE ÉTICA</w:t>
      </w:r>
      <w:r w:rsidR="00CC349A" w:rsidRPr="00E6784B">
        <w:rPr>
          <w:rFonts w:cs="Tahoma"/>
          <w:b/>
          <w:bCs/>
          <w:iCs/>
          <w:szCs w:val="22"/>
        </w:rPr>
        <w:t>, MANUAL DE ORGANIZACIÓN Y REGLAMENTO INTERNO</w:t>
      </w:r>
    </w:p>
    <w:p w14:paraId="2B1C1F57" w14:textId="3677FB77" w:rsidR="00AE371E" w:rsidRPr="00E6784B" w:rsidRDefault="00AE371E" w:rsidP="00E6784B">
      <w:pPr>
        <w:pBdr>
          <w:top w:val="nil"/>
          <w:left w:val="nil"/>
          <w:bottom w:val="nil"/>
          <w:right w:val="nil"/>
          <w:between w:val="nil"/>
        </w:pBdr>
        <w:rPr>
          <w:rFonts w:cs="Tahoma"/>
          <w:bCs/>
          <w:szCs w:val="22"/>
        </w:rPr>
      </w:pPr>
    </w:p>
    <w:p w14:paraId="33F6E770" w14:textId="07339537" w:rsidR="00AE371E" w:rsidRPr="00E6784B" w:rsidRDefault="00AE371E" w:rsidP="00E6784B">
      <w:pPr>
        <w:pBdr>
          <w:top w:val="nil"/>
          <w:left w:val="nil"/>
          <w:bottom w:val="nil"/>
          <w:right w:val="nil"/>
          <w:between w:val="nil"/>
        </w:pBdr>
        <w:rPr>
          <w:rFonts w:cs="Tahoma"/>
          <w:bCs/>
          <w:szCs w:val="22"/>
        </w:rPr>
      </w:pPr>
      <w:r w:rsidRPr="00E6784B">
        <w:rPr>
          <w:rFonts w:cs="Tahoma"/>
          <w:bCs/>
          <w:szCs w:val="22"/>
        </w:rPr>
        <w:t xml:space="preserve">Respecto al </w:t>
      </w:r>
      <w:r w:rsidR="005A47CB" w:rsidRPr="00E6784B">
        <w:rPr>
          <w:rFonts w:cs="Tahoma"/>
          <w:bCs/>
          <w:szCs w:val="22"/>
        </w:rPr>
        <w:t xml:space="preserve">Código </w:t>
      </w:r>
      <w:r w:rsidRPr="00E6784B">
        <w:rPr>
          <w:rFonts w:cs="Tahoma"/>
          <w:bCs/>
          <w:szCs w:val="22"/>
        </w:rPr>
        <w:t xml:space="preserve">de </w:t>
      </w:r>
      <w:r w:rsidR="005A47CB" w:rsidRPr="00E6784B">
        <w:rPr>
          <w:rFonts w:cs="Tahoma"/>
          <w:bCs/>
          <w:szCs w:val="22"/>
        </w:rPr>
        <w:t xml:space="preserve">Ética </w:t>
      </w:r>
      <w:r w:rsidRPr="00E6784B">
        <w:t>el artículo 16 de la Ley General de Responsabilidades Administrativas establece que los Servidores Públicos deberán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orienten su desempeño tal como se muestra a continuación:</w:t>
      </w:r>
    </w:p>
    <w:p w14:paraId="0F2E4B7C" w14:textId="77777777" w:rsidR="00AE371E" w:rsidRPr="00E6784B" w:rsidRDefault="00AE371E" w:rsidP="00E6784B">
      <w:pPr>
        <w:pBdr>
          <w:top w:val="nil"/>
          <w:left w:val="nil"/>
          <w:bottom w:val="nil"/>
          <w:right w:val="nil"/>
          <w:between w:val="nil"/>
        </w:pBdr>
        <w:rPr>
          <w:rFonts w:cs="Tahoma"/>
          <w:bCs/>
          <w:szCs w:val="22"/>
        </w:rPr>
      </w:pPr>
    </w:p>
    <w:p w14:paraId="40E29724" w14:textId="728A8685" w:rsidR="00AE371E" w:rsidRPr="00E6784B" w:rsidRDefault="00AE371E" w:rsidP="00E6784B">
      <w:pPr>
        <w:pStyle w:val="Puesto"/>
      </w:pPr>
      <w:r w:rsidRPr="00E6784B">
        <w:rPr>
          <w:b/>
        </w:rPr>
        <w:t>Artículo 16.</w:t>
      </w:r>
      <w:r w:rsidRPr="00E6784B">
        <w:t xml:space="preserve"> Las Personas Servidoras Públicas deberán observar el código de ética y el de conducta según corresponda,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w:t>
      </w:r>
    </w:p>
    <w:p w14:paraId="41D0A4F1" w14:textId="77777777" w:rsidR="00AE371E" w:rsidRPr="00E6784B" w:rsidRDefault="00AE371E" w:rsidP="00E6784B">
      <w:pPr>
        <w:pBdr>
          <w:top w:val="nil"/>
          <w:left w:val="nil"/>
          <w:bottom w:val="nil"/>
          <w:right w:val="nil"/>
          <w:between w:val="nil"/>
        </w:pBdr>
        <w:ind w:left="567" w:right="539"/>
        <w:rPr>
          <w:rFonts w:cs="Tahoma"/>
          <w:bCs/>
          <w:i/>
          <w:szCs w:val="22"/>
        </w:rPr>
      </w:pPr>
    </w:p>
    <w:p w14:paraId="2F7E27E8" w14:textId="6D885815" w:rsidR="00AE371E" w:rsidRPr="00E6784B" w:rsidRDefault="00AE371E" w:rsidP="00E6784B">
      <w:pPr>
        <w:pStyle w:val="Puesto"/>
      </w:pPr>
      <w:r w:rsidRPr="00E6784B">
        <w:t>Los códigos que se refieren en el párrafo anterior, deberán hacerse del conocimiento de las Personas Servidoras Públicas de la dependencia o entidad de que se trate, así como darles la máxima publicidad.</w:t>
      </w:r>
    </w:p>
    <w:p w14:paraId="0C723579" w14:textId="77777777" w:rsidR="00AE371E" w:rsidRPr="00E6784B" w:rsidRDefault="00AE371E" w:rsidP="00E6784B">
      <w:pPr>
        <w:pBdr>
          <w:top w:val="nil"/>
          <w:left w:val="nil"/>
          <w:bottom w:val="nil"/>
          <w:right w:val="nil"/>
          <w:between w:val="nil"/>
        </w:pBdr>
        <w:rPr>
          <w:rFonts w:cs="Tahoma"/>
          <w:bCs/>
          <w:szCs w:val="22"/>
        </w:rPr>
      </w:pPr>
    </w:p>
    <w:p w14:paraId="63EA565C" w14:textId="4DC76D5E" w:rsidR="00AE371E" w:rsidRPr="00E6784B" w:rsidRDefault="00AE371E" w:rsidP="00E6784B">
      <w:pPr>
        <w:pBdr>
          <w:top w:val="nil"/>
          <w:left w:val="nil"/>
          <w:bottom w:val="nil"/>
          <w:right w:val="nil"/>
          <w:between w:val="nil"/>
        </w:pBdr>
      </w:pPr>
      <w:r w:rsidRPr="00E6784B">
        <w:rPr>
          <w:rFonts w:cs="Tahoma"/>
          <w:bCs/>
          <w:szCs w:val="22"/>
        </w:rPr>
        <w:lastRenderedPageBreak/>
        <w:t xml:space="preserve">Posteriormente </w:t>
      </w:r>
      <w:r w:rsidRPr="00E6784B">
        <w:t xml:space="preserve">el 12 de octubre de 2018 se publicaron en el Diario Oficial de la Federación los </w:t>
      </w:r>
      <w:r w:rsidRPr="00E6784B">
        <w:rPr>
          <w:i/>
        </w:rPr>
        <w:t>Lineamientos para la emisión del Código de Ética a que se refiere el artículo 16 de la Ley General de Responsabilidades Administrativas</w:t>
      </w:r>
      <w:r w:rsidRPr="00E6784B">
        <w:t>, mismos que tienen por objeto establecer los elementos a considerar para la emisión del Código de Ética a que se refiere el artículo 16 de la Ley General de Responsabilidades Administrativas, así como establecer las bases y principios rectores que regirán las políticas transversales, integrales, sistemáticas, continuas y evaluables que en materia de integridad y ética pública, emitan los entes públicos, destacando que dichos lineamientos prevén lo siguiente:</w:t>
      </w:r>
    </w:p>
    <w:p w14:paraId="49B4A85E" w14:textId="6626CF89" w:rsidR="00AE371E" w:rsidRPr="00E6784B" w:rsidRDefault="00AE371E" w:rsidP="00E6784B">
      <w:pPr>
        <w:pBdr>
          <w:top w:val="nil"/>
          <w:left w:val="nil"/>
          <w:bottom w:val="nil"/>
          <w:right w:val="nil"/>
          <w:between w:val="nil"/>
        </w:pBdr>
      </w:pPr>
    </w:p>
    <w:p w14:paraId="2EB2C9BE" w14:textId="77777777" w:rsidR="00AE371E" w:rsidRPr="00E6784B" w:rsidRDefault="00AE371E" w:rsidP="00E6784B">
      <w:pPr>
        <w:pStyle w:val="Puesto"/>
        <w:rPr>
          <w:lang w:eastAsia="es-MX"/>
        </w:rPr>
      </w:pPr>
      <w:r w:rsidRPr="00E6784B">
        <w:rPr>
          <w:b/>
          <w:bCs/>
          <w:lang w:eastAsia="es-MX"/>
        </w:rPr>
        <w:t>CUARTO.</w:t>
      </w:r>
      <w:r w:rsidRPr="00E6784B">
        <w:rPr>
          <w:lang w:eastAsia="es-MX"/>
        </w:rPr>
        <w:t> El Código de Ética constituirá un elemento de la política de integridad de los entes públicos, para el fortalecimiento de un servicio público ético e íntegro. Será el instrumento que contendrá los principios y valores considerados como fundamentales para la definición del rol del servicio público y que buscará incidir en el comportamiento y desempeño de las personas servidoras públicas, para formar una ética e identidad profesional compartida y un sentido de orgullo de pertenencia al servicio público.</w:t>
      </w:r>
    </w:p>
    <w:p w14:paraId="59F985D9" w14:textId="77777777" w:rsidR="005A47CB" w:rsidRPr="00E6784B" w:rsidRDefault="005A47CB" w:rsidP="00E6784B">
      <w:pPr>
        <w:pStyle w:val="Puesto"/>
        <w:rPr>
          <w:lang w:eastAsia="es-MX"/>
        </w:rPr>
      </w:pPr>
    </w:p>
    <w:p w14:paraId="1BF24E80" w14:textId="77777777" w:rsidR="00AE371E" w:rsidRPr="00E6784B" w:rsidRDefault="00AE371E" w:rsidP="00E6784B">
      <w:pPr>
        <w:pStyle w:val="Puesto"/>
        <w:rPr>
          <w:lang w:eastAsia="es-MX"/>
        </w:rPr>
      </w:pPr>
      <w:r w:rsidRPr="00E6784B">
        <w:rPr>
          <w:lang w:eastAsia="es-MX"/>
        </w:rPr>
        <w:t>El Código de Ética establecerá mecanismos de capacitación de las personas servidoras públicas en el razonamiento sobre los principios y valores que deberán prevalecer en la toma de decisiones y en el correcto ejercicio de la función pública en una situación dada.</w:t>
      </w:r>
    </w:p>
    <w:p w14:paraId="79F4AE15" w14:textId="4FDFD746" w:rsidR="00AE371E" w:rsidRPr="00E6784B" w:rsidRDefault="00AE371E" w:rsidP="00E6784B">
      <w:pPr>
        <w:pBdr>
          <w:top w:val="nil"/>
          <w:left w:val="nil"/>
          <w:bottom w:val="nil"/>
          <w:right w:val="nil"/>
          <w:between w:val="nil"/>
        </w:pBdr>
        <w:ind w:left="567" w:right="822"/>
        <w:rPr>
          <w:i/>
        </w:rPr>
      </w:pPr>
    </w:p>
    <w:p w14:paraId="59527FC1" w14:textId="0BAA60D1" w:rsidR="00AE371E" w:rsidRPr="00E6784B" w:rsidRDefault="00C879DA" w:rsidP="00E6784B">
      <w:pPr>
        <w:pStyle w:val="Puesto"/>
        <w:rPr>
          <w:shd w:val="clear" w:color="auto" w:fill="FFFFFF"/>
        </w:rPr>
      </w:pPr>
      <w:r w:rsidRPr="00E6784B">
        <w:rPr>
          <w:b/>
          <w:bCs/>
          <w:shd w:val="clear" w:color="auto" w:fill="FFFFFF"/>
        </w:rPr>
        <w:t>DÉCIMO PRIMERO.</w:t>
      </w:r>
      <w:r w:rsidRPr="00E6784B">
        <w:rPr>
          <w:shd w:val="clear" w:color="auto" w:fill="FFFFFF"/>
        </w:rPr>
        <w:t> Para la aplicación del Código de Ética, cada ente público, previa aprobación de su respectivo Órgano Interno de Control, emitirá un Código de Conducta, en el que se especificará de manera puntual y concreta la forma en que las personas servidoras públicas aplicarán los principios, valores y reglas de integridad contenidas en el Código de Ética correspondiente.</w:t>
      </w:r>
    </w:p>
    <w:p w14:paraId="2250D63B" w14:textId="18F04CF9" w:rsidR="00C879DA" w:rsidRPr="00E6784B" w:rsidRDefault="00C879DA" w:rsidP="00E6784B">
      <w:pPr>
        <w:pBdr>
          <w:top w:val="nil"/>
          <w:left w:val="nil"/>
          <w:bottom w:val="nil"/>
          <w:right w:val="nil"/>
          <w:between w:val="nil"/>
        </w:pBdr>
        <w:ind w:left="567" w:right="822"/>
        <w:rPr>
          <w:i/>
          <w:sz w:val="18"/>
          <w:szCs w:val="18"/>
          <w:shd w:val="clear" w:color="auto" w:fill="FFFFFF"/>
        </w:rPr>
      </w:pPr>
    </w:p>
    <w:p w14:paraId="55C5A2EE" w14:textId="19D63173" w:rsidR="00C879DA" w:rsidRPr="00E6784B" w:rsidRDefault="00C879DA" w:rsidP="00E6784B">
      <w:pPr>
        <w:pStyle w:val="Puesto"/>
      </w:pPr>
      <w:r w:rsidRPr="00E6784B">
        <w:rPr>
          <w:b/>
          <w:bCs/>
          <w:shd w:val="clear" w:color="auto" w:fill="FFFFFF"/>
        </w:rPr>
        <w:t>SEGUNDO. </w:t>
      </w:r>
      <w:r w:rsidRPr="00E6784B">
        <w:rPr>
          <w:shd w:val="clear" w:color="auto" w:fill="FFFFFF"/>
        </w:rPr>
        <w:t xml:space="preserve">Los Órganos Internos de Control y las Secretarías deberán emitir sus Códigos de Ética en un plazo de ciento veinte días </w:t>
      </w:r>
      <w:r w:rsidRPr="00E6784B">
        <w:t>naturales</w:t>
      </w:r>
      <w:r w:rsidRPr="00E6784B">
        <w:rPr>
          <w:shd w:val="clear" w:color="auto" w:fill="FFFFFF"/>
        </w:rPr>
        <w:t xml:space="preserve"> a partir de la publicación de estos Lineamientos.</w:t>
      </w:r>
    </w:p>
    <w:p w14:paraId="3922FDD4" w14:textId="11F23727" w:rsidR="00AE371E" w:rsidRPr="00E6784B" w:rsidRDefault="00AE371E" w:rsidP="00E6784B">
      <w:pPr>
        <w:pBdr>
          <w:top w:val="nil"/>
          <w:left w:val="nil"/>
          <w:bottom w:val="nil"/>
          <w:right w:val="nil"/>
          <w:between w:val="nil"/>
        </w:pBdr>
      </w:pPr>
    </w:p>
    <w:p w14:paraId="143A89CB" w14:textId="5F6E83D8" w:rsidR="00AE371E" w:rsidRPr="00E6784B" w:rsidRDefault="00C879DA" w:rsidP="00E6784B">
      <w:pPr>
        <w:pBdr>
          <w:top w:val="nil"/>
          <w:left w:val="nil"/>
          <w:bottom w:val="nil"/>
          <w:right w:val="nil"/>
          <w:between w:val="nil"/>
        </w:pBdr>
      </w:pPr>
      <w:r w:rsidRPr="00E6784B">
        <w:lastRenderedPageBreak/>
        <w:t xml:space="preserve">Este punto impone un </w:t>
      </w:r>
      <w:r w:rsidRPr="00E6784B">
        <w:rPr>
          <w:b/>
          <w:bCs/>
        </w:rPr>
        <w:t>plazo obligatorio</w:t>
      </w:r>
      <w:r w:rsidRPr="00E6784B">
        <w:t xml:space="preserve"> que fue aplicable desde el 12 de octubre de 2018, lo que implica que </w:t>
      </w:r>
      <w:r w:rsidRPr="00E6784B">
        <w:rPr>
          <w:b/>
          <w:bCs/>
        </w:rPr>
        <w:t>a partir de febrero de 2019 todos los entes públicos deberían contar con su Código de Ética actualizado</w:t>
      </w:r>
      <w:r w:rsidRPr="00E6784B">
        <w:t xml:space="preserve"> y aprobado formalmente.</w:t>
      </w:r>
    </w:p>
    <w:p w14:paraId="40F4C527" w14:textId="635571BB" w:rsidR="00AE371E" w:rsidRPr="00E6784B" w:rsidRDefault="00AE371E" w:rsidP="00E6784B">
      <w:pPr>
        <w:pBdr>
          <w:top w:val="nil"/>
          <w:left w:val="nil"/>
          <w:bottom w:val="nil"/>
          <w:right w:val="nil"/>
          <w:between w:val="nil"/>
        </w:pBdr>
      </w:pPr>
    </w:p>
    <w:p w14:paraId="5FF8F743" w14:textId="0D0911F7" w:rsidR="00AE371E" w:rsidRPr="00E6784B" w:rsidRDefault="00C879DA" w:rsidP="00E6784B">
      <w:pPr>
        <w:pBdr>
          <w:top w:val="nil"/>
          <w:left w:val="nil"/>
          <w:bottom w:val="nil"/>
          <w:right w:val="nil"/>
          <w:between w:val="nil"/>
        </w:pBdr>
        <w:rPr>
          <w:rStyle w:val="relative"/>
          <w:rFonts w:eastAsiaTheme="majorEastAsia"/>
        </w:rPr>
      </w:pPr>
      <w:r w:rsidRPr="00E6784B">
        <w:t xml:space="preserve">Luego entonces, </w:t>
      </w:r>
      <w:r w:rsidR="005A47CB" w:rsidRPr="00E6784B">
        <w:rPr>
          <w:b/>
        </w:rPr>
        <w:t>EL SUJETO OBLIGADO</w:t>
      </w:r>
      <w:r w:rsidRPr="00E6784B">
        <w:t>, como organismo descentralizado del Gobierno del Estado de México, emitió su Código de Conducta y Reglas de Integridad, documento que es de observancia obligatoria para todos sus servidores públicos, incluyendo al personal del EDAYO de Valle de Bravo</w:t>
      </w:r>
      <w:r w:rsidRPr="00E6784B">
        <w:rPr>
          <w:rStyle w:val="relative"/>
          <w:rFonts w:eastAsiaTheme="majorEastAsia"/>
        </w:rPr>
        <w:t>.</w:t>
      </w:r>
    </w:p>
    <w:p w14:paraId="4B7CDA29" w14:textId="22A6D30C" w:rsidR="00CC349A" w:rsidRPr="00E6784B" w:rsidRDefault="00CC349A" w:rsidP="00E6784B">
      <w:pPr>
        <w:pBdr>
          <w:top w:val="nil"/>
          <w:left w:val="nil"/>
          <w:bottom w:val="nil"/>
          <w:right w:val="nil"/>
          <w:between w:val="nil"/>
        </w:pBdr>
        <w:rPr>
          <w:rStyle w:val="relative"/>
          <w:rFonts w:eastAsiaTheme="majorEastAsia"/>
        </w:rPr>
      </w:pPr>
    </w:p>
    <w:p w14:paraId="74FB32D2" w14:textId="3D6DE467" w:rsidR="00CC349A" w:rsidRPr="00E6784B" w:rsidRDefault="00CC349A" w:rsidP="00E6784B">
      <w:pPr>
        <w:pBdr>
          <w:top w:val="nil"/>
          <w:left w:val="nil"/>
          <w:bottom w:val="nil"/>
          <w:right w:val="nil"/>
          <w:between w:val="nil"/>
        </w:pBdr>
        <w:rPr>
          <w:rStyle w:val="relative"/>
          <w:rFonts w:eastAsiaTheme="majorEastAsia"/>
        </w:rPr>
      </w:pPr>
      <w:r w:rsidRPr="00E6784B">
        <w:rPr>
          <w:rStyle w:val="relative"/>
          <w:rFonts w:eastAsiaTheme="majorEastAsia"/>
        </w:rPr>
        <w:t xml:space="preserve">Por lo que hace al Manual de Organización </w:t>
      </w:r>
      <w:r w:rsidRPr="00E6784B">
        <w:t xml:space="preserve">existe </w:t>
      </w:r>
      <w:r w:rsidR="005A47CB" w:rsidRPr="00E6784B">
        <w:t>un</w:t>
      </w:r>
      <w:r w:rsidRPr="00E6784B">
        <w:t xml:space="preserve"> Manual de Organización Tipo de las Escuelas de Artes y Oficios </w:t>
      </w:r>
      <w:r w:rsidR="005A47CB" w:rsidRPr="00E6784B">
        <w:t xml:space="preserve">que </w:t>
      </w:r>
      <w:r w:rsidRPr="00E6784B">
        <w:t>documenta la acción organizada de estas para dar cumplimiento a la misión del Instituto de Capacitación y Adiestramiento para el Trabajo Industrial (ICATI), especifica la estructura organizativa, la división del trabajo, los mecanismos de coordinación y comunicación, las funciones y actividades encomendadas, los procesos clave de la organización y los resultados que se obtienen, son algunos de los aspectos que delinean la gestión administrativa de este organismo descentralizado.</w:t>
      </w:r>
    </w:p>
    <w:p w14:paraId="3D7908D9" w14:textId="1B331308" w:rsidR="00CC349A" w:rsidRPr="00E6784B" w:rsidRDefault="00CC349A" w:rsidP="00E6784B">
      <w:pPr>
        <w:pBdr>
          <w:top w:val="nil"/>
          <w:left w:val="nil"/>
          <w:bottom w:val="nil"/>
          <w:right w:val="nil"/>
          <w:between w:val="nil"/>
        </w:pBdr>
        <w:jc w:val="center"/>
        <w:rPr>
          <w:rStyle w:val="relative"/>
          <w:rFonts w:eastAsiaTheme="majorEastAsia"/>
        </w:rPr>
      </w:pPr>
    </w:p>
    <w:p w14:paraId="7F24FD04" w14:textId="77777777" w:rsidR="00CC349A" w:rsidRPr="00E6784B" w:rsidRDefault="00CC349A" w:rsidP="00E6784B">
      <w:pPr>
        <w:pBdr>
          <w:top w:val="nil"/>
          <w:left w:val="nil"/>
          <w:bottom w:val="nil"/>
          <w:right w:val="nil"/>
          <w:between w:val="nil"/>
        </w:pBdr>
        <w:rPr>
          <w:rStyle w:val="relative"/>
          <w:rFonts w:eastAsiaTheme="majorEastAsia"/>
        </w:rPr>
      </w:pPr>
      <w:r w:rsidRPr="00E6784B">
        <w:rPr>
          <w:rStyle w:val="relative"/>
          <w:rFonts w:eastAsiaTheme="majorEastAsia"/>
        </w:rPr>
        <w:t xml:space="preserve">De igual manera es evidente la existencia de un reglamente interior, el cual constituye la norma administrativa interna que regula la organización, atribuciones y funcionamiento del propio Instituto y de sus unidades operativas. En dicho reglamento se contempla expresamente la existencia y operación de los EDAYOS, entre los cuales se encuentra el ubicado en el municipio de Valle de Bravo, por lo que, en términos normativos, dicho instrumento resulta plenamente aplicable solicitud que nos ocupa. </w:t>
      </w:r>
    </w:p>
    <w:p w14:paraId="316F7AA0" w14:textId="77777777" w:rsidR="00CC349A" w:rsidRPr="00E6784B" w:rsidRDefault="00CC349A" w:rsidP="00E6784B">
      <w:pPr>
        <w:pBdr>
          <w:top w:val="nil"/>
          <w:left w:val="nil"/>
          <w:bottom w:val="nil"/>
          <w:right w:val="nil"/>
          <w:between w:val="nil"/>
        </w:pBdr>
        <w:rPr>
          <w:rStyle w:val="relative"/>
          <w:rFonts w:eastAsiaTheme="majorEastAsia"/>
        </w:rPr>
      </w:pPr>
    </w:p>
    <w:p w14:paraId="50A61981" w14:textId="7D0A9AAF" w:rsidR="00CC349A" w:rsidRPr="00E6784B" w:rsidRDefault="00CC349A" w:rsidP="00E6784B">
      <w:pPr>
        <w:pBdr>
          <w:top w:val="nil"/>
          <w:left w:val="nil"/>
          <w:bottom w:val="nil"/>
          <w:right w:val="nil"/>
          <w:between w:val="nil"/>
        </w:pBdr>
        <w:ind w:firstLine="709"/>
        <w:contextualSpacing/>
        <w:rPr>
          <w:rFonts w:eastAsia="Calibri"/>
          <w:sz w:val="24"/>
          <w:lang w:val="es-ES"/>
        </w:rPr>
      </w:pPr>
      <w:r w:rsidRPr="00E6784B">
        <w:rPr>
          <w:rFonts w:eastAsia="Calibri"/>
          <w:sz w:val="24"/>
          <w:lang w:val="es-ES"/>
        </w:rPr>
        <w:lastRenderedPageBreak/>
        <w:t xml:space="preserve">De tal suerte que, al tener acceso a las normatividades solicitadas tal como se muestra a manera de referencia en las imágenes que se insertan líneas abajo, estaríamos ante un hecho notorio, el cual se sustenta conforme a </w:t>
      </w:r>
      <w:r w:rsidR="00E2339C" w:rsidRPr="00E6784B">
        <w:rPr>
          <w:rFonts w:eastAsia="Calibri"/>
          <w:sz w:val="24"/>
          <w:lang w:val="es-ES"/>
        </w:rPr>
        <w:t>la siguiente tesis jurisprudencial</w:t>
      </w:r>
      <w:r w:rsidRPr="00E6784B">
        <w:rPr>
          <w:rFonts w:eastAsia="Calibri"/>
          <w:sz w:val="24"/>
          <w:lang w:val="es-ES"/>
        </w:rPr>
        <w:t>:</w:t>
      </w:r>
    </w:p>
    <w:p w14:paraId="0F2D59E2" w14:textId="77777777" w:rsidR="00CC349A" w:rsidRPr="00E6784B" w:rsidRDefault="00CC349A" w:rsidP="00E6784B">
      <w:pPr>
        <w:pBdr>
          <w:top w:val="nil"/>
          <w:left w:val="nil"/>
          <w:bottom w:val="nil"/>
          <w:right w:val="nil"/>
          <w:between w:val="nil"/>
        </w:pBdr>
        <w:contextualSpacing/>
        <w:rPr>
          <w:rFonts w:eastAsia="Calibri"/>
          <w:sz w:val="24"/>
          <w:lang w:val="es-ES"/>
        </w:rPr>
      </w:pPr>
    </w:p>
    <w:p w14:paraId="59DDFBC8" w14:textId="77777777" w:rsidR="00CC349A" w:rsidRPr="00E6784B" w:rsidRDefault="00CC349A" w:rsidP="00E6784B">
      <w:pPr>
        <w:pBdr>
          <w:top w:val="nil"/>
          <w:left w:val="nil"/>
          <w:bottom w:val="nil"/>
          <w:right w:val="nil"/>
          <w:between w:val="nil"/>
        </w:pBdr>
        <w:spacing w:line="240" w:lineRule="auto"/>
        <w:ind w:left="567" w:right="567"/>
        <w:contextualSpacing/>
        <w:rPr>
          <w:rFonts w:eastAsia="Calibri"/>
          <w:b/>
          <w:i/>
          <w:lang w:val="es-ES"/>
        </w:rPr>
      </w:pPr>
      <w:r w:rsidRPr="00E6784B">
        <w:rPr>
          <w:rFonts w:eastAsia="Calibri"/>
          <w:b/>
          <w:i/>
          <w:lang w:val="es-ES"/>
        </w:rPr>
        <w:t>“HECHOS NOTORIOS. CONCEPTOS GENERAL Y JURÍDICO</w:t>
      </w:r>
    </w:p>
    <w:p w14:paraId="5AC3128B" w14:textId="5A8AFA11" w:rsidR="00CC349A" w:rsidRPr="00E6784B" w:rsidRDefault="00CC349A" w:rsidP="00E6784B">
      <w:pPr>
        <w:pBdr>
          <w:top w:val="nil"/>
          <w:left w:val="nil"/>
          <w:bottom w:val="nil"/>
          <w:right w:val="nil"/>
          <w:between w:val="nil"/>
        </w:pBdr>
        <w:spacing w:line="240" w:lineRule="auto"/>
        <w:ind w:left="567" w:right="567"/>
        <w:contextualSpacing/>
        <w:rPr>
          <w:rFonts w:eastAsia="Calibri"/>
          <w:i/>
          <w:lang w:val="es-ES"/>
        </w:rPr>
      </w:pPr>
      <w:r w:rsidRPr="00E6784B">
        <w:rPr>
          <w:rFonts w:eastAsia="Calibri"/>
          <w:b/>
          <w:i/>
          <w:lang w:val="es-ES"/>
        </w:rPr>
        <w:t xml:space="preserve">Conforme al artículo </w:t>
      </w:r>
      <w:hyperlink r:id="rId16">
        <w:r w:rsidRPr="00E6784B">
          <w:rPr>
            <w:rStyle w:val="Hipervnculo"/>
            <w:rFonts w:eastAsia="Calibri"/>
            <w:b/>
            <w:i/>
            <w:color w:val="auto"/>
            <w:lang w:val="es-ES"/>
          </w:rPr>
          <w:t>88 del Código Federal de Procedimientos Civiles</w:t>
        </w:r>
      </w:hyperlink>
      <w:r w:rsidRPr="00E6784B">
        <w:rPr>
          <w:rFonts w:eastAsia="Calibri"/>
          <w:b/>
          <w:i/>
          <w:lang w:val="es-ES"/>
        </w:rPr>
        <w:t xml:space="preserve"> los tribunales pueden invocar hechos notorios aunque no hayan sido alegados ni probados por las partes.</w:t>
      </w:r>
      <w:r w:rsidRPr="00E6784B">
        <w:rPr>
          <w:rFonts w:eastAsia="Calibri"/>
          <w:i/>
          <w:lang w:val="es-ES"/>
        </w:rPr>
        <w:t xml:space="preserve"> Por hechos notorios deben entenderse, en general, aquellos que por el conocimiento humano se consideran ciertos e indiscutibles, ya sea que pertenezcan a la historia, a la ciencia, a la naturaleza</w:t>
      </w:r>
      <w:r w:rsidRPr="00E6784B">
        <w:rPr>
          <w:rFonts w:eastAsia="Calibri"/>
          <w:b/>
          <w:i/>
          <w:lang w:val="es-ES"/>
        </w:rPr>
        <w:t>, a las vicisitudes de la vida pública actual o a circunstancias comúnmente conocidas en un determinado lugar</w:t>
      </w:r>
      <w:r w:rsidRPr="00E6784B">
        <w:rPr>
          <w:rFonts w:eastAsia="Calibri"/>
          <w:i/>
          <w:lang w:val="es-ES"/>
        </w:rPr>
        <w:t xml:space="preserve">, </w:t>
      </w:r>
      <w:r w:rsidRPr="00E6784B">
        <w:rPr>
          <w:rFonts w:eastAsia="Calibri"/>
          <w:b/>
          <w:i/>
          <w:lang w:val="es-ES"/>
        </w:rPr>
        <w:t>de modo que toda persona de ese medio esté en condiciones de saberlo</w:t>
      </w:r>
      <w:r w:rsidRPr="00E6784B">
        <w:rPr>
          <w:rFonts w:eastAsia="Calibri"/>
          <w:i/>
          <w:lang w:val="es-ES"/>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08AB386A" w14:textId="77777777" w:rsidR="00CC349A" w:rsidRPr="00E6784B" w:rsidRDefault="00CC349A" w:rsidP="00E6784B">
      <w:pPr>
        <w:pBdr>
          <w:top w:val="nil"/>
          <w:left w:val="nil"/>
          <w:bottom w:val="nil"/>
          <w:right w:val="nil"/>
          <w:between w:val="nil"/>
        </w:pBdr>
        <w:contextualSpacing/>
        <w:rPr>
          <w:rFonts w:eastAsia="Calibri"/>
          <w:sz w:val="24"/>
          <w:lang w:val="es-ES"/>
        </w:rPr>
      </w:pPr>
    </w:p>
    <w:p w14:paraId="2DEA4A0A" w14:textId="161F616E" w:rsidR="00B97F66" w:rsidRPr="00E6784B" w:rsidRDefault="00B97F66" w:rsidP="00E6784B">
      <w:pPr>
        <w:pBdr>
          <w:top w:val="nil"/>
          <w:left w:val="nil"/>
          <w:bottom w:val="nil"/>
          <w:right w:val="nil"/>
          <w:between w:val="nil"/>
        </w:pBdr>
        <w:contextualSpacing/>
        <w:rPr>
          <w:rFonts w:eastAsia="Calibri"/>
          <w:sz w:val="24"/>
          <w:lang w:val="es-ES_tradnl"/>
        </w:rPr>
      </w:pPr>
      <w:r w:rsidRPr="00E6784B">
        <w:rPr>
          <w:noProof/>
          <w:lang w:eastAsia="es-MX"/>
          <w14:ligatures w14:val="standardContextual"/>
        </w:rPr>
        <w:drawing>
          <wp:inline distT="0" distB="0" distL="0" distR="0" wp14:anchorId="4CE97C2C" wp14:editId="0B7791A1">
            <wp:extent cx="5742940" cy="749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749300"/>
                    </a:xfrm>
                    <a:prstGeom prst="rect">
                      <a:avLst/>
                    </a:prstGeom>
                  </pic:spPr>
                </pic:pic>
              </a:graphicData>
            </a:graphic>
          </wp:inline>
        </w:drawing>
      </w:r>
    </w:p>
    <w:p w14:paraId="6F548F62" w14:textId="77777777" w:rsidR="00B97F66" w:rsidRPr="00E6784B" w:rsidRDefault="00B97F66" w:rsidP="00E6784B">
      <w:pPr>
        <w:pBdr>
          <w:top w:val="nil"/>
          <w:left w:val="nil"/>
          <w:bottom w:val="nil"/>
          <w:right w:val="nil"/>
          <w:between w:val="nil"/>
        </w:pBdr>
        <w:contextualSpacing/>
        <w:rPr>
          <w:rFonts w:eastAsia="Calibri"/>
          <w:sz w:val="24"/>
          <w:lang w:val="es-ES_tradnl"/>
        </w:rPr>
      </w:pPr>
    </w:p>
    <w:p w14:paraId="4F40C63E" w14:textId="5B04429C" w:rsidR="00B97F66" w:rsidRPr="00E6784B" w:rsidRDefault="00B97F66" w:rsidP="00E6784B">
      <w:pPr>
        <w:pBdr>
          <w:top w:val="nil"/>
          <w:left w:val="nil"/>
          <w:bottom w:val="nil"/>
          <w:right w:val="nil"/>
          <w:between w:val="nil"/>
        </w:pBdr>
        <w:contextualSpacing/>
        <w:rPr>
          <w:rFonts w:eastAsia="Calibri"/>
          <w:sz w:val="24"/>
          <w:lang w:val="es-ES_tradnl"/>
        </w:rPr>
      </w:pPr>
      <w:r w:rsidRPr="00E6784B">
        <w:rPr>
          <w:noProof/>
          <w:lang w:eastAsia="es-MX"/>
          <w14:ligatures w14:val="standardContextual"/>
        </w:rPr>
        <w:drawing>
          <wp:inline distT="0" distB="0" distL="0" distR="0" wp14:anchorId="4D7C3D0D" wp14:editId="695BCAB6">
            <wp:extent cx="5742940" cy="14071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1407160"/>
                    </a:xfrm>
                    <a:prstGeom prst="rect">
                      <a:avLst/>
                    </a:prstGeom>
                  </pic:spPr>
                </pic:pic>
              </a:graphicData>
            </a:graphic>
          </wp:inline>
        </w:drawing>
      </w:r>
    </w:p>
    <w:p w14:paraId="3D9B0BC6" w14:textId="77777777" w:rsidR="00B97F66" w:rsidRPr="00E6784B" w:rsidRDefault="00B97F66" w:rsidP="00E6784B">
      <w:pPr>
        <w:pBdr>
          <w:top w:val="nil"/>
          <w:left w:val="nil"/>
          <w:bottom w:val="nil"/>
          <w:right w:val="nil"/>
          <w:between w:val="nil"/>
        </w:pBdr>
        <w:contextualSpacing/>
        <w:rPr>
          <w:rFonts w:eastAsia="Calibri"/>
          <w:sz w:val="24"/>
          <w:lang w:val="es-ES_tradnl"/>
        </w:rPr>
      </w:pPr>
    </w:p>
    <w:p w14:paraId="1C212C34" w14:textId="48639534" w:rsidR="00B97F66" w:rsidRPr="00E6784B" w:rsidRDefault="00B97F66" w:rsidP="00E6784B">
      <w:pPr>
        <w:pBdr>
          <w:top w:val="nil"/>
          <w:left w:val="nil"/>
          <w:bottom w:val="nil"/>
          <w:right w:val="nil"/>
          <w:between w:val="nil"/>
        </w:pBdr>
        <w:contextualSpacing/>
        <w:rPr>
          <w:rFonts w:eastAsia="Calibri"/>
          <w:sz w:val="24"/>
          <w:lang w:val="es-ES_tradnl"/>
        </w:rPr>
      </w:pPr>
      <w:r w:rsidRPr="00E6784B">
        <w:rPr>
          <w:noProof/>
          <w:lang w:eastAsia="es-MX"/>
          <w14:ligatures w14:val="standardContextual"/>
        </w:rPr>
        <w:drawing>
          <wp:inline distT="0" distB="0" distL="0" distR="0" wp14:anchorId="2F5FBBB1" wp14:editId="7AC23DEB">
            <wp:extent cx="5742940" cy="17056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1705610"/>
                    </a:xfrm>
                    <a:prstGeom prst="rect">
                      <a:avLst/>
                    </a:prstGeom>
                  </pic:spPr>
                </pic:pic>
              </a:graphicData>
            </a:graphic>
          </wp:inline>
        </w:drawing>
      </w:r>
    </w:p>
    <w:p w14:paraId="1F2C6CD1" w14:textId="56BC92DE" w:rsidR="00C879DA" w:rsidRPr="00E6784B" w:rsidRDefault="00CC349A" w:rsidP="00E6784B">
      <w:pPr>
        <w:pBdr>
          <w:top w:val="nil"/>
          <w:left w:val="nil"/>
          <w:bottom w:val="nil"/>
          <w:right w:val="nil"/>
          <w:between w:val="nil"/>
        </w:pBdr>
        <w:contextualSpacing/>
        <w:rPr>
          <w:rStyle w:val="relative"/>
          <w:rFonts w:eastAsiaTheme="majorEastAsia"/>
        </w:rPr>
      </w:pPr>
      <w:r w:rsidRPr="00E6784B">
        <w:rPr>
          <w:rFonts w:eastAsia="Calibri"/>
          <w:sz w:val="24"/>
          <w:lang w:val="es-ES_tradnl"/>
        </w:rPr>
        <w:t xml:space="preserve">Con base en lo anterior, se ordena al </w:t>
      </w:r>
      <w:r w:rsidR="008727C4" w:rsidRPr="00E6784B">
        <w:rPr>
          <w:rFonts w:eastAsia="Calibri"/>
          <w:b/>
          <w:sz w:val="24"/>
          <w:lang w:val="es-ES_tradnl"/>
        </w:rPr>
        <w:t>SUJETO OBLIGADO</w:t>
      </w:r>
      <w:r w:rsidR="008727C4" w:rsidRPr="00E6784B">
        <w:rPr>
          <w:rFonts w:eastAsia="Calibri"/>
          <w:sz w:val="24"/>
          <w:lang w:val="es-ES_tradnl"/>
        </w:rPr>
        <w:t xml:space="preserve"> </w:t>
      </w:r>
      <w:r w:rsidRPr="00E6784B">
        <w:rPr>
          <w:rFonts w:eastAsia="Calibri"/>
          <w:sz w:val="24"/>
          <w:lang w:val="es-ES_tradnl"/>
        </w:rPr>
        <w:t xml:space="preserve">haga una búsqueda en sus archivos de la información, debiendo en su caso hacer entrega de la </w:t>
      </w:r>
      <w:r w:rsidR="00B97F66" w:rsidRPr="00E6784B">
        <w:rPr>
          <w:rFonts w:eastAsia="Calibri"/>
          <w:sz w:val="24"/>
          <w:lang w:val="es-ES_tradnl"/>
        </w:rPr>
        <w:t>misma.</w:t>
      </w:r>
    </w:p>
    <w:p w14:paraId="17B976DD" w14:textId="18F76E66" w:rsidR="00C879DA" w:rsidRPr="00E6784B" w:rsidRDefault="00C879DA" w:rsidP="00E6784B">
      <w:pPr>
        <w:pBdr>
          <w:top w:val="nil"/>
          <w:left w:val="nil"/>
          <w:bottom w:val="nil"/>
          <w:right w:val="nil"/>
          <w:between w:val="nil"/>
        </w:pBdr>
        <w:rPr>
          <w:rStyle w:val="relative"/>
          <w:rFonts w:eastAsiaTheme="majorEastAsia"/>
        </w:rPr>
      </w:pPr>
    </w:p>
    <w:p w14:paraId="6752F7EC" w14:textId="53092CCB" w:rsidR="00C879DA" w:rsidRPr="00E6784B" w:rsidRDefault="00B70458" w:rsidP="00E6784B">
      <w:pPr>
        <w:pBdr>
          <w:top w:val="nil"/>
          <w:left w:val="nil"/>
          <w:bottom w:val="nil"/>
          <w:right w:val="nil"/>
          <w:between w:val="nil"/>
        </w:pBdr>
        <w:rPr>
          <w:rStyle w:val="relative"/>
          <w:rFonts w:eastAsiaTheme="majorEastAsia"/>
          <w:b/>
        </w:rPr>
      </w:pPr>
      <w:r w:rsidRPr="00E6784B">
        <w:rPr>
          <w:rStyle w:val="relative"/>
          <w:rFonts w:eastAsiaTheme="majorEastAsia"/>
          <w:b/>
        </w:rPr>
        <w:t>MANUAL DE PROCEDIMIENTOS</w:t>
      </w:r>
    </w:p>
    <w:p w14:paraId="5FE7DE03" w14:textId="598C2A1B" w:rsidR="00C879DA" w:rsidRPr="00E6784B" w:rsidRDefault="00C879DA" w:rsidP="00E6784B">
      <w:pPr>
        <w:pBdr>
          <w:top w:val="nil"/>
          <w:left w:val="nil"/>
          <w:bottom w:val="nil"/>
          <w:right w:val="nil"/>
          <w:between w:val="nil"/>
        </w:pBdr>
        <w:rPr>
          <w:rStyle w:val="relative"/>
          <w:rFonts w:eastAsiaTheme="majorEastAsia"/>
        </w:rPr>
      </w:pPr>
    </w:p>
    <w:p w14:paraId="4ECBA940" w14:textId="77777777" w:rsidR="00B70458" w:rsidRPr="00E6784B" w:rsidRDefault="00B70458" w:rsidP="00E6784B">
      <w:pPr>
        <w:pBdr>
          <w:top w:val="nil"/>
          <w:left w:val="nil"/>
          <w:bottom w:val="nil"/>
          <w:right w:val="nil"/>
          <w:between w:val="nil"/>
        </w:pBdr>
      </w:pPr>
      <w:r w:rsidRPr="00E6784B">
        <w:t xml:space="preserve">Por lo que hace al manual de procedimientos, éste constituye instrumentos técnicos y administrativos esenciales para el funcionamiento ordenado y eficiente de las dependencias y entidades públicas, ya que permiten documentar de manera clara y sistemática las actividades que integran los procesos institucionales, señalando qué se hace, cómo se hace, quién lo hace y con qué insumos, a fin de estandarizar la operación, delimitar responsabilidades, facilitar la capacitación del personal, asegurar la continuidad institucional, fortalecer el control interno y prevenir actos de discrecionalidad o corrupción. </w:t>
      </w:r>
    </w:p>
    <w:p w14:paraId="6E9D9924" w14:textId="77777777" w:rsidR="00B70458" w:rsidRPr="00E6784B" w:rsidRDefault="00B70458" w:rsidP="00E6784B">
      <w:pPr>
        <w:pBdr>
          <w:top w:val="nil"/>
          <w:left w:val="nil"/>
          <w:bottom w:val="nil"/>
          <w:right w:val="nil"/>
          <w:between w:val="nil"/>
        </w:pBdr>
      </w:pPr>
    </w:p>
    <w:p w14:paraId="60EB3520" w14:textId="77777777" w:rsidR="00CC349A" w:rsidRPr="00E6784B" w:rsidRDefault="00B70458" w:rsidP="00E6784B">
      <w:r w:rsidRPr="00E6784B">
        <w:t xml:space="preserve">Siendo un componente indispensable en la política de integridad y rendición de cuentas del servicio público. En este sentido, los manuales de procedimientos coadyuvan al cumplimiento de los principios de legalidad, eficiencia, eficacia, economía, transparencia y honradez en la administración pública, </w:t>
      </w:r>
      <w:r w:rsidR="00CC349A" w:rsidRPr="00E6784B">
        <w:rPr>
          <w:bCs/>
        </w:rPr>
        <w:t xml:space="preserve">sin embargo, en el supuesto de que posterior a la búsqueda exhaustiva </w:t>
      </w:r>
      <w:r w:rsidR="00CC349A" w:rsidRPr="00E6784B">
        <w:rPr>
          <w:bCs/>
        </w:rPr>
        <w:lastRenderedPageBreak/>
        <w:t xml:space="preserve">y razonable no se localice información, bastará con que así lo haga del conocimiento de </w:t>
      </w:r>
      <w:r w:rsidR="00CC349A" w:rsidRPr="00E6784B">
        <w:rPr>
          <w:b/>
          <w:bCs/>
        </w:rPr>
        <w:t>LA PARTE RECURRENTE</w:t>
      </w:r>
      <w:r w:rsidR="00CC349A" w:rsidRPr="00E6784B">
        <w:rPr>
          <w:bCs/>
        </w:rPr>
        <w:t xml:space="preserve">, </w:t>
      </w:r>
      <w:r w:rsidR="00CC349A" w:rsidRPr="00E6784B">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3A61EA83" w14:textId="77777777" w:rsidR="00CC349A" w:rsidRPr="00E6784B" w:rsidRDefault="00CC349A" w:rsidP="00E6784B"/>
    <w:p w14:paraId="596E6DEB" w14:textId="77777777" w:rsidR="00CC349A" w:rsidRPr="00E6784B" w:rsidRDefault="00CC349A" w:rsidP="00E6784B">
      <w:pPr>
        <w:pStyle w:val="Puesto"/>
        <w:rPr>
          <w:b/>
        </w:rPr>
      </w:pPr>
      <w:r w:rsidRPr="00E6784B">
        <w:t>“</w:t>
      </w:r>
      <w:r w:rsidRPr="00E6784B">
        <w:rPr>
          <w:b/>
        </w:rPr>
        <w:t>Artículo 19…</w:t>
      </w:r>
    </w:p>
    <w:p w14:paraId="7C7BB166" w14:textId="77777777" w:rsidR="00CC349A" w:rsidRPr="00E6784B" w:rsidRDefault="00CC349A" w:rsidP="00E6784B">
      <w:pPr>
        <w:pStyle w:val="Puesto"/>
      </w:pPr>
      <w:r w:rsidRPr="00E6784B">
        <w:rPr>
          <w:b/>
        </w:rPr>
        <w:t>En los casos en que ciertas facultades, competencias o funciones no se hayan ejercido, se debe motivar la respuesta en función de las causas que motiven tal circunstancia</w:t>
      </w:r>
      <w:r w:rsidRPr="00E6784B">
        <w:t>.”</w:t>
      </w:r>
    </w:p>
    <w:p w14:paraId="7138453E" w14:textId="1CB4BE4C" w:rsidR="00C879DA" w:rsidRPr="00E6784B" w:rsidRDefault="00C879DA" w:rsidP="00E6784B">
      <w:pPr>
        <w:pBdr>
          <w:top w:val="nil"/>
          <w:left w:val="nil"/>
          <w:bottom w:val="nil"/>
          <w:right w:val="nil"/>
          <w:between w:val="nil"/>
        </w:pBdr>
        <w:rPr>
          <w:rStyle w:val="relative"/>
          <w:rFonts w:eastAsiaTheme="majorEastAsia"/>
        </w:rPr>
      </w:pPr>
    </w:p>
    <w:p w14:paraId="26DAD3A9" w14:textId="6C594940" w:rsidR="00F265E2" w:rsidRPr="00E6784B" w:rsidRDefault="00B97F66" w:rsidP="00E6784B">
      <w:pPr>
        <w:pBdr>
          <w:top w:val="nil"/>
          <w:left w:val="nil"/>
          <w:bottom w:val="nil"/>
          <w:right w:val="nil"/>
          <w:between w:val="nil"/>
        </w:pBdr>
        <w:rPr>
          <w:rFonts w:eastAsia="Palatino Linotype" w:cs="Palatino Linotype"/>
          <w:szCs w:val="22"/>
        </w:rPr>
      </w:pPr>
      <w:r w:rsidRPr="00E6784B">
        <w:rPr>
          <w:rFonts w:cs="Tahoma"/>
          <w:bCs/>
          <w:szCs w:val="22"/>
        </w:rPr>
        <w:t>Finalmente es</w:t>
      </w:r>
      <w:r w:rsidR="00F265E2" w:rsidRPr="00E6784B">
        <w:rPr>
          <w:rFonts w:cs="Tahoma"/>
          <w:bCs/>
          <w:szCs w:val="22"/>
        </w:rPr>
        <w:t xml:space="preserve"> de precisarse que cualquier normatividad </w:t>
      </w:r>
      <w:r w:rsidR="00F265E2" w:rsidRPr="00E6784B">
        <w:rPr>
          <w:rFonts w:eastAsia="Palatino Linotype" w:cs="Palatino Linotype"/>
          <w:szCs w:val="22"/>
        </w:rPr>
        <w:t>se relaciona con la obligación de transparencia común contenida en la fracción I del artículo 92 de la Ley de Transparencia Local, como se muestra a continuación:</w:t>
      </w:r>
    </w:p>
    <w:p w14:paraId="33F6BB82"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p>
    <w:p w14:paraId="1B843E26"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r w:rsidRPr="00E6784B">
        <w:rPr>
          <w:rFonts w:eastAsia="Palatino Linotype" w:cs="Palatino Linotype"/>
          <w:i/>
          <w:szCs w:val="22"/>
        </w:rPr>
        <w:t>“</w:t>
      </w:r>
      <w:r w:rsidRPr="00E6784B">
        <w:rPr>
          <w:rFonts w:eastAsia="Palatino Linotype" w:cs="Palatino Linotype"/>
          <w:b/>
          <w:i/>
          <w:szCs w:val="22"/>
        </w:rPr>
        <w:t xml:space="preserve">Artículo 92. </w:t>
      </w:r>
      <w:r w:rsidRPr="00E6784B">
        <w:rPr>
          <w:rFonts w:eastAsia="Palatino Linotype" w:cs="Palatino Linotype"/>
          <w:i/>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B50FC11"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p>
    <w:p w14:paraId="2CE2DDDC"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r w:rsidRPr="00E6784B">
        <w:rPr>
          <w:rFonts w:eastAsia="Palatino Linotype" w:cs="Palatino Linotype"/>
          <w:b/>
          <w:i/>
          <w:szCs w:val="22"/>
        </w:rPr>
        <w:t>I. El marco normativo aplicable al sujeto obligado, en el que deberá incluirse</w:t>
      </w:r>
      <w:r w:rsidRPr="00E6784B">
        <w:rPr>
          <w:rFonts w:eastAsia="Palatino Linotype" w:cs="Palatino Linotype"/>
          <w:i/>
          <w:szCs w:val="22"/>
        </w:rPr>
        <w:t xml:space="preserve"> leyes, códigos, reglamentos, decretos de creación, acuerdos, </w:t>
      </w:r>
      <w:r w:rsidRPr="00E6784B">
        <w:rPr>
          <w:rFonts w:eastAsia="Palatino Linotype" w:cs="Palatino Linotype"/>
          <w:b/>
          <w:bCs/>
          <w:i/>
          <w:szCs w:val="22"/>
        </w:rPr>
        <w:t>convenios</w:t>
      </w:r>
      <w:r w:rsidRPr="00E6784B">
        <w:rPr>
          <w:rFonts w:eastAsia="Palatino Linotype" w:cs="Palatino Linotype"/>
          <w:i/>
          <w:szCs w:val="22"/>
        </w:rPr>
        <w:t xml:space="preserve">, </w:t>
      </w:r>
      <w:r w:rsidRPr="00E6784B">
        <w:rPr>
          <w:rFonts w:eastAsia="Palatino Linotype" w:cs="Palatino Linotype"/>
          <w:bCs/>
          <w:i/>
          <w:szCs w:val="22"/>
        </w:rPr>
        <w:t>manuales de organización</w:t>
      </w:r>
      <w:r w:rsidRPr="00E6784B">
        <w:rPr>
          <w:rFonts w:eastAsia="Palatino Linotype" w:cs="Palatino Linotype"/>
          <w:i/>
          <w:szCs w:val="22"/>
        </w:rPr>
        <w:t xml:space="preserve"> y procedimientos, reglas de operación, criterios, políticas, entre otros;</w:t>
      </w:r>
    </w:p>
    <w:p w14:paraId="166617EB"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p>
    <w:p w14:paraId="65B0416D"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r w:rsidRPr="00E6784B">
        <w:rPr>
          <w:rFonts w:eastAsia="Palatino Linotype" w:cs="Palatino Linotype"/>
          <w:i/>
          <w:szCs w:val="22"/>
        </w:rPr>
        <w:t>[…]”</w:t>
      </w:r>
    </w:p>
    <w:p w14:paraId="35CACF23" w14:textId="77777777" w:rsidR="00F265E2" w:rsidRPr="00E6784B" w:rsidRDefault="00F265E2" w:rsidP="00E6784B">
      <w:pPr>
        <w:pBdr>
          <w:top w:val="nil"/>
          <w:left w:val="nil"/>
          <w:bottom w:val="nil"/>
          <w:right w:val="nil"/>
          <w:between w:val="nil"/>
        </w:pBdr>
        <w:spacing w:line="276" w:lineRule="auto"/>
        <w:ind w:left="567" w:right="560"/>
        <w:rPr>
          <w:rFonts w:eastAsia="Palatino Linotype" w:cs="Palatino Linotype"/>
          <w:i/>
          <w:szCs w:val="22"/>
        </w:rPr>
      </w:pPr>
    </w:p>
    <w:p w14:paraId="407931B4" w14:textId="77777777" w:rsidR="00F265E2" w:rsidRPr="00E6784B" w:rsidRDefault="00F265E2" w:rsidP="00E6784B">
      <w:pPr>
        <w:pBdr>
          <w:top w:val="nil"/>
          <w:left w:val="nil"/>
          <w:bottom w:val="nil"/>
          <w:right w:val="nil"/>
          <w:between w:val="nil"/>
        </w:pBdr>
        <w:spacing w:line="276" w:lineRule="auto"/>
        <w:ind w:left="567" w:right="560"/>
        <w:jc w:val="right"/>
        <w:rPr>
          <w:rFonts w:eastAsia="Palatino Linotype" w:cs="Palatino Linotype"/>
          <w:i/>
          <w:szCs w:val="22"/>
        </w:rPr>
      </w:pPr>
      <w:r w:rsidRPr="00E6784B">
        <w:rPr>
          <w:rFonts w:eastAsia="Palatino Linotype" w:cs="Palatino Linotype"/>
          <w:i/>
          <w:szCs w:val="22"/>
        </w:rPr>
        <w:t>(Énfasis añadido)</w:t>
      </w:r>
    </w:p>
    <w:p w14:paraId="0474A4E1" w14:textId="77777777" w:rsidR="00F265E2" w:rsidRPr="00E6784B" w:rsidRDefault="00F265E2" w:rsidP="00E6784B">
      <w:pPr>
        <w:pBdr>
          <w:top w:val="nil"/>
          <w:left w:val="nil"/>
          <w:bottom w:val="nil"/>
          <w:right w:val="nil"/>
          <w:between w:val="nil"/>
        </w:pBdr>
        <w:rPr>
          <w:rFonts w:eastAsia="Palatino Linotype" w:cs="Palatino Linotype"/>
          <w:szCs w:val="22"/>
        </w:rPr>
      </w:pPr>
    </w:p>
    <w:p w14:paraId="09E60117" w14:textId="77777777" w:rsidR="00F265E2" w:rsidRPr="00E6784B" w:rsidRDefault="00F265E2" w:rsidP="00E6784B">
      <w:pPr>
        <w:pBdr>
          <w:top w:val="nil"/>
          <w:left w:val="nil"/>
          <w:bottom w:val="nil"/>
          <w:right w:val="nil"/>
          <w:between w:val="nil"/>
        </w:pBdr>
        <w:rPr>
          <w:rFonts w:eastAsia="Palatino Linotype" w:cs="Palatino Linotype"/>
          <w:szCs w:val="22"/>
        </w:rPr>
      </w:pPr>
      <w:r w:rsidRPr="00E6784B">
        <w:rPr>
          <w:rFonts w:eastAsia="Palatino Linotype" w:cs="Palatino Linotype"/>
          <w:szCs w:val="22"/>
        </w:rPr>
        <w:lastRenderedPageBreak/>
        <w:t xml:space="preserve">De la porción normativa transcrita, se desprende que constituye una obligación de transparencia común de los sujetos obligados poner a disposición del público de manera permanente y actualizada de forma sencilla, precisa y entendible, el marco normativo aplicable al ente público, que incluya, entre otros, </w:t>
      </w:r>
      <w:r w:rsidRPr="00E6784B">
        <w:rPr>
          <w:rFonts w:eastAsia="Palatino Linotype" w:cs="Palatino Linotype"/>
          <w:b/>
          <w:szCs w:val="22"/>
        </w:rPr>
        <w:t>convenios</w:t>
      </w:r>
      <w:r w:rsidRPr="00E6784B">
        <w:rPr>
          <w:rFonts w:eastAsia="Palatino Linotype" w:cs="Palatino Linotype"/>
          <w:szCs w:val="22"/>
        </w:rPr>
        <w:t>; hipótesis que resulta aplicable al caso que nos ocupa.</w:t>
      </w:r>
    </w:p>
    <w:p w14:paraId="12A9A55E" w14:textId="77777777" w:rsidR="00D04E63" w:rsidRPr="00E6784B" w:rsidRDefault="00D04E63" w:rsidP="00E6784B">
      <w:pPr>
        <w:tabs>
          <w:tab w:val="left" w:pos="4962"/>
        </w:tabs>
        <w:rPr>
          <w:rFonts w:cs="Tahoma"/>
          <w:bCs/>
          <w:iCs/>
          <w:szCs w:val="22"/>
        </w:rPr>
      </w:pPr>
    </w:p>
    <w:p w14:paraId="75045AF6" w14:textId="3870F824" w:rsidR="00F265E2" w:rsidRPr="00E6784B" w:rsidRDefault="00F265E2" w:rsidP="00E6784B">
      <w:pPr>
        <w:tabs>
          <w:tab w:val="left" w:pos="4962"/>
        </w:tabs>
        <w:rPr>
          <w:rFonts w:cs="Tahoma"/>
          <w:bCs/>
        </w:rPr>
      </w:pPr>
      <w:r w:rsidRPr="00E6784B">
        <w:rPr>
          <w:rFonts w:cs="Tahoma"/>
          <w:szCs w:val="22"/>
        </w:rPr>
        <w:t>Por todo lo anterior,</w:t>
      </w:r>
      <w:r w:rsidRPr="00E6784B">
        <w:t xml:space="preserve"> </w:t>
      </w:r>
      <w:r w:rsidRPr="00E6784B">
        <w:rPr>
          <w:rFonts w:cs="Tahoma"/>
        </w:rPr>
        <w:t xml:space="preserve">es </w:t>
      </w:r>
      <w:r w:rsidRPr="00E6784B">
        <w:rPr>
          <w:rFonts w:cs="Tahoma"/>
          <w:bCs/>
        </w:rPr>
        <w:t xml:space="preserve">necesario hacer referencia </w:t>
      </w:r>
      <w:r w:rsidRPr="00E6784B">
        <w:rPr>
          <w:rFonts w:cs="Tahoma"/>
        </w:rPr>
        <w:t xml:space="preserve">al </w:t>
      </w:r>
      <w:r w:rsidRPr="00E6784B">
        <w:rPr>
          <w:rFonts w:cs="Tahoma"/>
          <w:b/>
        </w:rPr>
        <w:t>procedimiento de búsqueda que deben de seguir los Sujetos Obligados para localizar la información</w:t>
      </w:r>
      <w:r w:rsidRPr="00E6784B">
        <w:rPr>
          <w:rFonts w:cs="Tahoma"/>
        </w:rPr>
        <w:t>, el cual se encuentra previsto en los artículos</w:t>
      </w:r>
      <w:r w:rsidRPr="00E6784B">
        <w:rPr>
          <w:rFonts w:cs="Tahoma"/>
          <w:bCs/>
        </w:rPr>
        <w:t xml:space="preserve"> 160 y 162 de la Ley de Transparencia y Acceso a la Información Pública del Estado de México y Municipios, mismo que es el siguiente:</w:t>
      </w:r>
    </w:p>
    <w:p w14:paraId="43227498" w14:textId="77777777" w:rsidR="00F265E2" w:rsidRPr="00E6784B" w:rsidRDefault="00F265E2" w:rsidP="00E6784B">
      <w:pPr>
        <w:rPr>
          <w:rFonts w:cs="Tahoma"/>
        </w:rPr>
      </w:pPr>
    </w:p>
    <w:p w14:paraId="1BDFD458" w14:textId="77777777" w:rsidR="00F265E2" w:rsidRPr="00E6784B" w:rsidRDefault="00F265E2" w:rsidP="00E6784B">
      <w:pPr>
        <w:numPr>
          <w:ilvl w:val="0"/>
          <w:numId w:val="24"/>
        </w:numPr>
        <w:rPr>
          <w:rFonts w:cs="Tahoma"/>
          <w:bCs/>
        </w:rPr>
      </w:pPr>
      <w:r w:rsidRPr="00E6784B">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4E207BC" w14:textId="77777777" w:rsidR="00F265E2" w:rsidRPr="00E6784B" w:rsidRDefault="00F265E2" w:rsidP="00E6784B">
      <w:pPr>
        <w:rPr>
          <w:rFonts w:cs="Tahoma"/>
          <w:bCs/>
        </w:rPr>
      </w:pPr>
    </w:p>
    <w:p w14:paraId="1E4FBA59" w14:textId="77777777" w:rsidR="00F265E2" w:rsidRPr="00E6784B" w:rsidRDefault="00F265E2" w:rsidP="00E6784B">
      <w:pPr>
        <w:numPr>
          <w:ilvl w:val="0"/>
          <w:numId w:val="24"/>
        </w:numPr>
        <w:rPr>
          <w:rFonts w:cs="Tahoma"/>
          <w:bCs/>
        </w:rPr>
      </w:pPr>
      <w:r w:rsidRPr="00E6784B">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3ACB654" w14:textId="77777777" w:rsidR="00F265E2" w:rsidRPr="00E6784B" w:rsidRDefault="00F265E2" w:rsidP="00E6784B">
      <w:pPr>
        <w:rPr>
          <w:rFonts w:cs="Tahoma"/>
          <w:b/>
          <w:bCs/>
        </w:rPr>
      </w:pPr>
    </w:p>
    <w:p w14:paraId="43DBB817" w14:textId="62D58950" w:rsidR="00F265E2" w:rsidRPr="00E6784B" w:rsidRDefault="00F265E2" w:rsidP="00E6784B">
      <w:r w:rsidRPr="00E6784B">
        <w:lastRenderedPageBreak/>
        <w:t>Así, este Órgano Garante considera que el Sujeto Obligado no cumplió con el procedimiento de búsqueda exhaustiva y razonable, pues no gestionó la solicitud de información en las diversas unidades en donde pudiera obrar citada información.</w:t>
      </w:r>
    </w:p>
    <w:p w14:paraId="5F3222B2" w14:textId="77777777" w:rsidR="00F265E2" w:rsidRPr="00E6784B" w:rsidRDefault="00F265E2" w:rsidP="00E6784B"/>
    <w:p w14:paraId="001D2FDA" w14:textId="77777777" w:rsidR="00F265E2" w:rsidRPr="00E6784B" w:rsidRDefault="00F265E2" w:rsidP="00E6784B">
      <w:pPr>
        <w:rPr>
          <w:rFonts w:cs="Tahoma"/>
          <w:b/>
          <w:bCs/>
        </w:rPr>
      </w:pPr>
      <w:r w:rsidRPr="00E6784B">
        <w:rPr>
          <w:rFonts w:cs="Tahoma"/>
          <w:lang w:eastAsia="es-MX"/>
        </w:rPr>
        <w:t xml:space="preserve">En esa tesitura, se concluye que el </w:t>
      </w:r>
      <w:r w:rsidRPr="00E6784B">
        <w:rPr>
          <w:rFonts w:cs="Tahoma"/>
          <w:b/>
          <w:bCs/>
          <w:lang w:eastAsia="es-MX"/>
        </w:rPr>
        <w:t>SUJETO OBLIGADO</w:t>
      </w:r>
      <w:r w:rsidRPr="00E6784B">
        <w:rPr>
          <w:rFonts w:cs="Tahoma"/>
          <w:lang w:eastAsia="es-MX"/>
        </w:rPr>
        <w:t xml:space="preserve"> no satisfizo el derecho de acceso </w:t>
      </w:r>
      <w:r w:rsidRPr="00E6784B">
        <w:rPr>
          <w:rFonts w:eastAsia="Calibri" w:cs="Tahoma"/>
          <w:bCs/>
        </w:rPr>
        <w:t xml:space="preserve">a la información de </w:t>
      </w:r>
      <w:r w:rsidRPr="00E6784B">
        <w:rPr>
          <w:rFonts w:eastAsia="Calibri" w:cs="Tahoma"/>
          <w:b/>
          <w:bCs/>
          <w:iCs/>
        </w:rPr>
        <w:t>LA PARTE RECURRENTE</w:t>
      </w:r>
      <w:r w:rsidRPr="00E6784B">
        <w:rPr>
          <w:rFonts w:eastAsia="Calibri" w:cs="Tahoma"/>
          <w:bCs/>
        </w:rPr>
        <w:t xml:space="preserve">, </w:t>
      </w:r>
      <w:r w:rsidRPr="00E6784B">
        <w:rPr>
          <w:rFonts w:eastAsia="Calibri" w:cs="Tahoma"/>
          <w:b/>
          <w:bCs/>
        </w:rPr>
        <w:t xml:space="preserve">al incumplir dicho principio, </w:t>
      </w:r>
      <w:r w:rsidRPr="00E6784B">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E6784B">
        <w:rPr>
          <w:rFonts w:eastAsia="Calibri" w:cs="Tahoma"/>
          <w:b/>
          <w:bCs/>
        </w:rPr>
        <w:t>FUNDADO.</w:t>
      </w:r>
    </w:p>
    <w:p w14:paraId="7AC15C03" w14:textId="77777777" w:rsidR="00F265E2" w:rsidRPr="00E6784B" w:rsidRDefault="00F265E2" w:rsidP="00E6784B"/>
    <w:p w14:paraId="5DA7C963" w14:textId="6787BB2B" w:rsidR="00664420" w:rsidRPr="00E6784B" w:rsidRDefault="00BD5A7C" w:rsidP="00E6784B">
      <w:pPr>
        <w:pStyle w:val="Ttulo3"/>
      </w:pPr>
      <w:bookmarkStart w:id="28" w:name="_Toc199971964"/>
      <w:r w:rsidRPr="00E6784B">
        <w:t>d</w:t>
      </w:r>
      <w:r w:rsidR="00A21A20" w:rsidRPr="00E6784B">
        <w:t>)</w:t>
      </w:r>
      <w:r w:rsidR="00664420" w:rsidRPr="00E6784B">
        <w:t xml:space="preserve"> Versión pública</w:t>
      </w:r>
      <w:bookmarkEnd w:id="28"/>
    </w:p>
    <w:p w14:paraId="20B03CFE" w14:textId="401FB7F4" w:rsidR="00AC3CA0" w:rsidRPr="00E6784B" w:rsidRDefault="007F5D06" w:rsidP="00E6784B">
      <w:pPr>
        <w:rPr>
          <w:bCs/>
        </w:rPr>
      </w:pPr>
      <w:r w:rsidRPr="00E6784B">
        <w:t>P</w:t>
      </w:r>
      <w:r w:rsidR="00AC3CA0" w:rsidRPr="00E6784B">
        <w:t xml:space="preserve">ara el caso de que el o los documentos de los cuales se ordena su entrega contengan datos personales susceptibles de ser testados, deberán ser entregados en </w:t>
      </w:r>
      <w:r w:rsidR="00AC3CA0" w:rsidRPr="00E6784B">
        <w:rPr>
          <w:b/>
        </w:rPr>
        <w:t>versión pública</w:t>
      </w:r>
      <w:r w:rsidRPr="00E6784B">
        <w:t>,</w:t>
      </w:r>
      <w:r w:rsidR="00AC3CA0" w:rsidRPr="00E6784B">
        <w:t xml:space="preserve"> pues el</w:t>
      </w:r>
      <w:r w:rsidR="00AC3CA0" w:rsidRPr="00E6784B">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E6784B" w:rsidRDefault="00AC3CA0" w:rsidP="00E6784B">
      <w:pPr>
        <w:rPr>
          <w:rFonts w:eastAsia="Calibri"/>
          <w:bCs/>
          <w:lang w:eastAsia="en-US"/>
        </w:rPr>
      </w:pPr>
    </w:p>
    <w:p w14:paraId="13DAE086" w14:textId="0C1C7ADD" w:rsidR="00AC3CA0" w:rsidRPr="00E6784B" w:rsidRDefault="00AC3CA0" w:rsidP="00E6784B">
      <w:pPr>
        <w:rPr>
          <w:bCs/>
        </w:rPr>
      </w:pPr>
      <w:r w:rsidRPr="00E6784B">
        <w:rPr>
          <w:bCs/>
        </w:rPr>
        <w:t xml:space="preserve">A este respecto, los artículos 3, fracciones IX, XX, XXI y </w:t>
      </w:r>
      <w:r w:rsidR="007F5D06" w:rsidRPr="00E6784B">
        <w:rPr>
          <w:bCs/>
        </w:rPr>
        <w:t>XLV; 51</w:t>
      </w:r>
      <w:r w:rsidRPr="00E6784B">
        <w:rPr>
          <w:bCs/>
        </w:rPr>
        <w:t xml:space="preserve"> y 52 de la Ley de Transparencia y Acceso a la Información Pública del Estado de México y Municipios establecen:</w:t>
      </w:r>
    </w:p>
    <w:p w14:paraId="4EE42F33" w14:textId="77777777" w:rsidR="00AC3CA0" w:rsidRPr="00E6784B" w:rsidRDefault="00AC3CA0" w:rsidP="00E6784B"/>
    <w:p w14:paraId="22F38C0C" w14:textId="77777777" w:rsidR="00AC3CA0" w:rsidRPr="00E6784B" w:rsidRDefault="00AC3CA0" w:rsidP="00E6784B">
      <w:pPr>
        <w:pStyle w:val="Puesto"/>
      </w:pPr>
      <w:r w:rsidRPr="00E6784B">
        <w:rPr>
          <w:b/>
          <w:bCs/>
          <w:noProof/>
        </w:rPr>
        <w:t>“</w:t>
      </w:r>
      <w:r w:rsidRPr="00E6784B">
        <w:rPr>
          <w:b/>
          <w:bCs/>
        </w:rPr>
        <w:t xml:space="preserve">Artículo 3. </w:t>
      </w:r>
      <w:r w:rsidRPr="00E6784B">
        <w:t xml:space="preserve">Para los efectos de la presente Ley se entenderá por: </w:t>
      </w:r>
    </w:p>
    <w:p w14:paraId="74507E00" w14:textId="77777777" w:rsidR="00AC3CA0" w:rsidRPr="00E6784B" w:rsidRDefault="00AC3CA0" w:rsidP="00E6784B">
      <w:pPr>
        <w:pStyle w:val="Puesto"/>
      </w:pPr>
      <w:r w:rsidRPr="00E6784B">
        <w:rPr>
          <w:b/>
        </w:rPr>
        <w:t>IX.</w:t>
      </w:r>
      <w:r w:rsidRPr="00E6784B">
        <w:t xml:space="preserve"> </w:t>
      </w:r>
      <w:r w:rsidRPr="00E6784B">
        <w:rPr>
          <w:b/>
        </w:rPr>
        <w:t xml:space="preserve">Datos personales: </w:t>
      </w:r>
      <w:r w:rsidRPr="00E6784B">
        <w:t xml:space="preserve">La información concerniente a una persona, identificada o identificable según lo dispuesto por la Ley de Protección de Datos Personales del Estado de México; </w:t>
      </w:r>
    </w:p>
    <w:p w14:paraId="320759AF" w14:textId="77777777" w:rsidR="002B7C6F" w:rsidRPr="00E6784B" w:rsidRDefault="002B7C6F" w:rsidP="00E6784B"/>
    <w:p w14:paraId="4EFEB771" w14:textId="77777777" w:rsidR="00AC3CA0" w:rsidRPr="00E6784B" w:rsidRDefault="00AC3CA0" w:rsidP="00E6784B">
      <w:pPr>
        <w:pStyle w:val="Puesto"/>
      </w:pPr>
      <w:r w:rsidRPr="00E6784B">
        <w:rPr>
          <w:b/>
        </w:rPr>
        <w:t>XX.</w:t>
      </w:r>
      <w:r w:rsidRPr="00E6784B">
        <w:t xml:space="preserve"> </w:t>
      </w:r>
      <w:r w:rsidRPr="00E6784B">
        <w:rPr>
          <w:b/>
        </w:rPr>
        <w:t>Información clasificada:</w:t>
      </w:r>
      <w:r w:rsidRPr="00E6784B">
        <w:t xml:space="preserve"> Aquella considerada por la presente Ley como reservada o confidencial; </w:t>
      </w:r>
    </w:p>
    <w:p w14:paraId="5DA95E10" w14:textId="77777777" w:rsidR="002B7C6F" w:rsidRPr="00E6784B" w:rsidRDefault="002B7C6F" w:rsidP="00E6784B"/>
    <w:p w14:paraId="1CD04431" w14:textId="77777777" w:rsidR="00AC3CA0" w:rsidRPr="00E6784B" w:rsidRDefault="00AC3CA0" w:rsidP="00E6784B">
      <w:pPr>
        <w:pStyle w:val="Puesto"/>
      </w:pPr>
      <w:r w:rsidRPr="00E6784B">
        <w:rPr>
          <w:b/>
        </w:rPr>
        <w:t>XXI.</w:t>
      </w:r>
      <w:r w:rsidRPr="00E6784B">
        <w:t xml:space="preserve"> </w:t>
      </w:r>
      <w:r w:rsidRPr="00E6784B">
        <w:rPr>
          <w:b/>
        </w:rPr>
        <w:t>Información confidencial</w:t>
      </w:r>
      <w:r w:rsidRPr="00E6784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E6784B" w:rsidRDefault="002B7C6F" w:rsidP="00E6784B"/>
    <w:p w14:paraId="7CD4D2FB" w14:textId="77777777" w:rsidR="00AC3CA0" w:rsidRPr="00E6784B" w:rsidRDefault="00AC3CA0" w:rsidP="00E6784B">
      <w:pPr>
        <w:pStyle w:val="Puesto"/>
      </w:pPr>
      <w:r w:rsidRPr="00E6784B">
        <w:rPr>
          <w:b/>
        </w:rPr>
        <w:t>XLV. Versión pública:</w:t>
      </w:r>
      <w:r w:rsidRPr="00E6784B">
        <w:t xml:space="preserve"> Documento en el que se elimine, suprime o borra la información clasificada como reservada o confidencial para permitir su acceso. </w:t>
      </w:r>
    </w:p>
    <w:p w14:paraId="1ACE9141" w14:textId="77777777" w:rsidR="002B7C6F" w:rsidRPr="00E6784B" w:rsidRDefault="002B7C6F" w:rsidP="00E6784B"/>
    <w:p w14:paraId="0BAED675" w14:textId="178B54DE" w:rsidR="00AC3CA0" w:rsidRPr="00E6784B" w:rsidRDefault="00AC3CA0" w:rsidP="00E6784B">
      <w:pPr>
        <w:pStyle w:val="Puesto"/>
      </w:pPr>
      <w:r w:rsidRPr="00E6784B">
        <w:rPr>
          <w:b/>
        </w:rPr>
        <w:t>Artículo 51.</w:t>
      </w:r>
      <w:r w:rsidRPr="00E6784B">
        <w:t xml:space="preserve"> Los sujetos obligados designaran a un responsable para atender la Unidad de Transparencia, quien fungirá como enlace entre éstos y los solicitantes. Dicha Unidad será la encargada de tramitar internamente la solicitud de información </w:t>
      </w:r>
      <w:r w:rsidRPr="00E6784B">
        <w:rPr>
          <w:b/>
        </w:rPr>
        <w:t xml:space="preserve">y tendrá la responsabilidad de verificar en cada caso que la misma no sea confidencial o reservada. </w:t>
      </w:r>
      <w:r w:rsidRPr="00E6784B">
        <w:t>Dicha Unidad contará con las facultades internas necesarias para gestionar la atención a las solicitudes de información en los términos de la Ley General y la presente Ley.</w:t>
      </w:r>
    </w:p>
    <w:p w14:paraId="54D7F3F5" w14:textId="77777777" w:rsidR="002B7C6F" w:rsidRPr="00E6784B" w:rsidRDefault="002B7C6F" w:rsidP="00E6784B"/>
    <w:p w14:paraId="5AB2B52F" w14:textId="68BEB541" w:rsidR="00AC3CA0" w:rsidRPr="00E6784B" w:rsidRDefault="00AC3CA0" w:rsidP="00E6784B">
      <w:pPr>
        <w:pStyle w:val="Puesto"/>
      </w:pPr>
      <w:r w:rsidRPr="00E6784B">
        <w:rPr>
          <w:b/>
        </w:rPr>
        <w:t>Artículo 52.</w:t>
      </w:r>
      <w:r w:rsidRPr="00E6784B">
        <w:t xml:space="preserve"> Las solicitudes de acceso a la información y las respuestas que se les dé, incluyendo, en su caso, </w:t>
      </w:r>
      <w:r w:rsidRPr="00E6784B">
        <w:rPr>
          <w:u w:val="single"/>
        </w:rPr>
        <w:t>la información entregada, así como las resoluciones a los recursos que en su caso se promuevan serán públicas, y de ser el caso que contenga datos personales que deban ser protegidos se podrá dar su acceso en su versión pública</w:t>
      </w:r>
      <w:r w:rsidRPr="00E6784B">
        <w:t>, siempre y cuando la resolución de referencia se someta a un proceso de disociación, es decir, no haga identificable al titular de tales datos personales.</w:t>
      </w:r>
      <w:r w:rsidRPr="00E6784B">
        <w:rPr>
          <w:bCs/>
          <w:noProof/>
        </w:rPr>
        <w:t>”</w:t>
      </w:r>
      <w:r w:rsidR="007F5D06" w:rsidRPr="00E6784B">
        <w:rPr>
          <w:bCs/>
          <w:noProof/>
        </w:rPr>
        <w:t xml:space="preserve"> </w:t>
      </w:r>
      <w:r w:rsidRPr="00E6784B">
        <w:rPr>
          <w:i w:val="0"/>
          <w:iCs/>
          <w:szCs w:val="22"/>
        </w:rPr>
        <w:t>(Énfasis añadido)</w:t>
      </w:r>
    </w:p>
    <w:p w14:paraId="14DDB49A" w14:textId="77777777" w:rsidR="00AC3CA0" w:rsidRPr="00E6784B" w:rsidRDefault="00AC3CA0" w:rsidP="00E6784B"/>
    <w:p w14:paraId="18663A56" w14:textId="530412FA" w:rsidR="00AC3CA0" w:rsidRPr="00E6784B" w:rsidRDefault="00AC3CA0" w:rsidP="00E6784B">
      <w:r w:rsidRPr="00E6784B">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E6784B">
        <w:t xml:space="preserve">se </w:t>
      </w:r>
      <w:r w:rsidRPr="00E6784B">
        <w:t>efectúe deberá estar justificado en la Ley, lo anterior en términos de lo dispuesto por el artículo 22, párrafo primero</w:t>
      </w:r>
      <w:r w:rsidR="007F5D06" w:rsidRPr="00E6784B">
        <w:t>,</w:t>
      </w:r>
      <w:r w:rsidRPr="00E6784B">
        <w:t xml:space="preserve"> </w:t>
      </w:r>
      <w:r w:rsidR="007F5D06" w:rsidRPr="00E6784B">
        <w:t>relacionado</w:t>
      </w:r>
      <w:r w:rsidRPr="00E6784B">
        <w:t xml:space="preserve"> con el 38 de la Ley de Protección de Datos Personales en Posesión de Sujetos Obligados del Estado de México y Municipios, los cuales se transcriben para mayor referencia: </w:t>
      </w:r>
    </w:p>
    <w:p w14:paraId="24D8A62C" w14:textId="77777777" w:rsidR="00AC3CA0" w:rsidRPr="00E6784B" w:rsidRDefault="00AC3CA0" w:rsidP="00E6784B"/>
    <w:p w14:paraId="266BB0EA" w14:textId="01A7285C" w:rsidR="00AC3CA0" w:rsidRPr="00E6784B" w:rsidRDefault="00AC3CA0" w:rsidP="00E6784B">
      <w:pPr>
        <w:pStyle w:val="Puesto"/>
        <w:rPr>
          <w:rFonts w:eastAsia="Arial Unicode MS"/>
        </w:rPr>
      </w:pPr>
      <w:r w:rsidRPr="00E6784B">
        <w:rPr>
          <w:rFonts w:eastAsia="Arial Unicode MS"/>
          <w:b/>
        </w:rPr>
        <w:t>“Artículo 22.</w:t>
      </w:r>
      <w:r w:rsidRPr="00E6784B">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E6784B" w:rsidRDefault="002B7C6F" w:rsidP="00E6784B">
      <w:pPr>
        <w:rPr>
          <w:rFonts w:eastAsia="Arial Unicode MS"/>
        </w:rPr>
      </w:pPr>
    </w:p>
    <w:p w14:paraId="0C6ECD10" w14:textId="77777777" w:rsidR="00AC3CA0" w:rsidRPr="00E6784B" w:rsidRDefault="00AC3CA0" w:rsidP="00E6784B">
      <w:pPr>
        <w:pStyle w:val="Puesto"/>
        <w:rPr>
          <w:rFonts w:eastAsia="Arial Unicode MS"/>
        </w:rPr>
      </w:pPr>
      <w:r w:rsidRPr="00E6784B">
        <w:rPr>
          <w:rFonts w:eastAsia="Arial Unicode MS"/>
          <w:b/>
        </w:rPr>
        <w:t>Artículo 38.</w:t>
      </w:r>
      <w:r w:rsidRPr="00E6784B">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6784B">
        <w:rPr>
          <w:rFonts w:eastAsia="Arial Unicode MS"/>
          <w:b/>
        </w:rPr>
        <w:t>”</w:t>
      </w:r>
      <w:r w:rsidRPr="00E6784B">
        <w:rPr>
          <w:rFonts w:eastAsia="Arial Unicode MS"/>
        </w:rPr>
        <w:t xml:space="preserve"> </w:t>
      </w:r>
    </w:p>
    <w:p w14:paraId="11BDA04E" w14:textId="77777777" w:rsidR="00AC3CA0" w:rsidRPr="00E6784B" w:rsidRDefault="00AC3CA0" w:rsidP="00E6784B">
      <w:pPr>
        <w:rPr>
          <w:rFonts w:eastAsia="Arial Unicode MS"/>
          <w:i/>
          <w:szCs w:val="22"/>
        </w:rPr>
      </w:pPr>
    </w:p>
    <w:p w14:paraId="32BB7A5F" w14:textId="77777777" w:rsidR="00AC3CA0" w:rsidRPr="00E6784B" w:rsidRDefault="00AC3CA0" w:rsidP="00E6784B">
      <w:r w:rsidRPr="00E6784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E6784B" w:rsidRDefault="00AC3CA0" w:rsidP="00E6784B"/>
    <w:p w14:paraId="3CE77CF7" w14:textId="77777777" w:rsidR="00AC3CA0" w:rsidRPr="00E6784B" w:rsidRDefault="00AC3CA0" w:rsidP="00E6784B">
      <w:r w:rsidRPr="00E6784B">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6784B">
        <w:rPr>
          <w:rFonts w:eastAsia="Arial Unicode MS"/>
        </w:rPr>
        <w:t xml:space="preserve"> que debe ser protegida por </w:t>
      </w:r>
      <w:r w:rsidRPr="00E6784B">
        <w:rPr>
          <w:rFonts w:eastAsia="Arial Unicode MS"/>
          <w:b/>
        </w:rPr>
        <w:t>EL SUJETO OBLIGADO,</w:t>
      </w:r>
      <w:r w:rsidRPr="00E6784B">
        <w:rPr>
          <w:rFonts w:eastAsia="Arial Unicode MS"/>
        </w:rPr>
        <w:t xml:space="preserve"> por lo </w:t>
      </w:r>
      <w:r w:rsidRPr="00E6784B">
        <w:t>que, todo dato personal susceptible de clasificación debe ser protegido.</w:t>
      </w:r>
    </w:p>
    <w:p w14:paraId="17B1D51E" w14:textId="77777777" w:rsidR="00AC3CA0" w:rsidRPr="00E6784B" w:rsidRDefault="00AC3CA0" w:rsidP="00E6784B"/>
    <w:p w14:paraId="1C499B05" w14:textId="0FD0F4F9" w:rsidR="00AC3CA0" w:rsidRPr="00E6784B" w:rsidRDefault="00AC3CA0" w:rsidP="00E6784B">
      <w:r w:rsidRPr="00E6784B">
        <w:t>La finalidad de la versión pública es salvaguardar la vida, integridad, seguridad, patrimonio y privacidad de las personas; de tal manera que</w:t>
      </w:r>
      <w:r w:rsidR="007F5D06" w:rsidRPr="00E6784B">
        <w:t>,</w:t>
      </w:r>
      <w:r w:rsidRPr="00E6784B">
        <w:t xml:space="preserve"> todo aquello que no tenga por objeto proteger lo anterior, es susceptible de ser entregado</w:t>
      </w:r>
      <w:r w:rsidR="007F5D06" w:rsidRPr="00E6784B">
        <w:t>.</w:t>
      </w:r>
      <w:r w:rsidRPr="00E6784B">
        <w:t xml:space="preserve"> </w:t>
      </w:r>
      <w:r w:rsidR="007F5D06" w:rsidRPr="00E6784B">
        <w:t>E</w:t>
      </w:r>
      <w:r w:rsidRPr="00E6784B">
        <w:t>n otras palabras, la protección de datos personales</w:t>
      </w:r>
      <w:r w:rsidR="007F5D06" w:rsidRPr="00E6784B">
        <w:t xml:space="preserve"> </w:t>
      </w:r>
      <w:r w:rsidRPr="00E6784B">
        <w:t>es una derivación del derecho a la intimidad.</w:t>
      </w:r>
    </w:p>
    <w:p w14:paraId="4ECCCE5B" w14:textId="77777777" w:rsidR="00AC3CA0" w:rsidRPr="00E6784B" w:rsidRDefault="00AC3CA0" w:rsidP="00E6784B"/>
    <w:p w14:paraId="22155419" w14:textId="5E52B74B" w:rsidR="00AC3CA0" w:rsidRPr="00E6784B" w:rsidRDefault="00AC3CA0" w:rsidP="00E6784B">
      <w:r w:rsidRPr="00E6784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E6784B" w:rsidRDefault="00AC3CA0" w:rsidP="00E6784B"/>
    <w:p w14:paraId="12C70FB7" w14:textId="77777777" w:rsidR="00AC3CA0" w:rsidRPr="00E6784B" w:rsidRDefault="00AC3CA0" w:rsidP="00E6784B">
      <w:pPr>
        <w:jc w:val="center"/>
        <w:rPr>
          <w:b/>
          <w:i/>
          <w:szCs w:val="22"/>
        </w:rPr>
      </w:pPr>
      <w:r w:rsidRPr="00E6784B">
        <w:rPr>
          <w:b/>
          <w:i/>
          <w:szCs w:val="22"/>
          <w:lang w:val="es-ES_tradnl"/>
        </w:rPr>
        <w:t>Ley de Transparencia y Acceso a la Información Pública del Estado de México y Municipios</w:t>
      </w:r>
    </w:p>
    <w:p w14:paraId="79B28D55" w14:textId="77777777" w:rsidR="00AC3CA0" w:rsidRPr="00E6784B" w:rsidRDefault="00AC3CA0" w:rsidP="00E6784B"/>
    <w:p w14:paraId="51E4FC60" w14:textId="77777777" w:rsidR="00AC3CA0" w:rsidRPr="00E6784B" w:rsidRDefault="00AC3CA0" w:rsidP="00E6784B">
      <w:pPr>
        <w:pStyle w:val="Puesto"/>
      </w:pPr>
      <w:r w:rsidRPr="00E6784B">
        <w:rPr>
          <w:b/>
        </w:rPr>
        <w:t xml:space="preserve">“Artículo 49. </w:t>
      </w:r>
      <w:r w:rsidRPr="00E6784B">
        <w:t>Los Comités de Transparencia tendrán las siguientes atribuciones:</w:t>
      </w:r>
    </w:p>
    <w:p w14:paraId="58B2CA83" w14:textId="77777777" w:rsidR="00AC3CA0" w:rsidRPr="00E6784B" w:rsidRDefault="00AC3CA0" w:rsidP="00E6784B">
      <w:pPr>
        <w:pStyle w:val="Puesto"/>
      </w:pPr>
      <w:r w:rsidRPr="00E6784B">
        <w:rPr>
          <w:b/>
        </w:rPr>
        <w:t>VIII.</w:t>
      </w:r>
      <w:r w:rsidRPr="00E6784B">
        <w:t xml:space="preserve"> Aprobar, modificar o revocar la clasificación de la información;</w:t>
      </w:r>
    </w:p>
    <w:p w14:paraId="42CDD815" w14:textId="77777777" w:rsidR="002B7C6F" w:rsidRPr="00E6784B" w:rsidRDefault="002B7C6F" w:rsidP="00E6784B"/>
    <w:p w14:paraId="5E0FE30C" w14:textId="77777777" w:rsidR="00AC3CA0" w:rsidRPr="00E6784B" w:rsidRDefault="00AC3CA0" w:rsidP="00E6784B">
      <w:pPr>
        <w:pStyle w:val="Puesto"/>
      </w:pPr>
      <w:r w:rsidRPr="00E6784B">
        <w:rPr>
          <w:b/>
        </w:rPr>
        <w:t>Artículo 132.</w:t>
      </w:r>
      <w:r w:rsidRPr="00E6784B">
        <w:t xml:space="preserve"> La clasificación de la información se llevará a cabo en el momento en que:</w:t>
      </w:r>
    </w:p>
    <w:p w14:paraId="22862CEF" w14:textId="77777777" w:rsidR="00AC3CA0" w:rsidRPr="00E6784B" w:rsidRDefault="00AC3CA0" w:rsidP="00E6784B">
      <w:pPr>
        <w:pStyle w:val="Puesto"/>
      </w:pPr>
      <w:r w:rsidRPr="00E6784B">
        <w:rPr>
          <w:b/>
        </w:rPr>
        <w:t>I.</w:t>
      </w:r>
      <w:r w:rsidRPr="00E6784B">
        <w:t xml:space="preserve"> Se reciba una solicitud de acceso a la información;</w:t>
      </w:r>
    </w:p>
    <w:p w14:paraId="1076A40B" w14:textId="77777777" w:rsidR="00AC3CA0" w:rsidRPr="00E6784B" w:rsidRDefault="00AC3CA0" w:rsidP="00E6784B">
      <w:pPr>
        <w:pStyle w:val="Puesto"/>
      </w:pPr>
      <w:r w:rsidRPr="00E6784B">
        <w:rPr>
          <w:b/>
        </w:rPr>
        <w:t>II.</w:t>
      </w:r>
      <w:r w:rsidRPr="00E6784B">
        <w:t xml:space="preserve"> Se determine mediante resolución de autoridad competente; o</w:t>
      </w:r>
    </w:p>
    <w:p w14:paraId="327FFDF5" w14:textId="77777777" w:rsidR="00AC3CA0" w:rsidRPr="00E6784B" w:rsidRDefault="00AC3CA0" w:rsidP="00E6784B">
      <w:pPr>
        <w:pStyle w:val="Puesto"/>
        <w:rPr>
          <w:b/>
        </w:rPr>
      </w:pPr>
      <w:r w:rsidRPr="00E6784B">
        <w:rPr>
          <w:b/>
          <w:bCs/>
        </w:rPr>
        <w:t>III.</w:t>
      </w:r>
      <w:r w:rsidRPr="00E6784B">
        <w:t xml:space="preserve"> Se generen versiones públicas para dar cumplimiento a las obligaciones de transparencia previstas en esta Ley.</w:t>
      </w:r>
      <w:r w:rsidRPr="00E6784B">
        <w:rPr>
          <w:b/>
        </w:rPr>
        <w:t>”</w:t>
      </w:r>
    </w:p>
    <w:p w14:paraId="63550E79" w14:textId="77777777" w:rsidR="002B7C6F" w:rsidRPr="00E6784B" w:rsidRDefault="002B7C6F" w:rsidP="00E6784B"/>
    <w:p w14:paraId="733E702D" w14:textId="04C291BD" w:rsidR="00AC3CA0" w:rsidRPr="00E6784B" w:rsidRDefault="00AC3CA0" w:rsidP="00E6784B">
      <w:pPr>
        <w:pStyle w:val="Puesto"/>
      </w:pPr>
      <w:r w:rsidRPr="00E6784B">
        <w:rPr>
          <w:b/>
        </w:rPr>
        <w:t>“</w:t>
      </w:r>
      <w:r w:rsidR="002B7C6F" w:rsidRPr="00E6784B">
        <w:rPr>
          <w:b/>
        </w:rPr>
        <w:t>Segundo. -</w:t>
      </w:r>
      <w:r w:rsidRPr="00E6784B">
        <w:t xml:space="preserve"> Para efectos de los presentes Lineamientos Generales, se entenderá por:</w:t>
      </w:r>
    </w:p>
    <w:p w14:paraId="3D6255D3" w14:textId="77777777" w:rsidR="00AC3CA0" w:rsidRPr="00E6784B" w:rsidRDefault="00AC3CA0" w:rsidP="00E6784B">
      <w:pPr>
        <w:pStyle w:val="Puesto"/>
      </w:pPr>
      <w:r w:rsidRPr="00E6784B">
        <w:rPr>
          <w:b/>
        </w:rPr>
        <w:t>XVIII.</w:t>
      </w:r>
      <w:r w:rsidRPr="00E6784B">
        <w:t xml:space="preserve">  </w:t>
      </w:r>
      <w:r w:rsidRPr="00E6784B">
        <w:rPr>
          <w:b/>
        </w:rPr>
        <w:t>Versión pública:</w:t>
      </w:r>
      <w:r w:rsidRPr="00E6784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E6784B" w:rsidRDefault="00AC3CA0" w:rsidP="00E6784B">
      <w:pPr>
        <w:pStyle w:val="Puesto"/>
      </w:pPr>
    </w:p>
    <w:p w14:paraId="492CD288" w14:textId="77777777" w:rsidR="00AC3CA0" w:rsidRPr="00E6784B" w:rsidRDefault="00AC3CA0" w:rsidP="00E6784B">
      <w:pPr>
        <w:pStyle w:val="Puesto"/>
        <w:rPr>
          <w:b/>
          <w:lang w:val="es-ES_tradnl" w:eastAsia="es-MX"/>
        </w:rPr>
      </w:pPr>
      <w:r w:rsidRPr="00E6784B">
        <w:rPr>
          <w:b/>
          <w:lang w:val="es-ES_tradnl" w:eastAsia="es-MX"/>
        </w:rPr>
        <w:t xml:space="preserve">Lineamientos Generales en materia de Clasificación y Desclasificación de la </w:t>
      </w:r>
      <w:r w:rsidRPr="00E6784B">
        <w:rPr>
          <w:b/>
          <w:lang w:val="es-ES_tradnl"/>
        </w:rPr>
        <w:t>Información</w:t>
      </w:r>
    </w:p>
    <w:p w14:paraId="57959355" w14:textId="77777777" w:rsidR="00AC3CA0" w:rsidRPr="00E6784B" w:rsidRDefault="00AC3CA0" w:rsidP="00E6784B">
      <w:pPr>
        <w:pStyle w:val="Puesto"/>
      </w:pPr>
    </w:p>
    <w:p w14:paraId="204206B6" w14:textId="77777777" w:rsidR="00AC3CA0" w:rsidRPr="00E6784B" w:rsidRDefault="00AC3CA0" w:rsidP="00E6784B">
      <w:pPr>
        <w:pStyle w:val="Puesto"/>
      </w:pPr>
      <w:r w:rsidRPr="00E6784B">
        <w:rPr>
          <w:b/>
        </w:rPr>
        <w:t>Cuarto.</w:t>
      </w:r>
      <w:r w:rsidRPr="00E6784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E6784B" w:rsidRDefault="00AC3CA0" w:rsidP="00E6784B">
      <w:pPr>
        <w:pStyle w:val="Puesto"/>
      </w:pPr>
      <w:r w:rsidRPr="00E6784B">
        <w:t>Los sujetos obligados deberán aplicar, de manera estricta, las excepciones al derecho de acceso a la información y sólo podrán invocarlas cuando acrediten su procedencia.</w:t>
      </w:r>
    </w:p>
    <w:p w14:paraId="2334DA4A" w14:textId="77777777" w:rsidR="002B7C6F" w:rsidRPr="00E6784B" w:rsidRDefault="002B7C6F" w:rsidP="00E6784B"/>
    <w:p w14:paraId="773F3D38" w14:textId="77777777" w:rsidR="00AC3CA0" w:rsidRPr="00E6784B" w:rsidRDefault="00AC3CA0" w:rsidP="00E6784B">
      <w:pPr>
        <w:pStyle w:val="Puesto"/>
      </w:pPr>
      <w:r w:rsidRPr="00E6784B">
        <w:rPr>
          <w:b/>
        </w:rPr>
        <w:t>Quinto.</w:t>
      </w:r>
      <w:r w:rsidRPr="00E6784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E6784B" w:rsidRDefault="002B7C6F" w:rsidP="00E6784B"/>
    <w:p w14:paraId="501C8886" w14:textId="77777777" w:rsidR="00AC3CA0" w:rsidRPr="00E6784B" w:rsidRDefault="00AC3CA0" w:rsidP="00E6784B">
      <w:pPr>
        <w:pStyle w:val="Puesto"/>
      </w:pPr>
      <w:r w:rsidRPr="00E6784B">
        <w:rPr>
          <w:b/>
        </w:rPr>
        <w:t>Sexto.</w:t>
      </w:r>
      <w:r w:rsidRPr="00E6784B">
        <w:t xml:space="preserve"> Se deroga.</w:t>
      </w:r>
    </w:p>
    <w:p w14:paraId="35534E5B" w14:textId="77777777" w:rsidR="002B7C6F" w:rsidRPr="00E6784B" w:rsidRDefault="002B7C6F" w:rsidP="00E6784B"/>
    <w:p w14:paraId="71AE6E31" w14:textId="77777777" w:rsidR="00AC3CA0" w:rsidRPr="00E6784B" w:rsidRDefault="00AC3CA0" w:rsidP="00E6784B">
      <w:pPr>
        <w:pStyle w:val="Puesto"/>
      </w:pPr>
      <w:r w:rsidRPr="00E6784B">
        <w:rPr>
          <w:b/>
        </w:rPr>
        <w:t>Séptimo.</w:t>
      </w:r>
      <w:r w:rsidRPr="00E6784B">
        <w:t xml:space="preserve"> La clasificación de la información se llevará a cabo en el momento en que:</w:t>
      </w:r>
    </w:p>
    <w:p w14:paraId="4BC6551F" w14:textId="77777777" w:rsidR="00AC3CA0" w:rsidRPr="00E6784B" w:rsidRDefault="00AC3CA0" w:rsidP="00E6784B">
      <w:pPr>
        <w:pStyle w:val="Puesto"/>
      </w:pPr>
      <w:r w:rsidRPr="00E6784B">
        <w:rPr>
          <w:b/>
        </w:rPr>
        <w:t>I.</w:t>
      </w:r>
      <w:r w:rsidRPr="00E6784B">
        <w:t xml:space="preserve">        Se reciba una solicitud de acceso a la información;</w:t>
      </w:r>
    </w:p>
    <w:p w14:paraId="12BC61E7" w14:textId="77777777" w:rsidR="00AC3CA0" w:rsidRPr="00E6784B" w:rsidRDefault="00AC3CA0" w:rsidP="00E6784B">
      <w:pPr>
        <w:pStyle w:val="Puesto"/>
      </w:pPr>
      <w:r w:rsidRPr="00E6784B">
        <w:rPr>
          <w:b/>
        </w:rPr>
        <w:t>II.</w:t>
      </w:r>
      <w:r w:rsidRPr="00E6784B">
        <w:t xml:space="preserve">       Se determine mediante resolución del Comité de Transparencia, el órgano garante competente, o en cumplimiento a una sentencia del Poder Judicial; o</w:t>
      </w:r>
    </w:p>
    <w:p w14:paraId="60049403" w14:textId="77777777" w:rsidR="00AC3CA0" w:rsidRPr="00E6784B" w:rsidRDefault="00AC3CA0" w:rsidP="00E6784B">
      <w:pPr>
        <w:pStyle w:val="Puesto"/>
      </w:pPr>
      <w:r w:rsidRPr="00E6784B">
        <w:rPr>
          <w:b/>
        </w:rPr>
        <w:t>III.</w:t>
      </w:r>
      <w:r w:rsidRPr="00E6784B">
        <w:t xml:space="preserve">      Se generen versiones públicas para dar cumplimiento a las obligaciones de transparencia previstas en la Ley General, la Ley Federal y las correspondientes de las entidades federativas.</w:t>
      </w:r>
    </w:p>
    <w:p w14:paraId="2AAF20AA" w14:textId="77777777" w:rsidR="00AC3CA0" w:rsidRPr="00E6784B" w:rsidRDefault="00AC3CA0" w:rsidP="00E6784B">
      <w:pPr>
        <w:pStyle w:val="Puesto"/>
      </w:pPr>
      <w:r w:rsidRPr="00E6784B">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E6784B" w:rsidRDefault="002B7C6F" w:rsidP="00E6784B"/>
    <w:p w14:paraId="1B84F0FA" w14:textId="77777777" w:rsidR="00AC3CA0" w:rsidRPr="00E6784B" w:rsidRDefault="00AC3CA0" w:rsidP="00E6784B">
      <w:pPr>
        <w:pStyle w:val="Puesto"/>
      </w:pPr>
      <w:r w:rsidRPr="00E6784B">
        <w:rPr>
          <w:b/>
        </w:rPr>
        <w:t>Octavo.</w:t>
      </w:r>
      <w:r w:rsidRPr="00E6784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E6784B" w:rsidRDefault="00AC3CA0" w:rsidP="00E6784B">
      <w:pPr>
        <w:pStyle w:val="Puesto"/>
      </w:pPr>
      <w:r w:rsidRPr="00E6784B">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E6784B" w:rsidRDefault="00AC3CA0" w:rsidP="00E6784B">
      <w:pPr>
        <w:pStyle w:val="Puesto"/>
      </w:pPr>
      <w:r w:rsidRPr="00E6784B">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E6784B" w:rsidRDefault="002B7C6F" w:rsidP="00E6784B"/>
    <w:p w14:paraId="3DC18E7E" w14:textId="77777777" w:rsidR="00AC3CA0" w:rsidRPr="00E6784B" w:rsidRDefault="00AC3CA0" w:rsidP="00E6784B">
      <w:pPr>
        <w:pStyle w:val="Puesto"/>
      </w:pPr>
      <w:r w:rsidRPr="00E6784B">
        <w:rPr>
          <w:b/>
        </w:rPr>
        <w:t>Noveno.</w:t>
      </w:r>
      <w:r w:rsidRPr="00E6784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E6784B" w:rsidRDefault="002B7C6F" w:rsidP="00E6784B"/>
    <w:p w14:paraId="45844BB1" w14:textId="77777777" w:rsidR="00AC3CA0" w:rsidRPr="00E6784B" w:rsidRDefault="00AC3CA0" w:rsidP="00E6784B">
      <w:pPr>
        <w:pStyle w:val="Puesto"/>
      </w:pPr>
      <w:r w:rsidRPr="00E6784B">
        <w:rPr>
          <w:b/>
        </w:rPr>
        <w:t>Décimo.</w:t>
      </w:r>
      <w:r w:rsidRPr="00E6784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E6784B" w:rsidRDefault="00AC3CA0" w:rsidP="00E6784B">
      <w:pPr>
        <w:pStyle w:val="Puesto"/>
      </w:pPr>
      <w:r w:rsidRPr="00E6784B">
        <w:lastRenderedPageBreak/>
        <w:t>En ausencia de los titulares de las áreas, la información será clasificada o desclasificada por la persona que lo supla, en términos de la normativa que rija la actuación del sujeto obligado.</w:t>
      </w:r>
    </w:p>
    <w:p w14:paraId="0861DCC9" w14:textId="77777777" w:rsidR="00AC3CA0" w:rsidRPr="00E6784B" w:rsidRDefault="00AC3CA0" w:rsidP="00E6784B">
      <w:pPr>
        <w:pStyle w:val="Puesto"/>
        <w:rPr>
          <w:b/>
        </w:rPr>
      </w:pPr>
      <w:r w:rsidRPr="00E6784B">
        <w:rPr>
          <w:b/>
        </w:rPr>
        <w:t>Décimo primero.</w:t>
      </w:r>
      <w:r w:rsidRPr="00E6784B">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6784B">
        <w:rPr>
          <w:b/>
        </w:rPr>
        <w:t>”</w:t>
      </w:r>
    </w:p>
    <w:p w14:paraId="2D5FBBCD" w14:textId="77777777" w:rsidR="00AC3CA0" w:rsidRPr="00E6784B" w:rsidRDefault="00AC3CA0" w:rsidP="00E6784B"/>
    <w:p w14:paraId="05D0E4C9" w14:textId="0A69CA87" w:rsidR="00AC3CA0" w:rsidRPr="00E6784B" w:rsidRDefault="00AC3CA0" w:rsidP="00E6784B">
      <w:pPr>
        <w:rPr>
          <w:lang w:eastAsia="es-CO"/>
        </w:rPr>
      </w:pPr>
      <w:r w:rsidRPr="00E6784B">
        <w:t xml:space="preserve">Consecuentemente, se destaca que la versión pública que elabore </w:t>
      </w:r>
      <w:r w:rsidRPr="00E6784B">
        <w:rPr>
          <w:b/>
        </w:rPr>
        <w:t>EL SUJETO OBLIGADO</w:t>
      </w:r>
      <w:r w:rsidRPr="00E6784B">
        <w:t xml:space="preserve"> debe cumplir con las formalidades exigidas en la Ley, por lo que para tal efecto emitirá el </w:t>
      </w:r>
      <w:r w:rsidRPr="00E6784B">
        <w:rPr>
          <w:b/>
        </w:rPr>
        <w:t>Acuerdo del Comité de Transparencia</w:t>
      </w:r>
      <w:r w:rsidRPr="00E6784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6784B">
        <w:rPr>
          <w:lang w:eastAsia="es-CO"/>
        </w:rPr>
        <w:t>, ya que</w:t>
      </w:r>
      <w:r w:rsidR="002B7C6F" w:rsidRPr="00E6784B">
        <w:rPr>
          <w:lang w:eastAsia="es-CO"/>
        </w:rPr>
        <w:t xml:space="preserve"> de</w:t>
      </w:r>
      <w:r w:rsidRPr="00E6784B">
        <w:rPr>
          <w:lang w:eastAsia="es-CO"/>
        </w:rPr>
        <w:t xml:space="preserve"> no hacerlo implica que lo entregado no es legal ni formalmente una versión pública, sino más bien una documentación ilegible, incompleta o tachada; pues no </w:t>
      </w:r>
      <w:r w:rsidR="002B7C6F" w:rsidRPr="00E6784B">
        <w:rPr>
          <w:lang w:eastAsia="es-CO"/>
        </w:rPr>
        <w:t xml:space="preserve">se </w:t>
      </w:r>
      <w:r w:rsidRPr="00E6784B">
        <w:rPr>
          <w:lang w:eastAsia="es-CO"/>
        </w:rPr>
        <w:t>señala</w:t>
      </w:r>
      <w:r w:rsidR="002B7C6F" w:rsidRPr="00E6784B">
        <w:rPr>
          <w:lang w:eastAsia="es-CO"/>
        </w:rPr>
        <w:t>n</w:t>
      </w:r>
      <w:r w:rsidRPr="00E6784B">
        <w:rPr>
          <w:lang w:eastAsia="es-CO"/>
        </w:rPr>
        <w:t xml:space="preserve"> las razones por las que no se aprecian determinados datos -ya sea porque se testan o suprimen- </w:t>
      </w:r>
      <w:r w:rsidR="002B7C6F" w:rsidRPr="00E6784B">
        <w:rPr>
          <w:lang w:eastAsia="es-CO"/>
        </w:rPr>
        <w:t xml:space="preserve">lo cual </w:t>
      </w:r>
      <w:r w:rsidRPr="00E6784B">
        <w:rPr>
          <w:lang w:eastAsia="es-CO"/>
        </w:rPr>
        <w:t>deja al solicitante en estado de incertidumbre, al no conocer o comprender porque no aparecen en la documentación respectiva, es decir, si no se exponen de manera puntual las razones</w:t>
      </w:r>
      <w:r w:rsidR="002B7C6F" w:rsidRPr="00E6784B">
        <w:rPr>
          <w:lang w:eastAsia="es-CO"/>
        </w:rPr>
        <w:t xml:space="preserve">, </w:t>
      </w:r>
      <w:r w:rsidRPr="00E6784B">
        <w:rPr>
          <w:lang w:eastAsia="es-CO"/>
        </w:rPr>
        <w:t>se estaría violentando desde un inicio el derecho de acceso a la información del solicitante.</w:t>
      </w:r>
    </w:p>
    <w:p w14:paraId="6D8F512E" w14:textId="77777777" w:rsidR="002527D3" w:rsidRPr="00E6784B" w:rsidRDefault="002527D3" w:rsidP="00E6784B">
      <w:pPr>
        <w:rPr>
          <w:lang w:eastAsia="es-CO"/>
        </w:rPr>
      </w:pPr>
    </w:p>
    <w:p w14:paraId="44ADA32B" w14:textId="77777777" w:rsidR="002527D3" w:rsidRPr="00E6784B" w:rsidRDefault="002527D3" w:rsidP="00E6784B">
      <w:r w:rsidRPr="00E6784B">
        <w:t>Es importante señalar que, para el caso en concreto, se deben tomar en consideración los siguientes criterios respecto a la información que debe ser, o no, clasificada como confidencial:</w:t>
      </w:r>
    </w:p>
    <w:p w14:paraId="18BE8B97" w14:textId="77777777" w:rsidR="00F265E2" w:rsidRPr="00E6784B" w:rsidRDefault="00F265E2" w:rsidP="00E6784B"/>
    <w:p w14:paraId="04FD316B" w14:textId="77777777" w:rsidR="00F265E2" w:rsidRPr="00E6784B" w:rsidRDefault="00F265E2" w:rsidP="00E6784B">
      <w:pPr>
        <w:numPr>
          <w:ilvl w:val="0"/>
          <w:numId w:val="25"/>
        </w:numPr>
        <w:ind w:right="-93"/>
        <w:contextualSpacing/>
        <w:rPr>
          <w:b/>
          <w:szCs w:val="24"/>
        </w:rPr>
      </w:pPr>
      <w:r w:rsidRPr="00E6784B">
        <w:rPr>
          <w:b/>
          <w:szCs w:val="24"/>
        </w:rPr>
        <w:t>Fotografías de los servidores públicos</w:t>
      </w:r>
    </w:p>
    <w:p w14:paraId="005D781E" w14:textId="77777777" w:rsidR="00F265E2" w:rsidRPr="00E6784B" w:rsidRDefault="00F265E2" w:rsidP="00E6784B">
      <w:pPr>
        <w:rPr>
          <w:rFonts w:eastAsia="Palatino Linotype" w:cs="Palatino Linotype"/>
          <w:b/>
          <w:lang w:eastAsia="es-MX"/>
        </w:rPr>
      </w:pPr>
    </w:p>
    <w:p w14:paraId="1CD5CAC0"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0CFF5E7"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 </w:t>
      </w:r>
    </w:p>
    <w:p w14:paraId="55197216"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C3AA7A8"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 </w:t>
      </w:r>
    </w:p>
    <w:p w14:paraId="013EC6EE"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0624557"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 </w:t>
      </w:r>
    </w:p>
    <w:p w14:paraId="350B133E" w14:textId="5B11436D" w:rsidR="00F265E2" w:rsidRPr="00E6784B" w:rsidRDefault="00F265E2" w:rsidP="00E6784B">
      <w:pPr>
        <w:rPr>
          <w:rFonts w:eastAsia="Palatino Linotype" w:cs="Palatino Linotype"/>
          <w:lang w:eastAsia="es-MX"/>
        </w:rPr>
      </w:pPr>
      <w:r w:rsidRPr="00E6784B">
        <w:rPr>
          <w:rFonts w:eastAsia="Palatino Linotype" w:cs="Palatino Linotype"/>
          <w:lang w:eastAsia="es-MX"/>
        </w:rPr>
        <w:lastRenderedPageBreak/>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4EE0167"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 </w:t>
      </w:r>
    </w:p>
    <w:p w14:paraId="39B871A8"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3ED1E6F"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 </w:t>
      </w:r>
    </w:p>
    <w:p w14:paraId="6AB57172"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DCE1C9F"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lastRenderedPageBreak/>
        <w:t xml:space="preserve"> </w:t>
      </w:r>
    </w:p>
    <w:p w14:paraId="772CE36A"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01D49AE"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 </w:t>
      </w:r>
    </w:p>
    <w:p w14:paraId="4EA0488A" w14:textId="77777777" w:rsidR="00F265E2" w:rsidRPr="00E6784B" w:rsidRDefault="00F265E2" w:rsidP="00E6784B">
      <w:pPr>
        <w:rPr>
          <w:rFonts w:eastAsia="Palatino Linotype" w:cs="Palatino Linotype"/>
          <w:lang w:eastAsia="es-MX"/>
        </w:rPr>
      </w:pPr>
      <w:r w:rsidRPr="00E6784B">
        <w:rPr>
          <w:rFonts w:eastAsia="Palatino Linotype" w:cs="Palatino Linotype"/>
          <w:lang w:eastAsia="es-MX"/>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60FDD5BA" w14:textId="77777777" w:rsidR="00F265E2" w:rsidRPr="00E6784B" w:rsidRDefault="00F265E2" w:rsidP="00E6784B"/>
    <w:p w14:paraId="545976EC" w14:textId="77777777" w:rsidR="002527D3" w:rsidRPr="00E6784B" w:rsidRDefault="002527D3" w:rsidP="00E6784B"/>
    <w:p w14:paraId="07340E76" w14:textId="77777777" w:rsidR="002527D3" w:rsidRPr="00E6784B" w:rsidRDefault="002527D3" w:rsidP="00E6784B">
      <w:pPr>
        <w:numPr>
          <w:ilvl w:val="0"/>
          <w:numId w:val="22"/>
        </w:numPr>
        <w:rPr>
          <w:b/>
        </w:rPr>
      </w:pPr>
      <w:r w:rsidRPr="00E6784B">
        <w:rPr>
          <w:b/>
        </w:rPr>
        <w:t>Registro Federal de Contribuyentes (RFC)</w:t>
      </w:r>
    </w:p>
    <w:p w14:paraId="731B665B" w14:textId="77777777" w:rsidR="002527D3" w:rsidRPr="00E6784B" w:rsidRDefault="002527D3" w:rsidP="00E6784B"/>
    <w:p w14:paraId="7D32B8AD" w14:textId="77777777" w:rsidR="002527D3" w:rsidRPr="00E6784B" w:rsidRDefault="002527D3" w:rsidP="00E6784B">
      <w:r w:rsidRPr="00E6784B">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DE3BC5C" w14:textId="77777777" w:rsidR="002527D3" w:rsidRPr="00E6784B" w:rsidRDefault="002527D3" w:rsidP="00E6784B"/>
    <w:p w14:paraId="44BDE479" w14:textId="77777777" w:rsidR="002527D3" w:rsidRPr="00E6784B" w:rsidRDefault="002527D3" w:rsidP="00E6784B">
      <w:r w:rsidRPr="00E6784B">
        <w:t xml:space="preserve">De acuerdo a lo establecido en el artículo en comento, esta clave se compone de trece caracteres alfanuméricos, con datos obtenidos de los apellidos, nombre(s), fecha de nacimiento del </w:t>
      </w:r>
      <w:r w:rsidRPr="00E6784B">
        <w:lastRenderedPageBreak/>
        <w:t>titular, más una homoclave que establece el sistema automático del Servicio de Administración Tributaria.</w:t>
      </w:r>
    </w:p>
    <w:p w14:paraId="43F2C1A2" w14:textId="77777777" w:rsidR="002527D3" w:rsidRPr="00E6784B" w:rsidRDefault="002527D3" w:rsidP="00E6784B"/>
    <w:p w14:paraId="52FB4F39" w14:textId="77777777" w:rsidR="002527D3" w:rsidRPr="00E6784B" w:rsidRDefault="002527D3" w:rsidP="00E6784B">
      <w:r w:rsidRPr="00E6784B">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E1B22B7" w14:textId="77777777" w:rsidR="002527D3" w:rsidRPr="00E6784B" w:rsidRDefault="002527D3" w:rsidP="00E6784B"/>
    <w:p w14:paraId="420F7443" w14:textId="77777777" w:rsidR="002527D3" w:rsidRPr="00E6784B" w:rsidRDefault="002527D3" w:rsidP="00E6784B">
      <w:r w:rsidRPr="00E6784B">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5EC0781" w14:textId="77777777" w:rsidR="002527D3" w:rsidRPr="00E6784B" w:rsidRDefault="002527D3" w:rsidP="00E6784B"/>
    <w:p w14:paraId="2AE8BF8C" w14:textId="77777777" w:rsidR="002527D3" w:rsidRPr="00E6784B" w:rsidRDefault="002527D3" w:rsidP="00E6784B">
      <w:r w:rsidRPr="00E6784B">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3E0935FA" w14:textId="77777777" w:rsidR="002527D3" w:rsidRPr="00E6784B" w:rsidRDefault="002527D3" w:rsidP="00E6784B"/>
    <w:p w14:paraId="026882AE" w14:textId="77777777" w:rsidR="002527D3" w:rsidRPr="00E6784B" w:rsidRDefault="002527D3" w:rsidP="00E6784B">
      <w:pPr>
        <w:pStyle w:val="Puesto"/>
      </w:pPr>
      <w:r w:rsidRPr="00E6784B">
        <w:rPr>
          <w:b/>
        </w:rPr>
        <w:t>“Registro Federal de Contribuyentes (RFC) de personas físicas.</w:t>
      </w:r>
      <w:r w:rsidRPr="00E6784B">
        <w:t xml:space="preserve"> El RFC es una clave de carácter fiscal, única e irrepetible, que permite identificar al titular, su edad y fecha de nacimiento, por lo que es un dato personal de carácter confidencial.”</w:t>
      </w:r>
    </w:p>
    <w:p w14:paraId="7E69EBEE" w14:textId="77777777" w:rsidR="002527D3" w:rsidRPr="00E6784B" w:rsidRDefault="002527D3" w:rsidP="00E6784B"/>
    <w:p w14:paraId="408CF56F" w14:textId="77777777" w:rsidR="002527D3" w:rsidRPr="00E6784B" w:rsidRDefault="002527D3" w:rsidP="00E6784B">
      <w:r w:rsidRPr="00E6784B">
        <w:lastRenderedPageBreak/>
        <w:t xml:space="preserve">De tal suerte, el Registro Federal de Contribuyentes de los servidores públicos no guarda relación con la transparencia de los recursos públicos, así como tampoco con el desempeño laboral que pueda tener una persona, por lo que </w:t>
      </w:r>
      <w:r w:rsidRPr="00E6784B">
        <w:rPr>
          <w:b/>
          <w:bCs/>
          <w:u w:val="single"/>
        </w:rPr>
        <w:t>constituye un dato personal confidencial al actualizar el supuesto normativo del artículo 143, fracción I, de la Ley de Transparencia y Acceso a la Información Pública del Estado de México y Municipios</w:t>
      </w:r>
      <w:r w:rsidRPr="00E6784B">
        <w:t xml:space="preserve">. </w:t>
      </w:r>
    </w:p>
    <w:p w14:paraId="7AB08A59" w14:textId="77777777" w:rsidR="002527D3" w:rsidRPr="00E6784B" w:rsidRDefault="002527D3" w:rsidP="00E6784B"/>
    <w:p w14:paraId="61B86F2B" w14:textId="77777777" w:rsidR="002527D3" w:rsidRPr="00E6784B" w:rsidRDefault="002527D3" w:rsidP="00E6784B">
      <w:pPr>
        <w:numPr>
          <w:ilvl w:val="0"/>
          <w:numId w:val="22"/>
        </w:numPr>
        <w:rPr>
          <w:b/>
        </w:rPr>
      </w:pPr>
      <w:r w:rsidRPr="00E6784B">
        <w:rPr>
          <w:b/>
        </w:rPr>
        <w:t>Clave Única de Registro de Población (CURP)</w:t>
      </w:r>
    </w:p>
    <w:p w14:paraId="7B8DA1C1" w14:textId="77777777" w:rsidR="002527D3" w:rsidRPr="00E6784B" w:rsidRDefault="002527D3" w:rsidP="00E6784B"/>
    <w:p w14:paraId="038360DA" w14:textId="77777777" w:rsidR="002527D3" w:rsidRPr="00E6784B" w:rsidRDefault="002527D3" w:rsidP="00E6784B">
      <w:r w:rsidRPr="00E6784B">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22748DC" w14:textId="77777777" w:rsidR="002527D3" w:rsidRPr="00E6784B" w:rsidRDefault="002527D3" w:rsidP="00E6784B"/>
    <w:p w14:paraId="18230C92" w14:textId="77777777" w:rsidR="002527D3" w:rsidRPr="00E6784B" w:rsidRDefault="002527D3" w:rsidP="00E6784B">
      <w:r w:rsidRPr="00E6784B">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3A5FF0E" w14:textId="77777777" w:rsidR="002527D3" w:rsidRPr="00E6784B" w:rsidRDefault="002527D3" w:rsidP="00E6784B"/>
    <w:p w14:paraId="62367089" w14:textId="77777777" w:rsidR="002527D3" w:rsidRPr="00E6784B" w:rsidRDefault="002527D3" w:rsidP="00E6784B">
      <w:r w:rsidRPr="00E6784B">
        <w:t xml:space="preserve">En ese orden de ideas, la Secretaría de Gobernación en las direcciones </w:t>
      </w:r>
      <w:hyperlink r:id="rId20">
        <w:r w:rsidRPr="00E6784B">
          <w:rPr>
            <w:u w:val="single"/>
          </w:rPr>
          <w:t>https://consultas.curp.gob.mx/CurpSP/html/informacionecurpPS.html</w:t>
        </w:r>
      </w:hyperlink>
      <w:r w:rsidRPr="00E6784B">
        <w:t xml:space="preserve"> y </w:t>
      </w:r>
      <w:hyperlink r:id="rId21">
        <w:r w:rsidRPr="00E6784B">
          <w:rPr>
            <w:u w:val="single"/>
          </w:rPr>
          <w:t>https://www.gob.mx/segob/renapo/acciones-y-programas/clave-unica-de-registro-de-poblacion-curp-142226</w:t>
        </w:r>
      </w:hyperlink>
      <w:r w:rsidRPr="00E6784B">
        <w:t xml:space="preserve">, estableció que la Clave Única del Registro de Población, es un </w:t>
      </w:r>
      <w:r w:rsidRPr="00E6784B">
        <w:lastRenderedPageBreak/>
        <w:t xml:space="preserve">instrumento de registro que se asigna a todas las personas que viven en el territorio nacional, así como a los mexicanos que residen en el extranjero y se compone de dieciocho elementos, representados por letras y números, que </w:t>
      </w:r>
      <w:r w:rsidRPr="00E6784B">
        <w:rPr>
          <w:b/>
        </w:rPr>
        <w:t>se generan a partir de los datos contenidos en el documento probatorio de la identidad</w:t>
      </w:r>
      <w:r w:rsidRPr="00E6784B">
        <w:t xml:space="preserve"> </w:t>
      </w:r>
      <w:r w:rsidRPr="00E6784B">
        <w:rPr>
          <w:b/>
        </w:rPr>
        <w:t xml:space="preserve">del interesado </w:t>
      </w:r>
      <w:r w:rsidRPr="00E6784B">
        <w:t>(acta de nacimiento, carta de naturalización o documento migratorio) de la siguiente forma:</w:t>
      </w:r>
    </w:p>
    <w:p w14:paraId="5D88174D" w14:textId="77777777" w:rsidR="002527D3" w:rsidRPr="00E6784B" w:rsidRDefault="002527D3" w:rsidP="00E6784B"/>
    <w:p w14:paraId="48F2D584" w14:textId="77777777" w:rsidR="002527D3" w:rsidRPr="00E6784B" w:rsidRDefault="002527D3" w:rsidP="00E6784B">
      <w:pPr>
        <w:numPr>
          <w:ilvl w:val="0"/>
          <w:numId w:val="23"/>
        </w:numPr>
      </w:pPr>
      <w:r w:rsidRPr="00E6784B">
        <w:t>El primero y segundo apellidos, así como al nombre de pila;</w:t>
      </w:r>
    </w:p>
    <w:p w14:paraId="26F5FC0D" w14:textId="77777777" w:rsidR="002527D3" w:rsidRPr="00E6784B" w:rsidRDefault="002527D3" w:rsidP="00E6784B">
      <w:pPr>
        <w:numPr>
          <w:ilvl w:val="0"/>
          <w:numId w:val="23"/>
        </w:numPr>
      </w:pPr>
      <w:r w:rsidRPr="00E6784B">
        <w:t>La fecha de nacimiento;</w:t>
      </w:r>
    </w:p>
    <w:p w14:paraId="45D3430F" w14:textId="77777777" w:rsidR="002527D3" w:rsidRPr="00E6784B" w:rsidRDefault="002527D3" w:rsidP="00E6784B">
      <w:pPr>
        <w:numPr>
          <w:ilvl w:val="0"/>
          <w:numId w:val="23"/>
        </w:numPr>
      </w:pPr>
      <w:r w:rsidRPr="00E6784B">
        <w:t>El sexo, y</w:t>
      </w:r>
    </w:p>
    <w:p w14:paraId="54C0631A" w14:textId="77777777" w:rsidR="002527D3" w:rsidRPr="00E6784B" w:rsidRDefault="002527D3" w:rsidP="00E6784B">
      <w:pPr>
        <w:numPr>
          <w:ilvl w:val="0"/>
          <w:numId w:val="23"/>
        </w:numPr>
      </w:pPr>
      <w:r w:rsidRPr="00E6784B">
        <w:t>La entidad federativa de nacimiento.</w:t>
      </w:r>
    </w:p>
    <w:p w14:paraId="73A6AF50" w14:textId="77777777" w:rsidR="002527D3" w:rsidRPr="00E6784B" w:rsidRDefault="002527D3" w:rsidP="00E6784B"/>
    <w:p w14:paraId="5CA08C38" w14:textId="77777777" w:rsidR="002527D3" w:rsidRPr="00E6784B" w:rsidRDefault="002527D3" w:rsidP="00E6784B">
      <w:r w:rsidRPr="00E6784B">
        <w:t>Los dos últimos elementos de la Clave Única de Registro de Población evitan la duplicidad de la Clave y garantizan su correcta integración.</w:t>
      </w:r>
    </w:p>
    <w:p w14:paraId="16301970" w14:textId="77777777" w:rsidR="002527D3" w:rsidRPr="00E6784B" w:rsidRDefault="002527D3" w:rsidP="00E6784B"/>
    <w:p w14:paraId="4E4C900A" w14:textId="77777777" w:rsidR="002527D3" w:rsidRPr="00E6784B" w:rsidRDefault="002527D3" w:rsidP="00E6784B">
      <w:r w:rsidRPr="00E6784B">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A3EABDE" w14:textId="77777777" w:rsidR="002527D3" w:rsidRPr="00E6784B" w:rsidRDefault="002527D3" w:rsidP="00E6784B"/>
    <w:p w14:paraId="0154547F" w14:textId="77777777" w:rsidR="002527D3" w:rsidRPr="00E6784B" w:rsidRDefault="002527D3" w:rsidP="00E6784B">
      <w:r w:rsidRPr="00E6784B">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1B3A2E62" w14:textId="77777777" w:rsidR="002527D3" w:rsidRPr="00E6784B" w:rsidRDefault="002527D3" w:rsidP="00E6784B">
      <w:pPr>
        <w:ind w:left="567" w:right="567"/>
      </w:pPr>
    </w:p>
    <w:p w14:paraId="22121975" w14:textId="77777777" w:rsidR="002527D3" w:rsidRPr="00E6784B" w:rsidRDefault="002527D3" w:rsidP="00E6784B">
      <w:pPr>
        <w:pStyle w:val="Puesto"/>
      </w:pPr>
      <w:r w:rsidRPr="00E6784B">
        <w:rPr>
          <w:b/>
        </w:rPr>
        <w:t xml:space="preserve">“Clave Única de Registro de Población (CURP). </w:t>
      </w:r>
      <w:r w:rsidRPr="00E6784B">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B6750CB" w14:textId="77777777" w:rsidR="002527D3" w:rsidRPr="00E6784B" w:rsidRDefault="002527D3" w:rsidP="00E6784B"/>
    <w:p w14:paraId="35934F2E" w14:textId="77777777" w:rsidR="002527D3" w:rsidRPr="00E6784B" w:rsidRDefault="002527D3" w:rsidP="00E6784B">
      <w:pPr>
        <w:rPr>
          <w:b/>
        </w:rPr>
      </w:pPr>
      <w:r w:rsidRPr="00E6784B">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F516838" w14:textId="77777777" w:rsidR="002527D3" w:rsidRPr="00E6784B" w:rsidRDefault="002527D3" w:rsidP="00E6784B">
      <w:pPr>
        <w:tabs>
          <w:tab w:val="left" w:pos="3962"/>
        </w:tabs>
      </w:pPr>
    </w:p>
    <w:p w14:paraId="21182009" w14:textId="77777777" w:rsidR="002527D3" w:rsidRPr="00E6784B" w:rsidRDefault="002527D3" w:rsidP="00E6784B">
      <w:pPr>
        <w:numPr>
          <w:ilvl w:val="0"/>
          <w:numId w:val="22"/>
        </w:numPr>
        <w:rPr>
          <w:b/>
        </w:rPr>
      </w:pPr>
      <w:bookmarkStart w:id="29" w:name="_Hlk194505391"/>
      <w:r w:rsidRPr="00E6784B">
        <w:rPr>
          <w:b/>
        </w:rPr>
        <w:t>Número de seguridad social del Instituto de Seguridad Social del Estado de México y Municipios</w:t>
      </w:r>
    </w:p>
    <w:bookmarkEnd w:id="29"/>
    <w:p w14:paraId="3591BE21" w14:textId="77777777" w:rsidR="002527D3" w:rsidRPr="00E6784B" w:rsidRDefault="002527D3" w:rsidP="00E6784B">
      <w:pPr>
        <w:rPr>
          <w:b/>
        </w:rPr>
      </w:pPr>
    </w:p>
    <w:p w14:paraId="3337CF0E" w14:textId="77777777" w:rsidR="002527D3" w:rsidRPr="00E6784B" w:rsidRDefault="002527D3" w:rsidP="00E6784B">
      <w:r w:rsidRPr="00E6784B">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F0F2878" w14:textId="77777777" w:rsidR="002527D3" w:rsidRPr="00E6784B" w:rsidRDefault="002527D3" w:rsidP="00E6784B"/>
    <w:p w14:paraId="03908260" w14:textId="77777777" w:rsidR="002527D3" w:rsidRPr="00E6784B" w:rsidRDefault="002527D3" w:rsidP="00E6784B">
      <w:r w:rsidRPr="00E6784B">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w:t>
      </w:r>
      <w:r w:rsidRPr="00E6784B">
        <w:lastRenderedPageBreak/>
        <w:t>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9E65D3D" w14:textId="77777777" w:rsidR="002527D3" w:rsidRPr="00E6784B" w:rsidRDefault="002527D3" w:rsidP="00E6784B"/>
    <w:p w14:paraId="7593C81F" w14:textId="77777777" w:rsidR="002527D3" w:rsidRPr="00E6784B" w:rsidRDefault="002527D3" w:rsidP="00E6784B">
      <w:r w:rsidRPr="00E6784B">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1713ABB" w14:textId="77777777" w:rsidR="002527D3" w:rsidRPr="00E6784B" w:rsidRDefault="002527D3" w:rsidP="00E6784B"/>
    <w:p w14:paraId="2FE7004F" w14:textId="77777777" w:rsidR="002527D3" w:rsidRPr="00E6784B" w:rsidRDefault="002527D3" w:rsidP="00E6784B">
      <w:r w:rsidRPr="00E6784B">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4C03B183" w14:textId="77777777" w:rsidR="002527D3" w:rsidRPr="00E6784B" w:rsidRDefault="002527D3" w:rsidP="00E6784B">
      <w:pPr>
        <w:tabs>
          <w:tab w:val="left" w:pos="3962"/>
        </w:tabs>
      </w:pPr>
    </w:p>
    <w:p w14:paraId="44BDCE20" w14:textId="77777777" w:rsidR="002527D3" w:rsidRPr="00E6784B" w:rsidRDefault="002527D3" w:rsidP="00E6784B">
      <w:pPr>
        <w:numPr>
          <w:ilvl w:val="0"/>
          <w:numId w:val="22"/>
        </w:numPr>
        <w:rPr>
          <w:b/>
        </w:rPr>
      </w:pPr>
      <w:r w:rsidRPr="00E6784B">
        <w:rPr>
          <w:b/>
        </w:rPr>
        <w:t xml:space="preserve">Deducciones (Préstamos, Otras deducciones y Total de deducciones). </w:t>
      </w:r>
    </w:p>
    <w:p w14:paraId="40996BCE" w14:textId="77777777" w:rsidR="002527D3" w:rsidRPr="00E6784B" w:rsidRDefault="002527D3" w:rsidP="00E6784B">
      <w:pPr>
        <w:spacing w:before="240" w:after="240"/>
      </w:pPr>
      <w:r w:rsidRPr="00E6784B">
        <w:t xml:space="preserve">Sobre las </w:t>
      </w:r>
      <w:r w:rsidRPr="00E6784B">
        <w:rPr>
          <w:b/>
          <w:i/>
        </w:rPr>
        <w:t>deducciones</w:t>
      </w:r>
      <w:r w:rsidRPr="00E6784B">
        <w:t>, para entender los límites y alcances de esta restricción, es oportuno recurrir al artículo 84 de la Ley del Trabajo de los Servidores Públicos del Estado y Municipios:</w:t>
      </w:r>
    </w:p>
    <w:p w14:paraId="58C990EE" w14:textId="77777777" w:rsidR="002527D3" w:rsidRPr="00E6784B" w:rsidRDefault="002527D3" w:rsidP="00E6784B">
      <w:pPr>
        <w:pStyle w:val="Puesto"/>
        <w:rPr>
          <w:b/>
        </w:rPr>
      </w:pPr>
      <w:bookmarkStart w:id="30" w:name="_heading=h.i9mk3ga8ug63" w:colFirst="0" w:colLast="0"/>
      <w:bookmarkEnd w:id="30"/>
      <w:r w:rsidRPr="00E6784B">
        <w:rPr>
          <w:b/>
        </w:rPr>
        <w:lastRenderedPageBreak/>
        <w:t xml:space="preserve">“ARTÍCULO 84. </w:t>
      </w:r>
      <w:r w:rsidRPr="00E6784B">
        <w:t>Sólo podrán hacerse retenciones, descuentos o deducciones al sueldo de los servidores públicos por concepto de:</w:t>
      </w:r>
    </w:p>
    <w:p w14:paraId="47C9E529" w14:textId="77777777" w:rsidR="002527D3" w:rsidRPr="00E6784B" w:rsidRDefault="002527D3" w:rsidP="00E6784B">
      <w:pPr>
        <w:pStyle w:val="Puesto"/>
      </w:pPr>
      <w:r w:rsidRPr="00E6784B">
        <w:rPr>
          <w:b/>
        </w:rPr>
        <w:t>I.</w:t>
      </w:r>
      <w:r w:rsidRPr="00E6784B">
        <w:t xml:space="preserve"> Gravámenes fiscales relacionados con el sueldo;</w:t>
      </w:r>
    </w:p>
    <w:p w14:paraId="2769228C" w14:textId="77777777" w:rsidR="002527D3" w:rsidRPr="00E6784B" w:rsidRDefault="002527D3" w:rsidP="00E6784B">
      <w:pPr>
        <w:pStyle w:val="Puesto"/>
      </w:pPr>
      <w:r w:rsidRPr="00E6784B">
        <w:rPr>
          <w:b/>
        </w:rPr>
        <w:t>II.</w:t>
      </w:r>
      <w:r w:rsidRPr="00E6784B">
        <w:t xml:space="preserve"> Deudas contraídas con las instituciones públicas o dependencias por concepto de anticipos de sueldo, pagos hechos con exceso, errores o pérdidas debidamente comprobados;</w:t>
      </w:r>
    </w:p>
    <w:p w14:paraId="075F27BC" w14:textId="77777777" w:rsidR="002527D3" w:rsidRPr="00E6784B" w:rsidRDefault="002527D3" w:rsidP="00E6784B">
      <w:pPr>
        <w:pStyle w:val="Puesto"/>
      </w:pPr>
      <w:r w:rsidRPr="00E6784B">
        <w:rPr>
          <w:b/>
        </w:rPr>
        <w:t>III.</w:t>
      </w:r>
      <w:r w:rsidRPr="00E6784B">
        <w:t xml:space="preserve"> </w:t>
      </w:r>
      <w:r w:rsidRPr="00E6784B">
        <w:rPr>
          <w:b/>
        </w:rPr>
        <w:t>Cuotas sindicales</w:t>
      </w:r>
      <w:r w:rsidRPr="00E6784B">
        <w:t>;</w:t>
      </w:r>
    </w:p>
    <w:p w14:paraId="688406B9" w14:textId="77777777" w:rsidR="002527D3" w:rsidRPr="00E6784B" w:rsidRDefault="002527D3" w:rsidP="00E6784B">
      <w:pPr>
        <w:pStyle w:val="Puesto"/>
      </w:pPr>
      <w:r w:rsidRPr="00E6784B">
        <w:rPr>
          <w:b/>
        </w:rPr>
        <w:t>IV.</w:t>
      </w:r>
      <w:r w:rsidRPr="00E6784B">
        <w:t xml:space="preserve"> Cuotas de aportación a fondos para la constitución de cooperativas y de cajas de ahorro, siempre que el servidor público hubiese manifestado previamente, de manera expresa, su conformidad;</w:t>
      </w:r>
    </w:p>
    <w:p w14:paraId="2C02E696" w14:textId="77777777" w:rsidR="002527D3" w:rsidRPr="00E6784B" w:rsidRDefault="002527D3" w:rsidP="00E6784B">
      <w:pPr>
        <w:pStyle w:val="Puesto"/>
      </w:pPr>
      <w:r w:rsidRPr="00E6784B">
        <w:rPr>
          <w:b/>
        </w:rPr>
        <w:t>V.</w:t>
      </w:r>
      <w:r w:rsidRPr="00E6784B">
        <w:t xml:space="preserve"> Descuentos ordenados por el Instituto de Seguridad Social del Estado de México y Municipios, con motivo de cuotas y obligaciones contraídas con éste por los servidores públicos;</w:t>
      </w:r>
    </w:p>
    <w:p w14:paraId="0654DA3E" w14:textId="77777777" w:rsidR="002527D3" w:rsidRPr="00E6784B" w:rsidRDefault="002527D3" w:rsidP="00E6784B">
      <w:pPr>
        <w:pStyle w:val="Puesto"/>
      </w:pPr>
      <w:r w:rsidRPr="00E6784B">
        <w:rPr>
          <w:b/>
        </w:rPr>
        <w:t>VI.</w:t>
      </w:r>
      <w:r w:rsidRPr="00E6784B">
        <w:t xml:space="preserve"> Obligaciones a cargo del servidor público con las que haya consentido, derivadas de la adquisición o del uso de habitaciones consideradas como de interés social;</w:t>
      </w:r>
    </w:p>
    <w:p w14:paraId="00453686" w14:textId="77777777" w:rsidR="002527D3" w:rsidRPr="00E6784B" w:rsidRDefault="002527D3" w:rsidP="00E6784B">
      <w:pPr>
        <w:pStyle w:val="Puesto"/>
      </w:pPr>
      <w:r w:rsidRPr="00E6784B">
        <w:rPr>
          <w:b/>
        </w:rPr>
        <w:t>VII.</w:t>
      </w:r>
      <w:r w:rsidRPr="00E6784B">
        <w:t xml:space="preserve"> Faltas de puntualidad o de asistencia injustificadas;</w:t>
      </w:r>
    </w:p>
    <w:p w14:paraId="7A49566B" w14:textId="77777777" w:rsidR="002527D3" w:rsidRPr="00E6784B" w:rsidRDefault="002527D3" w:rsidP="00E6784B">
      <w:pPr>
        <w:pStyle w:val="Puesto"/>
      </w:pPr>
      <w:r w:rsidRPr="00E6784B">
        <w:rPr>
          <w:b/>
        </w:rPr>
        <w:t>VIII. Pensiones alimenticias ordenadas por la autoridad judicial;</w:t>
      </w:r>
      <w:r w:rsidRPr="00E6784B">
        <w:t xml:space="preserve"> o</w:t>
      </w:r>
    </w:p>
    <w:p w14:paraId="6A85395C" w14:textId="77777777" w:rsidR="002527D3" w:rsidRPr="00E6784B" w:rsidRDefault="002527D3" w:rsidP="00E6784B">
      <w:pPr>
        <w:pStyle w:val="Puesto"/>
        <w:rPr>
          <w:b/>
        </w:rPr>
      </w:pPr>
      <w:r w:rsidRPr="00E6784B">
        <w:rPr>
          <w:b/>
        </w:rPr>
        <w:t>IX. Cualquier otro convenido con instituciones de servicios y aceptado por el servidor público.</w:t>
      </w:r>
    </w:p>
    <w:p w14:paraId="13F67BA1" w14:textId="77777777" w:rsidR="002527D3" w:rsidRPr="00E6784B" w:rsidRDefault="002527D3" w:rsidP="00E6784B">
      <w:pPr>
        <w:pStyle w:val="Puesto"/>
      </w:pPr>
      <w:r w:rsidRPr="00E6784B">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1F196F8" w14:textId="77777777" w:rsidR="002527D3" w:rsidRPr="00E6784B" w:rsidRDefault="002527D3" w:rsidP="00E6784B"/>
    <w:p w14:paraId="5C398CDF" w14:textId="77777777" w:rsidR="002527D3" w:rsidRPr="00E6784B" w:rsidRDefault="002527D3" w:rsidP="00E6784B">
      <w:r w:rsidRPr="00E6784B">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26DE2CB1" w14:textId="77777777" w:rsidR="002527D3" w:rsidRPr="00E6784B" w:rsidRDefault="002527D3" w:rsidP="00E6784B"/>
    <w:p w14:paraId="3465486F" w14:textId="77777777" w:rsidR="002527D3" w:rsidRPr="00E6784B" w:rsidRDefault="002527D3" w:rsidP="00E6784B">
      <w:r w:rsidRPr="00E6784B">
        <w:t xml:space="preserve">Como se logra observar, dichas deducciones, son las renciones que realizan las dependencias y entidades, de manera obligatoria por estar establecidas en diversas leyes, como la Ley del Impuesto sobre la Renta y la Ley de Seguridad Social para los Servidores Públicos del Estado </w:t>
      </w:r>
      <w:r w:rsidRPr="00E6784B">
        <w:lastRenderedPageBreak/>
        <w:t>de México y Municipios (gravámenes fiscales), o bien, la Ley de Servidores Públicos del Estado de México y Municipios (descuentos por faltas o inasistencias).</w:t>
      </w:r>
    </w:p>
    <w:p w14:paraId="2C98A4C4" w14:textId="77777777" w:rsidR="002527D3" w:rsidRPr="00E6784B" w:rsidRDefault="002527D3" w:rsidP="00E6784B"/>
    <w:p w14:paraId="76F5AFE4" w14:textId="77777777" w:rsidR="002527D3" w:rsidRPr="00E6784B" w:rsidRDefault="002527D3" w:rsidP="00E6784B">
      <w:r w:rsidRPr="00E6784B">
        <w:t xml:space="preserve">Por tal circunstancia y toda vez, que las deducciones por Ley, son de carácter obligatorio y ayuda a rendir cuentas, de que </w:t>
      </w:r>
      <w:r w:rsidRPr="00E6784B">
        <w:rPr>
          <w:b/>
        </w:rPr>
        <w:t>EL SUJETO OBLIGADO</w:t>
      </w:r>
      <w:r w:rsidRPr="00E6784B">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A69C2FA" w14:textId="77777777" w:rsidR="002527D3" w:rsidRPr="00E6784B" w:rsidRDefault="002527D3" w:rsidP="00E6784B"/>
    <w:p w14:paraId="5669C21E" w14:textId="77777777" w:rsidR="002527D3" w:rsidRPr="00E6784B" w:rsidRDefault="002527D3" w:rsidP="00E6784B">
      <w:pPr>
        <w:pBdr>
          <w:top w:val="nil"/>
          <w:left w:val="nil"/>
          <w:bottom w:val="nil"/>
          <w:right w:val="nil"/>
          <w:between w:val="nil"/>
        </w:pBdr>
      </w:pPr>
      <w:r w:rsidRPr="00E6784B">
        <w:t>Tal es el caso del</w:t>
      </w:r>
      <w:r w:rsidRPr="00E6784B">
        <w:rPr>
          <w:b/>
        </w:rPr>
        <w:t xml:space="preserve"> Sistema De Capitalización Individual (SCI), </w:t>
      </w:r>
      <w:r w:rsidRPr="00E6784B">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3248D5D0" w14:textId="77777777" w:rsidR="002527D3" w:rsidRPr="00E6784B" w:rsidRDefault="002527D3" w:rsidP="00E6784B">
      <w:pPr>
        <w:pBdr>
          <w:top w:val="nil"/>
          <w:left w:val="nil"/>
          <w:bottom w:val="nil"/>
          <w:right w:val="nil"/>
          <w:between w:val="nil"/>
        </w:pBdr>
      </w:pPr>
    </w:p>
    <w:p w14:paraId="2F3F4908" w14:textId="77777777" w:rsidR="002527D3" w:rsidRPr="00E6784B" w:rsidRDefault="002527D3" w:rsidP="00E6784B">
      <w:pPr>
        <w:pStyle w:val="Puesto"/>
        <w:rPr>
          <w:b/>
        </w:rPr>
      </w:pPr>
      <w:r w:rsidRPr="00E6784B">
        <w:t>“</w:t>
      </w:r>
      <w:r w:rsidRPr="00E6784B">
        <w:rPr>
          <w:b/>
        </w:rPr>
        <w:t>ARTICULO 84.-</w:t>
      </w:r>
      <w:r w:rsidRPr="00E6784B">
        <w:t xml:space="preserve"> Las pensiones que otorga esta ley, se basan en un régimen mixto, siendo una parte de beneficios definidos denominado </w:t>
      </w:r>
      <w:r w:rsidRPr="00E6784B">
        <w:rPr>
          <w:b/>
        </w:rPr>
        <w:t>sistema solidario de reparto y otra de contribuciones definidas denominado sistema de capitalización individual.</w:t>
      </w:r>
    </w:p>
    <w:p w14:paraId="29E181CA" w14:textId="77777777" w:rsidR="002527D3" w:rsidRPr="00E6784B" w:rsidRDefault="002527D3" w:rsidP="00E6784B">
      <w:pPr>
        <w:spacing w:line="276" w:lineRule="auto"/>
        <w:ind w:left="567" w:right="900"/>
        <w:rPr>
          <w:i/>
        </w:rPr>
      </w:pPr>
    </w:p>
    <w:p w14:paraId="4B3CD99B" w14:textId="77777777" w:rsidR="002527D3" w:rsidRPr="00E6784B" w:rsidRDefault="002527D3" w:rsidP="00E6784B">
      <w:pPr>
        <w:pStyle w:val="Puesto"/>
      </w:pPr>
      <w:r w:rsidRPr="00E6784B">
        <w:t>El monto total para el financiamiento de pensiones de cada servidor público, es equivalente al 16.77% de su sueldo sujeto a cotización, del cual el 13.52% se aplicará al fondo del sistema solidario de reparto y el 3.25% al sistema de capitalización individual.</w:t>
      </w:r>
    </w:p>
    <w:p w14:paraId="7874E420" w14:textId="77777777" w:rsidR="002527D3" w:rsidRPr="00E6784B" w:rsidRDefault="002527D3" w:rsidP="00E6784B"/>
    <w:p w14:paraId="37609124" w14:textId="77777777" w:rsidR="002527D3" w:rsidRPr="00E6784B" w:rsidRDefault="002527D3" w:rsidP="00E6784B">
      <w:pPr>
        <w:pStyle w:val="Puesto"/>
      </w:pPr>
      <w:r w:rsidRPr="00E6784B">
        <w:t xml:space="preserve"> </w:t>
      </w:r>
      <w:r w:rsidRPr="00E6784B">
        <w:rPr>
          <w:b/>
        </w:rPr>
        <w:t>ARTICULO 115.-</w:t>
      </w:r>
      <w:r w:rsidRPr="00E6784B">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0EACF31D" w14:textId="77777777" w:rsidR="002527D3" w:rsidRPr="00E6784B" w:rsidRDefault="002527D3" w:rsidP="00E6784B"/>
    <w:p w14:paraId="1BF75BA1" w14:textId="77777777" w:rsidR="002527D3" w:rsidRPr="00E6784B" w:rsidRDefault="002527D3" w:rsidP="00E6784B">
      <w:r w:rsidRPr="00E6784B">
        <w:t>En esta misma disposición normativa, en los artículos 5 fracciones II, VII y VIII; 32, 34 y 35, dispone lo siguiente:</w:t>
      </w:r>
    </w:p>
    <w:p w14:paraId="7B82FCE3" w14:textId="77777777" w:rsidR="002527D3" w:rsidRPr="00E6784B" w:rsidRDefault="002527D3" w:rsidP="00E6784B"/>
    <w:p w14:paraId="6B2C82A7" w14:textId="77777777" w:rsidR="002527D3" w:rsidRPr="00E6784B" w:rsidRDefault="002527D3" w:rsidP="00E6784B">
      <w:pPr>
        <w:pStyle w:val="Puesto"/>
      </w:pPr>
      <w:r w:rsidRPr="00E6784B">
        <w:t>“</w:t>
      </w:r>
      <w:r w:rsidRPr="00E6784B">
        <w:rPr>
          <w:b/>
        </w:rPr>
        <w:t>ARTÍCULO 5</w:t>
      </w:r>
      <w:r w:rsidRPr="00E6784B">
        <w:t>.- Para los efectos de esta ley se entiende por:</w:t>
      </w:r>
    </w:p>
    <w:p w14:paraId="259D39FB" w14:textId="77777777" w:rsidR="002527D3" w:rsidRPr="00E6784B" w:rsidRDefault="002527D3" w:rsidP="00E6784B">
      <w:pPr>
        <w:pStyle w:val="Puesto"/>
      </w:pPr>
      <w:r w:rsidRPr="00E6784B">
        <w:t>…</w:t>
      </w:r>
    </w:p>
    <w:p w14:paraId="1BC608A9" w14:textId="77777777" w:rsidR="002527D3" w:rsidRPr="00E6784B" w:rsidRDefault="002527D3" w:rsidP="00E6784B">
      <w:pPr>
        <w:pStyle w:val="Puesto"/>
      </w:pPr>
      <w:r w:rsidRPr="00E6784B">
        <w:t>II. Institución pública, a los poderes públicos del estado, los ayuntamientos de los municipios y los tribunales administrativos, así como los organismos auxiliares y fideicomisos públicos de carácter estatal y municipal;</w:t>
      </w:r>
    </w:p>
    <w:p w14:paraId="1746F0E5" w14:textId="77777777" w:rsidR="002527D3" w:rsidRPr="00E6784B" w:rsidRDefault="002527D3" w:rsidP="00E6784B">
      <w:pPr>
        <w:pStyle w:val="Puesto"/>
      </w:pPr>
      <w:r w:rsidRPr="00E6784B">
        <w:t>…</w:t>
      </w:r>
    </w:p>
    <w:p w14:paraId="17944F32" w14:textId="77777777" w:rsidR="002527D3" w:rsidRPr="00E6784B" w:rsidRDefault="002527D3" w:rsidP="00E6784B">
      <w:pPr>
        <w:pStyle w:val="Puesto"/>
      </w:pPr>
      <w:r w:rsidRPr="00E6784B">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2FAEE803" w14:textId="77777777" w:rsidR="002527D3" w:rsidRPr="00E6784B" w:rsidRDefault="002527D3" w:rsidP="00E6784B">
      <w:pPr>
        <w:pStyle w:val="Puesto"/>
        <w:rPr>
          <w:b/>
        </w:rPr>
      </w:pPr>
      <w:r w:rsidRPr="00E6784B">
        <w:t xml:space="preserve">VIII. </w:t>
      </w:r>
      <w:r w:rsidRPr="00E6784B">
        <w:rPr>
          <w:b/>
        </w:rPr>
        <w:t>Aportación, al monto que le corresponde cubrir a las instituciones públicas como porcentaje del sueldo sujeto a cotización de cada servidor público;</w:t>
      </w:r>
    </w:p>
    <w:p w14:paraId="6407936E" w14:textId="77777777" w:rsidR="002527D3" w:rsidRPr="00E6784B" w:rsidRDefault="002527D3" w:rsidP="00E6784B">
      <w:pPr>
        <w:pStyle w:val="Puesto"/>
      </w:pPr>
      <w:r w:rsidRPr="00E6784B">
        <w:t>…</w:t>
      </w:r>
    </w:p>
    <w:p w14:paraId="11AFC2B9" w14:textId="77777777" w:rsidR="002527D3" w:rsidRPr="00E6784B" w:rsidRDefault="002527D3" w:rsidP="00E6784B">
      <w:pPr>
        <w:pStyle w:val="Puesto"/>
      </w:pPr>
    </w:p>
    <w:p w14:paraId="1ECDEBEE" w14:textId="77777777" w:rsidR="002527D3" w:rsidRPr="00E6784B" w:rsidRDefault="002527D3" w:rsidP="00E6784B">
      <w:pPr>
        <w:pStyle w:val="Puesto"/>
        <w:rPr>
          <w:b/>
        </w:rPr>
      </w:pPr>
      <w:r w:rsidRPr="00E6784B">
        <w:rPr>
          <w:b/>
        </w:rPr>
        <w:t>Artículo 32.-</w:t>
      </w:r>
      <w:r w:rsidRPr="00E6784B">
        <w:t xml:space="preserve"> </w:t>
      </w:r>
      <w:r w:rsidRPr="00E6784B">
        <w:rPr>
          <w:b/>
        </w:rPr>
        <w:t xml:space="preserve">Las cuotas obligatorias que deberán cubrir los servidores públicos al Instituto, serán las siguientes: </w:t>
      </w:r>
    </w:p>
    <w:p w14:paraId="5CE0D031" w14:textId="77777777" w:rsidR="002527D3" w:rsidRPr="00E6784B" w:rsidRDefault="002527D3" w:rsidP="00E6784B">
      <w:pPr>
        <w:pStyle w:val="Puesto"/>
      </w:pPr>
      <w:r w:rsidRPr="00E6784B">
        <w:t xml:space="preserve">I. El 4.625% del sueldo sujeto a cotización, para cubrir las prestaciones de servicios de salud; </w:t>
      </w:r>
    </w:p>
    <w:p w14:paraId="379FD3A0" w14:textId="77777777" w:rsidR="002527D3" w:rsidRPr="00E6784B" w:rsidRDefault="002527D3" w:rsidP="00E6784B">
      <w:pPr>
        <w:pStyle w:val="Puesto"/>
      </w:pPr>
      <w:r w:rsidRPr="00E6784B">
        <w:t xml:space="preserve">II. El 7.50% del sueldo sujeto a cotización, para cubrir el financiamiento de pensiones, de la siguiente manera: </w:t>
      </w:r>
    </w:p>
    <w:p w14:paraId="09866337" w14:textId="77777777" w:rsidR="002527D3" w:rsidRPr="00E6784B" w:rsidRDefault="002527D3" w:rsidP="00E6784B">
      <w:pPr>
        <w:pStyle w:val="Puesto"/>
      </w:pPr>
      <w:r w:rsidRPr="00E6784B">
        <w:t xml:space="preserve">a. 6.10% para el fondo del sistema solidario de reparto. </w:t>
      </w:r>
    </w:p>
    <w:p w14:paraId="0398F067" w14:textId="77777777" w:rsidR="002527D3" w:rsidRPr="00E6784B" w:rsidRDefault="002527D3" w:rsidP="00E6784B">
      <w:pPr>
        <w:pStyle w:val="Puesto"/>
        <w:rPr>
          <w:b/>
          <w:u w:val="single"/>
        </w:rPr>
      </w:pPr>
      <w:r w:rsidRPr="00E6784B">
        <w:rPr>
          <w:b/>
          <w:u w:val="single"/>
        </w:rPr>
        <w:t xml:space="preserve">b. 1.40% para el sistema de capitalización individual. </w:t>
      </w:r>
    </w:p>
    <w:p w14:paraId="1D4B5478" w14:textId="77777777" w:rsidR="002527D3" w:rsidRPr="00E6784B" w:rsidRDefault="002527D3" w:rsidP="00E6784B">
      <w:pPr>
        <w:pStyle w:val="Puesto"/>
      </w:pPr>
      <w:r w:rsidRPr="00E6784B">
        <w:t>III. Las que determine anualmente el Consejo Directivo para otras prestaciones, señaladas en el Título IV.</w:t>
      </w:r>
    </w:p>
    <w:p w14:paraId="6DF44A25" w14:textId="77777777" w:rsidR="002527D3" w:rsidRPr="00E6784B" w:rsidRDefault="002527D3" w:rsidP="00E6784B">
      <w:pPr>
        <w:pStyle w:val="Puesto"/>
      </w:pPr>
      <w:r w:rsidRPr="00E6784B">
        <w:t>…</w:t>
      </w:r>
    </w:p>
    <w:p w14:paraId="4FCD6361" w14:textId="77777777" w:rsidR="002527D3" w:rsidRPr="00E6784B" w:rsidRDefault="002527D3" w:rsidP="00E6784B">
      <w:pPr>
        <w:pStyle w:val="Puesto"/>
      </w:pPr>
    </w:p>
    <w:p w14:paraId="156A567C" w14:textId="77777777" w:rsidR="002527D3" w:rsidRPr="00E6784B" w:rsidRDefault="002527D3" w:rsidP="00E6784B">
      <w:pPr>
        <w:pStyle w:val="Puesto"/>
      </w:pPr>
      <w:r w:rsidRPr="00E6784B">
        <w:rPr>
          <w:b/>
        </w:rPr>
        <w:t>Artículo 34.-</w:t>
      </w:r>
      <w:r w:rsidRPr="00E6784B">
        <w:t xml:space="preserve"> </w:t>
      </w:r>
      <w:r w:rsidRPr="00E6784B">
        <w:rPr>
          <w:b/>
        </w:rPr>
        <w:t>Las aportaciones que deberán cubrir obligatoriamente las instituciones públicas serán las siguientes</w:t>
      </w:r>
      <w:r w:rsidRPr="00E6784B">
        <w:t xml:space="preserve">: </w:t>
      </w:r>
    </w:p>
    <w:p w14:paraId="2B848926" w14:textId="77777777" w:rsidR="002527D3" w:rsidRPr="00E6784B" w:rsidRDefault="002527D3" w:rsidP="00E6784B">
      <w:pPr>
        <w:pStyle w:val="Puesto"/>
      </w:pPr>
      <w:r w:rsidRPr="00E6784B">
        <w:t xml:space="preserve">I. El 10% del sueldo sujeto a cotización, para cubrir las prestaciones de servicios de salud; </w:t>
      </w:r>
    </w:p>
    <w:p w14:paraId="168E2FD4" w14:textId="77777777" w:rsidR="002527D3" w:rsidRPr="00E6784B" w:rsidRDefault="002527D3" w:rsidP="00E6784B">
      <w:pPr>
        <w:pStyle w:val="Puesto"/>
      </w:pPr>
      <w:r w:rsidRPr="00E6784B">
        <w:lastRenderedPageBreak/>
        <w:t xml:space="preserve">II. El 9.27% del sueldo sujeto a cotización, para cubrir el financiamiento de pensiones, de la siguiente manera: </w:t>
      </w:r>
    </w:p>
    <w:p w14:paraId="67CD9442" w14:textId="77777777" w:rsidR="002527D3" w:rsidRPr="00E6784B" w:rsidRDefault="002527D3" w:rsidP="00E6784B">
      <w:pPr>
        <w:pStyle w:val="Puesto"/>
      </w:pPr>
      <w:r w:rsidRPr="00E6784B">
        <w:t xml:space="preserve">a. 7.42% para el fondo del sistema solidario de reparto. </w:t>
      </w:r>
    </w:p>
    <w:p w14:paraId="54BD8350" w14:textId="77777777" w:rsidR="002527D3" w:rsidRPr="00E6784B" w:rsidRDefault="002527D3" w:rsidP="00E6784B">
      <w:pPr>
        <w:pStyle w:val="Puesto"/>
        <w:rPr>
          <w:b/>
          <w:u w:val="single"/>
        </w:rPr>
      </w:pPr>
      <w:r w:rsidRPr="00E6784B">
        <w:rPr>
          <w:u w:val="single"/>
        </w:rPr>
        <w:t xml:space="preserve">b. </w:t>
      </w:r>
      <w:r w:rsidRPr="00E6784B">
        <w:rPr>
          <w:b/>
          <w:u w:val="single"/>
        </w:rPr>
        <w:t xml:space="preserve">1.85% para el sistema de capitalización individual. </w:t>
      </w:r>
    </w:p>
    <w:p w14:paraId="05637E04" w14:textId="77777777" w:rsidR="002527D3" w:rsidRPr="00E6784B" w:rsidRDefault="002527D3" w:rsidP="00E6784B">
      <w:pPr>
        <w:pStyle w:val="Puesto"/>
      </w:pPr>
      <w:r w:rsidRPr="00E6784B">
        <w:t xml:space="preserve">III. Las que determine anualmente el Consejo Directivo para otras prestaciones, señaladas en el Título IV; </w:t>
      </w:r>
    </w:p>
    <w:p w14:paraId="54E60CC9" w14:textId="77777777" w:rsidR="002527D3" w:rsidRPr="00E6784B" w:rsidRDefault="002527D3" w:rsidP="00E6784B">
      <w:pPr>
        <w:pStyle w:val="Puesto"/>
      </w:pPr>
      <w:r w:rsidRPr="00E6784B">
        <w:t xml:space="preserve">IV. El 0.875% para gastos de administración; </w:t>
      </w:r>
    </w:p>
    <w:p w14:paraId="188550BD" w14:textId="77777777" w:rsidR="002527D3" w:rsidRPr="00E6784B" w:rsidRDefault="002527D3" w:rsidP="00E6784B">
      <w:pPr>
        <w:pStyle w:val="Puesto"/>
      </w:pPr>
      <w:r w:rsidRPr="00E6784B">
        <w:t>V. Las que se generen a cargo de las Instituciones públicas por concepto de riesgos de trabajo.</w:t>
      </w:r>
    </w:p>
    <w:p w14:paraId="4D7734B5" w14:textId="77777777" w:rsidR="002527D3" w:rsidRPr="00E6784B" w:rsidRDefault="002527D3" w:rsidP="00E6784B"/>
    <w:p w14:paraId="712DD99E" w14:textId="77777777" w:rsidR="002527D3" w:rsidRPr="00E6784B" w:rsidRDefault="002527D3" w:rsidP="00E6784B">
      <w:r w:rsidRPr="00E6784B">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070288C0" w14:textId="77777777" w:rsidR="002527D3" w:rsidRPr="00E6784B" w:rsidRDefault="002527D3" w:rsidP="00E6784B"/>
    <w:p w14:paraId="0744D517" w14:textId="77777777" w:rsidR="002527D3" w:rsidRPr="00E6784B" w:rsidRDefault="002527D3" w:rsidP="00E6784B">
      <w:pPr>
        <w:pBdr>
          <w:top w:val="nil"/>
          <w:left w:val="nil"/>
          <w:bottom w:val="nil"/>
          <w:right w:val="nil"/>
          <w:between w:val="nil"/>
        </w:pBdr>
        <w:rPr>
          <w:u w:val="single"/>
        </w:rPr>
      </w:pPr>
      <w:r w:rsidRPr="00E6784B">
        <w:t xml:space="preserve">Es necesario precisar que existen deducciones que se generan con motivo de una decisión libre y voluntaria de los servidores públicos, como son: </w:t>
      </w:r>
      <w:r w:rsidRPr="00E6784B">
        <w:rPr>
          <w:u w:val="single"/>
        </w:rPr>
        <w:t>créditos personales,</w:t>
      </w:r>
      <w:r w:rsidRPr="00E6784B">
        <w:t xml:space="preserve"> </w:t>
      </w:r>
      <w:r w:rsidRPr="00E6784B">
        <w:rPr>
          <w:u w:val="single"/>
        </w:rPr>
        <w:t xml:space="preserve">cuotas sindicales y fondo de resistencia del Sindicato Único de Trabajadores de los Poderes, Municipios e Institución Descentralizadas del Estado de México, seguro de vida, accidentes y enfermedades. </w:t>
      </w:r>
      <w:r w:rsidRPr="00E6784B">
        <w:t xml:space="preserve">Asimismo, hay otras que se generan con motivo de una sentencia judicial, como es la pensión alimenticia que periódicamente se retira de la cuenta de un empleado, a efecto de que sea entregado a un tercero.  </w:t>
      </w:r>
    </w:p>
    <w:p w14:paraId="76AF94B1" w14:textId="77777777" w:rsidR="002527D3" w:rsidRPr="00E6784B" w:rsidRDefault="002527D3" w:rsidP="00E6784B">
      <w:pPr>
        <w:pBdr>
          <w:top w:val="nil"/>
          <w:left w:val="nil"/>
          <w:bottom w:val="nil"/>
          <w:right w:val="nil"/>
          <w:between w:val="nil"/>
        </w:pBdr>
        <w:ind w:left="720"/>
      </w:pPr>
    </w:p>
    <w:p w14:paraId="48E83320" w14:textId="77777777" w:rsidR="002527D3" w:rsidRPr="00E6784B" w:rsidRDefault="002527D3" w:rsidP="00E6784B">
      <w:pPr>
        <w:pBdr>
          <w:top w:val="nil"/>
          <w:left w:val="nil"/>
          <w:bottom w:val="nil"/>
          <w:right w:val="nil"/>
          <w:between w:val="nil"/>
        </w:pBdr>
      </w:pPr>
      <w:r w:rsidRPr="00E6784B">
        <w:lastRenderedPageBreak/>
        <w:t xml:space="preserve">En consecuencia, este tipo de deducciones son fruto de decisiones que impactan en el patrimonio de un servidor público con la finalidad de obtener un beneficio conforme a la decisión de un trabajador, </w:t>
      </w:r>
      <w:r w:rsidRPr="00E6784B">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E6784B">
        <w:t xml:space="preserve"> Así, dichas deducciones reflejan el destino que un servidor público da a su patrimonio, lo que se aleja de la transparencia y rendición de cuentas, por tanto, se deben de clasificar como confidenciales.</w:t>
      </w:r>
    </w:p>
    <w:p w14:paraId="0EFE30F7" w14:textId="77777777" w:rsidR="002527D3" w:rsidRPr="00E6784B" w:rsidRDefault="002527D3" w:rsidP="00E6784B">
      <w:pPr>
        <w:pBdr>
          <w:top w:val="nil"/>
          <w:left w:val="nil"/>
          <w:bottom w:val="nil"/>
          <w:right w:val="nil"/>
          <w:between w:val="nil"/>
        </w:pBdr>
      </w:pPr>
    </w:p>
    <w:p w14:paraId="48A91B24" w14:textId="77777777" w:rsidR="002527D3" w:rsidRPr="00E6784B" w:rsidRDefault="002527D3" w:rsidP="00E6784B">
      <w:r w:rsidRPr="00E6784B">
        <w:t xml:space="preserve">Derivado de lo anterior, la ley establece claramente cuáles son esos descuentos o gravámenes que directamente se relacionan con las obligaciones adquiridas como servidores públicos y aquéllos que </w:t>
      </w:r>
      <w:r w:rsidRPr="00E6784B">
        <w:rPr>
          <w:b/>
        </w:rPr>
        <w:t>únicamente inciden en su vida privada</w:t>
      </w:r>
      <w:r w:rsidRPr="00E6784B">
        <w:t>. De este modo, descuentos por pensiones alimenticias o créditos adquiridos con instituciones privadas o públicas pero que fueron contraídas en forma individual, son información que debe clasificarse como confidencial.</w:t>
      </w:r>
    </w:p>
    <w:p w14:paraId="1A8322C0" w14:textId="77777777" w:rsidR="002527D3" w:rsidRPr="00E6784B" w:rsidRDefault="002527D3" w:rsidP="00E6784B"/>
    <w:p w14:paraId="33D8DE17" w14:textId="77777777" w:rsidR="002527D3" w:rsidRPr="00E6784B" w:rsidRDefault="002527D3" w:rsidP="00E6784B"/>
    <w:p w14:paraId="21CCF6FE" w14:textId="77777777" w:rsidR="002527D3" w:rsidRPr="00E6784B" w:rsidRDefault="002527D3" w:rsidP="00E6784B">
      <w:pPr>
        <w:numPr>
          <w:ilvl w:val="0"/>
          <w:numId w:val="22"/>
        </w:numPr>
        <w:rPr>
          <w:b/>
        </w:rPr>
      </w:pPr>
      <w:r w:rsidRPr="00E6784B">
        <w:rPr>
          <w:b/>
        </w:rPr>
        <w:t>Nombre de institución bancaria utilizada por el servidor público.</w:t>
      </w:r>
    </w:p>
    <w:p w14:paraId="4F2C318F" w14:textId="77777777" w:rsidR="002527D3" w:rsidRPr="00E6784B" w:rsidRDefault="002527D3" w:rsidP="00E6784B">
      <w:pPr>
        <w:ind w:left="720"/>
        <w:rPr>
          <w:b/>
        </w:rPr>
      </w:pPr>
    </w:p>
    <w:p w14:paraId="6D761922" w14:textId="77777777" w:rsidR="002527D3" w:rsidRPr="00E6784B" w:rsidRDefault="002527D3" w:rsidP="00E6784B">
      <w:r w:rsidRPr="00E6784B">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w:t>
      </w:r>
      <w:r w:rsidRPr="00E6784B">
        <w:lastRenderedPageBreak/>
        <w:t>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66AF138D" w14:textId="77777777" w:rsidR="002527D3" w:rsidRPr="00E6784B" w:rsidRDefault="002527D3" w:rsidP="00E6784B"/>
    <w:p w14:paraId="658DFF22" w14:textId="77777777" w:rsidR="002527D3" w:rsidRPr="00E6784B" w:rsidRDefault="002527D3" w:rsidP="00E6784B">
      <w:r w:rsidRPr="00E6784B">
        <w:t xml:space="preserve">En ese orden de ideas, en el portal de la Comisión Nacional para la Protección y Defensa de los Usuarios de Servicios Financieros, en </w:t>
      </w:r>
      <w:hyperlink r:id="rId22">
        <w:r w:rsidRPr="00E6784B">
          <w:t>https://www.condusef.gob.mx/Revista/index.php/usuario-inteligente/condusef-responde/777-la-condusef-te-puede-ayudar</w:t>
        </w:r>
      </w:hyperlink>
      <w:r w:rsidRPr="00E6784B">
        <w:t>), se establece que los bancos son instituciones financieras; conforme a lo anterior, se puede advertir que las instituciones bancarias, son personas morales.</w:t>
      </w:r>
    </w:p>
    <w:p w14:paraId="13819F4F" w14:textId="77777777" w:rsidR="002527D3" w:rsidRPr="00E6784B" w:rsidRDefault="002527D3" w:rsidP="00E6784B"/>
    <w:p w14:paraId="6EC95903" w14:textId="77777777" w:rsidR="002527D3" w:rsidRPr="00E6784B" w:rsidRDefault="002527D3" w:rsidP="00E6784B">
      <w:r w:rsidRPr="00E6784B">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en la liga </w:t>
      </w:r>
      <w:hyperlink r:id="rId23">
        <w:r w:rsidRPr="00E6784B">
          <w:rPr>
            <w:u w:val="single"/>
          </w:rPr>
          <w:t>https://webapps.condusef.gob.mx/SIPRES/jsp/pub/index.jsp</w:t>
        </w:r>
      </w:hyperlink>
      <w:r w:rsidRPr="00E6784B">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3D68B496" w14:textId="77777777" w:rsidR="002527D3" w:rsidRPr="00E6784B" w:rsidRDefault="002527D3" w:rsidP="00E6784B"/>
    <w:p w14:paraId="74E4B8ED" w14:textId="77777777" w:rsidR="002527D3" w:rsidRPr="00E6784B" w:rsidRDefault="002527D3" w:rsidP="00E6784B">
      <w:pPr>
        <w:jc w:val="center"/>
      </w:pPr>
      <w:r w:rsidRPr="00E6784B">
        <w:rPr>
          <w:noProof/>
          <w:lang w:eastAsia="es-MX"/>
        </w:rPr>
        <w:lastRenderedPageBreak/>
        <w:drawing>
          <wp:inline distT="0" distB="0" distL="0" distR="0" wp14:anchorId="7868A883" wp14:editId="6215A273">
            <wp:extent cx="5295900" cy="1295400"/>
            <wp:effectExtent l="0" t="0" r="0" b="0"/>
            <wp:docPr id="326021686" name="image2.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preferRelativeResize="0"/>
                  </pic:nvPicPr>
                  <pic:blipFill>
                    <a:blip r:embed="rId24"/>
                    <a:srcRect t="1" b="52956"/>
                    <a:stretch>
                      <a:fillRect/>
                    </a:stretch>
                  </pic:blipFill>
                  <pic:spPr>
                    <a:xfrm>
                      <a:off x="0" y="0"/>
                      <a:ext cx="5295900" cy="1295400"/>
                    </a:xfrm>
                    <a:prstGeom prst="rect">
                      <a:avLst/>
                    </a:prstGeom>
                    <a:ln/>
                  </pic:spPr>
                </pic:pic>
              </a:graphicData>
            </a:graphic>
          </wp:inline>
        </w:drawing>
      </w:r>
    </w:p>
    <w:p w14:paraId="05976585" w14:textId="77777777" w:rsidR="002527D3" w:rsidRPr="00E6784B" w:rsidRDefault="002527D3" w:rsidP="00E6784B"/>
    <w:p w14:paraId="1C1E57E4" w14:textId="77777777" w:rsidR="002527D3" w:rsidRPr="00E6784B" w:rsidRDefault="002527D3" w:rsidP="00E6784B">
      <w:pPr>
        <w:ind w:right="-28"/>
      </w:pPr>
      <w:r w:rsidRPr="00E6784B">
        <w:t>Conforme a lo anterior, se logra vislumbrar que el nombre de las instituciones bancarias es de naturaleza pública.</w:t>
      </w:r>
    </w:p>
    <w:p w14:paraId="531E7E9F" w14:textId="77777777" w:rsidR="002527D3" w:rsidRPr="00E6784B" w:rsidRDefault="002527D3" w:rsidP="00E6784B">
      <w:pPr>
        <w:rPr>
          <w:b/>
        </w:rPr>
      </w:pPr>
    </w:p>
    <w:p w14:paraId="53EC8DD3" w14:textId="77777777" w:rsidR="002527D3" w:rsidRPr="00E6784B" w:rsidRDefault="002527D3" w:rsidP="00E6784B">
      <w:pPr>
        <w:numPr>
          <w:ilvl w:val="0"/>
          <w:numId w:val="22"/>
        </w:numPr>
        <w:rPr>
          <w:b/>
        </w:rPr>
      </w:pPr>
      <w:r w:rsidRPr="00E6784B">
        <w:rPr>
          <w:b/>
        </w:rPr>
        <w:t>Cuenta bancaria.</w:t>
      </w:r>
    </w:p>
    <w:p w14:paraId="3509BF5B" w14:textId="77777777" w:rsidR="002527D3" w:rsidRPr="00E6784B" w:rsidRDefault="002527D3" w:rsidP="00E6784B">
      <w:pPr>
        <w:rPr>
          <w:b/>
        </w:rPr>
      </w:pPr>
    </w:p>
    <w:p w14:paraId="51FEC885" w14:textId="77777777" w:rsidR="002527D3" w:rsidRPr="00E6784B" w:rsidRDefault="002527D3" w:rsidP="00E6784B">
      <w:pPr>
        <w:ind w:right="-28"/>
      </w:pPr>
      <w:r w:rsidRPr="00E6784B">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365F7494" w14:textId="77777777" w:rsidR="002527D3" w:rsidRPr="00E6784B" w:rsidRDefault="002527D3" w:rsidP="00E6784B">
      <w:pPr>
        <w:ind w:right="-28"/>
      </w:pPr>
      <w:r w:rsidRPr="00E6784B">
        <w:t> </w:t>
      </w:r>
    </w:p>
    <w:p w14:paraId="07081894" w14:textId="77777777" w:rsidR="002527D3" w:rsidRPr="00E6784B" w:rsidRDefault="002527D3" w:rsidP="00E6784B">
      <w:pPr>
        <w:ind w:right="-28"/>
      </w:pPr>
      <w:r w:rsidRPr="00E6784B">
        <w:t>A mayor abundamiento, resulta necesario traer a colación el Criterio SO/010/2017, emitido por el entonces Instituto Nacional de Transparencia, Acceso a la Información y Protección de Datos Personales, mismo que establece lo siguiente:</w:t>
      </w:r>
    </w:p>
    <w:p w14:paraId="5CA38BD4" w14:textId="77777777" w:rsidR="002527D3" w:rsidRPr="00E6784B" w:rsidRDefault="002527D3" w:rsidP="00E6784B"/>
    <w:p w14:paraId="09382859" w14:textId="77777777" w:rsidR="002527D3" w:rsidRPr="00E6784B" w:rsidRDefault="002527D3" w:rsidP="00E6784B">
      <w:pPr>
        <w:pStyle w:val="Puesto"/>
      </w:pPr>
      <w:r w:rsidRPr="00E6784B">
        <w:lastRenderedPageBreak/>
        <w:t>“</w:t>
      </w:r>
      <w:r w:rsidRPr="00E6784B">
        <w:rPr>
          <w:b/>
        </w:rPr>
        <w:t>Cuentas bancarias y/o CLABE interbancaria de personas físicas y morales privadas.</w:t>
      </w:r>
      <w:r w:rsidRPr="00E6784B">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709A20" w14:textId="77777777" w:rsidR="002527D3" w:rsidRPr="00E6784B" w:rsidRDefault="002527D3" w:rsidP="00E6784B"/>
    <w:p w14:paraId="5CD59584" w14:textId="77777777" w:rsidR="002527D3" w:rsidRPr="00E6784B" w:rsidRDefault="002527D3" w:rsidP="00E6784B">
      <w:pPr>
        <w:ind w:right="113"/>
      </w:pPr>
      <w:r w:rsidRPr="00E6784B">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8D5C545" w14:textId="77777777" w:rsidR="002527D3" w:rsidRPr="00E6784B" w:rsidRDefault="002527D3" w:rsidP="00E6784B">
      <w:pPr>
        <w:rPr>
          <w:b/>
        </w:rPr>
      </w:pPr>
    </w:p>
    <w:p w14:paraId="0BFD9327" w14:textId="77777777" w:rsidR="002527D3" w:rsidRPr="00E6784B" w:rsidRDefault="002527D3" w:rsidP="00E6784B">
      <w:pPr>
        <w:spacing w:before="240" w:after="240"/>
      </w:pPr>
      <w:r w:rsidRPr="00E6784B">
        <w:t xml:space="preserve">Respecto de los </w:t>
      </w:r>
      <w:r w:rsidRPr="00E6784B">
        <w:rPr>
          <w:b/>
        </w:rPr>
        <w:t>números de cuentas bancari</w:t>
      </w:r>
      <w:r w:rsidRPr="00E6784B">
        <w:t xml:space="preserve">as, </w:t>
      </w:r>
      <w:r w:rsidRPr="00E6784B">
        <w:rPr>
          <w:b/>
        </w:rPr>
        <w:t>claves estandarizadas –interbancarias- (CLABES) y de tarjetas</w:t>
      </w:r>
      <w:r w:rsidRPr="00E6784B">
        <w:t>, el Pleno de este Instituto ha determinado que esa información debe clasificarse como confidencial, y elaborarse una versión pública en la que se teste la misma.</w:t>
      </w:r>
    </w:p>
    <w:p w14:paraId="1A0303A8" w14:textId="77777777" w:rsidR="002527D3" w:rsidRPr="00E6784B" w:rsidRDefault="002527D3" w:rsidP="00E6784B">
      <w:pPr>
        <w:spacing w:before="240" w:after="240"/>
      </w:pPr>
      <w:r w:rsidRPr="00E6784B">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0AFF843" w14:textId="77777777" w:rsidR="002527D3" w:rsidRPr="00E6784B" w:rsidRDefault="002527D3" w:rsidP="00E6784B">
      <w:pPr>
        <w:spacing w:before="240" w:after="240"/>
      </w:pPr>
      <w:r w:rsidRPr="00E6784B">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9D3C69A" w14:textId="77777777" w:rsidR="002527D3" w:rsidRPr="00E6784B" w:rsidRDefault="002527D3" w:rsidP="00E6784B">
      <w:pPr>
        <w:pBdr>
          <w:top w:val="nil"/>
          <w:left w:val="nil"/>
          <w:bottom w:val="nil"/>
          <w:right w:val="nil"/>
          <w:between w:val="nil"/>
        </w:pBdr>
        <w:spacing w:before="240" w:after="240"/>
      </w:pPr>
      <w:r w:rsidRPr="00E6784B">
        <w:t xml:space="preserve">En esa virtud, este Pleno determina que dicha información no puede ser del dominio público, toda vez que se podría dar un uso inadecuado a la misma o cometer algún ilícito o fraude como ya ha sido expuesto. </w:t>
      </w:r>
    </w:p>
    <w:p w14:paraId="4C76FEDA" w14:textId="77777777" w:rsidR="002527D3" w:rsidRPr="00E6784B" w:rsidRDefault="002527D3" w:rsidP="00E6784B">
      <w:pPr>
        <w:spacing w:before="240" w:after="240"/>
      </w:pPr>
      <w:r w:rsidRPr="00E6784B">
        <w:t>Lo anterior no es así tratándose de las cuentas bancarias o claves interbancarias de los Sujetos Obligados ya que su publicidad cede a la rendición de cuentas al transparentar la forma en que son administrados los recursos públicos.</w:t>
      </w:r>
    </w:p>
    <w:p w14:paraId="0C1BCEC9" w14:textId="77777777" w:rsidR="002527D3" w:rsidRPr="00E6784B" w:rsidRDefault="002527D3" w:rsidP="00E6784B">
      <w:pPr>
        <w:spacing w:before="240" w:after="240"/>
      </w:pPr>
      <w:r w:rsidRPr="00E6784B">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21D8A37A" w14:textId="77777777" w:rsidR="002527D3" w:rsidRPr="00E6784B" w:rsidRDefault="002527D3" w:rsidP="00E6784B">
      <w:pPr>
        <w:pStyle w:val="Puesto"/>
      </w:pPr>
      <w:r w:rsidRPr="00E6784B">
        <w:t>“</w:t>
      </w:r>
      <w:r w:rsidRPr="00E6784B">
        <w:rPr>
          <w:b/>
        </w:rPr>
        <w:t>Cuentas bancarias y/o CLABE interbancaria de personas físicas y morales privadas.</w:t>
      </w:r>
      <w:r w:rsidRPr="00E6784B">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F044A7A" w14:textId="77777777" w:rsidR="002527D3" w:rsidRPr="00E6784B" w:rsidRDefault="002527D3" w:rsidP="00E6784B"/>
    <w:p w14:paraId="32A9E4EA" w14:textId="77777777" w:rsidR="002527D3" w:rsidRPr="00E6784B" w:rsidRDefault="002527D3" w:rsidP="00E6784B">
      <w:pPr>
        <w:pStyle w:val="Puesto"/>
      </w:pPr>
      <w:r w:rsidRPr="00E6784B">
        <w:t xml:space="preserve">“Cuentas bancarias y/o CLABE interbancaria de sujetos obligados que reciben y/o transfieren recursos públicos, son información pública. La difusión de las cuentas bancarias y claves interbancarias pertenecientes a un sujeto obligado favorece la rendición de cuentas </w:t>
      </w:r>
      <w:r w:rsidRPr="00E6784B">
        <w:lastRenderedPageBreak/>
        <w:t>al transparentar la forma en que se administran los recursos públicos, razón por la cual no pueden considerarse como información clasificada.”</w:t>
      </w:r>
    </w:p>
    <w:p w14:paraId="3ABFC07F" w14:textId="77777777" w:rsidR="002527D3" w:rsidRPr="00E6784B" w:rsidRDefault="002527D3" w:rsidP="00E6784B">
      <w:pPr>
        <w:spacing w:before="240" w:after="240"/>
      </w:pPr>
    </w:p>
    <w:p w14:paraId="694899A8" w14:textId="77777777" w:rsidR="002527D3" w:rsidRPr="00E6784B" w:rsidRDefault="002527D3" w:rsidP="00E6784B">
      <w:pPr>
        <w:numPr>
          <w:ilvl w:val="0"/>
          <w:numId w:val="22"/>
        </w:numPr>
        <w:rPr>
          <w:b/>
        </w:rPr>
      </w:pPr>
      <w:r w:rsidRPr="00E6784B">
        <w:rPr>
          <w:b/>
        </w:rPr>
        <w:t xml:space="preserve">Número de empleado </w:t>
      </w:r>
    </w:p>
    <w:p w14:paraId="213BB3D9" w14:textId="77777777" w:rsidR="002527D3" w:rsidRPr="00E6784B" w:rsidRDefault="002527D3" w:rsidP="00E6784B">
      <w:pPr>
        <w:spacing w:before="240" w:after="240"/>
      </w:pPr>
    </w:p>
    <w:p w14:paraId="0A6F624E" w14:textId="77777777" w:rsidR="002527D3" w:rsidRPr="00E6784B" w:rsidRDefault="002527D3" w:rsidP="00E6784B">
      <w:pPr>
        <w:spacing w:before="240" w:after="240"/>
      </w:pPr>
      <w:r w:rsidRPr="00E6784B">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6784B">
        <w:rPr>
          <w:vertAlign w:val="superscript"/>
        </w:rPr>
        <w:footnoteReference w:id="1"/>
      </w:r>
      <w:r w:rsidRPr="00E6784B">
        <w:t>.</w:t>
      </w:r>
    </w:p>
    <w:p w14:paraId="6E1AEEF9" w14:textId="77777777" w:rsidR="002527D3" w:rsidRPr="00E6784B" w:rsidRDefault="002527D3" w:rsidP="00E6784B">
      <w:pPr>
        <w:spacing w:before="240" w:after="240"/>
      </w:pPr>
      <w:r w:rsidRPr="00E6784B">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1A4EBFD8" w14:textId="77777777" w:rsidR="002527D3" w:rsidRPr="00E6784B" w:rsidRDefault="002527D3" w:rsidP="00E6784B">
      <w:pPr>
        <w:pStyle w:val="Puesto"/>
      </w:pPr>
      <w:r w:rsidRPr="00E6784B">
        <w:rPr>
          <w:b/>
        </w:rPr>
        <w:t xml:space="preserve">“Número de empleado. </w:t>
      </w:r>
      <w:r w:rsidRPr="00E6784B">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A227ED5" w14:textId="77777777" w:rsidR="002527D3" w:rsidRPr="00E6784B" w:rsidRDefault="002527D3" w:rsidP="00E6784B">
      <w:pPr>
        <w:spacing w:before="240" w:after="240"/>
      </w:pPr>
      <w:r w:rsidRPr="00E6784B">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6784B">
        <w:rPr>
          <w:b/>
        </w:rPr>
        <w:t>Sujeto Obligado</w:t>
      </w:r>
      <w:r w:rsidRPr="00E6784B">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CD05AC4" w14:textId="1C648076" w:rsidR="00BD5A7C" w:rsidRPr="00E6784B" w:rsidRDefault="00F265E2" w:rsidP="00E6784B">
      <w:pPr>
        <w:pStyle w:val="Ttulo3"/>
      </w:pPr>
      <w:bookmarkStart w:id="31" w:name="_Toc199971965"/>
      <w:r w:rsidRPr="00E6784B">
        <w:t>e</w:t>
      </w:r>
      <w:r w:rsidR="00BD5A7C" w:rsidRPr="00E6784B">
        <w:t>) Conclusión</w:t>
      </w:r>
      <w:bookmarkEnd w:id="31"/>
    </w:p>
    <w:p w14:paraId="64474B5E" w14:textId="36B2B73E" w:rsidR="00F264C1" w:rsidRPr="00E6784B" w:rsidRDefault="00F264C1" w:rsidP="00E6784B">
      <w:pPr>
        <w:widowControl w:val="0"/>
        <w:tabs>
          <w:tab w:val="left" w:pos="1701"/>
          <w:tab w:val="left" w:pos="1843"/>
        </w:tabs>
        <w:autoSpaceDE w:val="0"/>
        <w:autoSpaceDN w:val="0"/>
        <w:adjustRightInd w:val="0"/>
        <w:rPr>
          <w:rFonts w:cs="Arial"/>
        </w:rPr>
      </w:pPr>
      <w:r w:rsidRPr="00E6784B">
        <w:rPr>
          <w:rFonts w:cs="Arial"/>
        </w:rPr>
        <w:t xml:space="preserve">En conclusión y con base en lo anteriormente expuesto, este Instituto estima que las razones o motivos de inconformidad hechos valer por </w:t>
      </w:r>
      <w:r w:rsidRPr="00E6784B">
        <w:rPr>
          <w:rFonts w:cs="Arial"/>
          <w:b/>
          <w:bCs/>
          <w:iCs/>
        </w:rPr>
        <w:t xml:space="preserve">LA PARTE RECURRENTE </w:t>
      </w:r>
      <w:r w:rsidRPr="00E6784B">
        <w:rPr>
          <w:rFonts w:cs="Arial"/>
        </w:rPr>
        <w:t xml:space="preserve">devienen </w:t>
      </w:r>
      <w:r w:rsidRPr="00E6784B">
        <w:rPr>
          <w:rFonts w:cs="Arial"/>
          <w:b/>
        </w:rPr>
        <w:t>fundadas</w:t>
      </w:r>
      <w:r w:rsidRPr="00E6784B">
        <w:rPr>
          <w:rFonts w:cs="Arial"/>
        </w:rPr>
        <w:t xml:space="preserve"> y suficientes para </w:t>
      </w:r>
      <w:r w:rsidR="00F265E2" w:rsidRPr="00E6784B">
        <w:rPr>
          <w:rFonts w:cs="Arial"/>
          <w:b/>
        </w:rPr>
        <w:t>REVOCAR</w:t>
      </w:r>
      <w:r w:rsidRPr="00E6784B">
        <w:rPr>
          <w:rFonts w:cs="Arial"/>
          <w:b/>
        </w:rPr>
        <w:t xml:space="preserve"> </w:t>
      </w:r>
      <w:r w:rsidRPr="00E6784B">
        <w:rPr>
          <w:rFonts w:cs="Arial"/>
        </w:rPr>
        <w:t xml:space="preserve">la respuesta del </w:t>
      </w:r>
      <w:r w:rsidRPr="00E6784B">
        <w:rPr>
          <w:rFonts w:cs="Arial"/>
          <w:b/>
        </w:rPr>
        <w:t>SUJETO OBLIGADO</w:t>
      </w:r>
      <w:r w:rsidRPr="00E6784B">
        <w:rPr>
          <w:rFonts w:cs="Arial"/>
        </w:rPr>
        <w:t xml:space="preserve"> y ordenarle haga entrega de la información descrita en el presente Considerando.</w:t>
      </w:r>
    </w:p>
    <w:p w14:paraId="1D8BD437" w14:textId="77777777" w:rsidR="000605CC" w:rsidRPr="00E6784B" w:rsidRDefault="000605CC" w:rsidP="00E6784B">
      <w:pPr>
        <w:widowControl w:val="0"/>
        <w:tabs>
          <w:tab w:val="left" w:pos="1701"/>
          <w:tab w:val="left" w:pos="1843"/>
        </w:tabs>
        <w:autoSpaceDE w:val="0"/>
        <w:autoSpaceDN w:val="0"/>
        <w:adjustRightInd w:val="0"/>
        <w:rPr>
          <w:rFonts w:cs="Arial"/>
        </w:rPr>
      </w:pPr>
    </w:p>
    <w:p w14:paraId="6C4C444E" w14:textId="6C62C8D5" w:rsidR="00BD5A7C" w:rsidRPr="00E6784B" w:rsidRDefault="00BD5A7C" w:rsidP="00E6784B">
      <w:pPr>
        <w:ind w:right="-93"/>
        <w:rPr>
          <w:rFonts w:cs="Tahoma"/>
          <w:bCs/>
          <w:szCs w:val="22"/>
        </w:rPr>
      </w:pPr>
      <w:bookmarkStart w:id="32" w:name="_Hlk165381027"/>
      <w:r w:rsidRPr="00E6784B">
        <w:rPr>
          <w:rFonts w:cs="Tahoma"/>
          <w:bCs/>
          <w:szCs w:val="22"/>
        </w:rPr>
        <w:t xml:space="preserve">Así, con fundamento en lo establecido en los artículos 5, </w:t>
      </w:r>
      <w:r w:rsidR="008D18C3" w:rsidRPr="00E6784B">
        <w:t>párrafos trigésimo séptimo, trigésimo octavo y trigésimo noveno, fracciones IV y V de la Constitución Política del Estado Libre y Soberano de México</w:t>
      </w:r>
      <w:r w:rsidRPr="00E6784B">
        <w:rPr>
          <w:rFonts w:cs="Tahoma"/>
          <w:bCs/>
          <w:szCs w:val="22"/>
        </w:rPr>
        <w:t>; y en los artículos 2, fracción II, 9, 29, 36, fracciones I y II, 176, 178, 179, 186 y 188 de la Ley de Transparencia y Acceso a la Información Pública del Estado de México y Municipios, este Pleno:</w:t>
      </w:r>
    </w:p>
    <w:bookmarkEnd w:id="32"/>
    <w:p w14:paraId="7C13D1A0" w14:textId="77777777" w:rsidR="00BD5A7C" w:rsidRPr="00E6784B" w:rsidRDefault="00BD5A7C" w:rsidP="00E6784B"/>
    <w:p w14:paraId="5C396097" w14:textId="684A0E4F" w:rsidR="00664420" w:rsidRPr="00E6784B" w:rsidRDefault="00664420" w:rsidP="00E6784B">
      <w:pPr>
        <w:pStyle w:val="Ttulo1"/>
      </w:pPr>
      <w:bookmarkStart w:id="33" w:name="_Toc199971966"/>
      <w:r w:rsidRPr="00E6784B">
        <w:lastRenderedPageBreak/>
        <w:t>RESUELVE</w:t>
      </w:r>
      <w:bookmarkEnd w:id="33"/>
    </w:p>
    <w:p w14:paraId="203B7093" w14:textId="77777777" w:rsidR="00664420" w:rsidRPr="00E6784B" w:rsidRDefault="00664420" w:rsidP="00E6784B">
      <w:pPr>
        <w:ind w:right="113"/>
        <w:rPr>
          <w:rFonts w:cs="Arial"/>
          <w:b/>
          <w:szCs w:val="22"/>
        </w:rPr>
      </w:pPr>
    </w:p>
    <w:p w14:paraId="40DE562B" w14:textId="00B59BEC" w:rsidR="00FC3CE0" w:rsidRPr="00E6784B" w:rsidRDefault="00FC3CE0" w:rsidP="00E6784B">
      <w:pPr>
        <w:widowControl w:val="0"/>
        <w:rPr>
          <w:rFonts w:eastAsia="Calibri" w:cs="Tahoma"/>
          <w:bCs/>
          <w:szCs w:val="22"/>
          <w:lang w:eastAsia="en-US"/>
        </w:rPr>
      </w:pPr>
      <w:r w:rsidRPr="00E6784B">
        <w:rPr>
          <w:b/>
          <w:bCs/>
        </w:rPr>
        <w:t>PRIMERO.</w:t>
      </w:r>
      <w:r w:rsidRPr="00E6784B">
        <w:t xml:space="preserve"> </w:t>
      </w:r>
      <w:r w:rsidRPr="00E6784B">
        <w:rPr>
          <w:rFonts w:cs="Tahoma"/>
          <w:szCs w:val="22"/>
        </w:rPr>
        <w:t xml:space="preserve">Se </w:t>
      </w:r>
      <w:r w:rsidR="004E5068" w:rsidRPr="00E6784B">
        <w:rPr>
          <w:rFonts w:cs="Tahoma"/>
          <w:b/>
          <w:bCs/>
          <w:szCs w:val="22"/>
        </w:rPr>
        <w:t>REVOCA</w:t>
      </w:r>
      <w:r w:rsidRPr="00E6784B">
        <w:rPr>
          <w:rFonts w:cs="Tahoma"/>
          <w:szCs w:val="22"/>
        </w:rPr>
        <w:t xml:space="preserve"> la respuesta entregada por el </w:t>
      </w:r>
      <w:r w:rsidR="004E5068" w:rsidRPr="00E6784B">
        <w:rPr>
          <w:rFonts w:cs="Tahoma"/>
          <w:b/>
          <w:bCs/>
          <w:szCs w:val="22"/>
        </w:rPr>
        <w:t>SUJETO OBLIGADO</w:t>
      </w:r>
      <w:r w:rsidR="004E5068" w:rsidRPr="00E6784B">
        <w:rPr>
          <w:rFonts w:cs="Tahoma"/>
          <w:szCs w:val="22"/>
        </w:rPr>
        <w:t xml:space="preserve"> </w:t>
      </w:r>
      <w:r w:rsidR="0041385B" w:rsidRPr="00E6784B">
        <w:rPr>
          <w:rFonts w:cs="Tahoma"/>
          <w:szCs w:val="22"/>
        </w:rPr>
        <w:t>en</w:t>
      </w:r>
      <w:r w:rsidRPr="00E6784B">
        <w:rPr>
          <w:rFonts w:cs="Tahoma"/>
          <w:szCs w:val="22"/>
        </w:rPr>
        <w:t xml:space="preserve"> la solicitud de información </w:t>
      </w:r>
      <w:r w:rsidR="00F265E2" w:rsidRPr="00E6784B">
        <w:rPr>
          <w:rFonts w:cs="Tahoma"/>
          <w:b/>
        </w:rPr>
        <w:t>00004/ICATI/IP/2025</w:t>
      </w:r>
      <w:r w:rsidRPr="00E6784B">
        <w:rPr>
          <w:rFonts w:cs="Tahoma"/>
          <w:bCs/>
          <w:szCs w:val="22"/>
        </w:rPr>
        <w:t xml:space="preserve">, </w:t>
      </w:r>
      <w:r w:rsidRPr="00E6784B">
        <w:rPr>
          <w:rFonts w:eastAsia="Calibri" w:cs="Tahoma"/>
          <w:bCs/>
          <w:szCs w:val="22"/>
          <w:lang w:eastAsia="en-US"/>
        </w:rPr>
        <w:t xml:space="preserve">por resultar </w:t>
      </w:r>
      <w:r w:rsidRPr="00E6784B">
        <w:rPr>
          <w:rFonts w:eastAsia="Calibri" w:cs="Tahoma"/>
          <w:b/>
          <w:bCs/>
          <w:szCs w:val="22"/>
          <w:lang w:eastAsia="en-US"/>
        </w:rPr>
        <w:t>FUNDADAS</w:t>
      </w:r>
      <w:r w:rsidRPr="00E6784B">
        <w:rPr>
          <w:rFonts w:eastAsia="Calibri" w:cs="Tahoma"/>
          <w:bCs/>
          <w:szCs w:val="22"/>
          <w:lang w:eastAsia="en-US"/>
        </w:rPr>
        <w:t xml:space="preserve"> las razones o motivos de inconformidad hechos valer por </w:t>
      </w:r>
      <w:r w:rsidRPr="00E6784B">
        <w:rPr>
          <w:rFonts w:eastAsia="Calibri" w:cs="Tahoma"/>
          <w:b/>
          <w:szCs w:val="22"/>
          <w:lang w:eastAsia="en-US"/>
        </w:rPr>
        <w:t>LA PARTE RECURRENTE</w:t>
      </w:r>
      <w:r w:rsidRPr="00E6784B">
        <w:rPr>
          <w:rFonts w:eastAsia="Calibri" w:cs="Tahoma"/>
          <w:bCs/>
          <w:szCs w:val="22"/>
          <w:lang w:eastAsia="en-US"/>
        </w:rPr>
        <w:t xml:space="preserve"> en el Recurso de Revisión </w:t>
      </w:r>
      <w:r w:rsidR="0065699D" w:rsidRPr="00E6784B">
        <w:rPr>
          <w:rFonts w:eastAsiaTheme="minorHAnsi" w:cstheme="minorBidi"/>
          <w:b/>
          <w:bCs/>
          <w:szCs w:val="22"/>
          <w:lang w:eastAsia="en-US"/>
        </w:rPr>
        <w:t>03712/</w:t>
      </w:r>
      <w:r w:rsidRPr="00E6784B">
        <w:rPr>
          <w:rFonts w:eastAsiaTheme="minorHAnsi" w:cstheme="minorBidi"/>
          <w:b/>
          <w:bCs/>
          <w:szCs w:val="22"/>
          <w:lang w:eastAsia="en-US"/>
        </w:rPr>
        <w:t>INFOEM/IP/RR</w:t>
      </w:r>
      <w:r w:rsidR="000605CC" w:rsidRPr="00E6784B">
        <w:rPr>
          <w:rFonts w:eastAsiaTheme="minorHAnsi" w:cstheme="minorBidi"/>
          <w:b/>
          <w:bCs/>
          <w:szCs w:val="22"/>
          <w:lang w:eastAsia="en-US"/>
        </w:rPr>
        <w:t>/202</w:t>
      </w:r>
      <w:r w:rsidR="0065699D" w:rsidRPr="00E6784B">
        <w:rPr>
          <w:rFonts w:eastAsiaTheme="minorHAnsi" w:cstheme="minorBidi"/>
          <w:b/>
          <w:bCs/>
          <w:szCs w:val="22"/>
          <w:lang w:eastAsia="en-US"/>
        </w:rPr>
        <w:t>5</w:t>
      </w:r>
      <w:r w:rsidR="000605CC" w:rsidRPr="00E6784B">
        <w:rPr>
          <w:rFonts w:eastAsiaTheme="minorHAnsi" w:cstheme="minorBidi"/>
          <w:b/>
          <w:bCs/>
          <w:szCs w:val="22"/>
          <w:lang w:eastAsia="en-US"/>
        </w:rPr>
        <w:t>,</w:t>
      </w:r>
      <w:r w:rsidRPr="00E6784B">
        <w:rPr>
          <w:rFonts w:cs="Tahoma"/>
          <w:b/>
          <w:szCs w:val="22"/>
        </w:rPr>
        <w:t xml:space="preserve"> </w:t>
      </w:r>
      <w:r w:rsidRPr="00E6784B">
        <w:rPr>
          <w:rFonts w:eastAsia="Calibri" w:cs="Tahoma"/>
          <w:bCs/>
          <w:szCs w:val="22"/>
          <w:lang w:eastAsia="en-US"/>
        </w:rPr>
        <w:t xml:space="preserve">en términos del considerando </w:t>
      </w:r>
      <w:r w:rsidRPr="00E6784B">
        <w:rPr>
          <w:rFonts w:eastAsia="Calibri" w:cs="Tahoma"/>
          <w:b/>
          <w:szCs w:val="22"/>
          <w:lang w:eastAsia="en-US"/>
        </w:rPr>
        <w:t>SEGUNDO</w:t>
      </w:r>
      <w:r w:rsidRPr="00E6784B">
        <w:rPr>
          <w:rFonts w:eastAsia="Calibri" w:cs="Tahoma"/>
          <w:bCs/>
          <w:szCs w:val="22"/>
          <w:lang w:eastAsia="en-US"/>
        </w:rPr>
        <w:t xml:space="preserve"> de la presente Resolución.</w:t>
      </w:r>
    </w:p>
    <w:p w14:paraId="78D4A482" w14:textId="77777777" w:rsidR="00FC3CE0" w:rsidRPr="00E6784B" w:rsidRDefault="00FC3CE0" w:rsidP="00E6784B">
      <w:pPr>
        <w:widowControl w:val="0"/>
        <w:rPr>
          <w:rFonts w:eastAsia="Calibri" w:cs="Tahoma"/>
          <w:bCs/>
          <w:szCs w:val="22"/>
          <w:lang w:eastAsia="en-US"/>
        </w:rPr>
      </w:pPr>
    </w:p>
    <w:p w14:paraId="16CF919C" w14:textId="41BFE744" w:rsidR="00FC3CE0" w:rsidRPr="00E6784B" w:rsidRDefault="00FC3CE0" w:rsidP="00E6784B">
      <w:pPr>
        <w:ind w:right="-93"/>
        <w:rPr>
          <w:rFonts w:eastAsia="Calibri" w:cs="Tahoma"/>
          <w:bCs/>
          <w:szCs w:val="22"/>
          <w:lang w:eastAsia="en-US"/>
        </w:rPr>
      </w:pPr>
      <w:r w:rsidRPr="00E6784B">
        <w:rPr>
          <w:rFonts w:eastAsia="Calibri" w:cs="Tahoma"/>
          <w:b/>
          <w:bCs/>
          <w:szCs w:val="22"/>
          <w:lang w:eastAsia="en-US"/>
        </w:rPr>
        <w:t>SEGUNDO.</w:t>
      </w:r>
      <w:r w:rsidRPr="00E6784B">
        <w:rPr>
          <w:rFonts w:eastAsia="Calibri" w:cs="Tahoma"/>
          <w:szCs w:val="22"/>
          <w:lang w:eastAsia="es-MX"/>
        </w:rPr>
        <w:t xml:space="preserve"> Se </w:t>
      </w:r>
      <w:r w:rsidRPr="00E6784B">
        <w:rPr>
          <w:rFonts w:eastAsia="Calibri" w:cs="Tahoma"/>
          <w:b/>
          <w:szCs w:val="22"/>
          <w:lang w:eastAsia="es-MX"/>
        </w:rPr>
        <w:t xml:space="preserve">ORDENA </w:t>
      </w:r>
      <w:r w:rsidRPr="00E6784B">
        <w:rPr>
          <w:rFonts w:eastAsia="Calibri" w:cs="Tahoma"/>
          <w:szCs w:val="22"/>
          <w:lang w:eastAsia="es-MX"/>
        </w:rPr>
        <w:t xml:space="preserve">al </w:t>
      </w:r>
      <w:r w:rsidRPr="00E6784B">
        <w:rPr>
          <w:rFonts w:eastAsia="Calibri" w:cs="Tahoma"/>
          <w:b/>
          <w:bCs/>
          <w:szCs w:val="22"/>
          <w:lang w:eastAsia="es-MX"/>
        </w:rPr>
        <w:t>SUJETO OBLIGADO</w:t>
      </w:r>
      <w:r w:rsidRPr="00E6784B">
        <w:rPr>
          <w:rFonts w:eastAsia="Calibri" w:cs="Tahoma"/>
          <w:szCs w:val="22"/>
          <w:lang w:eastAsia="es-MX"/>
        </w:rPr>
        <w:t xml:space="preserve">, </w:t>
      </w:r>
      <w:r w:rsidRPr="00E6784B">
        <w:rPr>
          <w:rFonts w:eastAsia="Calibri" w:cs="Tahoma"/>
          <w:bCs/>
          <w:szCs w:val="22"/>
          <w:lang w:eastAsia="en-US"/>
        </w:rPr>
        <w:t xml:space="preserve">a efecto de que, previa búsqueda exhaustiva y razonable de la información, entregue a través del </w:t>
      </w:r>
      <w:r w:rsidR="00233005" w:rsidRPr="00E6784B">
        <w:rPr>
          <w:rFonts w:eastAsia="Calibri" w:cs="Tahoma"/>
          <w:bCs/>
          <w:szCs w:val="22"/>
          <w:lang w:eastAsia="en-US"/>
        </w:rPr>
        <w:t>SAIMEX, en</w:t>
      </w:r>
      <w:r w:rsidRPr="00E6784B">
        <w:rPr>
          <w:rFonts w:eastAsia="Calibri" w:cs="Tahoma"/>
          <w:bCs/>
          <w:szCs w:val="22"/>
          <w:lang w:eastAsia="en-US"/>
        </w:rPr>
        <w:t xml:space="preserve"> su caso en versión pública, </w:t>
      </w:r>
      <w:r w:rsidR="00F265E2" w:rsidRPr="00E6784B">
        <w:rPr>
          <w:rFonts w:eastAsia="Calibri" w:cs="Tahoma"/>
          <w:bCs/>
          <w:szCs w:val="22"/>
          <w:lang w:eastAsia="en-US"/>
        </w:rPr>
        <w:t xml:space="preserve">del EDAYO de Valle de Bravo, </w:t>
      </w:r>
      <w:r w:rsidRPr="00E6784B">
        <w:rPr>
          <w:rFonts w:eastAsia="Calibri" w:cs="Tahoma"/>
          <w:bCs/>
          <w:szCs w:val="22"/>
          <w:lang w:eastAsia="en-US"/>
        </w:rPr>
        <w:t>los documentos que den cuenta de lo siguiente:</w:t>
      </w:r>
    </w:p>
    <w:p w14:paraId="496EA140" w14:textId="77777777" w:rsidR="00CD198F" w:rsidRPr="00E6784B" w:rsidRDefault="00CD198F" w:rsidP="00E6784B">
      <w:pPr>
        <w:ind w:right="-93"/>
        <w:rPr>
          <w:rFonts w:eastAsia="Calibri" w:cs="Tahoma"/>
          <w:bCs/>
          <w:szCs w:val="22"/>
          <w:lang w:eastAsia="en-US"/>
        </w:rPr>
      </w:pPr>
    </w:p>
    <w:p w14:paraId="342CE8EC" w14:textId="3349F6BA" w:rsidR="00CD198F" w:rsidRPr="00E6784B" w:rsidRDefault="00CD198F" w:rsidP="00E6784B">
      <w:pPr>
        <w:pStyle w:val="Prrafodelista"/>
        <w:numPr>
          <w:ilvl w:val="0"/>
          <w:numId w:val="26"/>
        </w:numPr>
        <w:ind w:right="-93"/>
        <w:rPr>
          <w:rFonts w:eastAsia="Calibri" w:cs="Tahoma"/>
          <w:bCs/>
          <w:szCs w:val="22"/>
          <w:lang w:eastAsia="en-US"/>
        </w:rPr>
      </w:pPr>
      <w:r w:rsidRPr="00E6784B">
        <w:rPr>
          <w:rFonts w:eastAsia="Calibri" w:cs="Tahoma"/>
          <w:bCs/>
          <w:szCs w:val="22"/>
          <w:lang w:eastAsia="en-US"/>
        </w:rPr>
        <w:t>Funciones del Plantel y Funciones de los Servidores Públicos que lo integran al 13 de febrero de 2025.</w:t>
      </w:r>
    </w:p>
    <w:p w14:paraId="031F1339" w14:textId="14829F22" w:rsidR="00CD198F" w:rsidRPr="00E6784B" w:rsidRDefault="00CD198F" w:rsidP="00E6784B">
      <w:pPr>
        <w:pStyle w:val="Prrafodelista"/>
        <w:numPr>
          <w:ilvl w:val="0"/>
          <w:numId w:val="26"/>
        </w:numPr>
        <w:ind w:right="-93"/>
        <w:rPr>
          <w:rFonts w:eastAsia="Calibri" w:cs="Tahoma"/>
          <w:bCs/>
          <w:szCs w:val="22"/>
          <w:lang w:eastAsia="en-US"/>
        </w:rPr>
      </w:pPr>
      <w:r w:rsidRPr="00E6784B">
        <w:rPr>
          <w:rFonts w:eastAsia="Calibri" w:cs="Tahoma"/>
          <w:bCs/>
          <w:szCs w:val="22"/>
          <w:lang w:eastAsia="en-US"/>
        </w:rPr>
        <w:t>Domicilio, fotografías exteriores e interiores del plantel, fotografías interiores de las oficinas y horarios de funcionamiento y atención al público al 13 de febrero de 2025.</w:t>
      </w:r>
    </w:p>
    <w:p w14:paraId="3E9E8B04" w14:textId="7A521FC2" w:rsidR="00CD198F" w:rsidRPr="00E6784B" w:rsidRDefault="00CD198F" w:rsidP="00E6784B">
      <w:pPr>
        <w:pStyle w:val="Prrafodelista"/>
        <w:numPr>
          <w:ilvl w:val="0"/>
          <w:numId w:val="26"/>
        </w:numPr>
        <w:ind w:right="-93"/>
        <w:rPr>
          <w:rFonts w:eastAsia="Calibri" w:cs="Tahoma"/>
          <w:bCs/>
          <w:szCs w:val="22"/>
          <w:lang w:eastAsia="en-US"/>
        </w:rPr>
      </w:pPr>
      <w:r w:rsidRPr="00E6784B">
        <w:rPr>
          <w:rFonts w:eastAsia="Calibri" w:cs="Tahoma"/>
          <w:bCs/>
          <w:szCs w:val="22"/>
          <w:lang w:eastAsia="en-US"/>
        </w:rPr>
        <w:t>El directorio de todos los servidores públicos que lo integraban al 13 de febrero de 2025.</w:t>
      </w:r>
    </w:p>
    <w:p w14:paraId="0530BDAF" w14:textId="77777777" w:rsidR="00CD198F" w:rsidRPr="00E6784B" w:rsidRDefault="00CD198F" w:rsidP="00E6784B">
      <w:pPr>
        <w:pStyle w:val="Prrafodelista"/>
        <w:numPr>
          <w:ilvl w:val="0"/>
          <w:numId w:val="26"/>
        </w:numPr>
        <w:ind w:right="-93"/>
        <w:rPr>
          <w:rFonts w:eastAsia="Calibri" w:cs="Tahoma"/>
          <w:bCs/>
          <w:szCs w:val="22"/>
          <w:lang w:eastAsia="en-US"/>
        </w:rPr>
      </w:pPr>
      <w:r w:rsidRPr="00E6784B">
        <w:rPr>
          <w:rFonts w:eastAsia="Calibri" w:cs="Tahoma"/>
          <w:bCs/>
          <w:szCs w:val="22"/>
          <w:lang w:eastAsia="en-US"/>
        </w:rPr>
        <w:t>Gafete con fotografía de todos los servidores públicos que lo integraban al 13 de febrero de 2025.</w:t>
      </w:r>
    </w:p>
    <w:p w14:paraId="378B16F6" w14:textId="10442483" w:rsidR="00CD198F" w:rsidRPr="00E6784B" w:rsidRDefault="00C879DA" w:rsidP="00E6784B">
      <w:pPr>
        <w:pStyle w:val="Prrafodelista"/>
        <w:numPr>
          <w:ilvl w:val="0"/>
          <w:numId w:val="26"/>
        </w:numPr>
        <w:ind w:right="-93"/>
        <w:rPr>
          <w:rFonts w:eastAsia="Calibri" w:cs="Tahoma"/>
          <w:bCs/>
          <w:szCs w:val="22"/>
          <w:lang w:eastAsia="en-US"/>
        </w:rPr>
      </w:pPr>
      <w:r w:rsidRPr="00E6784B">
        <w:rPr>
          <w:rFonts w:eastAsia="Calibri" w:cs="Tahoma"/>
          <w:bCs/>
          <w:szCs w:val="22"/>
          <w:lang w:eastAsia="en-US"/>
        </w:rPr>
        <w:t xml:space="preserve">Código de Ética vigente al 13 de febrero de </w:t>
      </w:r>
      <w:r w:rsidR="005A47CB" w:rsidRPr="00E6784B">
        <w:rPr>
          <w:rFonts w:eastAsia="Calibri" w:cs="Tahoma"/>
          <w:bCs/>
          <w:szCs w:val="22"/>
          <w:lang w:eastAsia="en-US"/>
        </w:rPr>
        <w:t>2025.</w:t>
      </w:r>
    </w:p>
    <w:p w14:paraId="5695ED67" w14:textId="7D1B42BC" w:rsidR="00F265E2" w:rsidRPr="00E6784B" w:rsidRDefault="00CD198F" w:rsidP="00E6784B">
      <w:pPr>
        <w:pStyle w:val="Prrafodelista"/>
        <w:numPr>
          <w:ilvl w:val="0"/>
          <w:numId w:val="26"/>
        </w:numPr>
        <w:ind w:right="-93"/>
        <w:rPr>
          <w:rFonts w:eastAsia="Calibri" w:cs="Tahoma"/>
          <w:bCs/>
          <w:szCs w:val="22"/>
          <w:lang w:eastAsia="en-US"/>
        </w:rPr>
      </w:pPr>
      <w:r w:rsidRPr="00E6784B">
        <w:rPr>
          <w:rFonts w:eastAsia="Calibri" w:cs="Tahoma"/>
          <w:bCs/>
          <w:szCs w:val="22"/>
          <w:lang w:eastAsia="en-US"/>
        </w:rPr>
        <w:t>Manual de Organización</w:t>
      </w:r>
      <w:r w:rsidR="00C879DA" w:rsidRPr="00E6784B">
        <w:rPr>
          <w:rFonts w:eastAsia="Calibri" w:cs="Tahoma"/>
          <w:bCs/>
          <w:szCs w:val="22"/>
          <w:lang w:eastAsia="en-US"/>
        </w:rPr>
        <w:t xml:space="preserve"> vigente al 13 de febrero de </w:t>
      </w:r>
      <w:r w:rsidR="005A47CB" w:rsidRPr="00E6784B">
        <w:rPr>
          <w:rFonts w:eastAsia="Calibri" w:cs="Tahoma"/>
          <w:bCs/>
          <w:szCs w:val="22"/>
          <w:lang w:eastAsia="en-US"/>
        </w:rPr>
        <w:t>2025</w:t>
      </w:r>
      <w:r w:rsidR="00C879DA" w:rsidRPr="00E6784B">
        <w:rPr>
          <w:rFonts w:eastAsia="Calibri" w:cs="Tahoma"/>
          <w:bCs/>
          <w:szCs w:val="22"/>
          <w:lang w:eastAsia="en-US"/>
        </w:rPr>
        <w:t>.</w:t>
      </w:r>
    </w:p>
    <w:p w14:paraId="1102F7F9" w14:textId="62872B45" w:rsidR="00CD198F" w:rsidRPr="00E6784B" w:rsidRDefault="00C879DA" w:rsidP="00E6784B">
      <w:pPr>
        <w:pStyle w:val="Prrafodelista"/>
        <w:numPr>
          <w:ilvl w:val="0"/>
          <w:numId w:val="26"/>
        </w:numPr>
        <w:tabs>
          <w:tab w:val="left" w:pos="4962"/>
        </w:tabs>
        <w:ind w:right="-93"/>
        <w:rPr>
          <w:rFonts w:cs="Tahoma"/>
          <w:bCs/>
          <w:iCs/>
          <w:szCs w:val="22"/>
        </w:rPr>
      </w:pPr>
      <w:r w:rsidRPr="00E6784B">
        <w:rPr>
          <w:rFonts w:eastAsia="Calibri" w:cs="Tahoma"/>
          <w:bCs/>
          <w:szCs w:val="22"/>
          <w:lang w:eastAsia="en-US"/>
        </w:rPr>
        <w:t xml:space="preserve">Manual de Procedimientos vigente al 13 de febrero de </w:t>
      </w:r>
      <w:r w:rsidR="005A47CB" w:rsidRPr="00E6784B">
        <w:rPr>
          <w:rFonts w:eastAsia="Calibri" w:cs="Tahoma"/>
          <w:bCs/>
          <w:szCs w:val="22"/>
          <w:lang w:eastAsia="en-US"/>
        </w:rPr>
        <w:t>2025</w:t>
      </w:r>
      <w:r w:rsidRPr="00E6784B">
        <w:rPr>
          <w:rFonts w:eastAsia="Calibri" w:cs="Tahoma"/>
          <w:bCs/>
          <w:szCs w:val="22"/>
          <w:lang w:eastAsia="en-US"/>
        </w:rPr>
        <w:t>.</w:t>
      </w:r>
    </w:p>
    <w:p w14:paraId="0509BF93" w14:textId="7C9DB90C" w:rsidR="00CD198F" w:rsidRPr="00E6784B" w:rsidRDefault="00C879DA" w:rsidP="00E6784B">
      <w:pPr>
        <w:pStyle w:val="Prrafodelista"/>
        <w:numPr>
          <w:ilvl w:val="0"/>
          <w:numId w:val="26"/>
        </w:numPr>
        <w:tabs>
          <w:tab w:val="left" w:pos="4962"/>
        </w:tabs>
        <w:ind w:right="-93"/>
        <w:rPr>
          <w:rFonts w:cs="Tahoma"/>
          <w:bCs/>
          <w:iCs/>
          <w:szCs w:val="22"/>
        </w:rPr>
      </w:pPr>
      <w:r w:rsidRPr="00E6784B">
        <w:rPr>
          <w:rFonts w:eastAsia="Calibri" w:cs="Tahoma"/>
          <w:bCs/>
          <w:szCs w:val="22"/>
          <w:lang w:eastAsia="en-US"/>
        </w:rPr>
        <w:t xml:space="preserve">Reglamento Interno vigente al 13 de febrero de </w:t>
      </w:r>
      <w:r w:rsidR="005A47CB" w:rsidRPr="00E6784B">
        <w:rPr>
          <w:rFonts w:eastAsia="Calibri" w:cs="Tahoma"/>
          <w:bCs/>
          <w:szCs w:val="22"/>
          <w:lang w:eastAsia="en-US"/>
        </w:rPr>
        <w:t>2025</w:t>
      </w:r>
      <w:r w:rsidRPr="00E6784B">
        <w:rPr>
          <w:rFonts w:eastAsia="Calibri" w:cs="Tahoma"/>
          <w:bCs/>
          <w:szCs w:val="22"/>
          <w:lang w:eastAsia="en-US"/>
        </w:rPr>
        <w:t>.</w:t>
      </w:r>
    </w:p>
    <w:p w14:paraId="4834466C" w14:textId="046DD1C7" w:rsidR="00CD198F" w:rsidRPr="00E6784B" w:rsidRDefault="00CD198F" w:rsidP="00E6784B">
      <w:pPr>
        <w:pStyle w:val="Prrafodelista"/>
        <w:numPr>
          <w:ilvl w:val="0"/>
          <w:numId w:val="26"/>
        </w:numPr>
        <w:tabs>
          <w:tab w:val="left" w:pos="4962"/>
        </w:tabs>
        <w:ind w:right="-93"/>
        <w:rPr>
          <w:rFonts w:cs="Tahoma"/>
          <w:bCs/>
          <w:iCs/>
          <w:szCs w:val="22"/>
        </w:rPr>
      </w:pPr>
      <w:r w:rsidRPr="00E6784B">
        <w:rPr>
          <w:rFonts w:cs="Tahoma"/>
          <w:bCs/>
          <w:iCs/>
          <w:szCs w:val="22"/>
        </w:rPr>
        <w:lastRenderedPageBreak/>
        <w:t xml:space="preserve">Sueldo y percepciones </w:t>
      </w:r>
      <w:r w:rsidRPr="00E6784B">
        <w:rPr>
          <w:rFonts w:eastAsia="Calibri" w:cs="Tahoma"/>
          <w:bCs/>
          <w:szCs w:val="22"/>
          <w:lang w:eastAsia="en-US"/>
        </w:rPr>
        <w:t>de todos los servidores públicos que lo integraban al 13 de febrero de 2025.</w:t>
      </w:r>
    </w:p>
    <w:p w14:paraId="52BF7288" w14:textId="77777777" w:rsidR="00E40A98" w:rsidRPr="00E6784B" w:rsidRDefault="00E40A98" w:rsidP="00E6784B">
      <w:pPr>
        <w:ind w:right="-93"/>
        <w:rPr>
          <w:rFonts w:eastAsia="Calibri" w:cs="Tahoma"/>
          <w:bCs/>
          <w:szCs w:val="22"/>
          <w:lang w:eastAsia="en-US"/>
        </w:rPr>
      </w:pPr>
    </w:p>
    <w:p w14:paraId="1599BF79" w14:textId="77777777" w:rsidR="00E40A98" w:rsidRPr="00E6784B" w:rsidRDefault="00E40A98" w:rsidP="00E6784B">
      <w:pPr>
        <w:rPr>
          <w:shd w:val="clear" w:color="auto" w:fill="FFFFFF"/>
        </w:rPr>
      </w:pPr>
      <w:r w:rsidRPr="00E6784B">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E6784B" w:rsidRDefault="00E40A98" w:rsidP="00E6784B">
      <w:pPr>
        <w:ind w:left="709" w:right="822"/>
        <w:rPr>
          <w:rFonts w:eastAsia="Calibri" w:cs="Tahoma"/>
          <w:bCs/>
          <w:i/>
          <w:iCs/>
          <w:szCs w:val="22"/>
          <w:lang w:eastAsia="en-US"/>
        </w:rPr>
      </w:pPr>
    </w:p>
    <w:p w14:paraId="03BC9413" w14:textId="6D19BFEC" w:rsidR="00E40A98" w:rsidRPr="00E6784B" w:rsidRDefault="00E40A98" w:rsidP="00E6784B">
      <w:pPr>
        <w:rPr>
          <w:shd w:val="clear" w:color="auto" w:fill="FFFFFF"/>
        </w:rPr>
      </w:pPr>
      <w:r w:rsidRPr="00E6784B">
        <w:rPr>
          <w:shd w:val="clear" w:color="auto" w:fill="FFFFFF"/>
        </w:rPr>
        <w:t xml:space="preserve">Para el caso de que no se haya generado la información ordenada en los numerales </w:t>
      </w:r>
      <w:r w:rsidR="00CD198F" w:rsidRPr="00E6784B">
        <w:rPr>
          <w:shd w:val="clear" w:color="auto" w:fill="FFFFFF"/>
        </w:rPr>
        <w:t>2</w:t>
      </w:r>
      <w:r w:rsidR="00B97F66" w:rsidRPr="00E6784B">
        <w:rPr>
          <w:shd w:val="clear" w:color="auto" w:fill="FFFFFF"/>
        </w:rPr>
        <w:t xml:space="preserve"> respecto a las fotografías, 4 y 7 bastará</w:t>
      </w:r>
      <w:r w:rsidRPr="00E6784B">
        <w:rPr>
          <w:shd w:val="clear" w:color="auto" w:fill="FFFFFF"/>
        </w:rPr>
        <w:t xml:space="preserve"> con que se haga del conocimiento a </w:t>
      </w:r>
      <w:r w:rsidRPr="00E6784B">
        <w:rPr>
          <w:b/>
          <w:shd w:val="clear" w:color="auto" w:fill="FFFFFF"/>
        </w:rPr>
        <w:t>LA PARTE RECURRENTE</w:t>
      </w:r>
      <w:r w:rsidRPr="00E6784B">
        <w:rPr>
          <w:shd w:val="clear" w:color="auto" w:fill="FFFFFF"/>
        </w:rPr>
        <w:t xml:space="preserve"> haciendo entrega, únicamente de la información que si se haya generado.</w:t>
      </w:r>
    </w:p>
    <w:p w14:paraId="7E68D565" w14:textId="77777777" w:rsidR="00FC3CE0" w:rsidRPr="00E6784B" w:rsidRDefault="00FC3CE0" w:rsidP="00E6784B">
      <w:pPr>
        <w:rPr>
          <w:shd w:val="clear" w:color="auto" w:fill="FFFFFF"/>
        </w:rPr>
      </w:pPr>
    </w:p>
    <w:p w14:paraId="3230BFEF" w14:textId="77777777" w:rsidR="009A0277" w:rsidRPr="00E6784B" w:rsidRDefault="009A0277" w:rsidP="00E6784B">
      <w:r w:rsidRPr="00E6784B">
        <w:rPr>
          <w:b/>
          <w:bCs/>
        </w:rPr>
        <w:t>TERCERO.</w:t>
      </w:r>
      <w:r w:rsidRPr="00E6784B">
        <w:t xml:space="preserve"> </w:t>
      </w:r>
      <w:r w:rsidRPr="00E6784B">
        <w:rPr>
          <w:rFonts w:eastAsia="Palatino Linotype" w:cs="Palatino Linotype"/>
          <w:b/>
          <w:lang w:eastAsia="es-MX"/>
        </w:rPr>
        <w:t xml:space="preserve">Notifíquese </w:t>
      </w:r>
      <w:r w:rsidRPr="00E6784B">
        <w:rPr>
          <w:szCs w:val="17"/>
          <w:lang w:eastAsia="es-ES_tradnl"/>
        </w:rPr>
        <w:t xml:space="preserve">vía </w:t>
      </w:r>
      <w:r w:rsidRPr="00E6784B">
        <w:rPr>
          <w:rFonts w:cs="Arial"/>
        </w:rPr>
        <w:t>Sistema de Acceso a la Información Mexiquense (</w:t>
      </w:r>
      <w:r w:rsidRPr="00E6784B">
        <w:rPr>
          <w:rFonts w:cs="Arial"/>
          <w:b/>
          <w:bCs/>
        </w:rPr>
        <w:t>SAIMEX)</w:t>
      </w:r>
      <w:r w:rsidRPr="00E6784B">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E6784B" w:rsidRDefault="00FC3CE0" w:rsidP="00E6784B"/>
    <w:p w14:paraId="16A4F4E2" w14:textId="64DF9CE2" w:rsidR="00FC3CE0" w:rsidRPr="00E6784B" w:rsidRDefault="00FC3CE0" w:rsidP="00E6784B">
      <w:r w:rsidRPr="00E6784B">
        <w:rPr>
          <w:b/>
          <w:bCs/>
        </w:rPr>
        <w:lastRenderedPageBreak/>
        <w:t>CUARTO.</w:t>
      </w:r>
      <w:r w:rsidRPr="00E6784B">
        <w:t xml:space="preserve"> Notifíquese a </w:t>
      </w:r>
      <w:r w:rsidRPr="00E6784B">
        <w:rPr>
          <w:b/>
          <w:bCs/>
        </w:rPr>
        <w:t>LA PARTE RECURRENTE</w:t>
      </w:r>
      <w:r w:rsidRPr="00E6784B">
        <w:t xml:space="preserve"> la presente resolución vía Sistema de Acceso a la Información Mexiquense </w:t>
      </w:r>
      <w:r w:rsidR="008B1E16" w:rsidRPr="00E6784B">
        <w:t>(</w:t>
      </w:r>
      <w:r w:rsidRPr="00E6784B">
        <w:t>SAIMEX</w:t>
      </w:r>
      <w:r w:rsidR="008B1E16" w:rsidRPr="00E6784B">
        <w:t>)</w:t>
      </w:r>
      <w:r w:rsidRPr="00E6784B">
        <w:t>.</w:t>
      </w:r>
    </w:p>
    <w:p w14:paraId="515336ED" w14:textId="77777777" w:rsidR="00FC3CE0" w:rsidRPr="00E6784B" w:rsidRDefault="00FC3CE0" w:rsidP="00E6784B"/>
    <w:p w14:paraId="006EFE1D" w14:textId="07CDFDE4" w:rsidR="00FC3CE0" w:rsidRPr="00E6784B" w:rsidRDefault="00FC3CE0" w:rsidP="00E6784B">
      <w:r w:rsidRPr="00E6784B">
        <w:rPr>
          <w:b/>
          <w:bCs/>
        </w:rPr>
        <w:t>QUINTO</w:t>
      </w:r>
      <w:r w:rsidRPr="00E6784B">
        <w:t>. Hágase del conocimiento a</w:t>
      </w:r>
      <w:r w:rsidR="008B1E16" w:rsidRPr="00E6784B">
        <w:t xml:space="preserve"> </w:t>
      </w:r>
      <w:r w:rsidR="008B1E16" w:rsidRPr="00E6784B">
        <w:rPr>
          <w:b/>
          <w:bCs/>
        </w:rPr>
        <w:t xml:space="preserve">LA PARTE </w:t>
      </w:r>
      <w:r w:rsidRPr="00E6784B">
        <w:rPr>
          <w:b/>
          <w:bCs/>
        </w:rPr>
        <w:t>RECURRENTE</w:t>
      </w:r>
      <w:r w:rsidRPr="00E6784B">
        <w:t xml:space="preserve"> que</w:t>
      </w:r>
      <w:r w:rsidR="008B1E16" w:rsidRPr="00E6784B">
        <w:t>,</w:t>
      </w:r>
      <w:r w:rsidRPr="00E6784B">
        <w:t xml:space="preserve"> de conformidad con lo establecido en el artículo 196 de la Ley de Transparencia y Acceso a la Información Pública del Estado de México y Municipios, podrá impugnar</w:t>
      </w:r>
      <w:r w:rsidR="008B1E16" w:rsidRPr="00E6784B">
        <w:t xml:space="preserve"> la presente resolución</w:t>
      </w:r>
      <w:r w:rsidRPr="00E6784B">
        <w:t xml:space="preserve"> vía Juicio de Amparo en los términos de las leyes aplicables.</w:t>
      </w:r>
    </w:p>
    <w:p w14:paraId="1FDCA0FE" w14:textId="77777777" w:rsidR="00163D12" w:rsidRPr="00E6784B" w:rsidRDefault="00163D12" w:rsidP="00E6784B"/>
    <w:p w14:paraId="43DF9D99" w14:textId="4C6E52F9" w:rsidR="00FC3CE0" w:rsidRPr="00E6784B" w:rsidRDefault="00FC3CE0" w:rsidP="00E6784B">
      <w:r w:rsidRPr="00E6784B">
        <w:rPr>
          <w:b/>
          <w:bCs/>
        </w:rPr>
        <w:t>SEXTO.</w:t>
      </w:r>
      <w:r w:rsidRPr="00E6784B">
        <w:t xml:space="preserve"> De conformidad con el artículo 198 de la Ley de Transparencia y Acceso a la Información Pública del Estado de México y Municipios, el </w:t>
      </w:r>
      <w:r w:rsidR="008B1E16" w:rsidRPr="00E6784B">
        <w:rPr>
          <w:b/>
          <w:bCs/>
        </w:rPr>
        <w:t>SUJETO OBLIGADO</w:t>
      </w:r>
      <w:r w:rsidR="008B1E16" w:rsidRPr="00E6784B">
        <w:t xml:space="preserve"> </w:t>
      </w:r>
      <w:r w:rsidRPr="00E6784B">
        <w:t>podrá solicitar</w:t>
      </w:r>
      <w:r w:rsidR="008B1E16" w:rsidRPr="00E6784B">
        <w:t xml:space="preserve"> </w:t>
      </w:r>
      <w:r w:rsidRPr="00E6784B">
        <w:t xml:space="preserve">una ampliación de plazo </w:t>
      </w:r>
      <w:r w:rsidR="008B1E16" w:rsidRPr="00E6784B">
        <w:t xml:space="preserve">de manera fundada y motivada, </w:t>
      </w:r>
      <w:r w:rsidRPr="00E6784B">
        <w:t>para el cumplimiento de la presente resolución.</w:t>
      </w:r>
    </w:p>
    <w:p w14:paraId="2BC8564F" w14:textId="77777777" w:rsidR="00FC3CE0" w:rsidRPr="00E6784B" w:rsidRDefault="00FC3CE0" w:rsidP="00E6784B">
      <w:pPr>
        <w:ind w:right="113"/>
        <w:rPr>
          <w:rFonts w:cs="Arial"/>
          <w:b/>
          <w:szCs w:val="22"/>
        </w:rPr>
      </w:pPr>
    </w:p>
    <w:p w14:paraId="719A5C63" w14:textId="06F77555" w:rsidR="00664420" w:rsidRPr="00E6784B" w:rsidRDefault="00664420" w:rsidP="00E6784B">
      <w:pPr>
        <w:rPr>
          <w:rFonts w:eastAsia="Palatino Linotype" w:cs="Palatino Linotype"/>
          <w:szCs w:val="22"/>
        </w:rPr>
      </w:pPr>
      <w:r w:rsidRPr="00E6784B">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5795C">
        <w:rPr>
          <w:rFonts w:eastAsia="Palatino Linotype" w:cs="Palatino Linotype"/>
          <w:szCs w:val="22"/>
        </w:rPr>
        <w:t xml:space="preserve"> </w:t>
      </w:r>
      <w:r w:rsidR="00D5795C">
        <w:t>EMITIENDO VOTO PARTICULAR</w:t>
      </w:r>
      <w:r w:rsidRPr="00E6784B">
        <w:rPr>
          <w:rFonts w:eastAsia="Palatino Linotype" w:cs="Palatino Linotype"/>
          <w:szCs w:val="22"/>
        </w:rPr>
        <w:t xml:space="preserve">, EN LA </w:t>
      </w:r>
      <w:r w:rsidR="00CD198F" w:rsidRPr="00E6784B">
        <w:rPr>
          <w:rFonts w:eastAsia="Palatino Linotype" w:cs="Palatino Linotype"/>
          <w:szCs w:val="22"/>
        </w:rPr>
        <w:t>VIGÉSIMA</w:t>
      </w:r>
      <w:r w:rsidRPr="00E6784B">
        <w:rPr>
          <w:rFonts w:eastAsia="Palatino Linotype" w:cs="Palatino Linotype"/>
          <w:szCs w:val="22"/>
        </w:rPr>
        <w:t xml:space="preserve"> SESIÓN ORDINARIA, CELEBRADA EL </w:t>
      </w:r>
      <w:r w:rsidR="00CD198F" w:rsidRPr="00E6784B">
        <w:rPr>
          <w:rFonts w:eastAsia="Palatino Linotype" w:cs="Palatino Linotype"/>
          <w:szCs w:val="22"/>
        </w:rPr>
        <w:t xml:space="preserve">CUATRO </w:t>
      </w:r>
      <w:r w:rsidRPr="00E6784B">
        <w:rPr>
          <w:rFonts w:eastAsia="Palatino Linotype" w:cs="Palatino Linotype"/>
          <w:szCs w:val="22"/>
        </w:rPr>
        <w:t xml:space="preserve">DE </w:t>
      </w:r>
      <w:r w:rsidR="00CD198F" w:rsidRPr="00E6784B">
        <w:rPr>
          <w:rFonts w:eastAsia="Palatino Linotype" w:cs="Palatino Linotype"/>
          <w:szCs w:val="22"/>
        </w:rPr>
        <w:t xml:space="preserve">JUNIO </w:t>
      </w:r>
      <w:r w:rsidRPr="00E6784B">
        <w:rPr>
          <w:rFonts w:eastAsia="Palatino Linotype" w:cs="Palatino Linotype"/>
          <w:szCs w:val="22"/>
        </w:rPr>
        <w:t xml:space="preserve">DE DOS MIL </w:t>
      </w:r>
      <w:r w:rsidR="00CD198F" w:rsidRPr="00E6784B">
        <w:rPr>
          <w:rFonts w:eastAsia="Palatino Linotype" w:cs="Palatino Linotype"/>
          <w:szCs w:val="22"/>
        </w:rPr>
        <w:t>VEINTICINCO</w:t>
      </w:r>
      <w:r w:rsidRPr="00E6784B">
        <w:rPr>
          <w:rFonts w:eastAsia="Palatino Linotype" w:cs="Palatino Linotype"/>
          <w:szCs w:val="22"/>
        </w:rPr>
        <w:t>, ANTE EL SECRETARIO TÉCNICO DEL PLENO, ALEXIS TAPIA RAMÍREZ.</w:t>
      </w:r>
    </w:p>
    <w:p w14:paraId="2AB73DBD" w14:textId="77777777" w:rsidR="009A0277" w:rsidRPr="00E6784B" w:rsidRDefault="009A0277" w:rsidP="00E6784B">
      <w:pPr>
        <w:widowControl w:val="0"/>
        <w:autoSpaceDE w:val="0"/>
        <w:autoSpaceDN w:val="0"/>
        <w:adjustRightInd w:val="0"/>
        <w:rPr>
          <w:rFonts w:eastAsiaTheme="minorEastAsia"/>
          <w:sz w:val="18"/>
          <w:szCs w:val="18"/>
          <w:lang w:val="it-IT"/>
        </w:rPr>
      </w:pPr>
      <w:r w:rsidRPr="00E6784B">
        <w:rPr>
          <w:rFonts w:eastAsiaTheme="minorEastAsia"/>
          <w:sz w:val="18"/>
          <w:szCs w:val="18"/>
          <w:lang w:val="it-IT"/>
        </w:rPr>
        <w:t>SCMM/AGZ/DEMF/JMMO</w:t>
      </w:r>
    </w:p>
    <w:p w14:paraId="49D72DA3" w14:textId="77777777" w:rsidR="00664420" w:rsidRPr="00E6784B" w:rsidRDefault="00664420" w:rsidP="00E6784B">
      <w:pPr>
        <w:ind w:right="-93"/>
        <w:rPr>
          <w:rFonts w:eastAsia="Calibri" w:cs="Tahoma"/>
          <w:bCs/>
          <w:szCs w:val="22"/>
          <w:lang w:eastAsia="en-US"/>
        </w:rPr>
      </w:pPr>
    </w:p>
    <w:p w14:paraId="5EFEA0CD" w14:textId="77777777" w:rsidR="00664420" w:rsidRPr="00E6784B" w:rsidRDefault="00664420" w:rsidP="00E6784B">
      <w:pPr>
        <w:ind w:right="-93"/>
        <w:rPr>
          <w:rFonts w:eastAsia="Calibri" w:cs="Tahoma"/>
          <w:szCs w:val="22"/>
          <w:lang w:val="es-ES"/>
        </w:rPr>
      </w:pPr>
    </w:p>
    <w:p w14:paraId="696BC976" w14:textId="77777777" w:rsidR="00664420" w:rsidRPr="00E6784B" w:rsidRDefault="00664420" w:rsidP="00E6784B">
      <w:pPr>
        <w:ind w:right="-93"/>
        <w:rPr>
          <w:rFonts w:eastAsia="Calibri" w:cs="Tahoma"/>
          <w:bCs/>
          <w:szCs w:val="22"/>
          <w:lang w:val="es-ES" w:eastAsia="en-US"/>
        </w:rPr>
      </w:pPr>
    </w:p>
    <w:p w14:paraId="671CB0C5" w14:textId="77777777" w:rsidR="00664420" w:rsidRPr="00E6784B" w:rsidRDefault="00664420" w:rsidP="00E6784B">
      <w:pPr>
        <w:ind w:right="-93"/>
        <w:rPr>
          <w:rFonts w:eastAsia="Calibri" w:cs="Tahoma"/>
          <w:bCs/>
          <w:szCs w:val="22"/>
          <w:lang w:val="es-ES_tradnl" w:eastAsia="en-US"/>
        </w:rPr>
      </w:pPr>
    </w:p>
    <w:p w14:paraId="52B66DE7" w14:textId="77777777" w:rsidR="00664420" w:rsidRPr="00E6784B" w:rsidRDefault="00664420" w:rsidP="00E6784B">
      <w:pPr>
        <w:ind w:right="-93"/>
        <w:rPr>
          <w:rFonts w:eastAsia="Calibri" w:cs="Tahoma"/>
          <w:bCs/>
          <w:szCs w:val="22"/>
          <w:lang w:val="es-ES_tradnl" w:eastAsia="en-US"/>
        </w:rPr>
      </w:pPr>
    </w:p>
    <w:p w14:paraId="3BA305D1" w14:textId="77777777" w:rsidR="00664420" w:rsidRPr="00E6784B" w:rsidRDefault="00664420" w:rsidP="00E6784B">
      <w:pPr>
        <w:ind w:right="-93"/>
        <w:rPr>
          <w:rFonts w:eastAsia="Calibri" w:cs="Tahoma"/>
          <w:bCs/>
          <w:szCs w:val="22"/>
          <w:lang w:val="es-ES_tradnl" w:eastAsia="en-US"/>
        </w:rPr>
      </w:pPr>
    </w:p>
    <w:p w14:paraId="78230707" w14:textId="77777777" w:rsidR="00664420" w:rsidRPr="00E6784B" w:rsidRDefault="00664420" w:rsidP="00E6784B">
      <w:pPr>
        <w:ind w:right="-93"/>
        <w:rPr>
          <w:rFonts w:eastAsia="Calibri" w:cs="Tahoma"/>
          <w:bCs/>
          <w:szCs w:val="22"/>
          <w:lang w:val="es-ES_tradnl" w:eastAsia="en-US"/>
        </w:rPr>
      </w:pPr>
    </w:p>
    <w:p w14:paraId="72D18B28" w14:textId="77777777" w:rsidR="00664420" w:rsidRPr="00E6784B" w:rsidRDefault="00664420" w:rsidP="00E6784B">
      <w:pPr>
        <w:ind w:right="-93"/>
        <w:rPr>
          <w:rFonts w:eastAsia="Calibri" w:cs="Tahoma"/>
          <w:bCs/>
          <w:szCs w:val="22"/>
          <w:lang w:val="es-ES_tradnl" w:eastAsia="en-US"/>
        </w:rPr>
      </w:pPr>
    </w:p>
    <w:p w14:paraId="6BD461DC" w14:textId="77777777" w:rsidR="00664420" w:rsidRPr="00E6784B" w:rsidRDefault="00664420" w:rsidP="00E6784B">
      <w:pPr>
        <w:tabs>
          <w:tab w:val="center" w:pos="4568"/>
        </w:tabs>
        <w:ind w:right="-93"/>
        <w:rPr>
          <w:rFonts w:eastAsia="Calibri" w:cs="Tahoma"/>
          <w:bCs/>
          <w:szCs w:val="22"/>
          <w:lang w:eastAsia="en-US"/>
        </w:rPr>
      </w:pPr>
    </w:p>
    <w:p w14:paraId="4DBB1727" w14:textId="77777777" w:rsidR="00664420" w:rsidRPr="00E6784B" w:rsidRDefault="00664420" w:rsidP="00E6784B">
      <w:pPr>
        <w:tabs>
          <w:tab w:val="center" w:pos="4568"/>
        </w:tabs>
        <w:ind w:right="-93"/>
        <w:rPr>
          <w:rFonts w:eastAsia="Calibri" w:cs="Tahoma"/>
          <w:bCs/>
          <w:szCs w:val="22"/>
          <w:lang w:eastAsia="en-US"/>
        </w:rPr>
      </w:pPr>
    </w:p>
    <w:p w14:paraId="1D74121B" w14:textId="77777777" w:rsidR="00664420" w:rsidRPr="00E6784B" w:rsidRDefault="00664420" w:rsidP="00E6784B">
      <w:pPr>
        <w:tabs>
          <w:tab w:val="center" w:pos="4568"/>
        </w:tabs>
        <w:ind w:right="-93"/>
        <w:rPr>
          <w:rFonts w:eastAsia="Calibri" w:cs="Tahoma"/>
          <w:bCs/>
          <w:szCs w:val="22"/>
          <w:lang w:eastAsia="en-US"/>
        </w:rPr>
      </w:pPr>
    </w:p>
    <w:p w14:paraId="08E74E9C" w14:textId="77777777" w:rsidR="00664420" w:rsidRPr="00E6784B" w:rsidRDefault="00664420" w:rsidP="00E6784B">
      <w:pPr>
        <w:tabs>
          <w:tab w:val="center" w:pos="4568"/>
        </w:tabs>
        <w:ind w:right="-93"/>
        <w:rPr>
          <w:rFonts w:eastAsia="Calibri" w:cs="Tahoma"/>
          <w:bCs/>
          <w:szCs w:val="22"/>
          <w:lang w:eastAsia="en-US"/>
        </w:rPr>
      </w:pPr>
    </w:p>
    <w:p w14:paraId="2CBF5E03" w14:textId="77777777" w:rsidR="00664420" w:rsidRPr="00E6784B" w:rsidRDefault="00664420" w:rsidP="00E6784B">
      <w:pPr>
        <w:tabs>
          <w:tab w:val="center" w:pos="4568"/>
        </w:tabs>
        <w:ind w:right="-93"/>
        <w:rPr>
          <w:rFonts w:eastAsia="Calibri" w:cs="Tahoma"/>
          <w:bCs/>
          <w:szCs w:val="22"/>
          <w:lang w:eastAsia="en-US"/>
        </w:rPr>
      </w:pPr>
    </w:p>
    <w:p w14:paraId="44865A6D" w14:textId="77777777" w:rsidR="00664420" w:rsidRPr="00E6784B" w:rsidRDefault="00664420" w:rsidP="00E6784B">
      <w:pPr>
        <w:tabs>
          <w:tab w:val="center" w:pos="4568"/>
        </w:tabs>
        <w:ind w:right="-93"/>
        <w:rPr>
          <w:rFonts w:eastAsia="Calibri" w:cs="Tahoma"/>
          <w:bCs/>
          <w:szCs w:val="22"/>
          <w:lang w:eastAsia="en-US"/>
        </w:rPr>
      </w:pPr>
    </w:p>
    <w:p w14:paraId="7147F06B" w14:textId="77777777" w:rsidR="00664420" w:rsidRPr="00E6784B" w:rsidRDefault="00664420" w:rsidP="00E6784B">
      <w:pPr>
        <w:tabs>
          <w:tab w:val="center" w:pos="4568"/>
        </w:tabs>
        <w:ind w:right="-93"/>
        <w:rPr>
          <w:rFonts w:eastAsia="Calibri" w:cs="Tahoma"/>
          <w:bCs/>
          <w:szCs w:val="22"/>
          <w:lang w:eastAsia="en-US"/>
        </w:rPr>
      </w:pPr>
    </w:p>
    <w:p w14:paraId="6FDF3D7E" w14:textId="77777777" w:rsidR="00664420" w:rsidRPr="00E6784B" w:rsidRDefault="00664420" w:rsidP="00E6784B">
      <w:pPr>
        <w:tabs>
          <w:tab w:val="center" w:pos="4568"/>
        </w:tabs>
        <w:ind w:right="-93"/>
        <w:rPr>
          <w:rFonts w:eastAsia="Calibri" w:cs="Tahoma"/>
          <w:bCs/>
          <w:szCs w:val="22"/>
          <w:lang w:eastAsia="en-US"/>
        </w:rPr>
      </w:pPr>
    </w:p>
    <w:p w14:paraId="6246F818" w14:textId="77777777" w:rsidR="00664420" w:rsidRPr="00E6784B" w:rsidRDefault="00664420" w:rsidP="00E6784B">
      <w:pPr>
        <w:tabs>
          <w:tab w:val="center" w:pos="4568"/>
        </w:tabs>
        <w:ind w:right="-93"/>
        <w:rPr>
          <w:rFonts w:eastAsia="Calibri" w:cs="Tahoma"/>
          <w:bCs/>
          <w:szCs w:val="22"/>
          <w:lang w:eastAsia="en-US"/>
        </w:rPr>
      </w:pPr>
    </w:p>
    <w:p w14:paraId="57A88B28" w14:textId="77777777" w:rsidR="00664420" w:rsidRPr="00E6784B" w:rsidRDefault="00664420" w:rsidP="00E6784B">
      <w:pPr>
        <w:tabs>
          <w:tab w:val="center" w:pos="4568"/>
        </w:tabs>
        <w:ind w:right="-93"/>
        <w:rPr>
          <w:rFonts w:eastAsia="Calibri" w:cs="Tahoma"/>
          <w:bCs/>
          <w:szCs w:val="22"/>
          <w:lang w:eastAsia="en-US"/>
        </w:rPr>
      </w:pPr>
    </w:p>
    <w:p w14:paraId="77EF6095" w14:textId="77777777" w:rsidR="00664420" w:rsidRPr="00E6784B" w:rsidRDefault="00664420" w:rsidP="00E6784B">
      <w:pPr>
        <w:tabs>
          <w:tab w:val="center" w:pos="4568"/>
        </w:tabs>
        <w:ind w:right="-93"/>
        <w:rPr>
          <w:rFonts w:eastAsia="Calibri" w:cs="Tahoma"/>
          <w:bCs/>
          <w:szCs w:val="22"/>
          <w:lang w:eastAsia="en-US"/>
        </w:rPr>
      </w:pPr>
    </w:p>
    <w:p w14:paraId="35593947" w14:textId="77777777" w:rsidR="00664420" w:rsidRPr="00E6784B" w:rsidRDefault="00664420" w:rsidP="00E6784B">
      <w:pPr>
        <w:tabs>
          <w:tab w:val="center" w:pos="4568"/>
        </w:tabs>
        <w:ind w:right="-93"/>
        <w:rPr>
          <w:rFonts w:eastAsia="Calibri" w:cs="Tahoma"/>
          <w:bCs/>
          <w:szCs w:val="22"/>
          <w:lang w:eastAsia="en-US"/>
        </w:rPr>
      </w:pPr>
    </w:p>
    <w:p w14:paraId="3AF72A17" w14:textId="77777777" w:rsidR="00664420" w:rsidRPr="00E6784B" w:rsidRDefault="00664420" w:rsidP="00E6784B">
      <w:pPr>
        <w:tabs>
          <w:tab w:val="center" w:pos="4568"/>
        </w:tabs>
        <w:ind w:right="-93"/>
        <w:rPr>
          <w:rFonts w:eastAsia="Calibri" w:cs="Tahoma"/>
          <w:bCs/>
          <w:szCs w:val="22"/>
          <w:lang w:eastAsia="en-US"/>
        </w:rPr>
      </w:pPr>
    </w:p>
    <w:p w14:paraId="37169144" w14:textId="77777777" w:rsidR="00664420" w:rsidRPr="00E6784B" w:rsidRDefault="00664420" w:rsidP="00E6784B">
      <w:pPr>
        <w:tabs>
          <w:tab w:val="center" w:pos="4568"/>
        </w:tabs>
        <w:ind w:right="-93"/>
        <w:rPr>
          <w:rFonts w:eastAsia="Calibri" w:cs="Tahoma"/>
          <w:bCs/>
          <w:szCs w:val="22"/>
          <w:lang w:eastAsia="en-US"/>
        </w:rPr>
      </w:pPr>
    </w:p>
    <w:p w14:paraId="77CFC088" w14:textId="77777777" w:rsidR="00664420" w:rsidRPr="00E6784B" w:rsidRDefault="00664420" w:rsidP="00E6784B">
      <w:pPr>
        <w:tabs>
          <w:tab w:val="center" w:pos="4568"/>
        </w:tabs>
        <w:ind w:right="-93"/>
        <w:rPr>
          <w:rFonts w:eastAsia="Calibri" w:cs="Tahoma"/>
          <w:bCs/>
          <w:szCs w:val="22"/>
          <w:lang w:eastAsia="en-US"/>
        </w:rPr>
      </w:pPr>
    </w:p>
    <w:p w14:paraId="781A11A5" w14:textId="77777777" w:rsidR="00664420" w:rsidRPr="00E6784B" w:rsidRDefault="00664420" w:rsidP="00E6784B">
      <w:pPr>
        <w:tabs>
          <w:tab w:val="center" w:pos="4568"/>
        </w:tabs>
        <w:ind w:right="-93"/>
        <w:rPr>
          <w:rFonts w:eastAsia="Calibri" w:cs="Tahoma"/>
          <w:bCs/>
          <w:szCs w:val="22"/>
          <w:lang w:eastAsia="en-US"/>
        </w:rPr>
      </w:pPr>
    </w:p>
    <w:p w14:paraId="5B4ADFF3" w14:textId="77777777" w:rsidR="00A131AC" w:rsidRPr="00E6784B" w:rsidRDefault="00A131AC" w:rsidP="00E6784B"/>
    <w:sectPr w:rsidR="00A131AC" w:rsidRPr="00E6784B" w:rsidSect="00EE2AF2">
      <w:footerReference w:type="default" r:id="rId2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5EB79" w14:textId="77777777" w:rsidR="0034597C" w:rsidRDefault="0034597C" w:rsidP="00664420">
      <w:pPr>
        <w:spacing w:line="240" w:lineRule="auto"/>
      </w:pPr>
      <w:r>
        <w:separator/>
      </w:r>
    </w:p>
  </w:endnote>
  <w:endnote w:type="continuationSeparator" w:id="0">
    <w:p w14:paraId="20787E81" w14:textId="77777777" w:rsidR="0034597C" w:rsidRDefault="0034597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A47CB" w:rsidRDefault="005A47CB">
    <w:pPr>
      <w:tabs>
        <w:tab w:val="center" w:pos="4550"/>
        <w:tab w:val="left" w:pos="5818"/>
      </w:tabs>
      <w:ind w:right="260"/>
      <w:jc w:val="right"/>
      <w:rPr>
        <w:color w:val="071320" w:themeColor="text2" w:themeShade="80"/>
        <w:sz w:val="24"/>
        <w:szCs w:val="24"/>
      </w:rPr>
    </w:pPr>
  </w:p>
  <w:p w14:paraId="1BCA7F23" w14:textId="77777777" w:rsidR="005A47CB" w:rsidRDefault="005A47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57EB508" w:rsidR="005A47CB" w:rsidRDefault="005A47C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C26F7" w:rsidRPr="004C26F7">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C26F7" w:rsidRPr="004C26F7">
      <w:rPr>
        <w:noProof/>
        <w:color w:val="0A1D30" w:themeColor="text2" w:themeShade="BF"/>
        <w:sz w:val="24"/>
        <w:szCs w:val="24"/>
        <w:lang w:val="es-ES"/>
      </w:rPr>
      <w:t>68</w:t>
    </w:r>
    <w:r>
      <w:rPr>
        <w:color w:val="0A1D30" w:themeColor="text2" w:themeShade="BF"/>
        <w:sz w:val="24"/>
        <w:szCs w:val="24"/>
      </w:rPr>
      <w:fldChar w:fldCharType="end"/>
    </w:r>
  </w:p>
  <w:p w14:paraId="310E15C0" w14:textId="77777777" w:rsidR="005A47CB" w:rsidRDefault="005A47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0F7D1" w14:textId="77777777" w:rsidR="0034597C" w:rsidRDefault="0034597C" w:rsidP="00664420">
      <w:pPr>
        <w:spacing w:line="240" w:lineRule="auto"/>
      </w:pPr>
      <w:r>
        <w:separator/>
      </w:r>
    </w:p>
  </w:footnote>
  <w:footnote w:type="continuationSeparator" w:id="0">
    <w:p w14:paraId="4EFAE00A" w14:textId="77777777" w:rsidR="0034597C" w:rsidRDefault="0034597C" w:rsidP="00664420">
      <w:pPr>
        <w:spacing w:line="240" w:lineRule="auto"/>
      </w:pPr>
      <w:r>
        <w:continuationSeparator/>
      </w:r>
    </w:p>
  </w:footnote>
  <w:footnote w:id="1">
    <w:p w14:paraId="7305EF2A" w14:textId="77777777" w:rsidR="005A47CB" w:rsidRDefault="005A47CB" w:rsidP="002527D3">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A47CB" w:rsidRPr="00330DA7" w14:paraId="070A4B18" w14:textId="77777777" w:rsidTr="003F35FD">
      <w:trPr>
        <w:trHeight w:val="144"/>
        <w:jc w:val="right"/>
      </w:trPr>
      <w:tc>
        <w:tcPr>
          <w:tcW w:w="2727" w:type="dxa"/>
        </w:tcPr>
        <w:p w14:paraId="62B7493A" w14:textId="77777777" w:rsidR="005A47CB" w:rsidRPr="00330DA7" w:rsidRDefault="005A47C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48C1A87" w:rsidR="005A47CB" w:rsidRPr="00A90C72" w:rsidRDefault="005A47CB" w:rsidP="00C265E0">
          <w:pPr>
            <w:tabs>
              <w:tab w:val="right" w:pos="8838"/>
            </w:tabs>
            <w:ind w:left="-74" w:right="-105"/>
            <w:rPr>
              <w:rFonts w:eastAsia="Calibri" w:cs="Tahoma"/>
              <w:szCs w:val="22"/>
              <w:lang w:eastAsia="en-US"/>
            </w:rPr>
          </w:pPr>
          <w:r>
            <w:rPr>
              <w:rFonts w:eastAsia="Calibri" w:cs="Tahoma"/>
              <w:szCs w:val="22"/>
              <w:lang w:eastAsia="en-US"/>
            </w:rPr>
            <w:t>03712/</w:t>
          </w:r>
          <w:r w:rsidRPr="00A90C72">
            <w:rPr>
              <w:rFonts w:eastAsia="Calibri" w:cs="Tahoma"/>
              <w:szCs w:val="22"/>
              <w:lang w:eastAsia="en-US"/>
            </w:rPr>
            <w:t>INFOEM/IP/RR</w:t>
          </w:r>
          <w:r>
            <w:rPr>
              <w:rFonts w:eastAsia="Calibri" w:cs="Tahoma"/>
              <w:szCs w:val="22"/>
              <w:lang w:eastAsia="en-US"/>
            </w:rPr>
            <w:t xml:space="preserve">/2025 </w:t>
          </w:r>
        </w:p>
      </w:tc>
    </w:tr>
    <w:tr w:rsidR="005A47CB" w:rsidRPr="00330DA7" w14:paraId="4521E058" w14:textId="77777777" w:rsidTr="003F35FD">
      <w:trPr>
        <w:trHeight w:val="283"/>
        <w:jc w:val="right"/>
      </w:trPr>
      <w:tc>
        <w:tcPr>
          <w:tcW w:w="2727" w:type="dxa"/>
        </w:tcPr>
        <w:p w14:paraId="0B68C086" w14:textId="77777777" w:rsidR="005A47CB" w:rsidRPr="00330DA7" w:rsidRDefault="005A47C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3E2C53D" w:rsidR="005A47CB" w:rsidRPr="00952DD0" w:rsidRDefault="005A47CB" w:rsidP="003F35FD">
          <w:pPr>
            <w:tabs>
              <w:tab w:val="left" w:pos="2834"/>
              <w:tab w:val="right" w:pos="8838"/>
            </w:tabs>
            <w:ind w:left="-108" w:right="-105"/>
            <w:rPr>
              <w:rFonts w:eastAsia="Calibri" w:cs="Tahoma"/>
              <w:szCs w:val="22"/>
              <w:lang w:eastAsia="en-US"/>
            </w:rPr>
          </w:pPr>
          <w:r w:rsidRPr="00C265E0">
            <w:rPr>
              <w:rFonts w:eastAsia="Calibri" w:cs="Tahoma"/>
              <w:szCs w:val="22"/>
              <w:lang w:eastAsia="en-US"/>
            </w:rPr>
            <w:t>Instituto de Capacitación y Adiestramiento para el Trabajo Industrial</w:t>
          </w:r>
        </w:p>
      </w:tc>
    </w:tr>
    <w:tr w:rsidR="005A47CB" w:rsidRPr="00330DA7" w14:paraId="6331D9B6" w14:textId="77777777" w:rsidTr="003F35FD">
      <w:trPr>
        <w:trHeight w:val="283"/>
        <w:jc w:val="right"/>
      </w:trPr>
      <w:tc>
        <w:tcPr>
          <w:tcW w:w="2727" w:type="dxa"/>
        </w:tcPr>
        <w:p w14:paraId="3FA86BAE" w14:textId="04F1C45E" w:rsidR="005A47CB" w:rsidRPr="00330DA7" w:rsidRDefault="005A47C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A47CB" w:rsidRPr="00EA66FC" w:rsidRDefault="005A47C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A47CB" w:rsidRPr="00443C6B" w:rsidRDefault="005A47C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A47CB" w:rsidRPr="00330DA7" w14:paraId="29CFF901" w14:textId="77777777" w:rsidTr="00C265E0">
      <w:trPr>
        <w:trHeight w:val="1435"/>
      </w:trPr>
      <w:tc>
        <w:tcPr>
          <w:tcW w:w="283" w:type="dxa"/>
          <w:shd w:val="clear" w:color="auto" w:fill="auto"/>
        </w:tcPr>
        <w:p w14:paraId="046B9F8F" w14:textId="77777777" w:rsidR="005A47CB" w:rsidRPr="00330DA7" w:rsidRDefault="005A47CB" w:rsidP="00C265E0">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A47CB" w:rsidRPr="00330DA7" w14:paraId="04F272D2" w14:textId="77777777" w:rsidTr="00C265E0">
            <w:trPr>
              <w:trHeight w:val="144"/>
            </w:trPr>
            <w:tc>
              <w:tcPr>
                <w:tcW w:w="2727" w:type="dxa"/>
              </w:tcPr>
              <w:p w14:paraId="2FD4DBF6" w14:textId="77777777" w:rsidR="005A47CB" w:rsidRPr="00330DA7" w:rsidRDefault="005A47CB" w:rsidP="00C265E0">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100E0DD" w:rsidR="005A47CB" w:rsidRPr="00A90C72" w:rsidRDefault="005A47CB" w:rsidP="00C265E0">
                <w:pPr>
                  <w:tabs>
                    <w:tab w:val="right" w:pos="8838"/>
                  </w:tabs>
                  <w:ind w:left="-74" w:right="-105"/>
                  <w:rPr>
                    <w:rFonts w:eastAsia="Calibri" w:cs="Tahoma"/>
                    <w:szCs w:val="22"/>
                    <w:lang w:eastAsia="en-US"/>
                  </w:rPr>
                </w:pPr>
                <w:r>
                  <w:rPr>
                    <w:rFonts w:eastAsia="Calibri" w:cs="Tahoma"/>
                    <w:szCs w:val="22"/>
                    <w:lang w:eastAsia="en-US"/>
                  </w:rPr>
                  <w:t>03712/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5A47CB" w:rsidRDefault="005A47CB" w:rsidP="00C265E0">
                <w:pPr>
                  <w:tabs>
                    <w:tab w:val="right" w:pos="8838"/>
                  </w:tabs>
                  <w:ind w:left="-74" w:right="-105"/>
                  <w:rPr>
                    <w:rFonts w:eastAsia="Calibri" w:cs="Tahoma"/>
                    <w:szCs w:val="22"/>
                    <w:lang w:eastAsia="en-US"/>
                  </w:rPr>
                </w:pPr>
              </w:p>
            </w:tc>
          </w:tr>
          <w:tr w:rsidR="005A47CB" w:rsidRPr="00330DA7" w14:paraId="05C58951" w14:textId="77777777" w:rsidTr="00C265E0">
            <w:trPr>
              <w:trHeight w:val="144"/>
            </w:trPr>
            <w:tc>
              <w:tcPr>
                <w:tcW w:w="2727" w:type="dxa"/>
              </w:tcPr>
              <w:p w14:paraId="642B9610" w14:textId="77777777" w:rsidR="005A47CB" w:rsidRPr="00330DA7" w:rsidRDefault="005A47CB" w:rsidP="00C265E0">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9843902" w:rsidR="005A47CB" w:rsidRPr="005F19B1" w:rsidRDefault="004C26F7" w:rsidP="00C265E0">
                <w:pPr>
                  <w:tabs>
                    <w:tab w:val="left" w:pos="3122"/>
                    <w:tab w:val="right" w:pos="8838"/>
                  </w:tabs>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5A47CB" w:rsidRPr="005F19B1" w:rsidRDefault="005A47CB" w:rsidP="00C265E0">
                <w:pPr>
                  <w:tabs>
                    <w:tab w:val="left" w:pos="3122"/>
                    <w:tab w:val="right" w:pos="8838"/>
                  </w:tabs>
                  <w:ind w:left="-105" w:right="-105"/>
                  <w:rPr>
                    <w:rFonts w:eastAsia="Calibri" w:cs="Tahoma"/>
                    <w:szCs w:val="22"/>
                    <w:lang w:eastAsia="en-US"/>
                  </w:rPr>
                </w:pPr>
              </w:p>
            </w:tc>
          </w:tr>
          <w:bookmarkEnd w:id="1"/>
          <w:tr w:rsidR="005A47CB" w:rsidRPr="00330DA7" w14:paraId="00E6CDC1" w14:textId="77777777" w:rsidTr="00C265E0">
            <w:trPr>
              <w:trHeight w:val="283"/>
            </w:trPr>
            <w:tc>
              <w:tcPr>
                <w:tcW w:w="2727" w:type="dxa"/>
              </w:tcPr>
              <w:p w14:paraId="0631AD24" w14:textId="77777777" w:rsidR="005A47CB" w:rsidRPr="00330DA7" w:rsidRDefault="005A47CB" w:rsidP="00C265E0">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579A493" w:rsidR="005A47CB" w:rsidRPr="00952DD0" w:rsidRDefault="005A47CB" w:rsidP="00C265E0">
                <w:pPr>
                  <w:tabs>
                    <w:tab w:val="left" w:pos="2834"/>
                    <w:tab w:val="right" w:pos="8838"/>
                  </w:tabs>
                  <w:ind w:left="-108" w:right="-105"/>
                  <w:rPr>
                    <w:rFonts w:eastAsia="Calibri" w:cs="Tahoma"/>
                    <w:szCs w:val="22"/>
                    <w:lang w:eastAsia="en-US"/>
                  </w:rPr>
                </w:pPr>
                <w:r w:rsidRPr="00C265E0">
                  <w:rPr>
                    <w:rFonts w:eastAsia="Calibri" w:cs="Tahoma"/>
                    <w:szCs w:val="22"/>
                    <w:lang w:eastAsia="en-US"/>
                  </w:rPr>
                  <w:t>Instituto de Capacitación y Adiestramiento para el Trabajo Industrial</w:t>
                </w:r>
              </w:p>
            </w:tc>
            <w:tc>
              <w:tcPr>
                <w:tcW w:w="3402" w:type="dxa"/>
              </w:tcPr>
              <w:p w14:paraId="3A7DA319" w14:textId="77777777" w:rsidR="005A47CB" w:rsidRPr="00A90C72" w:rsidRDefault="005A47CB" w:rsidP="00C265E0">
                <w:pPr>
                  <w:tabs>
                    <w:tab w:val="left" w:pos="2834"/>
                    <w:tab w:val="right" w:pos="8838"/>
                  </w:tabs>
                  <w:ind w:left="-108" w:right="-105"/>
                  <w:rPr>
                    <w:rFonts w:eastAsia="Calibri" w:cs="Tahoma"/>
                    <w:szCs w:val="22"/>
                    <w:lang w:eastAsia="en-US"/>
                  </w:rPr>
                </w:pPr>
              </w:p>
            </w:tc>
          </w:tr>
          <w:tr w:rsidR="005A47CB" w:rsidRPr="00330DA7" w14:paraId="0F6CD8D2" w14:textId="77777777" w:rsidTr="00C265E0">
            <w:trPr>
              <w:trHeight w:val="283"/>
            </w:trPr>
            <w:tc>
              <w:tcPr>
                <w:tcW w:w="2727" w:type="dxa"/>
              </w:tcPr>
              <w:p w14:paraId="31700628" w14:textId="385332FF" w:rsidR="005A47CB" w:rsidRPr="00330DA7" w:rsidRDefault="005A47CB" w:rsidP="00C265E0">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A47CB" w:rsidRPr="00EA66FC" w:rsidRDefault="005A47CB" w:rsidP="00C265E0">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A47CB" w:rsidRPr="00330DA7" w:rsidRDefault="005A47CB" w:rsidP="00C265E0">
                <w:pPr>
                  <w:tabs>
                    <w:tab w:val="right" w:pos="8838"/>
                  </w:tabs>
                  <w:ind w:left="-108" w:right="-105"/>
                  <w:rPr>
                    <w:rFonts w:eastAsia="Calibri" w:cs="Tahoma"/>
                    <w:szCs w:val="22"/>
                    <w:lang w:eastAsia="en-US"/>
                  </w:rPr>
                </w:pPr>
              </w:p>
            </w:tc>
          </w:tr>
        </w:tbl>
        <w:p w14:paraId="5DC6AC61" w14:textId="77777777" w:rsidR="005A47CB" w:rsidRPr="00330DA7" w:rsidRDefault="005A47CB" w:rsidP="00C265E0">
          <w:pPr>
            <w:tabs>
              <w:tab w:val="right" w:pos="8838"/>
            </w:tabs>
            <w:ind w:left="-28"/>
            <w:rPr>
              <w:rFonts w:ascii="Arial" w:eastAsia="Calibri" w:hAnsi="Arial" w:cs="Arial"/>
              <w:b/>
              <w:szCs w:val="22"/>
              <w:lang w:eastAsia="en-US"/>
            </w:rPr>
          </w:pPr>
        </w:p>
      </w:tc>
    </w:tr>
  </w:tbl>
  <w:p w14:paraId="2A906731" w14:textId="77777777" w:rsidR="005A47CB" w:rsidRPr="00765661" w:rsidRDefault="0034597C" w:rsidP="00C265E0">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9.65pt;margin-top:-160.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470193"/>
    <w:multiLevelType w:val="hybridMultilevel"/>
    <w:tmpl w:val="31A4DCA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504B0D"/>
    <w:multiLevelType w:val="multilevel"/>
    <w:tmpl w:val="F1C24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F2E3510"/>
    <w:multiLevelType w:val="multilevel"/>
    <w:tmpl w:val="BF7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44B44"/>
    <w:multiLevelType w:val="multilevel"/>
    <w:tmpl w:val="63B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0DE1F03"/>
    <w:multiLevelType w:val="hybridMultilevel"/>
    <w:tmpl w:val="EB6AC566"/>
    <w:lvl w:ilvl="0" w:tplc="336E5B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07A4598"/>
    <w:multiLevelType w:val="multilevel"/>
    <w:tmpl w:val="18A85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5C67A87"/>
    <w:multiLevelType w:val="multilevel"/>
    <w:tmpl w:val="BF3CD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832FA"/>
    <w:multiLevelType w:val="multilevel"/>
    <w:tmpl w:val="D6401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7"/>
  </w:num>
  <w:num w:numId="3">
    <w:abstractNumId w:val="21"/>
  </w:num>
  <w:num w:numId="4">
    <w:abstractNumId w:val="6"/>
  </w:num>
  <w:num w:numId="5">
    <w:abstractNumId w:val="1"/>
  </w:num>
  <w:num w:numId="6">
    <w:abstractNumId w:val="24"/>
  </w:num>
  <w:num w:numId="7">
    <w:abstractNumId w:val="15"/>
  </w:num>
  <w:num w:numId="8">
    <w:abstractNumId w:val="5"/>
  </w:num>
  <w:num w:numId="9">
    <w:abstractNumId w:val="14"/>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8"/>
  </w:num>
  <w:num w:numId="13">
    <w:abstractNumId w:val="0"/>
  </w:num>
  <w:num w:numId="14">
    <w:abstractNumId w:val="4"/>
  </w:num>
  <w:num w:numId="15">
    <w:abstractNumId w:val="16"/>
  </w:num>
  <w:num w:numId="16">
    <w:abstractNumId w:val="12"/>
  </w:num>
  <w:num w:numId="17">
    <w:abstractNumId w:val="3"/>
  </w:num>
  <w:num w:numId="18">
    <w:abstractNumId w:val="22"/>
  </w:num>
  <w:num w:numId="19">
    <w:abstractNumId w:val="9"/>
  </w:num>
  <w:num w:numId="20">
    <w:abstractNumId w:val="11"/>
  </w:num>
  <w:num w:numId="21">
    <w:abstractNumId w:val="20"/>
  </w:num>
  <w:num w:numId="22">
    <w:abstractNumId w:val="2"/>
  </w:num>
  <w:num w:numId="23">
    <w:abstractNumId w:val="2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D0D67"/>
    <w:rsid w:val="000E09C4"/>
    <w:rsid w:val="0011350D"/>
    <w:rsid w:val="00141876"/>
    <w:rsid w:val="0014207B"/>
    <w:rsid w:val="00150C49"/>
    <w:rsid w:val="00163D12"/>
    <w:rsid w:val="00166A51"/>
    <w:rsid w:val="001A58B3"/>
    <w:rsid w:val="001A701B"/>
    <w:rsid w:val="001C7688"/>
    <w:rsid w:val="001D30FA"/>
    <w:rsid w:val="001F3515"/>
    <w:rsid w:val="001F5C8C"/>
    <w:rsid w:val="00233005"/>
    <w:rsid w:val="00233F17"/>
    <w:rsid w:val="002527D3"/>
    <w:rsid w:val="00292B4B"/>
    <w:rsid w:val="002A3601"/>
    <w:rsid w:val="002B7C6F"/>
    <w:rsid w:val="002B7CE3"/>
    <w:rsid w:val="002C4586"/>
    <w:rsid w:val="002D111C"/>
    <w:rsid w:val="002F4BBA"/>
    <w:rsid w:val="00302476"/>
    <w:rsid w:val="00331F35"/>
    <w:rsid w:val="0033518B"/>
    <w:rsid w:val="00335CDF"/>
    <w:rsid w:val="00337F4D"/>
    <w:rsid w:val="0034597C"/>
    <w:rsid w:val="003606AC"/>
    <w:rsid w:val="00362A11"/>
    <w:rsid w:val="0036671F"/>
    <w:rsid w:val="003A40C1"/>
    <w:rsid w:val="003A53D3"/>
    <w:rsid w:val="003B5D3E"/>
    <w:rsid w:val="003D13C6"/>
    <w:rsid w:val="003E4F98"/>
    <w:rsid w:val="003F35FD"/>
    <w:rsid w:val="003F6FBF"/>
    <w:rsid w:val="0041385B"/>
    <w:rsid w:val="00441BFA"/>
    <w:rsid w:val="00451A59"/>
    <w:rsid w:val="00454FBD"/>
    <w:rsid w:val="004A5D70"/>
    <w:rsid w:val="004C26F7"/>
    <w:rsid w:val="004D7CD8"/>
    <w:rsid w:val="004E5068"/>
    <w:rsid w:val="004F7A00"/>
    <w:rsid w:val="00507A52"/>
    <w:rsid w:val="00523F48"/>
    <w:rsid w:val="005365FA"/>
    <w:rsid w:val="005723CB"/>
    <w:rsid w:val="00575400"/>
    <w:rsid w:val="005948AD"/>
    <w:rsid w:val="005A47CB"/>
    <w:rsid w:val="005B18AF"/>
    <w:rsid w:val="005D0329"/>
    <w:rsid w:val="005D5A50"/>
    <w:rsid w:val="005F5301"/>
    <w:rsid w:val="005F65B7"/>
    <w:rsid w:val="006067C7"/>
    <w:rsid w:val="00606A65"/>
    <w:rsid w:val="006159AD"/>
    <w:rsid w:val="00635308"/>
    <w:rsid w:val="00642F68"/>
    <w:rsid w:val="00646436"/>
    <w:rsid w:val="0065699D"/>
    <w:rsid w:val="00664420"/>
    <w:rsid w:val="006A646A"/>
    <w:rsid w:val="006B10B0"/>
    <w:rsid w:val="006D1B05"/>
    <w:rsid w:val="006E25BC"/>
    <w:rsid w:val="006E6BBC"/>
    <w:rsid w:val="006F7768"/>
    <w:rsid w:val="00717E59"/>
    <w:rsid w:val="00775BFC"/>
    <w:rsid w:val="007A3459"/>
    <w:rsid w:val="007B6074"/>
    <w:rsid w:val="007D1C55"/>
    <w:rsid w:val="007D29D7"/>
    <w:rsid w:val="007D317F"/>
    <w:rsid w:val="007F5D06"/>
    <w:rsid w:val="007F7EDC"/>
    <w:rsid w:val="00805A6E"/>
    <w:rsid w:val="00865CF4"/>
    <w:rsid w:val="008727C4"/>
    <w:rsid w:val="00874897"/>
    <w:rsid w:val="00876DBC"/>
    <w:rsid w:val="008A6003"/>
    <w:rsid w:val="008A6F88"/>
    <w:rsid w:val="008B1E16"/>
    <w:rsid w:val="008C1A6C"/>
    <w:rsid w:val="008D18C3"/>
    <w:rsid w:val="008E1316"/>
    <w:rsid w:val="008E1CA9"/>
    <w:rsid w:val="00902EE5"/>
    <w:rsid w:val="00910FD2"/>
    <w:rsid w:val="00931437"/>
    <w:rsid w:val="00933735"/>
    <w:rsid w:val="00950777"/>
    <w:rsid w:val="00953430"/>
    <w:rsid w:val="00970EB3"/>
    <w:rsid w:val="009718B6"/>
    <w:rsid w:val="009A0277"/>
    <w:rsid w:val="009A2D78"/>
    <w:rsid w:val="009A7C10"/>
    <w:rsid w:val="009B2945"/>
    <w:rsid w:val="009D2CB8"/>
    <w:rsid w:val="009D445B"/>
    <w:rsid w:val="009D5EA9"/>
    <w:rsid w:val="009E2DEE"/>
    <w:rsid w:val="009F797C"/>
    <w:rsid w:val="00A131AC"/>
    <w:rsid w:val="00A16D85"/>
    <w:rsid w:val="00A21A20"/>
    <w:rsid w:val="00A36A99"/>
    <w:rsid w:val="00A53315"/>
    <w:rsid w:val="00A70EF0"/>
    <w:rsid w:val="00A9208D"/>
    <w:rsid w:val="00AA6EA9"/>
    <w:rsid w:val="00AC2DB8"/>
    <w:rsid w:val="00AC3CA0"/>
    <w:rsid w:val="00AD2762"/>
    <w:rsid w:val="00AE30B2"/>
    <w:rsid w:val="00AE371E"/>
    <w:rsid w:val="00AE3DA7"/>
    <w:rsid w:val="00AF03C4"/>
    <w:rsid w:val="00B22A80"/>
    <w:rsid w:val="00B33FD6"/>
    <w:rsid w:val="00B70458"/>
    <w:rsid w:val="00B94487"/>
    <w:rsid w:val="00B97F66"/>
    <w:rsid w:val="00BA55A8"/>
    <w:rsid w:val="00BA7B9C"/>
    <w:rsid w:val="00BB2ABF"/>
    <w:rsid w:val="00BB64F4"/>
    <w:rsid w:val="00BC698A"/>
    <w:rsid w:val="00BD3F4F"/>
    <w:rsid w:val="00BD5A7C"/>
    <w:rsid w:val="00BE7A1B"/>
    <w:rsid w:val="00BF0221"/>
    <w:rsid w:val="00BF091A"/>
    <w:rsid w:val="00BF4EAD"/>
    <w:rsid w:val="00C029DE"/>
    <w:rsid w:val="00C049E2"/>
    <w:rsid w:val="00C265E0"/>
    <w:rsid w:val="00C36795"/>
    <w:rsid w:val="00C37D6B"/>
    <w:rsid w:val="00C40CA3"/>
    <w:rsid w:val="00C461EC"/>
    <w:rsid w:val="00C507D4"/>
    <w:rsid w:val="00C71CEF"/>
    <w:rsid w:val="00C72DAA"/>
    <w:rsid w:val="00C80B14"/>
    <w:rsid w:val="00C879DA"/>
    <w:rsid w:val="00CB7E9A"/>
    <w:rsid w:val="00CC1D4B"/>
    <w:rsid w:val="00CC349A"/>
    <w:rsid w:val="00CC65E0"/>
    <w:rsid w:val="00CD0B92"/>
    <w:rsid w:val="00CD181F"/>
    <w:rsid w:val="00CD198F"/>
    <w:rsid w:val="00CE29D3"/>
    <w:rsid w:val="00CF2D8B"/>
    <w:rsid w:val="00CF378F"/>
    <w:rsid w:val="00CF7586"/>
    <w:rsid w:val="00D036D3"/>
    <w:rsid w:val="00D04E63"/>
    <w:rsid w:val="00D220EF"/>
    <w:rsid w:val="00D2790D"/>
    <w:rsid w:val="00D51ECD"/>
    <w:rsid w:val="00D5795C"/>
    <w:rsid w:val="00D6170E"/>
    <w:rsid w:val="00D8043C"/>
    <w:rsid w:val="00D91CB4"/>
    <w:rsid w:val="00DB1C09"/>
    <w:rsid w:val="00DC2048"/>
    <w:rsid w:val="00DE1133"/>
    <w:rsid w:val="00DF3CC0"/>
    <w:rsid w:val="00E16BF5"/>
    <w:rsid w:val="00E2339C"/>
    <w:rsid w:val="00E31767"/>
    <w:rsid w:val="00E37A3F"/>
    <w:rsid w:val="00E37D3C"/>
    <w:rsid w:val="00E40A98"/>
    <w:rsid w:val="00E5724C"/>
    <w:rsid w:val="00E62E6A"/>
    <w:rsid w:val="00E6784B"/>
    <w:rsid w:val="00E83EF5"/>
    <w:rsid w:val="00E86E5D"/>
    <w:rsid w:val="00E9335C"/>
    <w:rsid w:val="00EC2AB8"/>
    <w:rsid w:val="00ED1C1E"/>
    <w:rsid w:val="00EE2AF2"/>
    <w:rsid w:val="00EE2B0A"/>
    <w:rsid w:val="00EF165E"/>
    <w:rsid w:val="00F07EE6"/>
    <w:rsid w:val="00F264C1"/>
    <w:rsid w:val="00F265E2"/>
    <w:rsid w:val="00F33CC8"/>
    <w:rsid w:val="00F4481C"/>
    <w:rsid w:val="00F53A6D"/>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5E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874897"/>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874897"/>
    <w:rPr>
      <w:b/>
      <w:bCs/>
    </w:rPr>
  </w:style>
  <w:style w:type="character" w:styleId="nfasis">
    <w:name w:val="Emphasis"/>
    <w:basedOn w:val="Fuentedeprrafopredeter"/>
    <w:uiPriority w:val="20"/>
    <w:qFormat/>
    <w:rsid w:val="00D04E63"/>
    <w:rPr>
      <w:i/>
      <w:iCs/>
    </w:rPr>
  </w:style>
  <w:style w:type="character" w:customStyle="1" w:styleId="relative">
    <w:name w:val="relative"/>
    <w:basedOn w:val="Fuentedeprrafopredeter"/>
    <w:rsid w:val="00C8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1999">
      <w:bodyDiv w:val="1"/>
      <w:marLeft w:val="0"/>
      <w:marRight w:val="0"/>
      <w:marTop w:val="0"/>
      <w:marBottom w:val="0"/>
      <w:divBdr>
        <w:top w:val="none" w:sz="0" w:space="0" w:color="auto"/>
        <w:left w:val="none" w:sz="0" w:space="0" w:color="auto"/>
        <w:bottom w:val="none" w:sz="0" w:space="0" w:color="auto"/>
        <w:right w:val="none" w:sz="0" w:space="0" w:color="auto"/>
      </w:divBdr>
    </w:div>
    <w:div w:id="329870863">
      <w:bodyDiv w:val="1"/>
      <w:marLeft w:val="0"/>
      <w:marRight w:val="0"/>
      <w:marTop w:val="0"/>
      <w:marBottom w:val="0"/>
      <w:divBdr>
        <w:top w:val="none" w:sz="0" w:space="0" w:color="auto"/>
        <w:left w:val="none" w:sz="0" w:space="0" w:color="auto"/>
        <w:bottom w:val="none" w:sz="0" w:space="0" w:color="auto"/>
        <w:right w:val="none" w:sz="0" w:space="0" w:color="auto"/>
      </w:divBdr>
    </w:div>
    <w:div w:id="416757242">
      <w:bodyDiv w:val="1"/>
      <w:marLeft w:val="0"/>
      <w:marRight w:val="0"/>
      <w:marTop w:val="0"/>
      <w:marBottom w:val="0"/>
      <w:divBdr>
        <w:top w:val="none" w:sz="0" w:space="0" w:color="auto"/>
        <w:left w:val="none" w:sz="0" w:space="0" w:color="auto"/>
        <w:bottom w:val="none" w:sz="0" w:space="0" w:color="auto"/>
        <w:right w:val="none" w:sz="0" w:space="0" w:color="auto"/>
      </w:divBdr>
    </w:div>
    <w:div w:id="833759055">
      <w:bodyDiv w:val="1"/>
      <w:marLeft w:val="0"/>
      <w:marRight w:val="0"/>
      <w:marTop w:val="0"/>
      <w:marBottom w:val="0"/>
      <w:divBdr>
        <w:top w:val="none" w:sz="0" w:space="0" w:color="auto"/>
        <w:left w:val="none" w:sz="0" w:space="0" w:color="auto"/>
        <w:bottom w:val="none" w:sz="0" w:space="0" w:color="auto"/>
        <w:right w:val="none" w:sz="0" w:space="0" w:color="auto"/>
      </w:divBdr>
    </w:div>
    <w:div w:id="895241341">
      <w:bodyDiv w:val="1"/>
      <w:marLeft w:val="0"/>
      <w:marRight w:val="0"/>
      <w:marTop w:val="0"/>
      <w:marBottom w:val="0"/>
      <w:divBdr>
        <w:top w:val="none" w:sz="0" w:space="0" w:color="auto"/>
        <w:left w:val="none" w:sz="0" w:space="0" w:color="auto"/>
        <w:bottom w:val="none" w:sz="0" w:space="0" w:color="auto"/>
        <w:right w:val="none" w:sz="0" w:space="0" w:color="auto"/>
      </w:divBdr>
    </w:div>
    <w:div w:id="1020202820">
      <w:bodyDiv w:val="1"/>
      <w:marLeft w:val="0"/>
      <w:marRight w:val="0"/>
      <w:marTop w:val="0"/>
      <w:marBottom w:val="0"/>
      <w:divBdr>
        <w:top w:val="none" w:sz="0" w:space="0" w:color="auto"/>
        <w:left w:val="none" w:sz="0" w:space="0" w:color="auto"/>
        <w:bottom w:val="none" w:sz="0" w:space="0" w:color="auto"/>
        <w:right w:val="none" w:sz="0" w:space="0" w:color="auto"/>
      </w:divBdr>
      <w:divsChild>
        <w:div w:id="1269891362">
          <w:marLeft w:val="0"/>
          <w:marRight w:val="0"/>
          <w:marTop w:val="0"/>
          <w:marBottom w:val="101"/>
          <w:divBdr>
            <w:top w:val="none" w:sz="0" w:space="0" w:color="auto"/>
            <w:left w:val="none" w:sz="0" w:space="0" w:color="auto"/>
            <w:bottom w:val="none" w:sz="0" w:space="0" w:color="auto"/>
            <w:right w:val="none" w:sz="0" w:space="0" w:color="auto"/>
          </w:divBdr>
        </w:div>
        <w:div w:id="131141094">
          <w:marLeft w:val="0"/>
          <w:marRight w:val="0"/>
          <w:marTop w:val="0"/>
          <w:marBottom w:val="101"/>
          <w:divBdr>
            <w:top w:val="none" w:sz="0" w:space="0" w:color="auto"/>
            <w:left w:val="none" w:sz="0" w:space="0" w:color="auto"/>
            <w:bottom w:val="none" w:sz="0" w:space="0" w:color="auto"/>
            <w:right w:val="none" w:sz="0" w:space="0" w:color="auto"/>
          </w:divBdr>
        </w:div>
      </w:divsChild>
    </w:div>
    <w:div w:id="1576089256">
      <w:bodyDiv w:val="1"/>
      <w:marLeft w:val="0"/>
      <w:marRight w:val="0"/>
      <w:marTop w:val="0"/>
      <w:marBottom w:val="0"/>
      <w:divBdr>
        <w:top w:val="none" w:sz="0" w:space="0" w:color="auto"/>
        <w:left w:val="none" w:sz="0" w:space="0" w:color="auto"/>
        <w:bottom w:val="none" w:sz="0" w:space="0" w:color="auto"/>
        <w:right w:val="none" w:sz="0" w:space="0" w:color="auto"/>
      </w:divBdr>
    </w:div>
    <w:div w:id="1646541929">
      <w:bodyDiv w:val="1"/>
      <w:marLeft w:val="0"/>
      <w:marRight w:val="0"/>
      <w:marTop w:val="0"/>
      <w:marBottom w:val="0"/>
      <w:divBdr>
        <w:top w:val="none" w:sz="0" w:space="0" w:color="auto"/>
        <w:left w:val="none" w:sz="0" w:space="0" w:color="auto"/>
        <w:bottom w:val="none" w:sz="0" w:space="0" w:color="auto"/>
        <w:right w:val="none" w:sz="0" w:space="0" w:color="auto"/>
      </w:divBdr>
    </w:div>
    <w:div w:id="1803647574">
      <w:bodyDiv w:val="1"/>
      <w:marLeft w:val="0"/>
      <w:marRight w:val="0"/>
      <w:marTop w:val="0"/>
      <w:marBottom w:val="0"/>
      <w:divBdr>
        <w:top w:val="none" w:sz="0" w:space="0" w:color="auto"/>
        <w:left w:val="none" w:sz="0" w:space="0" w:color="auto"/>
        <w:bottom w:val="none" w:sz="0" w:space="0" w:color="auto"/>
        <w:right w:val="none" w:sz="0" w:space="0" w:color="auto"/>
      </w:divBdr>
    </w:div>
    <w:div w:id="2115588567">
      <w:bodyDiv w:val="1"/>
      <w:marLeft w:val="0"/>
      <w:marRight w:val="0"/>
      <w:marTop w:val="0"/>
      <w:marBottom w:val="0"/>
      <w:divBdr>
        <w:top w:val="none" w:sz="0" w:space="0" w:color="auto"/>
        <w:left w:val="none" w:sz="0" w:space="0" w:color="auto"/>
        <w:bottom w:val="none" w:sz="0" w:space="0" w:color="auto"/>
        <w:right w:val="none" w:sz="0" w:space="0" w:color="auto"/>
      </w:divBdr>
    </w:div>
    <w:div w:id="212785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consultas.curp.gob.mx/CurpSP/html/informacionecurpP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ebapps.condusef.gob.mx/SIPRES/jsp/pub/index.jsp"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condusef.gob.mx/Revista/index.php/usuario-inteligente/condusef-responde/777-la-condusef-te-puede-ayuda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092CF-5361-46F9-9EF2-9CA7EE44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17701</Words>
  <Characters>97357</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2025-06-05T23:09:00Z</cp:lastPrinted>
  <dcterms:created xsi:type="dcterms:W3CDTF">2025-06-03T00:10:00Z</dcterms:created>
  <dcterms:modified xsi:type="dcterms:W3CDTF">2025-08-07T20:13:00Z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