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06A9C" w14:textId="77777777" w:rsidR="004227DD" w:rsidRDefault="004227DD">
      <w:pPr>
        <w:widowControl w:val="0"/>
        <w:pBdr>
          <w:top w:val="nil"/>
          <w:left w:val="nil"/>
          <w:bottom w:val="nil"/>
          <w:right w:val="nil"/>
          <w:between w:val="nil"/>
        </w:pBdr>
        <w:spacing w:after="0" w:line="276" w:lineRule="auto"/>
        <w:jc w:val="left"/>
      </w:pPr>
      <w:bookmarkStart w:id="0" w:name="_GoBack"/>
      <w:bookmarkEnd w:id="0"/>
    </w:p>
    <w:p w14:paraId="2D46D17E" w14:textId="77777777" w:rsidR="004227DD" w:rsidRDefault="004227DD">
      <w:pPr>
        <w:widowControl w:val="0"/>
        <w:pBdr>
          <w:top w:val="nil"/>
          <w:left w:val="nil"/>
          <w:bottom w:val="nil"/>
          <w:right w:val="nil"/>
          <w:between w:val="nil"/>
        </w:pBdr>
        <w:spacing w:after="0" w:line="360" w:lineRule="auto"/>
        <w:jc w:val="left"/>
      </w:pPr>
    </w:p>
    <w:p w14:paraId="10DF9B0E" w14:textId="77777777" w:rsidR="004227DD" w:rsidRDefault="004227DD">
      <w:pPr>
        <w:tabs>
          <w:tab w:val="left" w:pos="8931"/>
        </w:tabs>
        <w:spacing w:after="0" w:line="360" w:lineRule="auto"/>
      </w:pPr>
      <w:bookmarkStart w:id="1" w:name="_heading=h.qiy1vf78g7a1" w:colFirst="0" w:colLast="0"/>
      <w:bookmarkEnd w:id="1"/>
    </w:p>
    <w:sdt>
      <w:sdtPr>
        <w:rPr>
          <w:rFonts w:ascii="Palatino Linotype" w:eastAsia="Palatino Linotype" w:hAnsi="Palatino Linotype" w:cs="Palatino Linotype"/>
          <w:color w:val="auto"/>
          <w:sz w:val="22"/>
          <w:szCs w:val="22"/>
          <w:lang w:val="es-ES"/>
        </w:rPr>
        <w:id w:val="-41683098"/>
        <w:docPartObj>
          <w:docPartGallery w:val="Table of Contents"/>
          <w:docPartUnique/>
        </w:docPartObj>
      </w:sdtPr>
      <w:sdtEndPr>
        <w:rPr>
          <w:b/>
          <w:bCs/>
        </w:rPr>
      </w:sdtEndPr>
      <w:sdtContent>
        <w:p w14:paraId="06F13BA3" w14:textId="57374796" w:rsidR="00DB7C9D" w:rsidRDefault="00DB7C9D">
          <w:pPr>
            <w:pStyle w:val="TtulodeTDC"/>
          </w:pPr>
          <w:r>
            <w:rPr>
              <w:lang w:val="es-ES"/>
            </w:rPr>
            <w:t>Tabla de contenido</w:t>
          </w:r>
        </w:p>
        <w:p w14:paraId="232CE258" w14:textId="7C0723A3" w:rsidR="0022054C" w:rsidRDefault="00DB7C9D">
          <w:pPr>
            <w:pStyle w:val="TDC1"/>
            <w:tabs>
              <w:tab w:val="right" w:leader="dot" w:pos="8921"/>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05476328" w:history="1">
            <w:r w:rsidR="0022054C" w:rsidRPr="00047C46">
              <w:rPr>
                <w:rStyle w:val="Hipervnculo"/>
                <w:noProof/>
              </w:rPr>
              <w:t>A N T E C E D E N T E S</w:t>
            </w:r>
            <w:r w:rsidR="0022054C">
              <w:rPr>
                <w:noProof/>
                <w:webHidden/>
              </w:rPr>
              <w:tab/>
            </w:r>
            <w:r w:rsidR="0022054C">
              <w:rPr>
                <w:noProof/>
                <w:webHidden/>
              </w:rPr>
              <w:fldChar w:fldCharType="begin"/>
            </w:r>
            <w:r w:rsidR="0022054C">
              <w:rPr>
                <w:noProof/>
                <w:webHidden/>
              </w:rPr>
              <w:instrText xml:space="preserve"> PAGEREF _Toc205476328 \h </w:instrText>
            </w:r>
            <w:r w:rsidR="0022054C">
              <w:rPr>
                <w:noProof/>
                <w:webHidden/>
              </w:rPr>
            </w:r>
            <w:r w:rsidR="0022054C">
              <w:rPr>
                <w:noProof/>
                <w:webHidden/>
              </w:rPr>
              <w:fldChar w:fldCharType="separate"/>
            </w:r>
            <w:r w:rsidR="008C32C1">
              <w:rPr>
                <w:noProof/>
                <w:webHidden/>
              </w:rPr>
              <w:t>2</w:t>
            </w:r>
            <w:r w:rsidR="0022054C">
              <w:rPr>
                <w:noProof/>
                <w:webHidden/>
              </w:rPr>
              <w:fldChar w:fldCharType="end"/>
            </w:r>
          </w:hyperlink>
        </w:p>
        <w:p w14:paraId="0BF4064A" w14:textId="64B83440" w:rsidR="0022054C" w:rsidRDefault="0006117B">
          <w:pPr>
            <w:pStyle w:val="TDC2"/>
            <w:tabs>
              <w:tab w:val="right" w:leader="dot" w:pos="8921"/>
            </w:tabs>
            <w:rPr>
              <w:rFonts w:asciiTheme="minorHAnsi" w:eastAsiaTheme="minorEastAsia" w:hAnsiTheme="minorHAnsi" w:cstheme="minorBidi"/>
              <w:noProof/>
            </w:rPr>
          </w:pPr>
          <w:hyperlink w:anchor="_Toc205476329" w:history="1">
            <w:r w:rsidR="0022054C" w:rsidRPr="00047C46">
              <w:rPr>
                <w:rStyle w:val="Hipervnculo"/>
                <w:noProof/>
              </w:rPr>
              <w:t>I. Presentación de la solicitud de información</w:t>
            </w:r>
            <w:r w:rsidR="0022054C">
              <w:rPr>
                <w:noProof/>
                <w:webHidden/>
              </w:rPr>
              <w:tab/>
            </w:r>
            <w:r w:rsidR="0022054C">
              <w:rPr>
                <w:noProof/>
                <w:webHidden/>
              </w:rPr>
              <w:fldChar w:fldCharType="begin"/>
            </w:r>
            <w:r w:rsidR="0022054C">
              <w:rPr>
                <w:noProof/>
                <w:webHidden/>
              </w:rPr>
              <w:instrText xml:space="preserve"> PAGEREF _Toc205476329 \h </w:instrText>
            </w:r>
            <w:r w:rsidR="0022054C">
              <w:rPr>
                <w:noProof/>
                <w:webHidden/>
              </w:rPr>
            </w:r>
            <w:r w:rsidR="0022054C">
              <w:rPr>
                <w:noProof/>
                <w:webHidden/>
              </w:rPr>
              <w:fldChar w:fldCharType="separate"/>
            </w:r>
            <w:r w:rsidR="008C32C1">
              <w:rPr>
                <w:noProof/>
                <w:webHidden/>
              </w:rPr>
              <w:t>2</w:t>
            </w:r>
            <w:r w:rsidR="0022054C">
              <w:rPr>
                <w:noProof/>
                <w:webHidden/>
              </w:rPr>
              <w:fldChar w:fldCharType="end"/>
            </w:r>
          </w:hyperlink>
        </w:p>
        <w:p w14:paraId="2BA200D4" w14:textId="2B2F4969" w:rsidR="0022054C" w:rsidRDefault="0006117B">
          <w:pPr>
            <w:pStyle w:val="TDC2"/>
            <w:tabs>
              <w:tab w:val="right" w:leader="dot" w:pos="8921"/>
            </w:tabs>
            <w:rPr>
              <w:rFonts w:asciiTheme="minorHAnsi" w:eastAsiaTheme="minorEastAsia" w:hAnsiTheme="minorHAnsi" w:cstheme="minorBidi"/>
              <w:noProof/>
            </w:rPr>
          </w:pPr>
          <w:hyperlink w:anchor="_Toc205476330" w:history="1">
            <w:r w:rsidR="0022054C" w:rsidRPr="00047C46">
              <w:rPr>
                <w:rStyle w:val="Hipervnculo"/>
                <w:noProof/>
              </w:rPr>
              <w:t>II. Respuesta del Sujeto Obligado</w:t>
            </w:r>
            <w:r w:rsidR="0022054C">
              <w:rPr>
                <w:noProof/>
                <w:webHidden/>
              </w:rPr>
              <w:tab/>
            </w:r>
            <w:r w:rsidR="0022054C">
              <w:rPr>
                <w:noProof/>
                <w:webHidden/>
              </w:rPr>
              <w:fldChar w:fldCharType="begin"/>
            </w:r>
            <w:r w:rsidR="0022054C">
              <w:rPr>
                <w:noProof/>
                <w:webHidden/>
              </w:rPr>
              <w:instrText xml:space="preserve"> PAGEREF _Toc205476330 \h </w:instrText>
            </w:r>
            <w:r w:rsidR="0022054C">
              <w:rPr>
                <w:noProof/>
                <w:webHidden/>
              </w:rPr>
            </w:r>
            <w:r w:rsidR="0022054C">
              <w:rPr>
                <w:noProof/>
                <w:webHidden/>
              </w:rPr>
              <w:fldChar w:fldCharType="separate"/>
            </w:r>
            <w:r w:rsidR="008C32C1">
              <w:rPr>
                <w:noProof/>
                <w:webHidden/>
              </w:rPr>
              <w:t>3</w:t>
            </w:r>
            <w:r w:rsidR="0022054C">
              <w:rPr>
                <w:noProof/>
                <w:webHidden/>
              </w:rPr>
              <w:fldChar w:fldCharType="end"/>
            </w:r>
          </w:hyperlink>
        </w:p>
        <w:p w14:paraId="0106847C" w14:textId="77A74A86" w:rsidR="0022054C" w:rsidRDefault="0006117B">
          <w:pPr>
            <w:pStyle w:val="TDC2"/>
            <w:tabs>
              <w:tab w:val="right" w:leader="dot" w:pos="8921"/>
            </w:tabs>
            <w:rPr>
              <w:rFonts w:asciiTheme="minorHAnsi" w:eastAsiaTheme="minorEastAsia" w:hAnsiTheme="minorHAnsi" w:cstheme="minorBidi"/>
              <w:noProof/>
            </w:rPr>
          </w:pPr>
          <w:hyperlink w:anchor="_Toc205476331" w:history="1">
            <w:r w:rsidR="0022054C" w:rsidRPr="00047C46">
              <w:rPr>
                <w:rStyle w:val="Hipervnculo"/>
                <w:noProof/>
              </w:rPr>
              <w:t>III. Interposición del Recurso de Revisión</w:t>
            </w:r>
            <w:r w:rsidR="0022054C">
              <w:rPr>
                <w:noProof/>
                <w:webHidden/>
              </w:rPr>
              <w:tab/>
            </w:r>
            <w:r w:rsidR="0022054C">
              <w:rPr>
                <w:noProof/>
                <w:webHidden/>
              </w:rPr>
              <w:fldChar w:fldCharType="begin"/>
            </w:r>
            <w:r w:rsidR="0022054C">
              <w:rPr>
                <w:noProof/>
                <w:webHidden/>
              </w:rPr>
              <w:instrText xml:space="preserve"> PAGEREF _Toc205476331 \h </w:instrText>
            </w:r>
            <w:r w:rsidR="0022054C">
              <w:rPr>
                <w:noProof/>
                <w:webHidden/>
              </w:rPr>
            </w:r>
            <w:r w:rsidR="0022054C">
              <w:rPr>
                <w:noProof/>
                <w:webHidden/>
              </w:rPr>
              <w:fldChar w:fldCharType="separate"/>
            </w:r>
            <w:r w:rsidR="008C32C1">
              <w:rPr>
                <w:noProof/>
                <w:webHidden/>
              </w:rPr>
              <w:t>3</w:t>
            </w:r>
            <w:r w:rsidR="0022054C">
              <w:rPr>
                <w:noProof/>
                <w:webHidden/>
              </w:rPr>
              <w:fldChar w:fldCharType="end"/>
            </w:r>
          </w:hyperlink>
        </w:p>
        <w:p w14:paraId="721536C0" w14:textId="05351B2C" w:rsidR="0022054C" w:rsidRDefault="0006117B">
          <w:pPr>
            <w:pStyle w:val="TDC2"/>
            <w:tabs>
              <w:tab w:val="right" w:leader="dot" w:pos="8921"/>
            </w:tabs>
            <w:rPr>
              <w:rFonts w:asciiTheme="minorHAnsi" w:eastAsiaTheme="minorEastAsia" w:hAnsiTheme="minorHAnsi" w:cstheme="minorBidi"/>
              <w:noProof/>
            </w:rPr>
          </w:pPr>
          <w:hyperlink w:anchor="_Toc205476332" w:history="1">
            <w:r w:rsidR="0022054C" w:rsidRPr="00047C46">
              <w:rPr>
                <w:rStyle w:val="Hipervnculo"/>
                <w:noProof/>
              </w:rPr>
              <w:t>IV. Trámite del Recurso de Revisión ante este Instituto</w:t>
            </w:r>
            <w:r w:rsidR="0022054C">
              <w:rPr>
                <w:noProof/>
                <w:webHidden/>
              </w:rPr>
              <w:tab/>
            </w:r>
            <w:r w:rsidR="0022054C">
              <w:rPr>
                <w:noProof/>
                <w:webHidden/>
              </w:rPr>
              <w:fldChar w:fldCharType="begin"/>
            </w:r>
            <w:r w:rsidR="0022054C">
              <w:rPr>
                <w:noProof/>
                <w:webHidden/>
              </w:rPr>
              <w:instrText xml:space="preserve"> PAGEREF _Toc205476332 \h </w:instrText>
            </w:r>
            <w:r w:rsidR="0022054C">
              <w:rPr>
                <w:noProof/>
                <w:webHidden/>
              </w:rPr>
            </w:r>
            <w:r w:rsidR="0022054C">
              <w:rPr>
                <w:noProof/>
                <w:webHidden/>
              </w:rPr>
              <w:fldChar w:fldCharType="separate"/>
            </w:r>
            <w:r w:rsidR="008C32C1">
              <w:rPr>
                <w:noProof/>
                <w:webHidden/>
              </w:rPr>
              <w:t>4</w:t>
            </w:r>
            <w:r w:rsidR="0022054C">
              <w:rPr>
                <w:noProof/>
                <w:webHidden/>
              </w:rPr>
              <w:fldChar w:fldCharType="end"/>
            </w:r>
          </w:hyperlink>
        </w:p>
        <w:p w14:paraId="32E25C50" w14:textId="3D20A6D8" w:rsidR="0022054C" w:rsidRDefault="0006117B">
          <w:pPr>
            <w:pStyle w:val="TDC1"/>
            <w:tabs>
              <w:tab w:val="right" w:leader="dot" w:pos="8921"/>
            </w:tabs>
            <w:rPr>
              <w:rFonts w:asciiTheme="minorHAnsi" w:eastAsiaTheme="minorEastAsia" w:hAnsiTheme="minorHAnsi" w:cstheme="minorBidi"/>
              <w:noProof/>
            </w:rPr>
          </w:pPr>
          <w:hyperlink w:anchor="_Toc205476333" w:history="1">
            <w:r w:rsidR="0022054C" w:rsidRPr="00047C46">
              <w:rPr>
                <w:rStyle w:val="Hipervnculo"/>
                <w:noProof/>
              </w:rPr>
              <w:t>C O N S I D E R A N D O S</w:t>
            </w:r>
            <w:r w:rsidR="0022054C">
              <w:rPr>
                <w:noProof/>
                <w:webHidden/>
              </w:rPr>
              <w:tab/>
            </w:r>
            <w:r w:rsidR="0022054C">
              <w:rPr>
                <w:noProof/>
                <w:webHidden/>
              </w:rPr>
              <w:fldChar w:fldCharType="begin"/>
            </w:r>
            <w:r w:rsidR="0022054C">
              <w:rPr>
                <w:noProof/>
                <w:webHidden/>
              </w:rPr>
              <w:instrText xml:space="preserve"> PAGEREF _Toc205476333 \h </w:instrText>
            </w:r>
            <w:r w:rsidR="0022054C">
              <w:rPr>
                <w:noProof/>
                <w:webHidden/>
              </w:rPr>
            </w:r>
            <w:r w:rsidR="0022054C">
              <w:rPr>
                <w:noProof/>
                <w:webHidden/>
              </w:rPr>
              <w:fldChar w:fldCharType="separate"/>
            </w:r>
            <w:r w:rsidR="008C32C1">
              <w:rPr>
                <w:noProof/>
                <w:webHidden/>
              </w:rPr>
              <w:t>6</w:t>
            </w:r>
            <w:r w:rsidR="0022054C">
              <w:rPr>
                <w:noProof/>
                <w:webHidden/>
              </w:rPr>
              <w:fldChar w:fldCharType="end"/>
            </w:r>
          </w:hyperlink>
        </w:p>
        <w:p w14:paraId="30FC321E" w14:textId="232EC013" w:rsidR="0022054C" w:rsidRDefault="0006117B">
          <w:pPr>
            <w:pStyle w:val="TDC2"/>
            <w:tabs>
              <w:tab w:val="right" w:leader="dot" w:pos="8921"/>
            </w:tabs>
            <w:rPr>
              <w:rFonts w:asciiTheme="minorHAnsi" w:eastAsiaTheme="minorEastAsia" w:hAnsiTheme="minorHAnsi" w:cstheme="minorBidi"/>
              <w:noProof/>
            </w:rPr>
          </w:pPr>
          <w:hyperlink w:anchor="_Toc205476334" w:history="1">
            <w:r w:rsidR="0022054C" w:rsidRPr="00047C46">
              <w:rPr>
                <w:rStyle w:val="Hipervnculo"/>
                <w:noProof/>
              </w:rPr>
              <w:t>PRIMERO. Competencia</w:t>
            </w:r>
            <w:r w:rsidR="0022054C">
              <w:rPr>
                <w:noProof/>
                <w:webHidden/>
              </w:rPr>
              <w:tab/>
            </w:r>
            <w:r w:rsidR="0022054C">
              <w:rPr>
                <w:noProof/>
                <w:webHidden/>
              </w:rPr>
              <w:fldChar w:fldCharType="begin"/>
            </w:r>
            <w:r w:rsidR="0022054C">
              <w:rPr>
                <w:noProof/>
                <w:webHidden/>
              </w:rPr>
              <w:instrText xml:space="preserve"> PAGEREF _Toc205476334 \h </w:instrText>
            </w:r>
            <w:r w:rsidR="0022054C">
              <w:rPr>
                <w:noProof/>
                <w:webHidden/>
              </w:rPr>
            </w:r>
            <w:r w:rsidR="0022054C">
              <w:rPr>
                <w:noProof/>
                <w:webHidden/>
              </w:rPr>
              <w:fldChar w:fldCharType="separate"/>
            </w:r>
            <w:r w:rsidR="008C32C1">
              <w:rPr>
                <w:noProof/>
                <w:webHidden/>
              </w:rPr>
              <w:t>6</w:t>
            </w:r>
            <w:r w:rsidR="0022054C">
              <w:rPr>
                <w:noProof/>
                <w:webHidden/>
              </w:rPr>
              <w:fldChar w:fldCharType="end"/>
            </w:r>
          </w:hyperlink>
        </w:p>
        <w:p w14:paraId="561B868F" w14:textId="224013F0" w:rsidR="0022054C" w:rsidRDefault="0006117B">
          <w:pPr>
            <w:pStyle w:val="TDC2"/>
            <w:tabs>
              <w:tab w:val="right" w:leader="dot" w:pos="8921"/>
            </w:tabs>
            <w:rPr>
              <w:rFonts w:asciiTheme="minorHAnsi" w:eastAsiaTheme="minorEastAsia" w:hAnsiTheme="minorHAnsi" w:cstheme="minorBidi"/>
              <w:noProof/>
            </w:rPr>
          </w:pPr>
          <w:hyperlink w:anchor="_Toc205476335" w:history="1">
            <w:r w:rsidR="0022054C" w:rsidRPr="00047C46">
              <w:rPr>
                <w:rStyle w:val="Hipervnculo"/>
                <w:noProof/>
              </w:rPr>
              <w:t>SEGUNDO. Causales de improcedencia</w:t>
            </w:r>
            <w:r w:rsidR="0022054C">
              <w:rPr>
                <w:noProof/>
                <w:webHidden/>
              </w:rPr>
              <w:tab/>
            </w:r>
            <w:r w:rsidR="0022054C">
              <w:rPr>
                <w:noProof/>
                <w:webHidden/>
              </w:rPr>
              <w:fldChar w:fldCharType="begin"/>
            </w:r>
            <w:r w:rsidR="0022054C">
              <w:rPr>
                <w:noProof/>
                <w:webHidden/>
              </w:rPr>
              <w:instrText xml:space="preserve"> PAGEREF _Toc205476335 \h </w:instrText>
            </w:r>
            <w:r w:rsidR="0022054C">
              <w:rPr>
                <w:noProof/>
                <w:webHidden/>
              </w:rPr>
            </w:r>
            <w:r w:rsidR="0022054C">
              <w:rPr>
                <w:noProof/>
                <w:webHidden/>
              </w:rPr>
              <w:fldChar w:fldCharType="separate"/>
            </w:r>
            <w:r w:rsidR="008C32C1">
              <w:rPr>
                <w:noProof/>
                <w:webHidden/>
              </w:rPr>
              <w:t>7</w:t>
            </w:r>
            <w:r w:rsidR="0022054C">
              <w:rPr>
                <w:noProof/>
                <w:webHidden/>
              </w:rPr>
              <w:fldChar w:fldCharType="end"/>
            </w:r>
          </w:hyperlink>
        </w:p>
        <w:p w14:paraId="7905F7BC" w14:textId="175FB629" w:rsidR="0022054C" w:rsidRDefault="0006117B">
          <w:pPr>
            <w:pStyle w:val="TDC2"/>
            <w:tabs>
              <w:tab w:val="right" w:leader="dot" w:pos="8921"/>
            </w:tabs>
            <w:rPr>
              <w:rFonts w:asciiTheme="minorHAnsi" w:eastAsiaTheme="minorEastAsia" w:hAnsiTheme="minorHAnsi" w:cstheme="minorBidi"/>
              <w:noProof/>
            </w:rPr>
          </w:pPr>
          <w:hyperlink w:anchor="_Toc205476336" w:history="1">
            <w:r w:rsidR="0022054C" w:rsidRPr="00047C46">
              <w:rPr>
                <w:rStyle w:val="Hipervnculo"/>
                <w:noProof/>
              </w:rPr>
              <w:t>CUARTO. Decisión</w:t>
            </w:r>
            <w:r w:rsidR="0022054C">
              <w:rPr>
                <w:noProof/>
                <w:webHidden/>
              </w:rPr>
              <w:tab/>
            </w:r>
            <w:r w:rsidR="0022054C">
              <w:rPr>
                <w:noProof/>
                <w:webHidden/>
              </w:rPr>
              <w:fldChar w:fldCharType="begin"/>
            </w:r>
            <w:r w:rsidR="0022054C">
              <w:rPr>
                <w:noProof/>
                <w:webHidden/>
              </w:rPr>
              <w:instrText xml:space="preserve"> PAGEREF _Toc205476336 \h </w:instrText>
            </w:r>
            <w:r w:rsidR="0022054C">
              <w:rPr>
                <w:noProof/>
                <w:webHidden/>
              </w:rPr>
            </w:r>
            <w:r w:rsidR="0022054C">
              <w:rPr>
                <w:noProof/>
                <w:webHidden/>
              </w:rPr>
              <w:fldChar w:fldCharType="separate"/>
            </w:r>
            <w:r w:rsidR="008C32C1">
              <w:rPr>
                <w:noProof/>
                <w:webHidden/>
              </w:rPr>
              <w:t>14</w:t>
            </w:r>
            <w:r w:rsidR="0022054C">
              <w:rPr>
                <w:noProof/>
                <w:webHidden/>
              </w:rPr>
              <w:fldChar w:fldCharType="end"/>
            </w:r>
          </w:hyperlink>
        </w:p>
        <w:p w14:paraId="74FDD4B0" w14:textId="0D86E9A8" w:rsidR="0022054C" w:rsidRDefault="0006117B">
          <w:pPr>
            <w:pStyle w:val="TDC1"/>
            <w:tabs>
              <w:tab w:val="right" w:leader="dot" w:pos="8921"/>
            </w:tabs>
            <w:rPr>
              <w:rFonts w:asciiTheme="minorHAnsi" w:eastAsiaTheme="minorEastAsia" w:hAnsiTheme="minorHAnsi" w:cstheme="minorBidi"/>
              <w:noProof/>
            </w:rPr>
          </w:pPr>
          <w:hyperlink w:anchor="_Toc205476337" w:history="1">
            <w:r w:rsidR="0022054C" w:rsidRPr="00047C46">
              <w:rPr>
                <w:rStyle w:val="Hipervnculo"/>
                <w:noProof/>
              </w:rPr>
              <w:t>R E S U E L V E</w:t>
            </w:r>
            <w:r w:rsidR="0022054C">
              <w:rPr>
                <w:noProof/>
                <w:webHidden/>
              </w:rPr>
              <w:tab/>
            </w:r>
            <w:r w:rsidR="0022054C">
              <w:rPr>
                <w:noProof/>
                <w:webHidden/>
              </w:rPr>
              <w:fldChar w:fldCharType="begin"/>
            </w:r>
            <w:r w:rsidR="0022054C">
              <w:rPr>
                <w:noProof/>
                <w:webHidden/>
              </w:rPr>
              <w:instrText xml:space="preserve"> PAGEREF _Toc205476337 \h </w:instrText>
            </w:r>
            <w:r w:rsidR="0022054C">
              <w:rPr>
                <w:noProof/>
                <w:webHidden/>
              </w:rPr>
            </w:r>
            <w:r w:rsidR="0022054C">
              <w:rPr>
                <w:noProof/>
                <w:webHidden/>
              </w:rPr>
              <w:fldChar w:fldCharType="separate"/>
            </w:r>
            <w:r w:rsidR="008C32C1">
              <w:rPr>
                <w:noProof/>
                <w:webHidden/>
              </w:rPr>
              <w:t>15</w:t>
            </w:r>
            <w:r w:rsidR="0022054C">
              <w:rPr>
                <w:noProof/>
                <w:webHidden/>
              </w:rPr>
              <w:fldChar w:fldCharType="end"/>
            </w:r>
          </w:hyperlink>
        </w:p>
        <w:p w14:paraId="6F899E26" w14:textId="24DD41F0" w:rsidR="00DB7C9D" w:rsidRDefault="00DB7C9D">
          <w:r>
            <w:rPr>
              <w:b/>
              <w:bCs/>
              <w:lang w:val="es-ES"/>
            </w:rPr>
            <w:fldChar w:fldCharType="end"/>
          </w:r>
        </w:p>
      </w:sdtContent>
    </w:sdt>
    <w:p w14:paraId="76B70FBE" w14:textId="77777777" w:rsidR="004227DD" w:rsidRDefault="004227DD">
      <w:pPr>
        <w:tabs>
          <w:tab w:val="left" w:pos="8931"/>
        </w:tabs>
        <w:spacing w:after="0" w:line="360" w:lineRule="auto"/>
      </w:pPr>
    </w:p>
    <w:p w14:paraId="67E3E4A8" w14:textId="77777777" w:rsidR="004227DD" w:rsidRDefault="00B418D3">
      <w:pPr>
        <w:spacing w:after="0" w:line="360" w:lineRule="auto"/>
      </w:pPr>
      <w:r>
        <w:br w:type="page"/>
      </w:r>
    </w:p>
    <w:p w14:paraId="2CC7EBF5" w14:textId="77777777" w:rsidR="004227DD" w:rsidRDefault="00B418D3">
      <w:pPr>
        <w:tabs>
          <w:tab w:val="left" w:pos="8931"/>
        </w:tabs>
        <w:spacing w:after="0" w:line="360" w:lineRule="auto"/>
      </w:pPr>
      <w:r>
        <w:lastRenderedPageBreak/>
        <w:t xml:space="preserve">Resolución del Pleno del Instituto de Transparencia, Acceso a la Información Pública y Protección de Datos Personales del Estado de México y Municipios, con domicilio en Metepec, Estado de México, de fecha seis de agosto de dos mil veinticinco. </w:t>
      </w:r>
    </w:p>
    <w:p w14:paraId="0CB3D133" w14:textId="77777777" w:rsidR="004227DD" w:rsidRDefault="004227DD">
      <w:pPr>
        <w:spacing w:after="0" w:line="360" w:lineRule="auto"/>
        <w:rPr>
          <w:b/>
        </w:rPr>
      </w:pPr>
    </w:p>
    <w:p w14:paraId="696D5808" w14:textId="3ACA3D59" w:rsidR="004227DD" w:rsidRDefault="00B418D3">
      <w:pPr>
        <w:spacing w:after="0" w:line="360" w:lineRule="auto"/>
        <w:rPr>
          <w:color w:val="0D0D0D"/>
        </w:rPr>
      </w:pPr>
      <w:r>
        <w:rPr>
          <w:b/>
        </w:rPr>
        <w:t xml:space="preserve">VISTO </w:t>
      </w:r>
      <w:r>
        <w:t xml:space="preserve">el expediente electrónico conformado con motivo del Recurso de Revisión </w:t>
      </w:r>
      <w:r w:rsidRPr="002640B5">
        <w:rPr>
          <w:b/>
        </w:rPr>
        <w:t>05671/INFOEM/IP/RR/2025</w:t>
      </w:r>
      <w:r w:rsidRPr="00322CD5">
        <w:rPr>
          <w:bCs/>
        </w:rPr>
        <w:t xml:space="preserve">, interpuesto por </w:t>
      </w:r>
      <w:r w:rsidR="002A1F67">
        <w:rPr>
          <w:b/>
          <w:highlight w:val="black"/>
        </w:rPr>
        <w:t>XXXXXXXXXXXXXXXXXXX</w:t>
      </w:r>
      <w:r w:rsidRPr="00322CD5">
        <w:rPr>
          <w:bCs/>
        </w:rPr>
        <w:t xml:space="preserve">, en lo sucesivo, la persona </w:t>
      </w:r>
      <w:r w:rsidRPr="00322CD5">
        <w:rPr>
          <w:bCs/>
          <w:color w:val="0D0D0D"/>
        </w:rPr>
        <w:t xml:space="preserve">Recurrente o Particular, en contra de la respuesta del Sujeto Obligado, </w:t>
      </w:r>
      <w:r w:rsidRPr="002640B5">
        <w:rPr>
          <w:b/>
          <w:color w:val="0D0D0D"/>
        </w:rPr>
        <w:t>Ayuntamiento de Xonacatlán</w:t>
      </w:r>
      <w:r>
        <w:t>,</w:t>
      </w:r>
      <w:r>
        <w:rPr>
          <w:color w:val="0D0D0D"/>
        </w:rPr>
        <w:t xml:space="preserve"> </w:t>
      </w:r>
      <w:r>
        <w:t>se emite la presente Resolución, con base en los antecedentes y considerandos que se exponen a continuación:</w:t>
      </w:r>
    </w:p>
    <w:p w14:paraId="22D72830" w14:textId="77777777" w:rsidR="004227DD" w:rsidRDefault="004227DD">
      <w:pPr>
        <w:spacing w:after="0" w:line="360" w:lineRule="auto"/>
        <w:rPr>
          <w:b/>
        </w:rPr>
      </w:pPr>
    </w:p>
    <w:p w14:paraId="332D87E3" w14:textId="77777777" w:rsidR="004227DD" w:rsidRDefault="00B418D3">
      <w:pPr>
        <w:pStyle w:val="Ttulo1"/>
        <w:spacing w:before="0" w:after="0" w:line="360" w:lineRule="auto"/>
        <w:jc w:val="center"/>
        <w:rPr>
          <w:sz w:val="22"/>
          <w:szCs w:val="22"/>
        </w:rPr>
      </w:pPr>
      <w:bookmarkStart w:id="2" w:name="_Toc205476328"/>
      <w:r>
        <w:rPr>
          <w:sz w:val="22"/>
          <w:szCs w:val="22"/>
        </w:rPr>
        <w:t>A N T E C E D E N T E S</w:t>
      </w:r>
      <w:bookmarkEnd w:id="2"/>
    </w:p>
    <w:p w14:paraId="74C2F01F" w14:textId="77777777" w:rsidR="004227DD" w:rsidRDefault="004227DD">
      <w:pPr>
        <w:spacing w:after="0" w:line="360" w:lineRule="auto"/>
        <w:jc w:val="center"/>
        <w:rPr>
          <w:b/>
        </w:rPr>
      </w:pPr>
    </w:p>
    <w:p w14:paraId="7582BB3C" w14:textId="77777777" w:rsidR="004227DD" w:rsidRDefault="00B418D3">
      <w:pPr>
        <w:pStyle w:val="Ttulo2"/>
        <w:spacing w:before="0" w:after="0" w:line="360" w:lineRule="auto"/>
        <w:rPr>
          <w:sz w:val="22"/>
          <w:szCs w:val="22"/>
        </w:rPr>
      </w:pPr>
      <w:bookmarkStart w:id="3" w:name="_Toc205476329"/>
      <w:r>
        <w:rPr>
          <w:sz w:val="22"/>
          <w:szCs w:val="22"/>
        </w:rPr>
        <w:t>I. Presentación de la solicitud de información</w:t>
      </w:r>
      <w:bookmarkEnd w:id="3"/>
    </w:p>
    <w:p w14:paraId="3355F53E" w14:textId="77777777" w:rsidR="004227DD" w:rsidRDefault="004227DD">
      <w:pPr>
        <w:tabs>
          <w:tab w:val="left" w:pos="567"/>
        </w:tabs>
        <w:spacing w:after="0" w:line="360" w:lineRule="auto"/>
      </w:pPr>
    </w:p>
    <w:p w14:paraId="03AE1C86" w14:textId="77777777" w:rsidR="004227DD" w:rsidRDefault="00B418D3">
      <w:pPr>
        <w:spacing w:after="0" w:line="360" w:lineRule="auto"/>
      </w:pPr>
      <w:r>
        <w:t>El primero de mayo de dos mil veinticinco, la persona Solicitante presentó una solicitud de acceso a la información pública, a través del Sistema de Acceso a la Información Mexiquense  en lo sucesivo SAIMEX, ante el Ayuntamiento de Xonacatlán</w:t>
      </w:r>
      <w:r>
        <w:rPr>
          <w:color w:val="000000"/>
        </w:rPr>
        <w:t>, la cual se radicó el dos de mayo del mismo año, en virtud de tratarse el siguiente día hábil de conformidad con el calendario de este Organismo Garante,</w:t>
      </w:r>
      <w:r>
        <w:t xml:space="preserve"> en los siguientes términos: </w:t>
      </w:r>
    </w:p>
    <w:p w14:paraId="498901B8" w14:textId="77777777" w:rsidR="004227DD" w:rsidRDefault="004227DD">
      <w:pPr>
        <w:spacing w:after="0" w:line="360" w:lineRule="auto"/>
      </w:pPr>
    </w:p>
    <w:p w14:paraId="2813BCCC" w14:textId="77777777" w:rsidR="004227DD" w:rsidRDefault="00B418D3">
      <w:pPr>
        <w:tabs>
          <w:tab w:val="left" w:pos="567"/>
        </w:tabs>
        <w:spacing w:after="0" w:line="360" w:lineRule="auto"/>
        <w:ind w:left="567" w:right="709"/>
        <w:rPr>
          <w:b/>
          <w:sz w:val="20"/>
          <w:szCs w:val="20"/>
        </w:rPr>
      </w:pPr>
      <w:r>
        <w:rPr>
          <w:b/>
          <w:sz w:val="20"/>
          <w:szCs w:val="20"/>
        </w:rPr>
        <w:t>Folio de la solicitud: 00168/XONACAT/IP/2025</w:t>
      </w:r>
    </w:p>
    <w:p w14:paraId="183EA67E" w14:textId="77777777" w:rsidR="004227DD" w:rsidRDefault="00B418D3">
      <w:pPr>
        <w:tabs>
          <w:tab w:val="left" w:pos="567"/>
        </w:tabs>
        <w:spacing w:after="0" w:line="360" w:lineRule="auto"/>
        <w:ind w:left="567" w:right="709"/>
        <w:rPr>
          <w:b/>
          <w:sz w:val="20"/>
          <w:szCs w:val="20"/>
        </w:rPr>
      </w:pPr>
      <w:r>
        <w:rPr>
          <w:b/>
          <w:sz w:val="20"/>
          <w:szCs w:val="20"/>
        </w:rPr>
        <w:t>DESCRIPCIÓN CLARA Y PRECISA DE LA INFORMACIÓN SOLICITADA</w:t>
      </w:r>
    </w:p>
    <w:p w14:paraId="3685F515" w14:textId="77777777" w:rsidR="004227DD" w:rsidRDefault="00B418D3">
      <w:pPr>
        <w:tabs>
          <w:tab w:val="left" w:pos="4667"/>
        </w:tabs>
        <w:spacing w:after="0" w:line="360" w:lineRule="auto"/>
        <w:ind w:left="567" w:right="709"/>
        <w:rPr>
          <w:i/>
          <w:sz w:val="20"/>
          <w:szCs w:val="20"/>
        </w:rPr>
      </w:pPr>
      <w:r>
        <w:rPr>
          <w:i/>
          <w:sz w:val="20"/>
          <w:szCs w:val="20"/>
        </w:rPr>
        <w:t xml:space="preserve">“Debido a la falta de ética profesional del titular de transferencia y se deja ver qué oculta información, solicito se proporcione de cada area copias de la plantilla del personal de cada area en su caso gafetes para poder identificarlos, es un derecho y una obligación del servidor público hacernola saber cómo son desarrollo urbano, desarrollo económico, desarrollo social, presidencia. </w:t>
      </w:r>
      <w:r>
        <w:rPr>
          <w:i/>
          <w:sz w:val="20"/>
          <w:szCs w:val="20"/>
        </w:rPr>
        <w:lastRenderedPageBreak/>
        <w:t>, tesorría , desarrollo urbano, obras públicas, contraloría así mismo solicito al encargado de revisar las contestaciones de transparencia sean claras concisas y bien fundamentadas.” (Sic.)</w:t>
      </w:r>
    </w:p>
    <w:p w14:paraId="4C180124" w14:textId="77777777" w:rsidR="004227DD" w:rsidRDefault="004227DD">
      <w:pPr>
        <w:tabs>
          <w:tab w:val="left" w:pos="4667"/>
        </w:tabs>
        <w:spacing w:after="0" w:line="360" w:lineRule="auto"/>
        <w:ind w:left="567" w:right="709"/>
        <w:rPr>
          <w:b/>
          <w:sz w:val="20"/>
          <w:szCs w:val="20"/>
        </w:rPr>
      </w:pPr>
    </w:p>
    <w:p w14:paraId="4FF0AC1A" w14:textId="77777777" w:rsidR="004227DD" w:rsidRDefault="00B418D3">
      <w:pPr>
        <w:tabs>
          <w:tab w:val="left" w:pos="4667"/>
        </w:tabs>
        <w:spacing w:after="0" w:line="360" w:lineRule="auto"/>
        <w:ind w:left="567" w:right="709"/>
        <w:rPr>
          <w:b/>
          <w:sz w:val="20"/>
          <w:szCs w:val="20"/>
        </w:rPr>
      </w:pPr>
      <w:r>
        <w:rPr>
          <w:b/>
          <w:sz w:val="20"/>
          <w:szCs w:val="20"/>
        </w:rPr>
        <w:t xml:space="preserve">MODALIDAD DE ENTREGA </w:t>
      </w:r>
      <w:r>
        <w:rPr>
          <w:i/>
          <w:sz w:val="20"/>
          <w:szCs w:val="20"/>
        </w:rPr>
        <w:t>“A través del SAIMEX.”</w:t>
      </w:r>
    </w:p>
    <w:p w14:paraId="5F073C1B" w14:textId="77777777" w:rsidR="004227DD" w:rsidRDefault="004227DD">
      <w:pPr>
        <w:spacing w:after="0" w:line="360" w:lineRule="auto"/>
        <w:ind w:left="567" w:right="567"/>
        <w:rPr>
          <w:i/>
        </w:rPr>
      </w:pPr>
    </w:p>
    <w:p w14:paraId="3399CFC5" w14:textId="77777777" w:rsidR="004227DD" w:rsidRDefault="00B418D3">
      <w:pPr>
        <w:pStyle w:val="Ttulo2"/>
        <w:spacing w:before="0" w:after="0" w:line="360" w:lineRule="auto"/>
        <w:rPr>
          <w:sz w:val="22"/>
          <w:szCs w:val="22"/>
        </w:rPr>
      </w:pPr>
      <w:bookmarkStart w:id="4" w:name="_Toc205476330"/>
      <w:r>
        <w:rPr>
          <w:sz w:val="22"/>
          <w:szCs w:val="22"/>
        </w:rPr>
        <w:t>II. Respuesta del Sujeto Obligado</w:t>
      </w:r>
      <w:bookmarkEnd w:id="4"/>
    </w:p>
    <w:p w14:paraId="2EC48AFD" w14:textId="77777777" w:rsidR="004227DD" w:rsidRDefault="004227DD">
      <w:pPr>
        <w:spacing w:after="0" w:line="360" w:lineRule="auto"/>
        <w:rPr>
          <w:b/>
        </w:rPr>
      </w:pPr>
    </w:p>
    <w:p w14:paraId="4514DE42" w14:textId="77777777" w:rsidR="004227DD" w:rsidRDefault="00B418D3">
      <w:pPr>
        <w:spacing w:after="0" w:line="360" w:lineRule="auto"/>
      </w:pPr>
      <w:r>
        <w:t>El veinte de mayo de dos mil veinticinco, el Sujeto Obligado notificó, a través del SAIMEX, la respuesta a la solicitud de acceso a la información pública, en los siguientes términos:</w:t>
      </w:r>
    </w:p>
    <w:p w14:paraId="4C9F555B" w14:textId="77777777" w:rsidR="004227DD" w:rsidRDefault="004227DD">
      <w:pPr>
        <w:spacing w:after="0" w:line="360" w:lineRule="auto"/>
      </w:pPr>
    </w:p>
    <w:p w14:paraId="179A538F" w14:textId="77777777" w:rsidR="004227DD" w:rsidRDefault="00B418D3">
      <w:pPr>
        <w:numPr>
          <w:ilvl w:val="0"/>
          <w:numId w:val="1"/>
        </w:numPr>
        <w:pBdr>
          <w:top w:val="nil"/>
          <w:left w:val="nil"/>
          <w:bottom w:val="nil"/>
          <w:right w:val="nil"/>
          <w:between w:val="nil"/>
        </w:pBdr>
        <w:spacing w:after="0" w:line="360" w:lineRule="auto"/>
        <w:rPr>
          <w:color w:val="000000"/>
        </w:rPr>
      </w:pPr>
      <w:r>
        <w:rPr>
          <w:color w:val="000000"/>
        </w:rPr>
        <w:t xml:space="preserve">Oficio suscrito por el Titular de la Unidad de Transparencia, mediante el cual remitió la respuesta remitida por la Tesorera Municipal.  </w:t>
      </w:r>
    </w:p>
    <w:p w14:paraId="16846414" w14:textId="77777777" w:rsidR="004227DD" w:rsidRDefault="00B418D3">
      <w:pPr>
        <w:numPr>
          <w:ilvl w:val="0"/>
          <w:numId w:val="1"/>
        </w:numPr>
        <w:pBdr>
          <w:top w:val="nil"/>
          <w:left w:val="nil"/>
          <w:bottom w:val="nil"/>
          <w:right w:val="nil"/>
          <w:between w:val="nil"/>
        </w:pBdr>
        <w:spacing w:after="0" w:line="360" w:lineRule="auto"/>
        <w:rPr>
          <w:color w:val="000000"/>
        </w:rPr>
      </w:pPr>
      <w:r>
        <w:rPr>
          <w:color w:val="000000"/>
        </w:rPr>
        <w:t xml:space="preserve">Oficio suscrito por la Tesorera Municipal, por el que remitió copia simple de la plantilla de personal de las áreas de: Presidencia, Obras Públicas, Desarrollo Urbano, Contraloría, Tesorería, Desarrollo Económico y Desarrollo social, además informó que los gafetes se encuentran en proceso. </w:t>
      </w:r>
    </w:p>
    <w:p w14:paraId="6FFFFF8C" w14:textId="77777777" w:rsidR="004227DD" w:rsidRDefault="00B418D3">
      <w:pPr>
        <w:numPr>
          <w:ilvl w:val="0"/>
          <w:numId w:val="1"/>
        </w:numPr>
        <w:pBdr>
          <w:top w:val="nil"/>
          <w:left w:val="nil"/>
          <w:bottom w:val="nil"/>
          <w:right w:val="nil"/>
          <w:between w:val="nil"/>
        </w:pBdr>
        <w:spacing w:after="0" w:line="360" w:lineRule="auto"/>
        <w:rPr>
          <w:color w:val="000000"/>
        </w:rPr>
      </w:pPr>
      <w:r>
        <w:rPr>
          <w:color w:val="000000"/>
        </w:rPr>
        <w:t>Plantilla de Personal, del que se advierten departamentos de Presidencia, Obras Públicas, Desarrollo Urbano, Contraloría, Tesorería, Desarrollo Económico y Desarrollo Social, en el que se enumeran a 63 personas servidoras públicas.</w:t>
      </w:r>
    </w:p>
    <w:p w14:paraId="4AFB851C" w14:textId="77777777" w:rsidR="004227DD" w:rsidRDefault="004227DD">
      <w:pPr>
        <w:spacing w:after="0" w:line="360" w:lineRule="auto"/>
      </w:pPr>
    </w:p>
    <w:p w14:paraId="2E2E68B3" w14:textId="77777777" w:rsidR="004227DD" w:rsidRDefault="00B418D3">
      <w:pPr>
        <w:pStyle w:val="Ttulo2"/>
        <w:spacing w:before="0" w:after="0" w:line="360" w:lineRule="auto"/>
        <w:rPr>
          <w:sz w:val="22"/>
          <w:szCs w:val="22"/>
        </w:rPr>
      </w:pPr>
      <w:bookmarkStart w:id="5" w:name="_Toc205476331"/>
      <w:r>
        <w:rPr>
          <w:sz w:val="22"/>
          <w:szCs w:val="22"/>
        </w:rPr>
        <w:t>III. Interposición del Recurso de Revisión</w:t>
      </w:r>
      <w:bookmarkEnd w:id="5"/>
    </w:p>
    <w:p w14:paraId="45737996" w14:textId="77777777" w:rsidR="004227DD" w:rsidRDefault="004227DD">
      <w:pPr>
        <w:spacing w:after="0" w:line="360" w:lineRule="auto"/>
        <w:rPr>
          <w:b/>
        </w:rPr>
      </w:pPr>
    </w:p>
    <w:p w14:paraId="7A0C522B" w14:textId="77777777" w:rsidR="004227DD" w:rsidRDefault="00B418D3">
      <w:pPr>
        <w:spacing w:after="0" w:line="360" w:lineRule="auto"/>
      </w:pPr>
      <w:r>
        <w:t>El veinte de mayo de dos mil veinticinco, se recibió en este Instituto, a través del SAIMEX, el Recurso de Revisión interpuesto por la persona Recurrente, en contra de la respuesta por el Sujeto Obligado, a la solicitud de información, en los siguientes términos:</w:t>
      </w:r>
    </w:p>
    <w:p w14:paraId="45B9444A" w14:textId="77777777" w:rsidR="004227DD" w:rsidRDefault="004227DD">
      <w:pPr>
        <w:spacing w:after="0" w:line="360" w:lineRule="auto"/>
        <w:ind w:left="567" w:right="567"/>
        <w:rPr>
          <w:b/>
          <w:i/>
        </w:rPr>
      </w:pPr>
    </w:p>
    <w:p w14:paraId="351154B3" w14:textId="77777777" w:rsidR="00322CD5" w:rsidRDefault="00322CD5">
      <w:pPr>
        <w:spacing w:after="0" w:line="360" w:lineRule="auto"/>
        <w:ind w:left="567" w:right="567"/>
        <w:rPr>
          <w:b/>
          <w:i/>
        </w:rPr>
      </w:pPr>
    </w:p>
    <w:p w14:paraId="6F7DB0B5" w14:textId="77777777" w:rsidR="004227DD" w:rsidRDefault="00B418D3">
      <w:pPr>
        <w:spacing w:after="0" w:line="360" w:lineRule="auto"/>
        <w:ind w:left="567" w:right="709"/>
        <w:rPr>
          <w:b/>
          <w:sz w:val="20"/>
          <w:szCs w:val="20"/>
        </w:rPr>
      </w:pPr>
      <w:r>
        <w:rPr>
          <w:b/>
          <w:sz w:val="20"/>
          <w:szCs w:val="20"/>
        </w:rPr>
        <w:lastRenderedPageBreak/>
        <w:t>ACTO IMPUGNADO</w:t>
      </w:r>
      <w:r>
        <w:rPr>
          <w:b/>
          <w:sz w:val="20"/>
          <w:szCs w:val="20"/>
        </w:rPr>
        <w:tab/>
      </w:r>
    </w:p>
    <w:p w14:paraId="43F10A30" w14:textId="77777777" w:rsidR="004227DD" w:rsidRDefault="00B418D3">
      <w:pPr>
        <w:spacing w:after="0" w:line="360" w:lineRule="auto"/>
        <w:ind w:left="567" w:right="709"/>
        <w:rPr>
          <w:b/>
          <w:sz w:val="20"/>
          <w:szCs w:val="20"/>
        </w:rPr>
      </w:pPr>
      <w:r>
        <w:rPr>
          <w:i/>
          <w:sz w:val="20"/>
          <w:szCs w:val="20"/>
        </w:rPr>
        <w:t>“No presenta gafetes el titular de transparencia de las áreas mencionadas como son desarrollo económico, desarrollo urbano, tesorería, contraloría, secretaria del ayuntamiento, obras públicas, únicamente manda un lista desconociendo si laboran o existen dicho personal, es una falta de moral y ética profesional del servidor público de transparencia que nuevamente oculta información” (Sic.)</w:t>
      </w:r>
    </w:p>
    <w:p w14:paraId="1120A5C9" w14:textId="77777777" w:rsidR="004227DD" w:rsidRDefault="004227DD">
      <w:pPr>
        <w:spacing w:after="0" w:line="360" w:lineRule="auto"/>
        <w:ind w:left="567" w:right="709"/>
        <w:rPr>
          <w:sz w:val="20"/>
          <w:szCs w:val="20"/>
        </w:rPr>
      </w:pPr>
    </w:p>
    <w:p w14:paraId="2C84DB66" w14:textId="77777777" w:rsidR="004227DD" w:rsidRDefault="00B418D3">
      <w:pPr>
        <w:spacing w:after="0" w:line="360" w:lineRule="auto"/>
        <w:ind w:left="567" w:right="709"/>
        <w:rPr>
          <w:b/>
          <w:sz w:val="20"/>
          <w:szCs w:val="20"/>
        </w:rPr>
      </w:pPr>
      <w:r>
        <w:rPr>
          <w:b/>
          <w:sz w:val="20"/>
          <w:szCs w:val="20"/>
        </w:rPr>
        <w:t>RAZONES O MOTIVOS DE LA INCONFORMIDAD</w:t>
      </w:r>
      <w:r>
        <w:rPr>
          <w:b/>
          <w:sz w:val="20"/>
          <w:szCs w:val="20"/>
        </w:rPr>
        <w:tab/>
      </w:r>
    </w:p>
    <w:p w14:paraId="7FE1A78D" w14:textId="77777777" w:rsidR="004227DD" w:rsidRDefault="00B418D3">
      <w:pPr>
        <w:tabs>
          <w:tab w:val="left" w:pos="4667"/>
        </w:tabs>
        <w:spacing w:after="0" w:line="360" w:lineRule="auto"/>
        <w:ind w:left="567" w:right="709"/>
        <w:rPr>
          <w:i/>
          <w:sz w:val="20"/>
          <w:szCs w:val="20"/>
        </w:rPr>
      </w:pPr>
      <w:r>
        <w:rPr>
          <w:i/>
          <w:sz w:val="20"/>
          <w:szCs w:val="20"/>
        </w:rPr>
        <w:t>“No adjunta gafetes para reconocer a los servidores públicos, únicamente una lista de nombres que pueden no existir o laborar en el ayuntamiento” (Sic.)</w:t>
      </w:r>
    </w:p>
    <w:p w14:paraId="0EE5C1B7" w14:textId="77777777" w:rsidR="004227DD" w:rsidRDefault="004227DD">
      <w:pPr>
        <w:spacing w:after="0" w:line="360" w:lineRule="auto"/>
        <w:ind w:left="567" w:right="567" w:firstLine="32"/>
        <w:rPr>
          <w:i/>
        </w:rPr>
      </w:pPr>
    </w:p>
    <w:p w14:paraId="1F4535C4" w14:textId="77777777" w:rsidR="004227DD" w:rsidRDefault="00B418D3">
      <w:pPr>
        <w:pStyle w:val="Ttulo2"/>
        <w:spacing w:before="0" w:after="0" w:line="360" w:lineRule="auto"/>
        <w:rPr>
          <w:sz w:val="22"/>
          <w:szCs w:val="22"/>
        </w:rPr>
      </w:pPr>
      <w:bookmarkStart w:id="6" w:name="_Toc205476332"/>
      <w:r>
        <w:rPr>
          <w:sz w:val="22"/>
          <w:szCs w:val="22"/>
        </w:rPr>
        <w:t>IV. Trámite del Recurso de Revisión ante este Instituto</w:t>
      </w:r>
      <w:bookmarkEnd w:id="6"/>
    </w:p>
    <w:p w14:paraId="3D2C6117" w14:textId="77777777" w:rsidR="004227DD" w:rsidRDefault="004227DD">
      <w:pPr>
        <w:spacing w:after="0" w:line="360" w:lineRule="auto"/>
        <w:rPr>
          <w:b/>
        </w:rPr>
      </w:pPr>
    </w:p>
    <w:p w14:paraId="6A9594BB" w14:textId="77777777" w:rsidR="004227DD" w:rsidRDefault="00B418D3">
      <w:pPr>
        <w:spacing w:after="0" w:line="360" w:lineRule="auto"/>
      </w:pPr>
      <w:r>
        <w:rPr>
          <w:b/>
        </w:rPr>
        <w:t>a) Turno del Medio de Impugnación.</w:t>
      </w:r>
      <w:r>
        <w:t xml:space="preserve"> El veinte de mayo de dos mil veinticinco, el SAIMEX, asignó el número de expediente </w:t>
      </w:r>
      <w:r>
        <w:rPr>
          <w:b/>
        </w:rPr>
        <w:t>05671/INFOEM/IP/RR/2025</w:t>
      </w:r>
      <w:r>
        <w:t>, al medio de impugnación que nos ocupa, con base en el sistema aprobado por el Pleno de este Organismo Garante y lo turnó a la María del Rosario Mejía Ayala, para los efectos del artículo 185, fracción I de la Ley de Transparencia y Acceso a la Información Pública del Estado de México y Municipios.</w:t>
      </w:r>
    </w:p>
    <w:p w14:paraId="0777C0EC" w14:textId="77777777" w:rsidR="004227DD" w:rsidRDefault="004227DD">
      <w:pPr>
        <w:spacing w:after="0" w:line="360" w:lineRule="auto"/>
        <w:rPr>
          <w:b/>
        </w:rPr>
      </w:pPr>
    </w:p>
    <w:p w14:paraId="1830E24C" w14:textId="77777777" w:rsidR="004227DD" w:rsidRDefault="00B418D3">
      <w:pPr>
        <w:spacing w:after="0" w:line="360" w:lineRule="auto"/>
      </w:pPr>
      <w:r>
        <w:rPr>
          <w:b/>
        </w:rPr>
        <w:t xml:space="preserve">b) Admisión del Recurso de Revisión. </w:t>
      </w:r>
      <w:r>
        <w:t>El veintiocho de mayo de dos mil veinticinco, se notificó vía SAIMEX el acuerdo de fecha veintitrés de mayo del mismo año, en el que se acordó la admisión del Recurso de Revisión interpuesto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manifestaran lo que a su derecho conviniera y formularan alegatos.</w:t>
      </w:r>
    </w:p>
    <w:p w14:paraId="266638CE" w14:textId="77777777" w:rsidR="004227DD" w:rsidRDefault="004227DD">
      <w:pPr>
        <w:spacing w:after="0" w:line="360" w:lineRule="auto"/>
      </w:pPr>
    </w:p>
    <w:p w14:paraId="3A9DFD58" w14:textId="77777777" w:rsidR="004227DD" w:rsidRDefault="00B418D3">
      <w:pPr>
        <w:spacing w:after="0" w:line="360" w:lineRule="auto"/>
      </w:pPr>
      <w:r>
        <w:rPr>
          <w:b/>
        </w:rPr>
        <w:lastRenderedPageBreak/>
        <w:t>c) Returno del Recurso de Revisión.</w:t>
      </w:r>
      <w:r>
        <w:t xml:space="preserve"> Mediante acuerdo del Pleno de fecha dos de junio de dos mil veinticinco, se determinó el returno al Comisionado Ponente Luis Gustavo Parra Noriega, para los efectos del artículo 185, fracción I de la Ley de Transparencia y Acceso a la Información Pública del Estado de México y Municipios.</w:t>
      </w:r>
    </w:p>
    <w:p w14:paraId="5A0CEFE2" w14:textId="77777777" w:rsidR="004227DD" w:rsidRDefault="004227DD">
      <w:pPr>
        <w:spacing w:after="0" w:line="360" w:lineRule="auto"/>
      </w:pPr>
    </w:p>
    <w:p w14:paraId="3D5BA5EA" w14:textId="77777777" w:rsidR="004227DD" w:rsidRDefault="00B418D3">
      <w:pPr>
        <w:spacing w:after="0" w:line="360" w:lineRule="auto"/>
      </w:pPr>
      <w:r>
        <w:rPr>
          <w:b/>
        </w:rPr>
        <w:t xml:space="preserve">d) Informe Justificado. </w:t>
      </w:r>
      <w:r>
        <w:t>El nueve de junio de dos mil veinticinco, se recibió, a través del SAIMEX, el Informe Justificado del Sujeto Obligado, en los siguientes términos:</w:t>
      </w:r>
    </w:p>
    <w:p w14:paraId="7FF8E2A9" w14:textId="77777777" w:rsidR="004227DD" w:rsidRDefault="004227DD">
      <w:pPr>
        <w:spacing w:after="0" w:line="360" w:lineRule="auto"/>
      </w:pPr>
    </w:p>
    <w:p w14:paraId="0A1C79BD" w14:textId="77777777" w:rsidR="004227DD" w:rsidRDefault="00B418D3">
      <w:pPr>
        <w:numPr>
          <w:ilvl w:val="0"/>
          <w:numId w:val="2"/>
        </w:numPr>
        <w:pBdr>
          <w:top w:val="nil"/>
          <w:left w:val="nil"/>
          <w:bottom w:val="nil"/>
          <w:right w:val="nil"/>
          <w:between w:val="nil"/>
        </w:pBdr>
        <w:spacing w:after="0" w:line="360" w:lineRule="auto"/>
        <w:rPr>
          <w:color w:val="000000"/>
        </w:rPr>
      </w:pPr>
      <w:r>
        <w:rPr>
          <w:color w:val="000000"/>
        </w:rPr>
        <w:t>Oficio suscrito por el Titular de la Unidad de Transparencia, de fecha seis de junio de dos mil veinticinco, por el que remitió el listado de personas servidoras públicas que a dicha fecha laboraban en las áreas y su gafete institucional.</w:t>
      </w:r>
    </w:p>
    <w:p w14:paraId="01770362" w14:textId="77777777" w:rsidR="004227DD" w:rsidRDefault="00B418D3">
      <w:pPr>
        <w:numPr>
          <w:ilvl w:val="0"/>
          <w:numId w:val="2"/>
        </w:numPr>
        <w:pBdr>
          <w:top w:val="nil"/>
          <w:left w:val="nil"/>
          <w:bottom w:val="nil"/>
          <w:right w:val="nil"/>
          <w:between w:val="nil"/>
        </w:pBdr>
        <w:spacing w:after="0" w:line="360" w:lineRule="auto"/>
        <w:rPr>
          <w:color w:val="000000"/>
        </w:rPr>
      </w:pPr>
      <w:r>
        <w:rPr>
          <w:color w:val="000000"/>
        </w:rPr>
        <w:t>Plantilla del personal de las áreas de Presidencia, Obras Públicas, Desarrollo Urbano, Contraloría, Tesorería y Desarrollo Económico en el que se enlistan 63 personas.</w:t>
      </w:r>
    </w:p>
    <w:p w14:paraId="4DC97129" w14:textId="77777777" w:rsidR="004227DD" w:rsidRDefault="00B418D3">
      <w:pPr>
        <w:numPr>
          <w:ilvl w:val="0"/>
          <w:numId w:val="2"/>
        </w:numPr>
        <w:pBdr>
          <w:top w:val="nil"/>
          <w:left w:val="nil"/>
          <w:bottom w:val="nil"/>
          <w:right w:val="nil"/>
          <w:between w:val="nil"/>
        </w:pBdr>
        <w:spacing w:after="0" w:line="360" w:lineRule="auto"/>
        <w:rPr>
          <w:color w:val="000000"/>
        </w:rPr>
      </w:pPr>
      <w:r>
        <w:rPr>
          <w:color w:val="000000"/>
        </w:rPr>
        <w:t xml:space="preserve">Credenciales de 63 personas servidoras públicas de las áreas antes descritas. </w:t>
      </w:r>
    </w:p>
    <w:p w14:paraId="44071254" w14:textId="77777777" w:rsidR="004227DD" w:rsidRDefault="004227DD">
      <w:pPr>
        <w:pBdr>
          <w:top w:val="nil"/>
          <w:left w:val="nil"/>
          <w:bottom w:val="nil"/>
          <w:right w:val="nil"/>
          <w:between w:val="nil"/>
        </w:pBdr>
        <w:spacing w:after="0" w:line="360" w:lineRule="auto"/>
        <w:ind w:left="720"/>
        <w:rPr>
          <w:b/>
          <w:color w:val="000000"/>
        </w:rPr>
      </w:pPr>
    </w:p>
    <w:p w14:paraId="5E56FD0D" w14:textId="77777777" w:rsidR="004227DD" w:rsidRDefault="00B418D3">
      <w:pPr>
        <w:spacing w:after="0" w:line="360" w:lineRule="auto"/>
        <w:rPr>
          <w:b/>
        </w:rPr>
      </w:pPr>
      <w:r>
        <w:rPr>
          <w:b/>
          <w:color w:val="000000"/>
        </w:rPr>
        <w:t>e) Vista del Informe Justificado.</w:t>
      </w:r>
      <w:r>
        <w:t xml:space="preserve"> El quince de julio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p>
    <w:p w14:paraId="4A36C213" w14:textId="77777777" w:rsidR="004227DD" w:rsidRDefault="004227DD">
      <w:pPr>
        <w:spacing w:after="0" w:line="360" w:lineRule="auto"/>
      </w:pPr>
    </w:p>
    <w:p w14:paraId="31C03163" w14:textId="77777777" w:rsidR="004227DD" w:rsidRDefault="00B418D3">
      <w:pPr>
        <w:spacing w:after="0" w:line="360" w:lineRule="auto"/>
      </w:pPr>
      <w:r>
        <w:rPr>
          <w:b/>
        </w:rPr>
        <w:t xml:space="preserve">f) Manifestaciones de la parte Recurrente. </w:t>
      </w:r>
      <w:r>
        <w:t>De las constancias que obran en el SAIMEX se aprecia que la parte Recurrente no añadió manifestaciones.</w:t>
      </w:r>
    </w:p>
    <w:p w14:paraId="35337EAE" w14:textId="77777777" w:rsidR="004227DD" w:rsidRDefault="004227DD">
      <w:pPr>
        <w:spacing w:after="0" w:line="360" w:lineRule="auto"/>
      </w:pPr>
    </w:p>
    <w:p w14:paraId="138F9947" w14:textId="77777777" w:rsidR="004227DD" w:rsidRDefault="00B418D3">
      <w:pPr>
        <w:spacing w:after="0" w:line="360" w:lineRule="auto"/>
      </w:pPr>
      <w:r>
        <w:rPr>
          <w:b/>
        </w:rPr>
        <w:t>g) Ampliación de plazo para resolver.</w:t>
      </w:r>
      <w:r>
        <w:t xml:space="preserve"> El quince de julio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w:t>
      </w:r>
      <w:r>
        <w:lastRenderedPageBreak/>
        <w:t>de Revisión que nos ocupa; acto que fue notificado a las partes el mismo día mediante el SAIMEX.</w:t>
      </w:r>
    </w:p>
    <w:p w14:paraId="06F7F7E3" w14:textId="77777777" w:rsidR="004227DD" w:rsidRDefault="004227DD">
      <w:pPr>
        <w:spacing w:after="0" w:line="360" w:lineRule="auto"/>
      </w:pPr>
    </w:p>
    <w:p w14:paraId="71ED70B1" w14:textId="77777777" w:rsidR="004227DD" w:rsidRDefault="00B418D3">
      <w:pPr>
        <w:spacing w:after="0" w:line="360" w:lineRule="auto"/>
      </w:pPr>
      <w:r>
        <w:rPr>
          <w:b/>
        </w:rPr>
        <w:t>h) Cierre de instrucción.</w:t>
      </w:r>
      <w:r>
        <w:t xml:space="preserve"> El cuatro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3D091D1A" w14:textId="77777777" w:rsidR="004227DD" w:rsidRDefault="004227DD">
      <w:pPr>
        <w:spacing w:after="0" w:line="360" w:lineRule="auto"/>
      </w:pPr>
    </w:p>
    <w:p w14:paraId="21AE5061" w14:textId="77777777" w:rsidR="004227DD" w:rsidRDefault="00B418D3">
      <w:pPr>
        <w:spacing w:after="0" w:line="360" w:lineRule="auto"/>
        <w:rPr>
          <w:color w:val="000000"/>
        </w:rPr>
      </w:pPr>
      <w:r>
        <w:rPr>
          <w:color w:val="000000"/>
        </w:rPr>
        <w:t xml:space="preserve">En razón de que fue debidamente sustanciado e integrado el expediente electrónico y no </w:t>
      </w:r>
      <w:r>
        <w:t>existir</w:t>
      </w:r>
      <w:r>
        <w:rPr>
          <w:color w:val="000000"/>
        </w:rPr>
        <w:t xml:space="preserve"> diligencia pendiente de desahogo, se emite la resolución que conforme a Derecho proceda, de acuerdo a los siguientes:</w:t>
      </w:r>
    </w:p>
    <w:p w14:paraId="374E5C3A" w14:textId="77777777" w:rsidR="004227DD" w:rsidRDefault="004227DD">
      <w:pPr>
        <w:spacing w:after="0" w:line="360" w:lineRule="auto"/>
        <w:rPr>
          <w:color w:val="000000"/>
        </w:rPr>
      </w:pPr>
    </w:p>
    <w:p w14:paraId="5434DF62" w14:textId="77777777" w:rsidR="004227DD" w:rsidRDefault="00B418D3">
      <w:pPr>
        <w:pStyle w:val="Ttulo1"/>
        <w:spacing w:before="0" w:after="0" w:line="360" w:lineRule="auto"/>
        <w:jc w:val="center"/>
        <w:rPr>
          <w:sz w:val="22"/>
          <w:szCs w:val="22"/>
        </w:rPr>
      </w:pPr>
      <w:bookmarkStart w:id="7" w:name="_Toc205476333"/>
      <w:r>
        <w:rPr>
          <w:sz w:val="22"/>
          <w:szCs w:val="22"/>
        </w:rPr>
        <w:t>C O N S I D E R A N D O S</w:t>
      </w:r>
      <w:bookmarkEnd w:id="7"/>
    </w:p>
    <w:p w14:paraId="0B6A82EE" w14:textId="77777777" w:rsidR="004227DD" w:rsidRDefault="004227DD">
      <w:pPr>
        <w:spacing w:after="0" w:line="360" w:lineRule="auto"/>
        <w:jc w:val="center"/>
        <w:rPr>
          <w:b/>
          <w:color w:val="000000"/>
        </w:rPr>
      </w:pPr>
    </w:p>
    <w:p w14:paraId="102D8D26" w14:textId="77777777" w:rsidR="004227DD" w:rsidRDefault="00B418D3">
      <w:pPr>
        <w:pStyle w:val="Ttulo2"/>
        <w:spacing w:before="0" w:after="0" w:line="360" w:lineRule="auto"/>
        <w:rPr>
          <w:sz w:val="22"/>
          <w:szCs w:val="22"/>
        </w:rPr>
      </w:pPr>
      <w:bookmarkStart w:id="8" w:name="_Toc205476334"/>
      <w:r>
        <w:rPr>
          <w:sz w:val="22"/>
          <w:szCs w:val="22"/>
        </w:rPr>
        <w:t>PRIMERO. Competencia</w:t>
      </w:r>
      <w:bookmarkEnd w:id="8"/>
    </w:p>
    <w:p w14:paraId="3E8CB67C" w14:textId="77777777" w:rsidR="004227DD" w:rsidRDefault="004227DD">
      <w:pPr>
        <w:spacing w:after="0" w:line="360" w:lineRule="auto"/>
      </w:pPr>
      <w:bookmarkStart w:id="9" w:name="_heading=h.30j0zll" w:colFirst="0" w:colLast="0"/>
      <w:bookmarkEnd w:id="9"/>
    </w:p>
    <w:p w14:paraId="65A79616" w14:textId="40432AFC" w:rsidR="004227DD" w:rsidRDefault="00B418D3">
      <w:pPr>
        <w:spacing w:after="0" w:line="360" w:lineRule="auto"/>
        <w:rPr>
          <w:b/>
          <w:color w:val="000000"/>
        </w:rPr>
      </w:pPr>
      <w:r w:rsidRPr="00B418D3">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935C47F" w14:textId="77777777" w:rsidR="004227DD" w:rsidRDefault="00B418D3">
      <w:pPr>
        <w:pStyle w:val="Ttulo2"/>
        <w:spacing w:before="0" w:after="0" w:line="360" w:lineRule="auto"/>
        <w:rPr>
          <w:sz w:val="22"/>
          <w:szCs w:val="22"/>
        </w:rPr>
      </w:pPr>
      <w:bookmarkStart w:id="10" w:name="_Toc205476335"/>
      <w:r>
        <w:rPr>
          <w:sz w:val="22"/>
          <w:szCs w:val="22"/>
        </w:rPr>
        <w:lastRenderedPageBreak/>
        <w:t>SEGUNDO. Causales de improcedencia</w:t>
      </w:r>
      <w:bookmarkEnd w:id="10"/>
      <w:r>
        <w:rPr>
          <w:sz w:val="22"/>
          <w:szCs w:val="22"/>
        </w:rPr>
        <w:t xml:space="preserve"> </w:t>
      </w:r>
    </w:p>
    <w:p w14:paraId="4EC03BAA" w14:textId="77777777" w:rsidR="004227DD" w:rsidRDefault="004227DD">
      <w:pPr>
        <w:spacing w:after="0" w:line="360" w:lineRule="auto"/>
        <w:rPr>
          <w:color w:val="000000"/>
        </w:rPr>
      </w:pPr>
    </w:p>
    <w:p w14:paraId="3FBDC871" w14:textId="77777777" w:rsidR="004227DD" w:rsidRDefault="00B418D3">
      <w:pPr>
        <w:spacing w:after="0" w:line="360" w:lineRule="auto"/>
        <w:rPr>
          <w:color w:val="000000"/>
        </w:rPr>
      </w:pPr>
      <w:r>
        <w:rPr>
          <w:color w:val="000000"/>
        </w:rPr>
        <w:t xml:space="preserve">De las constancias que </w:t>
      </w:r>
      <w:r>
        <w:t>forman</w:t>
      </w:r>
      <w:r>
        <w:rPr>
          <w:color w:val="000000"/>
        </w:rPr>
        <w:t xml:space="preserve">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6EBF6F2A" w14:textId="77777777" w:rsidR="004227DD" w:rsidRDefault="004227DD">
      <w:pPr>
        <w:spacing w:after="0" w:line="360" w:lineRule="auto"/>
        <w:rPr>
          <w:b/>
        </w:rPr>
      </w:pPr>
    </w:p>
    <w:p w14:paraId="41188F7A" w14:textId="77777777" w:rsidR="004227DD" w:rsidRDefault="00B418D3">
      <w:pPr>
        <w:spacing w:after="0" w:line="360" w:lineRule="auto"/>
        <w:rPr>
          <w:b/>
        </w:rPr>
      </w:pPr>
      <w:r>
        <w:rPr>
          <w:b/>
        </w:rPr>
        <w:t>Causales de improcedencia</w:t>
      </w:r>
    </w:p>
    <w:p w14:paraId="6645007A" w14:textId="77777777" w:rsidR="004227DD" w:rsidRDefault="004227DD">
      <w:pPr>
        <w:spacing w:after="0" w:line="360" w:lineRule="auto"/>
        <w:rPr>
          <w:b/>
        </w:rPr>
      </w:pPr>
    </w:p>
    <w:p w14:paraId="00303B44" w14:textId="77777777" w:rsidR="004227DD" w:rsidRDefault="00B418D3">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55E453E" w14:textId="77777777" w:rsidR="004227DD" w:rsidRDefault="004227DD">
      <w:pPr>
        <w:spacing w:after="0" w:line="360" w:lineRule="auto"/>
        <w:rPr>
          <w:color w:val="000000"/>
        </w:rPr>
      </w:pPr>
    </w:p>
    <w:p w14:paraId="1C933571" w14:textId="77777777" w:rsidR="004227DD" w:rsidRDefault="00B418D3">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5675F0B6" w14:textId="77777777" w:rsidR="004227DD" w:rsidRDefault="004227DD">
      <w:pPr>
        <w:spacing w:after="0" w:line="360" w:lineRule="auto"/>
        <w:rPr>
          <w:color w:val="000000"/>
        </w:rPr>
      </w:pPr>
    </w:p>
    <w:p w14:paraId="05A06CF5" w14:textId="77777777" w:rsidR="004227DD" w:rsidRDefault="00B418D3">
      <w:pPr>
        <w:spacing w:after="0" w:line="360" w:lineRule="auto"/>
      </w:pPr>
      <w:r>
        <w:t>Por lo cual, se actualiza la causal de procedencia del Recurso de Revisión señalada en el artículo 179, fracción V, de la Ley en cita, pues la persona Recurrente se inconformó de la entrega de información incompleta.</w:t>
      </w:r>
    </w:p>
    <w:p w14:paraId="7680A9A0" w14:textId="77777777" w:rsidR="004227DD" w:rsidRDefault="004227DD">
      <w:pPr>
        <w:spacing w:after="0" w:line="360" w:lineRule="auto"/>
      </w:pPr>
    </w:p>
    <w:p w14:paraId="40F848ED" w14:textId="77777777" w:rsidR="004227DD" w:rsidRDefault="00B418D3">
      <w:pPr>
        <w:spacing w:after="0" w:line="360" w:lineRule="auto"/>
        <w:rPr>
          <w:color w:val="0D0D0D"/>
        </w:rPr>
      </w:pPr>
      <w:r>
        <w:rPr>
          <w:b/>
          <w:color w:val="0D0D0D"/>
        </w:rPr>
        <w:t>TERCERO. Causales de sobreseimiento</w:t>
      </w:r>
    </w:p>
    <w:p w14:paraId="101271DC" w14:textId="77777777" w:rsidR="004227DD" w:rsidRDefault="004227DD">
      <w:pPr>
        <w:spacing w:after="0" w:line="360" w:lineRule="auto"/>
        <w:rPr>
          <w:color w:val="0D0D0D"/>
        </w:rPr>
      </w:pPr>
    </w:p>
    <w:p w14:paraId="2EA6BC85" w14:textId="77777777" w:rsidR="004227DD" w:rsidRDefault="00B418D3">
      <w:pPr>
        <w:spacing w:after="0" w:line="360" w:lineRule="auto"/>
      </w:pPr>
      <w:r>
        <w:t>Por ser de previo y especial pronunciamiento, este Instituto analiza si se actualiza alguna causal de sobreseimiento.</w:t>
      </w:r>
    </w:p>
    <w:p w14:paraId="4D9B0B9D" w14:textId="77777777" w:rsidR="004227DD" w:rsidRDefault="004227DD">
      <w:pPr>
        <w:spacing w:after="0" w:line="360" w:lineRule="auto"/>
      </w:pPr>
    </w:p>
    <w:p w14:paraId="501962F2" w14:textId="77777777" w:rsidR="004227DD" w:rsidRDefault="00B418D3">
      <w:pPr>
        <w:spacing w:after="0" w:line="360" w:lineRule="auto"/>
      </w:pPr>
      <w: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Pr>
          <w:b/>
        </w:rPr>
        <w:t>que no se actualizan los supuestos de sobreseimiento previstos en las fracciones I, II, IV y V</w:t>
      </w:r>
      <w:r>
        <w:t xml:space="preserve">, del artículo en comento, lo anterior, en virtud de que no hay constancias en el expediente en que se actúa, de que la persona Recurrente se haya desistido del recurso, haya fallecido, o bien, se haya actualizado alguna causal de improcedencia. </w:t>
      </w:r>
    </w:p>
    <w:p w14:paraId="78F5C0BE" w14:textId="77777777" w:rsidR="004227DD" w:rsidRDefault="004227DD">
      <w:pPr>
        <w:spacing w:after="0" w:line="360" w:lineRule="auto"/>
      </w:pPr>
    </w:p>
    <w:p w14:paraId="06F02945" w14:textId="77777777" w:rsidR="004227DD" w:rsidRDefault="00B418D3">
      <w:pPr>
        <w:spacing w:after="0" w:line="360" w:lineRule="auto"/>
      </w:pPr>
      <w:r>
        <w:t>No obstante, por lo que hace a la fracción III, del artículo 192, de la Ley de la materia, es de señalar que el Sujeto Obligado modificó su respuesta, durante la sustanciación del Medio de Impugnación; por lo que, se estima procedente entrar al estudio de dicha causal de sobreseimiento.</w:t>
      </w:r>
    </w:p>
    <w:p w14:paraId="466BF370" w14:textId="77777777" w:rsidR="004227DD" w:rsidRDefault="004227DD">
      <w:pPr>
        <w:spacing w:after="0" w:line="360" w:lineRule="auto"/>
      </w:pPr>
    </w:p>
    <w:p w14:paraId="4C3ED326" w14:textId="14FB0CCB" w:rsidR="00322CD5" w:rsidRDefault="00322CD5" w:rsidP="00322CD5">
      <w:pPr>
        <w:spacing w:after="0" w:line="360" w:lineRule="auto"/>
        <w:ind w:right="-28"/>
        <w:rPr>
          <w:color w:val="000000" w:themeColor="text1"/>
        </w:rPr>
      </w:pPr>
      <w:r>
        <w:rPr>
          <w:color w:val="000000" w:themeColor="text1"/>
        </w:rPr>
        <w:t xml:space="preserve">Para lo cual, de manera previa cabe señalar, a través de la solicitud y el Recurso de Revisión, la persona Solicitante realizó las siguientes manifestaciones: </w:t>
      </w:r>
      <w:r>
        <w:rPr>
          <w:i/>
          <w:iCs/>
          <w:color w:val="000000" w:themeColor="text1"/>
        </w:rPr>
        <w:t>“…</w:t>
      </w:r>
      <w:r w:rsidRPr="00322CD5">
        <w:rPr>
          <w:i/>
          <w:iCs/>
          <w:color w:val="000000" w:themeColor="text1"/>
        </w:rPr>
        <w:t>Debido a la falta de ética profesional del titular de transferencia y se deja ver qué oculta información</w:t>
      </w:r>
      <w:r>
        <w:rPr>
          <w:i/>
          <w:iCs/>
          <w:color w:val="000000" w:themeColor="text1"/>
        </w:rPr>
        <w:t xml:space="preserve">…” </w:t>
      </w:r>
      <w:r>
        <w:rPr>
          <w:color w:val="000000" w:themeColor="text1"/>
        </w:rPr>
        <w:t xml:space="preserve">y </w:t>
      </w:r>
      <w:r w:rsidRPr="00322CD5">
        <w:rPr>
          <w:i/>
          <w:iCs/>
          <w:color w:val="000000" w:themeColor="text1"/>
        </w:rPr>
        <w:t>“es una falta de moral y ética profesional del servidor público de transparencia que nuevamente oculta información”</w:t>
      </w:r>
      <w:r>
        <w:rPr>
          <w:color w:val="000000" w:themeColor="text1"/>
        </w:rPr>
        <w:t xml:space="preserve">,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w:t>
      </w:r>
      <w:r>
        <w:rPr>
          <w:color w:val="000000" w:themeColor="text1"/>
        </w:rPr>
        <w:lastRenderedPageBreak/>
        <w:t xml:space="preserve">de </w:t>
      </w:r>
      <w:r w:rsidRPr="00322CD5">
        <w:rPr>
          <w:b/>
          <w:bCs/>
          <w:color w:val="000000" w:themeColor="text1"/>
        </w:rPr>
        <w:t>IMPROCEDENTES</w:t>
      </w:r>
      <w:r>
        <w:rPr>
          <w:color w:val="000000" w:themeColor="text1"/>
        </w:rPr>
        <w:t>; por lo que deben desestimarse para todos los efectos a que haya lugar.</w:t>
      </w:r>
    </w:p>
    <w:p w14:paraId="7C45F742" w14:textId="77777777" w:rsidR="00322CD5" w:rsidRDefault="00322CD5">
      <w:pPr>
        <w:spacing w:after="0" w:line="360" w:lineRule="auto"/>
      </w:pPr>
    </w:p>
    <w:p w14:paraId="3E8A97F0" w14:textId="77777777" w:rsidR="004227DD" w:rsidRDefault="00B418D3">
      <w:pPr>
        <w:spacing w:after="0" w:line="360" w:lineRule="auto"/>
        <w:rPr>
          <w:b/>
        </w:rPr>
      </w:pPr>
      <w:r>
        <w:t xml:space="preserve">Expuesto lo anterior, es preciso reiterar que la parte Recurrente </w:t>
      </w:r>
      <w:r>
        <w:rPr>
          <w:b/>
        </w:rPr>
        <w:t>solicitó la entrega</w:t>
      </w:r>
      <w:r>
        <w:t xml:space="preserve"> de</w:t>
      </w:r>
      <w:r>
        <w:rPr>
          <w:b/>
        </w:rPr>
        <w:t xml:space="preserve"> </w:t>
      </w:r>
      <w:r>
        <w:t>la entrega de la copia de la plantilla del personal y gafetes de las personas servidoras públicas que laboran en las áreas de Desarrollo Urbano, Desarrollo Económico, Desarrollo Social, Presidencia, Tesorería, Desarrollo Urbano, Obras Públicas y Contraloría.</w:t>
      </w:r>
    </w:p>
    <w:p w14:paraId="65F3B59E" w14:textId="77777777" w:rsidR="004227DD" w:rsidRDefault="004227DD">
      <w:pPr>
        <w:spacing w:after="0" w:line="360" w:lineRule="auto"/>
      </w:pPr>
    </w:p>
    <w:p w14:paraId="518B49A9" w14:textId="77777777" w:rsidR="004227DD" w:rsidRDefault="00B418D3">
      <w:pPr>
        <w:spacing w:after="0" w:line="360" w:lineRule="auto"/>
      </w:pPr>
      <w:r>
        <w:t xml:space="preserve">En respuesta la Tesorera Municipal, remitió una plantilla del personal, del que se desprende el nombre y área de adscripción de 63 personas servidoras públicas, que pertenecen a las áreas de Desarrollo Urbano, Desarrollo Económico, Desarrollo Social, Presidencia, Tesorería, Desarrollo Urbano, Obras Públicas y Contraloría; además precisó que los gafetes se encontraban en proceso de </w:t>
      </w:r>
    </w:p>
    <w:p w14:paraId="6795BB5F" w14:textId="77777777" w:rsidR="004227DD" w:rsidRDefault="004227DD">
      <w:pPr>
        <w:spacing w:after="0" w:line="360" w:lineRule="auto"/>
      </w:pPr>
    </w:p>
    <w:p w14:paraId="764229B0" w14:textId="77777777" w:rsidR="004227DD" w:rsidRDefault="00B418D3">
      <w:pPr>
        <w:spacing w:after="0" w:line="360" w:lineRule="auto"/>
        <w:rPr>
          <w:color w:val="0D0D0D"/>
        </w:rPr>
      </w:pPr>
      <w:r>
        <w:t>Derivado de la respuesta, la parte Recurrente se inconformó bajo el argumento de que no se adjuntan los gafetes para reconocer a los servidores públicos, lo cual actualiza la causal de procedencia prevista en la fracción V, del artículo 179 de la Ley de Transparencia y Acceso a la Información Pública del Estado de México y Municipios</w:t>
      </w:r>
      <w:r>
        <w:rPr>
          <w:color w:val="0D0D0D"/>
        </w:rPr>
        <w:t>, es decir por la entrega de información incompleta.</w:t>
      </w:r>
    </w:p>
    <w:p w14:paraId="068665F8" w14:textId="77777777" w:rsidR="00322CD5" w:rsidRDefault="00322CD5">
      <w:pPr>
        <w:spacing w:after="0" w:line="360" w:lineRule="auto"/>
        <w:rPr>
          <w:color w:val="0D0D0D"/>
        </w:rPr>
      </w:pPr>
    </w:p>
    <w:p w14:paraId="3B862FCE" w14:textId="2D5B4187" w:rsidR="00322CD5" w:rsidRDefault="00322CD5" w:rsidP="00322CD5">
      <w:pPr>
        <w:tabs>
          <w:tab w:val="left" w:pos="8931"/>
        </w:tabs>
        <w:spacing w:after="0" w:line="360" w:lineRule="auto"/>
        <w:ind w:right="142"/>
        <w:rPr>
          <w:iCs/>
          <w:szCs w:val="20"/>
        </w:rPr>
      </w:pPr>
      <w:r>
        <w:rPr>
          <w:iCs/>
          <w:szCs w:val="20"/>
        </w:rPr>
        <w:t xml:space="preserve">Conforme a lo anterior, se logra vislumbrar que la persona Recurrente no se agravió de la plantilla de personal entregada en respuesta; por lo que, no se hará pronunciamiento alguno, respecto a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w:t>
      </w:r>
      <w:r>
        <w:rPr>
          <w:iCs/>
          <w:szCs w:val="20"/>
        </w:rPr>
        <w:lastRenderedPageBreak/>
        <w:t>hayan consentido tácitamente, entendiéndose por estos cuando el agravio no se haya promovido en el plazo señalado para el efecto.</w:t>
      </w:r>
    </w:p>
    <w:p w14:paraId="25E4D7DA" w14:textId="77777777" w:rsidR="00322CD5" w:rsidRDefault="00322CD5" w:rsidP="00322CD5">
      <w:pPr>
        <w:tabs>
          <w:tab w:val="left" w:pos="8931"/>
        </w:tabs>
        <w:spacing w:after="0" w:line="360" w:lineRule="auto"/>
        <w:ind w:right="142"/>
        <w:rPr>
          <w:iCs/>
          <w:szCs w:val="20"/>
        </w:rPr>
      </w:pPr>
      <w:r>
        <w:rPr>
          <w:iCs/>
          <w:szCs w:val="20"/>
        </w:rPr>
        <w:t xml:space="preserve"> </w:t>
      </w:r>
    </w:p>
    <w:p w14:paraId="57399877" w14:textId="77777777" w:rsidR="00322CD5" w:rsidRDefault="00322CD5" w:rsidP="00322CD5">
      <w:pPr>
        <w:tabs>
          <w:tab w:val="left" w:pos="8931"/>
        </w:tabs>
        <w:spacing w:after="0" w:line="360" w:lineRule="auto"/>
        <w:ind w:right="142"/>
        <w:rPr>
          <w:iCs/>
          <w:szCs w:val="20"/>
        </w:rPr>
      </w:pPr>
      <w:r>
        <w:rPr>
          <w:iCs/>
          <w:szCs w:val="20"/>
        </w:rPr>
        <w:t xml:space="preserve">De la misma manera resulta aplicable el criterio sostenido por el Poder Judicial de la Federación de rubro </w:t>
      </w:r>
      <w:r>
        <w:rPr>
          <w:b/>
          <w:iCs/>
          <w:szCs w:val="20"/>
        </w:rPr>
        <w:t>ACTOS CONSENTIDOS TÁCITAMENTE</w:t>
      </w:r>
      <w:r>
        <w:rPr>
          <w:iCs/>
          <w:szCs w:val="20"/>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79AF801" w14:textId="77777777" w:rsidR="00322CD5" w:rsidRDefault="00322CD5" w:rsidP="00322CD5">
      <w:pPr>
        <w:tabs>
          <w:tab w:val="left" w:pos="8931"/>
        </w:tabs>
        <w:spacing w:after="0" w:line="360" w:lineRule="auto"/>
        <w:ind w:right="142"/>
        <w:rPr>
          <w:iCs/>
          <w:szCs w:val="20"/>
        </w:rPr>
      </w:pPr>
      <w:r>
        <w:rPr>
          <w:iCs/>
          <w:szCs w:val="20"/>
        </w:rPr>
        <w:t xml:space="preserve"> </w:t>
      </w:r>
    </w:p>
    <w:p w14:paraId="6F2911FB" w14:textId="77777777" w:rsidR="00322CD5" w:rsidRDefault="00322CD5" w:rsidP="00322CD5">
      <w:pPr>
        <w:tabs>
          <w:tab w:val="left" w:pos="8931"/>
        </w:tabs>
        <w:spacing w:after="0" w:line="360" w:lineRule="auto"/>
        <w:ind w:right="142"/>
        <w:rPr>
          <w:iCs/>
          <w:szCs w:val="20"/>
        </w:rPr>
      </w:pPr>
      <w:r>
        <w:rPr>
          <w:iCs/>
          <w:szCs w:val="20"/>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15A3BF4D" w14:textId="77777777" w:rsidR="00322CD5" w:rsidRDefault="00322CD5" w:rsidP="00322CD5">
      <w:pPr>
        <w:tabs>
          <w:tab w:val="left" w:pos="8931"/>
        </w:tabs>
        <w:spacing w:after="0" w:line="360" w:lineRule="auto"/>
        <w:ind w:right="142"/>
        <w:rPr>
          <w:iCs/>
          <w:szCs w:val="20"/>
        </w:rPr>
      </w:pPr>
    </w:p>
    <w:p w14:paraId="45EE9CDA" w14:textId="6268846F" w:rsidR="00322CD5" w:rsidRDefault="00322CD5" w:rsidP="00322CD5">
      <w:pPr>
        <w:tabs>
          <w:tab w:val="left" w:pos="8931"/>
        </w:tabs>
        <w:spacing w:after="0" w:line="360" w:lineRule="auto"/>
        <w:ind w:right="142"/>
        <w:rPr>
          <w:iCs/>
          <w:szCs w:val="20"/>
        </w:rPr>
      </w:pPr>
      <w:r>
        <w:rPr>
          <w:iCs/>
          <w:szCs w:val="20"/>
        </w:rP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persona Recurrente; por lo que, en el presente caso, se tienen por consentida la plantilla de personal y únicamente se entrará al análisis de los gafetes de los servidores públicos señalados en la documental consentida.</w:t>
      </w:r>
    </w:p>
    <w:p w14:paraId="6E0433A8" w14:textId="77777777" w:rsidR="00322CD5" w:rsidRDefault="00322CD5" w:rsidP="00322CD5">
      <w:pPr>
        <w:spacing w:after="0" w:line="360" w:lineRule="auto"/>
        <w:ind w:right="567"/>
        <w:rPr>
          <w:i/>
          <w:iCs/>
          <w:sz w:val="20"/>
          <w:szCs w:val="20"/>
        </w:rPr>
      </w:pPr>
    </w:p>
    <w:p w14:paraId="183810CA" w14:textId="77777777" w:rsidR="00322CD5" w:rsidRDefault="00322CD5">
      <w:pPr>
        <w:spacing w:after="0" w:line="360" w:lineRule="auto"/>
        <w:rPr>
          <w:color w:val="0D0D0D"/>
        </w:rPr>
      </w:pPr>
    </w:p>
    <w:p w14:paraId="011A4E05" w14:textId="419D4B6F" w:rsidR="004227DD" w:rsidRDefault="00322CD5">
      <w:pPr>
        <w:spacing w:after="0" w:line="360" w:lineRule="auto"/>
      </w:pPr>
      <w:r>
        <w:lastRenderedPageBreak/>
        <w:t>Al respecto vale la pena señalar que el artículo 44 del Bando Municipal del Sujeto Obligado establece las unidades administrativas de las que se auxilia el Presidente Municipal para la consulta, estudio y planeación de los asuntos de los diversos ramos de la Administración Pública Municipal, dentro de los que se enumeran, los siguientes:</w:t>
      </w:r>
    </w:p>
    <w:p w14:paraId="692FBA14" w14:textId="77777777" w:rsidR="004227DD" w:rsidRDefault="004227DD">
      <w:pPr>
        <w:spacing w:after="0" w:line="360" w:lineRule="auto"/>
      </w:pPr>
    </w:p>
    <w:p w14:paraId="67028E2C" w14:textId="77777777" w:rsidR="004227DD" w:rsidRDefault="00B418D3" w:rsidP="00322CD5">
      <w:pPr>
        <w:numPr>
          <w:ilvl w:val="1"/>
          <w:numId w:val="2"/>
        </w:numPr>
        <w:pBdr>
          <w:top w:val="nil"/>
          <w:left w:val="nil"/>
          <w:bottom w:val="nil"/>
          <w:right w:val="nil"/>
          <w:between w:val="nil"/>
        </w:pBdr>
        <w:spacing w:after="0" w:line="360" w:lineRule="auto"/>
        <w:ind w:left="993"/>
        <w:rPr>
          <w:color w:val="000000"/>
        </w:rPr>
      </w:pPr>
      <w:r>
        <w:rPr>
          <w:color w:val="000000"/>
        </w:rPr>
        <w:t>Dirección de Desarrollo Urbano</w:t>
      </w:r>
    </w:p>
    <w:p w14:paraId="68150B6B" w14:textId="77777777" w:rsidR="004227DD" w:rsidRDefault="00B418D3" w:rsidP="00322CD5">
      <w:pPr>
        <w:numPr>
          <w:ilvl w:val="1"/>
          <w:numId w:val="2"/>
        </w:numPr>
        <w:pBdr>
          <w:top w:val="nil"/>
          <w:left w:val="nil"/>
          <w:bottom w:val="nil"/>
          <w:right w:val="nil"/>
          <w:between w:val="nil"/>
        </w:pBdr>
        <w:spacing w:after="0" w:line="360" w:lineRule="auto"/>
        <w:ind w:left="993"/>
        <w:rPr>
          <w:color w:val="000000"/>
        </w:rPr>
      </w:pPr>
      <w:r>
        <w:rPr>
          <w:color w:val="000000"/>
        </w:rPr>
        <w:t>Dirección de Desarrollo Económico.</w:t>
      </w:r>
    </w:p>
    <w:p w14:paraId="0A63F51F" w14:textId="77777777" w:rsidR="004227DD" w:rsidRDefault="00B418D3" w:rsidP="00322CD5">
      <w:pPr>
        <w:numPr>
          <w:ilvl w:val="1"/>
          <w:numId w:val="2"/>
        </w:numPr>
        <w:pBdr>
          <w:top w:val="nil"/>
          <w:left w:val="nil"/>
          <w:bottom w:val="nil"/>
          <w:right w:val="nil"/>
          <w:between w:val="nil"/>
        </w:pBdr>
        <w:spacing w:after="0" w:line="360" w:lineRule="auto"/>
        <w:ind w:left="993"/>
        <w:rPr>
          <w:color w:val="000000"/>
        </w:rPr>
      </w:pPr>
      <w:r>
        <w:rPr>
          <w:color w:val="000000"/>
        </w:rPr>
        <w:t>Dirección General de Desarrollo Social y Humano</w:t>
      </w:r>
    </w:p>
    <w:p w14:paraId="37BF534B" w14:textId="77777777" w:rsidR="004227DD" w:rsidRDefault="00B418D3" w:rsidP="00322CD5">
      <w:pPr>
        <w:numPr>
          <w:ilvl w:val="1"/>
          <w:numId w:val="2"/>
        </w:numPr>
        <w:pBdr>
          <w:top w:val="nil"/>
          <w:left w:val="nil"/>
          <w:bottom w:val="nil"/>
          <w:right w:val="nil"/>
          <w:between w:val="nil"/>
        </w:pBdr>
        <w:spacing w:after="0" w:line="360" w:lineRule="auto"/>
        <w:ind w:left="993"/>
        <w:rPr>
          <w:color w:val="000000"/>
        </w:rPr>
      </w:pPr>
      <w:r>
        <w:rPr>
          <w:color w:val="000000"/>
        </w:rPr>
        <w:t>Presidencia</w:t>
      </w:r>
    </w:p>
    <w:p w14:paraId="41EB4474" w14:textId="77777777" w:rsidR="004227DD" w:rsidRDefault="00B418D3" w:rsidP="00322CD5">
      <w:pPr>
        <w:numPr>
          <w:ilvl w:val="1"/>
          <w:numId w:val="2"/>
        </w:numPr>
        <w:pBdr>
          <w:top w:val="nil"/>
          <w:left w:val="nil"/>
          <w:bottom w:val="nil"/>
          <w:right w:val="nil"/>
          <w:between w:val="nil"/>
        </w:pBdr>
        <w:spacing w:after="0" w:line="360" w:lineRule="auto"/>
        <w:ind w:left="993"/>
        <w:rPr>
          <w:color w:val="000000"/>
        </w:rPr>
      </w:pPr>
      <w:r>
        <w:rPr>
          <w:color w:val="000000"/>
        </w:rPr>
        <w:t>Tesorería Municipal.</w:t>
      </w:r>
    </w:p>
    <w:p w14:paraId="79ADF8AB" w14:textId="77777777" w:rsidR="004227DD" w:rsidRDefault="00B418D3" w:rsidP="00322CD5">
      <w:pPr>
        <w:numPr>
          <w:ilvl w:val="1"/>
          <w:numId w:val="2"/>
        </w:numPr>
        <w:pBdr>
          <w:top w:val="nil"/>
          <w:left w:val="nil"/>
          <w:bottom w:val="nil"/>
          <w:right w:val="nil"/>
          <w:between w:val="nil"/>
        </w:pBdr>
        <w:spacing w:after="0" w:line="360" w:lineRule="auto"/>
        <w:ind w:left="993"/>
        <w:rPr>
          <w:color w:val="000000"/>
        </w:rPr>
      </w:pPr>
      <w:r>
        <w:rPr>
          <w:color w:val="000000"/>
        </w:rPr>
        <w:t>Dirección General de Planeación Territorial y Obras Públicas</w:t>
      </w:r>
    </w:p>
    <w:p w14:paraId="2229B2DB" w14:textId="77777777" w:rsidR="004227DD" w:rsidRDefault="00B418D3" w:rsidP="00322CD5">
      <w:pPr>
        <w:numPr>
          <w:ilvl w:val="1"/>
          <w:numId w:val="2"/>
        </w:numPr>
        <w:pBdr>
          <w:top w:val="nil"/>
          <w:left w:val="nil"/>
          <w:bottom w:val="nil"/>
          <w:right w:val="nil"/>
          <w:between w:val="nil"/>
        </w:pBdr>
        <w:spacing w:after="0" w:line="360" w:lineRule="auto"/>
        <w:ind w:left="993"/>
        <w:rPr>
          <w:color w:val="000000"/>
        </w:rPr>
      </w:pPr>
      <w:r>
        <w:rPr>
          <w:color w:val="000000"/>
        </w:rPr>
        <w:t>Órgano Interno de Control</w:t>
      </w:r>
    </w:p>
    <w:p w14:paraId="34BF436A" w14:textId="77777777" w:rsidR="004227DD" w:rsidRDefault="004227DD">
      <w:pPr>
        <w:spacing w:after="0" w:line="360" w:lineRule="auto"/>
      </w:pPr>
    </w:p>
    <w:p w14:paraId="288A1AC4" w14:textId="77777777" w:rsidR="004227DD" w:rsidRDefault="00B418D3">
      <w:pPr>
        <w:spacing w:after="0" w:line="360" w:lineRule="auto"/>
      </w:pPr>
      <w:r>
        <w:t xml:space="preserve">Así pues, las áreas de las cuales se requirió la información forman parte de la estructura orgánica del Sujeto Obligado, y por tanto debe </w:t>
      </w:r>
      <w:r>
        <w:rPr>
          <w:b/>
        </w:rPr>
        <w:t>conocer de la información de dichas áreas.</w:t>
      </w:r>
      <w:r>
        <w:t xml:space="preserve"> </w:t>
      </w:r>
    </w:p>
    <w:p w14:paraId="5531A233" w14:textId="77777777" w:rsidR="004227DD" w:rsidRDefault="004227DD">
      <w:pPr>
        <w:spacing w:after="0" w:line="360" w:lineRule="auto"/>
      </w:pPr>
    </w:p>
    <w:p w14:paraId="6C2865ED" w14:textId="77777777" w:rsidR="004227DD" w:rsidRDefault="00B418D3">
      <w:pPr>
        <w:spacing w:after="0" w:line="360" w:lineRule="auto"/>
        <w:rPr>
          <w:b/>
        </w:rPr>
      </w:pPr>
      <w:r>
        <w:t xml:space="preserve">Al respecto de los gafetes o credenciales el Reglamento Interno para el personal del H. Ayuntamiento de Xonacatlán 2022-2024, señala en su artículo 44, fracciones X y XX que parte de las causas de rescisión de la relación de trabajo sin responsabilidad para el Ayuntamiento se encuentran las descritas en el artículo 93 de la Ley del trabajo de los Servidores Públicos del Estado y Municipios, además de diversas razones, entre ellas la de portar y hacer uso de credenciales de identificación no autorizadas por la autoridad competente, aunado a registrar asistencia con un gafete –credencial distinta al suyo, con lo que se advierte que el </w:t>
      </w:r>
      <w:r>
        <w:rPr>
          <w:b/>
        </w:rPr>
        <w:t>Sujeto Obligado emite credenciales o gafetes a favor de las personas servidoras públicas, en consecuencia debe conocer de la información.</w:t>
      </w:r>
      <w:r>
        <w:t xml:space="preserve"> </w:t>
      </w:r>
    </w:p>
    <w:p w14:paraId="64DB2869" w14:textId="77777777" w:rsidR="004227DD" w:rsidRDefault="004227DD">
      <w:pPr>
        <w:spacing w:after="0" w:line="360" w:lineRule="auto"/>
        <w:rPr>
          <w:b/>
        </w:rPr>
      </w:pPr>
    </w:p>
    <w:p w14:paraId="46AA32F7" w14:textId="77777777" w:rsidR="004227DD" w:rsidRDefault="004227DD">
      <w:pPr>
        <w:spacing w:after="0" w:line="360" w:lineRule="auto"/>
      </w:pPr>
    </w:p>
    <w:p w14:paraId="41186A4C" w14:textId="6C96E56E" w:rsidR="004227DD" w:rsidRDefault="00B418D3" w:rsidP="00322CD5">
      <w:pPr>
        <w:spacing w:after="0" w:line="360" w:lineRule="auto"/>
        <w:rPr>
          <w:color w:val="000000"/>
        </w:rPr>
      </w:pPr>
      <w:r>
        <w:lastRenderedPageBreak/>
        <w:t xml:space="preserve">Establecida dicha circunstancia, se procede analizar la información proporcionada por el Sujeto Obligado, por lo cual, en principio resulta necesario precisar que el Sujeto Obligado turno la solicitud de información, a la Tesorería Municipal; </w:t>
      </w:r>
      <w:r>
        <w:rPr>
          <w:color w:val="000000"/>
        </w:rPr>
        <w:t xml:space="preserve">por lo que, es necesario hacer referencia al procedimiento de búsqueda que deben de seguir los Sujetos Obligados para localizar la información, el cual se encuentra previsto </w:t>
      </w:r>
      <w:r w:rsidR="00322CD5">
        <w:rPr>
          <w:color w:val="000000"/>
        </w:rPr>
        <w:t>el artículo</w:t>
      </w:r>
      <w:r>
        <w:rPr>
          <w:color w:val="000000"/>
        </w:rPr>
        <w:t xml:space="preserve"> 162 de la Ley de Transparencia y Acceso a la Información Pública del Estado de México y Municipios, </w:t>
      </w:r>
      <w:r w:rsidR="00322CD5">
        <w:rPr>
          <w:color w:val="000000"/>
        </w:rPr>
        <w:t>el cual establece que las</w:t>
      </w:r>
      <w:r>
        <w:rPr>
          <w:color w:val="000000"/>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322CD5">
        <w:rPr>
          <w:color w:val="000000"/>
        </w:rPr>
        <w:t>.</w:t>
      </w:r>
    </w:p>
    <w:p w14:paraId="60B2BCC0" w14:textId="77777777" w:rsidR="004227DD" w:rsidRDefault="004227DD">
      <w:pPr>
        <w:spacing w:after="0" w:line="360" w:lineRule="auto"/>
        <w:ind w:left="720"/>
        <w:rPr>
          <w:color w:val="000000"/>
        </w:rPr>
      </w:pPr>
    </w:p>
    <w:p w14:paraId="184A898D" w14:textId="483D6363" w:rsidR="004227DD" w:rsidRDefault="00B418D3">
      <w:pPr>
        <w:spacing w:after="0" w:line="360" w:lineRule="auto"/>
      </w:pPr>
      <w:r>
        <w:t>Ahora bien, cabe precisar que, de conformidad con el Bando Municipal, en su artículo 49 la Tesorería Municipal tiene a su cargo la dependencia del Departamento de Recursos Humanos y Nómina, que de conformidad con el Manual de Organización, se advierte que dicho departamento se encarga del manejo de recursos humanos y procesos administrativos para el control del personal,</w:t>
      </w:r>
      <w:r>
        <w:rPr>
          <w:b/>
        </w:rPr>
        <w:t xml:space="preserve"> por lo que se advierte que en el presente caso se pronunció el área componente y se hizo el proceso de búsqueda debidamente. </w:t>
      </w:r>
    </w:p>
    <w:p w14:paraId="4C383DD6" w14:textId="77777777" w:rsidR="004227DD" w:rsidRDefault="004227DD">
      <w:pPr>
        <w:spacing w:after="0" w:line="360" w:lineRule="auto"/>
      </w:pPr>
    </w:p>
    <w:p w14:paraId="24A92511" w14:textId="77777777" w:rsidR="004227DD" w:rsidRDefault="00B418D3">
      <w:pPr>
        <w:spacing w:after="0" w:line="360" w:lineRule="auto"/>
        <w:rPr>
          <w:b/>
        </w:rPr>
      </w:pPr>
      <w:r>
        <w:t xml:space="preserve">En este contexto normativo vale la pena precisar que si bien respuesta inicial el Sujeto Obligado manifestó que los gafetes se encontraban en proceso de elaboración, durante la sustanciación del Recurso de Revisión modificó su respuesta inicial y </w:t>
      </w:r>
      <w:r>
        <w:rPr>
          <w:b/>
        </w:rPr>
        <w:t>remitió 63 gafetes acompañados nuevamente de la plantilla del personal en la que se enlistan las mismas personas, las cuales pertenecen a las siguientes:</w:t>
      </w:r>
    </w:p>
    <w:p w14:paraId="07FFCD5A" w14:textId="77777777" w:rsidR="004227DD" w:rsidRDefault="004227DD">
      <w:pPr>
        <w:spacing w:after="0" w:line="360" w:lineRule="auto"/>
        <w:rPr>
          <w:b/>
        </w:rPr>
      </w:pPr>
    </w:p>
    <w:p w14:paraId="7B75B6CE" w14:textId="77777777" w:rsidR="004227DD" w:rsidRDefault="00B418D3">
      <w:pPr>
        <w:numPr>
          <w:ilvl w:val="1"/>
          <w:numId w:val="2"/>
        </w:numPr>
        <w:pBdr>
          <w:top w:val="nil"/>
          <w:left w:val="nil"/>
          <w:bottom w:val="nil"/>
          <w:right w:val="nil"/>
          <w:between w:val="nil"/>
        </w:pBdr>
        <w:spacing w:after="0" w:line="360" w:lineRule="auto"/>
        <w:rPr>
          <w:color w:val="000000"/>
        </w:rPr>
      </w:pPr>
      <w:r>
        <w:rPr>
          <w:color w:val="000000"/>
        </w:rPr>
        <w:t>Dirección de Desarrollo Urbano</w:t>
      </w:r>
    </w:p>
    <w:p w14:paraId="6DF2F71E" w14:textId="7F5BA481" w:rsidR="004227DD" w:rsidRDefault="00B418D3">
      <w:pPr>
        <w:numPr>
          <w:ilvl w:val="1"/>
          <w:numId w:val="2"/>
        </w:numPr>
        <w:pBdr>
          <w:top w:val="nil"/>
          <w:left w:val="nil"/>
          <w:bottom w:val="nil"/>
          <w:right w:val="nil"/>
          <w:between w:val="nil"/>
        </w:pBdr>
        <w:spacing w:after="0" w:line="360" w:lineRule="auto"/>
        <w:rPr>
          <w:color w:val="000000"/>
        </w:rPr>
      </w:pPr>
      <w:r>
        <w:rPr>
          <w:color w:val="000000"/>
        </w:rPr>
        <w:t>Dirección de Desarrollo Económico</w:t>
      </w:r>
    </w:p>
    <w:p w14:paraId="4449105F" w14:textId="77777777" w:rsidR="009B48AF" w:rsidRDefault="009B48AF" w:rsidP="009B48AF">
      <w:pPr>
        <w:pBdr>
          <w:top w:val="nil"/>
          <w:left w:val="nil"/>
          <w:bottom w:val="nil"/>
          <w:right w:val="nil"/>
          <w:between w:val="nil"/>
        </w:pBdr>
        <w:spacing w:after="0" w:line="360" w:lineRule="auto"/>
        <w:ind w:left="1440"/>
        <w:rPr>
          <w:color w:val="000000"/>
        </w:rPr>
      </w:pPr>
    </w:p>
    <w:p w14:paraId="795CC59A" w14:textId="77777777" w:rsidR="009B48AF" w:rsidRDefault="009B48AF" w:rsidP="009B48AF">
      <w:pPr>
        <w:pBdr>
          <w:top w:val="nil"/>
          <w:left w:val="nil"/>
          <w:bottom w:val="nil"/>
          <w:right w:val="nil"/>
          <w:between w:val="nil"/>
        </w:pBdr>
        <w:spacing w:after="0" w:line="360" w:lineRule="auto"/>
        <w:ind w:left="1440"/>
        <w:rPr>
          <w:color w:val="000000"/>
        </w:rPr>
      </w:pPr>
    </w:p>
    <w:p w14:paraId="1CFF2486" w14:textId="77777777" w:rsidR="004227DD" w:rsidRDefault="00B418D3">
      <w:pPr>
        <w:numPr>
          <w:ilvl w:val="1"/>
          <w:numId w:val="2"/>
        </w:numPr>
        <w:pBdr>
          <w:top w:val="nil"/>
          <w:left w:val="nil"/>
          <w:bottom w:val="nil"/>
          <w:right w:val="nil"/>
          <w:between w:val="nil"/>
        </w:pBdr>
        <w:spacing w:after="0" w:line="360" w:lineRule="auto"/>
        <w:rPr>
          <w:color w:val="000000"/>
        </w:rPr>
      </w:pPr>
      <w:r>
        <w:rPr>
          <w:color w:val="000000"/>
        </w:rPr>
        <w:t>Dirección General de Desarrollo Social y Humano</w:t>
      </w:r>
    </w:p>
    <w:p w14:paraId="0328EE71" w14:textId="77777777" w:rsidR="004227DD" w:rsidRDefault="00B418D3">
      <w:pPr>
        <w:numPr>
          <w:ilvl w:val="1"/>
          <w:numId w:val="2"/>
        </w:numPr>
        <w:pBdr>
          <w:top w:val="nil"/>
          <w:left w:val="nil"/>
          <w:bottom w:val="nil"/>
          <w:right w:val="nil"/>
          <w:between w:val="nil"/>
        </w:pBdr>
        <w:spacing w:after="0" w:line="360" w:lineRule="auto"/>
        <w:rPr>
          <w:color w:val="000000"/>
        </w:rPr>
      </w:pPr>
      <w:r>
        <w:rPr>
          <w:color w:val="000000"/>
        </w:rPr>
        <w:t>Presidencia</w:t>
      </w:r>
    </w:p>
    <w:p w14:paraId="54501CA6" w14:textId="77777777" w:rsidR="004227DD" w:rsidRDefault="00B418D3">
      <w:pPr>
        <w:numPr>
          <w:ilvl w:val="1"/>
          <w:numId w:val="2"/>
        </w:numPr>
        <w:pBdr>
          <w:top w:val="nil"/>
          <w:left w:val="nil"/>
          <w:bottom w:val="nil"/>
          <w:right w:val="nil"/>
          <w:between w:val="nil"/>
        </w:pBdr>
        <w:spacing w:after="0" w:line="360" w:lineRule="auto"/>
        <w:rPr>
          <w:color w:val="000000"/>
        </w:rPr>
      </w:pPr>
      <w:r>
        <w:rPr>
          <w:color w:val="000000"/>
        </w:rPr>
        <w:t>Tesorería Municipal.</w:t>
      </w:r>
    </w:p>
    <w:p w14:paraId="2067DD9B" w14:textId="77777777" w:rsidR="004227DD" w:rsidRDefault="00B418D3">
      <w:pPr>
        <w:numPr>
          <w:ilvl w:val="1"/>
          <w:numId w:val="2"/>
        </w:numPr>
        <w:pBdr>
          <w:top w:val="nil"/>
          <w:left w:val="nil"/>
          <w:bottom w:val="nil"/>
          <w:right w:val="nil"/>
          <w:between w:val="nil"/>
        </w:pBdr>
        <w:spacing w:after="0" w:line="360" w:lineRule="auto"/>
        <w:rPr>
          <w:color w:val="000000"/>
        </w:rPr>
      </w:pPr>
      <w:r>
        <w:rPr>
          <w:color w:val="000000"/>
        </w:rPr>
        <w:t>Dirección General de Planeación Territorial y Obras Públicas</w:t>
      </w:r>
    </w:p>
    <w:p w14:paraId="4BAD50DC" w14:textId="77777777" w:rsidR="004227DD" w:rsidRDefault="00B418D3">
      <w:pPr>
        <w:numPr>
          <w:ilvl w:val="1"/>
          <w:numId w:val="2"/>
        </w:numPr>
        <w:pBdr>
          <w:top w:val="nil"/>
          <w:left w:val="nil"/>
          <w:bottom w:val="nil"/>
          <w:right w:val="nil"/>
          <w:between w:val="nil"/>
        </w:pBdr>
        <w:spacing w:after="0" w:line="360" w:lineRule="auto"/>
        <w:rPr>
          <w:color w:val="000000"/>
        </w:rPr>
      </w:pPr>
      <w:r>
        <w:rPr>
          <w:color w:val="000000"/>
        </w:rPr>
        <w:t>Órgano Interno de Control</w:t>
      </w:r>
    </w:p>
    <w:p w14:paraId="5303E1AF" w14:textId="77777777" w:rsidR="004227DD" w:rsidRDefault="004227DD">
      <w:pPr>
        <w:spacing w:after="0" w:line="360" w:lineRule="auto"/>
      </w:pPr>
    </w:p>
    <w:p w14:paraId="57866C11" w14:textId="77777777" w:rsidR="009B48AF" w:rsidRDefault="00B418D3" w:rsidP="00322CD5">
      <w:pPr>
        <w:spacing w:after="0" w:line="360" w:lineRule="auto"/>
        <w:rPr>
          <w:rFonts w:eastAsia="Times New Roman" w:cs="Tahoma"/>
          <w:bCs/>
          <w:iCs/>
          <w:lang w:eastAsia="es-ES"/>
        </w:rPr>
      </w:pPr>
      <w:r>
        <w:t xml:space="preserve">Cabe señalar </w:t>
      </w:r>
      <w:r w:rsidR="00322CD5">
        <w:t>que,</w:t>
      </w:r>
      <w:r>
        <w:t xml:space="preserve"> si bien la parte Recurrente al momento de redactar la solicitud de información requirió la entrega de la información en copias</w:t>
      </w:r>
      <w:r w:rsidR="00322CD5">
        <w:t xml:space="preserve">; por lo que, </w:t>
      </w:r>
      <w:r w:rsidR="00322CD5">
        <w:rPr>
          <w:rFonts w:eastAsia="Times New Roman" w:cs="Tahoma"/>
          <w:bCs/>
          <w:iCs/>
          <w:lang w:eastAsia="es-ES"/>
        </w:rPr>
        <w:t xml:space="preserve">este Instituto considera, que ordenar entregar dicha información en copia simple, causaría un perjuicio al derecho de acceso a la información del Solicitante, apartándose de los principios de sencillez, rapidez y gratuidad establecidos por la Ley de Transparencia y Acceso a la Información Pública del Estado de México y Municipios, toda vez que demoraría los plazos del procedimiento y generaría una carga adicional al Sujeto Obligado. </w:t>
      </w:r>
    </w:p>
    <w:p w14:paraId="457A4952" w14:textId="77777777" w:rsidR="009B48AF" w:rsidRDefault="009B48AF" w:rsidP="00322CD5">
      <w:pPr>
        <w:spacing w:after="0" w:line="360" w:lineRule="auto"/>
        <w:rPr>
          <w:rFonts w:eastAsia="Times New Roman" w:cs="Tahoma"/>
          <w:bCs/>
          <w:iCs/>
          <w:lang w:eastAsia="es-ES"/>
        </w:rPr>
      </w:pPr>
    </w:p>
    <w:p w14:paraId="6BA14989" w14:textId="5AECB220" w:rsidR="00322CD5" w:rsidRDefault="00322CD5" w:rsidP="00322CD5">
      <w:pPr>
        <w:spacing w:after="0" w:line="360" w:lineRule="auto"/>
        <w:rPr>
          <w:rFonts w:eastAsia="Times New Roman" w:cs="Tahoma"/>
          <w:bCs/>
          <w:iCs/>
          <w:lang w:eastAsia="es-ES"/>
        </w:rPr>
      </w:pPr>
      <w:r>
        <w:rPr>
          <w:rFonts w:eastAsia="Times New Roman" w:cs="Tahoma"/>
          <w:bCs/>
          <w:iCs/>
          <w:lang w:eastAsia="es-ES"/>
        </w:rPr>
        <w:t>Asimismo, cabe precisar que la copia simple, equivale a la reproducción literal de un documento, situación que de la misma manera sería la digitalización de este, por lo que, al obtener la información requerida través Sistema de Acceso a la Información Mexiquense (SAIMEX), el Recurrente puede imprimir dicha documentación para tenerla en el formato requerido, así, se considera que lo proporcionar en SAIMEX, hace las veces de copia simple.</w:t>
      </w:r>
    </w:p>
    <w:p w14:paraId="0DCBC426" w14:textId="77777777" w:rsidR="00322CD5" w:rsidRDefault="00322CD5">
      <w:pPr>
        <w:spacing w:after="0" w:line="360" w:lineRule="auto"/>
      </w:pPr>
    </w:p>
    <w:p w14:paraId="320DAC35" w14:textId="77777777" w:rsidR="004227DD" w:rsidRDefault="00B418D3">
      <w:pPr>
        <w:spacing w:after="0" w:line="360" w:lineRule="auto"/>
        <w:rPr>
          <w:color w:val="000000"/>
        </w:rPr>
      </w:pPr>
      <w:r>
        <w:rPr>
          <w:color w:val="000000"/>
        </w:rPr>
        <w:t xml:space="preserve">En este sentido, se aprecia que mediante informe justificado entregó los gafetes del personal señalado en la plantilla del personal que fue remitida tanto en respuesta como en informe justificado y concuerdan con las áreas de las cuales requirió la información, ante lo cual, cabe mencionar que este Organismo Garante no cuenta con facultades para pronunciarse sobre su veracidad, dado que no existe fuente obligacional que lo faculte para tales efectos, en consecuencia, con lo entregado en informe justificado, el Sujeto Obligado modificó la </w:t>
      </w:r>
      <w:r>
        <w:rPr>
          <w:color w:val="000000"/>
        </w:rPr>
        <w:lastRenderedPageBreak/>
        <w:t xml:space="preserve">respuesta inicial y entregó la información faltante, con lo que dejó sin materia el medio de impugnación, en consecuencia, es procedente </w:t>
      </w:r>
      <w:r>
        <w:rPr>
          <w:b/>
          <w:color w:val="000000"/>
        </w:rPr>
        <w:t>SOBRESEER</w:t>
      </w:r>
      <w:r>
        <w:rPr>
          <w:color w:val="000000"/>
        </w:rPr>
        <w:t xml:space="preserve"> el Recurso de Revisión que nos ocupa.</w:t>
      </w:r>
    </w:p>
    <w:p w14:paraId="51943C87" w14:textId="77777777" w:rsidR="004227DD" w:rsidRDefault="004227DD">
      <w:pPr>
        <w:spacing w:after="0" w:line="360" w:lineRule="auto"/>
        <w:rPr>
          <w:color w:val="000000"/>
        </w:rPr>
      </w:pPr>
    </w:p>
    <w:p w14:paraId="3EE2E7A0" w14:textId="77777777" w:rsidR="004227DD" w:rsidRDefault="00B418D3">
      <w:pPr>
        <w:pStyle w:val="Ttulo2"/>
        <w:spacing w:before="0" w:after="0" w:line="360" w:lineRule="auto"/>
        <w:rPr>
          <w:b w:val="0"/>
          <w:color w:val="000000"/>
          <w:sz w:val="22"/>
          <w:szCs w:val="22"/>
        </w:rPr>
      </w:pPr>
      <w:bookmarkStart w:id="11" w:name="_Toc205476336"/>
      <w:r>
        <w:rPr>
          <w:color w:val="000000"/>
          <w:sz w:val="22"/>
          <w:szCs w:val="22"/>
        </w:rPr>
        <w:t>CUARTO. Decisión</w:t>
      </w:r>
      <w:bookmarkEnd w:id="11"/>
    </w:p>
    <w:p w14:paraId="21DCC423" w14:textId="77777777" w:rsidR="004227DD" w:rsidRDefault="004227DD">
      <w:pPr>
        <w:spacing w:after="0" w:line="360" w:lineRule="auto"/>
        <w:rPr>
          <w:b/>
        </w:rPr>
      </w:pPr>
    </w:p>
    <w:p w14:paraId="2D5D327B" w14:textId="77777777" w:rsidR="004227DD" w:rsidRDefault="00B418D3">
      <w:pPr>
        <w:spacing w:after="0" w:line="360" w:lineRule="auto"/>
      </w:pPr>
      <w:r>
        <w:t xml:space="preserve">Con fundamento en lo dispuesto en el artículo 186, fracción I de la Ley de Transparencia y Acceso a la Información Pública del Estado de México y Municipios, se considera procedente </w:t>
      </w:r>
      <w:r>
        <w:rPr>
          <w:b/>
        </w:rPr>
        <w:t xml:space="preserve">SOBRESEER </w:t>
      </w:r>
      <w:r>
        <w:t xml:space="preserve">el Recurso de Revisión </w:t>
      </w:r>
      <w:r>
        <w:rPr>
          <w:b/>
        </w:rPr>
        <w:t>05671/INFOEM/IP/RR/2025</w:t>
      </w:r>
      <w:r>
        <w:t xml:space="preserve">, al modificar la respuesta a la solicitud de acceso a la información con número de folio </w:t>
      </w:r>
      <w:r>
        <w:rPr>
          <w:b/>
        </w:rPr>
        <w:t>00168/XONACAT/IP/2025.</w:t>
      </w:r>
      <w:r>
        <w:t xml:space="preserve"> </w:t>
      </w:r>
    </w:p>
    <w:p w14:paraId="6B666243" w14:textId="77777777" w:rsidR="004227DD" w:rsidRDefault="004227DD">
      <w:pPr>
        <w:spacing w:after="0" w:line="360" w:lineRule="auto"/>
      </w:pPr>
    </w:p>
    <w:p w14:paraId="51D48C6A" w14:textId="3E8EFDE5" w:rsidR="004227DD" w:rsidRPr="009B48AF" w:rsidRDefault="00B418D3">
      <w:pPr>
        <w:spacing w:after="0" w:line="360" w:lineRule="auto"/>
        <w:rPr>
          <w:b/>
        </w:rPr>
      </w:pPr>
      <w:r w:rsidRPr="009B48AF">
        <w:rPr>
          <w:b/>
        </w:rPr>
        <w:t>Términos de la Resolución para cono</w:t>
      </w:r>
      <w:r w:rsidR="0022054C">
        <w:rPr>
          <w:b/>
        </w:rPr>
        <w:t>cimiento de la parte Recurrente</w:t>
      </w:r>
    </w:p>
    <w:p w14:paraId="621BA3E2" w14:textId="77777777" w:rsidR="004227DD" w:rsidRPr="009B48AF" w:rsidRDefault="004227DD">
      <w:pPr>
        <w:spacing w:after="0" w:line="360" w:lineRule="auto"/>
        <w:rPr>
          <w:b/>
        </w:rPr>
      </w:pPr>
    </w:p>
    <w:p w14:paraId="596B0C16" w14:textId="77777777" w:rsidR="004227DD" w:rsidRPr="009B48AF" w:rsidRDefault="00B418D3">
      <w:pPr>
        <w:spacing w:after="0" w:line="360" w:lineRule="auto"/>
      </w:pPr>
      <w:r w:rsidRPr="009B48AF">
        <w:t>Se le hace del conocimiento de la parte Recurrente que, el Sujeto Obligado mediante informe justificado, proporcionó los gafetes o credenciales del personal adscrito a las áreas solicitadas, por lo que modificó la respuesta inicial para satisfacer su requerimiento, en consecuencia, se determinó tener por terminado el presente asunto.</w:t>
      </w:r>
    </w:p>
    <w:p w14:paraId="7ABB92E9" w14:textId="77777777" w:rsidR="004227DD" w:rsidRPr="009B48AF" w:rsidRDefault="004227DD">
      <w:pPr>
        <w:spacing w:after="0" w:line="360" w:lineRule="auto"/>
      </w:pPr>
    </w:p>
    <w:p w14:paraId="08FFFC91" w14:textId="77777777" w:rsidR="004227DD" w:rsidRPr="009B48AF" w:rsidRDefault="00B418D3">
      <w:pPr>
        <w:spacing w:after="0" w:line="360" w:lineRule="auto"/>
        <w:rPr>
          <w:color w:val="0D0D0D"/>
        </w:rPr>
      </w:pPr>
      <w:r w:rsidRPr="009B48AF">
        <w:rPr>
          <w:color w:val="0D0D0D"/>
        </w:rPr>
        <w:t xml:space="preserve">Finalmente, se le informa que la </w:t>
      </w:r>
      <w:r w:rsidRPr="009B48AF">
        <w:t>labor de este Instituto de Transparencia, Acceso a la Información Pública y Protección de Datos Personales del Estado de México y Municipios, es apoyar a la población a acceder a la información pública y garantizar la protección de los datos personales.</w:t>
      </w:r>
    </w:p>
    <w:p w14:paraId="5F890D55" w14:textId="77777777" w:rsidR="004227DD" w:rsidRDefault="004227DD">
      <w:pPr>
        <w:spacing w:after="0" w:line="360" w:lineRule="auto"/>
        <w:rPr>
          <w:u w:val="single"/>
        </w:rPr>
      </w:pPr>
    </w:p>
    <w:p w14:paraId="27D15ABC" w14:textId="77777777" w:rsidR="004227DD" w:rsidRDefault="00B418D3">
      <w:pPr>
        <w:spacing w:after="0" w:line="360" w:lineRule="auto"/>
      </w:pPr>
      <w:r>
        <w:t>Por lo expuesto y fundado, este Pleno:</w:t>
      </w:r>
    </w:p>
    <w:p w14:paraId="2592A482" w14:textId="77777777" w:rsidR="004227DD" w:rsidRDefault="004227DD">
      <w:pPr>
        <w:spacing w:after="0" w:line="360" w:lineRule="auto"/>
      </w:pPr>
    </w:p>
    <w:p w14:paraId="14E62F1F" w14:textId="77777777" w:rsidR="009B48AF" w:rsidRDefault="009B48AF">
      <w:pPr>
        <w:spacing w:after="0" w:line="360" w:lineRule="auto"/>
      </w:pPr>
    </w:p>
    <w:p w14:paraId="71BF979E" w14:textId="77777777" w:rsidR="009B48AF" w:rsidRDefault="009B48AF">
      <w:pPr>
        <w:spacing w:after="0" w:line="360" w:lineRule="auto"/>
      </w:pPr>
    </w:p>
    <w:p w14:paraId="5235E2E7" w14:textId="77777777" w:rsidR="009B48AF" w:rsidRDefault="009B48AF">
      <w:pPr>
        <w:spacing w:after="0" w:line="360" w:lineRule="auto"/>
      </w:pPr>
    </w:p>
    <w:p w14:paraId="05BDCA46" w14:textId="77777777" w:rsidR="004227DD" w:rsidRDefault="00B418D3">
      <w:pPr>
        <w:pStyle w:val="Ttulo1"/>
        <w:spacing w:before="0" w:after="0" w:line="360" w:lineRule="auto"/>
        <w:jc w:val="center"/>
        <w:rPr>
          <w:sz w:val="22"/>
          <w:szCs w:val="22"/>
        </w:rPr>
      </w:pPr>
      <w:bookmarkStart w:id="12" w:name="_Toc205476337"/>
      <w:r>
        <w:rPr>
          <w:sz w:val="22"/>
          <w:szCs w:val="22"/>
        </w:rPr>
        <w:t>R E S U E L V E</w:t>
      </w:r>
      <w:bookmarkEnd w:id="12"/>
    </w:p>
    <w:p w14:paraId="5D059800" w14:textId="77777777" w:rsidR="004227DD" w:rsidRDefault="004227DD">
      <w:pPr>
        <w:spacing w:after="0" w:line="360" w:lineRule="auto"/>
      </w:pPr>
    </w:p>
    <w:p w14:paraId="3AA51729" w14:textId="77777777" w:rsidR="004227DD" w:rsidRDefault="00B418D3">
      <w:pPr>
        <w:spacing w:after="0" w:line="360" w:lineRule="auto"/>
        <w:rPr>
          <w:b/>
        </w:rPr>
      </w:pPr>
      <w:bookmarkStart w:id="13" w:name="_heading=h.99grdyftjgjp" w:colFirst="0" w:colLast="0"/>
      <w:bookmarkEnd w:id="13"/>
      <w:r>
        <w:rPr>
          <w:b/>
        </w:rPr>
        <w:t xml:space="preserve">PRIMERO. </w:t>
      </w:r>
      <w:r>
        <w:t xml:space="preserve">Se </w:t>
      </w:r>
      <w:r>
        <w:rPr>
          <w:b/>
        </w:rPr>
        <w:t xml:space="preserve">SOBRESEE </w:t>
      </w:r>
      <w:r>
        <w:t>el Recurso de Revisión con número</w:t>
      </w:r>
      <w:r>
        <w:rPr>
          <w:b/>
        </w:rPr>
        <w:t xml:space="preserve"> 05671/INFOEM/IP/RR/2025</w:t>
      </w:r>
      <w:r>
        <w:t>, en términos del artículo 192, fracción III, de la Ley de Transparencia y Acceso a la Información Pública del Estado de México y Municipios,</w:t>
      </w:r>
      <w:r>
        <w:rPr>
          <w:b/>
        </w:rPr>
        <w:t xml:space="preserve"> </w:t>
      </w:r>
      <w:r>
        <w:t>porque el Sujeto Obligado, al modificar la respuesta a la solicitud de acceso a la información,</w:t>
      </w:r>
      <w:r>
        <w:rPr>
          <w:b/>
        </w:rPr>
        <w:t xml:space="preserve"> </w:t>
      </w:r>
      <w:r>
        <w:t>el Medio de Impugnación, quedó sin materia, en términos de los Considerandos</w:t>
      </w:r>
      <w:r>
        <w:rPr>
          <w:b/>
        </w:rPr>
        <w:t xml:space="preserve"> TERCERO </w:t>
      </w:r>
      <w:r>
        <w:t>y</w:t>
      </w:r>
      <w:r>
        <w:rPr>
          <w:b/>
        </w:rPr>
        <w:t xml:space="preserve"> CUARTO </w:t>
      </w:r>
      <w:r>
        <w:t>de la presente Resolución.</w:t>
      </w:r>
    </w:p>
    <w:p w14:paraId="6A764D98" w14:textId="77777777" w:rsidR="004227DD" w:rsidRDefault="004227DD">
      <w:pPr>
        <w:spacing w:after="0" w:line="360" w:lineRule="auto"/>
        <w:rPr>
          <w:b/>
          <w:i/>
        </w:rPr>
      </w:pPr>
    </w:p>
    <w:p w14:paraId="578BA7EB" w14:textId="77777777" w:rsidR="004227DD" w:rsidRDefault="00B418D3">
      <w:pPr>
        <w:spacing w:after="0" w:line="360" w:lineRule="auto"/>
        <w:rPr>
          <w:b/>
        </w:rPr>
      </w:pPr>
      <w:r>
        <w:rPr>
          <w:b/>
        </w:rPr>
        <w:t xml:space="preserve">SEGUNDO. NOTIFÍQUESE POR SAIMEX </w:t>
      </w:r>
      <w:r>
        <w:t>la presente Resolución al Titular de la Unidad de Transparencia del Sujeto Obligado.</w:t>
      </w:r>
    </w:p>
    <w:p w14:paraId="23B5CB33" w14:textId="77777777" w:rsidR="004227DD" w:rsidRDefault="004227DD">
      <w:pPr>
        <w:spacing w:after="0" w:line="360" w:lineRule="auto"/>
        <w:rPr>
          <w:b/>
          <w:i/>
        </w:rPr>
      </w:pPr>
    </w:p>
    <w:p w14:paraId="10411B6D" w14:textId="77777777" w:rsidR="004227DD" w:rsidRDefault="00B418D3">
      <w:pPr>
        <w:spacing w:after="0" w:line="360" w:lineRule="auto"/>
        <w:rPr>
          <w:b/>
        </w:rPr>
      </w:pPr>
      <w:r>
        <w:rPr>
          <w:b/>
        </w:rPr>
        <w:t xml:space="preserve">TERCERO. NOTIFÍQUESE POR SAIMEX </w:t>
      </w:r>
      <w: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CC5EB68" w14:textId="77777777" w:rsidR="004227DD" w:rsidRDefault="004227DD">
      <w:pPr>
        <w:spacing w:after="0" w:line="360" w:lineRule="auto"/>
        <w:rPr>
          <w:b/>
        </w:rPr>
      </w:pPr>
    </w:p>
    <w:p w14:paraId="3FE4C135" w14:textId="001A7CB3" w:rsidR="004227DD" w:rsidRDefault="00B418D3">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45D4F295" w14:textId="77777777" w:rsidR="004227DD" w:rsidRDefault="004227DD">
      <w:pPr>
        <w:spacing w:after="0" w:line="360" w:lineRule="auto"/>
      </w:pPr>
    </w:p>
    <w:p w14:paraId="156B204A" w14:textId="77777777" w:rsidR="004227DD" w:rsidRDefault="004227DD">
      <w:pPr>
        <w:spacing w:after="0" w:line="360" w:lineRule="auto"/>
      </w:pPr>
    </w:p>
    <w:p w14:paraId="49C26869" w14:textId="77777777" w:rsidR="004227DD" w:rsidRDefault="004227DD">
      <w:pPr>
        <w:spacing w:after="0" w:line="360" w:lineRule="auto"/>
      </w:pPr>
    </w:p>
    <w:p w14:paraId="422C6075" w14:textId="77777777" w:rsidR="004227DD" w:rsidRDefault="004227DD">
      <w:pPr>
        <w:spacing w:after="0" w:line="360" w:lineRule="auto"/>
      </w:pPr>
    </w:p>
    <w:p w14:paraId="3B7D39F4" w14:textId="77777777" w:rsidR="004227DD" w:rsidRDefault="004227DD">
      <w:pPr>
        <w:spacing w:after="0" w:line="360" w:lineRule="auto"/>
      </w:pPr>
    </w:p>
    <w:p w14:paraId="4E250A20" w14:textId="77777777" w:rsidR="004227DD" w:rsidRDefault="004227DD">
      <w:pPr>
        <w:spacing w:after="0" w:line="360" w:lineRule="auto"/>
      </w:pPr>
    </w:p>
    <w:p w14:paraId="7E024836" w14:textId="77777777" w:rsidR="004227DD" w:rsidRDefault="004227DD">
      <w:pPr>
        <w:spacing w:after="0" w:line="360" w:lineRule="auto"/>
      </w:pPr>
    </w:p>
    <w:p w14:paraId="3899309C" w14:textId="77777777" w:rsidR="004227DD" w:rsidRDefault="004227DD">
      <w:pPr>
        <w:spacing w:after="0" w:line="360" w:lineRule="auto"/>
      </w:pPr>
    </w:p>
    <w:p w14:paraId="67EAA736" w14:textId="77777777" w:rsidR="004227DD" w:rsidRDefault="004227DD">
      <w:pPr>
        <w:spacing w:after="0" w:line="360" w:lineRule="auto"/>
      </w:pPr>
    </w:p>
    <w:p w14:paraId="301DBAF4" w14:textId="77777777" w:rsidR="004227DD" w:rsidRDefault="004227DD">
      <w:pPr>
        <w:spacing w:after="0" w:line="360" w:lineRule="auto"/>
      </w:pPr>
    </w:p>
    <w:p w14:paraId="7F99F189" w14:textId="77777777" w:rsidR="004227DD" w:rsidRDefault="004227DD">
      <w:pPr>
        <w:spacing w:after="0" w:line="360" w:lineRule="auto"/>
      </w:pPr>
    </w:p>
    <w:p w14:paraId="4FD41F3D" w14:textId="77777777" w:rsidR="004227DD" w:rsidRDefault="004227DD">
      <w:pPr>
        <w:spacing w:after="0" w:line="360" w:lineRule="auto"/>
      </w:pPr>
    </w:p>
    <w:p w14:paraId="17BF346A" w14:textId="77777777" w:rsidR="004227DD" w:rsidRDefault="004227DD">
      <w:pPr>
        <w:spacing w:after="0" w:line="360" w:lineRule="auto"/>
      </w:pPr>
    </w:p>
    <w:p w14:paraId="1D4A8467" w14:textId="77777777" w:rsidR="004227DD" w:rsidRDefault="004227DD">
      <w:pPr>
        <w:spacing w:after="0" w:line="360" w:lineRule="auto"/>
      </w:pPr>
    </w:p>
    <w:p w14:paraId="4EC6183E" w14:textId="77777777" w:rsidR="004227DD" w:rsidRDefault="004227DD">
      <w:pPr>
        <w:spacing w:after="0" w:line="360" w:lineRule="auto"/>
      </w:pPr>
    </w:p>
    <w:p w14:paraId="209CDE8A" w14:textId="77777777" w:rsidR="004227DD" w:rsidRDefault="004227DD">
      <w:pPr>
        <w:spacing w:after="0" w:line="360" w:lineRule="auto"/>
      </w:pPr>
    </w:p>
    <w:p w14:paraId="3D1209B5" w14:textId="77777777" w:rsidR="004227DD" w:rsidRDefault="004227DD">
      <w:pPr>
        <w:spacing w:after="0" w:line="360" w:lineRule="auto"/>
      </w:pPr>
    </w:p>
    <w:p w14:paraId="780B39B8" w14:textId="77777777" w:rsidR="004227DD" w:rsidRDefault="004227DD">
      <w:pPr>
        <w:spacing w:after="0" w:line="360" w:lineRule="auto"/>
      </w:pPr>
    </w:p>
    <w:p w14:paraId="61B2474C" w14:textId="77777777" w:rsidR="004227DD" w:rsidRDefault="004227DD">
      <w:pPr>
        <w:spacing w:after="0" w:line="360" w:lineRule="auto"/>
      </w:pPr>
    </w:p>
    <w:p w14:paraId="0F660767" w14:textId="77777777" w:rsidR="004227DD" w:rsidRDefault="004227DD">
      <w:pPr>
        <w:spacing w:after="0" w:line="360" w:lineRule="auto"/>
      </w:pPr>
    </w:p>
    <w:p w14:paraId="5836B742" w14:textId="77777777" w:rsidR="004227DD" w:rsidRDefault="004227DD">
      <w:pPr>
        <w:spacing w:after="0" w:line="360" w:lineRule="auto"/>
      </w:pPr>
    </w:p>
    <w:p w14:paraId="46214BB3" w14:textId="77777777" w:rsidR="004227DD" w:rsidRDefault="004227DD">
      <w:pPr>
        <w:spacing w:after="0" w:line="360" w:lineRule="auto"/>
      </w:pPr>
    </w:p>
    <w:p w14:paraId="0661DB03" w14:textId="77777777" w:rsidR="004227DD" w:rsidRDefault="004227DD">
      <w:pPr>
        <w:spacing w:after="0" w:line="360" w:lineRule="auto"/>
      </w:pPr>
    </w:p>
    <w:p w14:paraId="731BB26A" w14:textId="77777777" w:rsidR="004227DD" w:rsidRDefault="004227DD">
      <w:pPr>
        <w:spacing w:after="0" w:line="360" w:lineRule="auto"/>
      </w:pPr>
    </w:p>
    <w:sectPr w:rsidR="004227DD">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CCE23" w14:textId="77777777" w:rsidR="003976E0" w:rsidRDefault="003976E0">
      <w:pPr>
        <w:spacing w:after="0" w:line="240" w:lineRule="auto"/>
      </w:pPr>
      <w:r>
        <w:separator/>
      </w:r>
    </w:p>
  </w:endnote>
  <w:endnote w:type="continuationSeparator" w:id="0">
    <w:p w14:paraId="78B5B589" w14:textId="77777777" w:rsidR="003976E0" w:rsidRDefault="0039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AF5F4" w14:textId="374E4B9A" w:rsidR="004227DD" w:rsidRDefault="00B418D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32C1">
      <w:rPr>
        <w:b/>
        <w:noProof/>
        <w:color w:val="000000"/>
        <w:sz w:val="24"/>
        <w:szCs w:val="24"/>
      </w:rPr>
      <w:t>16</w:t>
    </w:r>
    <w:r>
      <w:rPr>
        <w:b/>
        <w:color w:val="000000"/>
        <w:sz w:val="24"/>
        <w:szCs w:val="24"/>
      </w:rPr>
      <w:fldChar w:fldCharType="end"/>
    </w:r>
  </w:p>
  <w:p w14:paraId="2A4A77EB" w14:textId="77777777" w:rsidR="004227DD" w:rsidRDefault="004227D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A694D" w14:textId="77777777" w:rsidR="004227DD" w:rsidRDefault="00B418D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6117B">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6117B">
      <w:rPr>
        <w:b/>
        <w:noProof/>
        <w:color w:val="000000"/>
        <w:sz w:val="24"/>
        <w:szCs w:val="24"/>
      </w:rPr>
      <w:t>16</w:t>
    </w:r>
    <w:r>
      <w:rPr>
        <w:b/>
        <w:color w:val="000000"/>
        <w:sz w:val="24"/>
        <w:szCs w:val="24"/>
      </w:rPr>
      <w:fldChar w:fldCharType="end"/>
    </w:r>
  </w:p>
  <w:p w14:paraId="4B766EA9" w14:textId="77777777" w:rsidR="004227DD" w:rsidRDefault="004227D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7E982" w14:textId="77777777" w:rsidR="004227DD" w:rsidRDefault="00B418D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6117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6117B">
      <w:rPr>
        <w:b/>
        <w:noProof/>
        <w:color w:val="000000"/>
        <w:sz w:val="24"/>
        <w:szCs w:val="24"/>
      </w:rPr>
      <w:t>16</w:t>
    </w:r>
    <w:r>
      <w:rPr>
        <w:b/>
        <w:color w:val="000000"/>
        <w:sz w:val="24"/>
        <w:szCs w:val="24"/>
      </w:rPr>
      <w:fldChar w:fldCharType="end"/>
    </w:r>
  </w:p>
  <w:p w14:paraId="40561198" w14:textId="77777777" w:rsidR="004227DD" w:rsidRDefault="004227D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99905" w14:textId="77777777" w:rsidR="003976E0" w:rsidRDefault="003976E0">
      <w:pPr>
        <w:spacing w:after="0" w:line="240" w:lineRule="auto"/>
      </w:pPr>
      <w:r>
        <w:separator/>
      </w:r>
    </w:p>
  </w:footnote>
  <w:footnote w:type="continuationSeparator" w:id="0">
    <w:p w14:paraId="6092979F" w14:textId="77777777" w:rsidR="003976E0" w:rsidRDefault="00397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4CC0D" w14:textId="77777777" w:rsidR="004227DD" w:rsidRDefault="004227DD">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227DD" w14:paraId="419BDD7C" w14:textId="77777777">
      <w:trPr>
        <w:trHeight w:val="132"/>
      </w:trPr>
      <w:tc>
        <w:tcPr>
          <w:tcW w:w="2691" w:type="dxa"/>
        </w:tcPr>
        <w:p w14:paraId="3E14ECFC" w14:textId="77777777" w:rsidR="004227DD" w:rsidRDefault="00B418D3">
          <w:pPr>
            <w:tabs>
              <w:tab w:val="right" w:pos="8838"/>
            </w:tabs>
            <w:ind w:right="-105"/>
            <w:rPr>
              <w:b/>
            </w:rPr>
          </w:pPr>
          <w:r>
            <w:rPr>
              <w:b/>
            </w:rPr>
            <w:t>Recurso de Revisión:</w:t>
          </w:r>
        </w:p>
      </w:tc>
      <w:tc>
        <w:tcPr>
          <w:tcW w:w="3405" w:type="dxa"/>
        </w:tcPr>
        <w:p w14:paraId="43D4465B" w14:textId="77777777" w:rsidR="004227DD" w:rsidRDefault="00B418D3">
          <w:pPr>
            <w:tabs>
              <w:tab w:val="right" w:pos="8838"/>
            </w:tabs>
            <w:ind w:left="-28" w:right="-32"/>
          </w:pPr>
          <w:r>
            <w:t>03846/INFOEM/IP/RR/2020</w:t>
          </w:r>
        </w:p>
      </w:tc>
    </w:tr>
    <w:tr w:rsidR="004227DD" w14:paraId="02F26DCD" w14:textId="77777777">
      <w:trPr>
        <w:trHeight w:val="261"/>
      </w:trPr>
      <w:tc>
        <w:tcPr>
          <w:tcW w:w="2691" w:type="dxa"/>
        </w:tcPr>
        <w:p w14:paraId="138CC261" w14:textId="77777777" w:rsidR="004227DD" w:rsidRDefault="00B418D3">
          <w:pPr>
            <w:tabs>
              <w:tab w:val="right" w:pos="8838"/>
            </w:tabs>
            <w:ind w:right="-105"/>
            <w:rPr>
              <w:b/>
            </w:rPr>
          </w:pPr>
          <w:r>
            <w:rPr>
              <w:b/>
            </w:rPr>
            <w:t>Sujeto Obligado:</w:t>
          </w:r>
        </w:p>
      </w:tc>
      <w:tc>
        <w:tcPr>
          <w:tcW w:w="3405" w:type="dxa"/>
        </w:tcPr>
        <w:p w14:paraId="1A09BF09" w14:textId="77777777" w:rsidR="004227DD" w:rsidRDefault="00B418D3">
          <w:pPr>
            <w:tabs>
              <w:tab w:val="right" w:pos="8838"/>
            </w:tabs>
            <w:ind w:right="-32"/>
          </w:pPr>
          <w:r>
            <w:t>Ayuntamiento de Temascalcingo</w:t>
          </w:r>
        </w:p>
      </w:tc>
    </w:tr>
    <w:tr w:rsidR="004227DD" w14:paraId="04E39411" w14:textId="77777777">
      <w:trPr>
        <w:trHeight w:val="261"/>
      </w:trPr>
      <w:tc>
        <w:tcPr>
          <w:tcW w:w="2691" w:type="dxa"/>
        </w:tcPr>
        <w:p w14:paraId="296B076C" w14:textId="77777777" w:rsidR="004227DD" w:rsidRDefault="00B418D3">
          <w:pPr>
            <w:tabs>
              <w:tab w:val="right" w:pos="8838"/>
            </w:tabs>
            <w:ind w:right="-105"/>
            <w:rPr>
              <w:b/>
            </w:rPr>
          </w:pPr>
          <w:r>
            <w:rPr>
              <w:b/>
            </w:rPr>
            <w:t>Comisionado Ponente:</w:t>
          </w:r>
        </w:p>
      </w:tc>
      <w:tc>
        <w:tcPr>
          <w:tcW w:w="3405" w:type="dxa"/>
        </w:tcPr>
        <w:p w14:paraId="0A088BB0" w14:textId="77777777" w:rsidR="004227DD" w:rsidRDefault="00B418D3">
          <w:pPr>
            <w:tabs>
              <w:tab w:val="right" w:pos="8838"/>
            </w:tabs>
            <w:ind w:right="-32"/>
            <w:rPr>
              <w:b/>
            </w:rPr>
          </w:pPr>
          <w:r>
            <w:t>Luis Gustavo Parra Noriega</w:t>
          </w:r>
        </w:p>
      </w:tc>
    </w:tr>
  </w:tbl>
  <w:p w14:paraId="29B3FB56" w14:textId="77777777" w:rsidR="004227DD" w:rsidRDefault="0006117B">
    <w:pPr>
      <w:pBdr>
        <w:top w:val="nil"/>
        <w:left w:val="nil"/>
        <w:bottom w:val="nil"/>
        <w:right w:val="nil"/>
        <w:between w:val="nil"/>
      </w:pBdr>
      <w:tabs>
        <w:tab w:val="center" w:pos="4419"/>
        <w:tab w:val="right" w:pos="8838"/>
      </w:tabs>
      <w:spacing w:after="0" w:line="240" w:lineRule="auto"/>
      <w:rPr>
        <w:color w:val="000000"/>
      </w:rPr>
    </w:pPr>
    <w:r>
      <w:rPr>
        <w:color w:val="000000"/>
      </w:rPr>
      <w:pict w14:anchorId="251C2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ECC22" w14:textId="77777777" w:rsidR="004227DD" w:rsidRDefault="0006117B">
    <w:pPr>
      <w:widowControl w:val="0"/>
      <w:pBdr>
        <w:top w:val="nil"/>
        <w:left w:val="nil"/>
        <w:bottom w:val="nil"/>
        <w:right w:val="nil"/>
        <w:between w:val="nil"/>
      </w:pBdr>
      <w:spacing w:after="0" w:line="276" w:lineRule="auto"/>
      <w:jc w:val="left"/>
    </w:pPr>
    <w:r>
      <w:rPr>
        <w:color w:val="000000"/>
      </w:rPr>
      <w:pict w14:anchorId="4556C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3"/>
      <w:tblW w:w="5529"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268"/>
      <w:gridCol w:w="3261"/>
    </w:tblGrid>
    <w:tr w:rsidR="004227DD" w14:paraId="66CAB760" w14:textId="77777777">
      <w:trPr>
        <w:trHeight w:val="138"/>
      </w:trPr>
      <w:tc>
        <w:tcPr>
          <w:tcW w:w="2268" w:type="dxa"/>
          <w:vAlign w:val="center"/>
        </w:tcPr>
        <w:p w14:paraId="3219FF81" w14:textId="77777777" w:rsidR="004227DD" w:rsidRDefault="004227DD">
          <w:pPr>
            <w:tabs>
              <w:tab w:val="right" w:pos="8838"/>
            </w:tabs>
            <w:ind w:left="-108" w:right="-105"/>
            <w:jc w:val="left"/>
            <w:rPr>
              <w:b/>
            </w:rPr>
          </w:pPr>
        </w:p>
        <w:p w14:paraId="2A6BD8D2" w14:textId="77777777" w:rsidR="004227DD" w:rsidRDefault="00B418D3">
          <w:pPr>
            <w:tabs>
              <w:tab w:val="right" w:pos="8838"/>
            </w:tabs>
            <w:ind w:left="-108" w:right="-105"/>
            <w:jc w:val="left"/>
            <w:rPr>
              <w:b/>
            </w:rPr>
          </w:pPr>
          <w:r>
            <w:rPr>
              <w:b/>
            </w:rPr>
            <w:t>Recurso de Revisión:</w:t>
          </w:r>
        </w:p>
      </w:tc>
      <w:tc>
        <w:tcPr>
          <w:tcW w:w="3261" w:type="dxa"/>
        </w:tcPr>
        <w:p w14:paraId="0669CBC8" w14:textId="77777777" w:rsidR="004227DD" w:rsidRDefault="004227DD">
          <w:pPr>
            <w:tabs>
              <w:tab w:val="right" w:pos="8838"/>
            </w:tabs>
            <w:ind w:right="57"/>
          </w:pPr>
        </w:p>
        <w:p w14:paraId="23BB62D1" w14:textId="77777777" w:rsidR="004227DD" w:rsidRDefault="00B418D3">
          <w:pPr>
            <w:tabs>
              <w:tab w:val="right" w:pos="8838"/>
            </w:tabs>
            <w:ind w:right="57"/>
          </w:pPr>
          <w:r>
            <w:t>05671/INFOEM/IP/RR/2025</w:t>
          </w:r>
        </w:p>
      </w:tc>
    </w:tr>
    <w:tr w:rsidR="004227DD" w14:paraId="79F4117E" w14:textId="77777777">
      <w:trPr>
        <w:trHeight w:val="273"/>
      </w:trPr>
      <w:tc>
        <w:tcPr>
          <w:tcW w:w="2268" w:type="dxa"/>
        </w:tcPr>
        <w:p w14:paraId="09E9DAB6" w14:textId="77777777" w:rsidR="004227DD" w:rsidRDefault="00B418D3">
          <w:pPr>
            <w:tabs>
              <w:tab w:val="right" w:pos="8838"/>
            </w:tabs>
            <w:ind w:left="-108" w:right="-105"/>
            <w:rPr>
              <w:b/>
            </w:rPr>
          </w:pPr>
          <w:r>
            <w:rPr>
              <w:b/>
            </w:rPr>
            <w:t>Sujeto Obligado:</w:t>
          </w:r>
        </w:p>
      </w:tc>
      <w:tc>
        <w:tcPr>
          <w:tcW w:w="3261" w:type="dxa"/>
        </w:tcPr>
        <w:p w14:paraId="6B781CC1" w14:textId="77777777" w:rsidR="004227DD" w:rsidRDefault="00B418D3">
          <w:pPr>
            <w:tabs>
              <w:tab w:val="right" w:pos="8838"/>
            </w:tabs>
            <w:ind w:right="180"/>
          </w:pPr>
          <w:r>
            <w:t>Ayuntamiento de Xonacatlán</w:t>
          </w:r>
        </w:p>
      </w:tc>
    </w:tr>
    <w:tr w:rsidR="004227DD" w14:paraId="441E9B24" w14:textId="77777777">
      <w:trPr>
        <w:trHeight w:val="273"/>
      </w:trPr>
      <w:tc>
        <w:tcPr>
          <w:tcW w:w="2268" w:type="dxa"/>
        </w:tcPr>
        <w:p w14:paraId="235018DE" w14:textId="77777777" w:rsidR="004227DD" w:rsidRDefault="00B418D3">
          <w:pPr>
            <w:tabs>
              <w:tab w:val="right" w:pos="8838"/>
            </w:tabs>
            <w:ind w:left="-108" w:right="-105"/>
            <w:rPr>
              <w:b/>
            </w:rPr>
          </w:pPr>
          <w:r>
            <w:rPr>
              <w:b/>
            </w:rPr>
            <w:t>Comisionado Ponente:</w:t>
          </w:r>
        </w:p>
      </w:tc>
      <w:tc>
        <w:tcPr>
          <w:tcW w:w="3261" w:type="dxa"/>
        </w:tcPr>
        <w:p w14:paraId="52D6CD7F" w14:textId="77777777" w:rsidR="004227DD" w:rsidRDefault="00B418D3">
          <w:pPr>
            <w:tabs>
              <w:tab w:val="right" w:pos="8838"/>
            </w:tabs>
            <w:ind w:right="-170"/>
          </w:pPr>
          <w:r>
            <w:t>Luis Gustavo Parra Noriega</w:t>
          </w:r>
        </w:p>
        <w:p w14:paraId="15965A9B" w14:textId="77777777" w:rsidR="004227DD" w:rsidRDefault="004227DD">
          <w:pPr>
            <w:tabs>
              <w:tab w:val="right" w:pos="8838"/>
            </w:tabs>
            <w:ind w:right="-170"/>
            <w:rPr>
              <w:b/>
            </w:rPr>
          </w:pPr>
        </w:p>
      </w:tc>
    </w:tr>
  </w:tbl>
  <w:p w14:paraId="65327BB5" w14:textId="77777777" w:rsidR="004227DD" w:rsidRDefault="004227D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92C58" w14:textId="77777777" w:rsidR="004227DD" w:rsidRDefault="0006117B">
    <w:pPr>
      <w:widowControl w:val="0"/>
      <w:pBdr>
        <w:top w:val="nil"/>
        <w:left w:val="nil"/>
        <w:bottom w:val="nil"/>
        <w:right w:val="nil"/>
        <w:between w:val="nil"/>
      </w:pBdr>
      <w:spacing w:after="0" w:line="276" w:lineRule="auto"/>
      <w:jc w:val="left"/>
      <w:rPr>
        <w:color w:val="000000"/>
      </w:rPr>
    </w:pPr>
    <w:r>
      <w:rPr>
        <w:color w:val="000000"/>
      </w:rPr>
      <w:pict w14:anchorId="2D38B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MARCA DE AGUA - HOJA RESOLUCIÓN" style="position:absolute;margin-left:-84.6pt;margin-top:-121.25pt;width:663.5pt;height:12in;z-index:-251658752;mso-position-horizontal:absolute;mso-position-horizontal-relative:margin;mso-position-vertical:absolute;mso-position-vertical-relative:margin">
          <v:imagedata r:id="rId1" o:title="image1"/>
          <w10:wrap anchorx="margin" anchory="margin"/>
        </v:shape>
      </w:pict>
    </w:r>
  </w:p>
  <w:tbl>
    <w:tblPr>
      <w:tblStyle w:val="a4"/>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410"/>
      <w:gridCol w:w="3543"/>
    </w:tblGrid>
    <w:tr w:rsidR="004227DD" w14:paraId="5F0FAC16" w14:textId="77777777">
      <w:trPr>
        <w:trHeight w:val="132"/>
      </w:trPr>
      <w:tc>
        <w:tcPr>
          <w:tcW w:w="2410" w:type="dxa"/>
        </w:tcPr>
        <w:p w14:paraId="6EC710E5" w14:textId="77777777" w:rsidR="004227DD" w:rsidRDefault="004227DD">
          <w:pPr>
            <w:tabs>
              <w:tab w:val="right" w:pos="8838"/>
            </w:tabs>
            <w:ind w:right="-105"/>
            <w:rPr>
              <w:b/>
            </w:rPr>
          </w:pPr>
        </w:p>
        <w:p w14:paraId="65E014BB" w14:textId="77777777" w:rsidR="004227DD" w:rsidRDefault="00B418D3">
          <w:pPr>
            <w:tabs>
              <w:tab w:val="right" w:pos="8838"/>
            </w:tabs>
            <w:ind w:right="-105"/>
            <w:rPr>
              <w:b/>
            </w:rPr>
          </w:pPr>
          <w:r>
            <w:rPr>
              <w:b/>
            </w:rPr>
            <w:t>Recurso de Revisión:</w:t>
          </w:r>
        </w:p>
      </w:tc>
      <w:tc>
        <w:tcPr>
          <w:tcW w:w="3543" w:type="dxa"/>
        </w:tcPr>
        <w:p w14:paraId="6088275E" w14:textId="77777777" w:rsidR="004227DD" w:rsidRDefault="004227DD">
          <w:pPr>
            <w:ind w:right="39"/>
          </w:pPr>
        </w:p>
        <w:p w14:paraId="625B2E64" w14:textId="77777777" w:rsidR="004227DD" w:rsidRDefault="00B418D3">
          <w:pPr>
            <w:ind w:right="39"/>
          </w:pPr>
          <w:r>
            <w:t>05671/INFOEM/IP/RR/2025</w:t>
          </w:r>
        </w:p>
      </w:tc>
    </w:tr>
    <w:tr w:rsidR="004227DD" w14:paraId="5F6B06E4" w14:textId="77777777">
      <w:trPr>
        <w:trHeight w:val="132"/>
      </w:trPr>
      <w:tc>
        <w:tcPr>
          <w:tcW w:w="2410" w:type="dxa"/>
        </w:tcPr>
        <w:p w14:paraId="7749A832" w14:textId="77777777" w:rsidR="004227DD" w:rsidRDefault="00B418D3">
          <w:pPr>
            <w:tabs>
              <w:tab w:val="left" w:pos="1875"/>
            </w:tabs>
            <w:ind w:right="-105"/>
            <w:rPr>
              <w:b/>
            </w:rPr>
          </w:pPr>
          <w:r>
            <w:rPr>
              <w:b/>
            </w:rPr>
            <w:t>Recurrente:</w:t>
          </w:r>
          <w:r>
            <w:rPr>
              <w:b/>
            </w:rPr>
            <w:tab/>
          </w:r>
        </w:p>
      </w:tc>
      <w:tc>
        <w:tcPr>
          <w:tcW w:w="3543" w:type="dxa"/>
        </w:tcPr>
        <w:p w14:paraId="5FC68F0E" w14:textId="0BFC0061" w:rsidR="004227DD" w:rsidRPr="002A1F67" w:rsidRDefault="002A1F67">
          <w:pPr>
            <w:tabs>
              <w:tab w:val="right" w:pos="8838"/>
            </w:tabs>
            <w:ind w:right="39"/>
            <w:rPr>
              <w:b/>
            </w:rPr>
          </w:pPr>
          <w:r>
            <w:rPr>
              <w:b/>
              <w:highlight w:val="black"/>
            </w:rPr>
            <w:t>XXXXXXXXXXXXXXXXXXXX</w:t>
          </w:r>
        </w:p>
      </w:tc>
    </w:tr>
    <w:tr w:rsidR="004227DD" w14:paraId="0065BA73" w14:textId="77777777">
      <w:trPr>
        <w:trHeight w:val="261"/>
      </w:trPr>
      <w:tc>
        <w:tcPr>
          <w:tcW w:w="2410" w:type="dxa"/>
        </w:tcPr>
        <w:p w14:paraId="27F44DDE" w14:textId="77777777" w:rsidR="004227DD" w:rsidRDefault="00B418D3">
          <w:pPr>
            <w:tabs>
              <w:tab w:val="right" w:pos="8838"/>
            </w:tabs>
            <w:ind w:right="-105"/>
            <w:rPr>
              <w:b/>
            </w:rPr>
          </w:pPr>
          <w:r>
            <w:rPr>
              <w:b/>
            </w:rPr>
            <w:t>Sujeto Obligado:</w:t>
          </w:r>
        </w:p>
      </w:tc>
      <w:tc>
        <w:tcPr>
          <w:tcW w:w="3543" w:type="dxa"/>
        </w:tcPr>
        <w:p w14:paraId="625C0CD9" w14:textId="77777777" w:rsidR="004227DD" w:rsidRDefault="00B418D3">
          <w:pPr>
            <w:ind w:right="39"/>
          </w:pPr>
          <w:r>
            <w:t>Ayuntamiento de Xonacatlán</w:t>
          </w:r>
        </w:p>
      </w:tc>
    </w:tr>
    <w:tr w:rsidR="004227DD" w14:paraId="33DF5EBD" w14:textId="77777777">
      <w:trPr>
        <w:trHeight w:val="261"/>
      </w:trPr>
      <w:tc>
        <w:tcPr>
          <w:tcW w:w="2410" w:type="dxa"/>
        </w:tcPr>
        <w:p w14:paraId="59AE8A8B" w14:textId="77777777" w:rsidR="004227DD" w:rsidRDefault="00B418D3">
          <w:pPr>
            <w:tabs>
              <w:tab w:val="right" w:pos="8838"/>
            </w:tabs>
            <w:ind w:right="-105"/>
            <w:rPr>
              <w:b/>
            </w:rPr>
          </w:pPr>
          <w:r>
            <w:rPr>
              <w:b/>
            </w:rPr>
            <w:t>Comisionado Ponente:</w:t>
          </w:r>
        </w:p>
      </w:tc>
      <w:tc>
        <w:tcPr>
          <w:tcW w:w="3543" w:type="dxa"/>
        </w:tcPr>
        <w:p w14:paraId="1805DC41" w14:textId="77777777" w:rsidR="004227DD" w:rsidRDefault="00B418D3">
          <w:pPr>
            <w:tabs>
              <w:tab w:val="right" w:pos="8838"/>
            </w:tabs>
            <w:ind w:right="39"/>
            <w:rPr>
              <w:b/>
            </w:rPr>
          </w:pPr>
          <w:r>
            <w:t>Luis Gustavo Parra Noriega</w:t>
          </w:r>
        </w:p>
      </w:tc>
    </w:tr>
  </w:tbl>
  <w:p w14:paraId="1B424A2F" w14:textId="77777777" w:rsidR="004227DD" w:rsidRDefault="004227DD">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86A6B"/>
    <w:multiLevelType w:val="multilevel"/>
    <w:tmpl w:val="B29C7CB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C56DCD"/>
    <w:multiLevelType w:val="multilevel"/>
    <w:tmpl w:val="3838096C"/>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A36FE6"/>
    <w:multiLevelType w:val="multilevel"/>
    <w:tmpl w:val="4508AB4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D"/>
    <w:rsid w:val="0006117B"/>
    <w:rsid w:val="0022054C"/>
    <w:rsid w:val="002640B5"/>
    <w:rsid w:val="002A1F67"/>
    <w:rsid w:val="00322CD5"/>
    <w:rsid w:val="003976E0"/>
    <w:rsid w:val="003B508C"/>
    <w:rsid w:val="004227DD"/>
    <w:rsid w:val="008C32C1"/>
    <w:rsid w:val="009B48AF"/>
    <w:rsid w:val="00B418D3"/>
    <w:rsid w:val="00C17E86"/>
    <w:rsid w:val="00DB7C9D"/>
    <w:rsid w:val="00F72553"/>
    <w:rsid w:val="00F76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41A02"/>
  <w15:docId w15:val="{A47BE3F3-7D03-4860-AD91-8EA27C80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E5211C"/>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87">
      <w:bodyDiv w:val="1"/>
      <w:marLeft w:val="0"/>
      <w:marRight w:val="0"/>
      <w:marTop w:val="0"/>
      <w:marBottom w:val="0"/>
      <w:divBdr>
        <w:top w:val="none" w:sz="0" w:space="0" w:color="auto"/>
        <w:left w:val="none" w:sz="0" w:space="0" w:color="auto"/>
        <w:bottom w:val="none" w:sz="0" w:space="0" w:color="auto"/>
        <w:right w:val="none" w:sz="0" w:space="0" w:color="auto"/>
      </w:divBdr>
    </w:div>
    <w:div w:id="307168430">
      <w:bodyDiv w:val="1"/>
      <w:marLeft w:val="0"/>
      <w:marRight w:val="0"/>
      <w:marTop w:val="0"/>
      <w:marBottom w:val="0"/>
      <w:divBdr>
        <w:top w:val="none" w:sz="0" w:space="0" w:color="auto"/>
        <w:left w:val="none" w:sz="0" w:space="0" w:color="auto"/>
        <w:bottom w:val="none" w:sz="0" w:space="0" w:color="auto"/>
        <w:right w:val="none" w:sz="0" w:space="0" w:color="auto"/>
      </w:divBdr>
    </w:div>
    <w:div w:id="71365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zun8k9bdFLtzLzAG3j9Li+/jQ==">CgMxLjAyDmgucWl5MXZmNzhnN2ExMg5oLmd6MGc1bHJndjNqMzIOaC4xdm5sYnppaWFwMWkyDmgueWM3MW5xYmp6MHJtMg5oLjdnd3Rkc2VnbmRzeDIOaC5ucGNpNjZ0OW56d20yDmguMXVkdnh4Z2ZydjM1Mg5oLnhzMmU3MnEzOGx2azIJaC4zMGowemxsMg1oLmNodmExaDV6YTk3Mg5oLjNkZTVoaTNod3YzMTIOaC5qZjA5d3BkcHZ4ajQyDmguOTlncmR5ZnRqZ2pwOAByITFKQzZBVlp0R1RTclZWN0NzZndIVFJfVGZyYTAtT0ZY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5781A5-A5D9-418A-9E48-215C8B0D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3723</Words>
  <Characters>20477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Infoem-401</cp:lastModifiedBy>
  <cp:revision>6</cp:revision>
  <cp:lastPrinted>2025-08-08T06:35:00Z</cp:lastPrinted>
  <dcterms:created xsi:type="dcterms:W3CDTF">2025-08-08T06:35:00Z</dcterms:created>
  <dcterms:modified xsi:type="dcterms:W3CDTF">2025-09-25T21:12:00Z</dcterms:modified>
</cp:coreProperties>
</file>