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E4" w:rsidRDefault="000147D1">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Pleno del Instituto de Transparencia, Acceso a la Información Pública y Protección de Datos Personales del Estado de México y Municipios, con domicilio en Metepec, Estado de México; de fecha dos de abril de dos mil veinticinco.</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p>
    <w:p w:rsidR="00C13FE4" w:rsidRDefault="000147D1">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bookmarkStart w:id="0" w:name="_heading=h.gjdgxs" w:colFirst="0" w:colLast="0"/>
      <w:bookmarkEnd w:id="0"/>
      <w:r>
        <w:rPr>
          <w:rFonts w:ascii="Palatino Linotype" w:eastAsia="Palatino Linotype" w:hAnsi="Palatino Linotype" w:cs="Palatino Linotype"/>
          <w:color w:val="000000"/>
          <w:sz w:val="22"/>
          <w:szCs w:val="22"/>
        </w:rPr>
        <w:t xml:space="preserve">VISTO el expediente electrónico formado con motivo   del Recursos de Revisión </w:t>
      </w:r>
      <w:r>
        <w:rPr>
          <w:rFonts w:ascii="Palatino Linotype" w:eastAsia="Palatino Linotype" w:hAnsi="Palatino Linotype" w:cs="Palatino Linotype"/>
          <w:b/>
          <w:color w:val="000000"/>
          <w:sz w:val="22"/>
          <w:szCs w:val="22"/>
        </w:rPr>
        <w:t xml:space="preserve">01768/INFOEM/IP/RR/2025 </w:t>
      </w:r>
      <w:r>
        <w:rPr>
          <w:rFonts w:ascii="Palatino Linotype" w:eastAsia="Palatino Linotype" w:hAnsi="Palatino Linotype" w:cs="Palatino Linotype"/>
          <w:color w:val="000000"/>
          <w:sz w:val="22"/>
          <w:szCs w:val="22"/>
        </w:rPr>
        <w:t xml:space="preserve">promovido por </w:t>
      </w:r>
      <w:r w:rsidR="00584FCE">
        <w:rPr>
          <w:rFonts w:ascii="Palatino Linotype" w:eastAsia="Palatino Linotype" w:hAnsi="Palatino Linotype" w:cs="Palatino Linotype"/>
          <w:b/>
          <w:sz w:val="22"/>
          <w:szCs w:val="22"/>
        </w:rPr>
        <w:t>XXXX</w:t>
      </w:r>
      <w:r>
        <w:rPr>
          <w:rFonts w:ascii="Palatino Linotype" w:eastAsia="Palatino Linotype" w:hAnsi="Palatino Linotype" w:cs="Palatino Linotype"/>
          <w:color w:val="000000"/>
          <w:sz w:val="22"/>
          <w:szCs w:val="22"/>
        </w:rPr>
        <w:t xml:space="preserve">, a través del Sistema de Acceso a la Información Mexiquense (SAIMEX), a quien en lo sucesivo se le identificará como </w:t>
      </w:r>
      <w:r>
        <w:rPr>
          <w:rFonts w:ascii="Palatino Linotype" w:eastAsia="Palatino Linotype" w:hAnsi="Palatino Linotype" w:cs="Palatino Linotype"/>
          <w:b/>
          <w:color w:val="000000"/>
          <w:sz w:val="22"/>
          <w:szCs w:val="22"/>
        </w:rPr>
        <w:t>EL RECURRENTE</w:t>
      </w:r>
      <w:r>
        <w:rPr>
          <w:rFonts w:ascii="Palatino Linotype" w:eastAsia="Palatino Linotype" w:hAnsi="Palatino Linotype" w:cs="Palatino Linotype"/>
          <w:color w:val="000000"/>
          <w:sz w:val="22"/>
          <w:szCs w:val="22"/>
        </w:rPr>
        <w:t xml:space="preserve">, en contra de las respuestas del </w:t>
      </w:r>
      <w:r>
        <w:rPr>
          <w:rFonts w:ascii="Palatino Linotype" w:eastAsia="Palatino Linotype" w:hAnsi="Palatino Linotype" w:cs="Palatino Linotype"/>
          <w:b/>
          <w:color w:val="000000"/>
          <w:sz w:val="22"/>
          <w:szCs w:val="22"/>
        </w:rPr>
        <w:t>Ayuntamiento de la Paz</w:t>
      </w:r>
      <w:r>
        <w:rPr>
          <w:rFonts w:ascii="Palatino Linotype" w:eastAsia="Palatino Linotype" w:hAnsi="Palatino Linotype" w:cs="Palatino Linotype"/>
          <w:color w:val="000000"/>
          <w:sz w:val="22"/>
          <w:szCs w:val="22"/>
        </w:rPr>
        <w:t xml:space="preserve">, en </w:t>
      </w:r>
      <w:r>
        <w:rPr>
          <w:rFonts w:ascii="Palatino Linotype" w:eastAsia="Palatino Linotype" w:hAnsi="Palatino Linotype" w:cs="Palatino Linotype"/>
          <w:sz w:val="22"/>
          <w:szCs w:val="22"/>
        </w:rPr>
        <w:t>adelante</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EL SUJETO OBLIGADO</w:t>
      </w:r>
      <w:r>
        <w:rPr>
          <w:rFonts w:ascii="Palatino Linotype" w:eastAsia="Palatino Linotype" w:hAnsi="Palatino Linotype" w:cs="Palatino Linotype"/>
          <w:color w:val="000000"/>
          <w:sz w:val="22"/>
          <w:szCs w:val="22"/>
        </w:rPr>
        <w:t>, se procede a dictar la presente resolución, con base en los siguientes:</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p>
    <w:p w:rsidR="00C13FE4" w:rsidRDefault="000147D1">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C13FE4" w:rsidRDefault="00C13FE4">
      <w:pPr>
        <w:spacing w:line="360" w:lineRule="auto"/>
        <w:ind w:right="-787"/>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 xml:space="preserve">uno de febrero de dos mil veinticinco, </w:t>
      </w:r>
      <w:r>
        <w:rPr>
          <w:rFonts w:ascii="Palatino Linotype" w:eastAsia="Palatino Linotype" w:hAnsi="Palatino Linotype" w:cs="Palatino Linotype"/>
          <w:color w:val="000000"/>
          <w:sz w:val="22"/>
          <w:szCs w:val="22"/>
        </w:rPr>
        <w:t xml:space="preserve">el solicitante </w:t>
      </w:r>
      <w:r>
        <w:rPr>
          <w:rFonts w:ascii="Palatino Linotype" w:eastAsia="Palatino Linotype" w:hAnsi="Palatino Linotype" w:cs="Palatino Linotype"/>
          <w:sz w:val="22"/>
          <w:szCs w:val="22"/>
        </w:rPr>
        <w:t>ingresó</w:t>
      </w:r>
      <w:r>
        <w:rPr>
          <w:rFonts w:ascii="Palatino Linotype" w:eastAsia="Palatino Linotype" w:hAnsi="Palatino Linotype" w:cs="Palatino Linotype"/>
          <w:color w:val="000000"/>
          <w:sz w:val="22"/>
          <w:szCs w:val="22"/>
        </w:rPr>
        <w:t xml:space="preserve"> la solicitud de información, sin embargo al haber sido fin de semana y día inhábil el Sistema de Acceso a la Información</w:t>
      </w:r>
      <w:r>
        <w:rPr>
          <w:rFonts w:ascii="Palatino Linotype" w:eastAsia="Palatino Linotype" w:hAnsi="Palatino Linotype" w:cs="Palatino Linotype"/>
          <w:b/>
          <w:color w:val="000000"/>
          <w:sz w:val="22"/>
          <w:szCs w:val="22"/>
        </w:rPr>
        <w:t xml:space="preserve"> tomo ingreso de la fecha de solicitud el cuatro de febrero subsecuente, </w:t>
      </w:r>
      <w:r>
        <w:rPr>
          <w:rFonts w:ascii="Palatino Linotype" w:eastAsia="Palatino Linotype" w:hAnsi="Palatino Linotype" w:cs="Palatino Linotype"/>
          <w:color w:val="000000"/>
          <w:sz w:val="22"/>
          <w:szCs w:val="22"/>
        </w:rPr>
        <w:t xml:space="preserve">quedando  registrada con el número </w:t>
      </w:r>
      <w:r>
        <w:rPr>
          <w:rFonts w:ascii="Palatino Linotype" w:eastAsia="Palatino Linotype" w:hAnsi="Palatino Linotype" w:cs="Palatino Linotype"/>
          <w:b/>
          <w:color w:val="000000"/>
          <w:sz w:val="22"/>
          <w:szCs w:val="22"/>
        </w:rPr>
        <w:t xml:space="preserve">00087/LAPAZ/IP/2025, </w:t>
      </w:r>
      <w:r>
        <w:rPr>
          <w:rFonts w:ascii="Palatino Linotype" w:eastAsia="Palatino Linotype" w:hAnsi="Palatino Linotype" w:cs="Palatino Linotype"/>
          <w:sz w:val="22"/>
          <w:szCs w:val="22"/>
        </w:rPr>
        <w:t xml:space="preserve">en la que </w:t>
      </w:r>
      <w:r>
        <w:rPr>
          <w:rFonts w:ascii="Palatino Linotype" w:eastAsia="Palatino Linotype" w:hAnsi="Palatino Linotype" w:cs="Palatino Linotype"/>
          <w:color w:val="000000"/>
          <w:sz w:val="22"/>
          <w:szCs w:val="22"/>
        </w:rPr>
        <w:t>se solicitó la siguiente información:</w:t>
      </w:r>
    </w:p>
    <w:p w:rsidR="00C13FE4" w:rsidRDefault="00C13FE4">
      <w:pPr>
        <w:ind w:right="-787"/>
        <w:jc w:val="both"/>
        <w:rPr>
          <w:rFonts w:ascii="Palatino Linotype" w:eastAsia="Palatino Linotype" w:hAnsi="Palatino Linotype" w:cs="Palatino Linotype"/>
          <w:i/>
          <w:sz w:val="22"/>
          <w:szCs w:val="22"/>
        </w:rPr>
      </w:pP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“Quisiera saber quiénes son los servidores públicos que se encuentran adscritos a la nómina de la 1er regiduría del H. Ayuntamiento de La Paz, Estado de México. Así como también quisiera que me proporcionen los recibos de pagos de nómina de todo el personal de la citada 1er regiduría, correspondiente a la segunda quincena del mes de enero de dos mil veinticinco..”</w:t>
      </w:r>
    </w:p>
    <w:p w:rsidR="00C13FE4" w:rsidRDefault="00C13FE4">
      <w:pPr>
        <w:pBdr>
          <w:top w:val="nil"/>
          <w:left w:val="nil"/>
          <w:bottom w:val="nil"/>
          <w:right w:val="nil"/>
          <w:between w:val="nil"/>
        </w:pBdr>
        <w:spacing w:line="360" w:lineRule="auto"/>
        <w:ind w:left="1134" w:right="-787"/>
        <w:jc w:val="both"/>
        <w:rPr>
          <w:rFonts w:ascii="Palatino Linotype" w:eastAsia="Palatino Linotype" w:hAnsi="Palatino Linotype" w:cs="Palatino Linotype"/>
          <w:i/>
          <w:sz w:val="22"/>
          <w:szCs w:val="22"/>
        </w:rPr>
      </w:pPr>
    </w:p>
    <w:p w:rsidR="00C13FE4" w:rsidRDefault="000147D1">
      <w:pPr>
        <w:numPr>
          <w:ilvl w:val="0"/>
          <w:numId w:val="1"/>
        </w:num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Modalidad de entrega</w:t>
      </w:r>
      <w:r>
        <w:rPr>
          <w:rFonts w:ascii="Palatino Linotype" w:eastAsia="Palatino Linotype" w:hAnsi="Palatino Linotype" w:cs="Palatino Linotype"/>
          <w:color w:val="000000"/>
          <w:sz w:val="22"/>
          <w:szCs w:val="22"/>
        </w:rPr>
        <w:t>: Sistema de Acceso a la Información (SAIMEX)</w:t>
      </w:r>
    </w:p>
    <w:p w:rsidR="00C13FE4" w:rsidRDefault="00C13FE4">
      <w:pPr>
        <w:pBdr>
          <w:top w:val="nil"/>
          <w:left w:val="nil"/>
          <w:bottom w:val="nil"/>
          <w:right w:val="nil"/>
          <w:between w:val="nil"/>
        </w:pBdr>
        <w:spacing w:line="360" w:lineRule="auto"/>
        <w:ind w:right="-787"/>
        <w:jc w:val="both"/>
        <w:rPr>
          <w:color w:val="000000"/>
          <w:sz w:val="22"/>
          <w:szCs w:val="22"/>
        </w:rPr>
      </w:pPr>
    </w:p>
    <w:p w:rsidR="00C13FE4" w:rsidRDefault="00C13FE4">
      <w:pPr>
        <w:pBdr>
          <w:top w:val="nil"/>
          <w:left w:val="nil"/>
          <w:bottom w:val="nil"/>
          <w:right w:val="nil"/>
          <w:between w:val="nil"/>
        </w:pBdr>
        <w:ind w:right="-787"/>
        <w:jc w:val="both"/>
        <w:rPr>
          <w:rFonts w:ascii="Palatino Linotype" w:eastAsia="Palatino Linotype" w:hAnsi="Palatino Linotype" w:cs="Palatino Linotype"/>
          <w:i/>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El </w:t>
      </w:r>
      <w:r>
        <w:rPr>
          <w:rFonts w:ascii="Palatino Linotype" w:eastAsia="Palatino Linotype" w:hAnsi="Palatino Linotype" w:cs="Palatino Linotype"/>
          <w:b/>
          <w:color w:val="000000"/>
          <w:sz w:val="22"/>
          <w:szCs w:val="22"/>
        </w:rPr>
        <w:t xml:space="preserve">veinte de febrero de dos mil veinticinco, </w:t>
      </w: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dio respuesta por medio de un archivo electrónico en formato pdf, cuyo contenido grosso modo es el siguiente.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bookmarkStart w:id="1" w:name="_heading=h.kcbvaflyjad3" w:colFirst="0" w:colLast="0"/>
      <w:bookmarkEnd w:id="1"/>
    </w:p>
    <w:p w:rsidR="00C13FE4" w:rsidRDefault="000147D1">
      <w:pPr>
        <w:pBdr>
          <w:top w:val="nil"/>
          <w:left w:val="nil"/>
          <w:bottom w:val="nil"/>
          <w:right w:val="nil"/>
          <w:between w:val="nil"/>
        </w:pBdr>
        <w:ind w:left="72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SOLICITUD DE RESPUESTA 00087.pdf: </w:t>
      </w:r>
      <w:r>
        <w:rPr>
          <w:rFonts w:ascii="Palatino Linotype" w:eastAsia="Palatino Linotype" w:hAnsi="Palatino Linotype" w:cs="Palatino Linotype"/>
          <w:i/>
          <w:color w:val="000000"/>
          <w:sz w:val="22"/>
          <w:szCs w:val="22"/>
        </w:rPr>
        <w:t xml:space="preserve">oficio de Coordinador de la Unidad de Transparencia, mediante el cual le informa al solicitante que se anexa un archivo adjunto. </w:t>
      </w:r>
    </w:p>
    <w:p w:rsidR="00C13FE4" w:rsidRDefault="000147D1">
      <w:pPr>
        <w:pBdr>
          <w:top w:val="nil"/>
          <w:left w:val="nil"/>
          <w:bottom w:val="nil"/>
          <w:right w:val="nil"/>
          <w:between w:val="nil"/>
        </w:pBdr>
        <w:ind w:left="72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00087.pdf: </w:t>
      </w:r>
      <w:r>
        <w:rPr>
          <w:rFonts w:ascii="Palatino Linotype" w:eastAsia="Palatino Linotype" w:hAnsi="Palatino Linotype" w:cs="Palatino Linotype"/>
          <w:i/>
          <w:color w:val="000000"/>
          <w:sz w:val="22"/>
          <w:szCs w:val="22"/>
        </w:rPr>
        <w:t>documento que contiene el oficio de la Primera Regidora mediante el cual expone que autoriza que sus datos sean divulgados.</w:t>
      </w:r>
    </w:p>
    <w:p w:rsidR="00C13FE4" w:rsidRDefault="000147D1">
      <w:pPr>
        <w:pBdr>
          <w:top w:val="nil"/>
          <w:left w:val="nil"/>
          <w:bottom w:val="nil"/>
          <w:right w:val="nil"/>
          <w:between w:val="nil"/>
        </w:pBdr>
        <w:ind w:left="72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documento también contiene el oficio del Tesorero Municipal, mediante el cual informa que no están disponibles en el sistema contable los recibos de nómina y que están protegidos al ser considerados datos personales. </w:t>
      </w:r>
    </w:p>
    <w:p w:rsidR="00C13FE4" w:rsidRDefault="00C13FE4">
      <w:pPr>
        <w:pBdr>
          <w:top w:val="nil"/>
          <w:left w:val="nil"/>
          <w:bottom w:val="nil"/>
          <w:right w:val="nil"/>
          <w:between w:val="nil"/>
        </w:pBdr>
        <w:ind w:left="720"/>
        <w:jc w:val="both"/>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veinte de febrero de dos mil veinticinco</w:t>
      </w:r>
      <w:r>
        <w:rPr>
          <w:rFonts w:ascii="Palatino Linotype" w:eastAsia="Palatino Linotype" w:hAnsi="Palatino Linotype" w:cs="Palatino Linotype"/>
          <w:color w:val="000000"/>
          <w:sz w:val="22"/>
          <w:szCs w:val="22"/>
        </w:rPr>
        <w:t xml:space="preserve">, el solicitante interpuso recurso de revisión en contra de la respuestas emitida por 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señalando las siguientes razones o motivos de inconformidad:</w:t>
      </w:r>
    </w:p>
    <w:p w:rsidR="00C13FE4" w:rsidRDefault="000147D1">
      <w:pPr>
        <w:numPr>
          <w:ilvl w:val="0"/>
          <w:numId w:val="5"/>
        </w:numPr>
        <w:pBdr>
          <w:top w:val="nil"/>
          <w:left w:val="nil"/>
          <w:bottom w:val="nil"/>
          <w:right w:val="nil"/>
          <w:between w:val="nil"/>
        </w:pBdr>
        <w:ind w:left="1134" w:right="277" w:firstLine="0"/>
        <w:jc w:val="both"/>
        <w:rPr>
          <w:rFonts w:ascii="Palatino Linotype" w:eastAsia="Palatino Linotype" w:hAnsi="Palatino Linotype" w:cs="Palatino Linotype"/>
          <w:color w:val="000000"/>
          <w:sz w:val="22"/>
          <w:szCs w:val="22"/>
        </w:rPr>
      </w:pPr>
      <w:bookmarkStart w:id="2" w:name="_heading=h.1fob9te" w:colFirst="0" w:colLast="0"/>
      <w:bookmarkEnd w:id="2"/>
      <w:r>
        <w:rPr>
          <w:rFonts w:ascii="Palatino Linotype" w:eastAsia="Palatino Linotype" w:hAnsi="Palatino Linotype" w:cs="Palatino Linotype"/>
          <w:b/>
          <w:color w:val="000000"/>
          <w:sz w:val="22"/>
          <w:szCs w:val="22"/>
        </w:rPr>
        <w:t xml:space="preserve">Acto impugnado: </w:t>
      </w:r>
      <w:r>
        <w:rPr>
          <w:rFonts w:ascii="Palatino Linotype" w:eastAsia="Palatino Linotype" w:hAnsi="Palatino Linotype" w:cs="Palatino Linotype"/>
          <w:i/>
          <w:color w:val="000000"/>
          <w:sz w:val="22"/>
          <w:szCs w:val="22"/>
        </w:rPr>
        <w:t>“La negativa de proporcionar la información pública solicitada, por parte de la Primer Regidora y la Tesorera Municipal del Municipio de La Paz, Estado de México..”</w:t>
      </w:r>
    </w:p>
    <w:p w:rsidR="00C13FE4" w:rsidRDefault="00C13FE4">
      <w:pPr>
        <w:pBdr>
          <w:top w:val="nil"/>
          <w:left w:val="nil"/>
          <w:bottom w:val="nil"/>
          <w:right w:val="nil"/>
          <w:between w:val="nil"/>
        </w:pBdr>
        <w:ind w:left="1134" w:right="277"/>
        <w:jc w:val="both"/>
        <w:rPr>
          <w:rFonts w:ascii="Palatino Linotype" w:eastAsia="Palatino Linotype" w:hAnsi="Palatino Linotype" w:cs="Palatino Linotype"/>
          <w:color w:val="000000"/>
          <w:sz w:val="22"/>
          <w:szCs w:val="22"/>
        </w:rPr>
      </w:pPr>
    </w:p>
    <w:p w:rsidR="00C13FE4" w:rsidRDefault="000147D1">
      <w:pPr>
        <w:numPr>
          <w:ilvl w:val="0"/>
          <w:numId w:val="5"/>
        </w:numPr>
        <w:pBdr>
          <w:top w:val="nil"/>
          <w:left w:val="nil"/>
          <w:bottom w:val="nil"/>
          <w:right w:val="nil"/>
          <w:between w:val="nil"/>
        </w:pBdr>
        <w:ind w:left="1134" w:right="277" w:firstLine="0"/>
        <w:jc w:val="both"/>
        <w:rPr>
          <w:rFonts w:ascii="Palatino Linotype" w:eastAsia="Palatino Linotype" w:hAnsi="Palatino Linotype" w:cs="Palatino Linotype"/>
          <w:color w:val="000000"/>
          <w:sz w:val="22"/>
          <w:szCs w:val="22"/>
        </w:rPr>
      </w:pPr>
      <w:bookmarkStart w:id="3" w:name="_heading=h.3znysh7" w:colFirst="0" w:colLast="0"/>
      <w:bookmarkEnd w:id="3"/>
      <w:r>
        <w:rPr>
          <w:rFonts w:ascii="Palatino Linotype" w:eastAsia="Palatino Linotype" w:hAnsi="Palatino Linotype" w:cs="Palatino Linotype"/>
          <w:b/>
          <w:color w:val="000000"/>
          <w:sz w:val="22"/>
          <w:szCs w:val="22"/>
        </w:rPr>
        <w:t xml:space="preserve">Razones o Motivos de inconformidad: </w:t>
      </w:r>
      <w:r>
        <w:rPr>
          <w:rFonts w:ascii="Palatino Linotype" w:eastAsia="Palatino Linotype" w:hAnsi="Palatino Linotype" w:cs="Palatino Linotype"/>
          <w:i/>
          <w:color w:val="000000"/>
          <w:sz w:val="22"/>
          <w:szCs w:val="22"/>
        </w:rPr>
        <w:t xml:space="preserve">“Al realizar la contestación para proporcionar la información pública solicitada, la Primer Regidora del Municipio de La Paz, Estado de México, se niega a proveer dicha información, ya que funda y motiva de manera errónea su postura de oposición, al invocar preceptos legales inoperantes en el actuar de dicho servidor público. Con la negativa de respuesta, dicho servidor público transgrede lo mandatado por el artículo 6, apartado A, fracciones I, III y VIII párrafo tercero de la Constitución Política de los Estados Unidos Mexicanos. El arábigo 5, párrafos décimo séptimo, décimo octavo y décimo noveno de la Constitución Política del Estado Libre y Soberano de México. Así como la fracción XLI del artículo 3, 11, 13, 16 y fracción IV de la Ley de Transparencia y Acceso a la Información Pública del Estado de México y Municipios. La inconformidad del suscrito radica en que el servidor público desconoce las obligaciones de los Sujetos Obligados, toda vez que la mencionada regidora y el personal que </w:t>
      </w:r>
      <w:r>
        <w:rPr>
          <w:rFonts w:ascii="Palatino Linotype" w:eastAsia="Palatino Linotype" w:hAnsi="Palatino Linotype" w:cs="Palatino Linotype"/>
          <w:i/>
          <w:color w:val="000000"/>
          <w:sz w:val="22"/>
          <w:szCs w:val="22"/>
        </w:rPr>
        <w:lastRenderedPageBreak/>
        <w:t>labora en su dependencia, al recibir recurso públicos por concepto de sueldo, se obliga a proporcionar la información peticionada. Aunado a que ignora que para cualquier solicitud de información no se deberá condicionar a que el solicitante acredite interés alguno o justifique su utilización. Por lo anteriormente expuesto y fundado, y al no tratarse de "datos sensibles y confidenciales" como errónea lo manifiesta el sujeto obligado. insto a se me proporcione la información solicitada..”</w:t>
      </w:r>
      <w:bookmarkStart w:id="4" w:name="_GoBack"/>
      <w:bookmarkEnd w:id="4"/>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p>
    <w:p w:rsidR="00C13FE4" w:rsidRDefault="00C13FE4">
      <w:pPr>
        <w:ind w:right="-787"/>
        <w:jc w:val="both"/>
        <w:rPr>
          <w:rFonts w:ascii="Palatino Linotype" w:eastAsia="Palatino Linotype" w:hAnsi="Palatino Linotype" w:cs="Palatino Linotype"/>
          <w:b/>
          <w:i/>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Consecutivamente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sz w:val="22"/>
          <w:szCs w:val="22"/>
        </w:rPr>
        <w:t xml:space="preserve">con fundamento en lo dispuesto por el artículo 185 fracción I de la Ley de Transparencia y Acceso a la Información Pública del Estado de México y Municipios, el recurso fue turnado a la ponencia de la </w:t>
      </w:r>
      <w:r>
        <w:rPr>
          <w:rFonts w:ascii="Palatino Linotype" w:eastAsia="Palatino Linotype" w:hAnsi="Palatino Linotype" w:cs="Palatino Linotype"/>
          <w:b/>
          <w:color w:val="000000"/>
          <w:sz w:val="22"/>
          <w:szCs w:val="22"/>
        </w:rPr>
        <w:t>Comisionada</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María del Rosario Mejía Ayala</w:t>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con el objeto de su análisis.</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La Comisionada Ponente con fundamento en lo dispuesto por el artículo 185 fracción II de la ley de la materia, a través del </w:t>
      </w:r>
      <w:r>
        <w:rPr>
          <w:rFonts w:ascii="Palatino Linotype" w:eastAsia="Palatino Linotype" w:hAnsi="Palatino Linotype" w:cs="Palatino Linotype"/>
          <w:b/>
          <w:color w:val="000000"/>
          <w:sz w:val="22"/>
          <w:szCs w:val="22"/>
        </w:rPr>
        <w:t xml:space="preserve">acuerdo de admisión </w:t>
      </w:r>
      <w:r>
        <w:rPr>
          <w:rFonts w:ascii="Palatino Linotype" w:eastAsia="Palatino Linotype" w:hAnsi="Palatino Linotype" w:cs="Palatino Linotype"/>
          <w:color w:val="000000"/>
          <w:sz w:val="22"/>
          <w:szCs w:val="22"/>
        </w:rPr>
        <w:t xml:space="preserve">del </w:t>
      </w:r>
      <w:r>
        <w:rPr>
          <w:rFonts w:ascii="Palatino Linotype" w:eastAsia="Palatino Linotype" w:hAnsi="Palatino Linotype" w:cs="Palatino Linotype"/>
          <w:b/>
          <w:color w:val="000000"/>
          <w:sz w:val="22"/>
          <w:szCs w:val="22"/>
        </w:rPr>
        <w:t xml:space="preserve">veinticuatro de febrero de dos mil veinticinco, </w:t>
      </w:r>
      <w:r>
        <w:rPr>
          <w:rFonts w:ascii="Palatino Linotype" w:eastAsia="Palatino Linotype" w:hAnsi="Palatino Linotype" w:cs="Palatino Linotype"/>
          <w:color w:val="000000"/>
          <w:sz w:val="22"/>
          <w:szCs w:val="22"/>
        </w:rPr>
        <w:t xml:space="preserve">puso a disposición de las partes el expediente electrónico vía SAIMEX a efecto de que en un plazo máximo de siete días </w:t>
      </w:r>
      <w:r>
        <w:rPr>
          <w:rFonts w:ascii="Palatino Linotype" w:eastAsia="Palatino Linotype" w:hAnsi="Palatino Linotype" w:cs="Palatino Linotype"/>
          <w:sz w:val="22"/>
          <w:szCs w:val="22"/>
        </w:rPr>
        <w:t>manifestara</w:t>
      </w:r>
      <w:r>
        <w:rPr>
          <w:rFonts w:ascii="Palatino Linotype" w:eastAsia="Palatino Linotype" w:hAnsi="Palatino Linotype" w:cs="Palatino Linotype"/>
          <w:color w:val="000000"/>
          <w:sz w:val="22"/>
          <w:szCs w:val="22"/>
        </w:rPr>
        <w:t xml:space="preserve"> lo que a su derecho conviniera, </w:t>
      </w:r>
      <w:r>
        <w:rPr>
          <w:rFonts w:ascii="Palatino Linotype" w:eastAsia="Palatino Linotype" w:hAnsi="Palatino Linotype" w:cs="Palatino Linotype"/>
          <w:sz w:val="22"/>
          <w:szCs w:val="22"/>
        </w:rPr>
        <w:t>ofreciera</w:t>
      </w:r>
      <w:r>
        <w:rPr>
          <w:rFonts w:ascii="Palatino Linotype" w:eastAsia="Palatino Linotype" w:hAnsi="Palatino Linotype" w:cs="Palatino Linotype"/>
          <w:color w:val="000000"/>
          <w:sz w:val="22"/>
          <w:szCs w:val="22"/>
        </w:rPr>
        <w:t xml:space="preserve"> pruebas y alegatos según corresponda al caso concreto, de esta forma para que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sz w:val="22"/>
          <w:szCs w:val="22"/>
        </w:rPr>
        <w:t>presentará</w:t>
      </w:r>
      <w:r>
        <w:rPr>
          <w:rFonts w:ascii="Palatino Linotype" w:eastAsia="Palatino Linotype" w:hAnsi="Palatino Linotype" w:cs="Palatino Linotype"/>
          <w:color w:val="000000"/>
          <w:sz w:val="22"/>
          <w:szCs w:val="22"/>
        </w:rPr>
        <w:t xml:space="preserve"> el Informe Justificado procedente.</w:t>
      </w:r>
    </w:p>
    <w:p w:rsidR="00C13FE4" w:rsidRDefault="00C13FE4">
      <w:pPr>
        <w:pBdr>
          <w:top w:val="nil"/>
          <w:left w:val="nil"/>
          <w:bottom w:val="nil"/>
          <w:right w:val="nil"/>
          <w:between w:val="nil"/>
        </w:pBdr>
        <w:ind w:left="708" w:right="-787"/>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En esa línea, tal y como se observa en el expediente electrónico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 xml:space="preserve">veinticinco de febrero de dos mil veinticinco </w:t>
      </w:r>
      <w:r>
        <w:rPr>
          <w:rFonts w:ascii="Palatino Linotype" w:eastAsia="Palatino Linotype" w:hAnsi="Palatino Linotype" w:cs="Palatino Linotype"/>
          <w:sz w:val="22"/>
          <w:szCs w:val="22"/>
        </w:rPr>
        <w:t>agregó</w:t>
      </w:r>
      <w:r>
        <w:rPr>
          <w:rFonts w:ascii="Palatino Linotype" w:eastAsia="Palatino Linotype" w:hAnsi="Palatino Linotype" w:cs="Palatino Linotype"/>
          <w:color w:val="000000"/>
          <w:sz w:val="22"/>
          <w:szCs w:val="22"/>
        </w:rPr>
        <w:t xml:space="preserve"> un archivo electrónico en formato pdf, cuyo contenido grosso modo es el siguiente. </w:t>
      </w:r>
    </w:p>
    <w:p w:rsidR="00C13FE4" w:rsidRDefault="00C13FE4">
      <w:pPr>
        <w:pBdr>
          <w:top w:val="nil"/>
          <w:left w:val="nil"/>
          <w:bottom w:val="nil"/>
          <w:right w:val="nil"/>
          <w:between w:val="nil"/>
        </w:pBdr>
        <w:ind w:left="720"/>
        <w:rPr>
          <w:color w:val="000000"/>
          <w:sz w:val="22"/>
          <w:szCs w:val="22"/>
        </w:rPr>
      </w:pPr>
    </w:p>
    <w:p w:rsidR="00C13FE4" w:rsidRDefault="00C13FE4">
      <w:pPr>
        <w:pBdr>
          <w:top w:val="nil"/>
          <w:left w:val="nil"/>
          <w:bottom w:val="nil"/>
          <w:right w:val="nil"/>
          <w:between w:val="nil"/>
        </w:pBdr>
        <w:spacing w:line="360" w:lineRule="auto"/>
        <w:ind w:right="-787"/>
        <w:jc w:val="both"/>
        <w:rPr>
          <w:color w:val="000000"/>
          <w:sz w:val="22"/>
          <w:szCs w:val="22"/>
        </w:rPr>
      </w:pPr>
    </w:p>
    <w:p w:rsidR="00C13FE4" w:rsidRDefault="000147D1">
      <w:pPr>
        <w:pBdr>
          <w:top w:val="nil"/>
          <w:left w:val="nil"/>
          <w:bottom w:val="nil"/>
          <w:right w:val="nil"/>
          <w:between w:val="nil"/>
        </w:pBdr>
        <w:spacing w:line="360" w:lineRule="auto"/>
        <w:ind w:left="786" w:right="-78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00087 (2).pdf: </w:t>
      </w:r>
      <w:r>
        <w:rPr>
          <w:rFonts w:ascii="Palatino Linotype" w:eastAsia="Palatino Linotype" w:hAnsi="Palatino Linotype" w:cs="Palatino Linotype"/>
          <w:i/>
          <w:color w:val="000000"/>
          <w:sz w:val="22"/>
          <w:szCs w:val="22"/>
        </w:rPr>
        <w:t>oficios entregados en respuesta, por lo que ratifican la respuesta incial.</w:t>
      </w: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lastRenderedPageBreak/>
        <w:t xml:space="preserve">Por su parte el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 xml:space="preserve">dejo de realizar manifestaciones que a su derecho conviviera y asistiera.   </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sz w:val="22"/>
          <w:szCs w:val="22"/>
        </w:rPr>
      </w:pPr>
      <w:bookmarkStart w:id="5" w:name="_heading=h.2et92p0" w:colFirst="0" w:colLast="0"/>
      <w:bookmarkEnd w:id="5"/>
      <w:r>
        <w:rPr>
          <w:rFonts w:ascii="Palatino Linotype" w:eastAsia="Palatino Linotype" w:hAnsi="Palatino Linotype" w:cs="Palatino Linotype"/>
          <w:color w:val="000000"/>
          <w:sz w:val="22"/>
          <w:szCs w:val="22"/>
        </w:rPr>
        <w:t>Finalmente, la Comisionada Ponente mediante acuerdo de fecha</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b/>
          <w:color w:val="000000"/>
          <w:sz w:val="22"/>
          <w:szCs w:val="22"/>
          <w:highlight w:val="white"/>
        </w:rPr>
        <w:t>dos de abril de dos mil veinticinco</w:t>
      </w:r>
      <w:r>
        <w:rPr>
          <w:rFonts w:ascii="Palatino Linotype" w:eastAsia="Palatino Linotype" w:hAnsi="Palatino Linotype" w:cs="Palatino Linotype"/>
          <w:color w:val="000000"/>
          <w:sz w:val="22"/>
          <w:szCs w:val="22"/>
          <w:highlight w:val="white"/>
        </w:rPr>
        <w:t>, decretó el cierre de instrucción d</w:t>
      </w:r>
      <w:r>
        <w:rPr>
          <w:rFonts w:ascii="Palatino Linotype" w:eastAsia="Palatino Linotype" w:hAnsi="Palatino Linotype" w:cs="Palatino Linotype"/>
          <w:color w:val="000000"/>
          <w:sz w:val="22"/>
          <w:szCs w:val="22"/>
        </w:rPr>
        <w:t>e los expedientes, por lo que no habiendo más que hacer constar, y ----------------------------------------------------------------------------------------.</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sz w:val="22"/>
          <w:szCs w:val="22"/>
        </w:rPr>
      </w:pPr>
      <w:bookmarkStart w:id="6" w:name="_heading=h.162m1m3fkzl6" w:colFirst="0" w:colLast="0"/>
      <w:bookmarkEnd w:id="6"/>
    </w:p>
    <w:p w:rsidR="00C13FE4" w:rsidRDefault="00C13FE4">
      <w:pPr>
        <w:spacing w:line="360" w:lineRule="auto"/>
        <w:ind w:right="-787"/>
        <w:rPr>
          <w:rFonts w:ascii="Palatino Linotype" w:eastAsia="Palatino Linotype" w:hAnsi="Palatino Linotype" w:cs="Palatino Linotype"/>
          <w:b/>
          <w:color w:val="000000"/>
          <w:sz w:val="22"/>
          <w:szCs w:val="22"/>
        </w:rPr>
      </w:pPr>
    </w:p>
    <w:p w:rsidR="00C13FE4" w:rsidRDefault="000147D1">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 O N S I D E R A N D O </w:t>
      </w:r>
    </w:p>
    <w:p w:rsidR="00C13FE4" w:rsidRDefault="000147D1">
      <w:pPr>
        <w:pStyle w:val="Ttulo2"/>
        <w:spacing w:before="0" w:line="360" w:lineRule="auto"/>
        <w:ind w:right="-787"/>
        <w:rPr>
          <w:rFonts w:ascii="Palatino Linotype" w:eastAsia="Palatino Linotype" w:hAnsi="Palatino Linotype" w:cs="Palatino Linotype"/>
          <w:b/>
          <w:color w:val="000000"/>
          <w:sz w:val="22"/>
          <w:szCs w:val="22"/>
        </w:rPr>
      </w:pPr>
      <w:bookmarkStart w:id="7" w:name="_heading=h.tyjcwt" w:colFirst="0" w:colLast="0"/>
      <w:bookmarkEnd w:id="7"/>
      <w:r>
        <w:rPr>
          <w:rFonts w:ascii="Palatino Linotype" w:eastAsia="Palatino Linotype" w:hAnsi="Palatino Linotype" w:cs="Palatino Linotype"/>
          <w:b/>
          <w:color w:val="000000"/>
          <w:sz w:val="22"/>
          <w:szCs w:val="22"/>
        </w:rPr>
        <w:t>PRIMERO. De la competencia</w:t>
      </w: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13FE4" w:rsidRDefault="00C13FE4">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b/>
          <w:color w:val="000000"/>
          <w:sz w:val="22"/>
          <w:szCs w:val="22"/>
        </w:rPr>
      </w:pPr>
      <w:bookmarkStart w:id="8" w:name="_heading=h.3dy6vkm" w:colFirst="0" w:colLast="0"/>
      <w:bookmarkEnd w:id="8"/>
    </w:p>
    <w:p w:rsidR="00C13FE4" w:rsidRDefault="000147D1">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b/>
          <w:color w:val="000000"/>
          <w:sz w:val="22"/>
          <w:szCs w:val="22"/>
        </w:rPr>
      </w:pPr>
      <w:bookmarkStart w:id="9" w:name="_heading=h.1t3h5sf" w:colFirst="0" w:colLast="0"/>
      <w:bookmarkEnd w:id="9"/>
      <w:r>
        <w:rPr>
          <w:rFonts w:ascii="Palatino Linotype" w:eastAsia="Palatino Linotype" w:hAnsi="Palatino Linotype" w:cs="Palatino Linotype"/>
          <w:b/>
          <w:color w:val="000000"/>
          <w:sz w:val="22"/>
          <w:szCs w:val="22"/>
        </w:rPr>
        <w:t>SEGUNDO. De la oportunidad y procedencia.</w:t>
      </w: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bookmarkStart w:id="10" w:name="_heading=h.4d34og8" w:colFirst="0" w:colLast="0"/>
      <w:bookmarkEnd w:id="10"/>
      <w:r>
        <w:rPr>
          <w:rFonts w:ascii="Palatino Linotype" w:eastAsia="Palatino Linotype" w:hAnsi="Palatino Linotype" w:cs="Palatino Linotype"/>
          <w:color w:val="000000"/>
          <w:sz w:val="22"/>
          <w:szCs w:val="22"/>
        </w:rPr>
        <w:t xml:space="preserve">Los medios de impugnación fueron presentados a través del </w:t>
      </w:r>
      <w:r>
        <w:rPr>
          <w:rFonts w:ascii="Palatino Linotype" w:eastAsia="Palatino Linotype" w:hAnsi="Palatino Linotype" w:cs="Palatino Linotype"/>
          <w:b/>
          <w:color w:val="000000"/>
          <w:sz w:val="22"/>
          <w:szCs w:val="22"/>
        </w:rPr>
        <w:t>SAIMEX,</w:t>
      </w:r>
      <w:r>
        <w:rPr>
          <w:rFonts w:ascii="Palatino Linotype" w:eastAsia="Palatino Linotype" w:hAnsi="Palatino Linotype" w:cs="Palatino Linotype"/>
          <w:color w:val="000000"/>
          <w:sz w:val="22"/>
          <w:szCs w:val="22"/>
        </w:rPr>
        <w:t xml:space="preserve"> en el formato previamente aprobado para tal efecto y dentro del plazo legal de quince días hábiles otorgados; para el caso en particular es de señalar que 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xml:space="preserve"> entregó su </w:t>
      </w:r>
      <w:r>
        <w:rPr>
          <w:rFonts w:ascii="Palatino Linotype" w:eastAsia="Palatino Linotype" w:hAnsi="Palatino Linotype" w:cs="Palatino Linotype"/>
          <w:color w:val="000000"/>
          <w:sz w:val="22"/>
          <w:szCs w:val="22"/>
        </w:rPr>
        <w:lastRenderedPageBreak/>
        <w:t xml:space="preserve">respuesta el </w:t>
      </w:r>
      <w:r>
        <w:rPr>
          <w:rFonts w:ascii="Palatino Linotype" w:eastAsia="Palatino Linotype" w:hAnsi="Palatino Linotype" w:cs="Palatino Linotype"/>
          <w:b/>
          <w:color w:val="000000"/>
          <w:sz w:val="22"/>
          <w:szCs w:val="22"/>
        </w:rPr>
        <w:t>veinte de febrero de dos mil veinticinco</w:t>
      </w:r>
      <w:r>
        <w:rPr>
          <w:rFonts w:ascii="Palatino Linotype" w:eastAsia="Palatino Linotype" w:hAnsi="Palatino Linotype" w:cs="Palatino Linotype"/>
          <w:color w:val="000000"/>
          <w:sz w:val="22"/>
          <w:szCs w:val="22"/>
        </w:rPr>
        <w:t xml:space="preserve">, de tal forma que el plazo para interponer el recurso de revisión transcurrió del día </w:t>
      </w:r>
      <w:r>
        <w:rPr>
          <w:rFonts w:ascii="Palatino Linotype" w:eastAsia="Palatino Linotype" w:hAnsi="Palatino Linotype" w:cs="Palatino Linotype"/>
          <w:b/>
          <w:color w:val="000000"/>
          <w:sz w:val="22"/>
          <w:szCs w:val="22"/>
        </w:rPr>
        <w:t>veintiuno de febrero al catorce de marzo de dos mil veinticinco</w:t>
      </w:r>
      <w:r>
        <w:rPr>
          <w:rFonts w:ascii="Palatino Linotype" w:eastAsia="Palatino Linotype" w:hAnsi="Palatino Linotype" w:cs="Palatino Linotype"/>
          <w:color w:val="000000"/>
          <w:sz w:val="22"/>
          <w:szCs w:val="22"/>
        </w:rPr>
        <w:t xml:space="preserve">; en consecuencia, el ahora </w:t>
      </w:r>
      <w:r>
        <w:rPr>
          <w:rFonts w:ascii="Palatino Linotype" w:eastAsia="Palatino Linotype" w:hAnsi="Palatino Linotype" w:cs="Palatino Linotype"/>
          <w:b/>
          <w:color w:val="000000"/>
          <w:sz w:val="22"/>
          <w:szCs w:val="22"/>
        </w:rPr>
        <w:t>RECURRENTE</w:t>
      </w:r>
      <w:r>
        <w:rPr>
          <w:rFonts w:ascii="Palatino Linotype" w:eastAsia="Palatino Linotype" w:hAnsi="Palatino Linotype" w:cs="Palatino Linotype"/>
          <w:color w:val="000000"/>
          <w:sz w:val="22"/>
          <w:szCs w:val="22"/>
        </w:rPr>
        <w:t xml:space="preserve"> presentó sus inconformidades el día </w:t>
      </w:r>
      <w:r>
        <w:rPr>
          <w:rFonts w:ascii="Palatino Linotype" w:eastAsia="Palatino Linotype" w:hAnsi="Palatino Linotype" w:cs="Palatino Linotype"/>
          <w:b/>
          <w:color w:val="000000"/>
          <w:sz w:val="22"/>
          <w:szCs w:val="22"/>
        </w:rPr>
        <w:t>veinte de febrero de dos mil veinticinco</w:t>
      </w:r>
      <w:r>
        <w:rPr>
          <w:rFonts w:ascii="Palatino Linotype" w:eastAsia="Palatino Linotype" w:hAnsi="Palatino Linotype" w:cs="Palatino Linotype"/>
          <w:color w:val="000000"/>
          <w:sz w:val="22"/>
          <w:szCs w:val="22"/>
        </w:rPr>
        <w:t>; es decir dentro del lapso legalmente establecido para tal efecto.</w:t>
      </w:r>
    </w:p>
    <w:p w:rsidR="00C13FE4" w:rsidRDefault="00C13FE4">
      <w:pPr>
        <w:pBdr>
          <w:top w:val="nil"/>
          <w:left w:val="nil"/>
          <w:bottom w:val="nil"/>
          <w:right w:val="nil"/>
          <w:between w:val="nil"/>
        </w:pBdr>
        <w:ind w:right="-787"/>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555555"/>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 xml:space="preserve">resulta necesario precisar que cuando el medio de </w:t>
      </w:r>
      <w:r>
        <w:rPr>
          <w:rFonts w:ascii="Palatino Linotype" w:eastAsia="Palatino Linotype" w:hAnsi="Palatino Linotype" w:cs="Palatino Linotype"/>
          <w:color w:val="000000"/>
          <w:sz w:val="22"/>
          <w:szCs w:val="22"/>
        </w:rPr>
        <w:t>impugnación</w:t>
      </w:r>
      <w:r>
        <w:rPr>
          <w:rFonts w:ascii="Palatino Linotype" w:eastAsia="Palatino Linotype" w:hAnsi="Palatino Linotype" w:cs="Palatino Linotype"/>
          <w:color w:val="000000"/>
        </w:rPr>
        <w:t>,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C13FE4" w:rsidRDefault="00C13FE4">
      <w:pPr>
        <w:spacing w:line="360" w:lineRule="auto"/>
        <w:ind w:left="360" w:hanging="360"/>
        <w:rPr>
          <w:rFonts w:ascii="Palatino Linotype" w:eastAsia="Palatino Linotype" w:hAnsi="Palatino Linotype" w:cs="Palatino Linotype"/>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555555"/>
        </w:rPr>
      </w:pPr>
      <w:r>
        <w:rPr>
          <w:rFonts w:ascii="Palatino Linotype" w:eastAsia="Palatino Linotype" w:hAnsi="Palatino Linotype" w:cs="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C13FE4" w:rsidRDefault="000147D1">
      <w:pPr>
        <w:tabs>
          <w:tab w:val="left" w:pos="3670"/>
        </w:tabs>
        <w:spacing w:line="360" w:lineRule="auto"/>
        <w:ind w:left="720"/>
        <w:rPr>
          <w:rFonts w:ascii="Palatino Linotype" w:eastAsia="Palatino Linotype" w:hAnsi="Palatino Linotype" w:cs="Palatino Linotype"/>
          <w:color w:val="555555"/>
        </w:rPr>
      </w:pPr>
      <w:r>
        <w:rPr>
          <w:rFonts w:ascii="Palatino Linotype" w:eastAsia="Palatino Linotype" w:hAnsi="Palatino Linotype" w:cs="Palatino Linotype"/>
          <w:color w:val="555555"/>
        </w:rPr>
        <w:tab/>
      </w:r>
    </w:p>
    <w:p w:rsidR="00C13FE4" w:rsidRDefault="000147D1">
      <w:pPr>
        <w:spacing w:line="360" w:lineRule="auto"/>
        <w:ind w:left="425" w:right="474"/>
        <w:jc w:val="both"/>
        <w:rPr>
          <w:rFonts w:ascii="Palatino Linotype" w:eastAsia="Palatino Linotype" w:hAnsi="Palatino Linotype" w:cs="Palatino Linotype"/>
          <w:i/>
        </w:rPr>
      </w:pPr>
      <w:r>
        <w:rPr>
          <w:rFonts w:ascii="Palatino Linotype" w:eastAsia="Palatino Linotype" w:hAnsi="Palatino Linotype" w:cs="Palatino Linotype"/>
          <w:b/>
          <w:i/>
        </w:rPr>
        <w:t>“RECURSO DE RECLAMACIÓN. SU INTERPOSICIÓN NO ES EXTEMPORÁNEA SI SE REALIZA ANTES DE QUE INICIE EL PLAZO PARA HACERLO</w:t>
      </w:r>
      <w:r>
        <w:rPr>
          <w:rFonts w:ascii="Palatino Linotype" w:eastAsia="Palatino Linotype" w:hAnsi="Palatino Linotype" w:cs="Palatino Linotype"/>
          <w:i/>
        </w:rPr>
        <w:t xml:space="preserve">. Conforme al artículo 104, párrafo segundo, de </w:t>
      </w:r>
      <w:r>
        <w:rPr>
          <w:rFonts w:ascii="Palatino Linotype" w:eastAsia="Palatino Linotype" w:hAnsi="Palatino Linotype" w:cs="Palatino Linotype"/>
          <w:i/>
        </w:rPr>
        <w:lastRenderedPageBreak/>
        <w:t>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13FE4" w:rsidRDefault="00C13FE4">
      <w:pPr>
        <w:spacing w:line="360" w:lineRule="auto"/>
        <w:ind w:left="426" w:right="616"/>
        <w:jc w:val="both"/>
        <w:rPr>
          <w:rFonts w:ascii="Palatino Linotype" w:eastAsia="Palatino Linotype" w:hAnsi="Palatino Linotype" w:cs="Palatino Linotype"/>
          <w:i/>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Esto es así porque en primer lugar es necesario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conozca el acto </w:t>
      </w:r>
      <w:r>
        <w:rPr>
          <w:rFonts w:ascii="Palatino Linotype" w:eastAsia="Palatino Linotype" w:hAnsi="Palatino Linotype" w:cs="Palatino Linotype"/>
          <w:color w:val="000000"/>
          <w:sz w:val="22"/>
          <w:szCs w:val="22"/>
        </w:rPr>
        <w:t>que</w:t>
      </w:r>
      <w:r>
        <w:rPr>
          <w:rFonts w:ascii="Palatino Linotype" w:eastAsia="Palatino Linotype" w:hAnsi="Palatino Linotype" w:cs="Palatino Linotype"/>
        </w:rPr>
        <w:t xml:space="preserv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Pr>
          <w:rFonts w:ascii="Palatino Linotype" w:eastAsia="Palatino Linotype" w:hAnsi="Palatino Linotype" w:cs="Palatino Linotype"/>
          <w:b/>
        </w:rPr>
        <w:t>notificada EL RECURRENTE</w:t>
      </w:r>
      <w:r>
        <w:rPr>
          <w:rFonts w:ascii="Palatino Linotype" w:eastAsia="Palatino Linotype" w:hAnsi="Palatino Linotype" w:cs="Palatino Linotype"/>
        </w:rPr>
        <w:t xml:space="preserve"> actúe, ya que al contrario lo que demuestra es el interés del mismo para ejercer su derecho bajo el principio constitucional de justicia expedita.</w:t>
      </w:r>
    </w:p>
    <w:p w:rsidR="00C13FE4" w:rsidRDefault="00C13FE4">
      <w:pPr>
        <w:tabs>
          <w:tab w:val="left" w:pos="0"/>
        </w:tabs>
        <w:spacing w:line="360" w:lineRule="auto"/>
        <w:ind w:left="360" w:right="49" w:hanging="360"/>
        <w:jc w:val="both"/>
        <w:rPr>
          <w:rFonts w:ascii="Palatino Linotype" w:eastAsia="Palatino Linotype" w:hAnsi="Palatino Linotype" w:cs="Palatino Linotype"/>
          <w:i/>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Pr>
          <w:rFonts w:ascii="Palatino Linotype" w:eastAsia="Palatino Linotype" w:hAnsi="Palatino Linotype" w:cs="Palatino Linotype"/>
        </w:rPr>
        <w:t xml:space="preserve">Por lo </w:t>
      </w:r>
      <w:r>
        <w:rPr>
          <w:rFonts w:ascii="Palatino Linotype" w:eastAsia="Palatino Linotype" w:hAnsi="Palatino Linotype" w:cs="Palatino Linotype"/>
          <w:color w:val="000000"/>
          <w:sz w:val="22"/>
          <w:szCs w:val="22"/>
        </w:rPr>
        <w:t>que</w:t>
      </w:r>
      <w:r>
        <w:rPr>
          <w:rFonts w:ascii="Palatino Linotype" w:eastAsia="Palatino Linotype" w:hAnsi="Palatino Linotype" w:cs="Palatino Linotype"/>
        </w:rPr>
        <w:t xml:space="preserv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C13FE4" w:rsidRDefault="00C13FE4">
      <w:pPr>
        <w:pBdr>
          <w:top w:val="nil"/>
          <w:left w:val="nil"/>
          <w:bottom w:val="nil"/>
          <w:right w:val="nil"/>
          <w:between w:val="nil"/>
        </w:pBdr>
        <w:spacing w:line="360" w:lineRule="auto"/>
        <w:ind w:right="-787"/>
        <w:jc w:val="both"/>
        <w:rPr>
          <w:color w:val="000000"/>
          <w:sz w:val="22"/>
          <w:szCs w:val="22"/>
        </w:rPr>
      </w:pP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13FE4" w:rsidRDefault="00C13FE4">
      <w:pPr>
        <w:pBdr>
          <w:top w:val="nil"/>
          <w:left w:val="nil"/>
          <w:bottom w:val="nil"/>
          <w:right w:val="nil"/>
          <w:between w:val="nil"/>
        </w:pBdr>
        <w:spacing w:line="360" w:lineRule="auto"/>
        <w:ind w:right="-787"/>
        <w:jc w:val="both"/>
        <w:rPr>
          <w:color w:val="000000"/>
          <w:sz w:val="22"/>
          <w:szCs w:val="22"/>
        </w:rPr>
      </w:pPr>
    </w:p>
    <w:p w:rsidR="00C13FE4" w:rsidRDefault="000147D1">
      <w:pPr>
        <w:pStyle w:val="Ttulo1"/>
        <w:spacing w:before="0" w:line="360" w:lineRule="auto"/>
        <w:ind w:right="-787"/>
        <w:rPr>
          <w:rFonts w:ascii="Palatino Linotype" w:eastAsia="Palatino Linotype" w:hAnsi="Palatino Linotype" w:cs="Palatino Linotype"/>
          <w:b/>
          <w:color w:val="000000"/>
          <w:sz w:val="22"/>
          <w:szCs w:val="22"/>
        </w:rPr>
      </w:pPr>
      <w:bookmarkStart w:id="11" w:name="_heading=h.2s8eyo1" w:colFirst="0" w:colLast="0"/>
      <w:bookmarkEnd w:id="11"/>
      <w:r>
        <w:rPr>
          <w:rFonts w:ascii="Palatino Linotype" w:eastAsia="Palatino Linotype" w:hAnsi="Palatino Linotype" w:cs="Palatino Linotype"/>
          <w:b/>
          <w:color w:val="000000"/>
          <w:sz w:val="22"/>
          <w:szCs w:val="22"/>
        </w:rPr>
        <w:t xml:space="preserve">TERCERO. Del planteamiento de la </w:t>
      </w:r>
      <w:r>
        <w:rPr>
          <w:rFonts w:ascii="Palatino Linotype" w:eastAsia="Palatino Linotype" w:hAnsi="Palatino Linotype" w:cs="Palatino Linotype"/>
          <w:b/>
          <w:i/>
          <w:color w:val="000000"/>
          <w:sz w:val="22"/>
          <w:szCs w:val="22"/>
        </w:rPr>
        <w:t>Litis</w:t>
      </w:r>
      <w:r>
        <w:rPr>
          <w:rFonts w:ascii="Palatino Linotype" w:eastAsia="Palatino Linotype" w:hAnsi="Palatino Linotype" w:cs="Palatino Linotype"/>
          <w:b/>
          <w:color w:val="000000"/>
          <w:sz w:val="22"/>
          <w:szCs w:val="22"/>
        </w:rPr>
        <w:t>.</w:t>
      </w: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De las constancias en el expediente al rubro indicado, se desprende que el particular solicitó la información que a continuación se desagrega:</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sz w:val="22"/>
          <w:szCs w:val="22"/>
        </w:rPr>
      </w:pPr>
    </w:p>
    <w:p w:rsidR="00C13FE4" w:rsidRDefault="000147D1">
      <w:pPr>
        <w:pBdr>
          <w:top w:val="nil"/>
          <w:left w:val="nil"/>
          <w:bottom w:val="nil"/>
          <w:right w:val="nil"/>
          <w:between w:val="nil"/>
        </w:pBdr>
        <w:spacing w:line="360" w:lineRule="auto"/>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los servidores públicos que se encuentran adscritos a la Primer Regiduría del Ayuntamiento de la Paz  Presidenta Honorifica y de la Directora General del Ayuntamiento de la Paz. </w:t>
      </w:r>
    </w:p>
    <w:p w:rsidR="00C13FE4" w:rsidRDefault="000147D1">
      <w:pPr>
        <w:numPr>
          <w:ilvl w:val="0"/>
          <w:numId w:val="6"/>
        </w:numPr>
        <w:pBdr>
          <w:top w:val="nil"/>
          <w:left w:val="nil"/>
          <w:bottom w:val="nil"/>
          <w:right w:val="nil"/>
          <w:between w:val="nil"/>
        </w:pBdr>
        <w:spacing w:line="360" w:lineRule="auto"/>
        <w:ind w:left="1134" w:right="277"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Nombre </w:t>
      </w:r>
    </w:p>
    <w:p w:rsidR="00C13FE4" w:rsidRDefault="000147D1">
      <w:pPr>
        <w:numPr>
          <w:ilvl w:val="0"/>
          <w:numId w:val="6"/>
        </w:numPr>
        <w:pBdr>
          <w:top w:val="nil"/>
          <w:left w:val="nil"/>
          <w:bottom w:val="nil"/>
          <w:right w:val="nil"/>
          <w:between w:val="nil"/>
        </w:pBdr>
        <w:spacing w:line="360" w:lineRule="auto"/>
        <w:ind w:left="1134" w:right="277"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Recibos de nómina de la segunda quincena de enero de dos mil veinticinco</w:t>
      </w:r>
    </w:p>
    <w:p w:rsidR="00C13FE4" w:rsidRDefault="00C13FE4">
      <w:pPr>
        <w:pBdr>
          <w:top w:val="nil"/>
          <w:left w:val="nil"/>
          <w:bottom w:val="nil"/>
          <w:right w:val="nil"/>
          <w:between w:val="nil"/>
        </w:pBdr>
        <w:spacing w:line="360" w:lineRule="auto"/>
        <w:ind w:left="720" w:right="-787"/>
        <w:jc w:val="both"/>
        <w:rPr>
          <w:rFonts w:ascii="Palatino Linotype" w:eastAsia="Palatino Linotype" w:hAnsi="Palatino Linotype" w:cs="Palatino Linotype"/>
          <w:b/>
          <w:i/>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respuesta,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por medio del Tesorero del Ayuntamiento de la Paz, informo que no han sido generado los documentos por el sistema contable, la Primera Regidora informa que no acepta que se publiquen sus datos</w:t>
      </w:r>
      <w:r>
        <w:rPr>
          <w:rFonts w:ascii="Palatino Linotype" w:eastAsia="Palatino Linotype" w:hAnsi="Palatino Linotype" w:cs="Palatino Linotype"/>
          <w:b/>
          <w:i/>
          <w:color w:val="000000"/>
          <w:sz w:val="22"/>
          <w:szCs w:val="22"/>
        </w:rPr>
        <w:t xml:space="preserve"> </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En dichas condiciones, la </w:t>
      </w:r>
      <w:r>
        <w:rPr>
          <w:rFonts w:ascii="Palatino Linotype" w:eastAsia="Palatino Linotype" w:hAnsi="Palatino Linotype" w:cs="Palatino Linotype"/>
          <w:i/>
          <w:color w:val="000000"/>
          <w:sz w:val="22"/>
          <w:szCs w:val="22"/>
        </w:rPr>
        <w:t>Litis</w:t>
      </w:r>
      <w:r>
        <w:rPr>
          <w:rFonts w:ascii="Palatino Linotype" w:eastAsia="Palatino Linotype" w:hAnsi="Palatino Linotype" w:cs="Palatino Linotype"/>
          <w:color w:val="000000"/>
          <w:sz w:val="22"/>
          <w:szCs w:val="22"/>
        </w:rPr>
        <w:t xml:space="preserve"> a resolver en estos recursos se circunscribe a determinar si se actualizan las causales de procedencia previstas en el artículo 179, </w:t>
      </w:r>
      <w:r>
        <w:rPr>
          <w:rFonts w:ascii="Palatino Linotype" w:eastAsia="Palatino Linotype" w:hAnsi="Palatino Linotype" w:cs="Palatino Linotype"/>
          <w:b/>
          <w:color w:val="000000"/>
          <w:sz w:val="22"/>
          <w:szCs w:val="22"/>
        </w:rPr>
        <w:t xml:space="preserve">fracción I </w:t>
      </w:r>
      <w:r>
        <w:rPr>
          <w:rFonts w:ascii="Palatino Linotype" w:eastAsia="Palatino Linotype" w:hAnsi="Palatino Linotype" w:cs="Palatino Linotype"/>
          <w:color w:val="000000"/>
          <w:sz w:val="22"/>
          <w:szCs w:val="22"/>
        </w:rPr>
        <w:t>de la Ley</w:t>
      </w:r>
      <w:r>
        <w:rPr>
          <w:rFonts w:ascii="Palatino Linotype" w:eastAsia="Palatino Linotype" w:hAnsi="Palatino Linotype" w:cs="Palatino Linotype"/>
          <w:b/>
          <w:color w:val="000000"/>
          <w:sz w:val="22"/>
          <w:szCs w:val="22"/>
        </w:rPr>
        <w:t xml:space="preserve"> de Transparencia y Acceso a la Información Pública del Estado de </w:t>
      </w:r>
      <w:r>
        <w:rPr>
          <w:rFonts w:ascii="Palatino Linotype" w:eastAsia="Palatino Linotype" w:hAnsi="Palatino Linotype" w:cs="Palatino Linotype"/>
          <w:color w:val="000000"/>
          <w:sz w:val="22"/>
          <w:szCs w:val="22"/>
        </w:rPr>
        <w:t>México</w:t>
      </w:r>
      <w:r>
        <w:rPr>
          <w:rFonts w:ascii="Palatino Linotype" w:eastAsia="Palatino Linotype" w:hAnsi="Palatino Linotype" w:cs="Palatino Linotype"/>
          <w:b/>
          <w:color w:val="000000"/>
          <w:sz w:val="22"/>
          <w:szCs w:val="22"/>
        </w:rPr>
        <w:t xml:space="preserve"> y Municipios</w:t>
      </w:r>
      <w:r>
        <w:rPr>
          <w:rFonts w:ascii="Palatino Linotype" w:eastAsia="Palatino Linotype" w:hAnsi="Palatino Linotype" w:cs="Palatino Linotype"/>
          <w:color w:val="000000"/>
          <w:sz w:val="22"/>
          <w:szCs w:val="22"/>
        </w:rPr>
        <w:t xml:space="preserve">; fracción que determina la hipótesis jurídica relativa a la negativa de la información solicitada; contexto del cual se dolió </w:t>
      </w:r>
      <w:r>
        <w:rPr>
          <w:rFonts w:ascii="Palatino Linotype" w:eastAsia="Palatino Linotype" w:hAnsi="Palatino Linotype" w:cs="Palatino Linotype"/>
          <w:b/>
          <w:color w:val="000000"/>
          <w:sz w:val="22"/>
          <w:szCs w:val="22"/>
        </w:rPr>
        <w:t xml:space="preserve">EL RECURRENTE </w:t>
      </w:r>
      <w:r>
        <w:rPr>
          <w:rFonts w:ascii="Palatino Linotype" w:eastAsia="Palatino Linotype" w:hAnsi="Palatino Linotype" w:cs="Palatino Linotype"/>
          <w:color w:val="000000"/>
          <w:sz w:val="22"/>
          <w:szCs w:val="22"/>
        </w:rPr>
        <w:t>al momento de interponer su inconformidad.</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lastRenderedPageBreak/>
        <w:t xml:space="preserve">De modo tal que el presente recurso de revisión se </w:t>
      </w:r>
      <w:r>
        <w:rPr>
          <w:rFonts w:ascii="Palatino Linotype" w:eastAsia="Palatino Linotype" w:hAnsi="Palatino Linotype" w:cs="Palatino Linotype"/>
          <w:sz w:val="22"/>
          <w:szCs w:val="22"/>
        </w:rPr>
        <w:t>abocara</w:t>
      </w:r>
      <w:r>
        <w:rPr>
          <w:rFonts w:ascii="Palatino Linotype" w:eastAsia="Palatino Linotype" w:hAnsi="Palatino Linotype" w:cs="Palatino Linotype"/>
          <w:color w:val="000000"/>
          <w:sz w:val="22"/>
          <w:szCs w:val="22"/>
        </w:rPr>
        <w:t xml:space="preserve"> en determinar si 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xml:space="preserve"> con su respuesta ciertamente actualiza la causal de procedencia</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C13FE4" w:rsidRDefault="00C13FE4">
      <w:pPr>
        <w:pBdr>
          <w:top w:val="nil"/>
          <w:left w:val="nil"/>
          <w:bottom w:val="nil"/>
          <w:right w:val="nil"/>
          <w:between w:val="nil"/>
        </w:pBdr>
        <w:spacing w:line="360" w:lineRule="auto"/>
        <w:ind w:left="709" w:right="-787"/>
        <w:rPr>
          <w:rFonts w:ascii="Palatino Linotype" w:eastAsia="Palatino Linotype" w:hAnsi="Palatino Linotype" w:cs="Palatino Linotype"/>
          <w:color w:val="000000"/>
          <w:sz w:val="22"/>
          <w:szCs w:val="22"/>
        </w:rPr>
      </w:pPr>
    </w:p>
    <w:p w:rsidR="00C13FE4" w:rsidRDefault="000147D1">
      <w:pPr>
        <w:keepNext/>
        <w:keepLines/>
        <w:spacing w:line="360" w:lineRule="auto"/>
        <w:ind w:right="-787"/>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CUARTO. Del estudio y resolución del estudio.</w:t>
      </w:r>
    </w:p>
    <w:p w:rsidR="00C13FE4" w:rsidRDefault="000147D1">
      <w:pPr>
        <w:keepNext/>
        <w:keepLines/>
        <w:numPr>
          <w:ilvl w:val="0"/>
          <w:numId w:val="3"/>
        </w:numPr>
        <w:spacing w:after="240" w:line="360" w:lineRule="auto"/>
        <w:ind w:left="786" w:right="-787"/>
        <w:rPr>
          <w:rFonts w:ascii="Palatino Linotype" w:eastAsia="Palatino Linotype" w:hAnsi="Palatino Linotype" w:cs="Palatino Linotype"/>
          <w:b/>
          <w:color w:val="000000"/>
          <w:sz w:val="22"/>
          <w:szCs w:val="22"/>
        </w:rPr>
      </w:pPr>
      <w:bookmarkStart w:id="12" w:name="_heading=h.17dp8vu" w:colFirst="0" w:colLast="0"/>
      <w:bookmarkEnd w:id="12"/>
      <w:r>
        <w:rPr>
          <w:rFonts w:ascii="Palatino Linotype" w:eastAsia="Palatino Linotype" w:hAnsi="Palatino Linotype" w:cs="Palatino Linotype"/>
          <w:b/>
          <w:color w:val="000000"/>
          <w:sz w:val="22"/>
          <w:szCs w:val="22"/>
        </w:rPr>
        <w:t>Del derecho de acceso a la información.</w:t>
      </w:r>
    </w:p>
    <w:p w:rsidR="00C13FE4" w:rsidRDefault="000147D1">
      <w:pPr>
        <w:numPr>
          <w:ilvl w:val="0"/>
          <w:numId w:val="2"/>
        </w:numPr>
        <w:pBdr>
          <w:top w:val="nil"/>
          <w:left w:val="nil"/>
          <w:bottom w:val="nil"/>
          <w:right w:val="nil"/>
          <w:between w:val="nil"/>
        </w:pBd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C13FE4" w:rsidRDefault="000147D1">
      <w:pPr>
        <w:numPr>
          <w:ilvl w:val="0"/>
          <w:numId w:val="2"/>
        </w:numPr>
        <w:spacing w:before="240" w:line="360" w:lineRule="auto"/>
        <w:ind w:left="0" w:right="-787" w:firstLine="0"/>
        <w:jc w:val="both"/>
        <w:rPr>
          <w:sz w:val="22"/>
          <w:szCs w:val="22"/>
        </w:rPr>
      </w:pPr>
      <w:r>
        <w:rPr>
          <w:rFonts w:ascii="Palatino Linotype" w:eastAsia="Palatino Linotype" w:hAnsi="Palatino Linotype" w:cs="Palatino Linotype"/>
          <w:sz w:val="22"/>
          <w:szCs w:val="22"/>
        </w:rPr>
        <w:t xml:space="preserve">Definiendo el Derecho de Acceso a la Información Pública como: </w:t>
      </w:r>
      <w:r>
        <w:rPr>
          <w:rFonts w:ascii="Palatino Linotype" w:eastAsia="Palatino Linotype" w:hAnsi="Palatino Linotype" w:cs="Palatino Linotype"/>
          <w:i/>
          <w:color w:val="000000"/>
          <w:sz w:val="22"/>
          <w:szCs w:val="22"/>
        </w:rPr>
        <w:t>La igualdad de oportunidades para recibir, buscar e impartir información</w:t>
      </w:r>
      <w:r>
        <w:rPr>
          <w:rFonts w:ascii="Palatino Linotype" w:eastAsia="Palatino Linotype" w:hAnsi="Palatino Linotype" w:cs="Palatino Linotype"/>
          <w:i/>
          <w:sz w:val="22"/>
          <w:szCs w:val="22"/>
          <w:vertAlign w:val="superscript"/>
        </w:rPr>
        <w:footnoteReference w:id="1"/>
      </w:r>
      <w:r>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Fonts w:ascii="Palatino Linotype" w:eastAsia="Palatino Linotype" w:hAnsi="Palatino Linotype" w:cs="Palatino Linotype"/>
          <w:i/>
          <w:sz w:val="22"/>
          <w:szCs w:val="22"/>
          <w:vertAlign w:val="superscript"/>
        </w:rPr>
        <w:footnoteReference w:id="2"/>
      </w:r>
      <w:r>
        <w:rPr>
          <w:rFonts w:ascii="Palatino Linotype" w:eastAsia="Palatino Linotype" w:hAnsi="Palatino Linotype" w:cs="Palatino Linotype"/>
          <w:color w:val="000000"/>
          <w:sz w:val="22"/>
          <w:szCs w:val="22"/>
        </w:rPr>
        <w:t>que se constituye como una herramienta fundamental para ejercer</w:t>
      </w:r>
      <w:r>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w:t>
      </w:r>
      <w:r>
        <w:rPr>
          <w:rFonts w:ascii="Palatino Linotype" w:eastAsia="Palatino Linotype" w:hAnsi="Palatino Linotype" w:cs="Palatino Linotype"/>
          <w:i/>
          <w:color w:val="000000"/>
          <w:sz w:val="22"/>
          <w:szCs w:val="22"/>
        </w:rPr>
        <w:lastRenderedPageBreak/>
        <w:t>está dando un adecuado cumplimiento a las funciones públicas,</w:t>
      </w:r>
      <w:r>
        <w:rPr>
          <w:rFonts w:ascii="Palatino Linotype" w:eastAsia="Palatino Linotype" w:hAnsi="Palatino Linotype" w:cs="Palatino Linotype"/>
          <w:i/>
          <w:sz w:val="22"/>
          <w:szCs w:val="22"/>
          <w:vertAlign w:val="superscript"/>
        </w:rPr>
        <w:footnoteReference w:id="3"/>
      </w:r>
      <w:r>
        <w:rPr>
          <w:rFonts w:ascii="Palatino Linotype" w:eastAsia="Palatino Linotype" w:hAnsi="Palatino Linotype" w:cs="Palatino Linotype"/>
          <w:color w:val="000000"/>
          <w:sz w:val="22"/>
          <w:szCs w:val="22"/>
        </w:rPr>
        <w:t>fomentando</w:t>
      </w:r>
      <w:r>
        <w:rPr>
          <w:rFonts w:ascii="Palatino Linotype" w:eastAsia="Palatino Linotype" w:hAnsi="Palatino Linotype" w:cs="Palatino Linotype"/>
          <w:i/>
          <w:color w:val="000000"/>
          <w:sz w:val="22"/>
          <w:szCs w:val="22"/>
        </w:rPr>
        <w:t xml:space="preserve"> la transparencia de las actividades estatales y </w:t>
      </w:r>
      <w:r>
        <w:rPr>
          <w:rFonts w:ascii="Palatino Linotype" w:eastAsia="Palatino Linotype" w:hAnsi="Palatino Linotype" w:cs="Palatino Linotype"/>
          <w:color w:val="000000"/>
          <w:sz w:val="22"/>
          <w:szCs w:val="22"/>
        </w:rPr>
        <w:t>promoviendo</w:t>
      </w:r>
      <w:r>
        <w:rPr>
          <w:rFonts w:ascii="Palatino Linotype" w:eastAsia="Palatino Linotype" w:hAnsi="Palatino Linotype" w:cs="Palatino Linotype"/>
          <w:i/>
          <w:color w:val="000000"/>
          <w:sz w:val="22"/>
          <w:szCs w:val="22"/>
        </w:rPr>
        <w:t xml:space="preserve"> la responsabilidad de los funcionarios sobre su gestión pública,</w:t>
      </w:r>
      <w:r>
        <w:rPr>
          <w:rFonts w:ascii="Palatino Linotype" w:eastAsia="Palatino Linotype" w:hAnsi="Palatino Linotype" w:cs="Palatino Linotype"/>
          <w:i/>
          <w:sz w:val="22"/>
          <w:szCs w:val="22"/>
          <w:vertAlign w:val="superscript"/>
        </w:rPr>
        <w:footnoteReference w:id="4"/>
      </w:r>
      <w:r>
        <w:rPr>
          <w:rFonts w:ascii="Palatino Linotype" w:eastAsia="Palatino Linotype" w:hAnsi="Palatino Linotype" w:cs="Palatino Linotype"/>
          <w:color w:val="000000"/>
          <w:sz w:val="22"/>
          <w:szCs w:val="22"/>
        </w:rPr>
        <w:t>que permite</w:t>
      </w:r>
      <w:r>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t>En México, además de los derechos, están reconocidas las garantías para su protección, en ese sentido el párrafo tercero de artículo primero de la Constitución Política de los Estados Unidos Mexicanos dispone lo siguiente:</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Todas las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w:t>
      </w:r>
    </w:p>
    <w:p w:rsidR="00C13FE4" w:rsidRDefault="00C13FE4">
      <w:pPr>
        <w:ind w:right="277"/>
        <w:jc w:val="both"/>
        <w:rPr>
          <w:rFonts w:ascii="Palatino Linotype" w:eastAsia="Palatino Linotype" w:hAnsi="Palatino Linotype" w:cs="Palatino Linotype"/>
          <w:b/>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Pr>
          <w:rFonts w:ascii="Palatino Linotype" w:eastAsia="Palatino Linotype" w:hAnsi="Palatino Linotype" w:cs="Palatino Linotype"/>
          <w:sz w:val="22"/>
          <w:szCs w:val="22"/>
        </w:rPr>
        <w:lastRenderedPageBreak/>
        <w:t>relacionadas con el Derecho de Acceso a la Información Pública, permiten que todas las autoridades, en el ámbito de sus atribuciones lo respeten, protejan y garanticen.</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spacing w:after="24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Constitución Política de los Estados Unidos Mexicanos</w:t>
      </w:r>
    </w:p>
    <w:p w:rsidR="00C13FE4" w:rsidRDefault="000147D1">
      <w:pPr>
        <w:spacing w:before="240" w:after="24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C13FE4" w:rsidRDefault="000147D1">
      <w:pPr>
        <w:spacing w:before="240" w:after="24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el ejercicio del derecho de acceso a la información</w:t>
      </w:r>
      <w:r>
        <w:rPr>
          <w:rFonts w:ascii="Palatino Linotype" w:eastAsia="Palatino Linotype" w:hAnsi="Palatino Linotype" w:cs="Palatino Linotype"/>
          <w:i/>
          <w:sz w:val="22"/>
          <w:szCs w:val="22"/>
        </w:rPr>
        <w:t xml:space="preserve">, la Federación y </w:t>
      </w:r>
      <w:r>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rPr>
        <w:tab/>
        <w:t>Toda la información en posesión de cualquier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C13FE4" w:rsidRDefault="00C13FE4">
      <w:pPr>
        <w:pBdr>
          <w:top w:val="nil"/>
          <w:left w:val="nil"/>
          <w:bottom w:val="nil"/>
          <w:right w:val="nil"/>
          <w:between w:val="nil"/>
        </w:pBdr>
        <w:tabs>
          <w:tab w:val="left" w:pos="567"/>
        </w:tabs>
        <w:spacing w:before="240" w:after="240"/>
        <w:ind w:left="1134" w:right="277"/>
        <w:jc w:val="both"/>
        <w:rPr>
          <w:rFonts w:ascii="Palatino Linotype" w:eastAsia="Palatino Linotype" w:hAnsi="Palatino Linotype" w:cs="Palatino Linotype"/>
          <w:b/>
          <w:i/>
          <w:color w:val="000000"/>
          <w:sz w:val="22"/>
          <w:szCs w:val="22"/>
        </w:rPr>
      </w:pPr>
    </w:p>
    <w:p w:rsidR="00C13FE4" w:rsidRDefault="000147D1">
      <w:pPr>
        <w:spacing w:before="240" w:after="24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Constitución Política del Estado Libre y Soberano de México</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El derecho a la información será garantizado por el Estado. La ley establecerá las previsiones que permitan asegurar la protección, el respeto y la difusión de este derecho</w:t>
      </w:r>
      <w:r>
        <w:rPr>
          <w:rFonts w:ascii="Palatino Linotype" w:eastAsia="Palatino Linotype" w:hAnsi="Palatino Linotype" w:cs="Palatino Linotype"/>
          <w:i/>
          <w:sz w:val="22"/>
          <w:szCs w:val="22"/>
        </w:rPr>
        <w:t>.</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Este derecho se regirá por los principios y bases siguientes</w:t>
      </w:r>
      <w:r>
        <w:rPr>
          <w:rFonts w:ascii="Palatino Linotype" w:eastAsia="Palatino Linotype" w:hAnsi="Palatino Linotype" w:cs="Palatino Linotype"/>
          <w:i/>
          <w:sz w:val="22"/>
          <w:szCs w:val="22"/>
        </w:rPr>
        <w:t>:</w:t>
      </w:r>
    </w:p>
    <w:p w:rsidR="00C13FE4" w:rsidRDefault="000147D1">
      <w:pPr>
        <w:spacing w:before="240" w:after="24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 cualquier autoridad, entidad, órgano y organismos de los</w:t>
      </w:r>
      <w:r>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Pr>
          <w:rFonts w:ascii="Palatino Linotype" w:eastAsia="Palatino Linotype" w:hAnsi="Palatino Linotype" w:cs="Palatino Linotype"/>
          <w:b/>
          <w:i/>
          <w:sz w:val="22"/>
          <w:szCs w:val="22"/>
        </w:rPr>
        <w:t>municipales</w:t>
      </w:r>
      <w:r>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Pr>
          <w:rFonts w:ascii="Palatino Linotype" w:eastAsia="Palatino Linotype" w:hAnsi="Palatino Linotype" w:cs="Palatino Linotype"/>
          <w:b/>
          <w:i/>
          <w:sz w:val="22"/>
          <w:szCs w:val="22"/>
        </w:rPr>
        <w:t>En la interpretación de este derecho deberá prevalecer el principio de máxima publicidad</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sujetos obligados deberán documentar todo acto que derive del ejercicio de sus facultades, competencias o funciones</w:t>
      </w:r>
      <w:r>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C13FE4" w:rsidRDefault="00C13FE4">
      <w:pPr>
        <w:tabs>
          <w:tab w:val="left" w:pos="567"/>
        </w:tabs>
        <w:spacing w:before="240" w:after="240"/>
        <w:ind w:right="-787"/>
        <w:jc w:val="both"/>
        <w:rPr>
          <w:rFonts w:ascii="Palatino Linotype" w:eastAsia="Palatino Linotype" w:hAnsi="Palatino Linotype" w:cs="Palatino Linotype"/>
          <w:b/>
          <w:i/>
          <w:sz w:val="22"/>
          <w:szCs w:val="22"/>
        </w:rPr>
      </w:pPr>
    </w:p>
    <w:p w:rsidR="00C13FE4" w:rsidRDefault="000147D1">
      <w:pPr>
        <w:numPr>
          <w:ilvl w:val="0"/>
          <w:numId w:val="2"/>
        </w:numPr>
        <w:spacing w:before="240" w:line="360" w:lineRule="auto"/>
        <w:ind w:left="0" w:right="-787" w:firstLine="0"/>
        <w:jc w:val="both"/>
        <w:rPr>
          <w:sz w:val="22"/>
          <w:szCs w:val="22"/>
        </w:rPr>
      </w:pPr>
      <w:r>
        <w:rPr>
          <w:rFonts w:ascii="Palatino Linotype" w:eastAsia="Palatino Linotype" w:hAnsi="Palatino Linotype" w:cs="Palatino Linotype"/>
          <w:sz w:val="22"/>
          <w:szCs w:val="22"/>
        </w:rPr>
        <w:t xml:space="preserve">Según el artículo 150 de la Ley de Transparencia del Estado, la solicitud es la garantía primaria del Derecho de Acceso a la Información, además, establece que se regirá </w:t>
      </w:r>
      <w:r>
        <w:rPr>
          <w:rFonts w:ascii="Palatino Linotype" w:eastAsia="Palatino Linotype" w:hAnsi="Palatino Linotype" w:cs="Palatino Linotype"/>
          <w:i/>
          <w:sz w:val="22"/>
          <w:szCs w:val="22"/>
        </w:rPr>
        <w:t>por los principios de simplicidad, rapidez gratuidad del procedimiento, auxilio y orientación a los particulares</w:t>
      </w:r>
      <w:r>
        <w:rPr>
          <w:rFonts w:ascii="Palatino Linotype" w:eastAsia="Palatino Linotype" w:hAnsi="Palatino Linotype" w:cs="Palatino Linotype"/>
          <w:sz w:val="22"/>
          <w:szCs w:val="22"/>
        </w:rPr>
        <w:t>, contemplando el derecho de las personas con discapacidad y hablantes de lengua indígena.</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lastRenderedPageBreak/>
        <w:t xml:space="preserve">El Derecho de Acceso a la Información se garantiza y respeta oportunamente, y según lo que dispone la Ley, las </w:t>
      </w:r>
      <w:r>
        <w:rPr>
          <w:rFonts w:ascii="Palatino Linotype" w:eastAsia="Palatino Linotype" w:hAnsi="Palatino Linotype" w:cs="Palatino Linotype"/>
          <w:i/>
          <w:sz w:val="22"/>
          <w:szCs w:val="22"/>
        </w:rPr>
        <w:t>solicitudes de acceso a la información</w:t>
      </w:r>
      <w:r>
        <w:rPr>
          <w:rFonts w:ascii="Palatino Linotype" w:eastAsia="Palatino Linotype" w:hAnsi="Palatino Linotype" w:cs="Palatino Linotype"/>
          <w:sz w:val="22"/>
          <w:szCs w:val="22"/>
        </w:rPr>
        <w:t>.</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sz w:val="22"/>
          <w:szCs w:val="22"/>
        </w:rPr>
      </w:pPr>
      <w:bookmarkStart w:id="13" w:name="_heading=h.3rdcrjn" w:colFirst="0" w:colLast="0"/>
      <w:bookmarkEnd w:id="13"/>
      <w:r>
        <w:rPr>
          <w:rFonts w:ascii="Palatino Linotype" w:eastAsia="Palatino Linotype" w:hAnsi="Palatino Linotype" w:cs="Palatino Linotype"/>
          <w:sz w:val="22"/>
          <w:szCs w:val="22"/>
        </w:rPr>
        <w:t xml:space="preserve">Así entonces, se procede analizar, en primer lugar, si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pStyle w:val="Ttulo1"/>
        <w:spacing w:before="0" w:after="240" w:line="360" w:lineRule="auto"/>
        <w:ind w:right="-787"/>
        <w:rPr>
          <w:rFonts w:ascii="Palatino Linotype" w:eastAsia="Palatino Linotype" w:hAnsi="Palatino Linotype" w:cs="Palatino Linotype"/>
          <w:b/>
          <w:color w:val="000000"/>
          <w:sz w:val="22"/>
          <w:szCs w:val="22"/>
        </w:rPr>
      </w:pPr>
      <w:bookmarkStart w:id="14" w:name="_heading=h.26in1rg" w:colFirst="0" w:colLast="0"/>
      <w:bookmarkEnd w:id="14"/>
      <w:r>
        <w:rPr>
          <w:rFonts w:ascii="Palatino Linotype" w:eastAsia="Palatino Linotype" w:hAnsi="Palatino Linotype" w:cs="Palatino Linotype"/>
          <w:b/>
          <w:color w:val="000000"/>
          <w:sz w:val="22"/>
          <w:szCs w:val="22"/>
        </w:rPr>
        <w:t>II. De la información solicitada y la respuesta del SUJETO OBLIGADO</w:t>
      </w: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color w:val="000000"/>
          <w:sz w:val="22"/>
          <w:szCs w:val="22"/>
        </w:rPr>
        <w:t xml:space="preserve">Acotada la </w:t>
      </w:r>
      <w:r>
        <w:rPr>
          <w:rFonts w:ascii="Palatino Linotype" w:eastAsia="Palatino Linotype" w:hAnsi="Palatino Linotype" w:cs="Palatino Linotype"/>
          <w:i/>
          <w:color w:val="000000"/>
          <w:sz w:val="22"/>
          <w:szCs w:val="22"/>
        </w:rPr>
        <w:t>Litis</w:t>
      </w:r>
      <w:r>
        <w:rPr>
          <w:rFonts w:ascii="Palatino Linotype" w:eastAsia="Palatino Linotype" w:hAnsi="Palatino Linotype" w:cs="Palatino Linotype"/>
          <w:color w:val="000000"/>
          <w:sz w:val="22"/>
          <w:szCs w:val="22"/>
        </w:rPr>
        <w:t xml:space="preserve"> del presente asunto, primeramente es menester precisar que del escrito de inconformidad, se observa que el particular se duele porque no se turnó la solicitud de información a las áreas competentes</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situación que será el motivo de análisis del presente recurso de revisión</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t xml:space="preserve">En ese sentido, es importante recordar la información que fue solicitada por el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así como la información proporcionada por el </w:t>
      </w:r>
      <w:r>
        <w:rPr>
          <w:rFonts w:ascii="Palatino Linotype" w:eastAsia="Palatino Linotype" w:hAnsi="Palatino Linotype" w:cs="Palatino Linotype"/>
          <w:b/>
          <w:sz w:val="22"/>
          <w:szCs w:val="22"/>
        </w:rPr>
        <w:t xml:space="preserve">SUJETO OBLIGADO. </w:t>
      </w:r>
    </w:p>
    <w:p w:rsidR="00C13FE4" w:rsidRDefault="00C13FE4">
      <w:pPr>
        <w:pBdr>
          <w:top w:val="nil"/>
          <w:left w:val="nil"/>
          <w:bottom w:val="nil"/>
          <w:right w:val="nil"/>
          <w:between w:val="nil"/>
        </w:pBdr>
        <w:ind w:left="786" w:right="277"/>
        <w:jc w:val="both"/>
        <w:rPr>
          <w:rFonts w:ascii="Palatino Linotype" w:eastAsia="Palatino Linotype" w:hAnsi="Palatino Linotype" w:cs="Palatino Linotype"/>
          <w:b/>
          <w:i/>
          <w:color w:val="000000"/>
          <w:sz w:val="22"/>
          <w:szCs w:val="22"/>
        </w:rPr>
      </w:pPr>
    </w:p>
    <w:p w:rsidR="00C13FE4" w:rsidRDefault="000147D1">
      <w:pPr>
        <w:pBdr>
          <w:top w:val="nil"/>
          <w:left w:val="nil"/>
          <w:bottom w:val="nil"/>
          <w:right w:val="nil"/>
          <w:between w:val="nil"/>
        </w:pBdr>
        <w:ind w:left="1134"/>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De los servidores públicos que se encuentran adscritos a la Primer Regiduría del Ayuntamiento de la Paz. </w:t>
      </w:r>
    </w:p>
    <w:p w:rsidR="00C13FE4" w:rsidRDefault="00C13FE4">
      <w:pPr>
        <w:pBdr>
          <w:top w:val="nil"/>
          <w:left w:val="nil"/>
          <w:bottom w:val="nil"/>
          <w:right w:val="nil"/>
          <w:between w:val="nil"/>
        </w:pBdr>
        <w:ind w:left="786"/>
        <w:rPr>
          <w:rFonts w:ascii="Palatino Linotype" w:eastAsia="Palatino Linotype" w:hAnsi="Palatino Linotype" w:cs="Palatino Linotype"/>
          <w:b/>
          <w:i/>
          <w:color w:val="000000"/>
          <w:sz w:val="22"/>
          <w:szCs w:val="22"/>
        </w:rPr>
      </w:pPr>
    </w:p>
    <w:tbl>
      <w:tblPr>
        <w:tblStyle w:val="a"/>
        <w:tblpPr w:leftFromText="141" w:rightFromText="141" w:vertAnchor="text" w:tblpX="2616" w:tblpY="168"/>
        <w:tblW w:w="820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35"/>
        <w:gridCol w:w="1843"/>
        <w:gridCol w:w="1787"/>
        <w:gridCol w:w="1940"/>
      </w:tblGrid>
      <w:tr w:rsidR="00C13FE4" w:rsidTr="00C13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C13FE4" w:rsidRDefault="000147D1">
            <w:pP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Información solicitada</w:t>
            </w:r>
          </w:p>
        </w:tc>
        <w:tc>
          <w:tcPr>
            <w:tcW w:w="1843" w:type="dxa"/>
          </w:tcPr>
          <w:p w:rsidR="00C13FE4" w:rsidRDefault="000147D1">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w:t>
            </w:r>
          </w:p>
        </w:tc>
        <w:tc>
          <w:tcPr>
            <w:tcW w:w="1787" w:type="dxa"/>
          </w:tcPr>
          <w:p w:rsidR="00C13FE4" w:rsidRDefault="000147D1">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Informe justificado</w:t>
            </w:r>
          </w:p>
        </w:tc>
        <w:tc>
          <w:tcPr>
            <w:tcW w:w="1940" w:type="dxa"/>
          </w:tcPr>
          <w:p w:rsidR="00C13FE4" w:rsidRDefault="000147D1">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Colma </w:t>
            </w:r>
          </w:p>
        </w:tc>
      </w:tr>
      <w:tr w:rsidR="00C13FE4" w:rsidTr="00C13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C13FE4" w:rsidRDefault="000147D1">
            <w:pPr>
              <w:numPr>
                <w:ilvl w:val="0"/>
                <w:numId w:val="8"/>
              </w:numPr>
              <w:pBdr>
                <w:top w:val="nil"/>
                <w:left w:val="nil"/>
                <w:bottom w:val="nil"/>
                <w:right w:val="nil"/>
                <w:between w:val="nil"/>
              </w:pBdr>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val="0"/>
                <w:i/>
                <w:color w:val="000000"/>
                <w:sz w:val="22"/>
                <w:szCs w:val="22"/>
              </w:rPr>
              <w:t xml:space="preserve">Nombre </w:t>
            </w:r>
          </w:p>
          <w:p w:rsidR="00C13FE4" w:rsidRDefault="00C13FE4">
            <w:pPr>
              <w:rPr>
                <w:rFonts w:ascii="Palatino Linotype" w:eastAsia="Palatino Linotype" w:hAnsi="Palatino Linotype" w:cs="Palatino Linotype"/>
                <w:i/>
                <w:sz w:val="22"/>
                <w:szCs w:val="22"/>
              </w:rPr>
            </w:pPr>
          </w:p>
        </w:tc>
        <w:tc>
          <w:tcPr>
            <w:tcW w:w="1843" w:type="dxa"/>
          </w:tcPr>
          <w:p w:rsidR="00C13FE4" w:rsidRDefault="000147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hay pronunciamiento</w:t>
            </w:r>
          </w:p>
        </w:tc>
        <w:tc>
          <w:tcPr>
            <w:tcW w:w="1787" w:type="dxa"/>
          </w:tcPr>
          <w:p w:rsidR="00C13FE4" w:rsidRDefault="000147D1">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hay pronunciamiento</w:t>
            </w:r>
          </w:p>
        </w:tc>
        <w:tc>
          <w:tcPr>
            <w:tcW w:w="1940" w:type="dxa"/>
          </w:tcPr>
          <w:p w:rsidR="00C13FE4" w:rsidRDefault="000147D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colma al no haber pronunciamiento. </w:t>
            </w:r>
          </w:p>
        </w:tc>
      </w:tr>
      <w:tr w:rsidR="00C13FE4" w:rsidTr="00C13FE4">
        <w:tc>
          <w:tcPr>
            <w:cnfStyle w:val="001000000000" w:firstRow="0" w:lastRow="0" w:firstColumn="1" w:lastColumn="0" w:oddVBand="0" w:evenVBand="0" w:oddHBand="0" w:evenHBand="0" w:firstRowFirstColumn="0" w:firstRowLastColumn="0" w:lastRowFirstColumn="0" w:lastRowLastColumn="0"/>
            <w:tcW w:w="2635" w:type="dxa"/>
          </w:tcPr>
          <w:p w:rsidR="00C13FE4" w:rsidRDefault="000147D1">
            <w:pPr>
              <w:numPr>
                <w:ilvl w:val="0"/>
                <w:numId w:val="8"/>
              </w:numPr>
              <w:pBdr>
                <w:top w:val="nil"/>
                <w:left w:val="nil"/>
                <w:bottom w:val="nil"/>
                <w:right w:val="nil"/>
                <w:between w:val="nil"/>
              </w:pBdr>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val="0"/>
                <w:i/>
                <w:color w:val="000000"/>
                <w:sz w:val="22"/>
                <w:szCs w:val="22"/>
              </w:rPr>
              <w:lastRenderedPageBreak/>
              <w:t xml:space="preserve">Recibo de nómina </w:t>
            </w:r>
          </w:p>
        </w:tc>
        <w:tc>
          <w:tcPr>
            <w:tcW w:w="1843" w:type="dxa"/>
          </w:tcPr>
          <w:p w:rsidR="00C13FE4" w:rsidRDefault="000147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Tesorero Municipal el Sistema todavía no cuenta con la información. </w:t>
            </w:r>
          </w:p>
          <w:p w:rsidR="00C13FE4" w:rsidRDefault="00C13FE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p>
          <w:p w:rsidR="00C13FE4" w:rsidRDefault="000147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su parte la Primera Regidora entrega un oficio mediante el cual informa que no autoriza la publicación de su información.</w:t>
            </w:r>
          </w:p>
        </w:tc>
        <w:tc>
          <w:tcPr>
            <w:tcW w:w="1787" w:type="dxa"/>
          </w:tcPr>
          <w:p w:rsidR="00C13FE4" w:rsidRDefault="000147D1">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Ratifica</w:t>
            </w:r>
          </w:p>
        </w:tc>
        <w:tc>
          <w:tcPr>
            <w:tcW w:w="1940" w:type="dxa"/>
          </w:tcPr>
          <w:p w:rsidR="00C13FE4" w:rsidRDefault="000147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colma, toda vez que la emisión de los recibos de nómina se realiza quicenalmente, por lo que a la fecha de la solicitud el documento ya debió de haber sido generado.  </w:t>
            </w:r>
          </w:p>
          <w:p w:rsidR="00C13FE4" w:rsidRDefault="00C13FE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p>
          <w:p w:rsidR="00C13FE4" w:rsidRDefault="000147D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Respecto de la respuesta de la Primera Regidora de debe de mencionar que no se puede clasificar información que tenga relación con la remuneración que recibe por su cargo, toda vez que de acuerdo con la Ley de Transparencia y Acceso a la Información Pública del Estado de México y Municipios, informar sobre las remuneraciones que reciben los trabajadores por parte del gobierno es una obligación </w:t>
            </w:r>
            <w:r>
              <w:rPr>
                <w:rFonts w:ascii="Palatino Linotype" w:eastAsia="Palatino Linotype" w:hAnsi="Palatino Linotype" w:cs="Palatino Linotype"/>
                <w:i/>
                <w:sz w:val="22"/>
                <w:szCs w:val="22"/>
              </w:rPr>
              <w:lastRenderedPageBreak/>
              <w:t xml:space="preserve">de Transparencia Común. </w:t>
            </w:r>
          </w:p>
        </w:tc>
      </w:tr>
    </w:tbl>
    <w:p w:rsidR="00C13FE4" w:rsidRDefault="00C13FE4">
      <w:pPr>
        <w:pBdr>
          <w:top w:val="nil"/>
          <w:left w:val="nil"/>
          <w:bottom w:val="nil"/>
          <w:right w:val="nil"/>
          <w:between w:val="nil"/>
        </w:pBdr>
        <w:spacing w:line="360" w:lineRule="auto"/>
        <w:ind w:right="-787"/>
        <w:jc w:val="both"/>
        <w:rPr>
          <w:color w:val="000000"/>
          <w:sz w:val="22"/>
          <w:szCs w:val="22"/>
        </w:rPr>
      </w:pPr>
    </w:p>
    <w:p w:rsidR="00C13FE4" w:rsidRDefault="00C13FE4">
      <w:pPr>
        <w:spacing w:line="360" w:lineRule="auto"/>
        <w:ind w:right="-787"/>
        <w:jc w:val="both"/>
        <w:rPr>
          <w:rFonts w:ascii="Palatino Linotype" w:eastAsia="Palatino Linotype" w:hAnsi="Palatino Linotype" w:cs="Palatino Linotype"/>
          <w:color w:val="000000"/>
          <w:sz w:val="22"/>
          <w:szCs w:val="22"/>
        </w:rPr>
      </w:pPr>
    </w:p>
    <w:p w:rsidR="00C13FE4" w:rsidRDefault="00C13FE4">
      <w:pPr>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w:t>
      </w:r>
      <w:r>
        <w:rPr>
          <w:rFonts w:ascii="Palatino Linotype" w:eastAsia="Palatino Linotype" w:hAnsi="Palatino Linotype" w:cs="Palatino Linotype"/>
          <w:sz w:val="22"/>
          <w:szCs w:val="22"/>
        </w:rPr>
        <w:t>consecuencia</w:t>
      </w:r>
      <w:r>
        <w:rPr>
          <w:rFonts w:ascii="Palatino Linotype" w:eastAsia="Palatino Linotype" w:hAnsi="Palatino Linotype" w:cs="Palatino Linotype"/>
          <w:color w:val="000000"/>
          <w:sz w:val="22"/>
          <w:szCs w:val="22"/>
        </w:rPr>
        <w:t xml:space="preserve">,  se debe de establecer que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no colmo el derecho de acceso a la información del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 xml:space="preserve">situación por la cual se hace el siguiente analisis.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esa línea,  se debe de fijar si la solicitud de información fue turnada al área habilitada para que se emitieran las respuestas correspondientes. </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De lo anterior, como se observa en el tablero electrónico del expediente dio repuesta la Tesorería Municipal, por lo que por los temas solicitados se analizan sus atribuciones y funciones.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consecuencia, de acuerdo con el Bando Municipal en su artículo 54 regula que el Ayuntamiento de la Paz cuenta en su estructura con la Tesorería Municipal, quien se integra de la siguiente manera.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54.- La Administración Pública Municipal contará con las siguientes unidades administrativas.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III.- TESORERÍA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 Subdirección de Tesorería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III.II.- Dirección de Administración y Finanzas.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 Coordinación de Servicios Generales.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III.II.I.I.- Departamento de Mantenimiento.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III.II.I.II.-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Departamento de Soporte Técnico.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III.II.II.- Departamento de Recursos Humanos.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III.II.III.- Departamento de Parque Vehicular.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III.II.IV.- Departamento de Adquisiciones y Licitaciones.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 Dirección de Ingresos.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III.III.I.- Departamento de Reglamentos y Licencias.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III.III.II.- Departamento de Tianguis y Mercados. </w:t>
      </w:r>
    </w:p>
    <w:p w:rsidR="00C13FE4" w:rsidRDefault="000147D1">
      <w:pPr>
        <w:pBdr>
          <w:top w:val="nil"/>
          <w:left w:val="nil"/>
          <w:bottom w:val="nil"/>
          <w:right w:val="nil"/>
          <w:between w:val="nil"/>
        </w:pBdr>
        <w:ind w:left="1134" w:right="277"/>
        <w:jc w:val="both"/>
        <w:rPr>
          <w:i/>
          <w:color w:val="000000"/>
        </w:rPr>
      </w:pPr>
      <w:r>
        <w:rPr>
          <w:rFonts w:ascii="Palatino Linotype" w:eastAsia="Palatino Linotype" w:hAnsi="Palatino Linotype" w:cs="Palatino Linotype"/>
          <w:i/>
          <w:color w:val="000000"/>
          <w:sz w:val="22"/>
          <w:szCs w:val="22"/>
        </w:rPr>
        <w:t>III.III.III.- Departamento de Recaudación.</w:t>
      </w:r>
      <w:r>
        <w:rPr>
          <w:i/>
          <w:color w:val="000000"/>
        </w:rPr>
        <w:t xml:space="preserve">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III.IV.- Catastro.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III.V.- Dirección de Egresos.</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III.VI.- Contabilidad.</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Del artículo citado, se colige que la Tesorería Municipal se integra por la Dirección de Administración y Finanzas y esta su vez por el Departamento de Recursos Humanos, situación por la cual es necesario analizar sus atribuciones. </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esa línea, el Reglamento Orgánico Municipal 2025-2027, regula que la Dirección de Administración y Finanzas, así como el Departamento de Recursos Humanos tienen las siguientes funciones.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47.- La Dirección de Administración y Finanzas, por conducto de su Titular y mediante delegación de funciones, a través de los Titulares de las unidades administrativas que tiene adscritas, tendrá las atribuciones siguientes: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Diseñar, instrumentar, implementar y proponer a la Tesorería Municipal, políticas de gasto público;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Analizar, proponer y ejecutar la política de recursos humanos y materiales para el correcto funcionamiento de la Administración Pública Municipal; I</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Planear, organizar y supervisar los recursos humanos, materiales y servicios necesarios para la ejecución correcta de las tareas de la Administración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Ejecutar de manera obligatoria la capacitación continua de los servidores públicos;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V.- Mantener vigiladas las tareas referentes a la administración de los recursos humanos y pago de nómina;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Garantizar los servicios de intendencia y mantenimiento a los sistemas mecatrónicos;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VII.- Calendarizar acciones de mantenimiento en coordinación con los Departamentos adscritos a la Dirección; y</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Realizar las demás atribuciones que la Presidenta le asigne, así como aquellas previstas en los ordenamientos jurídicos aplicables.</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51.- El Departamento de Recursos Humanos, por conducto de su Titular tendrá las atribuciones siguientes: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w:t>
      </w:r>
      <w:r>
        <w:rPr>
          <w:rFonts w:ascii="Palatino Linotype" w:eastAsia="Palatino Linotype" w:hAnsi="Palatino Linotype" w:cs="Palatino Linotype"/>
          <w:b/>
          <w:i/>
          <w:color w:val="000000"/>
          <w:sz w:val="22"/>
          <w:szCs w:val="22"/>
        </w:rPr>
        <w:t>Realizar el reclutamiento, selección, contratación y control del personal, incorporando métodos y procedimientos que permitan el desarrollo del personal;</w:t>
      </w:r>
      <w:r>
        <w:rPr>
          <w:rFonts w:ascii="Palatino Linotype" w:eastAsia="Palatino Linotype" w:hAnsi="Palatino Linotype" w:cs="Palatino Linotype"/>
          <w:i/>
          <w:color w:val="000000"/>
          <w:sz w:val="22"/>
          <w:szCs w:val="22"/>
        </w:rPr>
        <w:t xml:space="preserve">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II.- Formar y llevar el control de los expedientes laborales de los trabajadores al servicio de la administración pública municipal, debiendo actualizarlos cada tres meses, siendo los datos agregados de carácter confidencial, salvo requerimiento expreso de autoridad competente;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Llevar el control de asistencias e inasistencias de los empleados de la administración pública municipal, a través de los medios que se consideren necesarios, debiendo ordenar los descuentos correspondientes cuando se trate de faltas injustificadas;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Integrar los expedientes que ameriten juicio laboral, turnándose a la Dirección Jurídica y Consultiva, para que sea ésta quien realice el trámite que corresponda ante las autoridades y tribunales competentes;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Hacer de conocimiento de la dependencia competente la falta de asistencia de los empleados de la administración pública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Incorporar a los trabajadores de la administración pública municipal, a los servicios de seguridad social que presta el Instituto de Seguridad Social del Estado de México y Municipios, vigilando que se cubran las cuotas y aportaciones que legalmente correspondan a dicha institución por los servicios correspondientes;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VII.- Tramitar ante el Instituto de Seguridad Social del Estado de México y Municipios, la baja de los empleados de la administración pública municipal, para efectos de la vigencia de su seguridad social;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VIII.- Mantener la relación con el o los representantes del personal sindicalizado de la administración pública municipal, informando oportunamente a la Presidenta Municipal, de todo acuerdo, problema o contingencia que se presente con este personal, para los acuerdos conducentes; IX.- Realizar el estudio de perfiles y el catálogo de puestos de la administración pública municipal, asignando a cada servidor público acorde a su perfil </w:t>
      </w:r>
      <w:r>
        <w:rPr>
          <w:rFonts w:ascii="Palatino Linotype" w:eastAsia="Palatino Linotype" w:hAnsi="Palatino Linotype" w:cs="Palatino Linotype"/>
          <w:i/>
          <w:color w:val="000000"/>
          <w:sz w:val="22"/>
          <w:szCs w:val="22"/>
        </w:rPr>
        <w:lastRenderedPageBreak/>
        <w:t xml:space="preserve">académico y/o laboral, a la unidad administrativa que corresponda, previo acuerdo de la Presidenta Municipal y consentimiento expreso del titular del área al que vaya a ser asignado, con pleno respeto a sus derechos laborales;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 Promover cursos de capacitación para elevar el grado de eficacia y eficiencia del personal adscrito a la administración pública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XI.- Elaborar diagnósticos que detecten las necesidades de capacitación de todo el personal de la administración pública municipal;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XII.- Elaborar y ejecutar el Programa Anual de Capacitación, en el que se brindan cursos, talleres, diplomados de impacto con base en lo detectado en el diagnóstico que se realice; y </w:t>
      </w:r>
    </w:p>
    <w:p w:rsidR="00C13FE4" w:rsidRDefault="000147D1">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XIII.- Realizar las demás atribuciones que la Presidenta le asigne, así como aquellas previstas en los ordenamientos jurídicos aplicables.</w:t>
      </w:r>
    </w:p>
    <w:p w:rsidR="00C13FE4" w:rsidRDefault="00C13FE4">
      <w:pPr>
        <w:pBdr>
          <w:top w:val="nil"/>
          <w:left w:val="nil"/>
          <w:bottom w:val="nil"/>
          <w:right w:val="nil"/>
          <w:between w:val="nil"/>
        </w:pBdr>
        <w:ind w:left="1134" w:right="277"/>
        <w:jc w:val="both"/>
        <w:rPr>
          <w:rFonts w:ascii="Palatino Linotype" w:eastAsia="Palatino Linotype" w:hAnsi="Palatino Linotype" w:cs="Palatino Linotype"/>
          <w:i/>
          <w:color w:val="000000"/>
          <w:sz w:val="22"/>
          <w:szCs w:val="22"/>
        </w:rPr>
      </w:pPr>
    </w:p>
    <w:p w:rsidR="00C13FE4" w:rsidRDefault="000147D1">
      <w:pPr>
        <w:numPr>
          <w:ilvl w:val="0"/>
          <w:numId w:val="2"/>
        </w:numPr>
        <w:spacing w:line="360" w:lineRule="auto"/>
        <w:ind w:left="0" w:right="-78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lo anterior, se colige que la Dirección de Administración y Finanzas dentro de su sus funciones tiene la de realizar el pago de la nómina a los servidores públicos, mientras que el Departamento de Recursos Humanos se encarga de mantener actualizada la plantilla laboral de los servidores públicos adscritos al Ayuntamiento de la Paz, situación por la cual se colige que la solicitud de información si fue turnada al área habilitada, sin embargo la misma no colmo las pretensiones del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 xml:space="preserve">al no haber manado la información solicitada.  </w:t>
      </w:r>
    </w:p>
    <w:p w:rsidR="00C13FE4" w:rsidRDefault="00C13FE4">
      <w:pPr>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la información solicitada se debe de analizar lo correspondiente al recibo de nómina, toda vez que es el documento solicitado por el </w:t>
      </w:r>
      <w:r>
        <w:rPr>
          <w:rFonts w:ascii="Palatino Linotype" w:eastAsia="Palatino Linotype" w:hAnsi="Palatino Linotype" w:cs="Palatino Linotype"/>
          <w:b/>
          <w:color w:val="000000"/>
          <w:sz w:val="22"/>
          <w:szCs w:val="22"/>
        </w:rPr>
        <w:t>RECURRENTE</w:t>
      </w:r>
      <w:r>
        <w:rPr>
          <w:rFonts w:ascii="Palatino Linotype" w:eastAsia="Palatino Linotype" w:hAnsi="Palatino Linotype" w:cs="Palatino Linotype"/>
          <w:color w:val="000000"/>
          <w:sz w:val="22"/>
          <w:szCs w:val="22"/>
        </w:rPr>
        <w:t xml:space="preserve">.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9"/>
        </w:numPr>
        <w:tabs>
          <w:tab w:val="left" w:pos="284"/>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Recibos de Nomina</w:t>
      </w: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w:t>
      </w:r>
      <w:r>
        <w:rPr>
          <w:rFonts w:ascii="Palatino Linotype" w:eastAsia="Palatino Linotype" w:hAnsi="Palatino Linotype" w:cs="Palatino Linotype"/>
          <w:sz w:val="22"/>
          <w:szCs w:val="22"/>
        </w:rPr>
        <w:lastRenderedPageBreak/>
        <w:t>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Como </w:t>
      </w:r>
      <w:r>
        <w:rPr>
          <w:rFonts w:ascii="Palatino Linotype" w:eastAsia="Palatino Linotype" w:hAnsi="Palatino Linotype" w:cs="Palatino Linotype"/>
          <w:color w:val="000000"/>
          <w:sz w:val="22"/>
          <w:szCs w:val="22"/>
        </w:rPr>
        <w:t>ya</w:t>
      </w:r>
      <w:r>
        <w:rPr>
          <w:rFonts w:ascii="Palatino Linotype" w:eastAsia="Palatino Linotype" w:hAnsi="Palatino Linotype" w:cs="Palatino Linotype"/>
          <w:sz w:val="22"/>
          <w:szCs w:val="22"/>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804.-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patrón tiene obligación de conservar y exhibir en juicio los documentos que a continuación se precisan</w:t>
      </w:r>
      <w:r>
        <w:rPr>
          <w:rFonts w:ascii="Palatino Linotype" w:eastAsia="Palatino Linotype" w:hAnsi="Palatino Linotype" w:cs="Palatino Linotype"/>
          <w:i/>
          <w:sz w:val="22"/>
          <w:szCs w:val="22"/>
        </w:rPr>
        <w:t xml:space="preserve">: </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Listas de raya o </w:t>
      </w:r>
      <w:r>
        <w:rPr>
          <w:rFonts w:ascii="Palatino Linotype" w:eastAsia="Palatino Linotype" w:hAnsi="Palatino Linotype" w:cs="Palatino Linotype"/>
          <w:b/>
          <w:i/>
          <w:sz w:val="22"/>
          <w:szCs w:val="22"/>
          <w:u w:val="single"/>
        </w:rPr>
        <w:t>nómina de personal</w:t>
      </w:r>
      <w:r>
        <w:rPr>
          <w:rFonts w:ascii="Palatino Linotype" w:eastAsia="Palatino Linotype" w:hAnsi="Palatino Linotype" w:cs="Palatino Linotype"/>
          <w:i/>
          <w:sz w:val="22"/>
          <w:szCs w:val="22"/>
        </w:rPr>
        <w:t xml:space="preserve">, cuando se lleven en el centro de trabajo; o recibos de pagos de salarios; </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documentos</w:t>
      </w:r>
      <w:r>
        <w:rPr>
          <w:rFonts w:ascii="Palatino Linotype" w:eastAsia="Palatino Linotype" w:hAnsi="Palatino Linotype" w:cs="Palatino Linotype"/>
          <w:i/>
          <w:sz w:val="22"/>
          <w:szCs w:val="22"/>
        </w:rPr>
        <w:t xml:space="preserve"> señalados en la fracción I </w:t>
      </w:r>
      <w:r>
        <w:rPr>
          <w:rFonts w:ascii="Palatino Linotype" w:eastAsia="Palatino Linotype" w:hAnsi="Palatino Linotype" w:cs="Palatino Linotype"/>
          <w:b/>
          <w:i/>
          <w:sz w:val="22"/>
          <w:szCs w:val="22"/>
          <w:u w:val="single"/>
        </w:rPr>
        <w:t>deberán conservarse</w:t>
      </w:r>
      <w:r>
        <w:rPr>
          <w:rFonts w:ascii="Palatino Linotype" w:eastAsia="Palatino Linotype" w:hAnsi="Palatino Linotype" w:cs="Palatino Linotype"/>
          <w:i/>
          <w:sz w:val="22"/>
          <w:szCs w:val="22"/>
        </w:rPr>
        <w:t xml:space="preserve"> mientras dure la relación laboral y hasta un año después; los </w:t>
      </w:r>
      <w:r>
        <w:rPr>
          <w:rFonts w:ascii="Palatino Linotype" w:eastAsia="Palatino Linotype" w:hAnsi="Palatino Linotype" w:cs="Palatino Linotype"/>
          <w:b/>
          <w:i/>
          <w:sz w:val="22"/>
          <w:szCs w:val="22"/>
          <w:u w:val="single"/>
        </w:rPr>
        <w:t>señalados en las fracciones II</w:t>
      </w:r>
      <w:r>
        <w:rPr>
          <w:rFonts w:ascii="Palatino Linotype" w:eastAsia="Palatino Linotype" w:hAnsi="Palatino Linotype" w:cs="Palatino Linotype"/>
          <w:i/>
          <w:sz w:val="22"/>
          <w:szCs w:val="22"/>
        </w:rPr>
        <w:t xml:space="preserve">, III y IV, </w:t>
      </w:r>
      <w:r>
        <w:rPr>
          <w:rFonts w:ascii="Palatino Linotype" w:eastAsia="Palatino Linotype" w:hAnsi="Palatino Linotype" w:cs="Palatino Linotype"/>
          <w:b/>
          <w:i/>
          <w:sz w:val="22"/>
          <w:szCs w:val="22"/>
          <w:u w:val="single"/>
        </w:rPr>
        <w:t>durante el último año y un año después de que se extinga la relación laboral</w:t>
      </w:r>
      <w:r>
        <w:rPr>
          <w:rFonts w:ascii="Palatino Linotype" w:eastAsia="Palatino Linotype" w:hAnsi="Palatino Linotype" w:cs="Palatino Linotype"/>
          <w:i/>
          <w:sz w:val="22"/>
          <w:szCs w:val="22"/>
        </w:rPr>
        <w:t>; y los mencionados en la fracción V, conforme lo señalen las Leyes que los rijan.</w:t>
      </w:r>
    </w:p>
    <w:p w:rsidR="00C13FE4" w:rsidRDefault="000147D1">
      <w:pPr>
        <w:spacing w:before="120" w:after="120"/>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13FE4" w:rsidRDefault="00C13FE4">
      <w:pPr>
        <w:spacing w:before="120" w:after="120"/>
        <w:ind w:left="709" w:right="709"/>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igual forma, la Constitución Política del Estado Libre y Soberano de México dispone en lo relativo a las remuneraciones de los servidores públicos, lo </w:t>
      </w:r>
      <w:r>
        <w:rPr>
          <w:rFonts w:ascii="Palatino Linotype" w:eastAsia="Palatino Linotype" w:hAnsi="Palatino Linotype" w:cs="Palatino Linotype"/>
          <w:color w:val="000000"/>
          <w:sz w:val="22"/>
          <w:szCs w:val="22"/>
        </w:rPr>
        <w:t>siguiente</w:t>
      </w:r>
      <w:r>
        <w:rPr>
          <w:rFonts w:ascii="Palatino Linotype" w:eastAsia="Palatino Linotype" w:hAnsi="Palatino Linotype" w:cs="Palatino Linotype"/>
          <w:sz w:val="22"/>
          <w:szCs w:val="22"/>
        </w:rPr>
        <w:t>:</w:t>
      </w:r>
    </w:p>
    <w:p w:rsidR="00C13FE4" w:rsidRDefault="000147D1">
      <w:pPr>
        <w:spacing w:before="120" w:after="12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147.- </w:t>
      </w:r>
      <w:r>
        <w:rPr>
          <w:rFonts w:ascii="Palatino Linotype" w:eastAsia="Palatino Linotype" w:hAnsi="Palatino Linotype" w:cs="Palatino Linotype"/>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Pr>
          <w:rFonts w:ascii="Palatino Linotype" w:eastAsia="Palatino Linotype" w:hAnsi="Palatino Linotype" w:cs="Palatino Linotype"/>
          <w:b/>
          <w:i/>
          <w:sz w:val="22"/>
          <w:szCs w:val="22"/>
        </w:rPr>
        <w:t>recibirán una retribución adecuada e irrenunciable por el desempeño de su empleo, cargo o comisión, que será determinada en el presupuesto de egresos que corresponda.”</w:t>
      </w:r>
    </w:p>
    <w:p w:rsidR="00C13FE4" w:rsidRDefault="00C13FE4">
      <w:pPr>
        <w:spacing w:before="120" w:after="120"/>
        <w:ind w:left="1134" w:right="900"/>
        <w:jc w:val="both"/>
        <w:rPr>
          <w:rFonts w:ascii="Palatino Linotype" w:eastAsia="Palatino Linotype" w:hAnsi="Palatino Linotype" w:cs="Palatino Linotype"/>
          <w:b/>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En</w:t>
      </w:r>
      <w:r>
        <w:rPr>
          <w:rFonts w:ascii="Palatino Linotype" w:eastAsia="Palatino Linotype" w:hAnsi="Palatino Linotype" w:cs="Palatino Linotype"/>
          <w:sz w:val="22"/>
          <w:szCs w:val="22"/>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efectos de este Código, Ley de Ingresos del Estado y del Presupuesto de Egresos se entenderá por:</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XXXII. Remuneración: </w:t>
      </w:r>
      <w:r>
        <w:rPr>
          <w:rFonts w:ascii="Palatino Linotype" w:eastAsia="Palatino Linotype" w:hAnsi="Palatino Linotype" w:cs="Palatino Linotype"/>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13FE4" w:rsidRDefault="00C13FE4">
      <w:pPr>
        <w:spacing w:before="120" w:after="120"/>
        <w:ind w:left="709" w:right="709"/>
        <w:jc w:val="both"/>
        <w:rPr>
          <w:rFonts w:ascii="Palatino Linotype" w:eastAsia="Palatino Linotype" w:hAnsi="Palatino Linotype" w:cs="Palatino Linotype"/>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la Ley de Transparencia y Acceso a la Información Pública del Estado </w:t>
      </w:r>
      <w:r>
        <w:rPr>
          <w:rFonts w:ascii="Palatino Linotype" w:eastAsia="Palatino Linotype" w:hAnsi="Palatino Linotype" w:cs="Palatino Linotype"/>
          <w:color w:val="000000"/>
          <w:sz w:val="22"/>
          <w:szCs w:val="22"/>
        </w:rPr>
        <w:t>de</w:t>
      </w:r>
      <w:r>
        <w:rPr>
          <w:rFonts w:ascii="Palatino Linotype" w:eastAsia="Palatino Linotype" w:hAnsi="Palatino Linotype" w:cs="Palatino Linotype"/>
          <w:sz w:val="22"/>
          <w:szCs w:val="22"/>
        </w:rPr>
        <w:t xml:space="preserve"> México y Municipios, dispone en su penúltimo párrafo del artículo 23, que los Sujetos Obligados deberán hacer pública toda aquella información relativa a los montos y personas a </w:t>
      </w:r>
      <w:r>
        <w:rPr>
          <w:rFonts w:ascii="Palatino Linotype" w:eastAsia="Palatino Linotype" w:hAnsi="Palatino Linotype" w:cs="Palatino Linotype"/>
          <w:sz w:val="22"/>
          <w:szCs w:val="22"/>
        </w:rPr>
        <w:lastRenderedPageBreak/>
        <w:t>las que entreguen recursos, atento a ello es que surge la obligación de generar la información relacionada con las gratificaciones solicitadas.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Ahora</w:t>
      </w:r>
      <w:r>
        <w:rPr>
          <w:rFonts w:ascii="Palatino Linotype" w:eastAsia="Palatino Linotype" w:hAnsi="Palatino Linotype" w:cs="Palatino Linotype"/>
          <w:sz w:val="22"/>
          <w:szCs w:val="22"/>
        </w:rPr>
        <w:t xml:space="preserve"> bien, tratándose de servidores públicos de los Municipios la Ley del Trabajo de los Servidores Públicos del Estado y Municipios, en su artículo 220-K fracciones II y IV y último párrafo, establecen lo siguiente:</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Recibos o las constancias de depósito o del medio de información magnética o electrónica que sean utilizadas para el pago de</w:t>
      </w:r>
      <w:r>
        <w:rPr>
          <w:rFonts w:ascii="Palatino Linotype" w:eastAsia="Palatino Linotype" w:hAnsi="Palatino Linotype" w:cs="Palatino Linotype"/>
          <w:i/>
          <w:sz w:val="22"/>
          <w:szCs w:val="22"/>
        </w:rPr>
        <w:t xml:space="preserve"> salarios, prima vacacional,</w:t>
      </w:r>
      <w:r>
        <w:rPr>
          <w:rFonts w:ascii="Palatino Linotype" w:eastAsia="Palatino Linotype" w:hAnsi="Palatino Linotype" w:cs="Palatino Linotype"/>
          <w:b/>
          <w:i/>
          <w:sz w:val="22"/>
          <w:szCs w:val="22"/>
          <w:u w:val="single"/>
        </w:rPr>
        <w:t xml:space="preserve"> aguinaldo y demás prestaciones</w:t>
      </w:r>
      <w:r>
        <w:rPr>
          <w:rFonts w:ascii="Palatino Linotype" w:eastAsia="Palatino Linotype" w:hAnsi="Palatino Linotype" w:cs="Palatino Linotype"/>
          <w:i/>
          <w:sz w:val="22"/>
          <w:szCs w:val="22"/>
        </w:rPr>
        <w:t xml:space="preserve"> establecidas en la presente ley; y</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Pr>
          <w:rFonts w:ascii="Palatino Linotype" w:eastAsia="Palatino Linotype" w:hAnsi="Palatino Linotype" w:cs="Palatino Linotype"/>
          <w:b/>
          <w:i/>
          <w:sz w:val="22"/>
          <w:szCs w:val="22"/>
          <w:u w:val="single"/>
        </w:rPr>
        <w:t>II, III, IV durante el último año y un año después de que se extinga la relación laboral</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y los mencionados en la fracción V, conforme lo señalen las leyes que los rijan.</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13FE4" w:rsidRDefault="000147D1">
      <w:pPr>
        <w:spacing w:before="160" w:after="16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C13FE4" w:rsidRDefault="000147D1">
      <w:pPr>
        <w:spacing w:before="160" w:after="160"/>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13FE4" w:rsidRDefault="00C13FE4">
      <w:pPr>
        <w:spacing w:before="160" w:after="160"/>
        <w:ind w:left="1134" w:right="1106"/>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Ahora</w:t>
      </w:r>
      <w:r>
        <w:rPr>
          <w:rFonts w:ascii="Palatino Linotype" w:eastAsia="Palatino Linotype" w:hAnsi="Palatino Linotype" w:cs="Palatino Linotype"/>
          <w:sz w:val="22"/>
          <w:szCs w:val="22"/>
        </w:rPr>
        <w:t xml:space="preserve"> bien, el artículo 350 del Código Financiero del Estado de México dispone lo que se transcribe a continuación:</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350.-</w:t>
      </w:r>
      <w:r>
        <w:rPr>
          <w:rFonts w:ascii="Palatino Linotype" w:eastAsia="Palatino Linotype" w:hAnsi="Palatino Linotype" w:cs="Palatino Linotype"/>
          <w:i/>
          <w:sz w:val="22"/>
          <w:szCs w:val="22"/>
        </w:rPr>
        <w:t xml:space="preserve"> Mensualmente </w:t>
      </w:r>
      <w:r>
        <w:rPr>
          <w:rFonts w:ascii="Palatino Linotype" w:eastAsia="Palatino Linotype" w:hAnsi="Palatino Linotype" w:cs="Palatino Linotype"/>
          <w:b/>
          <w:i/>
          <w:sz w:val="22"/>
          <w:szCs w:val="22"/>
          <w:u w:val="single"/>
        </w:rPr>
        <w:t>dentro de los primeros veinte días hábiles</w:t>
      </w:r>
      <w:r>
        <w:rPr>
          <w:rFonts w:ascii="Palatino Linotype" w:eastAsia="Palatino Linotype" w:hAnsi="Palatino Linotype" w:cs="Palatino Linotype"/>
          <w:i/>
          <w:sz w:val="22"/>
          <w:szCs w:val="22"/>
        </w:rPr>
        <w:t xml:space="preserve">, la Secretaría y </w:t>
      </w:r>
      <w:r>
        <w:rPr>
          <w:rFonts w:ascii="Palatino Linotype" w:eastAsia="Palatino Linotype" w:hAnsi="Palatino Linotype" w:cs="Palatino Linotype"/>
          <w:b/>
          <w:i/>
          <w:sz w:val="22"/>
          <w:szCs w:val="22"/>
          <w:u w:val="single"/>
        </w:rPr>
        <w:t>las Tesorerías, enviarán para su análisis y evaluación al Órgano Superior de Fiscalización del Estado de México, la siguiente información</w:t>
      </w:r>
      <w:r>
        <w:rPr>
          <w:rFonts w:ascii="Palatino Linotype" w:eastAsia="Palatino Linotype" w:hAnsi="Palatino Linotype" w:cs="Palatino Linotype"/>
          <w:i/>
          <w:sz w:val="22"/>
          <w:szCs w:val="22"/>
        </w:rPr>
        <w:t xml:space="preserve">: </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3FE4" w:rsidRDefault="000147D1">
      <w:pPr>
        <w:spacing w:before="120" w:after="12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b/>
          <w:i/>
          <w:sz w:val="22"/>
          <w:szCs w:val="22"/>
          <w:u w:val="single"/>
        </w:rPr>
        <w:t>Información de nómina</w:t>
      </w:r>
      <w:r>
        <w:rPr>
          <w:rFonts w:ascii="Palatino Linotype" w:eastAsia="Palatino Linotype" w:hAnsi="Palatino Linotype" w:cs="Palatino Linotype"/>
          <w:i/>
          <w:sz w:val="22"/>
          <w:szCs w:val="22"/>
        </w:rPr>
        <w:t>.”</w:t>
      </w:r>
    </w:p>
    <w:p w:rsidR="00C13FE4" w:rsidRDefault="000147D1">
      <w:pPr>
        <w:spacing w:before="120" w:after="120"/>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13FE4" w:rsidRDefault="00C13FE4">
      <w:pPr>
        <w:spacing w:before="120" w:after="120"/>
        <w:ind w:right="1106"/>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igual forma, las disposiciones administrativas que rigen a las Entidades </w:t>
      </w:r>
      <w:r>
        <w:rPr>
          <w:rFonts w:ascii="Palatino Linotype" w:eastAsia="Palatino Linotype" w:hAnsi="Palatino Linotype" w:cs="Palatino Linotype"/>
          <w:color w:val="000000"/>
          <w:sz w:val="22"/>
          <w:szCs w:val="22"/>
        </w:rPr>
        <w:t>Fiscalizables</w:t>
      </w:r>
      <w:r>
        <w:rPr>
          <w:rFonts w:ascii="Palatino Linotype" w:eastAsia="Palatino Linotype" w:hAnsi="Palatino Linotype" w:cs="Palatino Linotype"/>
          <w:sz w:val="22"/>
          <w:szCs w:val="22"/>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w:t>
      </w:r>
      <w:r>
        <w:rPr>
          <w:rFonts w:ascii="Palatino Linotype" w:eastAsia="Palatino Linotype" w:hAnsi="Palatino Linotype" w:cs="Palatino Linotype"/>
          <w:sz w:val="22"/>
          <w:szCs w:val="22"/>
        </w:rPr>
        <w:lastRenderedPageBreak/>
        <w:t>Presupuesto de Egresos y Manual Único de Contabilidad Gubernamental para las Dependencias y Entidades Públicas del Gobierno y Municipios, todos del Estado de México.</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C13FE4" w:rsidRDefault="000147D1">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extent cx="4305316" cy="2705771"/>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305316" cy="2705771"/>
                    </a:xfrm>
                    <a:prstGeom prst="rect">
                      <a:avLst/>
                    </a:prstGeom>
                    <a:ln/>
                  </pic:spPr>
                </pic:pic>
              </a:graphicData>
            </a:graphic>
          </wp:inline>
        </w:drawing>
      </w: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 imagen insertada, se desprende que, se puede obtener la información requerida por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puesto que resulta claro que existe la obligación por parte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w:t>
      </w:r>
      <w:r>
        <w:rPr>
          <w:rFonts w:ascii="Palatino Linotype" w:eastAsia="Palatino Linotype" w:hAnsi="Palatino Linotype" w:cs="Palatino Linotype"/>
          <w:b/>
          <w:sz w:val="22"/>
          <w:szCs w:val="22"/>
        </w:rPr>
        <w:t>Comprobantes Fiscales Digitales por Internet por concepto de nómina</w:t>
      </w:r>
      <w:r>
        <w:rPr>
          <w:rFonts w:ascii="Palatino Linotype" w:eastAsia="Palatino Linotype" w:hAnsi="Palatino Linotype" w:cs="Palatino Linotype"/>
          <w:sz w:val="22"/>
          <w:szCs w:val="22"/>
        </w:rPr>
        <w:t xml:space="preserve">, que comprende la información relativa </w:t>
      </w:r>
      <w:r>
        <w:rPr>
          <w:rFonts w:ascii="Palatino Linotype" w:eastAsia="Palatino Linotype" w:hAnsi="Palatino Linotype" w:cs="Palatino Linotype"/>
          <w:b/>
          <w:sz w:val="22"/>
          <w:szCs w:val="22"/>
        </w:rPr>
        <w:t xml:space="preserve">al pago de las remuneraciones de cada uno de los servidores públicos correspondiente a un periodo determinado, incluyendo el </w:t>
      </w:r>
      <w:r>
        <w:rPr>
          <w:rFonts w:ascii="Palatino Linotype" w:eastAsia="Palatino Linotype" w:hAnsi="Palatino Linotype" w:cs="Palatino Linotype"/>
          <w:b/>
          <w:sz w:val="22"/>
          <w:szCs w:val="22"/>
        </w:rPr>
        <w:lastRenderedPageBreak/>
        <w:t>aguinaldo y las gratificaciones;</w:t>
      </w:r>
      <w:r>
        <w:rPr>
          <w:rFonts w:ascii="Palatino Linotype" w:eastAsia="Palatino Linotype" w:hAnsi="Palatino Linotype" w:cs="Palatino Linotype"/>
          <w:sz w:val="22"/>
          <w:szCs w:val="22"/>
        </w:rPr>
        <w:t xml:space="preserve"> en consecuencia, la información solicitada puede ser colmada por el </w:t>
      </w:r>
      <w:r>
        <w:rPr>
          <w:rFonts w:ascii="Palatino Linotype" w:eastAsia="Palatino Linotype" w:hAnsi="Palatino Linotype" w:cs="Palatino Linotype"/>
          <w:b/>
          <w:sz w:val="22"/>
          <w:szCs w:val="22"/>
        </w:rPr>
        <w:t xml:space="preserve">SUJETO OBLIGADO, toda vez que  los Comprobantes Fiscales Digitales por Internet se emiten quincenalmente. </w:t>
      </w:r>
    </w:p>
    <w:p w:rsidR="00C13FE4" w:rsidRDefault="00C13FE4">
      <w:pPr>
        <w:spacing w:before="120" w:after="120"/>
        <w:ind w:right="709"/>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Sirve de sustento por analogía, para justificar la publicidad sobre los datos </w:t>
      </w:r>
      <w:r>
        <w:rPr>
          <w:rFonts w:ascii="Palatino Linotype" w:eastAsia="Palatino Linotype" w:hAnsi="Palatino Linotype" w:cs="Palatino Linotype"/>
          <w:color w:val="000000"/>
          <w:sz w:val="22"/>
          <w:szCs w:val="22"/>
        </w:rPr>
        <w:t>relativos</w:t>
      </w:r>
      <w:r>
        <w:rPr>
          <w:rFonts w:ascii="Palatino Linotype" w:eastAsia="Palatino Linotype" w:hAnsi="Palatino Linotype" w:cs="Palatino Linotype"/>
          <w:sz w:val="22"/>
          <w:szCs w:val="22"/>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C13FE4" w:rsidRDefault="000147D1">
      <w:pPr>
        <w:spacing w:before="160" w:after="20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01/2003.</w:t>
      </w:r>
    </w:p>
    <w:p w:rsidR="00C13FE4" w:rsidRDefault="000147D1">
      <w:pPr>
        <w:spacing w:before="160" w:after="20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Pr>
          <w:rFonts w:ascii="Palatino Linotype" w:eastAsia="Palatino Linotype" w:hAnsi="Palatino Linotype" w:cs="Palatino Linotype"/>
          <w:b/>
          <w:i/>
          <w:sz w:val="22"/>
          <w:szCs w:val="22"/>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Pr>
          <w:rFonts w:ascii="Palatino Linotype" w:eastAsia="Palatino Linotype" w:hAnsi="Palatino Linotype" w:cs="Palatino Linotype"/>
          <w:i/>
          <w:sz w:val="22"/>
          <w:szCs w:val="22"/>
        </w:rPr>
        <w:t>…”</w:t>
      </w:r>
    </w:p>
    <w:p w:rsidR="00C13FE4" w:rsidRDefault="000147D1">
      <w:pPr>
        <w:spacing w:before="360" w:after="200"/>
        <w:ind w:left="1134" w:right="27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02/2003.</w:t>
      </w:r>
    </w:p>
    <w:p w:rsidR="00C13FE4" w:rsidRDefault="000147D1">
      <w:pPr>
        <w:spacing w:before="160" w:after="200"/>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INGRESOS DE LOS SERVIDORES PÚBLICOS, SON INFORMACIÓN PÚBLICA AÚN Y CUANDO CONSTITUYEN DATOS PERSONALES QUE SE REFIEREN AL PATRIMONIO DE AQUÉLLOS.</w:t>
      </w:r>
      <w:r>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eastAsia="Palatino Linotype" w:hAnsi="Palatino Linotype" w:cs="Palatino Linotype"/>
          <w:i/>
          <w:sz w:val="22"/>
          <w:szCs w:val="22"/>
        </w:rPr>
        <w:t xml:space="preserve"> el sistema de compensación …”</w:t>
      </w:r>
    </w:p>
    <w:p w:rsidR="00C13FE4" w:rsidRDefault="000147D1">
      <w:pPr>
        <w:spacing w:before="160" w:after="200"/>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Luego entonces, este Órgano Garante determina que para colmar el derecho de </w:t>
      </w:r>
      <w:r>
        <w:rPr>
          <w:rFonts w:ascii="Palatino Linotype" w:eastAsia="Palatino Linotype" w:hAnsi="Palatino Linotype" w:cs="Palatino Linotype"/>
          <w:color w:val="000000"/>
          <w:sz w:val="22"/>
          <w:szCs w:val="22"/>
        </w:rPr>
        <w:t>acceso</w:t>
      </w:r>
      <w:r>
        <w:rPr>
          <w:rFonts w:ascii="Palatino Linotype" w:eastAsia="Palatino Linotype" w:hAnsi="Palatino Linotype" w:cs="Palatino Linotype"/>
          <w:sz w:val="22"/>
          <w:szCs w:val="22"/>
        </w:rPr>
        <w:t xml:space="preserve"> a la información del hoy </w:t>
      </w:r>
      <w:r>
        <w:rPr>
          <w:rFonts w:ascii="Palatino Linotype" w:eastAsia="Palatino Linotype" w:hAnsi="Palatino Linotype" w:cs="Palatino Linotype"/>
          <w:b/>
          <w:sz w:val="22"/>
          <w:szCs w:val="22"/>
        </w:rPr>
        <w:t>RECURRENTE, el SUJETO OBLIGADO</w:t>
      </w:r>
      <w:r>
        <w:rPr>
          <w:rFonts w:ascii="Palatino Linotype" w:eastAsia="Palatino Linotype" w:hAnsi="Palatino Linotype" w:cs="Palatino Linotype"/>
          <w:sz w:val="22"/>
          <w:szCs w:val="22"/>
        </w:rPr>
        <w:t xml:space="preserve"> deberá entregar el recibo de nómina de los trabajadores que laboran en la Primera Regiduría del Ayuntamiento de la Paz, incluyendo el de la Regidora, toda vez que como en párrafos anteriores las remuneraciones forman parte de las obligaciones de transparencia común. </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del recibo de nómina o comprobante fiscal que entregue </w:t>
      </w:r>
      <w:r>
        <w:rPr>
          <w:rFonts w:ascii="Palatino Linotype" w:eastAsia="Palatino Linotype" w:hAnsi="Palatino Linotype" w:cs="Palatino Linotype"/>
          <w:color w:val="000000"/>
          <w:sz w:val="22"/>
          <w:szCs w:val="22"/>
        </w:rPr>
        <w:t>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para satisfacer el derecho de acceso a la información del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deberá analizar los datos personales susceptibles de ser clasificados como confidenciales.</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específico, los recibos de nómina contienen los datos personales de los servidores, que de hacerse públicos afectarían su intimidad y vida privada; es por ello que es criterio reiterado en las resoluciones de este Pleno que además de los datos especificados en </w:t>
      </w:r>
      <w:r>
        <w:rPr>
          <w:rFonts w:ascii="Palatino Linotype" w:eastAsia="Palatino Linotype" w:hAnsi="Palatino Linotype" w:cs="Palatino Linotype"/>
          <w:sz w:val="22"/>
          <w:szCs w:val="22"/>
        </w:rPr>
        <w:lastRenderedPageBreak/>
        <w:t>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w:t>
      </w:r>
      <w:r>
        <w:rPr>
          <w:rFonts w:ascii="Palatino Linotype" w:eastAsia="Palatino Linotype" w:hAnsi="Palatino Linotype" w:cs="Palatino Linotype"/>
          <w:color w:val="000000"/>
          <w:sz w:val="22"/>
          <w:szCs w:val="22"/>
        </w:rPr>
        <w:t>cuanto</w:t>
      </w:r>
      <w:r>
        <w:rPr>
          <w:rFonts w:ascii="Palatino Linotype" w:eastAsia="Palatino Linotype" w:hAnsi="Palatino Linotype" w:cs="Palatino Linotype"/>
          <w:sz w:val="22"/>
          <w:szCs w:val="22"/>
        </w:rPr>
        <w:t xml:space="preserve"> hace al </w:t>
      </w:r>
      <w:r>
        <w:rPr>
          <w:rFonts w:ascii="Palatino Linotype" w:eastAsia="Palatino Linotype" w:hAnsi="Palatino Linotype" w:cs="Palatino Linotype"/>
          <w:b/>
          <w:sz w:val="22"/>
          <w:szCs w:val="22"/>
        </w:rPr>
        <w:t>Registro Federal de Contribuyentes (RFC),</w:t>
      </w:r>
      <w:r>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las personas físicas tramitan su inscripción en el registro con el </w:t>
      </w:r>
      <w:r>
        <w:rPr>
          <w:rFonts w:ascii="Palatino Linotype" w:eastAsia="Palatino Linotype" w:hAnsi="Palatino Linotype" w:cs="Palatino Linotype"/>
          <w:color w:val="000000"/>
          <w:sz w:val="22"/>
          <w:szCs w:val="22"/>
        </w:rPr>
        <w:t>propósito</w:t>
      </w:r>
      <w:r>
        <w:rPr>
          <w:rFonts w:ascii="Palatino Linotype" w:eastAsia="Palatino Linotype" w:hAnsi="Palatino Linotype" w:cs="Palatino Linotype"/>
          <w:sz w:val="22"/>
          <w:szCs w:val="22"/>
        </w:rPr>
        <w:t xml:space="preserve"> de realizar —mediante esa clave de identificación— operaciones o actividades de naturaleza fiscal, la cual, les permite hacerse identificables respecto de una situación fiscal determinada.</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es compartido por el entonces Instituto Federal de Acceso a la </w:t>
      </w:r>
      <w:r>
        <w:rPr>
          <w:rFonts w:ascii="Palatino Linotype" w:eastAsia="Palatino Linotype" w:hAnsi="Palatino Linotype" w:cs="Palatino Linotype"/>
          <w:color w:val="000000"/>
          <w:sz w:val="22"/>
          <w:szCs w:val="22"/>
        </w:rPr>
        <w:t>Información</w:t>
      </w:r>
      <w:r>
        <w:rPr>
          <w:rFonts w:ascii="Palatino Linotype" w:eastAsia="Palatino Linotype" w:hAnsi="Palatino Linotype" w:cs="Palatino Linotype"/>
          <w:sz w:val="22"/>
          <w:szCs w:val="22"/>
        </w:rPr>
        <w:t xml:space="preserve"> Pública y Protección de Datos Personales (IFAI) a través del Criterio 19/17, que utilizado de manera orientadora y que a la fecha de la solicitud se encontraba vigente, el cual refiere lo siguiente:</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“Registro Federal de Contribuyentes (RFC) de personas físicas</w:t>
      </w:r>
      <w:r>
        <w:rPr>
          <w:rFonts w:ascii="Palatino Linotype" w:eastAsia="Palatino Linotype" w:hAnsi="Palatino Linotype" w:cs="Palatino Linotype"/>
          <w:i/>
          <w:sz w:val="22"/>
          <w:szCs w:val="22"/>
        </w:rPr>
        <w:t xml:space="preserve">. El RFC es una clave de carácter fiscal, única e irrepetible, que permite identificar al </w:t>
      </w:r>
      <w:r>
        <w:rPr>
          <w:rFonts w:ascii="Palatino Linotype" w:eastAsia="Palatino Linotype" w:hAnsi="Palatino Linotype" w:cs="Palatino Linotype"/>
          <w:i/>
          <w:sz w:val="22"/>
          <w:szCs w:val="22"/>
        </w:rPr>
        <w:lastRenderedPageBreak/>
        <w:t>titular, su edad y fecha de nacimiento, por lo que es un dato personal de carácter confidencial.”</w:t>
      </w:r>
    </w:p>
    <w:p w:rsidR="00C13FE4" w:rsidRDefault="00C13FE4">
      <w:pPr>
        <w:ind w:left="567" w:right="900"/>
        <w:jc w:val="both"/>
        <w:rPr>
          <w:rFonts w:ascii="Palatino Linotype" w:eastAsia="Palatino Linotype" w:hAnsi="Palatino Linotype" w:cs="Palatino Linotype"/>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el </w:t>
      </w:r>
      <w:r>
        <w:rPr>
          <w:rFonts w:ascii="Palatino Linotype" w:eastAsia="Palatino Linotype" w:hAnsi="Palatino Linotype" w:cs="Palatino Linotype"/>
          <w:b/>
          <w:sz w:val="22"/>
          <w:szCs w:val="22"/>
        </w:rPr>
        <w:t>Registro Federal de Contribuyentes, RFC</w:t>
      </w:r>
      <w:r>
        <w:rPr>
          <w:rFonts w:ascii="Palatino Linotype" w:eastAsia="Palatino Linotype" w:hAnsi="Palatino Linotype" w:cs="Palatino Linotype"/>
          <w:sz w:val="22"/>
          <w:szCs w:val="22"/>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De</w:t>
      </w:r>
      <w:r>
        <w:rPr>
          <w:rFonts w:ascii="Palatino Linotype" w:eastAsia="Palatino Linotype" w:hAnsi="Palatino Linotype" w:cs="Palatino Linotype"/>
          <w:sz w:val="22"/>
          <w:szCs w:val="22"/>
        </w:rPr>
        <w:t xml:space="preserve"> igual manera la </w:t>
      </w:r>
      <w:r>
        <w:rPr>
          <w:rFonts w:ascii="Palatino Linotype" w:eastAsia="Palatino Linotype" w:hAnsi="Palatino Linotype" w:cs="Palatino Linotype"/>
          <w:b/>
          <w:sz w:val="22"/>
          <w:szCs w:val="22"/>
        </w:rPr>
        <w:t>Clave Única de Registro de Población (CURP),</w:t>
      </w:r>
      <w:r>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Argumento</w:t>
      </w:r>
      <w:r>
        <w:rPr>
          <w:rFonts w:ascii="Palatino Linotype" w:eastAsia="Palatino Linotype" w:hAnsi="Palatino Linotype" w:cs="Palatino Linotype"/>
          <w:sz w:val="22"/>
          <w:szCs w:val="22"/>
        </w:rPr>
        <w:t xml:space="preserve"> que es compartido por el Instituto Nacional de Transparencia, Acceso a la Información y Protección de Datos Personales, INAI, conforme al criterio 18/17, que utilizado de manera orientadora, </w:t>
      </w:r>
      <w:r>
        <w:rPr>
          <w:rFonts w:ascii="Palatino Linotype" w:eastAsia="Palatino Linotype" w:hAnsi="Palatino Linotype" w:cs="Palatino Linotype"/>
          <w:b/>
          <w:sz w:val="22"/>
          <w:szCs w:val="22"/>
        </w:rPr>
        <w:t>toda vez que a la fecha de la solicitud de encontraba vigente, mismo que refiere</w:t>
      </w:r>
      <w:r>
        <w:rPr>
          <w:rFonts w:ascii="Palatino Linotype" w:eastAsia="Palatino Linotype" w:hAnsi="Palatino Linotype" w:cs="Palatino Linotype"/>
          <w:sz w:val="22"/>
          <w:szCs w:val="22"/>
        </w:rPr>
        <w:t xml:space="preserve">: </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“Clave Única de Registro de Población (CURP). </w:t>
      </w:r>
      <w:r>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w:t>
      </w:r>
      <w:r>
        <w:rPr>
          <w:rFonts w:ascii="Palatino Linotype" w:eastAsia="Palatino Linotype" w:hAnsi="Palatino Linotype" w:cs="Palatino Linotype"/>
          <w:i/>
          <w:sz w:val="22"/>
          <w:szCs w:val="22"/>
        </w:rPr>
        <w:lastRenderedPageBreak/>
        <w:t>nacimiento, lugar de nacimiento y sexo. Dichos datos, constituyen información que distingue plenamente a una persona física del resto de los habitantes del país, por lo que la CURP está considerada como información confidencial.”</w:t>
      </w:r>
    </w:p>
    <w:p w:rsidR="00C13FE4" w:rsidRDefault="00C13FE4">
      <w:pPr>
        <w:ind w:left="851" w:right="333"/>
        <w:jc w:val="both"/>
        <w:rPr>
          <w:rFonts w:ascii="Palatino Linotype" w:eastAsia="Palatino Linotype" w:hAnsi="Palatino Linotype" w:cs="Palatino Linotype"/>
          <w:i/>
          <w:sz w:val="22"/>
          <w:szCs w:val="22"/>
        </w:rPr>
      </w:pPr>
    </w:p>
    <w:p w:rsidR="00C13FE4" w:rsidRDefault="00C13FE4">
      <w:pPr>
        <w:ind w:left="851" w:right="333"/>
        <w:jc w:val="both"/>
        <w:rPr>
          <w:rFonts w:ascii="Palatino Linotype" w:eastAsia="Palatino Linotype" w:hAnsi="Palatino Linotype" w:cs="Palatino Linotype"/>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w:t>
      </w:r>
      <w:r>
        <w:rPr>
          <w:rFonts w:ascii="Palatino Linotype" w:eastAsia="Palatino Linotype" w:hAnsi="Palatino Linotype" w:cs="Palatino Linotype"/>
          <w:color w:val="000000"/>
          <w:sz w:val="22"/>
          <w:szCs w:val="22"/>
        </w:rPr>
        <w:t>cuanto</w:t>
      </w:r>
      <w:r>
        <w:rPr>
          <w:rFonts w:ascii="Palatino Linotype" w:eastAsia="Palatino Linotype" w:hAnsi="Palatino Linotype" w:cs="Palatino Linotype"/>
          <w:sz w:val="22"/>
          <w:szCs w:val="22"/>
        </w:rPr>
        <w:t xml:space="preserve"> hace a la </w:t>
      </w:r>
      <w:r>
        <w:rPr>
          <w:rFonts w:ascii="Palatino Linotype" w:eastAsia="Palatino Linotype" w:hAnsi="Palatino Linotype" w:cs="Palatino Linotype"/>
          <w:b/>
          <w:sz w:val="22"/>
          <w:szCs w:val="22"/>
        </w:rPr>
        <w:t>Clave de cualquier tipo de seguridad social (ISSEMyM, u otros</w:t>
      </w:r>
      <w:r>
        <w:rPr>
          <w:rFonts w:ascii="Palatino Linotype" w:eastAsia="Palatino Linotype" w:hAnsi="Palatino Linotype" w:cs="Palatino Linotype"/>
          <w:sz w:val="22"/>
          <w:szCs w:val="22"/>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Como se advierte, la clave ISSEMYM es un dato personal que permite </w:t>
      </w:r>
      <w:r>
        <w:rPr>
          <w:rFonts w:ascii="Palatino Linotype" w:eastAsia="Palatino Linotype" w:hAnsi="Palatino Linotype" w:cs="Palatino Linotype"/>
          <w:color w:val="000000"/>
          <w:sz w:val="22"/>
          <w:szCs w:val="22"/>
        </w:rPr>
        <w:t>identificar</w:t>
      </w:r>
      <w:r>
        <w:rPr>
          <w:rFonts w:ascii="Palatino Linotype" w:eastAsia="Palatino Linotype" w:hAnsi="Palatino Linotype" w:cs="Palatino Linotype"/>
          <w:sz w:val="22"/>
          <w:szCs w:val="22"/>
        </w:rPr>
        <w:t xml:space="preserve"> que una persona ya trabajó o trabaja en alguna institución pública del Estado de México, por la </w:t>
      </w:r>
      <w:r>
        <w:rPr>
          <w:rFonts w:ascii="Palatino Linotype" w:eastAsia="Palatino Linotype" w:hAnsi="Palatino Linotype" w:cs="Palatino Linotype"/>
          <w:sz w:val="22"/>
          <w:szCs w:val="22"/>
        </w:rPr>
        <w:lastRenderedPageBreak/>
        <w:t xml:space="preserve">que tiene o tuvo derecho a esta prestación de seguridad social; es de destacar que la clave ISSEMYM no cambia, aunque el trabajador se dé de baja y alta en diversas ocasiones, con motivo de haber trabajado en diferentes instituciones públicas de la Entidad. </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Contar con la prestación de seguridad social que brinda el ISSEMYM no es una </w:t>
      </w:r>
      <w:r>
        <w:rPr>
          <w:rFonts w:ascii="Palatino Linotype" w:eastAsia="Palatino Linotype" w:hAnsi="Palatino Linotype" w:cs="Palatino Linotype"/>
          <w:color w:val="000000"/>
          <w:sz w:val="22"/>
          <w:szCs w:val="22"/>
        </w:rPr>
        <w:t>obligación</w:t>
      </w:r>
      <w:r>
        <w:rPr>
          <w:rFonts w:ascii="Palatino Linotype" w:eastAsia="Palatino Linotype" w:hAnsi="Palatino Linotype" w:cs="Palatino Linotype"/>
          <w:sz w:val="22"/>
          <w:szCs w:val="22"/>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Respecto de los préstamos o descuentos de carácter personal, estos no deben tener relación con la prestación del servicio; es decir, son confidenciales los </w:t>
      </w:r>
      <w:r>
        <w:rPr>
          <w:rFonts w:ascii="Palatino Linotype" w:eastAsia="Palatino Linotype" w:hAnsi="Palatino Linotype" w:cs="Palatino Linotype"/>
          <w:color w:val="000000"/>
          <w:sz w:val="22"/>
          <w:szCs w:val="22"/>
        </w:rPr>
        <w:t>préstamos</w:t>
      </w:r>
      <w:r>
        <w:rPr>
          <w:rFonts w:ascii="Palatino Linotype" w:eastAsia="Palatino Linotype" w:hAnsi="Palatino Linotype" w:cs="Palatino Linotype"/>
          <w:sz w:val="22"/>
          <w:szCs w:val="22"/>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w:t>
      </w:r>
      <w:r>
        <w:rPr>
          <w:rFonts w:ascii="Palatino Linotype" w:eastAsia="Palatino Linotype" w:hAnsi="Palatino Linotype" w:cs="Palatino Linotype"/>
          <w:color w:val="000000"/>
          <w:sz w:val="22"/>
          <w:szCs w:val="22"/>
        </w:rPr>
        <w:t>su</w:t>
      </w:r>
      <w:r>
        <w:rPr>
          <w:rFonts w:ascii="Palatino Linotype" w:eastAsia="Palatino Linotype" w:hAnsi="Palatino Linotype" w:cs="Palatino Linotype"/>
          <w:sz w:val="22"/>
          <w:szCs w:val="22"/>
        </w:rPr>
        <w:t xml:space="preserve"> parte, el artículo 84 de la Ley del Trabajo de los Servidores Públicos del Estado y Municipios, señala:</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 Gravámenes fiscales relacionados con el sueldo;</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III. Cuotas sindicales</w:t>
      </w:r>
      <w:r>
        <w:rPr>
          <w:rFonts w:ascii="Palatino Linotype" w:eastAsia="Palatino Linotype" w:hAnsi="Palatino Linotype" w:cs="Palatino Linotype"/>
          <w:i/>
          <w:sz w:val="22"/>
          <w:szCs w:val="22"/>
        </w:rPr>
        <w:t>;</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VII. Faltas de puntualidad o de asistencia injustificadas;</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C13FE4" w:rsidRDefault="000147D1">
      <w:pPr>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13FE4" w:rsidRDefault="00C13FE4">
      <w:pPr>
        <w:spacing w:line="360" w:lineRule="auto"/>
        <w:ind w:left="851" w:right="-929"/>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Derivado</w:t>
      </w:r>
      <w:r>
        <w:rPr>
          <w:rFonts w:ascii="Palatino Linotype" w:eastAsia="Palatino Linotype" w:hAnsi="Palatino Linotype" w:cs="Palatino Linotype"/>
          <w:sz w:val="22"/>
          <w:szCs w:val="22"/>
        </w:rPr>
        <w:t xml:space="preserve">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sz w:val="22"/>
          <w:szCs w:val="22"/>
          <w:u w:val="single"/>
        </w:rPr>
        <w:t>únicamente inciden en su vida privada</w:t>
      </w:r>
      <w:r>
        <w:rPr>
          <w:rFonts w:ascii="Palatino Linotype" w:eastAsia="Palatino Linotype" w:hAnsi="Palatino Linotype" w:cs="Palatino Linotype"/>
          <w:sz w:val="22"/>
          <w:szCs w:val="22"/>
        </w:rPr>
        <w:t>. De este modo, descuentos por pensiones alimenticias o créditos adquiridos con instituciones privadas o públicas pero que fueron contraídas en forma individual, son información que debe clasificarse como confidencial.</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Con base en lo expuesto, se insiste que los datos mencionados, que como se ha dicho, deben ser clasificados como confidenciales por tratarse de información privada, toda vez que </w:t>
      </w:r>
      <w:r>
        <w:rPr>
          <w:rFonts w:ascii="Palatino Linotype" w:eastAsia="Palatino Linotype" w:hAnsi="Palatino Linotype" w:cs="Palatino Linotype"/>
          <w:sz w:val="22"/>
          <w:szCs w:val="22"/>
        </w:rPr>
        <w:lastRenderedPageBreak/>
        <w:t>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Sirven de sustento a lo anterior, las tesis jurisprudenciales P. LX/2000 y 2a. XLIII/2008 emitidas por el Peno y la Segunda Sala de la Suprema Corte de Justicia de la Nación, respectivamente, que son del tenor literal siguiente:</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Pr>
          <w:rFonts w:ascii="Palatino Linotype" w:eastAsia="Palatino Linotype" w:hAnsi="Palatino Linotype" w:cs="Palatino Linotype"/>
          <w:i/>
          <w:sz w:val="22"/>
          <w:szCs w:val="22"/>
        </w:rPr>
        <w:t>.”</w:t>
      </w:r>
    </w:p>
    <w:p w:rsidR="00C13FE4" w:rsidRDefault="00C13FE4">
      <w:pPr>
        <w:ind w:left="1134" w:right="277"/>
        <w:jc w:val="both"/>
        <w:rPr>
          <w:rFonts w:ascii="Palatino Linotype" w:eastAsia="Palatino Linotype" w:hAnsi="Palatino Linotype" w:cs="Palatino Linotype"/>
          <w:i/>
          <w:sz w:val="22"/>
          <w:szCs w:val="22"/>
        </w:rPr>
      </w:pP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w:t>
      </w:r>
      <w:r>
        <w:rPr>
          <w:rFonts w:ascii="Palatino Linotype" w:eastAsia="Palatino Linotype" w:hAnsi="Palatino Linotype" w:cs="Palatino Linotype"/>
          <w:b/>
          <w:i/>
          <w:sz w:val="22"/>
          <w:szCs w:val="22"/>
        </w:rPr>
        <w:lastRenderedPageBreak/>
        <w:t xml:space="preserve">INFORMACIÓN. </w:t>
      </w:r>
      <w:r>
        <w:rPr>
          <w:rFonts w:ascii="Palatino Linotype" w:eastAsia="Palatino Linotype" w:hAnsi="Palatino Linotype" w:cs="Palatino Linotype"/>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C13FE4" w:rsidRDefault="00C13FE4">
      <w:pPr>
        <w:ind w:left="1134" w:right="-929"/>
        <w:jc w:val="both"/>
        <w:rPr>
          <w:rFonts w:ascii="Palatino Linotype" w:eastAsia="Palatino Linotype" w:hAnsi="Palatino Linotype" w:cs="Palatino Linotype"/>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También</w:t>
      </w:r>
      <w:r>
        <w:rPr>
          <w:rFonts w:ascii="Palatino Linotype" w:eastAsia="Palatino Linotype" w:hAnsi="Palatino Linotype" w:cs="Palatino Linotype"/>
          <w:sz w:val="22"/>
          <w:szCs w:val="22"/>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C13FE4" w:rsidRDefault="000147D1">
      <w:pPr>
        <w:shd w:val="clear" w:color="auto" w:fill="FFFFFF"/>
        <w:ind w:left="1134" w:right="27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Cuentas bancarias y/o CLABE interbancaria de personas físicas y morales privadas.</w:t>
      </w:r>
      <w:r>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w:t>
      </w:r>
      <w:r>
        <w:rPr>
          <w:rFonts w:ascii="Palatino Linotype" w:eastAsia="Palatino Linotype" w:hAnsi="Palatino Linotype" w:cs="Palatino Linotype"/>
          <w:i/>
          <w:sz w:val="22"/>
          <w:szCs w:val="22"/>
        </w:rPr>
        <w:lastRenderedPageBreak/>
        <w:t>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Pr>
          <w:rFonts w:ascii="Palatino Linotype" w:eastAsia="Palatino Linotype" w:hAnsi="Palatino Linotype" w:cs="Palatino Linotype"/>
          <w:sz w:val="22"/>
          <w:szCs w:val="22"/>
        </w:rPr>
        <w:t>.”</w:t>
      </w:r>
    </w:p>
    <w:p w:rsidR="00C13FE4" w:rsidRDefault="00C13FE4">
      <w:pPr>
        <w:ind w:left="1134" w:right="-929"/>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w:t>
      </w:r>
      <w:r>
        <w:rPr>
          <w:rFonts w:ascii="Palatino Linotype" w:eastAsia="Palatino Linotype" w:hAnsi="Palatino Linotype" w:cs="Palatino Linotype"/>
          <w:color w:val="000000"/>
          <w:sz w:val="22"/>
          <w:szCs w:val="22"/>
        </w:rPr>
        <w:t>cuenta</w:t>
      </w:r>
      <w:r>
        <w:rPr>
          <w:rFonts w:ascii="Palatino Linotype" w:eastAsia="Palatino Linotype" w:hAnsi="Palatino Linotype" w:cs="Palatino Linotype"/>
          <w:sz w:val="22"/>
          <w:szCs w:val="22"/>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Código de barras bidimensional (QR</w:t>
      </w:r>
      <w:r>
        <w:rPr>
          <w:rFonts w:ascii="Palatino Linotype" w:eastAsia="Palatino Linotype" w:hAnsi="Palatino Linotype" w:cs="Palatino Linotype"/>
          <w:sz w:val="22"/>
          <w:szCs w:val="22"/>
        </w:rPr>
        <w:t xml:space="preserve">), resulta necesario señalar que los </w:t>
      </w:r>
      <w:r>
        <w:rPr>
          <w:rFonts w:ascii="Palatino Linotype" w:eastAsia="Palatino Linotype" w:hAnsi="Palatino Linotype" w:cs="Palatino Linotype"/>
          <w:color w:val="000000"/>
          <w:sz w:val="22"/>
          <w:szCs w:val="22"/>
        </w:rPr>
        <w:t>comprobantes</w:t>
      </w:r>
      <w:r>
        <w:rPr>
          <w:rFonts w:ascii="Palatino Linotype" w:eastAsia="Palatino Linotype" w:hAnsi="Palatino Linotype" w:cs="Palatino Linotype"/>
          <w:sz w:val="22"/>
          <w:szCs w:val="22"/>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Pr>
            <w:rFonts w:ascii="Palatino Linotype" w:eastAsia="Palatino Linotype" w:hAnsi="Palatino Linotype" w:cs="Palatino Linotype"/>
            <w:sz w:val="22"/>
            <w:szCs w:val="22"/>
          </w:rPr>
          <w:t>http://dof.gob.mx/nota_detalle.php?codigo=5492254&amp;fecha=28/07/2017</w:t>
        </w:r>
      </w:hyperlink>
      <w:r>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la persona física o moral correspondiente.</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w:t>
      </w:r>
      <w:r>
        <w:rPr>
          <w:rFonts w:ascii="Palatino Linotype" w:eastAsia="Palatino Linotype" w:hAnsi="Palatino Linotype" w:cs="Palatino Linotype"/>
          <w:color w:val="000000"/>
          <w:sz w:val="22"/>
          <w:szCs w:val="22"/>
        </w:rPr>
        <w:t>tales</w:t>
      </w:r>
      <w:r>
        <w:rPr>
          <w:rFonts w:ascii="Palatino Linotype" w:eastAsia="Palatino Linotype" w:hAnsi="Palatino Linotype" w:cs="Palatino Linotype"/>
          <w:sz w:val="22"/>
          <w:szCs w:val="22"/>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C13FE4" w:rsidRDefault="000147D1">
      <w:pPr>
        <w:shd w:val="clear" w:color="auto" w:fill="FFFFFF"/>
        <w:ind w:left="1134" w:right="277"/>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“El número de ficha de identificación única de los trabajadores es información de carácter confidencial.</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i/>
          <w:color w:val="222222"/>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i/>
          <w:color w:val="222222"/>
          <w:sz w:val="22"/>
          <w:szCs w:val="22"/>
          <w:u w:val="single"/>
        </w:rPr>
        <w:t>dicha información es susceptible de clasificarse con el carácter de confidencial</w:t>
      </w:r>
      <w:r>
        <w:rPr>
          <w:rFonts w:ascii="Palatino Linotype" w:eastAsia="Palatino Linotype" w:hAnsi="Palatino Linotype" w:cs="Palatino Linotype"/>
          <w:i/>
          <w:color w:val="222222"/>
          <w:sz w:val="22"/>
          <w:szCs w:val="22"/>
        </w:rPr>
        <w:t>, en términos de lo establecido en el artículo 18, fracción II de la Ley Federal de Transparencia y Acceso a la Información Pública Gubernamental, en virtud de que a través de la misma es posible conocer información personal de su titular.”</w:t>
      </w:r>
    </w:p>
    <w:p w:rsidR="00C13FE4" w:rsidRDefault="00C13FE4">
      <w:pPr>
        <w:pBdr>
          <w:top w:val="nil"/>
          <w:left w:val="nil"/>
          <w:bottom w:val="nil"/>
          <w:right w:val="nil"/>
          <w:between w:val="nil"/>
        </w:pBdr>
        <w:spacing w:line="360" w:lineRule="auto"/>
        <w:ind w:right="-787"/>
        <w:jc w:val="both"/>
        <w:rPr>
          <w:rFonts w:ascii="Palatino Linotype" w:eastAsia="Palatino Linotype" w:hAnsi="Palatino Linotype" w:cs="Palatino Linotype"/>
          <w:i/>
          <w:color w:val="222222"/>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Ahora</w:t>
      </w:r>
      <w:r>
        <w:rPr>
          <w:rFonts w:ascii="Palatino Linotype" w:eastAsia="Palatino Linotype" w:hAnsi="Palatino Linotype" w:cs="Palatino Linotype"/>
          <w:sz w:val="22"/>
          <w:szCs w:val="22"/>
        </w:rPr>
        <w:t xml:space="preserve"> bien, también es necesario indicar que hay información dentro de los recibos de nómina que no contienen datos personales por lo cual su entrega no deberá de ser clasificada, siendo los siguientes. </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w:t>
      </w:r>
      <w:r>
        <w:rPr>
          <w:rFonts w:ascii="Palatino Linotype" w:eastAsia="Palatino Linotype" w:hAnsi="Palatino Linotype" w:cs="Palatino Linotype"/>
          <w:color w:val="000000"/>
          <w:sz w:val="22"/>
          <w:szCs w:val="22"/>
        </w:rPr>
        <w:t>cuanto</w:t>
      </w:r>
      <w:r>
        <w:rPr>
          <w:rFonts w:ascii="Palatino Linotype" w:eastAsia="Palatino Linotype" w:hAnsi="Palatino Linotype" w:cs="Palatino Linotype"/>
          <w:sz w:val="22"/>
          <w:szCs w:val="22"/>
        </w:rPr>
        <w:t xml:space="preserve"> hace </w:t>
      </w:r>
      <w:r>
        <w:rPr>
          <w:rFonts w:ascii="Palatino Linotype" w:eastAsia="Palatino Linotype" w:hAnsi="Palatino Linotype" w:cs="Palatino Linotype"/>
          <w:b/>
          <w:sz w:val="22"/>
          <w:szCs w:val="22"/>
        </w:rPr>
        <w:t>al Folio Fiscal</w:t>
      </w:r>
      <w:r>
        <w:rPr>
          <w:rFonts w:ascii="Palatino Linotype" w:eastAsia="Palatino Linotype" w:hAnsi="Palatino Linotype" w:cs="Palatino Linotype"/>
          <w:sz w:val="22"/>
          <w:szCs w:val="22"/>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pBdr>
          <w:top w:val="nil"/>
          <w:left w:val="nil"/>
          <w:bottom w:val="nil"/>
          <w:right w:val="nil"/>
          <w:between w:val="nil"/>
        </w:pBdr>
        <w:spacing w:line="360" w:lineRule="auto"/>
        <w:ind w:right="-787"/>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color w:val="000000"/>
          <w:sz w:val="22"/>
          <w:szCs w:val="22"/>
        </w:rPr>
        <w:drawing>
          <wp:inline distT="0" distB="0" distL="0" distR="0">
            <wp:extent cx="4667250" cy="118110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32787"/>
                    <a:stretch>
                      <a:fillRect/>
                    </a:stretch>
                  </pic:blipFill>
                  <pic:spPr>
                    <a:xfrm>
                      <a:off x="0" y="0"/>
                      <a:ext cx="4667250" cy="1181100"/>
                    </a:xfrm>
                    <a:prstGeom prst="rect">
                      <a:avLst/>
                    </a:prstGeom>
                    <a:ln/>
                  </pic:spPr>
                </pic:pic>
              </a:graphicData>
            </a:graphic>
          </wp:inline>
        </w:drawing>
      </w: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En</w:t>
      </w:r>
      <w:r>
        <w:rPr>
          <w:rFonts w:ascii="Palatino Linotype" w:eastAsia="Palatino Linotype" w:hAnsi="Palatino Linotype" w:cs="Palatino Linotype"/>
          <w:sz w:val="22"/>
          <w:szCs w:val="22"/>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w:t>
      </w:r>
      <w:r>
        <w:rPr>
          <w:rFonts w:ascii="Palatino Linotype" w:eastAsia="Palatino Linotype" w:hAnsi="Palatino Linotype" w:cs="Palatino Linotype"/>
          <w:color w:val="000000"/>
          <w:sz w:val="22"/>
          <w:szCs w:val="22"/>
        </w:rPr>
        <w:t>esa</w:t>
      </w:r>
      <w:r>
        <w:rPr>
          <w:rFonts w:ascii="Palatino Linotype" w:eastAsia="Palatino Linotype" w:hAnsi="Palatino Linotype" w:cs="Palatino Linotype"/>
          <w:sz w:val="22"/>
          <w:szCs w:val="22"/>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w:t>
      </w:r>
      <w:r>
        <w:rPr>
          <w:rFonts w:ascii="Palatino Linotype" w:eastAsia="Palatino Linotype" w:hAnsi="Palatino Linotype" w:cs="Palatino Linotype"/>
          <w:sz w:val="22"/>
          <w:szCs w:val="22"/>
        </w:rPr>
        <w:lastRenderedPageBreak/>
        <w:t>precisa los datos de los que se componen los elementos de seguridad y se puntualiza que dicha información está encriptada.</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“Elementos utilizados en la generación de Sellos Digitales:</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Cadena Original, el elemento a sellar, en este caso de un comprobante fiscal digital a través de Internet.</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Certificado de Sello Digital y su correspondiente clave privada.</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Algoritmos de criptografía de clave pública para firma electrónica avanzada.</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Especificaciones de conversión de la firma electrónica avanzada a Base 64.</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generación de sellos digitales se utiliza criptografía de clave pública aplicada a una cadena original.</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Criptografía de la Clave Pública</w:t>
      </w:r>
    </w:p>
    <w:p w:rsidR="00C13FE4" w:rsidRDefault="000147D1">
      <w:pPr>
        <w:ind w:left="1134" w:right="27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C13FE4" w:rsidRDefault="00C13FE4">
      <w:pPr>
        <w:ind w:right="277"/>
        <w:jc w:val="both"/>
        <w:rPr>
          <w:rFonts w:ascii="Palatino Linotype" w:eastAsia="Palatino Linotype" w:hAnsi="Palatino Linotype" w:cs="Palatino Linotype"/>
          <w:i/>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decir</w:t>
      </w:r>
      <w:r>
        <w:rPr>
          <w:rFonts w:ascii="Palatino Linotype" w:eastAsia="Palatino Linotype" w:hAnsi="Palatino Linotype" w:cs="Palatino Linotype"/>
          <w:sz w:val="22"/>
          <w:szCs w:val="22"/>
        </w:rPr>
        <w:t xml:space="preserve">, por sí solos las cadenas originales y los sellos originales no contienen datos personales confidenciales, por lo que se considera que </w:t>
      </w:r>
      <w:r>
        <w:rPr>
          <w:rFonts w:ascii="Palatino Linotype" w:eastAsia="Palatino Linotype" w:hAnsi="Palatino Linotype" w:cs="Palatino Linotype"/>
          <w:b/>
          <w:sz w:val="22"/>
          <w:szCs w:val="22"/>
        </w:rPr>
        <w:t>no actualizan el supuesto de confidencialidad previsto en el artículo 143, fracción I</w:t>
      </w:r>
      <w:r>
        <w:rPr>
          <w:rFonts w:ascii="Palatino Linotype" w:eastAsia="Palatino Linotype" w:hAnsi="Palatino Linotype" w:cs="Palatino Linotype"/>
          <w:sz w:val="22"/>
          <w:szCs w:val="22"/>
        </w:rPr>
        <w:t>, de la Ley de Transparencia y Acceso a la Información Pública del Estado de México y Municipios y, por el contrario, son información que permite corroborar la legitimidad de la factura, de ser el caso, por lo que guardan el carácter de público.</w:t>
      </w:r>
    </w:p>
    <w:p w:rsidR="00C13FE4" w:rsidRDefault="00C13FE4">
      <w:pPr>
        <w:spacing w:line="360" w:lineRule="auto"/>
        <w:ind w:right="-929"/>
        <w:jc w:val="both"/>
        <w:rPr>
          <w:rFonts w:ascii="Palatino Linotype" w:eastAsia="Palatino Linotype" w:hAnsi="Palatino Linotype" w:cs="Palatino Linotype"/>
          <w:b/>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Por</w:t>
      </w:r>
      <w:r>
        <w:rPr>
          <w:rFonts w:ascii="Palatino Linotype" w:eastAsia="Palatino Linotype" w:hAnsi="Palatino Linotype" w:cs="Palatino Linotype"/>
          <w:sz w:val="22"/>
          <w:szCs w:val="22"/>
        </w:rPr>
        <w:t xml:space="preserve"> otra parte, por lo que hace al </w:t>
      </w:r>
      <w:r>
        <w:rPr>
          <w:rFonts w:ascii="Palatino Linotype" w:eastAsia="Palatino Linotype" w:hAnsi="Palatino Linotype" w:cs="Palatino Linotype"/>
          <w:b/>
          <w:sz w:val="22"/>
          <w:szCs w:val="22"/>
        </w:rPr>
        <w:t>número de serie de los certificados de Sello Digitales del emisor y del Servicio de Administración Tributaria</w:t>
      </w:r>
      <w:r>
        <w:rPr>
          <w:rFonts w:ascii="Palatino Linotype" w:eastAsia="Palatino Linotype" w:hAnsi="Palatino Linotype" w:cs="Palatino Linotype"/>
          <w:sz w:val="22"/>
          <w:szCs w:val="22"/>
        </w:rPr>
        <w:t xml:space="preserve">, el ANEXO 20 de la Segunda Resolución de modificaciones a la Resolución Miscelánea Fiscal para dos mil  diecisiete, precisa que dichos datos se conforman por veinte caracteres numéricos; dicha </w:t>
      </w:r>
      <w:r>
        <w:rPr>
          <w:rFonts w:ascii="Palatino Linotype" w:eastAsia="Palatino Linotype" w:hAnsi="Palatino Linotype" w:cs="Palatino Linotype"/>
          <w:sz w:val="22"/>
          <w:szCs w:val="22"/>
        </w:rPr>
        <w:lastRenderedPageBreak/>
        <w:t xml:space="preserve">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Pr>
            <w:rFonts w:ascii="Palatino Linotype" w:eastAsia="Palatino Linotype" w:hAnsi="Palatino Linotype" w:cs="Palatino Linotype"/>
            <w:sz w:val="22"/>
            <w:szCs w:val="22"/>
          </w:rPr>
          <w:t>https://portalanterior.ine.mx/archivos2/tutoriales/sistemas/ApoyoInstitucional/SIF/docs/candidatos/folioFiscalFactura.pdf</w:t>
        </w:r>
      </w:hyperlink>
      <w:r>
        <w:rPr>
          <w:rFonts w:ascii="Palatino Linotype" w:eastAsia="Palatino Linotype" w:hAnsi="Palatino Linotype" w:cs="Palatino Linotype"/>
          <w:sz w:val="22"/>
          <w:szCs w:val="22"/>
        </w:rPr>
        <w:t>), en la cual se advierte que únicamente se encuentra conformado por números, se muestra a continuación:</w:t>
      </w:r>
    </w:p>
    <w:p w:rsidR="00C13FE4" w:rsidRDefault="000147D1">
      <w:pPr>
        <w:spacing w:line="360" w:lineRule="auto"/>
        <w:ind w:right="-929"/>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extent cx="5189855" cy="1009650"/>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622300</wp:posOffset>
                </wp:positionH>
                <wp:positionV relativeFrom="paragraph">
                  <wp:posOffset>647700</wp:posOffset>
                </wp:positionV>
                <wp:extent cx="3571875" cy="352425"/>
                <wp:effectExtent l="0" t="0" r="0" b="0"/>
                <wp:wrapNone/>
                <wp:docPr id="49" name="Rectángulo 49"/>
                <wp:cNvGraphicFramePr/>
                <a:graphic xmlns:a="http://schemas.openxmlformats.org/drawingml/2006/main">
                  <a:graphicData uri="http://schemas.microsoft.com/office/word/2010/wordprocessingShape">
                    <wps:wsp>
                      <wps:cNvSpPr/>
                      <wps:spPr>
                        <a:xfrm>
                          <a:off x="3574350" y="3618075"/>
                          <a:ext cx="3543300" cy="323850"/>
                        </a:xfrm>
                        <a:prstGeom prst="rect">
                          <a:avLst/>
                        </a:prstGeom>
                        <a:noFill/>
                        <a:ln w="28575" cap="flat" cmpd="sng">
                          <a:solidFill>
                            <a:srgbClr val="000000"/>
                          </a:solidFill>
                          <a:prstDash val="solid"/>
                          <a:miter lim="800000"/>
                          <a:headEnd type="none" w="sm" len="sm"/>
                          <a:tailEnd type="none" w="sm" len="sm"/>
                        </a:ln>
                      </wps:spPr>
                      <wps:txbx>
                        <w:txbxContent>
                          <w:p w:rsidR="00C13FE4" w:rsidRDefault="00C13FE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622300</wp:posOffset>
                </wp:positionH>
                <wp:positionV relativeFrom="paragraph">
                  <wp:posOffset>647700</wp:posOffset>
                </wp:positionV>
                <wp:extent cx="3571875" cy="352425"/>
                <wp:effectExtent b="0" l="0" r="0" t="0"/>
                <wp:wrapNone/>
                <wp:docPr id="4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571875" cy="352425"/>
                        </a:xfrm>
                        <a:prstGeom prst="rect"/>
                        <a:ln/>
                      </pic:spPr>
                    </pic:pic>
                  </a:graphicData>
                </a:graphic>
              </wp:anchor>
            </w:drawing>
          </mc:Fallback>
        </mc:AlternateContent>
      </w:r>
    </w:p>
    <w:p w:rsidR="00C13FE4" w:rsidRDefault="00C13FE4">
      <w:pPr>
        <w:spacing w:line="360" w:lineRule="auto"/>
        <w:ind w:right="-929"/>
        <w:jc w:val="center"/>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C13FE4" w:rsidRDefault="00C13FE4">
      <w:pPr>
        <w:tabs>
          <w:tab w:val="left" w:pos="284"/>
        </w:tabs>
        <w:spacing w:line="360" w:lineRule="auto"/>
        <w:jc w:val="both"/>
        <w:rPr>
          <w:rFonts w:ascii="Palatino Linotype" w:eastAsia="Palatino Linotype" w:hAnsi="Palatino Linotype" w:cs="Palatino Linotype"/>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deberá de emitir el Acuerdo del </w:t>
      </w:r>
      <w:r>
        <w:rPr>
          <w:rFonts w:ascii="Palatino Linotype" w:eastAsia="Palatino Linotype" w:hAnsi="Palatino Linotype" w:cs="Palatino Linotype"/>
          <w:color w:val="000000"/>
          <w:sz w:val="22"/>
          <w:szCs w:val="22"/>
        </w:rPr>
        <w:t>Comité</w:t>
      </w:r>
      <w:r>
        <w:rPr>
          <w:rFonts w:ascii="Palatino Linotype" w:eastAsia="Palatino Linotype" w:hAnsi="Palatino Linotype" w:cs="Palatino Linotype"/>
          <w:sz w:val="22"/>
          <w:szCs w:val="22"/>
        </w:rPr>
        <w:t xml:space="preserve"> de Transparencia, mediante el cual de manera fundada y motivada establezca las razones por las cuales se clasifican como confidenciales los datos expuestos con anterioridad.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Ahora bien, por cuanto hace al nombre de los servidores públicos se tiene que al momento en que el Ayuntamiento de la Paz entregue los recibos nómina se conocerán a las personas que están adscritos a la Primera Regiduría. </w:t>
      </w:r>
    </w:p>
    <w:p w:rsidR="00C13FE4" w:rsidRDefault="00C13FE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13FE4" w:rsidRDefault="000147D1">
      <w:pPr>
        <w:keepNext/>
        <w:keepLines/>
        <w:spacing w:after="160" w:line="360" w:lineRule="auto"/>
        <w:ind w:right="-787"/>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QUINTO. De la versión pública.</w:t>
      </w:r>
    </w:p>
    <w:p w:rsidR="00C13FE4" w:rsidRDefault="000147D1">
      <w:pPr>
        <w:keepNext/>
        <w:keepLines/>
        <w:numPr>
          <w:ilvl w:val="0"/>
          <w:numId w:val="4"/>
        </w:numPr>
        <w:tabs>
          <w:tab w:val="left" w:pos="284"/>
        </w:tabs>
        <w:spacing w:after="160" w:line="360" w:lineRule="auto"/>
        <w:ind w:left="0" w:right="-787" w:firstLine="0"/>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Nociones generales. </w:t>
      </w:r>
    </w:p>
    <w:p w:rsidR="00C13FE4" w:rsidRDefault="000147D1">
      <w:pPr>
        <w:numPr>
          <w:ilvl w:val="0"/>
          <w:numId w:val="2"/>
        </w:numP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 xml:space="preserve">Debe destacarse, que debido a la información solicitada por el </w:t>
      </w:r>
      <w:r>
        <w:rPr>
          <w:rFonts w:ascii="Palatino Linotype" w:eastAsia="Palatino Linotype" w:hAnsi="Palatino Linotype" w:cs="Palatino Linotype"/>
          <w:b/>
          <w:color w:val="000000"/>
          <w:sz w:val="22"/>
          <w:szCs w:val="22"/>
        </w:rPr>
        <w:t xml:space="preserve">RECURRENTE, pueden obrar </w:t>
      </w:r>
      <w:r>
        <w:rPr>
          <w:rFonts w:ascii="Palatino Linotype" w:eastAsia="Palatino Linotype" w:hAnsi="Palatino Linotype" w:cs="Palatino Linotype"/>
          <w:color w:val="000000"/>
          <w:sz w:val="22"/>
          <w:szCs w:val="22"/>
        </w:rPr>
        <w:t xml:space="preserve">datos personales susceptibles de protegerse, así como información susceptible de clasificarse como confidenciales,  por lo que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C13FE4" w:rsidRDefault="00C13FE4">
      <w:pPr>
        <w:tabs>
          <w:tab w:val="left" w:pos="0"/>
          <w:tab w:val="left" w:pos="284"/>
        </w:tabs>
        <w:spacing w:line="360" w:lineRule="auto"/>
        <w:ind w:right="-787"/>
        <w:jc w:val="both"/>
        <w:rPr>
          <w:rFonts w:ascii="Palatino Linotype" w:eastAsia="Palatino Linotype" w:hAnsi="Palatino Linotype" w:cs="Palatino Linotype"/>
          <w:sz w:val="22"/>
          <w:szCs w:val="22"/>
          <w:highlight w:val="yellow"/>
        </w:rPr>
      </w:pPr>
    </w:p>
    <w:p w:rsidR="00C13FE4" w:rsidRDefault="000147D1">
      <w:pPr>
        <w:numPr>
          <w:ilvl w:val="0"/>
          <w:numId w:val="2"/>
        </w:numPr>
        <w:spacing w:line="360" w:lineRule="auto"/>
        <w:ind w:left="0" w:right="-787" w:firstLine="0"/>
        <w:jc w:val="both"/>
        <w:rPr>
          <w:color w:val="000000"/>
          <w:sz w:val="22"/>
          <w:szCs w:val="22"/>
        </w:rPr>
      </w:pPr>
      <w:r>
        <w:rPr>
          <w:rFonts w:ascii="Palatino Linotype" w:eastAsia="Palatino Linotype" w:hAnsi="Palatino Linotype" w:cs="Palatino Linotype"/>
          <w:color w:val="000000"/>
          <w:sz w:val="22"/>
          <w:szCs w:val="22"/>
        </w:rPr>
        <w:t>No pasa desapercibido para este Órgano Garante que los sujetos obligados</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13FE4" w:rsidRDefault="00C13FE4">
      <w:pPr>
        <w:tabs>
          <w:tab w:val="left" w:pos="284"/>
        </w:tabs>
        <w:spacing w:after="160" w:line="360" w:lineRule="auto"/>
        <w:ind w:right="-787"/>
        <w:jc w:val="both"/>
        <w:rPr>
          <w:rFonts w:ascii="Palatino Linotype" w:eastAsia="Palatino Linotype" w:hAnsi="Palatino Linotype" w:cs="Palatino Linotype"/>
          <w:color w:val="000000"/>
          <w:sz w:val="22"/>
          <w:szCs w:val="22"/>
        </w:rPr>
      </w:pPr>
    </w:p>
    <w:tbl>
      <w:tblPr>
        <w:tblStyle w:val="a0"/>
        <w:tblW w:w="961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C13FE4">
        <w:tc>
          <w:tcPr>
            <w:tcW w:w="2805" w:type="dxa"/>
          </w:tcPr>
          <w:p w:rsidR="00C13FE4" w:rsidRDefault="000147D1">
            <w:pPr>
              <w:tabs>
                <w:tab w:val="left" w:pos="284"/>
              </w:tabs>
              <w:spacing w:line="360" w:lineRule="auto"/>
              <w:ind w:right="3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Requisitos previos.</w:t>
            </w:r>
          </w:p>
        </w:tc>
        <w:tc>
          <w:tcPr>
            <w:tcW w:w="6810" w:type="dxa"/>
          </w:tcPr>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Al hacerlo tienen que precisar de qué información se trata, señalando el supuesto de clasificación (confidencialidad o reserva).</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se debe señalar el procedimiento, de los tres que establecen los artículos 132 y 106 de la Ley Estatal y General, respectivamente.</w:t>
            </w:r>
          </w:p>
          <w:p w:rsidR="00C13FE4" w:rsidRDefault="000147D1">
            <w:pPr>
              <w:tabs>
                <w:tab w:val="left" w:pos="284"/>
              </w:tabs>
              <w:spacing w:line="360" w:lineRule="auto"/>
              <w:ind w:right="35"/>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El último de estos requisitos previos consiste en que no se pueden emitir acuerdos de carácter general ni particular, esto es, </w:t>
            </w:r>
            <w:r>
              <w:rPr>
                <w:rFonts w:ascii="Palatino Linotype" w:eastAsia="Palatino Linotype" w:hAnsi="Palatino Linotype" w:cs="Palatino Linotype"/>
                <w:color w:val="000000"/>
                <w:sz w:val="22"/>
                <w:szCs w:val="22"/>
                <w:u w:val="single"/>
              </w:rPr>
              <w:t>no se puede hacer un acuerdo para clasificar de manera general todos los documentos de un expediente o área, sin</w:t>
            </w:r>
            <w:r>
              <w:rPr>
                <w:rFonts w:ascii="Palatino Linotype" w:eastAsia="Palatino Linotype" w:hAnsi="Palatino Linotype" w:cs="Palatino Linotype"/>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C13FE4">
        <w:tc>
          <w:tcPr>
            <w:tcW w:w="2805" w:type="dxa"/>
          </w:tcPr>
          <w:p w:rsidR="00C13FE4" w:rsidRDefault="000147D1">
            <w:pPr>
              <w:tabs>
                <w:tab w:val="left" w:pos="284"/>
              </w:tabs>
              <w:spacing w:line="360" w:lineRule="auto"/>
              <w:ind w:right="3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b) Supuestos de clasificación.</w:t>
            </w:r>
          </w:p>
        </w:tc>
        <w:tc>
          <w:tcPr>
            <w:tcW w:w="6810" w:type="dxa"/>
          </w:tcPr>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13FE4" w:rsidRDefault="000147D1">
            <w:pPr>
              <w:tabs>
                <w:tab w:val="left" w:pos="284"/>
              </w:tabs>
              <w:spacing w:line="360" w:lineRule="auto"/>
              <w:ind w:right="35"/>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w:t>
            </w:r>
            <w:r>
              <w:rPr>
                <w:rFonts w:ascii="Palatino Linotype" w:eastAsia="Palatino Linotype" w:hAnsi="Palatino Linotype" w:cs="Palatino Linotype"/>
                <w:color w:val="000000"/>
                <w:sz w:val="22"/>
                <w:szCs w:val="22"/>
              </w:rPr>
              <w:lastRenderedPageBreak/>
              <w:t>que el supuesto de hecho corresponde estrictamente con la hipótesis jurídica. Esto también lo debe de realizar el servidor público habilitado y el titular del área que administra la información.</w:t>
            </w:r>
          </w:p>
        </w:tc>
      </w:tr>
      <w:tr w:rsidR="00C13FE4">
        <w:tc>
          <w:tcPr>
            <w:tcW w:w="2805" w:type="dxa"/>
          </w:tcPr>
          <w:p w:rsidR="00C13FE4" w:rsidRDefault="000147D1">
            <w:pPr>
              <w:tabs>
                <w:tab w:val="left" w:pos="284"/>
              </w:tabs>
              <w:spacing w:line="360" w:lineRule="auto"/>
              <w:ind w:right="3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 Formalidades para emitir el acuerdo de clasificación.</w:t>
            </w:r>
          </w:p>
        </w:tc>
        <w:tc>
          <w:tcPr>
            <w:tcW w:w="6810" w:type="dxa"/>
          </w:tcPr>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necesario que </w:t>
            </w:r>
            <w:r>
              <w:rPr>
                <w:rFonts w:ascii="Palatino Linotype" w:eastAsia="Palatino Linotype" w:hAnsi="Palatino Linotype" w:cs="Palatino Linotype"/>
                <w:b/>
                <w:color w:val="000000"/>
                <w:sz w:val="22"/>
                <w:szCs w:val="22"/>
                <w:u w:val="single"/>
              </w:rPr>
              <w:t>el acto reúna con los requisitos elementales</w:t>
            </w:r>
            <w:r>
              <w:rPr>
                <w:rFonts w:ascii="Palatino Linotype" w:eastAsia="Palatino Linotype" w:hAnsi="Palatino Linotype" w:cs="Palatino Linotype"/>
                <w:color w:val="000000"/>
                <w:sz w:val="22"/>
                <w:szCs w:val="22"/>
              </w:rPr>
              <w:t>, entre ellos, que la autoridad que va a emitir el acto de autoridad sea la legalmente facultada para ello.</w:t>
            </w:r>
          </w:p>
          <w:p w:rsidR="00C13FE4" w:rsidRDefault="000147D1">
            <w:pPr>
              <w:tabs>
                <w:tab w:val="left" w:pos="284"/>
              </w:tabs>
              <w:spacing w:line="360" w:lineRule="auto"/>
              <w:ind w:right="35"/>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w:t>
            </w:r>
            <w:r>
              <w:rPr>
                <w:rFonts w:ascii="Palatino Linotype" w:eastAsia="Palatino Linotype" w:hAnsi="Palatino Linotype" w:cs="Palatino Linotype"/>
                <w:sz w:val="22"/>
                <w:szCs w:val="22"/>
              </w:rPr>
              <w:t>El área</w:t>
            </w:r>
            <w:r>
              <w:rPr>
                <w:rFonts w:ascii="Palatino Linotype" w:eastAsia="Palatino Linotype" w:hAnsi="Palatino Linotype" w:cs="Palatino Linotype"/>
                <w:color w:val="000000"/>
                <w:sz w:val="22"/>
                <w:szCs w:val="22"/>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13FE4">
        <w:tc>
          <w:tcPr>
            <w:tcW w:w="2805" w:type="dxa"/>
          </w:tcPr>
          <w:p w:rsidR="00C13FE4" w:rsidRDefault="00C13FE4">
            <w:pPr>
              <w:tabs>
                <w:tab w:val="left" w:pos="284"/>
              </w:tabs>
              <w:spacing w:line="360" w:lineRule="auto"/>
              <w:ind w:right="35"/>
              <w:rPr>
                <w:rFonts w:ascii="Palatino Linotype" w:eastAsia="Palatino Linotype" w:hAnsi="Palatino Linotype" w:cs="Palatino Linotype"/>
                <w:sz w:val="22"/>
                <w:szCs w:val="22"/>
              </w:rPr>
            </w:pPr>
          </w:p>
          <w:p w:rsidR="00C13FE4" w:rsidRDefault="000147D1">
            <w:pPr>
              <w:tabs>
                <w:tab w:val="left" w:pos="284"/>
              </w:tabs>
              <w:spacing w:line="360" w:lineRule="auto"/>
              <w:ind w:right="35"/>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d) Requisitos de fondo del acuerdo de clasificación. </w:t>
            </w:r>
          </w:p>
        </w:tc>
        <w:tc>
          <w:tcPr>
            <w:tcW w:w="6810" w:type="dxa"/>
          </w:tcPr>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Palatino Linotype" w:hAnsi="Palatino Linotype" w:cs="Palatino Linotype"/>
                <w:b/>
                <w:color w:val="000000"/>
                <w:sz w:val="22"/>
                <w:szCs w:val="22"/>
              </w:rPr>
              <w:t>Sujetos Obligados</w:t>
            </w:r>
            <w:r>
              <w:rPr>
                <w:rFonts w:ascii="Palatino Linotype" w:eastAsia="Palatino Linotype" w:hAnsi="Palatino Linotype" w:cs="Palatino Linotype"/>
                <w:color w:val="000000"/>
                <w:sz w:val="22"/>
                <w:szCs w:val="22"/>
              </w:rPr>
              <w:t xml:space="preserve">, por lo que deberán fundar y motivar debidamente la clasificación. </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De lo anterior, se desprende que para una correcta </w:t>
            </w:r>
            <w:r>
              <w:rPr>
                <w:rFonts w:ascii="Palatino Linotype" w:eastAsia="Palatino Linotype" w:hAnsi="Palatino Linotype" w:cs="Palatino Linotype"/>
                <w:b/>
                <w:color w:val="000000"/>
                <w:sz w:val="22"/>
                <w:szCs w:val="22"/>
              </w:rPr>
              <w:t>clasificación total o parcial</w:t>
            </w:r>
            <w:r>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w:t>
            </w:r>
            <w:r>
              <w:rPr>
                <w:rFonts w:ascii="Palatino Linotype" w:eastAsia="Palatino Linotype" w:hAnsi="Palatino Linotype" w:cs="Palatino Linotype"/>
                <w:b/>
                <w:color w:val="000000"/>
                <w:sz w:val="22"/>
                <w:szCs w:val="22"/>
                <w:u w:val="single"/>
              </w:rPr>
              <w:t>para cada caso además de fundar y motivar</w:t>
            </w:r>
            <w:r>
              <w:rPr>
                <w:rFonts w:ascii="Palatino Linotype" w:eastAsia="Palatino Linotype" w:hAnsi="Palatino Linotype" w:cs="Palatino Linotype"/>
                <w:color w:val="000000"/>
                <w:sz w:val="22"/>
                <w:szCs w:val="22"/>
              </w:rPr>
              <w:t xml:space="preserve">, se debe identificar con claridad </w:t>
            </w:r>
            <w:r>
              <w:rPr>
                <w:rFonts w:ascii="Palatino Linotype" w:eastAsia="Palatino Linotype" w:hAnsi="Palatino Linotype" w:cs="Palatino Linotype"/>
                <w:sz w:val="22"/>
                <w:szCs w:val="22"/>
              </w:rPr>
              <w:t>qué</w:t>
            </w:r>
            <w:r>
              <w:rPr>
                <w:rFonts w:ascii="Palatino Linotype" w:eastAsia="Palatino Linotype" w:hAnsi="Palatino Linotype" w:cs="Palatino Linotype"/>
                <w:color w:val="000000"/>
                <w:sz w:val="22"/>
                <w:szCs w:val="22"/>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13FE4">
        <w:tc>
          <w:tcPr>
            <w:tcW w:w="2805" w:type="dxa"/>
          </w:tcPr>
          <w:p w:rsidR="00C13FE4" w:rsidRDefault="000147D1">
            <w:pPr>
              <w:tabs>
                <w:tab w:val="left" w:pos="284"/>
              </w:tabs>
              <w:spacing w:line="360" w:lineRule="auto"/>
              <w:ind w:right="3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 Condiciones especiales de la clasificación de la información como confidencial. </w:t>
            </w:r>
          </w:p>
        </w:tc>
        <w:tc>
          <w:tcPr>
            <w:tcW w:w="6810" w:type="dxa"/>
          </w:tcPr>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C13FE4" w:rsidRDefault="000147D1">
            <w:pPr>
              <w:tabs>
                <w:tab w:val="left" w:pos="284"/>
              </w:tabs>
              <w:spacing w:line="360" w:lineRule="auto"/>
              <w:ind w:right="3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13FE4" w:rsidRDefault="000147D1">
            <w:pPr>
              <w:tabs>
                <w:tab w:val="left" w:pos="284"/>
              </w:tabs>
              <w:spacing w:line="360" w:lineRule="auto"/>
              <w:ind w:right="35"/>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13FE4" w:rsidRDefault="00C13FE4">
      <w:pPr>
        <w:tabs>
          <w:tab w:val="left" w:pos="284"/>
        </w:tabs>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sz w:val="22"/>
          <w:szCs w:val="22"/>
        </w:rPr>
      </w:pPr>
      <w:r>
        <w:rPr>
          <w:rFonts w:ascii="Palatino Linotype" w:eastAsia="Palatino Linotype" w:hAnsi="Palatino Linotype" w:cs="Palatino Linotype"/>
          <w:sz w:val="22"/>
          <w:szCs w:val="22"/>
        </w:rPr>
        <w:t>Si el servidor público incumple con estas formalidades y entrega la información sin proteger los datos personales incumple con lo que estipula las disposiciones legales establecidas.</w:t>
      </w:r>
    </w:p>
    <w:p w:rsidR="00C13FE4" w:rsidRDefault="00C13FE4">
      <w:pPr>
        <w:spacing w:line="360" w:lineRule="auto"/>
        <w:ind w:right="-787"/>
        <w:jc w:val="both"/>
        <w:rPr>
          <w:rFonts w:ascii="Palatino Linotype" w:eastAsia="Palatino Linotype" w:hAnsi="Palatino Linotype" w:cs="Palatino Linotype"/>
          <w:color w:val="000000"/>
          <w:sz w:val="22"/>
          <w:szCs w:val="22"/>
        </w:rPr>
      </w:pPr>
    </w:p>
    <w:p w:rsidR="00C13FE4" w:rsidRDefault="000147D1">
      <w:pPr>
        <w:numPr>
          <w:ilvl w:val="0"/>
          <w:numId w:val="2"/>
        </w:numPr>
        <w:spacing w:line="360" w:lineRule="auto"/>
        <w:ind w:left="0" w:right="-787" w:firstLine="0"/>
        <w:jc w:val="both"/>
        <w:rPr>
          <w:color w:val="000000"/>
          <w:sz w:val="22"/>
          <w:szCs w:val="22"/>
        </w:rPr>
      </w:pPr>
      <w:r>
        <w:rPr>
          <w:rFonts w:ascii="Palatino Linotype" w:eastAsia="Palatino Linotype" w:hAnsi="Palatino Linotype" w:cs="Palatino Linotype"/>
          <w:sz w:val="22"/>
          <w:szCs w:val="22"/>
        </w:rPr>
        <w:t>Por lo anteriormente expuesto, este Órgano Garante considera parcialmente fundadas las razones o motivos de inconformidad que plantea el</w:t>
      </w:r>
      <w:r>
        <w:rPr>
          <w:rFonts w:ascii="Palatino Linotype" w:eastAsia="Palatino Linotype" w:hAnsi="Palatino Linotype" w:cs="Palatino Linotype"/>
          <w:b/>
          <w:sz w:val="22"/>
          <w:szCs w:val="22"/>
        </w:rPr>
        <w:t xml:space="preserve"> RECURRENTE</w:t>
      </w:r>
      <w:r>
        <w:rPr>
          <w:rFonts w:ascii="Palatino Linotype" w:eastAsia="Palatino Linotype" w:hAnsi="Palatino Linotype" w:cs="Palatino Linotype"/>
          <w:sz w:val="22"/>
          <w:szCs w:val="22"/>
        </w:rPr>
        <w:t xml:space="preserve">, determinando </w:t>
      </w:r>
      <w:r>
        <w:rPr>
          <w:rFonts w:ascii="Palatino Linotype" w:eastAsia="Palatino Linotype" w:hAnsi="Palatino Linotype" w:cs="Palatino Linotype"/>
          <w:b/>
          <w:smallCaps/>
          <w:sz w:val="22"/>
          <w:szCs w:val="22"/>
        </w:rPr>
        <w:t xml:space="preserve">REVOCAR </w:t>
      </w:r>
      <w:r>
        <w:rPr>
          <w:rFonts w:ascii="Palatino Linotype" w:eastAsia="Palatino Linotype" w:hAnsi="Palatino Linotype" w:cs="Palatino Linotype"/>
          <w:sz w:val="22"/>
          <w:szCs w:val="22"/>
        </w:rPr>
        <w:t xml:space="preserve">la respuesta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por lo que con fundamento en lo prescrito en los artículos 5 párrafos vigésimo noveno, trigésimo y trigésimo primero fracciones IV y V de la Constitución Política del Estado Libre y Soberano de México; 2, fracción II; 29, 36 </w:t>
      </w:r>
      <w:r>
        <w:rPr>
          <w:rFonts w:ascii="Palatino Linotype" w:eastAsia="Palatino Linotype" w:hAnsi="Palatino Linotype" w:cs="Palatino Linotype"/>
          <w:sz w:val="22"/>
          <w:szCs w:val="22"/>
        </w:rPr>
        <w:lastRenderedPageBreak/>
        <w:t xml:space="preserve">fracciones I y II; 176, 178, 181, 185 de la Ley de Transparencia y Acceso a la Información Pública del Estado de México y Municipios, </w:t>
      </w:r>
      <w:r>
        <w:rPr>
          <w:rFonts w:ascii="Palatino Linotype" w:eastAsia="Palatino Linotype" w:hAnsi="Palatino Linotype" w:cs="Palatino Linotype"/>
          <w:color w:val="000000"/>
          <w:sz w:val="22"/>
          <w:szCs w:val="22"/>
        </w:rPr>
        <w:t xml:space="preserve">este </w:t>
      </w:r>
      <w:r>
        <w:rPr>
          <w:rFonts w:ascii="Palatino Linotype" w:eastAsia="Palatino Linotype" w:hAnsi="Palatino Linotype" w:cs="Palatino Linotype"/>
          <w:b/>
          <w:color w:val="000000"/>
          <w:sz w:val="22"/>
          <w:szCs w:val="22"/>
        </w:rPr>
        <w:t>ÓRGANO GARANTE</w:t>
      </w:r>
      <w:r>
        <w:rPr>
          <w:rFonts w:ascii="Palatino Linotype" w:eastAsia="Palatino Linotype" w:hAnsi="Palatino Linotype" w:cs="Palatino Linotype"/>
          <w:color w:val="000000"/>
          <w:sz w:val="22"/>
          <w:szCs w:val="22"/>
        </w:rPr>
        <w:t xml:space="preserve"> emite los siguientes.</w:t>
      </w:r>
    </w:p>
    <w:p w:rsidR="00C13FE4" w:rsidRDefault="00C13FE4">
      <w:pPr>
        <w:pBdr>
          <w:top w:val="nil"/>
          <w:left w:val="nil"/>
          <w:bottom w:val="nil"/>
          <w:right w:val="nil"/>
          <w:between w:val="nil"/>
        </w:pBdr>
        <w:ind w:left="720" w:right="-787"/>
        <w:rPr>
          <w:rFonts w:ascii="Palatino Linotype" w:eastAsia="Palatino Linotype" w:hAnsi="Palatino Linotype" w:cs="Palatino Linotype"/>
          <w:color w:val="000000"/>
          <w:sz w:val="22"/>
          <w:szCs w:val="22"/>
        </w:rPr>
      </w:pPr>
    </w:p>
    <w:p w:rsidR="00C13FE4" w:rsidRDefault="00C13FE4">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sz w:val="22"/>
          <w:szCs w:val="22"/>
        </w:rPr>
      </w:pPr>
    </w:p>
    <w:p w:rsidR="00C13FE4" w:rsidRDefault="000147D1">
      <w:pPr>
        <w:pStyle w:val="Ttulo1"/>
        <w:spacing w:before="0" w:line="360" w:lineRule="auto"/>
        <w:ind w:right="-78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O L U T I V O S</w:t>
      </w:r>
    </w:p>
    <w:p w:rsidR="00C13FE4" w:rsidRDefault="00C13FE4">
      <w:pPr>
        <w:spacing w:line="360" w:lineRule="auto"/>
        <w:ind w:right="-787"/>
        <w:rPr>
          <w:rFonts w:ascii="Palatino Linotype" w:eastAsia="Palatino Linotype" w:hAnsi="Palatino Linotype" w:cs="Palatino Linotype"/>
          <w:sz w:val="22"/>
          <w:szCs w:val="22"/>
        </w:rPr>
      </w:pPr>
    </w:p>
    <w:p w:rsidR="00C13FE4" w:rsidRDefault="000147D1">
      <w:pPr>
        <w:spacing w:line="360" w:lineRule="auto"/>
        <w:ind w:right="-78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Resultan parcialmente fundadas las razones o motivos de inconformidad hechos valer en el Recurso de Revisión </w:t>
      </w:r>
      <w:r>
        <w:rPr>
          <w:rFonts w:ascii="Palatino Linotype" w:eastAsia="Palatino Linotype" w:hAnsi="Palatino Linotype" w:cs="Palatino Linotype"/>
          <w:b/>
          <w:sz w:val="22"/>
          <w:szCs w:val="22"/>
        </w:rPr>
        <w:t xml:space="preserve">01768/INFOEM/IP/RR/2025, </w:t>
      </w:r>
      <w:r>
        <w:rPr>
          <w:rFonts w:ascii="Palatino Linotype" w:eastAsia="Palatino Linotype" w:hAnsi="Palatino Linotype" w:cs="Palatino Linotype"/>
          <w:sz w:val="22"/>
          <w:szCs w:val="22"/>
        </w:rPr>
        <w:t xml:space="preserve">en términos del Considerando </w:t>
      </w:r>
      <w:r>
        <w:rPr>
          <w:rFonts w:ascii="Palatino Linotype" w:eastAsia="Palatino Linotype" w:hAnsi="Palatino Linotype" w:cs="Palatino Linotype"/>
          <w:b/>
          <w:sz w:val="22"/>
          <w:szCs w:val="22"/>
        </w:rPr>
        <w:t xml:space="preserve">Cuarto y Quinto </w:t>
      </w:r>
      <w:r>
        <w:rPr>
          <w:rFonts w:ascii="Palatino Linotype" w:eastAsia="Palatino Linotype" w:hAnsi="Palatino Linotype" w:cs="Palatino Linotype"/>
          <w:sz w:val="22"/>
          <w:szCs w:val="22"/>
        </w:rPr>
        <w:t xml:space="preserve">de la presente resolución. </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spacing w:line="360" w:lineRule="auto"/>
        <w:ind w:right="-787"/>
        <w:jc w:val="both"/>
        <w:rPr>
          <w:rFonts w:ascii="Palatino Linotype" w:eastAsia="Palatino Linotype" w:hAnsi="Palatino Linotype" w:cs="Palatino Linotype"/>
          <w:sz w:val="22"/>
          <w:szCs w:val="22"/>
        </w:rPr>
      </w:pPr>
      <w:bookmarkStart w:id="15" w:name="_heading=h.1ksv4uv" w:colFirst="0" w:colLast="0"/>
      <w:bookmarkEnd w:id="15"/>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color w:val="000000"/>
          <w:sz w:val="22"/>
          <w:szCs w:val="22"/>
        </w:rPr>
        <w:t xml:space="preserve">Se </w:t>
      </w:r>
      <w:r>
        <w:rPr>
          <w:rFonts w:ascii="Palatino Linotype" w:eastAsia="Palatino Linotype" w:hAnsi="Palatino Linotype" w:cs="Palatino Linotype"/>
          <w:b/>
          <w:color w:val="000000"/>
          <w:sz w:val="22"/>
          <w:szCs w:val="22"/>
        </w:rPr>
        <w:t xml:space="preserve">REVOCA </w:t>
      </w:r>
      <w:r>
        <w:rPr>
          <w:rFonts w:ascii="Palatino Linotype" w:eastAsia="Palatino Linotype" w:hAnsi="Palatino Linotype" w:cs="Palatino Linotype"/>
          <w:color w:val="000000"/>
          <w:sz w:val="22"/>
          <w:szCs w:val="22"/>
        </w:rPr>
        <w:t xml:space="preserve">la respuesta emitida por el </w:t>
      </w:r>
      <w:r>
        <w:rPr>
          <w:rFonts w:ascii="Palatino Linotype" w:eastAsia="Palatino Linotype" w:hAnsi="Palatino Linotype" w:cs="Palatino Linotype"/>
          <w:b/>
          <w:color w:val="000000"/>
          <w:sz w:val="22"/>
          <w:szCs w:val="22"/>
        </w:rPr>
        <w:t xml:space="preserve">Ayuntamiento de la Paz </w:t>
      </w:r>
      <w:r>
        <w:rPr>
          <w:rFonts w:ascii="Palatino Linotype" w:eastAsia="Palatino Linotype" w:hAnsi="Palatino Linotype" w:cs="Palatino Linotype"/>
          <w:color w:val="000000"/>
          <w:sz w:val="22"/>
          <w:szCs w:val="22"/>
        </w:rPr>
        <w:t xml:space="preserve">y se </w:t>
      </w:r>
      <w:r>
        <w:rPr>
          <w:rFonts w:ascii="Palatino Linotype" w:eastAsia="Palatino Linotype" w:hAnsi="Palatino Linotype" w:cs="Palatino Linotype"/>
          <w:b/>
          <w:color w:val="000000"/>
          <w:sz w:val="22"/>
          <w:szCs w:val="22"/>
        </w:rPr>
        <w:t>ORDENA</w:t>
      </w:r>
      <w:r>
        <w:rPr>
          <w:rFonts w:ascii="Palatino Linotype" w:eastAsia="Palatino Linotype" w:hAnsi="Palatino Linotype" w:cs="Palatino Linotype"/>
          <w:color w:val="000000"/>
          <w:sz w:val="22"/>
          <w:szCs w:val="22"/>
        </w:rPr>
        <w:t xml:space="preserve"> entregar vía Sistema de Acceso a la Información,</w:t>
      </w:r>
      <w:r>
        <w:rPr>
          <w:rFonts w:ascii="Palatino Linotype" w:eastAsia="Palatino Linotype" w:hAnsi="Palatino Linotype" w:cs="Palatino Linotype"/>
          <w:sz w:val="22"/>
          <w:szCs w:val="22"/>
        </w:rPr>
        <w:t xml:space="preserve"> en versión pública, lo siguiente: </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numPr>
          <w:ilvl w:val="0"/>
          <w:numId w:val="7"/>
        </w:numPr>
        <w:pBdr>
          <w:top w:val="nil"/>
          <w:left w:val="nil"/>
          <w:bottom w:val="nil"/>
          <w:right w:val="nil"/>
          <w:between w:val="nil"/>
        </w:pBdr>
        <w:spacing w:line="360" w:lineRule="auto"/>
        <w:ind w:left="1134" w:right="277" w:firstLine="0"/>
        <w:jc w:val="both"/>
        <w:rPr>
          <w:rFonts w:ascii="Palatino Linotype" w:eastAsia="Palatino Linotype" w:hAnsi="Palatino Linotype" w:cs="Palatino Linotype"/>
          <w:b/>
          <w:i/>
          <w:color w:val="000000"/>
          <w:sz w:val="22"/>
          <w:szCs w:val="22"/>
        </w:rPr>
      </w:pPr>
      <w:bookmarkStart w:id="16" w:name="_heading=h.lnxbz9" w:colFirst="0" w:colLast="0"/>
      <w:bookmarkEnd w:id="16"/>
      <w:r>
        <w:rPr>
          <w:rFonts w:ascii="Palatino Linotype" w:eastAsia="Palatino Linotype" w:hAnsi="Palatino Linotype" w:cs="Palatino Linotype"/>
          <w:b/>
          <w:i/>
          <w:color w:val="000000"/>
          <w:sz w:val="22"/>
          <w:szCs w:val="22"/>
        </w:rPr>
        <w:t>Recibos de nómina de los servidores públicos adscritos  a la Primera Regiduría del Ayuntamiento de la Paz,</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b/>
          <w:i/>
          <w:color w:val="000000"/>
          <w:sz w:val="22"/>
          <w:szCs w:val="22"/>
        </w:rPr>
        <w:t>de la s</w:t>
      </w:r>
      <w:r>
        <w:rPr>
          <w:rFonts w:ascii="Palatino Linotype" w:eastAsia="Palatino Linotype" w:hAnsi="Palatino Linotype" w:cs="Palatino Linotype"/>
          <w:b/>
          <w:i/>
          <w:sz w:val="22"/>
          <w:szCs w:val="22"/>
        </w:rPr>
        <w:t>egunda quincena del mes de enero de dos mil veinticinco</w:t>
      </w:r>
      <w:r>
        <w:rPr>
          <w:rFonts w:ascii="Palatino Linotype" w:eastAsia="Palatino Linotype" w:hAnsi="Palatino Linotype" w:cs="Palatino Linotype"/>
          <w:b/>
          <w:i/>
          <w:color w:val="000000"/>
          <w:sz w:val="22"/>
          <w:szCs w:val="22"/>
        </w:rPr>
        <w:t xml:space="preserve">. </w:t>
      </w:r>
    </w:p>
    <w:p w:rsidR="00C13FE4" w:rsidRDefault="00C13FE4">
      <w:pPr>
        <w:pBdr>
          <w:top w:val="nil"/>
          <w:left w:val="nil"/>
          <w:bottom w:val="nil"/>
          <w:right w:val="nil"/>
          <w:between w:val="nil"/>
        </w:pBdr>
        <w:spacing w:line="360" w:lineRule="auto"/>
        <w:ind w:left="1440" w:right="-787"/>
        <w:jc w:val="both"/>
        <w:rPr>
          <w:rFonts w:ascii="Palatino Linotype" w:eastAsia="Palatino Linotype" w:hAnsi="Palatino Linotype" w:cs="Palatino Linotype"/>
          <w:b/>
          <w:i/>
          <w:color w:val="000000"/>
          <w:sz w:val="22"/>
          <w:szCs w:val="22"/>
        </w:rPr>
      </w:pPr>
    </w:p>
    <w:p w:rsidR="00C13FE4" w:rsidRDefault="00C13FE4">
      <w:pPr>
        <w:ind w:right="-787"/>
        <w:jc w:val="both"/>
        <w:rPr>
          <w:rFonts w:ascii="Palatino Linotype" w:eastAsia="Palatino Linotype" w:hAnsi="Palatino Linotype" w:cs="Palatino Linotype"/>
          <w:b/>
          <w:sz w:val="22"/>
          <w:szCs w:val="22"/>
        </w:rPr>
      </w:pPr>
    </w:p>
    <w:p w:rsidR="00C13FE4" w:rsidRDefault="000147D1">
      <w:pPr>
        <w:tabs>
          <w:tab w:val="left" w:pos="8080"/>
        </w:tabs>
        <w:spacing w:line="360" w:lineRule="auto"/>
        <w:ind w:right="-787"/>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Pr>
          <w:rFonts w:ascii="Palatino Linotype" w:eastAsia="Palatino Linotype" w:hAnsi="Palatino Linotype" w:cs="Palatino Linotype"/>
          <w:b/>
          <w:sz w:val="22"/>
          <w:szCs w:val="22"/>
        </w:rPr>
        <w:t>RECURRENTE.</w:t>
      </w:r>
    </w:p>
    <w:p w:rsidR="00C13FE4" w:rsidRDefault="00C13FE4">
      <w:pPr>
        <w:tabs>
          <w:tab w:val="left" w:pos="8080"/>
        </w:tabs>
        <w:spacing w:line="360" w:lineRule="auto"/>
        <w:ind w:right="-787"/>
        <w:jc w:val="both"/>
        <w:rPr>
          <w:rFonts w:ascii="Palatino Linotype" w:eastAsia="Palatino Linotype" w:hAnsi="Palatino Linotype" w:cs="Palatino Linotype"/>
          <w:sz w:val="22"/>
          <w:szCs w:val="22"/>
        </w:rPr>
      </w:pPr>
    </w:p>
    <w:p w:rsidR="00C13FE4" w:rsidRDefault="000147D1">
      <w:pPr>
        <w:tabs>
          <w:tab w:val="left" w:pos="8080"/>
        </w:tabs>
        <w:spacing w:line="360" w:lineRule="auto"/>
        <w:ind w:right="-787"/>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sz w:val="22"/>
          <w:szCs w:val="22"/>
        </w:rPr>
        <w:lastRenderedPageBreak/>
        <w:t xml:space="preserve">TERCERO. </w:t>
      </w:r>
      <w:r>
        <w:rPr>
          <w:rFonts w:ascii="Palatino Linotype" w:eastAsia="Palatino Linotype" w:hAnsi="Palatino Linotype" w:cs="Palatino Linotype"/>
          <w:color w:val="222222"/>
          <w:sz w:val="22"/>
          <w:szCs w:val="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Pr>
          <w:rFonts w:ascii="Palatino Linotype" w:eastAsia="Palatino Linotype" w:hAnsi="Palatino Linotype" w:cs="Palatino Linotype"/>
          <w:b/>
          <w:color w:val="222222"/>
          <w:sz w:val="22"/>
          <w:szCs w:val="22"/>
        </w:rPr>
        <w:t xml:space="preserve">dé cumplimiento a lo ordenado dentro del plazo de diez días hábiles, </w:t>
      </w:r>
      <w:r>
        <w:rPr>
          <w:rFonts w:ascii="Palatino Linotype" w:eastAsia="Palatino Linotype" w:hAnsi="Palatino Linotype" w:cs="Palatino Linotype"/>
          <w:color w:val="222222"/>
          <w:sz w:val="22"/>
          <w:szCs w:val="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C13FE4" w:rsidRDefault="00C13FE4">
      <w:pPr>
        <w:tabs>
          <w:tab w:val="left" w:pos="8080"/>
        </w:tabs>
        <w:spacing w:line="360" w:lineRule="auto"/>
        <w:ind w:right="-787"/>
        <w:jc w:val="both"/>
        <w:rPr>
          <w:rFonts w:ascii="Palatino Linotype" w:eastAsia="Palatino Linotype" w:hAnsi="Palatino Linotype" w:cs="Palatino Linotype"/>
          <w:color w:val="222222"/>
          <w:sz w:val="22"/>
          <w:szCs w:val="22"/>
        </w:rPr>
      </w:pPr>
    </w:p>
    <w:p w:rsidR="00C13FE4" w:rsidRDefault="000147D1">
      <w:pPr>
        <w:spacing w:line="360" w:lineRule="auto"/>
        <w:ind w:right="-78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w:t>
      </w:r>
      <w:r>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C13FE4" w:rsidRDefault="00C13FE4">
      <w:pPr>
        <w:spacing w:line="360" w:lineRule="auto"/>
        <w:ind w:right="-787"/>
        <w:jc w:val="both"/>
        <w:rPr>
          <w:rFonts w:ascii="Palatino Linotype" w:eastAsia="Palatino Linotype" w:hAnsi="Palatino Linotype" w:cs="Palatino Linotype"/>
          <w:sz w:val="22"/>
          <w:szCs w:val="22"/>
        </w:rPr>
      </w:pPr>
    </w:p>
    <w:p w:rsidR="00C13FE4" w:rsidRDefault="000147D1">
      <w:pPr>
        <w:spacing w:line="360" w:lineRule="auto"/>
        <w:ind w:right="-787"/>
        <w:jc w:val="both"/>
        <w:rPr>
          <w:rFonts w:ascii="Palatino Linotype" w:eastAsia="Palatino Linotype" w:hAnsi="Palatino Linotype" w:cs="Palatino Linotype"/>
          <w:sz w:val="22"/>
          <w:szCs w:val="22"/>
        </w:rPr>
      </w:pPr>
      <w:bookmarkStart w:id="17" w:name="_heading=h.2jxsxqh" w:colFirst="0" w:colLast="0"/>
      <w:bookmarkEnd w:id="17"/>
      <w:r>
        <w:rPr>
          <w:rFonts w:ascii="Palatino Linotype" w:eastAsia="Palatino Linotype" w:hAnsi="Palatino Linotype" w:cs="Palatino Linotype"/>
          <w:b/>
          <w:sz w:val="22"/>
          <w:szCs w:val="22"/>
        </w:rPr>
        <w:t xml:space="preserve">QUINTO. </w:t>
      </w:r>
      <w:r>
        <w:rPr>
          <w:rFonts w:ascii="Palatino Linotype" w:eastAsia="Palatino Linotype" w:hAnsi="Palatino Linotype" w:cs="Palatino Linotype"/>
          <w:sz w:val="22"/>
          <w:szCs w:val="22"/>
        </w:rPr>
        <w:t xml:space="preserve">Notifíquese 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la presente resolución, vía SAIMEX.</w:t>
      </w:r>
    </w:p>
    <w:p w:rsidR="00C13FE4" w:rsidRDefault="00C13FE4">
      <w:pPr>
        <w:shd w:val="clear" w:color="auto" w:fill="FFFFFF"/>
        <w:spacing w:line="360" w:lineRule="auto"/>
        <w:jc w:val="both"/>
        <w:rPr>
          <w:rFonts w:ascii="Palatino Linotype" w:eastAsia="Palatino Linotype" w:hAnsi="Palatino Linotype" w:cs="Palatino Linotype"/>
          <w:b/>
          <w:sz w:val="22"/>
          <w:szCs w:val="22"/>
        </w:rPr>
      </w:pPr>
    </w:p>
    <w:p w:rsidR="00C13FE4" w:rsidRDefault="000147D1">
      <w:pPr>
        <w:spacing w:line="360" w:lineRule="auto"/>
        <w:ind w:right="-78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SEXTO. </w:t>
      </w:r>
      <w:r>
        <w:rPr>
          <w:rFonts w:ascii="Palatino Linotype" w:eastAsia="Palatino Linotype" w:hAnsi="Palatino Linotype" w:cs="Palatino Linotype"/>
          <w:sz w:val="22"/>
          <w:szCs w:val="22"/>
        </w:rPr>
        <w:t xml:space="preserve">Se hace del conocimiento del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13FE4" w:rsidRDefault="00C13FE4">
      <w:pPr>
        <w:shd w:val="clear" w:color="auto" w:fill="FFFFFF"/>
        <w:spacing w:line="360" w:lineRule="auto"/>
        <w:jc w:val="both"/>
        <w:rPr>
          <w:rFonts w:ascii="Palatino Linotype" w:eastAsia="Palatino Linotype" w:hAnsi="Palatino Linotype" w:cs="Palatino Linotype"/>
          <w:sz w:val="22"/>
          <w:szCs w:val="22"/>
        </w:rPr>
      </w:pPr>
    </w:p>
    <w:p w:rsidR="00970B60" w:rsidRPr="00970B60" w:rsidRDefault="00970B60" w:rsidP="00970B60">
      <w:pPr>
        <w:spacing w:before="240" w:after="240" w:line="360" w:lineRule="auto"/>
        <w:ind w:right="-857" w:firstLine="1"/>
        <w:jc w:val="both"/>
        <w:rPr>
          <w:rFonts w:ascii="Palatino Linotype" w:hAnsi="Palatino Linotype"/>
          <w:sz w:val="22"/>
        </w:rPr>
      </w:pPr>
      <w:r w:rsidRPr="00970B60">
        <w:rPr>
          <w:rFonts w:ascii="Palatino Linotype" w:eastAsia="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w:t>
      </w:r>
      <w:r w:rsidRPr="00970B60">
        <w:rPr>
          <w:rFonts w:ascii="Palatino Linotype" w:eastAsia="Palatino Linotype" w:hAnsi="Palatino Linotype" w:cs="Palatino Linotype"/>
          <w:sz w:val="22"/>
        </w:rPr>
        <w:lastRenderedPageBreak/>
        <w:t>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C13FE4" w:rsidRPr="00970B60" w:rsidRDefault="00C13FE4" w:rsidP="00970B60">
      <w:pPr>
        <w:keepNext/>
        <w:keepLines/>
        <w:spacing w:after="240" w:line="360" w:lineRule="auto"/>
        <w:ind w:right="-857"/>
        <w:rPr>
          <w:sz w:val="20"/>
          <w:szCs w:val="22"/>
        </w:rPr>
      </w:pPr>
    </w:p>
    <w:p w:rsidR="00C13FE4" w:rsidRDefault="00C13FE4">
      <w:pPr>
        <w:ind w:right="-787"/>
        <w:rPr>
          <w:sz w:val="22"/>
          <w:szCs w:val="22"/>
        </w:rPr>
      </w:pPr>
    </w:p>
    <w:p w:rsidR="00C13FE4" w:rsidRDefault="00C13FE4">
      <w:pPr>
        <w:ind w:right="-787"/>
        <w:rPr>
          <w:sz w:val="22"/>
          <w:szCs w:val="22"/>
        </w:rPr>
      </w:pPr>
    </w:p>
    <w:p w:rsidR="00C13FE4" w:rsidRDefault="00C13FE4">
      <w:pPr>
        <w:rPr>
          <w:sz w:val="22"/>
          <w:szCs w:val="22"/>
        </w:rPr>
      </w:pPr>
    </w:p>
    <w:p w:rsidR="00C13FE4" w:rsidRDefault="00C13FE4">
      <w:pPr>
        <w:rPr>
          <w:sz w:val="22"/>
          <w:szCs w:val="22"/>
        </w:rPr>
      </w:pPr>
    </w:p>
    <w:p w:rsidR="00C13FE4" w:rsidRDefault="00C13FE4">
      <w:pPr>
        <w:rPr>
          <w:sz w:val="22"/>
          <w:szCs w:val="22"/>
        </w:rPr>
      </w:pPr>
    </w:p>
    <w:p w:rsidR="00C13FE4" w:rsidRDefault="00C13FE4">
      <w:pPr>
        <w:rPr>
          <w:sz w:val="22"/>
          <w:szCs w:val="22"/>
        </w:rPr>
      </w:pPr>
    </w:p>
    <w:p w:rsidR="00C13FE4" w:rsidRDefault="00C13FE4"/>
    <w:sectPr w:rsidR="00C13FE4">
      <w:headerReference w:type="default" r:id="rId14"/>
      <w:footerReference w:type="default" r:id="rId15"/>
      <w:headerReference w:type="first" r:id="rId16"/>
      <w:footerReference w:type="first" r:id="rId17"/>
      <w:pgSz w:w="12240" w:h="15840"/>
      <w:pgMar w:top="2410" w:right="2324"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59" w:rsidRDefault="00110459">
      <w:r>
        <w:separator/>
      </w:r>
    </w:p>
  </w:endnote>
  <w:endnote w:type="continuationSeparator" w:id="0">
    <w:p w:rsidR="00110459" w:rsidRDefault="0011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E4" w:rsidRDefault="000147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4FCE">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4FCE">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rsidR="00C13FE4" w:rsidRDefault="00C13FE4">
    <w:pPr>
      <w:pBdr>
        <w:top w:val="nil"/>
        <w:left w:val="nil"/>
        <w:bottom w:val="nil"/>
        <w:right w:val="nil"/>
        <w:between w:val="nil"/>
      </w:pBdr>
      <w:tabs>
        <w:tab w:val="center" w:pos="4252"/>
        <w:tab w:val="right" w:pos="8504"/>
      </w:tabs>
      <w:rPr>
        <w:color w:val="000000"/>
      </w:rPr>
    </w:pPr>
  </w:p>
  <w:p w:rsidR="00C13FE4" w:rsidRDefault="00C13F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E4" w:rsidRDefault="000147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4FC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4FCE">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rsidR="00C13FE4" w:rsidRDefault="00C13F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59" w:rsidRDefault="00110459">
      <w:r>
        <w:separator/>
      </w:r>
    </w:p>
  </w:footnote>
  <w:footnote w:type="continuationSeparator" w:id="0">
    <w:p w:rsidR="00110459" w:rsidRDefault="00110459">
      <w:r>
        <w:continuationSeparator/>
      </w:r>
    </w:p>
  </w:footnote>
  <w:footnote w:id="1">
    <w:p w:rsidR="00C13FE4" w:rsidRDefault="000147D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13FE4" w:rsidRDefault="000147D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13FE4" w:rsidRDefault="000147D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C13FE4" w:rsidRDefault="000147D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E4" w:rsidRDefault="000147D1">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8240" behindDoc="1" locked="0" layoutInCell="1" hidden="0" allowOverlap="1">
          <wp:simplePos x="0" y="0"/>
          <wp:positionH relativeFrom="column">
            <wp:posOffset>-1257299</wp:posOffset>
          </wp:positionH>
          <wp:positionV relativeFrom="paragraph">
            <wp:posOffset>-569594</wp:posOffset>
          </wp:positionV>
          <wp:extent cx="7813085" cy="10170000"/>
          <wp:effectExtent l="0" t="0" r="0" b="0"/>
          <wp:wrapNone/>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1"/>
      <w:tblW w:w="7996" w:type="dxa"/>
      <w:tblInd w:w="2209" w:type="dxa"/>
      <w:tblLayout w:type="fixed"/>
      <w:tblLook w:val="0400" w:firstRow="0" w:lastRow="0" w:firstColumn="0" w:lastColumn="0" w:noHBand="0" w:noVBand="1"/>
    </w:tblPr>
    <w:tblGrid>
      <w:gridCol w:w="2044"/>
      <w:gridCol w:w="5952"/>
    </w:tblGrid>
    <w:tr w:rsidR="00C13FE4">
      <w:tc>
        <w:tcPr>
          <w:tcW w:w="2044" w:type="dxa"/>
          <w:vAlign w:val="center"/>
        </w:tcPr>
        <w:p w:rsidR="00C13FE4" w:rsidRDefault="000147D1">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w:t>
          </w:r>
        </w:p>
      </w:tc>
      <w:tc>
        <w:tcPr>
          <w:tcW w:w="5953" w:type="dxa"/>
          <w:vAlign w:val="center"/>
        </w:tcPr>
        <w:p w:rsidR="00C13FE4" w:rsidRDefault="000147D1">
          <w:pPr>
            <w:ind w:right="-1093"/>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01768/INFOEM/IP/RR/2025 </w:t>
          </w:r>
        </w:p>
      </w:tc>
    </w:tr>
    <w:tr w:rsidR="00C13FE4">
      <w:trPr>
        <w:trHeight w:val="228"/>
      </w:trPr>
      <w:tc>
        <w:tcPr>
          <w:tcW w:w="2044" w:type="dxa"/>
          <w:vAlign w:val="center"/>
        </w:tcPr>
        <w:p w:rsidR="00C13FE4" w:rsidRDefault="000147D1">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Sujeto Obligado:</w:t>
          </w:r>
        </w:p>
      </w:tc>
      <w:tc>
        <w:tcPr>
          <w:tcW w:w="5953" w:type="dxa"/>
          <w:shd w:val="clear" w:color="auto" w:fill="auto"/>
          <w:vAlign w:val="center"/>
        </w:tcPr>
        <w:p w:rsidR="00C13FE4" w:rsidRDefault="000147D1">
          <w:pPr>
            <w:ind w:right="-108"/>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Ayuntamiento de la Paz</w:t>
          </w:r>
        </w:p>
      </w:tc>
    </w:tr>
    <w:tr w:rsidR="00C13FE4">
      <w:tc>
        <w:tcPr>
          <w:tcW w:w="2044" w:type="dxa"/>
          <w:vAlign w:val="center"/>
        </w:tcPr>
        <w:p w:rsidR="00C13FE4" w:rsidRDefault="000147D1">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Comisionada Ponente:</w:t>
          </w:r>
        </w:p>
      </w:tc>
      <w:tc>
        <w:tcPr>
          <w:tcW w:w="5953" w:type="dxa"/>
          <w:vAlign w:val="center"/>
        </w:tcPr>
        <w:p w:rsidR="00C13FE4" w:rsidRDefault="000147D1">
          <w:pPr>
            <w:ind w:right="-1093"/>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María del Rosario Mejía Ayala</w:t>
          </w:r>
        </w:p>
      </w:tc>
    </w:tr>
  </w:tbl>
  <w:p w:rsidR="00C13FE4" w:rsidRDefault="000147D1">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E4" w:rsidRDefault="000147D1">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9264" behindDoc="1" locked="0" layoutInCell="1" hidden="0" allowOverlap="1">
          <wp:simplePos x="0" y="0"/>
          <wp:positionH relativeFrom="column">
            <wp:posOffset>-1078863</wp:posOffset>
          </wp:positionH>
          <wp:positionV relativeFrom="paragraph">
            <wp:posOffset>-411477</wp:posOffset>
          </wp:positionV>
          <wp:extent cx="7813085" cy="10170000"/>
          <wp:effectExtent l="0" t="0" r="0" b="0"/>
          <wp:wrapNone/>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2"/>
      <w:tblW w:w="6660" w:type="dxa"/>
      <w:tblInd w:w="3495" w:type="dxa"/>
      <w:tblLayout w:type="fixed"/>
      <w:tblLook w:val="0400" w:firstRow="0" w:lastRow="0" w:firstColumn="0" w:lastColumn="0" w:noHBand="0" w:noVBand="1"/>
    </w:tblPr>
    <w:tblGrid>
      <w:gridCol w:w="2977"/>
      <w:gridCol w:w="3683"/>
    </w:tblGrid>
    <w:tr w:rsidR="00C13FE4">
      <w:trPr>
        <w:trHeight w:val="227"/>
      </w:trPr>
      <w:tc>
        <w:tcPr>
          <w:tcW w:w="2977" w:type="dxa"/>
          <w:vAlign w:val="center"/>
        </w:tcPr>
        <w:p w:rsidR="00C13FE4" w:rsidRDefault="000147D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C13FE4" w:rsidRDefault="000147D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color w:val="000000"/>
              <w:sz w:val="22"/>
              <w:szCs w:val="22"/>
            </w:rPr>
            <w:t>01768/INFOEM/IP/RR/2025</w:t>
          </w:r>
        </w:p>
      </w:tc>
    </w:tr>
    <w:tr w:rsidR="00C13FE4">
      <w:trPr>
        <w:trHeight w:val="242"/>
      </w:trPr>
      <w:tc>
        <w:tcPr>
          <w:tcW w:w="2977" w:type="dxa"/>
          <w:vAlign w:val="center"/>
        </w:tcPr>
        <w:p w:rsidR="00C13FE4" w:rsidRDefault="000147D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C13FE4" w:rsidRDefault="00584FC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 w:val="22"/>
              <w:szCs w:val="22"/>
              <w:highlight w:val="green"/>
            </w:rPr>
          </w:pPr>
          <w:r>
            <w:rPr>
              <w:rFonts w:ascii="Palatino Linotype" w:eastAsia="Palatino Linotype" w:hAnsi="Palatino Linotype" w:cs="Palatino Linotype"/>
              <w:b/>
              <w:sz w:val="22"/>
              <w:szCs w:val="22"/>
            </w:rPr>
            <w:t>XXXX</w:t>
          </w:r>
          <w:r w:rsidR="000147D1">
            <w:rPr>
              <w:rFonts w:ascii="Palatino Linotype" w:eastAsia="Palatino Linotype" w:hAnsi="Palatino Linotype" w:cs="Palatino Linotype"/>
              <w:b/>
              <w:sz w:val="22"/>
              <w:szCs w:val="22"/>
            </w:rPr>
            <w:t> </w:t>
          </w:r>
        </w:p>
      </w:tc>
    </w:tr>
    <w:tr w:rsidR="00C13FE4">
      <w:trPr>
        <w:trHeight w:val="342"/>
      </w:trPr>
      <w:tc>
        <w:tcPr>
          <w:tcW w:w="2977" w:type="dxa"/>
          <w:vAlign w:val="center"/>
        </w:tcPr>
        <w:p w:rsidR="00C13FE4" w:rsidRDefault="000147D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C13FE4" w:rsidRDefault="000147D1">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color w:val="000000"/>
              <w:sz w:val="22"/>
              <w:szCs w:val="22"/>
            </w:rPr>
            <w:t>Ayuntamiento de la Paz</w:t>
          </w:r>
        </w:p>
      </w:tc>
    </w:tr>
    <w:tr w:rsidR="00C13FE4">
      <w:trPr>
        <w:trHeight w:val="342"/>
      </w:trPr>
      <w:tc>
        <w:tcPr>
          <w:tcW w:w="2977" w:type="dxa"/>
          <w:vAlign w:val="center"/>
        </w:tcPr>
        <w:p w:rsidR="00C13FE4" w:rsidRDefault="000147D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C13FE4" w:rsidRDefault="000147D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C13FE4" w:rsidRDefault="00C13F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0321"/>
    <w:multiLevelType w:val="multilevel"/>
    <w:tmpl w:val="6C72A9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D67694"/>
    <w:multiLevelType w:val="multilevel"/>
    <w:tmpl w:val="D6BEEEB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20E22655"/>
    <w:multiLevelType w:val="multilevel"/>
    <w:tmpl w:val="6D34DB8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33AD2459"/>
    <w:multiLevelType w:val="multilevel"/>
    <w:tmpl w:val="50A66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52CFC"/>
    <w:multiLevelType w:val="multilevel"/>
    <w:tmpl w:val="F866F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08440E"/>
    <w:multiLevelType w:val="multilevel"/>
    <w:tmpl w:val="01AA3B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35D7EB5"/>
    <w:multiLevelType w:val="multilevel"/>
    <w:tmpl w:val="98102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F13A3A"/>
    <w:multiLevelType w:val="multilevel"/>
    <w:tmpl w:val="1F206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6824F5"/>
    <w:multiLevelType w:val="multilevel"/>
    <w:tmpl w:val="257673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7"/>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E4"/>
    <w:rsid w:val="000147D1"/>
    <w:rsid w:val="00110459"/>
    <w:rsid w:val="004D12A3"/>
    <w:rsid w:val="00584FCE"/>
    <w:rsid w:val="00970B60"/>
    <w:rsid w:val="00AC7360"/>
    <w:rsid w:val="00C13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A6493-129D-4946-9400-56D05150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Ks4igamvA4wBGNtVegoBSYv0Q==">CgMxLjAyCGguZ2pkZ3hzMg5oLmtjYnZhZmx5amFkMzIJaC4xZm9iOXRlMgloLjN6bnlzaDcyCWguMmV0OTJwMDIOaC4xNjJtMW0zZmt6bDYyCGgudHlqY3d0MgloLjNkeTZ2a20yCWguMXQzaDVzZjIJaC40ZDM0b2c4MgloLjJzOGV5bzEyCWguMTdkcDh2dTIJaC4zcmRjcmpuMgloLjI2aW4xcmcyCWguMWtzdjR1djIIaC5sbnhiejkyCWguMmp4c3hxaDgAciExdkZZMFAya3lTdHFPU05laXNnZmtoNHh2UkRoMllYX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11152</Words>
  <Characters>61338</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cp:revision>
  <cp:lastPrinted>2025-04-03T18:17:00Z</cp:lastPrinted>
  <dcterms:created xsi:type="dcterms:W3CDTF">2025-03-27T18:33:00Z</dcterms:created>
  <dcterms:modified xsi:type="dcterms:W3CDTF">2025-04-03T20:51:00Z</dcterms:modified>
</cp:coreProperties>
</file>