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ED150A" w:rsidRDefault="00AE3DA7" w:rsidP="00ED150A">
          <w:pPr>
            <w:pStyle w:val="TtulodeTDC"/>
            <w:spacing w:before="0" w:line="240" w:lineRule="auto"/>
            <w:rPr>
              <w:rFonts w:ascii="Palatino Linotype" w:hAnsi="Palatino Linotype"/>
              <w:color w:val="auto"/>
              <w:sz w:val="24"/>
              <w:szCs w:val="24"/>
              <w:lang w:val="es-ES"/>
            </w:rPr>
          </w:pPr>
          <w:r w:rsidRPr="00ED150A">
            <w:rPr>
              <w:rFonts w:ascii="Palatino Linotype" w:hAnsi="Palatino Linotype"/>
              <w:color w:val="auto"/>
              <w:sz w:val="24"/>
              <w:szCs w:val="24"/>
              <w:lang w:val="es-ES"/>
            </w:rPr>
            <w:t>Contenido</w:t>
          </w:r>
        </w:p>
        <w:p w14:paraId="3EB312A7" w14:textId="77777777" w:rsidR="00AA6EA9" w:rsidRPr="00ED150A" w:rsidRDefault="00AA6EA9" w:rsidP="00ED150A">
          <w:pPr>
            <w:spacing w:line="240" w:lineRule="auto"/>
            <w:rPr>
              <w:sz w:val="16"/>
              <w:szCs w:val="16"/>
              <w:lang w:val="es-ES" w:eastAsia="es-MX"/>
            </w:rPr>
          </w:pPr>
        </w:p>
        <w:p w14:paraId="187870DB" w14:textId="572A19F6" w:rsidR="00ED150A" w:rsidRPr="00ED150A" w:rsidRDefault="00AE3DA7" w:rsidP="00ED150A">
          <w:pPr>
            <w:pStyle w:val="TDC1"/>
            <w:tabs>
              <w:tab w:val="right" w:leader="dot" w:pos="9034"/>
            </w:tabs>
            <w:rPr>
              <w:rFonts w:asciiTheme="minorHAnsi" w:eastAsiaTheme="minorEastAsia" w:hAnsiTheme="minorHAnsi" w:cstheme="minorBidi"/>
              <w:noProof/>
              <w:szCs w:val="22"/>
              <w:lang w:eastAsia="es-MX"/>
            </w:rPr>
          </w:pPr>
          <w:r w:rsidRPr="00ED150A">
            <w:rPr>
              <w:sz w:val="16"/>
              <w:szCs w:val="16"/>
            </w:rPr>
            <w:fldChar w:fldCharType="begin"/>
          </w:r>
          <w:r w:rsidRPr="00ED150A">
            <w:rPr>
              <w:sz w:val="16"/>
              <w:szCs w:val="16"/>
            </w:rPr>
            <w:instrText xml:space="preserve"> TOC \o "1-3" \h \z \u </w:instrText>
          </w:r>
          <w:r w:rsidRPr="00ED150A">
            <w:rPr>
              <w:sz w:val="16"/>
              <w:szCs w:val="16"/>
            </w:rPr>
            <w:fldChar w:fldCharType="separate"/>
          </w:r>
          <w:hyperlink w:anchor="_Toc195125450" w:history="1">
            <w:r w:rsidR="00ED150A" w:rsidRPr="00ED150A">
              <w:rPr>
                <w:rStyle w:val="Hipervnculo"/>
                <w:noProof/>
                <w:color w:val="auto"/>
              </w:rPr>
              <w:t>ANTECEDENTES</w:t>
            </w:r>
            <w:r w:rsidR="00ED150A" w:rsidRPr="00ED150A">
              <w:rPr>
                <w:noProof/>
                <w:webHidden/>
              </w:rPr>
              <w:tab/>
            </w:r>
            <w:r w:rsidR="00ED150A" w:rsidRPr="00ED150A">
              <w:rPr>
                <w:noProof/>
                <w:webHidden/>
              </w:rPr>
              <w:fldChar w:fldCharType="begin"/>
            </w:r>
            <w:r w:rsidR="00ED150A" w:rsidRPr="00ED150A">
              <w:rPr>
                <w:noProof/>
                <w:webHidden/>
              </w:rPr>
              <w:instrText xml:space="preserve"> PAGEREF _Toc195125450 \h </w:instrText>
            </w:r>
            <w:r w:rsidR="00ED150A" w:rsidRPr="00ED150A">
              <w:rPr>
                <w:noProof/>
                <w:webHidden/>
              </w:rPr>
            </w:r>
            <w:r w:rsidR="00ED150A" w:rsidRPr="00ED150A">
              <w:rPr>
                <w:noProof/>
                <w:webHidden/>
              </w:rPr>
              <w:fldChar w:fldCharType="separate"/>
            </w:r>
            <w:r w:rsidR="00800535">
              <w:rPr>
                <w:noProof/>
                <w:webHidden/>
              </w:rPr>
              <w:t>1</w:t>
            </w:r>
            <w:r w:rsidR="00ED150A" w:rsidRPr="00ED150A">
              <w:rPr>
                <w:noProof/>
                <w:webHidden/>
              </w:rPr>
              <w:fldChar w:fldCharType="end"/>
            </w:r>
          </w:hyperlink>
        </w:p>
        <w:p w14:paraId="5F8E3A6D" w14:textId="7B174844" w:rsidR="00ED150A" w:rsidRPr="00ED150A" w:rsidRDefault="00E62F0B" w:rsidP="00ED150A">
          <w:pPr>
            <w:pStyle w:val="TDC2"/>
            <w:rPr>
              <w:rFonts w:asciiTheme="minorHAnsi" w:eastAsiaTheme="minorEastAsia" w:hAnsiTheme="minorHAnsi" w:cstheme="minorBidi"/>
              <w:noProof/>
              <w:szCs w:val="22"/>
              <w:lang w:eastAsia="es-MX"/>
            </w:rPr>
          </w:pPr>
          <w:hyperlink w:anchor="_Toc195125451" w:history="1">
            <w:r w:rsidR="00ED150A" w:rsidRPr="00ED150A">
              <w:rPr>
                <w:rStyle w:val="Hipervnculo"/>
                <w:noProof/>
                <w:color w:val="auto"/>
              </w:rPr>
              <w:t>DE LA SOLICITUD DE INFORMACIÓN</w:t>
            </w:r>
            <w:r w:rsidR="00ED150A" w:rsidRPr="00ED150A">
              <w:rPr>
                <w:noProof/>
                <w:webHidden/>
              </w:rPr>
              <w:tab/>
            </w:r>
            <w:r w:rsidR="00ED150A" w:rsidRPr="00ED150A">
              <w:rPr>
                <w:noProof/>
                <w:webHidden/>
              </w:rPr>
              <w:fldChar w:fldCharType="begin"/>
            </w:r>
            <w:r w:rsidR="00ED150A" w:rsidRPr="00ED150A">
              <w:rPr>
                <w:noProof/>
                <w:webHidden/>
              </w:rPr>
              <w:instrText xml:space="preserve"> PAGEREF _Toc195125451 \h </w:instrText>
            </w:r>
            <w:r w:rsidR="00ED150A" w:rsidRPr="00ED150A">
              <w:rPr>
                <w:noProof/>
                <w:webHidden/>
              </w:rPr>
            </w:r>
            <w:r w:rsidR="00ED150A" w:rsidRPr="00ED150A">
              <w:rPr>
                <w:noProof/>
                <w:webHidden/>
              </w:rPr>
              <w:fldChar w:fldCharType="separate"/>
            </w:r>
            <w:r w:rsidR="00800535">
              <w:rPr>
                <w:noProof/>
                <w:webHidden/>
              </w:rPr>
              <w:t>1</w:t>
            </w:r>
            <w:r w:rsidR="00ED150A" w:rsidRPr="00ED150A">
              <w:rPr>
                <w:noProof/>
                <w:webHidden/>
              </w:rPr>
              <w:fldChar w:fldCharType="end"/>
            </w:r>
          </w:hyperlink>
        </w:p>
        <w:p w14:paraId="6E6462A1" w14:textId="58C0FF84" w:rsidR="00ED150A" w:rsidRPr="00ED150A" w:rsidRDefault="00E62F0B" w:rsidP="00ED150A">
          <w:pPr>
            <w:pStyle w:val="TDC3"/>
            <w:rPr>
              <w:rFonts w:asciiTheme="minorHAnsi" w:eastAsiaTheme="minorEastAsia" w:hAnsiTheme="minorHAnsi" w:cstheme="minorBidi"/>
              <w:noProof/>
              <w:szCs w:val="22"/>
              <w:lang w:eastAsia="es-MX"/>
            </w:rPr>
          </w:pPr>
          <w:hyperlink w:anchor="_Toc195125452" w:history="1">
            <w:r w:rsidR="00ED150A" w:rsidRPr="00ED150A">
              <w:rPr>
                <w:rStyle w:val="Hipervnculo"/>
                <w:noProof/>
                <w:color w:val="auto"/>
              </w:rPr>
              <w:t>a) Solicitud de información</w:t>
            </w:r>
            <w:r w:rsidR="00ED150A" w:rsidRPr="00ED150A">
              <w:rPr>
                <w:noProof/>
                <w:webHidden/>
              </w:rPr>
              <w:tab/>
            </w:r>
            <w:r w:rsidR="00ED150A" w:rsidRPr="00ED150A">
              <w:rPr>
                <w:noProof/>
                <w:webHidden/>
              </w:rPr>
              <w:fldChar w:fldCharType="begin"/>
            </w:r>
            <w:r w:rsidR="00ED150A" w:rsidRPr="00ED150A">
              <w:rPr>
                <w:noProof/>
                <w:webHidden/>
              </w:rPr>
              <w:instrText xml:space="preserve"> PAGEREF _Toc195125452 \h </w:instrText>
            </w:r>
            <w:r w:rsidR="00ED150A" w:rsidRPr="00ED150A">
              <w:rPr>
                <w:noProof/>
                <w:webHidden/>
              </w:rPr>
            </w:r>
            <w:r w:rsidR="00ED150A" w:rsidRPr="00ED150A">
              <w:rPr>
                <w:noProof/>
                <w:webHidden/>
              </w:rPr>
              <w:fldChar w:fldCharType="separate"/>
            </w:r>
            <w:r w:rsidR="00800535">
              <w:rPr>
                <w:noProof/>
                <w:webHidden/>
              </w:rPr>
              <w:t>1</w:t>
            </w:r>
            <w:r w:rsidR="00ED150A" w:rsidRPr="00ED150A">
              <w:rPr>
                <w:noProof/>
                <w:webHidden/>
              </w:rPr>
              <w:fldChar w:fldCharType="end"/>
            </w:r>
          </w:hyperlink>
        </w:p>
        <w:p w14:paraId="1C289E12" w14:textId="198B45D6" w:rsidR="00ED150A" w:rsidRPr="00ED150A" w:rsidRDefault="00E62F0B" w:rsidP="00ED150A">
          <w:pPr>
            <w:pStyle w:val="TDC3"/>
            <w:rPr>
              <w:rFonts w:asciiTheme="minorHAnsi" w:eastAsiaTheme="minorEastAsia" w:hAnsiTheme="minorHAnsi" w:cstheme="minorBidi"/>
              <w:noProof/>
              <w:szCs w:val="22"/>
              <w:lang w:eastAsia="es-MX"/>
            </w:rPr>
          </w:pPr>
          <w:hyperlink w:anchor="_Toc195125453" w:history="1">
            <w:r w:rsidR="00ED150A" w:rsidRPr="00ED150A">
              <w:rPr>
                <w:rStyle w:val="Hipervnculo"/>
                <w:noProof/>
                <w:color w:val="auto"/>
              </w:rPr>
              <w:t>b) Turno de la solicitud de información</w:t>
            </w:r>
            <w:r w:rsidR="00ED150A" w:rsidRPr="00ED150A">
              <w:rPr>
                <w:noProof/>
                <w:webHidden/>
              </w:rPr>
              <w:tab/>
            </w:r>
            <w:r w:rsidR="00ED150A" w:rsidRPr="00ED150A">
              <w:rPr>
                <w:noProof/>
                <w:webHidden/>
              </w:rPr>
              <w:fldChar w:fldCharType="begin"/>
            </w:r>
            <w:r w:rsidR="00ED150A" w:rsidRPr="00ED150A">
              <w:rPr>
                <w:noProof/>
                <w:webHidden/>
              </w:rPr>
              <w:instrText xml:space="preserve"> PAGEREF _Toc195125453 \h </w:instrText>
            </w:r>
            <w:r w:rsidR="00ED150A" w:rsidRPr="00ED150A">
              <w:rPr>
                <w:noProof/>
                <w:webHidden/>
              </w:rPr>
            </w:r>
            <w:r w:rsidR="00ED150A" w:rsidRPr="00ED150A">
              <w:rPr>
                <w:noProof/>
                <w:webHidden/>
              </w:rPr>
              <w:fldChar w:fldCharType="separate"/>
            </w:r>
            <w:r w:rsidR="00800535">
              <w:rPr>
                <w:noProof/>
                <w:webHidden/>
              </w:rPr>
              <w:t>1</w:t>
            </w:r>
            <w:r w:rsidR="00ED150A" w:rsidRPr="00ED150A">
              <w:rPr>
                <w:noProof/>
                <w:webHidden/>
              </w:rPr>
              <w:fldChar w:fldCharType="end"/>
            </w:r>
          </w:hyperlink>
        </w:p>
        <w:p w14:paraId="5D44DB73" w14:textId="28FF6F2E" w:rsidR="00ED150A" w:rsidRPr="00ED150A" w:rsidRDefault="00E62F0B" w:rsidP="00ED150A">
          <w:pPr>
            <w:pStyle w:val="TDC3"/>
            <w:rPr>
              <w:rFonts w:asciiTheme="minorHAnsi" w:eastAsiaTheme="minorEastAsia" w:hAnsiTheme="minorHAnsi" w:cstheme="minorBidi"/>
              <w:noProof/>
              <w:szCs w:val="22"/>
              <w:lang w:eastAsia="es-MX"/>
            </w:rPr>
          </w:pPr>
          <w:hyperlink w:anchor="_Toc195125454" w:history="1">
            <w:r w:rsidR="00ED150A" w:rsidRPr="00ED150A">
              <w:rPr>
                <w:rStyle w:val="Hipervnculo"/>
                <w:noProof/>
                <w:color w:val="auto"/>
                <w:lang w:val="es-ES"/>
              </w:rPr>
              <w:t xml:space="preserve">c) Respuesta </w:t>
            </w:r>
            <w:r w:rsidR="00ED150A" w:rsidRPr="00ED150A">
              <w:rPr>
                <w:rStyle w:val="Hipervnculo"/>
                <w:rFonts w:eastAsia="Calibri"/>
                <w:noProof/>
                <w:color w:val="auto"/>
                <w:lang w:eastAsia="en-US"/>
              </w:rPr>
              <w:t>del Sujeto Obligado</w:t>
            </w:r>
            <w:r w:rsidR="00ED150A" w:rsidRPr="00ED150A">
              <w:rPr>
                <w:noProof/>
                <w:webHidden/>
              </w:rPr>
              <w:tab/>
            </w:r>
            <w:r w:rsidR="00ED150A" w:rsidRPr="00ED150A">
              <w:rPr>
                <w:noProof/>
                <w:webHidden/>
              </w:rPr>
              <w:fldChar w:fldCharType="begin"/>
            </w:r>
            <w:r w:rsidR="00ED150A" w:rsidRPr="00ED150A">
              <w:rPr>
                <w:noProof/>
                <w:webHidden/>
              </w:rPr>
              <w:instrText xml:space="preserve"> PAGEREF _Toc195125454 \h </w:instrText>
            </w:r>
            <w:r w:rsidR="00ED150A" w:rsidRPr="00ED150A">
              <w:rPr>
                <w:noProof/>
                <w:webHidden/>
              </w:rPr>
            </w:r>
            <w:r w:rsidR="00ED150A" w:rsidRPr="00ED150A">
              <w:rPr>
                <w:noProof/>
                <w:webHidden/>
              </w:rPr>
              <w:fldChar w:fldCharType="separate"/>
            </w:r>
            <w:r w:rsidR="00800535">
              <w:rPr>
                <w:noProof/>
                <w:webHidden/>
              </w:rPr>
              <w:t>2</w:t>
            </w:r>
            <w:r w:rsidR="00ED150A" w:rsidRPr="00ED150A">
              <w:rPr>
                <w:noProof/>
                <w:webHidden/>
              </w:rPr>
              <w:fldChar w:fldCharType="end"/>
            </w:r>
          </w:hyperlink>
        </w:p>
        <w:p w14:paraId="35A3AC7C" w14:textId="46945D1A" w:rsidR="00ED150A" w:rsidRPr="00ED150A" w:rsidRDefault="00E62F0B" w:rsidP="00ED150A">
          <w:pPr>
            <w:pStyle w:val="TDC2"/>
            <w:rPr>
              <w:rFonts w:asciiTheme="minorHAnsi" w:eastAsiaTheme="minorEastAsia" w:hAnsiTheme="minorHAnsi" w:cstheme="minorBidi"/>
              <w:noProof/>
              <w:szCs w:val="22"/>
              <w:lang w:eastAsia="es-MX"/>
            </w:rPr>
          </w:pPr>
          <w:hyperlink w:anchor="_Toc195125455" w:history="1">
            <w:r w:rsidR="00ED150A" w:rsidRPr="00ED150A">
              <w:rPr>
                <w:rStyle w:val="Hipervnculo"/>
                <w:noProof/>
                <w:color w:val="auto"/>
              </w:rPr>
              <w:t>DEL RECURSO DE REVISIÓN</w:t>
            </w:r>
            <w:r w:rsidR="00ED150A" w:rsidRPr="00ED150A">
              <w:rPr>
                <w:noProof/>
                <w:webHidden/>
              </w:rPr>
              <w:tab/>
            </w:r>
            <w:r w:rsidR="00ED150A" w:rsidRPr="00ED150A">
              <w:rPr>
                <w:noProof/>
                <w:webHidden/>
              </w:rPr>
              <w:fldChar w:fldCharType="begin"/>
            </w:r>
            <w:r w:rsidR="00ED150A" w:rsidRPr="00ED150A">
              <w:rPr>
                <w:noProof/>
                <w:webHidden/>
              </w:rPr>
              <w:instrText xml:space="preserve"> PAGEREF _Toc195125455 \h </w:instrText>
            </w:r>
            <w:r w:rsidR="00ED150A" w:rsidRPr="00ED150A">
              <w:rPr>
                <w:noProof/>
                <w:webHidden/>
              </w:rPr>
            </w:r>
            <w:r w:rsidR="00ED150A" w:rsidRPr="00ED150A">
              <w:rPr>
                <w:noProof/>
                <w:webHidden/>
              </w:rPr>
              <w:fldChar w:fldCharType="separate"/>
            </w:r>
            <w:r w:rsidR="00800535">
              <w:rPr>
                <w:noProof/>
                <w:webHidden/>
              </w:rPr>
              <w:t>3</w:t>
            </w:r>
            <w:r w:rsidR="00ED150A" w:rsidRPr="00ED150A">
              <w:rPr>
                <w:noProof/>
                <w:webHidden/>
              </w:rPr>
              <w:fldChar w:fldCharType="end"/>
            </w:r>
          </w:hyperlink>
        </w:p>
        <w:p w14:paraId="631CE57D" w14:textId="657D0140" w:rsidR="00ED150A" w:rsidRPr="00ED150A" w:rsidRDefault="00E62F0B" w:rsidP="00ED150A">
          <w:pPr>
            <w:pStyle w:val="TDC3"/>
            <w:rPr>
              <w:rFonts w:asciiTheme="minorHAnsi" w:eastAsiaTheme="minorEastAsia" w:hAnsiTheme="minorHAnsi" w:cstheme="minorBidi"/>
              <w:noProof/>
              <w:szCs w:val="22"/>
              <w:lang w:eastAsia="es-MX"/>
            </w:rPr>
          </w:pPr>
          <w:hyperlink w:anchor="_Toc195125456" w:history="1">
            <w:r w:rsidR="00ED150A" w:rsidRPr="00ED150A">
              <w:rPr>
                <w:rStyle w:val="Hipervnculo"/>
                <w:noProof/>
                <w:color w:val="auto"/>
              </w:rPr>
              <w:t>a) Interposición del Recurso de Revisión</w:t>
            </w:r>
            <w:r w:rsidR="00ED150A" w:rsidRPr="00ED150A">
              <w:rPr>
                <w:noProof/>
                <w:webHidden/>
              </w:rPr>
              <w:tab/>
            </w:r>
            <w:r w:rsidR="00ED150A" w:rsidRPr="00ED150A">
              <w:rPr>
                <w:noProof/>
                <w:webHidden/>
              </w:rPr>
              <w:fldChar w:fldCharType="begin"/>
            </w:r>
            <w:r w:rsidR="00ED150A" w:rsidRPr="00ED150A">
              <w:rPr>
                <w:noProof/>
                <w:webHidden/>
              </w:rPr>
              <w:instrText xml:space="preserve"> PAGEREF _Toc195125456 \h </w:instrText>
            </w:r>
            <w:r w:rsidR="00ED150A" w:rsidRPr="00ED150A">
              <w:rPr>
                <w:noProof/>
                <w:webHidden/>
              </w:rPr>
            </w:r>
            <w:r w:rsidR="00ED150A" w:rsidRPr="00ED150A">
              <w:rPr>
                <w:noProof/>
                <w:webHidden/>
              </w:rPr>
              <w:fldChar w:fldCharType="separate"/>
            </w:r>
            <w:r w:rsidR="00800535">
              <w:rPr>
                <w:noProof/>
                <w:webHidden/>
              </w:rPr>
              <w:t>3</w:t>
            </w:r>
            <w:r w:rsidR="00ED150A" w:rsidRPr="00ED150A">
              <w:rPr>
                <w:noProof/>
                <w:webHidden/>
              </w:rPr>
              <w:fldChar w:fldCharType="end"/>
            </w:r>
          </w:hyperlink>
        </w:p>
        <w:p w14:paraId="669CE172" w14:textId="27436710" w:rsidR="00ED150A" w:rsidRPr="00ED150A" w:rsidRDefault="00E62F0B" w:rsidP="00ED150A">
          <w:pPr>
            <w:pStyle w:val="TDC3"/>
            <w:rPr>
              <w:rFonts w:asciiTheme="minorHAnsi" w:eastAsiaTheme="minorEastAsia" w:hAnsiTheme="minorHAnsi" w:cstheme="minorBidi"/>
              <w:noProof/>
              <w:szCs w:val="22"/>
              <w:lang w:eastAsia="es-MX"/>
            </w:rPr>
          </w:pPr>
          <w:hyperlink w:anchor="_Toc195125457" w:history="1">
            <w:r w:rsidR="00ED150A" w:rsidRPr="00ED150A">
              <w:rPr>
                <w:rStyle w:val="Hipervnculo"/>
                <w:noProof/>
                <w:color w:val="auto"/>
              </w:rPr>
              <w:t>b) Turno del Recurso de Revisión</w:t>
            </w:r>
            <w:r w:rsidR="00ED150A" w:rsidRPr="00ED150A">
              <w:rPr>
                <w:noProof/>
                <w:webHidden/>
              </w:rPr>
              <w:tab/>
            </w:r>
            <w:r w:rsidR="00ED150A" w:rsidRPr="00ED150A">
              <w:rPr>
                <w:noProof/>
                <w:webHidden/>
              </w:rPr>
              <w:fldChar w:fldCharType="begin"/>
            </w:r>
            <w:r w:rsidR="00ED150A" w:rsidRPr="00ED150A">
              <w:rPr>
                <w:noProof/>
                <w:webHidden/>
              </w:rPr>
              <w:instrText xml:space="preserve"> PAGEREF _Toc195125457 \h </w:instrText>
            </w:r>
            <w:r w:rsidR="00ED150A" w:rsidRPr="00ED150A">
              <w:rPr>
                <w:noProof/>
                <w:webHidden/>
              </w:rPr>
            </w:r>
            <w:r w:rsidR="00ED150A" w:rsidRPr="00ED150A">
              <w:rPr>
                <w:noProof/>
                <w:webHidden/>
              </w:rPr>
              <w:fldChar w:fldCharType="separate"/>
            </w:r>
            <w:r w:rsidR="00800535">
              <w:rPr>
                <w:noProof/>
                <w:webHidden/>
              </w:rPr>
              <w:t>4</w:t>
            </w:r>
            <w:r w:rsidR="00ED150A" w:rsidRPr="00ED150A">
              <w:rPr>
                <w:noProof/>
                <w:webHidden/>
              </w:rPr>
              <w:fldChar w:fldCharType="end"/>
            </w:r>
          </w:hyperlink>
        </w:p>
        <w:p w14:paraId="2B81C7FA" w14:textId="19E2535E" w:rsidR="00ED150A" w:rsidRPr="00ED150A" w:rsidRDefault="00E62F0B" w:rsidP="00ED150A">
          <w:pPr>
            <w:pStyle w:val="TDC3"/>
            <w:rPr>
              <w:rFonts w:asciiTheme="minorHAnsi" w:eastAsiaTheme="minorEastAsia" w:hAnsiTheme="minorHAnsi" w:cstheme="minorBidi"/>
              <w:noProof/>
              <w:szCs w:val="22"/>
              <w:lang w:eastAsia="es-MX"/>
            </w:rPr>
          </w:pPr>
          <w:hyperlink w:anchor="_Toc195125458" w:history="1">
            <w:r w:rsidR="00ED150A" w:rsidRPr="00ED150A">
              <w:rPr>
                <w:rStyle w:val="Hipervnculo"/>
                <w:noProof/>
                <w:color w:val="auto"/>
              </w:rPr>
              <w:t>c) Admisión del Recurso de Revisión</w:t>
            </w:r>
            <w:r w:rsidR="00ED150A" w:rsidRPr="00ED150A">
              <w:rPr>
                <w:noProof/>
                <w:webHidden/>
              </w:rPr>
              <w:tab/>
            </w:r>
            <w:r w:rsidR="00ED150A" w:rsidRPr="00ED150A">
              <w:rPr>
                <w:noProof/>
                <w:webHidden/>
              </w:rPr>
              <w:fldChar w:fldCharType="begin"/>
            </w:r>
            <w:r w:rsidR="00ED150A" w:rsidRPr="00ED150A">
              <w:rPr>
                <w:noProof/>
                <w:webHidden/>
              </w:rPr>
              <w:instrText xml:space="preserve"> PAGEREF _Toc195125458 \h </w:instrText>
            </w:r>
            <w:r w:rsidR="00ED150A" w:rsidRPr="00ED150A">
              <w:rPr>
                <w:noProof/>
                <w:webHidden/>
              </w:rPr>
            </w:r>
            <w:r w:rsidR="00ED150A" w:rsidRPr="00ED150A">
              <w:rPr>
                <w:noProof/>
                <w:webHidden/>
              </w:rPr>
              <w:fldChar w:fldCharType="separate"/>
            </w:r>
            <w:r w:rsidR="00800535">
              <w:rPr>
                <w:noProof/>
                <w:webHidden/>
              </w:rPr>
              <w:t>4</w:t>
            </w:r>
            <w:r w:rsidR="00ED150A" w:rsidRPr="00ED150A">
              <w:rPr>
                <w:noProof/>
                <w:webHidden/>
              </w:rPr>
              <w:fldChar w:fldCharType="end"/>
            </w:r>
          </w:hyperlink>
        </w:p>
        <w:p w14:paraId="2CE19B70" w14:textId="534894B8" w:rsidR="00ED150A" w:rsidRPr="00ED150A" w:rsidRDefault="00E62F0B" w:rsidP="00ED150A">
          <w:pPr>
            <w:pStyle w:val="TDC3"/>
            <w:rPr>
              <w:rFonts w:asciiTheme="minorHAnsi" w:eastAsiaTheme="minorEastAsia" w:hAnsiTheme="minorHAnsi" w:cstheme="minorBidi"/>
              <w:noProof/>
              <w:szCs w:val="22"/>
              <w:lang w:eastAsia="es-MX"/>
            </w:rPr>
          </w:pPr>
          <w:hyperlink w:anchor="_Toc195125459" w:history="1">
            <w:r w:rsidR="00ED150A" w:rsidRPr="00ED150A">
              <w:rPr>
                <w:rStyle w:val="Hipervnculo"/>
                <w:noProof/>
                <w:color w:val="auto"/>
              </w:rPr>
              <w:t>d) Informe Justificado del Sujeto Obligado</w:t>
            </w:r>
            <w:r w:rsidR="00ED150A" w:rsidRPr="00ED150A">
              <w:rPr>
                <w:noProof/>
                <w:webHidden/>
              </w:rPr>
              <w:tab/>
            </w:r>
            <w:r w:rsidR="00ED150A" w:rsidRPr="00ED150A">
              <w:rPr>
                <w:noProof/>
                <w:webHidden/>
              </w:rPr>
              <w:fldChar w:fldCharType="begin"/>
            </w:r>
            <w:r w:rsidR="00ED150A" w:rsidRPr="00ED150A">
              <w:rPr>
                <w:noProof/>
                <w:webHidden/>
              </w:rPr>
              <w:instrText xml:space="preserve"> PAGEREF _Toc195125459 \h </w:instrText>
            </w:r>
            <w:r w:rsidR="00ED150A" w:rsidRPr="00ED150A">
              <w:rPr>
                <w:noProof/>
                <w:webHidden/>
              </w:rPr>
            </w:r>
            <w:r w:rsidR="00ED150A" w:rsidRPr="00ED150A">
              <w:rPr>
                <w:noProof/>
                <w:webHidden/>
              </w:rPr>
              <w:fldChar w:fldCharType="separate"/>
            </w:r>
            <w:r w:rsidR="00800535">
              <w:rPr>
                <w:noProof/>
                <w:webHidden/>
              </w:rPr>
              <w:t>4</w:t>
            </w:r>
            <w:r w:rsidR="00ED150A" w:rsidRPr="00ED150A">
              <w:rPr>
                <w:noProof/>
                <w:webHidden/>
              </w:rPr>
              <w:fldChar w:fldCharType="end"/>
            </w:r>
          </w:hyperlink>
        </w:p>
        <w:p w14:paraId="6614D474" w14:textId="67FFB325" w:rsidR="00ED150A" w:rsidRPr="00ED150A" w:rsidRDefault="00E62F0B" w:rsidP="00ED150A">
          <w:pPr>
            <w:pStyle w:val="TDC3"/>
            <w:rPr>
              <w:rFonts w:asciiTheme="minorHAnsi" w:eastAsiaTheme="minorEastAsia" w:hAnsiTheme="minorHAnsi" w:cstheme="minorBidi"/>
              <w:noProof/>
              <w:szCs w:val="22"/>
              <w:lang w:eastAsia="es-MX"/>
            </w:rPr>
          </w:pPr>
          <w:hyperlink w:anchor="_Toc195125460" w:history="1">
            <w:r w:rsidR="00ED150A" w:rsidRPr="00ED150A">
              <w:rPr>
                <w:rStyle w:val="Hipervnculo"/>
                <w:rFonts w:eastAsia="Calibri"/>
                <w:bCs/>
                <w:noProof/>
                <w:color w:val="auto"/>
                <w:lang w:eastAsia="en-US"/>
              </w:rPr>
              <w:t>e)</w:t>
            </w:r>
            <w:r w:rsidR="00ED150A" w:rsidRPr="00ED150A">
              <w:rPr>
                <w:rStyle w:val="Hipervnculo"/>
                <w:noProof/>
                <w:color w:val="auto"/>
              </w:rPr>
              <w:t xml:space="preserve"> </w:t>
            </w:r>
            <w:r w:rsidR="00ED150A" w:rsidRPr="00ED150A">
              <w:rPr>
                <w:rStyle w:val="Hipervnculo"/>
                <w:noProof/>
                <w:color w:val="auto"/>
                <w:lang w:val="es-ES"/>
              </w:rPr>
              <w:t>Manifestaciones de la Parte Recurrente</w:t>
            </w:r>
            <w:r w:rsidR="00ED150A" w:rsidRPr="00ED150A">
              <w:rPr>
                <w:noProof/>
                <w:webHidden/>
              </w:rPr>
              <w:tab/>
            </w:r>
            <w:r w:rsidR="00ED150A" w:rsidRPr="00ED150A">
              <w:rPr>
                <w:noProof/>
                <w:webHidden/>
              </w:rPr>
              <w:fldChar w:fldCharType="begin"/>
            </w:r>
            <w:r w:rsidR="00ED150A" w:rsidRPr="00ED150A">
              <w:rPr>
                <w:noProof/>
                <w:webHidden/>
              </w:rPr>
              <w:instrText xml:space="preserve"> PAGEREF _Toc195125460 \h </w:instrText>
            </w:r>
            <w:r w:rsidR="00ED150A" w:rsidRPr="00ED150A">
              <w:rPr>
                <w:noProof/>
                <w:webHidden/>
              </w:rPr>
            </w:r>
            <w:r w:rsidR="00ED150A" w:rsidRPr="00ED150A">
              <w:rPr>
                <w:noProof/>
                <w:webHidden/>
              </w:rPr>
              <w:fldChar w:fldCharType="separate"/>
            </w:r>
            <w:r w:rsidR="00800535">
              <w:rPr>
                <w:noProof/>
                <w:webHidden/>
              </w:rPr>
              <w:t>5</w:t>
            </w:r>
            <w:r w:rsidR="00ED150A" w:rsidRPr="00ED150A">
              <w:rPr>
                <w:noProof/>
                <w:webHidden/>
              </w:rPr>
              <w:fldChar w:fldCharType="end"/>
            </w:r>
          </w:hyperlink>
        </w:p>
        <w:p w14:paraId="48274BE5" w14:textId="11FC547D" w:rsidR="00ED150A" w:rsidRPr="00ED150A" w:rsidRDefault="00E62F0B" w:rsidP="00ED150A">
          <w:pPr>
            <w:pStyle w:val="TDC3"/>
            <w:rPr>
              <w:rFonts w:asciiTheme="minorHAnsi" w:eastAsiaTheme="minorEastAsia" w:hAnsiTheme="minorHAnsi" w:cstheme="minorBidi"/>
              <w:noProof/>
              <w:szCs w:val="22"/>
              <w:lang w:eastAsia="es-MX"/>
            </w:rPr>
          </w:pPr>
          <w:hyperlink w:anchor="_Toc195125461" w:history="1">
            <w:r w:rsidR="00ED150A" w:rsidRPr="00ED150A">
              <w:rPr>
                <w:rStyle w:val="Hipervnculo"/>
                <w:rFonts w:eastAsia="Calibri"/>
                <w:noProof/>
                <w:color w:val="auto"/>
              </w:rPr>
              <w:t xml:space="preserve">f) </w:t>
            </w:r>
            <w:r w:rsidR="00ED150A" w:rsidRPr="00ED150A">
              <w:rPr>
                <w:rStyle w:val="Hipervnculo"/>
                <w:noProof/>
                <w:color w:val="auto"/>
              </w:rPr>
              <w:t>Cierre de instrucción</w:t>
            </w:r>
            <w:r w:rsidR="00ED150A" w:rsidRPr="00ED150A">
              <w:rPr>
                <w:noProof/>
                <w:webHidden/>
              </w:rPr>
              <w:tab/>
            </w:r>
            <w:r w:rsidR="00ED150A" w:rsidRPr="00ED150A">
              <w:rPr>
                <w:noProof/>
                <w:webHidden/>
              </w:rPr>
              <w:fldChar w:fldCharType="begin"/>
            </w:r>
            <w:r w:rsidR="00ED150A" w:rsidRPr="00ED150A">
              <w:rPr>
                <w:noProof/>
                <w:webHidden/>
              </w:rPr>
              <w:instrText xml:space="preserve"> PAGEREF _Toc195125461 \h </w:instrText>
            </w:r>
            <w:r w:rsidR="00ED150A" w:rsidRPr="00ED150A">
              <w:rPr>
                <w:noProof/>
                <w:webHidden/>
              </w:rPr>
            </w:r>
            <w:r w:rsidR="00ED150A" w:rsidRPr="00ED150A">
              <w:rPr>
                <w:noProof/>
                <w:webHidden/>
              </w:rPr>
              <w:fldChar w:fldCharType="separate"/>
            </w:r>
            <w:r w:rsidR="00800535">
              <w:rPr>
                <w:noProof/>
                <w:webHidden/>
              </w:rPr>
              <w:t>5</w:t>
            </w:r>
            <w:r w:rsidR="00ED150A" w:rsidRPr="00ED150A">
              <w:rPr>
                <w:noProof/>
                <w:webHidden/>
              </w:rPr>
              <w:fldChar w:fldCharType="end"/>
            </w:r>
          </w:hyperlink>
        </w:p>
        <w:p w14:paraId="26975D4B" w14:textId="3E8D38CD" w:rsidR="00ED150A" w:rsidRPr="00ED150A" w:rsidRDefault="00E62F0B" w:rsidP="00ED150A">
          <w:pPr>
            <w:pStyle w:val="TDC1"/>
            <w:tabs>
              <w:tab w:val="right" w:leader="dot" w:pos="9034"/>
            </w:tabs>
            <w:rPr>
              <w:rFonts w:asciiTheme="minorHAnsi" w:eastAsiaTheme="minorEastAsia" w:hAnsiTheme="minorHAnsi" w:cstheme="minorBidi"/>
              <w:noProof/>
              <w:szCs w:val="22"/>
              <w:lang w:eastAsia="es-MX"/>
            </w:rPr>
          </w:pPr>
          <w:hyperlink w:anchor="_Toc195125462" w:history="1">
            <w:r w:rsidR="00ED150A" w:rsidRPr="00ED150A">
              <w:rPr>
                <w:rStyle w:val="Hipervnculo"/>
                <w:rFonts w:eastAsiaTheme="minorHAnsi"/>
                <w:noProof/>
                <w:color w:val="auto"/>
                <w:lang w:eastAsia="en-US"/>
              </w:rPr>
              <w:t>CONSIDERANDOS</w:t>
            </w:r>
            <w:r w:rsidR="00ED150A" w:rsidRPr="00ED150A">
              <w:rPr>
                <w:noProof/>
                <w:webHidden/>
              </w:rPr>
              <w:tab/>
            </w:r>
            <w:r w:rsidR="00ED150A" w:rsidRPr="00ED150A">
              <w:rPr>
                <w:noProof/>
                <w:webHidden/>
              </w:rPr>
              <w:fldChar w:fldCharType="begin"/>
            </w:r>
            <w:r w:rsidR="00ED150A" w:rsidRPr="00ED150A">
              <w:rPr>
                <w:noProof/>
                <w:webHidden/>
              </w:rPr>
              <w:instrText xml:space="preserve"> PAGEREF _Toc195125462 \h </w:instrText>
            </w:r>
            <w:r w:rsidR="00ED150A" w:rsidRPr="00ED150A">
              <w:rPr>
                <w:noProof/>
                <w:webHidden/>
              </w:rPr>
            </w:r>
            <w:r w:rsidR="00ED150A" w:rsidRPr="00ED150A">
              <w:rPr>
                <w:noProof/>
                <w:webHidden/>
              </w:rPr>
              <w:fldChar w:fldCharType="separate"/>
            </w:r>
            <w:r w:rsidR="00800535">
              <w:rPr>
                <w:noProof/>
                <w:webHidden/>
              </w:rPr>
              <w:t>5</w:t>
            </w:r>
            <w:r w:rsidR="00ED150A" w:rsidRPr="00ED150A">
              <w:rPr>
                <w:noProof/>
                <w:webHidden/>
              </w:rPr>
              <w:fldChar w:fldCharType="end"/>
            </w:r>
          </w:hyperlink>
        </w:p>
        <w:p w14:paraId="17E2DC91" w14:textId="7AC1D1FC" w:rsidR="00ED150A" w:rsidRPr="00ED150A" w:rsidRDefault="00E62F0B" w:rsidP="00ED150A">
          <w:pPr>
            <w:pStyle w:val="TDC2"/>
            <w:rPr>
              <w:rFonts w:asciiTheme="minorHAnsi" w:eastAsiaTheme="minorEastAsia" w:hAnsiTheme="minorHAnsi" w:cstheme="minorBidi"/>
              <w:noProof/>
              <w:szCs w:val="22"/>
              <w:lang w:eastAsia="es-MX"/>
            </w:rPr>
          </w:pPr>
          <w:hyperlink w:anchor="_Toc195125463" w:history="1">
            <w:r w:rsidR="00ED150A" w:rsidRPr="00ED150A">
              <w:rPr>
                <w:rStyle w:val="Hipervnculo"/>
                <w:rFonts w:eastAsia="Batang"/>
                <w:noProof/>
                <w:color w:val="auto"/>
              </w:rPr>
              <w:t>PRIMERO. Procedibilidad</w:t>
            </w:r>
            <w:r w:rsidR="00ED150A" w:rsidRPr="00ED150A">
              <w:rPr>
                <w:noProof/>
                <w:webHidden/>
              </w:rPr>
              <w:tab/>
            </w:r>
            <w:r w:rsidR="00ED150A" w:rsidRPr="00ED150A">
              <w:rPr>
                <w:noProof/>
                <w:webHidden/>
              </w:rPr>
              <w:fldChar w:fldCharType="begin"/>
            </w:r>
            <w:r w:rsidR="00ED150A" w:rsidRPr="00ED150A">
              <w:rPr>
                <w:noProof/>
                <w:webHidden/>
              </w:rPr>
              <w:instrText xml:space="preserve"> PAGEREF _Toc195125463 \h </w:instrText>
            </w:r>
            <w:r w:rsidR="00ED150A" w:rsidRPr="00ED150A">
              <w:rPr>
                <w:noProof/>
                <w:webHidden/>
              </w:rPr>
            </w:r>
            <w:r w:rsidR="00ED150A" w:rsidRPr="00ED150A">
              <w:rPr>
                <w:noProof/>
                <w:webHidden/>
              </w:rPr>
              <w:fldChar w:fldCharType="separate"/>
            </w:r>
            <w:r w:rsidR="00800535">
              <w:rPr>
                <w:noProof/>
                <w:webHidden/>
              </w:rPr>
              <w:t>5</w:t>
            </w:r>
            <w:r w:rsidR="00ED150A" w:rsidRPr="00ED150A">
              <w:rPr>
                <w:noProof/>
                <w:webHidden/>
              </w:rPr>
              <w:fldChar w:fldCharType="end"/>
            </w:r>
          </w:hyperlink>
        </w:p>
        <w:p w14:paraId="753463BD" w14:textId="36712D6F" w:rsidR="00ED150A" w:rsidRPr="00ED150A" w:rsidRDefault="00E62F0B" w:rsidP="00ED150A">
          <w:pPr>
            <w:pStyle w:val="TDC3"/>
            <w:rPr>
              <w:rFonts w:asciiTheme="minorHAnsi" w:eastAsiaTheme="minorEastAsia" w:hAnsiTheme="minorHAnsi" w:cstheme="minorBidi"/>
              <w:noProof/>
              <w:szCs w:val="22"/>
              <w:lang w:eastAsia="es-MX"/>
            </w:rPr>
          </w:pPr>
          <w:hyperlink w:anchor="_Toc195125464" w:history="1">
            <w:r w:rsidR="00ED150A" w:rsidRPr="00ED150A">
              <w:rPr>
                <w:rStyle w:val="Hipervnculo"/>
                <w:noProof/>
                <w:color w:val="auto"/>
              </w:rPr>
              <w:t>a) Competencia del Instituto</w:t>
            </w:r>
            <w:r w:rsidR="00ED150A" w:rsidRPr="00ED150A">
              <w:rPr>
                <w:noProof/>
                <w:webHidden/>
              </w:rPr>
              <w:tab/>
            </w:r>
            <w:r w:rsidR="00ED150A" w:rsidRPr="00ED150A">
              <w:rPr>
                <w:noProof/>
                <w:webHidden/>
              </w:rPr>
              <w:fldChar w:fldCharType="begin"/>
            </w:r>
            <w:r w:rsidR="00ED150A" w:rsidRPr="00ED150A">
              <w:rPr>
                <w:noProof/>
                <w:webHidden/>
              </w:rPr>
              <w:instrText xml:space="preserve"> PAGEREF _Toc195125464 \h </w:instrText>
            </w:r>
            <w:r w:rsidR="00ED150A" w:rsidRPr="00ED150A">
              <w:rPr>
                <w:noProof/>
                <w:webHidden/>
              </w:rPr>
            </w:r>
            <w:r w:rsidR="00ED150A" w:rsidRPr="00ED150A">
              <w:rPr>
                <w:noProof/>
                <w:webHidden/>
              </w:rPr>
              <w:fldChar w:fldCharType="separate"/>
            </w:r>
            <w:r w:rsidR="00800535">
              <w:rPr>
                <w:noProof/>
                <w:webHidden/>
              </w:rPr>
              <w:t>5</w:t>
            </w:r>
            <w:r w:rsidR="00ED150A" w:rsidRPr="00ED150A">
              <w:rPr>
                <w:noProof/>
                <w:webHidden/>
              </w:rPr>
              <w:fldChar w:fldCharType="end"/>
            </w:r>
          </w:hyperlink>
        </w:p>
        <w:p w14:paraId="75E34B48" w14:textId="44DF0763" w:rsidR="00ED150A" w:rsidRPr="00ED150A" w:rsidRDefault="00E62F0B" w:rsidP="00ED150A">
          <w:pPr>
            <w:pStyle w:val="TDC3"/>
            <w:rPr>
              <w:rFonts w:asciiTheme="minorHAnsi" w:eastAsiaTheme="minorEastAsia" w:hAnsiTheme="minorHAnsi" w:cstheme="minorBidi"/>
              <w:noProof/>
              <w:szCs w:val="22"/>
              <w:lang w:eastAsia="es-MX"/>
            </w:rPr>
          </w:pPr>
          <w:hyperlink w:anchor="_Toc195125465" w:history="1">
            <w:r w:rsidR="00ED150A" w:rsidRPr="00ED150A">
              <w:rPr>
                <w:rStyle w:val="Hipervnculo"/>
                <w:noProof/>
                <w:color w:val="auto"/>
              </w:rPr>
              <w:t>b) Legitimidad de la parte recurrente</w:t>
            </w:r>
            <w:r w:rsidR="00ED150A" w:rsidRPr="00ED150A">
              <w:rPr>
                <w:noProof/>
                <w:webHidden/>
              </w:rPr>
              <w:tab/>
            </w:r>
            <w:r w:rsidR="00ED150A" w:rsidRPr="00ED150A">
              <w:rPr>
                <w:noProof/>
                <w:webHidden/>
              </w:rPr>
              <w:fldChar w:fldCharType="begin"/>
            </w:r>
            <w:r w:rsidR="00ED150A" w:rsidRPr="00ED150A">
              <w:rPr>
                <w:noProof/>
                <w:webHidden/>
              </w:rPr>
              <w:instrText xml:space="preserve"> PAGEREF _Toc195125465 \h </w:instrText>
            </w:r>
            <w:r w:rsidR="00ED150A" w:rsidRPr="00ED150A">
              <w:rPr>
                <w:noProof/>
                <w:webHidden/>
              </w:rPr>
            </w:r>
            <w:r w:rsidR="00ED150A" w:rsidRPr="00ED150A">
              <w:rPr>
                <w:noProof/>
                <w:webHidden/>
              </w:rPr>
              <w:fldChar w:fldCharType="separate"/>
            </w:r>
            <w:r w:rsidR="00800535">
              <w:rPr>
                <w:noProof/>
                <w:webHidden/>
              </w:rPr>
              <w:t>6</w:t>
            </w:r>
            <w:r w:rsidR="00ED150A" w:rsidRPr="00ED150A">
              <w:rPr>
                <w:noProof/>
                <w:webHidden/>
              </w:rPr>
              <w:fldChar w:fldCharType="end"/>
            </w:r>
          </w:hyperlink>
        </w:p>
        <w:p w14:paraId="2BCC12A7" w14:textId="5679ADC2" w:rsidR="00ED150A" w:rsidRPr="00ED150A" w:rsidRDefault="00E62F0B" w:rsidP="00ED150A">
          <w:pPr>
            <w:pStyle w:val="TDC3"/>
            <w:rPr>
              <w:rFonts w:asciiTheme="minorHAnsi" w:eastAsiaTheme="minorEastAsia" w:hAnsiTheme="minorHAnsi" w:cstheme="minorBidi"/>
              <w:noProof/>
              <w:szCs w:val="22"/>
              <w:lang w:eastAsia="es-MX"/>
            </w:rPr>
          </w:pPr>
          <w:hyperlink w:anchor="_Toc195125466" w:history="1">
            <w:r w:rsidR="00ED150A" w:rsidRPr="00ED150A">
              <w:rPr>
                <w:rStyle w:val="Hipervnculo"/>
                <w:rFonts w:eastAsia="Calibri"/>
                <w:noProof/>
                <w:color w:val="auto"/>
                <w:lang w:eastAsia="es-ES_tradnl"/>
              </w:rPr>
              <w:t>c) Plazo para interponer el recurso</w:t>
            </w:r>
            <w:r w:rsidR="00ED150A" w:rsidRPr="00ED150A">
              <w:rPr>
                <w:noProof/>
                <w:webHidden/>
              </w:rPr>
              <w:tab/>
            </w:r>
            <w:r w:rsidR="00ED150A" w:rsidRPr="00ED150A">
              <w:rPr>
                <w:noProof/>
                <w:webHidden/>
              </w:rPr>
              <w:fldChar w:fldCharType="begin"/>
            </w:r>
            <w:r w:rsidR="00ED150A" w:rsidRPr="00ED150A">
              <w:rPr>
                <w:noProof/>
                <w:webHidden/>
              </w:rPr>
              <w:instrText xml:space="preserve"> PAGEREF _Toc195125466 \h </w:instrText>
            </w:r>
            <w:r w:rsidR="00ED150A" w:rsidRPr="00ED150A">
              <w:rPr>
                <w:noProof/>
                <w:webHidden/>
              </w:rPr>
            </w:r>
            <w:r w:rsidR="00ED150A" w:rsidRPr="00ED150A">
              <w:rPr>
                <w:noProof/>
                <w:webHidden/>
              </w:rPr>
              <w:fldChar w:fldCharType="separate"/>
            </w:r>
            <w:r w:rsidR="00800535">
              <w:rPr>
                <w:noProof/>
                <w:webHidden/>
              </w:rPr>
              <w:t>6</w:t>
            </w:r>
            <w:r w:rsidR="00ED150A" w:rsidRPr="00ED150A">
              <w:rPr>
                <w:noProof/>
                <w:webHidden/>
              </w:rPr>
              <w:fldChar w:fldCharType="end"/>
            </w:r>
          </w:hyperlink>
        </w:p>
        <w:p w14:paraId="4EF45022" w14:textId="1D4B1D96" w:rsidR="00ED150A" w:rsidRPr="00ED150A" w:rsidRDefault="00E62F0B" w:rsidP="00ED150A">
          <w:pPr>
            <w:pStyle w:val="TDC3"/>
            <w:rPr>
              <w:rFonts w:asciiTheme="minorHAnsi" w:eastAsiaTheme="minorEastAsia" w:hAnsiTheme="minorHAnsi" w:cstheme="minorBidi"/>
              <w:noProof/>
              <w:szCs w:val="22"/>
              <w:lang w:eastAsia="es-MX"/>
            </w:rPr>
          </w:pPr>
          <w:hyperlink w:anchor="_Toc195125467" w:history="1">
            <w:r w:rsidR="00ED150A" w:rsidRPr="00ED150A">
              <w:rPr>
                <w:rStyle w:val="Hipervnculo"/>
                <w:rFonts w:eastAsia="Calibri"/>
                <w:noProof/>
                <w:color w:val="auto"/>
                <w:lang w:eastAsia="es-ES_tradnl"/>
              </w:rPr>
              <w:t>d) Causal de procedencia</w:t>
            </w:r>
            <w:r w:rsidR="00ED150A" w:rsidRPr="00ED150A">
              <w:rPr>
                <w:noProof/>
                <w:webHidden/>
              </w:rPr>
              <w:tab/>
            </w:r>
            <w:r w:rsidR="00ED150A" w:rsidRPr="00ED150A">
              <w:rPr>
                <w:noProof/>
                <w:webHidden/>
              </w:rPr>
              <w:fldChar w:fldCharType="begin"/>
            </w:r>
            <w:r w:rsidR="00ED150A" w:rsidRPr="00ED150A">
              <w:rPr>
                <w:noProof/>
                <w:webHidden/>
              </w:rPr>
              <w:instrText xml:space="preserve"> PAGEREF _Toc195125467 \h </w:instrText>
            </w:r>
            <w:r w:rsidR="00ED150A" w:rsidRPr="00ED150A">
              <w:rPr>
                <w:noProof/>
                <w:webHidden/>
              </w:rPr>
            </w:r>
            <w:r w:rsidR="00ED150A" w:rsidRPr="00ED150A">
              <w:rPr>
                <w:noProof/>
                <w:webHidden/>
              </w:rPr>
              <w:fldChar w:fldCharType="separate"/>
            </w:r>
            <w:r w:rsidR="00800535">
              <w:rPr>
                <w:noProof/>
                <w:webHidden/>
              </w:rPr>
              <w:t>6</w:t>
            </w:r>
            <w:r w:rsidR="00ED150A" w:rsidRPr="00ED150A">
              <w:rPr>
                <w:noProof/>
                <w:webHidden/>
              </w:rPr>
              <w:fldChar w:fldCharType="end"/>
            </w:r>
          </w:hyperlink>
        </w:p>
        <w:p w14:paraId="0DB2FC6D" w14:textId="6D163F90" w:rsidR="00ED150A" w:rsidRPr="00ED150A" w:rsidRDefault="00E62F0B" w:rsidP="00ED150A">
          <w:pPr>
            <w:pStyle w:val="TDC3"/>
            <w:rPr>
              <w:rFonts w:asciiTheme="minorHAnsi" w:eastAsiaTheme="minorEastAsia" w:hAnsiTheme="minorHAnsi" w:cstheme="minorBidi"/>
              <w:noProof/>
              <w:szCs w:val="22"/>
              <w:lang w:eastAsia="es-MX"/>
            </w:rPr>
          </w:pPr>
          <w:hyperlink w:anchor="_Toc195125468" w:history="1">
            <w:r w:rsidR="00ED150A" w:rsidRPr="00ED150A">
              <w:rPr>
                <w:rStyle w:val="Hipervnculo"/>
                <w:noProof/>
                <w:color w:val="auto"/>
              </w:rPr>
              <w:t>e) Requisitos formales para la interposición del recurso</w:t>
            </w:r>
            <w:r w:rsidR="00ED150A" w:rsidRPr="00ED150A">
              <w:rPr>
                <w:noProof/>
                <w:webHidden/>
              </w:rPr>
              <w:tab/>
            </w:r>
            <w:r w:rsidR="00ED150A" w:rsidRPr="00ED150A">
              <w:rPr>
                <w:noProof/>
                <w:webHidden/>
              </w:rPr>
              <w:fldChar w:fldCharType="begin"/>
            </w:r>
            <w:r w:rsidR="00ED150A" w:rsidRPr="00ED150A">
              <w:rPr>
                <w:noProof/>
                <w:webHidden/>
              </w:rPr>
              <w:instrText xml:space="preserve"> PAGEREF _Toc195125468 \h </w:instrText>
            </w:r>
            <w:r w:rsidR="00ED150A" w:rsidRPr="00ED150A">
              <w:rPr>
                <w:noProof/>
                <w:webHidden/>
              </w:rPr>
            </w:r>
            <w:r w:rsidR="00ED150A" w:rsidRPr="00ED150A">
              <w:rPr>
                <w:noProof/>
                <w:webHidden/>
              </w:rPr>
              <w:fldChar w:fldCharType="separate"/>
            </w:r>
            <w:r w:rsidR="00800535">
              <w:rPr>
                <w:noProof/>
                <w:webHidden/>
              </w:rPr>
              <w:t>6</w:t>
            </w:r>
            <w:r w:rsidR="00ED150A" w:rsidRPr="00ED150A">
              <w:rPr>
                <w:noProof/>
                <w:webHidden/>
              </w:rPr>
              <w:fldChar w:fldCharType="end"/>
            </w:r>
          </w:hyperlink>
        </w:p>
        <w:p w14:paraId="268A8D6F" w14:textId="1E5B0476" w:rsidR="00ED150A" w:rsidRPr="00ED150A" w:rsidRDefault="00E62F0B" w:rsidP="00ED150A">
          <w:pPr>
            <w:pStyle w:val="TDC2"/>
            <w:rPr>
              <w:rFonts w:asciiTheme="minorHAnsi" w:eastAsiaTheme="minorEastAsia" w:hAnsiTheme="minorHAnsi" w:cstheme="minorBidi"/>
              <w:noProof/>
              <w:szCs w:val="22"/>
              <w:lang w:eastAsia="es-MX"/>
            </w:rPr>
          </w:pPr>
          <w:hyperlink w:anchor="_Toc195125469" w:history="1">
            <w:r w:rsidR="00ED150A" w:rsidRPr="00ED150A">
              <w:rPr>
                <w:rStyle w:val="Hipervnculo"/>
                <w:noProof/>
                <w:color w:val="auto"/>
              </w:rPr>
              <w:t>SEGUNDO. Estudio de Fondo</w:t>
            </w:r>
            <w:r w:rsidR="00ED150A" w:rsidRPr="00ED150A">
              <w:rPr>
                <w:noProof/>
                <w:webHidden/>
              </w:rPr>
              <w:tab/>
            </w:r>
            <w:r w:rsidR="00ED150A" w:rsidRPr="00ED150A">
              <w:rPr>
                <w:noProof/>
                <w:webHidden/>
              </w:rPr>
              <w:fldChar w:fldCharType="begin"/>
            </w:r>
            <w:r w:rsidR="00ED150A" w:rsidRPr="00ED150A">
              <w:rPr>
                <w:noProof/>
                <w:webHidden/>
              </w:rPr>
              <w:instrText xml:space="preserve"> PAGEREF _Toc195125469 \h </w:instrText>
            </w:r>
            <w:r w:rsidR="00ED150A" w:rsidRPr="00ED150A">
              <w:rPr>
                <w:noProof/>
                <w:webHidden/>
              </w:rPr>
            </w:r>
            <w:r w:rsidR="00ED150A" w:rsidRPr="00ED150A">
              <w:rPr>
                <w:noProof/>
                <w:webHidden/>
              </w:rPr>
              <w:fldChar w:fldCharType="separate"/>
            </w:r>
            <w:r w:rsidR="00800535">
              <w:rPr>
                <w:noProof/>
                <w:webHidden/>
              </w:rPr>
              <w:t>7</w:t>
            </w:r>
            <w:r w:rsidR="00ED150A" w:rsidRPr="00ED150A">
              <w:rPr>
                <w:noProof/>
                <w:webHidden/>
              </w:rPr>
              <w:fldChar w:fldCharType="end"/>
            </w:r>
          </w:hyperlink>
        </w:p>
        <w:p w14:paraId="2C6098C4" w14:textId="38A83776" w:rsidR="00ED150A" w:rsidRPr="00ED150A" w:rsidRDefault="00E62F0B" w:rsidP="00ED150A">
          <w:pPr>
            <w:pStyle w:val="TDC3"/>
            <w:rPr>
              <w:rFonts w:asciiTheme="minorHAnsi" w:eastAsiaTheme="minorEastAsia" w:hAnsiTheme="minorHAnsi" w:cstheme="minorBidi"/>
              <w:noProof/>
              <w:szCs w:val="22"/>
              <w:lang w:eastAsia="es-MX"/>
            </w:rPr>
          </w:pPr>
          <w:hyperlink w:anchor="_Toc195125470" w:history="1">
            <w:r w:rsidR="00ED150A" w:rsidRPr="00ED150A">
              <w:rPr>
                <w:rStyle w:val="Hipervnculo"/>
                <w:noProof/>
                <w:color w:val="auto"/>
              </w:rPr>
              <w:t>a) Mandato de transparencia y responsabilidad del Sujeto Obligado</w:t>
            </w:r>
            <w:r w:rsidR="00ED150A" w:rsidRPr="00ED150A">
              <w:rPr>
                <w:noProof/>
                <w:webHidden/>
              </w:rPr>
              <w:tab/>
            </w:r>
            <w:r w:rsidR="00ED150A" w:rsidRPr="00ED150A">
              <w:rPr>
                <w:noProof/>
                <w:webHidden/>
              </w:rPr>
              <w:fldChar w:fldCharType="begin"/>
            </w:r>
            <w:r w:rsidR="00ED150A" w:rsidRPr="00ED150A">
              <w:rPr>
                <w:noProof/>
                <w:webHidden/>
              </w:rPr>
              <w:instrText xml:space="preserve"> PAGEREF _Toc195125470 \h </w:instrText>
            </w:r>
            <w:r w:rsidR="00ED150A" w:rsidRPr="00ED150A">
              <w:rPr>
                <w:noProof/>
                <w:webHidden/>
              </w:rPr>
            </w:r>
            <w:r w:rsidR="00ED150A" w:rsidRPr="00ED150A">
              <w:rPr>
                <w:noProof/>
                <w:webHidden/>
              </w:rPr>
              <w:fldChar w:fldCharType="separate"/>
            </w:r>
            <w:r w:rsidR="00800535">
              <w:rPr>
                <w:noProof/>
                <w:webHidden/>
              </w:rPr>
              <w:t>7</w:t>
            </w:r>
            <w:r w:rsidR="00ED150A" w:rsidRPr="00ED150A">
              <w:rPr>
                <w:noProof/>
                <w:webHidden/>
              </w:rPr>
              <w:fldChar w:fldCharType="end"/>
            </w:r>
          </w:hyperlink>
        </w:p>
        <w:p w14:paraId="10D16EF3" w14:textId="57C019A4" w:rsidR="00ED150A" w:rsidRPr="00ED150A" w:rsidRDefault="00E62F0B" w:rsidP="00ED150A">
          <w:pPr>
            <w:pStyle w:val="TDC3"/>
            <w:rPr>
              <w:rFonts w:asciiTheme="minorHAnsi" w:eastAsiaTheme="minorEastAsia" w:hAnsiTheme="minorHAnsi" w:cstheme="minorBidi"/>
              <w:noProof/>
              <w:szCs w:val="22"/>
              <w:lang w:eastAsia="es-MX"/>
            </w:rPr>
          </w:pPr>
          <w:hyperlink w:anchor="_Toc195125471" w:history="1">
            <w:r w:rsidR="00ED150A" w:rsidRPr="00ED150A">
              <w:rPr>
                <w:rStyle w:val="Hipervnculo"/>
                <w:rFonts w:eastAsia="Calibri"/>
                <w:noProof/>
                <w:color w:val="auto"/>
                <w:lang w:eastAsia="es-ES_tradnl"/>
              </w:rPr>
              <w:t>b) Controversia a resolver</w:t>
            </w:r>
            <w:r w:rsidR="00ED150A" w:rsidRPr="00ED150A">
              <w:rPr>
                <w:noProof/>
                <w:webHidden/>
              </w:rPr>
              <w:tab/>
            </w:r>
            <w:r w:rsidR="00ED150A" w:rsidRPr="00ED150A">
              <w:rPr>
                <w:noProof/>
                <w:webHidden/>
              </w:rPr>
              <w:fldChar w:fldCharType="begin"/>
            </w:r>
            <w:r w:rsidR="00ED150A" w:rsidRPr="00ED150A">
              <w:rPr>
                <w:noProof/>
                <w:webHidden/>
              </w:rPr>
              <w:instrText xml:space="preserve"> PAGEREF _Toc195125471 \h </w:instrText>
            </w:r>
            <w:r w:rsidR="00ED150A" w:rsidRPr="00ED150A">
              <w:rPr>
                <w:noProof/>
                <w:webHidden/>
              </w:rPr>
            </w:r>
            <w:r w:rsidR="00ED150A" w:rsidRPr="00ED150A">
              <w:rPr>
                <w:noProof/>
                <w:webHidden/>
              </w:rPr>
              <w:fldChar w:fldCharType="separate"/>
            </w:r>
            <w:r w:rsidR="00800535">
              <w:rPr>
                <w:noProof/>
                <w:webHidden/>
              </w:rPr>
              <w:t>9</w:t>
            </w:r>
            <w:r w:rsidR="00ED150A" w:rsidRPr="00ED150A">
              <w:rPr>
                <w:noProof/>
                <w:webHidden/>
              </w:rPr>
              <w:fldChar w:fldCharType="end"/>
            </w:r>
          </w:hyperlink>
        </w:p>
        <w:p w14:paraId="4D9A084A" w14:textId="2EFA84BC" w:rsidR="00ED150A" w:rsidRPr="00ED150A" w:rsidRDefault="00E62F0B" w:rsidP="00ED150A">
          <w:pPr>
            <w:pStyle w:val="TDC3"/>
            <w:rPr>
              <w:rFonts w:asciiTheme="minorHAnsi" w:eastAsiaTheme="minorEastAsia" w:hAnsiTheme="minorHAnsi" w:cstheme="minorBidi"/>
              <w:noProof/>
              <w:szCs w:val="22"/>
              <w:lang w:eastAsia="es-MX"/>
            </w:rPr>
          </w:pPr>
          <w:hyperlink w:anchor="_Toc195125472" w:history="1">
            <w:r w:rsidR="00ED150A" w:rsidRPr="00ED150A">
              <w:rPr>
                <w:rStyle w:val="Hipervnculo"/>
                <w:noProof/>
                <w:color w:val="auto"/>
              </w:rPr>
              <w:t>c) Estudio de la controversia</w:t>
            </w:r>
            <w:r w:rsidR="00ED150A" w:rsidRPr="00ED150A">
              <w:rPr>
                <w:noProof/>
                <w:webHidden/>
              </w:rPr>
              <w:tab/>
            </w:r>
            <w:r w:rsidR="00ED150A" w:rsidRPr="00ED150A">
              <w:rPr>
                <w:noProof/>
                <w:webHidden/>
              </w:rPr>
              <w:fldChar w:fldCharType="begin"/>
            </w:r>
            <w:r w:rsidR="00ED150A" w:rsidRPr="00ED150A">
              <w:rPr>
                <w:noProof/>
                <w:webHidden/>
              </w:rPr>
              <w:instrText xml:space="preserve"> PAGEREF _Toc195125472 \h </w:instrText>
            </w:r>
            <w:r w:rsidR="00ED150A" w:rsidRPr="00ED150A">
              <w:rPr>
                <w:noProof/>
                <w:webHidden/>
              </w:rPr>
            </w:r>
            <w:r w:rsidR="00ED150A" w:rsidRPr="00ED150A">
              <w:rPr>
                <w:noProof/>
                <w:webHidden/>
              </w:rPr>
              <w:fldChar w:fldCharType="separate"/>
            </w:r>
            <w:r w:rsidR="00800535">
              <w:rPr>
                <w:noProof/>
                <w:webHidden/>
              </w:rPr>
              <w:t>10</w:t>
            </w:r>
            <w:r w:rsidR="00ED150A" w:rsidRPr="00ED150A">
              <w:rPr>
                <w:noProof/>
                <w:webHidden/>
              </w:rPr>
              <w:fldChar w:fldCharType="end"/>
            </w:r>
          </w:hyperlink>
        </w:p>
        <w:p w14:paraId="293CD893" w14:textId="1231C9E6" w:rsidR="00ED150A" w:rsidRPr="00ED150A" w:rsidRDefault="00E62F0B" w:rsidP="00ED150A">
          <w:pPr>
            <w:pStyle w:val="TDC3"/>
            <w:rPr>
              <w:rFonts w:asciiTheme="minorHAnsi" w:eastAsiaTheme="minorEastAsia" w:hAnsiTheme="minorHAnsi" w:cstheme="minorBidi"/>
              <w:noProof/>
              <w:szCs w:val="22"/>
              <w:lang w:eastAsia="es-MX"/>
            </w:rPr>
          </w:pPr>
          <w:hyperlink w:anchor="_Toc195125473" w:history="1">
            <w:r w:rsidR="00ED150A" w:rsidRPr="00ED150A">
              <w:rPr>
                <w:rStyle w:val="Hipervnculo"/>
                <w:noProof/>
                <w:color w:val="auto"/>
              </w:rPr>
              <w:t>d) Conclusión</w:t>
            </w:r>
            <w:r w:rsidR="00ED150A" w:rsidRPr="00ED150A">
              <w:rPr>
                <w:noProof/>
                <w:webHidden/>
              </w:rPr>
              <w:tab/>
            </w:r>
            <w:r w:rsidR="00ED150A" w:rsidRPr="00ED150A">
              <w:rPr>
                <w:noProof/>
                <w:webHidden/>
              </w:rPr>
              <w:fldChar w:fldCharType="begin"/>
            </w:r>
            <w:r w:rsidR="00ED150A" w:rsidRPr="00ED150A">
              <w:rPr>
                <w:noProof/>
                <w:webHidden/>
              </w:rPr>
              <w:instrText xml:space="preserve"> PAGEREF _Toc195125473 \h </w:instrText>
            </w:r>
            <w:r w:rsidR="00ED150A" w:rsidRPr="00ED150A">
              <w:rPr>
                <w:noProof/>
                <w:webHidden/>
              </w:rPr>
            </w:r>
            <w:r w:rsidR="00ED150A" w:rsidRPr="00ED150A">
              <w:rPr>
                <w:noProof/>
                <w:webHidden/>
              </w:rPr>
              <w:fldChar w:fldCharType="separate"/>
            </w:r>
            <w:r w:rsidR="00800535">
              <w:rPr>
                <w:noProof/>
                <w:webHidden/>
              </w:rPr>
              <w:t>17</w:t>
            </w:r>
            <w:r w:rsidR="00ED150A" w:rsidRPr="00ED150A">
              <w:rPr>
                <w:noProof/>
                <w:webHidden/>
              </w:rPr>
              <w:fldChar w:fldCharType="end"/>
            </w:r>
          </w:hyperlink>
        </w:p>
        <w:p w14:paraId="1E4D4324" w14:textId="22C1B14B" w:rsidR="00ED150A" w:rsidRPr="00ED150A" w:rsidRDefault="00E62F0B" w:rsidP="00ED150A">
          <w:pPr>
            <w:pStyle w:val="TDC1"/>
            <w:tabs>
              <w:tab w:val="right" w:leader="dot" w:pos="9034"/>
            </w:tabs>
            <w:rPr>
              <w:rFonts w:asciiTheme="minorHAnsi" w:eastAsiaTheme="minorEastAsia" w:hAnsiTheme="minorHAnsi" w:cstheme="minorBidi"/>
              <w:noProof/>
              <w:szCs w:val="22"/>
              <w:lang w:eastAsia="es-MX"/>
            </w:rPr>
          </w:pPr>
          <w:hyperlink w:anchor="_Toc195125474" w:history="1">
            <w:r w:rsidR="00ED150A" w:rsidRPr="00ED150A">
              <w:rPr>
                <w:rStyle w:val="Hipervnculo"/>
                <w:noProof/>
                <w:color w:val="auto"/>
              </w:rPr>
              <w:t>RESUELVE</w:t>
            </w:r>
            <w:r w:rsidR="00ED150A" w:rsidRPr="00ED150A">
              <w:rPr>
                <w:noProof/>
                <w:webHidden/>
              </w:rPr>
              <w:tab/>
            </w:r>
            <w:r w:rsidR="00ED150A" w:rsidRPr="00ED150A">
              <w:rPr>
                <w:noProof/>
                <w:webHidden/>
              </w:rPr>
              <w:fldChar w:fldCharType="begin"/>
            </w:r>
            <w:r w:rsidR="00ED150A" w:rsidRPr="00ED150A">
              <w:rPr>
                <w:noProof/>
                <w:webHidden/>
              </w:rPr>
              <w:instrText xml:space="preserve"> PAGEREF _Toc195125474 \h </w:instrText>
            </w:r>
            <w:r w:rsidR="00ED150A" w:rsidRPr="00ED150A">
              <w:rPr>
                <w:noProof/>
                <w:webHidden/>
              </w:rPr>
            </w:r>
            <w:r w:rsidR="00ED150A" w:rsidRPr="00ED150A">
              <w:rPr>
                <w:noProof/>
                <w:webHidden/>
              </w:rPr>
              <w:fldChar w:fldCharType="separate"/>
            </w:r>
            <w:r w:rsidR="00800535">
              <w:rPr>
                <w:noProof/>
                <w:webHidden/>
              </w:rPr>
              <w:t>17</w:t>
            </w:r>
            <w:r w:rsidR="00ED150A" w:rsidRPr="00ED150A">
              <w:rPr>
                <w:noProof/>
                <w:webHidden/>
              </w:rPr>
              <w:fldChar w:fldCharType="end"/>
            </w:r>
          </w:hyperlink>
        </w:p>
        <w:p w14:paraId="0C82FD7A" w14:textId="789F75D5" w:rsidR="009B2945" w:rsidRPr="00ED150A" w:rsidRDefault="00AE3DA7" w:rsidP="00ED150A">
          <w:pPr>
            <w:spacing w:line="240" w:lineRule="auto"/>
            <w:rPr>
              <w:b/>
              <w:bCs/>
              <w:lang w:val="es-ES"/>
            </w:rPr>
          </w:pPr>
          <w:r w:rsidRPr="00ED150A">
            <w:rPr>
              <w:b/>
              <w:bCs/>
              <w:sz w:val="16"/>
              <w:szCs w:val="16"/>
              <w:lang w:val="es-ES"/>
            </w:rPr>
            <w:fldChar w:fldCharType="end"/>
          </w:r>
        </w:p>
      </w:sdtContent>
    </w:sdt>
    <w:p w14:paraId="603A07E2" w14:textId="77777777" w:rsidR="00646436" w:rsidRPr="00ED150A" w:rsidRDefault="00646436" w:rsidP="00ED150A">
      <w:pPr>
        <w:rPr>
          <w:rFonts w:cs="Tahoma"/>
          <w:szCs w:val="22"/>
        </w:rPr>
        <w:sectPr w:rsidR="00646436" w:rsidRPr="00ED150A"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2B7FE99" w:rsidR="00775BFC" w:rsidRPr="00ED150A" w:rsidRDefault="00775BFC" w:rsidP="00ED150A">
      <w:r w:rsidRPr="00ED150A">
        <w:lastRenderedPageBreak/>
        <w:t>Resolución del Pleno del Instituto de Transparencia, Acceso a la Información Pública y Protección de Datos Personales del Estado de México y Municipios, con domicilio e</w:t>
      </w:r>
      <w:r w:rsidR="004D0573" w:rsidRPr="00ED150A">
        <w:t>n Metepec, Estado de México, de</w:t>
      </w:r>
      <w:r w:rsidR="00ED150A" w:rsidRPr="00ED150A">
        <w:t>l</w:t>
      </w:r>
      <w:r w:rsidR="004D0573" w:rsidRPr="00ED150A">
        <w:t xml:space="preserve"> </w:t>
      </w:r>
      <w:r w:rsidR="00A34760" w:rsidRPr="00ED150A">
        <w:rPr>
          <w:b/>
        </w:rPr>
        <w:t xml:space="preserve">nueve de abril </w:t>
      </w:r>
      <w:r w:rsidR="006E7E69" w:rsidRPr="00ED150A">
        <w:rPr>
          <w:b/>
        </w:rPr>
        <w:t>de dos mil veinticinco</w:t>
      </w:r>
      <w:r w:rsidRPr="00ED150A">
        <w:t>.</w:t>
      </w:r>
    </w:p>
    <w:p w14:paraId="0AF3AAC4" w14:textId="77777777" w:rsidR="00775BFC" w:rsidRPr="00ED150A" w:rsidRDefault="00775BFC" w:rsidP="00ED150A"/>
    <w:p w14:paraId="40EAE038" w14:textId="0910B963" w:rsidR="00775BFC" w:rsidRPr="00ED150A" w:rsidRDefault="00775BFC" w:rsidP="00ED150A">
      <w:r w:rsidRPr="00ED150A">
        <w:rPr>
          <w:b/>
        </w:rPr>
        <w:t xml:space="preserve">VISTO </w:t>
      </w:r>
      <w:r w:rsidRPr="00ED150A">
        <w:t xml:space="preserve">el expediente formado con motivo del Recurso de Revisión </w:t>
      </w:r>
      <w:r w:rsidR="006E7E69" w:rsidRPr="00ED150A">
        <w:rPr>
          <w:rFonts w:eastAsia="Calibri"/>
          <w:b/>
          <w:lang w:eastAsia="en-US"/>
        </w:rPr>
        <w:t>0</w:t>
      </w:r>
      <w:r w:rsidR="00523096" w:rsidRPr="00ED150A">
        <w:rPr>
          <w:rFonts w:eastAsia="Calibri"/>
          <w:b/>
          <w:lang w:eastAsia="en-US"/>
        </w:rPr>
        <w:t>2172</w:t>
      </w:r>
      <w:r w:rsidR="006E7E69" w:rsidRPr="00ED150A">
        <w:rPr>
          <w:rFonts w:eastAsia="Calibri"/>
          <w:b/>
          <w:lang w:eastAsia="en-US"/>
        </w:rPr>
        <w:t>/INFOEM/IP/RR/2025</w:t>
      </w:r>
      <w:r w:rsidRPr="00ED150A">
        <w:rPr>
          <w:rFonts w:eastAsia="Calibri"/>
          <w:lang w:eastAsia="en-US"/>
        </w:rPr>
        <w:t xml:space="preserve"> </w:t>
      </w:r>
      <w:r w:rsidRPr="00ED150A">
        <w:t xml:space="preserve">interpuesto por </w:t>
      </w:r>
      <w:bookmarkStart w:id="2" w:name="_GoBack"/>
      <w:r w:rsidR="00DC766D">
        <w:rPr>
          <w:rFonts w:eastAsia="Calibri"/>
          <w:b/>
          <w:lang w:eastAsia="en-US"/>
        </w:rPr>
        <w:t xml:space="preserve">XXXXX </w:t>
      </w:r>
      <w:proofErr w:type="spellStart"/>
      <w:r w:rsidR="00DC766D">
        <w:rPr>
          <w:rFonts w:eastAsia="Calibri"/>
          <w:b/>
          <w:lang w:eastAsia="en-US"/>
        </w:rPr>
        <w:t>XXXXX</w:t>
      </w:r>
      <w:proofErr w:type="spellEnd"/>
      <w:r w:rsidR="00DC766D">
        <w:rPr>
          <w:rFonts w:eastAsia="Calibri"/>
          <w:b/>
          <w:lang w:eastAsia="en-US"/>
        </w:rPr>
        <w:t xml:space="preserve"> XXXXXXXXX</w:t>
      </w:r>
      <w:bookmarkEnd w:id="2"/>
      <w:r w:rsidRPr="00ED150A">
        <w:rPr>
          <w:rFonts w:eastAsia="Calibri"/>
          <w:b/>
          <w:lang w:eastAsia="en-US"/>
        </w:rPr>
        <w:t>,</w:t>
      </w:r>
      <w:r w:rsidRPr="00ED150A">
        <w:t xml:space="preserve"> a quien en lo subsecuente se le denominará </w:t>
      </w:r>
      <w:r w:rsidRPr="00ED150A">
        <w:rPr>
          <w:b/>
          <w:bCs/>
        </w:rPr>
        <w:t>LA PARTE RECURRENTE</w:t>
      </w:r>
      <w:r w:rsidRPr="00ED150A">
        <w:t xml:space="preserve">, en contra de la </w:t>
      </w:r>
      <w:r w:rsidR="00773DD6" w:rsidRPr="00ED150A">
        <w:t xml:space="preserve">respuesta </w:t>
      </w:r>
      <w:r w:rsidR="00BA1AB6" w:rsidRPr="00ED150A">
        <w:t>de</w:t>
      </w:r>
      <w:r w:rsidR="005A5BF2" w:rsidRPr="00ED150A">
        <w:t>l</w:t>
      </w:r>
      <w:r w:rsidR="00773DD6" w:rsidRPr="00ED150A">
        <w:t xml:space="preserve"> </w:t>
      </w:r>
      <w:r w:rsidR="000611E4" w:rsidRPr="00ED150A">
        <w:rPr>
          <w:rFonts w:eastAsia="Calibri"/>
          <w:b/>
          <w:lang w:eastAsia="en-US"/>
        </w:rPr>
        <w:t xml:space="preserve">Ayuntamiento de </w:t>
      </w:r>
      <w:r w:rsidR="00523096" w:rsidRPr="00ED150A">
        <w:rPr>
          <w:rFonts w:eastAsia="Calibri"/>
          <w:b/>
          <w:lang w:eastAsia="en-US"/>
        </w:rPr>
        <w:t>Morelos</w:t>
      </w:r>
      <w:r w:rsidRPr="00ED150A">
        <w:rPr>
          <w:b/>
          <w:bCs/>
        </w:rPr>
        <w:t>,</w:t>
      </w:r>
      <w:r w:rsidRPr="00ED150A">
        <w:t xml:space="preserve"> en adelante </w:t>
      </w:r>
      <w:r w:rsidRPr="00ED150A">
        <w:rPr>
          <w:b/>
          <w:bCs/>
        </w:rPr>
        <w:t>EL SUJETO OBLIGADO</w:t>
      </w:r>
      <w:r w:rsidRPr="00ED150A">
        <w:rPr>
          <w:rFonts w:eastAsia="Calibri"/>
          <w:lang w:eastAsia="en-US"/>
        </w:rPr>
        <w:t xml:space="preserve">, </w:t>
      </w:r>
      <w:r w:rsidRPr="00ED150A">
        <w:t>se emite la presente Resolución con base en los Antecedentes y Considerandos que se exponen a continuación:</w:t>
      </w:r>
    </w:p>
    <w:p w14:paraId="2116968C" w14:textId="77777777" w:rsidR="00775BFC" w:rsidRPr="00ED150A" w:rsidRDefault="00775BFC" w:rsidP="00ED150A"/>
    <w:p w14:paraId="5A444FB6" w14:textId="639D3567" w:rsidR="00664420" w:rsidRPr="00ED150A" w:rsidRDefault="00664420" w:rsidP="00ED150A">
      <w:pPr>
        <w:pStyle w:val="Ttulo1"/>
      </w:pPr>
      <w:bookmarkStart w:id="3" w:name="_Toc195125450"/>
      <w:r w:rsidRPr="00ED150A">
        <w:t>ANTECEDENTES</w:t>
      </w:r>
      <w:bookmarkEnd w:id="3"/>
    </w:p>
    <w:p w14:paraId="5CB5034E" w14:textId="77777777" w:rsidR="00AC2DB8" w:rsidRPr="00ED150A" w:rsidRDefault="00AC2DB8" w:rsidP="00ED150A"/>
    <w:p w14:paraId="09B2D38F" w14:textId="6E49D146" w:rsidR="00664420" w:rsidRPr="00ED150A" w:rsidRDefault="00E37A3F" w:rsidP="00ED150A">
      <w:pPr>
        <w:pStyle w:val="Ttulo2"/>
      </w:pPr>
      <w:bookmarkStart w:id="4" w:name="_Toc195125451"/>
      <w:r w:rsidRPr="00ED150A">
        <w:t>DE LA SOLICITUD DE INFORMACIÓN</w:t>
      </w:r>
      <w:bookmarkEnd w:id="4"/>
    </w:p>
    <w:p w14:paraId="2C6AD1A5" w14:textId="0405B3CD" w:rsidR="00664420" w:rsidRPr="00ED150A" w:rsidRDefault="00E37A3F" w:rsidP="00ED150A">
      <w:pPr>
        <w:pStyle w:val="Ttulo3"/>
      </w:pPr>
      <w:bookmarkStart w:id="5" w:name="_Toc195125452"/>
      <w:r w:rsidRPr="00ED150A">
        <w:t xml:space="preserve">a) </w:t>
      </w:r>
      <w:r w:rsidR="006B10B0" w:rsidRPr="00ED150A">
        <w:t>S</w:t>
      </w:r>
      <w:r w:rsidR="00664420" w:rsidRPr="00ED150A">
        <w:t xml:space="preserve">olicitud de </w:t>
      </w:r>
      <w:r w:rsidR="006B10B0" w:rsidRPr="00ED150A">
        <w:t>i</w:t>
      </w:r>
      <w:r w:rsidR="00664420" w:rsidRPr="00ED150A">
        <w:t>nformación</w:t>
      </w:r>
      <w:bookmarkEnd w:id="5"/>
    </w:p>
    <w:p w14:paraId="6F73510B" w14:textId="7923935F" w:rsidR="000F32E8" w:rsidRPr="00ED150A" w:rsidRDefault="00B169A2" w:rsidP="00ED150A">
      <w:pPr>
        <w:pStyle w:val="Prrafodelista"/>
        <w:tabs>
          <w:tab w:val="left" w:pos="0"/>
        </w:tabs>
        <w:ind w:left="0"/>
        <w:contextualSpacing w:val="0"/>
        <w:rPr>
          <w:rFonts w:cs="Tahoma"/>
        </w:rPr>
      </w:pPr>
      <w:r w:rsidRPr="00ED150A">
        <w:rPr>
          <w:rFonts w:cs="Tahoma"/>
        </w:rPr>
        <w:t xml:space="preserve">El </w:t>
      </w:r>
      <w:r w:rsidR="00523096" w:rsidRPr="00ED150A">
        <w:rPr>
          <w:rFonts w:cs="Tahoma"/>
          <w:b/>
          <w:bCs/>
        </w:rPr>
        <w:t xml:space="preserve">dieciocho de febrero </w:t>
      </w:r>
      <w:r w:rsidR="006E7E69" w:rsidRPr="00ED150A">
        <w:rPr>
          <w:rFonts w:cs="Tahoma"/>
          <w:b/>
          <w:bCs/>
        </w:rPr>
        <w:t>de dos mil veinticinco</w:t>
      </w:r>
      <w:r w:rsidRPr="00ED150A">
        <w:rPr>
          <w:rFonts w:cs="Tahoma"/>
        </w:rPr>
        <w:t xml:space="preserve">, </w:t>
      </w:r>
      <w:r w:rsidRPr="00ED150A">
        <w:rPr>
          <w:b/>
          <w:bCs/>
        </w:rPr>
        <w:t>LA PARTE RECURRENTE</w:t>
      </w:r>
      <w:r w:rsidRPr="00ED150A">
        <w:rPr>
          <w:rFonts w:cs="Tahoma"/>
        </w:rPr>
        <w:t xml:space="preserve"> presentó una solicitud de acceso a la información pública ante el </w:t>
      </w:r>
      <w:r w:rsidRPr="00ED150A">
        <w:rPr>
          <w:rFonts w:cs="Tahoma"/>
          <w:b/>
          <w:bCs/>
        </w:rPr>
        <w:t>SUJETO OBLIGADO</w:t>
      </w:r>
      <w:r w:rsidRPr="00ED150A">
        <w:rPr>
          <w:rFonts w:cs="Tahoma"/>
        </w:rPr>
        <w:t xml:space="preserve">, a través </w:t>
      </w:r>
      <w:r w:rsidR="000F32E8" w:rsidRPr="00ED150A">
        <w:rPr>
          <w:rFonts w:cs="Tahoma"/>
        </w:rPr>
        <w:t>Sistema de Acceso a la Información Mexiquense (</w:t>
      </w:r>
      <w:r w:rsidR="000F32E8" w:rsidRPr="00ED150A">
        <w:rPr>
          <w:rFonts w:cs="Tahoma"/>
          <w:b/>
        </w:rPr>
        <w:t>SAIMEX</w:t>
      </w:r>
      <w:r w:rsidR="000F32E8" w:rsidRPr="00ED150A">
        <w:rPr>
          <w:rFonts w:cs="Tahoma"/>
        </w:rPr>
        <w:t xml:space="preserve">). </w:t>
      </w:r>
      <w:r w:rsidRPr="00ED150A">
        <w:rPr>
          <w:rFonts w:cs="Tahoma"/>
        </w:rPr>
        <w:t>Dicha solicitud quedó registrada con el número de folio</w:t>
      </w:r>
      <w:r w:rsidRPr="00ED150A">
        <w:rPr>
          <w:rFonts w:cs="Tahoma"/>
          <w:b/>
          <w:bCs/>
        </w:rPr>
        <w:t xml:space="preserve"> </w:t>
      </w:r>
      <w:r w:rsidR="00523096" w:rsidRPr="00ED150A">
        <w:rPr>
          <w:rFonts w:cs="Tahoma"/>
          <w:b/>
        </w:rPr>
        <w:t>00070/MORELOS/IP/2025</w:t>
      </w:r>
      <w:r w:rsidR="00523096" w:rsidRPr="00ED150A">
        <w:rPr>
          <w:rFonts w:ascii="Verdana" w:hAnsi="Verdana"/>
          <w:b/>
          <w:bCs/>
        </w:rPr>
        <w:t xml:space="preserve"> </w:t>
      </w:r>
      <w:r w:rsidRPr="00ED150A">
        <w:rPr>
          <w:rFonts w:cs="Tahoma"/>
        </w:rPr>
        <w:t>y en ella se requirió la siguiente información:</w:t>
      </w:r>
    </w:p>
    <w:p w14:paraId="0459D6AC" w14:textId="77777777" w:rsidR="00664420" w:rsidRPr="00ED150A" w:rsidRDefault="00664420" w:rsidP="00ED150A">
      <w:pPr>
        <w:tabs>
          <w:tab w:val="left" w:pos="4667"/>
        </w:tabs>
        <w:ind w:left="567" w:right="567"/>
        <w:rPr>
          <w:rFonts w:cs="Tahoma"/>
          <w:b/>
          <w:bCs/>
        </w:rPr>
      </w:pPr>
    </w:p>
    <w:p w14:paraId="64B27DE3" w14:textId="71AE453A" w:rsidR="00664420" w:rsidRPr="00ED150A" w:rsidRDefault="002B1D44" w:rsidP="00ED150A">
      <w:pPr>
        <w:pStyle w:val="Puesto"/>
      </w:pPr>
      <w:r w:rsidRPr="00ED150A">
        <w:t>“</w:t>
      </w:r>
      <w:r w:rsidR="00523096" w:rsidRPr="00ED150A">
        <w:t>SOLICITO EL PROGRAMA ANUAL DE OBRAS 2025</w:t>
      </w:r>
      <w:r w:rsidRPr="00ED150A">
        <w:t>”</w:t>
      </w:r>
      <w:r w:rsidR="00BA1AB6" w:rsidRPr="00ED150A">
        <w:t xml:space="preserve"> (sic)</w:t>
      </w:r>
    </w:p>
    <w:p w14:paraId="07B1E1B5" w14:textId="77777777" w:rsidR="004D0573" w:rsidRPr="00ED150A" w:rsidRDefault="004D0573" w:rsidP="00ED150A">
      <w:pPr>
        <w:pStyle w:val="Puesto"/>
      </w:pPr>
    </w:p>
    <w:p w14:paraId="0BD6321D" w14:textId="5D8567EA" w:rsidR="00664420" w:rsidRPr="00ED150A" w:rsidRDefault="009A2D78" w:rsidP="00ED150A">
      <w:pPr>
        <w:tabs>
          <w:tab w:val="left" w:pos="4667"/>
        </w:tabs>
        <w:ind w:left="567" w:right="567"/>
        <w:rPr>
          <w:rFonts w:cs="Tahoma"/>
          <w:bCs/>
          <w:szCs w:val="22"/>
        </w:rPr>
      </w:pPr>
      <w:r w:rsidRPr="00ED150A">
        <w:rPr>
          <w:rFonts w:cs="Tahoma"/>
          <w:b/>
          <w:bCs/>
          <w:szCs w:val="22"/>
        </w:rPr>
        <w:t>Modalidad de entrega</w:t>
      </w:r>
      <w:r w:rsidRPr="00ED150A">
        <w:rPr>
          <w:rFonts w:cs="Tahoma"/>
          <w:bCs/>
          <w:szCs w:val="22"/>
        </w:rPr>
        <w:t>: a</w:t>
      </w:r>
      <w:r w:rsidR="00664420" w:rsidRPr="00ED150A">
        <w:rPr>
          <w:rFonts w:cs="Tahoma"/>
          <w:bCs/>
          <w:i/>
          <w:szCs w:val="22"/>
        </w:rPr>
        <w:t xml:space="preserve"> través del </w:t>
      </w:r>
      <w:r w:rsidR="00664420" w:rsidRPr="00ED150A">
        <w:rPr>
          <w:rFonts w:cs="Tahoma"/>
          <w:b/>
          <w:bCs/>
          <w:i/>
          <w:szCs w:val="22"/>
        </w:rPr>
        <w:t>SAIMEX</w:t>
      </w:r>
      <w:r w:rsidRPr="00ED150A">
        <w:rPr>
          <w:rFonts w:cs="Tahoma"/>
          <w:bCs/>
          <w:i/>
          <w:szCs w:val="22"/>
        </w:rPr>
        <w:t>.</w:t>
      </w:r>
    </w:p>
    <w:p w14:paraId="334D2860" w14:textId="77777777" w:rsidR="00664420" w:rsidRPr="00ED150A" w:rsidRDefault="00664420" w:rsidP="00ED150A">
      <w:pPr>
        <w:autoSpaceDE w:val="0"/>
        <w:autoSpaceDN w:val="0"/>
        <w:adjustRightInd w:val="0"/>
        <w:ind w:right="-28"/>
        <w:rPr>
          <w:rFonts w:cs="Tahoma"/>
          <w:bCs/>
          <w:i/>
          <w:szCs w:val="22"/>
        </w:rPr>
      </w:pPr>
    </w:p>
    <w:p w14:paraId="4548A1A3" w14:textId="77777777" w:rsidR="000611E4" w:rsidRPr="00ED150A" w:rsidRDefault="000611E4" w:rsidP="00ED150A">
      <w:pPr>
        <w:pStyle w:val="Ttulo3"/>
      </w:pPr>
      <w:bookmarkStart w:id="6" w:name="_Toc192675139"/>
      <w:bookmarkStart w:id="7" w:name="_Toc195125453"/>
      <w:r w:rsidRPr="00ED150A">
        <w:t>b) Turno de la solicitud de información</w:t>
      </w:r>
      <w:bookmarkEnd w:id="6"/>
      <w:bookmarkEnd w:id="7"/>
    </w:p>
    <w:p w14:paraId="0E6DCFF9" w14:textId="486DD729" w:rsidR="000611E4" w:rsidRPr="00ED150A" w:rsidRDefault="000611E4" w:rsidP="00ED150A">
      <w:r w:rsidRPr="00ED150A">
        <w:t xml:space="preserve">En cumplimiento al artículo 162 de la Ley de Transparencia y Acceso a la Información Pública del Estado de México y Municipios, el </w:t>
      </w:r>
      <w:r w:rsidR="00523096" w:rsidRPr="00ED150A">
        <w:rPr>
          <w:rFonts w:eastAsia="Palatino Linotype" w:cs="Palatino Linotype"/>
          <w:b/>
        </w:rPr>
        <w:t xml:space="preserve">veintiuno de febrero </w:t>
      </w:r>
      <w:r w:rsidRPr="00ED150A">
        <w:rPr>
          <w:rFonts w:eastAsia="Palatino Linotype" w:cs="Palatino Linotype"/>
          <w:b/>
        </w:rPr>
        <w:t>de dos mil veinticinco</w:t>
      </w:r>
      <w:r w:rsidRPr="00ED150A">
        <w:t xml:space="preserve">, el Titular </w:t>
      </w:r>
      <w:r w:rsidRPr="00ED150A">
        <w:lastRenderedPageBreak/>
        <w:t xml:space="preserve">de la Unidad de Transparencia del </w:t>
      </w:r>
      <w:r w:rsidRPr="00ED150A">
        <w:rPr>
          <w:b/>
        </w:rPr>
        <w:t>SUJETO OBLIGADO</w:t>
      </w:r>
      <w:r w:rsidRPr="00ED150A">
        <w:t xml:space="preserve"> turnó la solicitud de información al servidor público habilitado que estimó pertinente.</w:t>
      </w:r>
    </w:p>
    <w:p w14:paraId="507CAA2F" w14:textId="77777777" w:rsidR="0086345C" w:rsidRPr="00ED150A" w:rsidRDefault="0086345C" w:rsidP="00ED150A">
      <w:pPr>
        <w:autoSpaceDE w:val="0"/>
        <w:autoSpaceDN w:val="0"/>
        <w:adjustRightInd w:val="0"/>
        <w:ind w:right="-28"/>
        <w:rPr>
          <w:rFonts w:cs="Tahoma"/>
          <w:bCs/>
          <w:i/>
          <w:szCs w:val="22"/>
        </w:rPr>
      </w:pPr>
    </w:p>
    <w:p w14:paraId="3212BA4D" w14:textId="4128A4FF" w:rsidR="00664420" w:rsidRPr="00ED150A" w:rsidRDefault="000611E4" w:rsidP="00ED150A">
      <w:pPr>
        <w:pStyle w:val="Ttulo3"/>
      </w:pPr>
      <w:bookmarkStart w:id="8" w:name="_Toc172051801"/>
      <w:bookmarkStart w:id="9" w:name="_Toc175061278"/>
      <w:bookmarkStart w:id="10" w:name="_Toc178097684"/>
      <w:bookmarkStart w:id="11" w:name="_Toc179360992"/>
      <w:bookmarkStart w:id="12" w:name="_Toc192607670"/>
      <w:bookmarkStart w:id="13" w:name="_Toc195125454"/>
      <w:r w:rsidRPr="00ED150A">
        <w:rPr>
          <w:lang w:val="es-ES"/>
        </w:rPr>
        <w:t xml:space="preserve">c) </w:t>
      </w:r>
      <w:bookmarkEnd w:id="8"/>
      <w:bookmarkEnd w:id="9"/>
      <w:bookmarkEnd w:id="10"/>
      <w:bookmarkEnd w:id="11"/>
      <w:bookmarkEnd w:id="12"/>
      <w:r w:rsidR="00664420" w:rsidRPr="00ED150A">
        <w:rPr>
          <w:lang w:val="es-ES"/>
        </w:rPr>
        <w:t xml:space="preserve">Respuesta </w:t>
      </w:r>
      <w:r w:rsidR="00664420" w:rsidRPr="00ED150A">
        <w:rPr>
          <w:rFonts w:eastAsia="Calibri"/>
          <w:lang w:eastAsia="en-US"/>
        </w:rPr>
        <w:t>del Sujeto Obligado</w:t>
      </w:r>
      <w:bookmarkEnd w:id="13"/>
    </w:p>
    <w:p w14:paraId="2143017E" w14:textId="12325DFD" w:rsidR="00BA1AB6" w:rsidRPr="00ED150A" w:rsidRDefault="003B0255" w:rsidP="00ED150A">
      <w:pPr>
        <w:rPr>
          <w:lang w:val="es-ES"/>
        </w:rPr>
      </w:pPr>
      <w:r w:rsidRPr="00ED150A">
        <w:rPr>
          <w:lang w:val="es-ES"/>
        </w:rPr>
        <w:t xml:space="preserve">El </w:t>
      </w:r>
      <w:r w:rsidR="00523096" w:rsidRPr="00ED150A">
        <w:rPr>
          <w:b/>
          <w:bCs/>
          <w:lang w:val="es-ES"/>
        </w:rPr>
        <w:t xml:space="preserve">veinticinco </w:t>
      </w:r>
      <w:r w:rsidR="009176E8" w:rsidRPr="00ED150A">
        <w:rPr>
          <w:b/>
          <w:bCs/>
          <w:lang w:val="es-ES"/>
        </w:rPr>
        <w:t xml:space="preserve">de </w:t>
      </w:r>
      <w:r w:rsidR="001D0BF3" w:rsidRPr="00ED150A">
        <w:rPr>
          <w:b/>
          <w:bCs/>
          <w:lang w:val="es-ES"/>
        </w:rPr>
        <w:t xml:space="preserve">febrero </w:t>
      </w:r>
      <w:r w:rsidRPr="00ED150A">
        <w:rPr>
          <w:b/>
          <w:bCs/>
          <w:lang w:val="es-ES"/>
        </w:rPr>
        <w:t>de dos mil veintic</w:t>
      </w:r>
      <w:r w:rsidR="006E7E69" w:rsidRPr="00ED150A">
        <w:rPr>
          <w:b/>
          <w:bCs/>
          <w:lang w:val="es-ES"/>
        </w:rPr>
        <w:t>inco</w:t>
      </w:r>
      <w:r w:rsidRPr="00ED150A">
        <w:rPr>
          <w:lang w:val="es-ES"/>
        </w:rPr>
        <w:t xml:space="preserve">, el Titular de la Unidad de Transparencia del </w:t>
      </w:r>
      <w:r w:rsidRPr="00ED150A">
        <w:rPr>
          <w:b/>
          <w:lang w:val="es-ES"/>
        </w:rPr>
        <w:t>SUJETO OBLIGADO</w:t>
      </w:r>
      <w:r w:rsidRPr="00ED150A">
        <w:rPr>
          <w:lang w:val="es-ES"/>
        </w:rPr>
        <w:t xml:space="preserve"> notificó la siguiente respuesta a través del </w:t>
      </w:r>
      <w:r w:rsidRPr="00ED150A">
        <w:rPr>
          <w:b/>
          <w:lang w:val="es-ES"/>
        </w:rPr>
        <w:t>SAIMEX</w:t>
      </w:r>
      <w:r w:rsidRPr="00ED150A">
        <w:rPr>
          <w:lang w:val="es-ES"/>
        </w:rPr>
        <w:t>:</w:t>
      </w:r>
    </w:p>
    <w:p w14:paraId="64166B4B" w14:textId="77777777" w:rsidR="003B0255" w:rsidRPr="00ED150A" w:rsidRDefault="003B0255" w:rsidP="00ED150A"/>
    <w:p w14:paraId="236EDA57" w14:textId="77777777" w:rsidR="00523096" w:rsidRPr="00ED150A" w:rsidRDefault="003B0255" w:rsidP="00ED150A">
      <w:pPr>
        <w:pStyle w:val="Puesto"/>
      </w:pPr>
      <w:r w:rsidRPr="00ED150A">
        <w:t>“</w:t>
      </w:r>
      <w:r w:rsidR="00523096" w:rsidRPr="00ED150A">
        <w:t>En respuesta a la solicitud recibida, nos permitimos hacer de su conocimiento que con fundamento en el artículo 53, Fracciones: II, V y VI de la Ley de Transparencia y Acceso a la Información Pública del Estado de México y Municipios, le contestamos que:</w:t>
      </w:r>
    </w:p>
    <w:p w14:paraId="63C2224A" w14:textId="77777777" w:rsidR="00523096" w:rsidRPr="00ED150A" w:rsidRDefault="00523096" w:rsidP="00ED150A"/>
    <w:p w14:paraId="6EBB0DF3" w14:textId="77777777" w:rsidR="00523096" w:rsidRPr="00ED150A" w:rsidRDefault="00523096" w:rsidP="00ED150A">
      <w:pPr>
        <w:pStyle w:val="Puesto"/>
      </w:pPr>
      <w:r w:rsidRPr="00ED150A">
        <w:t>A QUIEN CORRESPONDA P R E S E N T E: Por medio del presente envió un saludo y al mismo tiempo conforme a lo establecido en los artículos 4, 12, 16, 19, 23 fracción IV, 24 fracción XI y último párrafo de la Ley de Transparencia y Acceso a la Información Pública del Estado de México y Municipios, en el sentido de dar respuesta a la solicitud de información No. 00070/MORELOS/IP/2025, recibida por esta dependencia a través del Sistema de Acceso a la Información Mexiquense (SAIMEX), con fecha de 18 de febrero de 2025, dirigida al Ayuntamiento de Morelos, Estado de México como sujeto Obligado de la Ley de Transparencia y Acceso a la Información Pública del Estado de México y Municipios, haciéndolo de la siguiente forma: Usted realizo la petición consistente en: “SOLICITO EL PROGRAMA ANUAL DE OBRAS 2025”; En base a lo anterior y conforme al artículo 152 de la Ley de Transparencia y Acceso a la Información Pública del Estado de México y Municipios, se turnó al Sujeto Habilitado Director de Obras Públicas y Desarrollo Urbano de Morelos, Estado de México, de lo cual mediante oficio signado OPDU/MOR/270/02/2025/INT remite así su contestación, la cual se adjunta con el presente oficio en formato PDF. No omito hacer de su conocimiento que podrá interponer por si o a través de su representante, el recurso de revisión previsto por los artículos 176, 179, 178 y 180 de la Ley de Transparencia y Acceso a la Información Pública del Estado de México y Municipios, ante este Sujeto Obligado. Sin más por el momento me despido de usted.</w:t>
      </w:r>
    </w:p>
    <w:p w14:paraId="29AA61A7" w14:textId="77777777" w:rsidR="00523096" w:rsidRPr="00ED150A" w:rsidRDefault="00523096" w:rsidP="00ED150A"/>
    <w:p w14:paraId="19131505" w14:textId="77777777" w:rsidR="00523096" w:rsidRPr="00ED150A" w:rsidRDefault="00523096" w:rsidP="00ED150A">
      <w:pPr>
        <w:pStyle w:val="Puesto"/>
      </w:pPr>
      <w:r w:rsidRPr="00ED150A">
        <w:t>ATENTAMENTE</w:t>
      </w:r>
    </w:p>
    <w:p w14:paraId="0871054F" w14:textId="77777777" w:rsidR="00523096" w:rsidRPr="00ED150A" w:rsidRDefault="00523096" w:rsidP="00ED150A"/>
    <w:p w14:paraId="4A08B1BE" w14:textId="0C1A3078" w:rsidR="003B0255" w:rsidRPr="00ED150A" w:rsidRDefault="00523096" w:rsidP="00ED150A">
      <w:pPr>
        <w:pStyle w:val="Puesto"/>
      </w:pPr>
      <w:r w:rsidRPr="00ED150A">
        <w:lastRenderedPageBreak/>
        <w:t>VICENTE MONROY GARCIA</w:t>
      </w:r>
      <w:r w:rsidR="003B0255" w:rsidRPr="00ED150A">
        <w:t>” (sic)</w:t>
      </w:r>
    </w:p>
    <w:p w14:paraId="4B1F18A0" w14:textId="77777777" w:rsidR="003B0255" w:rsidRPr="00ED150A" w:rsidRDefault="003B0255" w:rsidP="00ED150A"/>
    <w:p w14:paraId="204D2DCC" w14:textId="29474477" w:rsidR="00523096" w:rsidRPr="00ED150A" w:rsidRDefault="003B0255" w:rsidP="00ED150A">
      <w:pPr>
        <w:autoSpaceDE w:val="0"/>
        <w:autoSpaceDN w:val="0"/>
        <w:adjustRightInd w:val="0"/>
        <w:ind w:right="-28"/>
        <w:rPr>
          <w:rFonts w:cs="Tahoma"/>
          <w:szCs w:val="22"/>
          <w:lang w:val="es-ES"/>
        </w:rPr>
      </w:pPr>
      <w:r w:rsidRPr="00ED150A">
        <w:rPr>
          <w:rFonts w:cs="Tahoma"/>
          <w:bCs/>
          <w:szCs w:val="22"/>
          <w:lang w:val="es-ES"/>
        </w:rPr>
        <w:t xml:space="preserve">Asimismo, </w:t>
      </w:r>
      <w:r w:rsidRPr="00ED150A">
        <w:rPr>
          <w:rFonts w:cs="Tahoma"/>
          <w:b/>
          <w:szCs w:val="22"/>
          <w:lang w:val="es-ES"/>
        </w:rPr>
        <w:t xml:space="preserve">EL SUJETO OBLIGADO </w:t>
      </w:r>
      <w:r w:rsidRPr="00ED150A">
        <w:rPr>
          <w:rFonts w:cs="Tahoma"/>
          <w:bCs/>
          <w:szCs w:val="22"/>
          <w:lang w:val="es-ES"/>
        </w:rPr>
        <w:t xml:space="preserve">adjuntó a su respuesta </w:t>
      </w:r>
      <w:r w:rsidR="00A048C7" w:rsidRPr="00ED150A">
        <w:rPr>
          <w:rFonts w:cs="Tahoma"/>
          <w:bCs/>
          <w:szCs w:val="22"/>
          <w:lang w:val="es-ES"/>
        </w:rPr>
        <w:t>el</w:t>
      </w:r>
      <w:r w:rsidR="009176E8" w:rsidRPr="00ED150A">
        <w:rPr>
          <w:rFonts w:cs="Tahoma"/>
          <w:bCs/>
          <w:szCs w:val="22"/>
          <w:lang w:val="es-ES"/>
        </w:rPr>
        <w:t xml:space="preserve"> </w:t>
      </w:r>
      <w:r w:rsidR="005A5BF2" w:rsidRPr="00ED150A">
        <w:rPr>
          <w:rFonts w:cs="Tahoma"/>
          <w:bCs/>
          <w:szCs w:val="22"/>
          <w:lang w:val="es-ES"/>
        </w:rPr>
        <w:t>archivo electrónico</w:t>
      </w:r>
      <w:r w:rsidR="00A048C7" w:rsidRPr="00ED150A">
        <w:rPr>
          <w:rFonts w:cs="Tahoma"/>
          <w:bCs/>
          <w:szCs w:val="22"/>
          <w:lang w:val="es-ES"/>
        </w:rPr>
        <w:t xml:space="preserve"> denominado </w:t>
      </w:r>
      <w:r w:rsidR="00523096" w:rsidRPr="00ED150A">
        <w:rPr>
          <w:rFonts w:cs="Tahoma"/>
          <w:b/>
          <w:i/>
          <w:szCs w:val="22"/>
          <w:lang w:val="es-ES"/>
        </w:rPr>
        <w:t xml:space="preserve">Respuesta Solicitud 70.pdf, </w:t>
      </w:r>
      <w:r w:rsidR="00523096" w:rsidRPr="00ED150A">
        <w:rPr>
          <w:rFonts w:cs="Tahoma"/>
          <w:szCs w:val="22"/>
          <w:lang w:val="es-ES"/>
        </w:rPr>
        <w:t xml:space="preserve">el cual contiene los siguientes documentos: </w:t>
      </w:r>
    </w:p>
    <w:p w14:paraId="2E1A5C1A" w14:textId="77777777" w:rsidR="00523096" w:rsidRPr="00ED150A" w:rsidRDefault="00523096" w:rsidP="00ED150A">
      <w:pPr>
        <w:autoSpaceDE w:val="0"/>
        <w:autoSpaceDN w:val="0"/>
        <w:adjustRightInd w:val="0"/>
        <w:ind w:right="-28"/>
        <w:rPr>
          <w:rFonts w:cs="Tahoma"/>
          <w:szCs w:val="22"/>
          <w:lang w:val="es-ES"/>
        </w:rPr>
      </w:pPr>
    </w:p>
    <w:p w14:paraId="2BCE8230" w14:textId="0AB8EAA6" w:rsidR="00A34760" w:rsidRPr="00ED150A" w:rsidRDefault="00523096" w:rsidP="00ED150A">
      <w:pPr>
        <w:pStyle w:val="Prrafodelista"/>
        <w:numPr>
          <w:ilvl w:val="0"/>
          <w:numId w:val="46"/>
        </w:numPr>
        <w:autoSpaceDE w:val="0"/>
        <w:autoSpaceDN w:val="0"/>
        <w:adjustRightInd w:val="0"/>
        <w:ind w:right="-28"/>
        <w:rPr>
          <w:rFonts w:cs="Tahoma"/>
          <w:szCs w:val="22"/>
          <w:lang w:val="es-ES"/>
        </w:rPr>
      </w:pPr>
      <w:r w:rsidRPr="00ED150A">
        <w:rPr>
          <w:rFonts w:cs="Tahoma"/>
          <w:bCs/>
          <w:szCs w:val="22"/>
          <w:lang w:val="es-ES"/>
        </w:rPr>
        <w:t>Oficio número UT/135/II/2025 del veinticinco de febrero de dos mil veinticinco, por medio del cual el Titular de la Unidad de Transparencia, refiere remitir contestación del servidor público habilitado de la Dirección de Obras Públicas y Desarrollo Urbano</w:t>
      </w:r>
      <w:r w:rsidR="00A34760" w:rsidRPr="00ED150A">
        <w:rPr>
          <w:rFonts w:cs="Tahoma"/>
          <w:szCs w:val="22"/>
          <w:lang w:val="es-ES"/>
        </w:rPr>
        <w:t xml:space="preserve">. </w:t>
      </w:r>
    </w:p>
    <w:p w14:paraId="730E8A04" w14:textId="5F800F13" w:rsidR="00523096" w:rsidRPr="00ED150A" w:rsidRDefault="00523096" w:rsidP="00ED150A">
      <w:pPr>
        <w:pStyle w:val="Prrafodelista"/>
        <w:numPr>
          <w:ilvl w:val="0"/>
          <w:numId w:val="46"/>
        </w:numPr>
        <w:autoSpaceDE w:val="0"/>
        <w:autoSpaceDN w:val="0"/>
        <w:adjustRightInd w:val="0"/>
        <w:ind w:right="-28"/>
        <w:rPr>
          <w:rFonts w:cs="Tahoma"/>
          <w:szCs w:val="22"/>
          <w:lang w:val="es-ES"/>
        </w:rPr>
      </w:pPr>
      <w:r w:rsidRPr="00ED150A">
        <w:rPr>
          <w:rFonts w:cs="Tahoma"/>
          <w:szCs w:val="22"/>
          <w:lang w:val="es-ES"/>
        </w:rPr>
        <w:t xml:space="preserve">Oficio número OPDU/MOR/270/02/2025/INT del veinticinco de febrero de dos mil veinticinco, por medio del cual el Director </w:t>
      </w:r>
      <w:r w:rsidR="00A811BA" w:rsidRPr="00ED150A">
        <w:rPr>
          <w:rFonts w:cs="Tahoma"/>
          <w:szCs w:val="22"/>
          <w:lang w:val="es-ES"/>
        </w:rPr>
        <w:t>de Obras Públicas</w:t>
      </w:r>
      <w:r w:rsidR="008C2101" w:rsidRPr="00ED150A">
        <w:rPr>
          <w:rFonts w:cs="Tahoma"/>
          <w:szCs w:val="22"/>
          <w:lang w:val="es-ES"/>
        </w:rPr>
        <w:t xml:space="preserve"> refiere que a{un no se cuenta con el Programa Anual de Obra autorizado para el año 2025, teniendo como fecha límite el veinticinco de febrero del presente año, de acuerdo con el OSFEM.</w:t>
      </w:r>
    </w:p>
    <w:p w14:paraId="6A506827" w14:textId="77777777" w:rsidR="00A34760" w:rsidRPr="00ED150A" w:rsidRDefault="00A34760" w:rsidP="00ED150A">
      <w:pPr>
        <w:autoSpaceDE w:val="0"/>
        <w:autoSpaceDN w:val="0"/>
        <w:adjustRightInd w:val="0"/>
        <w:ind w:right="-28"/>
        <w:rPr>
          <w:rFonts w:cs="Tahoma"/>
          <w:szCs w:val="22"/>
          <w:lang w:val="es-ES"/>
        </w:rPr>
      </w:pPr>
    </w:p>
    <w:p w14:paraId="0F24A322" w14:textId="7F9E5F9A" w:rsidR="00B137E8" w:rsidRPr="00ED150A" w:rsidRDefault="00B137E8" w:rsidP="00ED150A">
      <w:pPr>
        <w:pStyle w:val="Ttulo2"/>
        <w:jc w:val="left"/>
      </w:pPr>
      <w:bookmarkStart w:id="14" w:name="_Toc171527280"/>
      <w:bookmarkStart w:id="15" w:name="_Toc195125455"/>
      <w:r w:rsidRPr="00ED150A">
        <w:t>DEL RECURSO DE REVISIÓN</w:t>
      </w:r>
      <w:bookmarkEnd w:id="14"/>
      <w:bookmarkEnd w:id="15"/>
    </w:p>
    <w:p w14:paraId="2B216813" w14:textId="61ADBB2B" w:rsidR="00664420" w:rsidRPr="00ED150A" w:rsidRDefault="006E25BC" w:rsidP="00ED150A">
      <w:pPr>
        <w:pStyle w:val="Ttulo3"/>
      </w:pPr>
      <w:bookmarkStart w:id="16" w:name="_Toc195125456"/>
      <w:r w:rsidRPr="00ED150A">
        <w:rPr>
          <w:szCs w:val="32"/>
        </w:rPr>
        <w:t>a)</w:t>
      </w:r>
      <w:r w:rsidRPr="00ED150A">
        <w:t xml:space="preserve"> </w:t>
      </w:r>
      <w:r w:rsidR="00664420" w:rsidRPr="00ED150A">
        <w:t>Interposición del Recurso de Revisión</w:t>
      </w:r>
      <w:bookmarkEnd w:id="16"/>
    </w:p>
    <w:p w14:paraId="6279C622" w14:textId="54C87666" w:rsidR="00664420" w:rsidRPr="00ED150A" w:rsidRDefault="00664420" w:rsidP="00ED150A">
      <w:pPr>
        <w:autoSpaceDE w:val="0"/>
        <w:autoSpaceDN w:val="0"/>
        <w:adjustRightInd w:val="0"/>
        <w:ind w:right="-28"/>
        <w:rPr>
          <w:rFonts w:cs="Tahoma"/>
          <w:szCs w:val="22"/>
        </w:rPr>
      </w:pPr>
      <w:r w:rsidRPr="00ED150A">
        <w:rPr>
          <w:rFonts w:cs="Tahoma"/>
          <w:szCs w:val="22"/>
        </w:rPr>
        <w:t xml:space="preserve">El </w:t>
      </w:r>
      <w:r w:rsidR="008C2101" w:rsidRPr="00ED150A">
        <w:rPr>
          <w:rFonts w:cs="Tahoma"/>
          <w:b/>
          <w:bCs/>
          <w:szCs w:val="22"/>
        </w:rPr>
        <w:t xml:space="preserve">veintisiete </w:t>
      </w:r>
      <w:r w:rsidR="00A048C7" w:rsidRPr="00ED150A">
        <w:rPr>
          <w:rFonts w:cs="Tahoma"/>
          <w:b/>
          <w:bCs/>
          <w:szCs w:val="22"/>
        </w:rPr>
        <w:t xml:space="preserve">de </w:t>
      </w:r>
      <w:r w:rsidR="00B373AF" w:rsidRPr="00ED150A">
        <w:rPr>
          <w:rFonts w:cs="Tahoma"/>
          <w:b/>
          <w:bCs/>
          <w:szCs w:val="22"/>
        </w:rPr>
        <w:t xml:space="preserve">febrero </w:t>
      </w:r>
      <w:r w:rsidR="00475FF6" w:rsidRPr="00ED150A">
        <w:rPr>
          <w:rFonts w:cs="Tahoma"/>
          <w:b/>
          <w:bCs/>
          <w:szCs w:val="22"/>
        </w:rPr>
        <w:t xml:space="preserve">de </w:t>
      </w:r>
      <w:r w:rsidRPr="00ED150A">
        <w:rPr>
          <w:rFonts w:cs="Tahoma"/>
          <w:b/>
          <w:bCs/>
          <w:szCs w:val="22"/>
        </w:rPr>
        <w:t>dos mil</w:t>
      </w:r>
      <w:r w:rsidR="00F45902" w:rsidRPr="00ED150A">
        <w:rPr>
          <w:rFonts w:cs="Tahoma"/>
          <w:b/>
          <w:bCs/>
          <w:szCs w:val="22"/>
        </w:rPr>
        <w:t xml:space="preserve"> veintic</w:t>
      </w:r>
      <w:r w:rsidR="006E7E69" w:rsidRPr="00ED150A">
        <w:rPr>
          <w:rFonts w:cs="Tahoma"/>
          <w:b/>
          <w:bCs/>
          <w:szCs w:val="22"/>
        </w:rPr>
        <w:t>inco</w:t>
      </w:r>
      <w:r w:rsidR="00A048C7" w:rsidRPr="00ED150A">
        <w:rPr>
          <w:rStyle w:val="Refdenotaalpie"/>
          <w:rFonts w:cs="Tahoma"/>
          <w:b/>
          <w:bCs/>
          <w:szCs w:val="22"/>
        </w:rPr>
        <w:footnoteReference w:id="1"/>
      </w:r>
      <w:r w:rsidRPr="00ED150A">
        <w:rPr>
          <w:rFonts w:cs="Tahoma"/>
          <w:szCs w:val="22"/>
        </w:rPr>
        <w:t xml:space="preserve"> </w:t>
      </w:r>
      <w:r w:rsidR="00F75D23" w:rsidRPr="00ED150A">
        <w:rPr>
          <w:rFonts w:cs="Tahoma"/>
          <w:b/>
          <w:bCs/>
          <w:szCs w:val="22"/>
        </w:rPr>
        <w:t>LA PARTE RECURRENTE</w:t>
      </w:r>
      <w:r w:rsidR="00F75D23" w:rsidRPr="00ED150A">
        <w:rPr>
          <w:rFonts w:cs="Tahoma"/>
          <w:szCs w:val="22"/>
        </w:rPr>
        <w:t xml:space="preserve"> interpuso el recurso de revisión en contra de la respuesta emitida por el </w:t>
      </w:r>
      <w:r w:rsidR="00F75D23" w:rsidRPr="00ED150A">
        <w:rPr>
          <w:rFonts w:cs="Tahoma"/>
          <w:b/>
          <w:bCs/>
          <w:szCs w:val="22"/>
        </w:rPr>
        <w:t>SUJETO OBLIGADO</w:t>
      </w:r>
      <w:r w:rsidR="00953430" w:rsidRPr="00ED150A">
        <w:rPr>
          <w:rFonts w:cs="Tahoma"/>
          <w:szCs w:val="22"/>
        </w:rPr>
        <w:t xml:space="preserve">, mismo que fue registrado en el </w:t>
      </w:r>
      <w:r w:rsidR="00953430" w:rsidRPr="00ED150A">
        <w:rPr>
          <w:rFonts w:cs="Tahoma"/>
          <w:b/>
          <w:szCs w:val="22"/>
        </w:rPr>
        <w:t>SAIMEX</w:t>
      </w:r>
      <w:r w:rsidR="00953430" w:rsidRPr="00ED150A">
        <w:rPr>
          <w:rFonts w:cs="Tahoma"/>
          <w:szCs w:val="22"/>
        </w:rPr>
        <w:t xml:space="preserve"> con el número de expediente </w:t>
      </w:r>
      <w:r w:rsidR="006E7E69" w:rsidRPr="00ED150A">
        <w:rPr>
          <w:rFonts w:cs="Tahoma"/>
          <w:b/>
          <w:bCs/>
          <w:szCs w:val="22"/>
        </w:rPr>
        <w:t>0</w:t>
      </w:r>
      <w:r w:rsidR="008C2101" w:rsidRPr="00ED150A">
        <w:rPr>
          <w:rFonts w:cs="Tahoma"/>
          <w:b/>
          <w:bCs/>
          <w:szCs w:val="22"/>
        </w:rPr>
        <w:t>2172</w:t>
      </w:r>
      <w:r w:rsidR="006E7E69" w:rsidRPr="00ED150A">
        <w:rPr>
          <w:rFonts w:cs="Tahoma"/>
          <w:b/>
          <w:bCs/>
          <w:szCs w:val="22"/>
        </w:rPr>
        <w:t>/INFOEM/IP/RR/2025</w:t>
      </w:r>
      <w:r w:rsidR="00953430" w:rsidRPr="00ED150A">
        <w:rPr>
          <w:rFonts w:cs="Tahoma"/>
          <w:szCs w:val="22"/>
        </w:rPr>
        <w:t>, y en el cual manifiesta lo siguiente</w:t>
      </w:r>
      <w:r w:rsidRPr="00ED150A">
        <w:rPr>
          <w:rFonts w:cs="Tahoma"/>
          <w:szCs w:val="22"/>
        </w:rPr>
        <w:t>:</w:t>
      </w:r>
    </w:p>
    <w:p w14:paraId="74B30008" w14:textId="77777777" w:rsidR="00664420" w:rsidRPr="00ED150A" w:rsidRDefault="00664420" w:rsidP="00ED150A">
      <w:pPr>
        <w:tabs>
          <w:tab w:val="left" w:pos="4667"/>
        </w:tabs>
        <w:ind w:right="539"/>
        <w:rPr>
          <w:rFonts w:cs="Tahoma"/>
          <w:szCs w:val="22"/>
        </w:rPr>
      </w:pPr>
    </w:p>
    <w:p w14:paraId="2780191D" w14:textId="77777777" w:rsidR="006415E5" w:rsidRPr="00ED150A" w:rsidRDefault="00664420" w:rsidP="00ED150A">
      <w:pPr>
        <w:tabs>
          <w:tab w:val="left" w:pos="4667"/>
        </w:tabs>
        <w:ind w:right="539"/>
        <w:rPr>
          <w:rFonts w:cs="Tahoma"/>
          <w:b/>
          <w:iCs/>
        </w:rPr>
      </w:pPr>
      <w:r w:rsidRPr="00ED150A">
        <w:rPr>
          <w:rFonts w:cs="Tahoma"/>
          <w:b/>
          <w:iCs/>
        </w:rPr>
        <w:t>ACTO IMPUGNADO</w:t>
      </w:r>
      <w:r w:rsidR="006415E5" w:rsidRPr="00ED150A">
        <w:rPr>
          <w:rFonts w:cs="Tahoma"/>
          <w:b/>
          <w:iCs/>
        </w:rPr>
        <w:t xml:space="preserve">: </w:t>
      </w:r>
    </w:p>
    <w:p w14:paraId="369BEFEA" w14:textId="77777777" w:rsidR="006415E5" w:rsidRPr="00ED150A" w:rsidRDefault="006415E5" w:rsidP="00ED150A">
      <w:pPr>
        <w:pStyle w:val="Puesto"/>
      </w:pPr>
    </w:p>
    <w:p w14:paraId="174FC425" w14:textId="06211EE5" w:rsidR="006415E5" w:rsidRPr="00ED150A" w:rsidRDefault="006415E5" w:rsidP="00ED150A">
      <w:pPr>
        <w:pStyle w:val="Puesto"/>
      </w:pPr>
      <w:r w:rsidRPr="00ED150A">
        <w:t>“</w:t>
      </w:r>
      <w:r w:rsidR="008C2101" w:rsidRPr="00ED150A">
        <w:t>EL PRESUPUESTO DEL MUNICIPIO FUE APROBADO EL 21 DE FEBRERO Y ME DICEN QUE NO EXISTE PROGRAMA ANUAL DE OBRAS APROBADO, SOLICITO SE ME PROPORCIONE</w:t>
      </w:r>
      <w:r w:rsidRPr="00ED150A">
        <w:t xml:space="preserve">” (sic) </w:t>
      </w:r>
    </w:p>
    <w:p w14:paraId="737EA022" w14:textId="77777777" w:rsidR="006415E5" w:rsidRPr="00ED150A" w:rsidRDefault="006415E5" w:rsidP="00ED150A">
      <w:pPr>
        <w:pStyle w:val="Puesto"/>
      </w:pPr>
    </w:p>
    <w:p w14:paraId="7753408F" w14:textId="5E7CE11A" w:rsidR="0043654A" w:rsidRPr="00ED150A" w:rsidRDefault="0086345C" w:rsidP="00ED150A">
      <w:pPr>
        <w:tabs>
          <w:tab w:val="left" w:pos="4667"/>
        </w:tabs>
        <w:ind w:right="539"/>
        <w:rPr>
          <w:rFonts w:cs="Tahoma"/>
          <w:b/>
          <w:iCs/>
        </w:rPr>
      </w:pPr>
      <w:r w:rsidRPr="00ED150A">
        <w:rPr>
          <w:rFonts w:cs="Tahoma"/>
          <w:b/>
          <w:iCs/>
        </w:rPr>
        <w:t xml:space="preserve">RAZONES O MOTIVOS DE INCONFORMIDAD: </w:t>
      </w:r>
    </w:p>
    <w:p w14:paraId="776C5805" w14:textId="77777777" w:rsidR="0043654A" w:rsidRPr="00ED150A" w:rsidRDefault="0043654A" w:rsidP="00ED150A">
      <w:pPr>
        <w:tabs>
          <w:tab w:val="left" w:pos="4667"/>
        </w:tabs>
        <w:ind w:right="539"/>
        <w:rPr>
          <w:rFonts w:cs="Tahoma"/>
          <w:b/>
          <w:iCs/>
        </w:rPr>
      </w:pPr>
    </w:p>
    <w:p w14:paraId="1279BAF2" w14:textId="5F4A9692" w:rsidR="0043654A" w:rsidRPr="00ED150A" w:rsidRDefault="0043654A" w:rsidP="00ED150A">
      <w:pPr>
        <w:pStyle w:val="Puesto"/>
      </w:pPr>
      <w:r w:rsidRPr="00ED150A">
        <w:t>“</w:t>
      </w:r>
      <w:r w:rsidR="008C2101" w:rsidRPr="00ED150A">
        <w:t>EL PRESUPUESTO DEL MUNICIPIO FUE APROBADO EL 21 DE FEBRERO Y ME DICEN QUE NO EXISTE PROGRAMA ANUAL DE OBRAS APROBADO, SOLICITO SE ME PROPORCIONE</w:t>
      </w:r>
      <w:r w:rsidRPr="00ED150A">
        <w:t xml:space="preserve">” (sic) </w:t>
      </w:r>
    </w:p>
    <w:p w14:paraId="366F3F95" w14:textId="77777777" w:rsidR="0043654A" w:rsidRPr="00ED150A" w:rsidRDefault="0043654A" w:rsidP="00ED150A">
      <w:pPr>
        <w:pStyle w:val="Puesto"/>
      </w:pPr>
    </w:p>
    <w:p w14:paraId="6804DEF1" w14:textId="1FD3227A" w:rsidR="00664420" w:rsidRPr="00ED150A" w:rsidRDefault="006E25BC" w:rsidP="00ED150A">
      <w:pPr>
        <w:pStyle w:val="Ttulo3"/>
      </w:pPr>
      <w:bookmarkStart w:id="17" w:name="_Toc195125457"/>
      <w:r w:rsidRPr="00ED150A">
        <w:t>b</w:t>
      </w:r>
      <w:r w:rsidR="00664420" w:rsidRPr="00ED150A">
        <w:t>) Turno del Recurso de Revisión</w:t>
      </w:r>
      <w:bookmarkEnd w:id="17"/>
    </w:p>
    <w:p w14:paraId="1173671B" w14:textId="2EB65E93" w:rsidR="00C72DAA" w:rsidRPr="00ED150A" w:rsidRDefault="00C72DAA" w:rsidP="00ED150A">
      <w:r w:rsidRPr="00ED150A">
        <w:t>Con fundamento en el artículo 185, fracción I de la Ley de Transparencia y Acceso a la Información Pública del Estado de México y Municipios, el</w:t>
      </w:r>
      <w:r w:rsidRPr="00ED150A">
        <w:rPr>
          <w:b/>
          <w:bCs/>
        </w:rPr>
        <w:t xml:space="preserve"> </w:t>
      </w:r>
      <w:r w:rsidR="008C2101" w:rsidRPr="00ED150A">
        <w:rPr>
          <w:rFonts w:eastAsia="Palatino Linotype" w:cs="Palatino Linotype"/>
          <w:b/>
        </w:rPr>
        <w:t xml:space="preserve">veintisiete </w:t>
      </w:r>
      <w:r w:rsidR="00B373AF" w:rsidRPr="00ED150A">
        <w:rPr>
          <w:rFonts w:eastAsia="Palatino Linotype" w:cs="Palatino Linotype"/>
          <w:b/>
        </w:rPr>
        <w:t xml:space="preserve">de febrero </w:t>
      </w:r>
      <w:r w:rsidR="009A1340" w:rsidRPr="00ED150A">
        <w:rPr>
          <w:rFonts w:eastAsia="Palatino Linotype" w:cs="Palatino Linotype"/>
          <w:b/>
        </w:rPr>
        <w:t xml:space="preserve">de dos mil veinticinco, </w:t>
      </w:r>
      <w:r w:rsidRPr="00ED150A">
        <w:t>se turnó el recurso de revisión a través del</w:t>
      </w:r>
      <w:r w:rsidRPr="00ED150A">
        <w:rPr>
          <w:rFonts w:eastAsia="Arial Unicode MS"/>
        </w:rPr>
        <w:t xml:space="preserve"> </w:t>
      </w:r>
      <w:r w:rsidRPr="00ED150A">
        <w:rPr>
          <w:rFonts w:eastAsia="Arial Unicode MS"/>
          <w:b/>
          <w:bCs/>
        </w:rPr>
        <w:t>SAIMEX</w:t>
      </w:r>
      <w:r w:rsidRPr="00ED150A">
        <w:t xml:space="preserve"> a la </w:t>
      </w:r>
      <w:r w:rsidRPr="00ED150A">
        <w:rPr>
          <w:b/>
        </w:rPr>
        <w:t>Comisionada Sharon Cristina Morales Martínez</w:t>
      </w:r>
      <w:r w:rsidRPr="00ED150A">
        <w:rPr>
          <w:bCs/>
        </w:rPr>
        <w:t xml:space="preserve">, </w:t>
      </w:r>
      <w:r w:rsidRPr="00ED150A">
        <w:t xml:space="preserve">a efecto de decretar su admisión o desechamiento. </w:t>
      </w:r>
    </w:p>
    <w:p w14:paraId="18F305CB" w14:textId="77777777" w:rsidR="00664420" w:rsidRPr="00ED150A" w:rsidRDefault="00664420" w:rsidP="00ED150A">
      <w:pPr>
        <w:rPr>
          <w:rFonts w:eastAsia="Batang" w:cs="Tahoma"/>
          <w:bCs/>
          <w:szCs w:val="22"/>
        </w:rPr>
      </w:pPr>
    </w:p>
    <w:p w14:paraId="3E31EC2D" w14:textId="295256A1" w:rsidR="00664420" w:rsidRPr="00ED150A" w:rsidRDefault="006E25BC" w:rsidP="00ED150A">
      <w:pPr>
        <w:pStyle w:val="Ttulo3"/>
      </w:pPr>
      <w:bookmarkStart w:id="18" w:name="_Toc195125458"/>
      <w:r w:rsidRPr="00ED150A">
        <w:t>c</w:t>
      </w:r>
      <w:r w:rsidR="00664420" w:rsidRPr="00ED150A">
        <w:t>) Admisión del Recurso de Revisión</w:t>
      </w:r>
      <w:bookmarkEnd w:id="18"/>
    </w:p>
    <w:p w14:paraId="240447D5" w14:textId="0E30EA47" w:rsidR="000E09C4" w:rsidRPr="00ED150A" w:rsidRDefault="000E09C4" w:rsidP="00ED150A">
      <w:pPr>
        <w:rPr>
          <w:rFonts w:cs="Arial"/>
        </w:rPr>
      </w:pPr>
      <w:r w:rsidRPr="00ED150A">
        <w:rPr>
          <w:rFonts w:cs="Arial"/>
        </w:rPr>
        <w:t xml:space="preserve">El </w:t>
      </w:r>
      <w:r w:rsidR="008C2101" w:rsidRPr="00ED150A">
        <w:rPr>
          <w:rFonts w:eastAsia="Palatino Linotype" w:cs="Palatino Linotype"/>
          <w:b/>
        </w:rPr>
        <w:t xml:space="preserve">veintiocho </w:t>
      </w:r>
      <w:r w:rsidR="0086345C" w:rsidRPr="00ED150A">
        <w:rPr>
          <w:rFonts w:eastAsia="Palatino Linotype" w:cs="Palatino Linotype"/>
          <w:b/>
        </w:rPr>
        <w:t xml:space="preserve">de </w:t>
      </w:r>
      <w:r w:rsidR="00B373AF" w:rsidRPr="00ED150A">
        <w:rPr>
          <w:rFonts w:eastAsia="Palatino Linotype" w:cs="Palatino Linotype"/>
          <w:b/>
        </w:rPr>
        <w:t xml:space="preserve">febrero </w:t>
      </w:r>
      <w:r w:rsidR="003A67CC" w:rsidRPr="00ED150A">
        <w:rPr>
          <w:rFonts w:eastAsia="Palatino Linotype" w:cs="Palatino Linotype"/>
          <w:b/>
        </w:rPr>
        <w:t>d</w:t>
      </w:r>
      <w:r w:rsidR="00657603" w:rsidRPr="00ED150A">
        <w:rPr>
          <w:rFonts w:eastAsia="Palatino Linotype" w:cs="Palatino Linotype"/>
          <w:b/>
        </w:rPr>
        <w:t>e dos mil veintic</w:t>
      </w:r>
      <w:r w:rsidR="009A1340" w:rsidRPr="00ED150A">
        <w:rPr>
          <w:rFonts w:eastAsia="Palatino Linotype" w:cs="Palatino Linotype"/>
          <w:b/>
        </w:rPr>
        <w:t>inco</w:t>
      </w:r>
      <w:r w:rsidRPr="00ED150A">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ED150A">
        <w:rPr>
          <w:rFonts w:cs="Arial"/>
        </w:rPr>
        <w:t>, fracción II</w:t>
      </w:r>
      <w:r w:rsidRPr="00ED150A">
        <w:rPr>
          <w:rFonts w:cs="Arial"/>
        </w:rPr>
        <w:t xml:space="preserve"> de la Ley de Transparencia y Acceso a la Información Pública del Estado de México y Municipios.</w:t>
      </w:r>
    </w:p>
    <w:p w14:paraId="34EC3F86" w14:textId="77777777" w:rsidR="00D2790D" w:rsidRPr="00ED150A" w:rsidRDefault="00D2790D" w:rsidP="00ED150A">
      <w:pPr>
        <w:rPr>
          <w:rFonts w:cs="Arial"/>
        </w:rPr>
      </w:pPr>
    </w:p>
    <w:p w14:paraId="3B820F58" w14:textId="503F9071" w:rsidR="00865CF4" w:rsidRPr="00ED150A" w:rsidRDefault="0075751F" w:rsidP="00ED150A">
      <w:pPr>
        <w:pStyle w:val="Ttulo3"/>
      </w:pPr>
      <w:bookmarkStart w:id="19" w:name="_Toc195125459"/>
      <w:r w:rsidRPr="00ED150A">
        <w:t>d</w:t>
      </w:r>
      <w:r w:rsidR="00664420" w:rsidRPr="00ED150A">
        <w:t xml:space="preserve">) </w:t>
      </w:r>
      <w:r w:rsidR="00865CF4" w:rsidRPr="00ED150A">
        <w:t>Informe Justificado del Sujeto Obligado</w:t>
      </w:r>
      <w:bookmarkEnd w:id="19"/>
    </w:p>
    <w:p w14:paraId="17A9258B" w14:textId="77777777" w:rsidR="008C2101" w:rsidRPr="00ED150A" w:rsidRDefault="008C2101" w:rsidP="00ED150A">
      <w:pPr>
        <w:rPr>
          <w:rFonts w:eastAsia="Arial Unicode MS" w:cs="Arial"/>
        </w:rPr>
      </w:pPr>
      <w:r w:rsidRPr="00ED150A">
        <w:rPr>
          <w:rFonts w:cs="Tahoma"/>
          <w:b/>
          <w:szCs w:val="24"/>
        </w:rPr>
        <w:t xml:space="preserve">EL SUJETO OBLIGADO </w:t>
      </w:r>
      <w:r w:rsidRPr="00ED150A">
        <w:rPr>
          <w:rFonts w:eastAsia="Arial Unicode MS" w:cs="Arial"/>
        </w:rPr>
        <w:t>no rindió su informe justificado dentro del término legalmente concedido para tal efecto.</w:t>
      </w:r>
    </w:p>
    <w:p w14:paraId="66BA6FC7" w14:textId="77777777" w:rsidR="00865CF4" w:rsidRPr="00ED150A" w:rsidRDefault="00865CF4" w:rsidP="00ED150A">
      <w:pPr>
        <w:rPr>
          <w:rFonts w:cs="Tahoma"/>
          <w:bCs/>
          <w:szCs w:val="24"/>
        </w:rPr>
      </w:pPr>
    </w:p>
    <w:p w14:paraId="755B7730" w14:textId="3EA3E31D" w:rsidR="00664420" w:rsidRPr="00ED150A" w:rsidRDefault="0075751F" w:rsidP="00ED150A">
      <w:pPr>
        <w:pStyle w:val="Ttulo3"/>
        <w:rPr>
          <w:lang w:val="es-ES"/>
        </w:rPr>
      </w:pPr>
      <w:bookmarkStart w:id="20" w:name="_Toc195125460"/>
      <w:r w:rsidRPr="00ED150A">
        <w:rPr>
          <w:rFonts w:eastAsia="Calibri"/>
          <w:bCs/>
          <w:lang w:eastAsia="en-US"/>
        </w:rPr>
        <w:lastRenderedPageBreak/>
        <w:t>e</w:t>
      </w:r>
      <w:r w:rsidR="00664420" w:rsidRPr="00ED150A">
        <w:rPr>
          <w:rFonts w:eastAsia="Calibri"/>
          <w:bCs/>
          <w:lang w:eastAsia="en-US"/>
        </w:rPr>
        <w:t>)</w:t>
      </w:r>
      <w:r w:rsidR="00664420" w:rsidRPr="00ED150A">
        <w:t xml:space="preserve"> </w:t>
      </w:r>
      <w:r w:rsidR="00865CF4" w:rsidRPr="00ED150A">
        <w:rPr>
          <w:lang w:val="es-ES"/>
        </w:rPr>
        <w:t>Manifestaciones de la Parte Recurrente</w:t>
      </w:r>
      <w:bookmarkEnd w:id="20"/>
    </w:p>
    <w:p w14:paraId="217A35D8" w14:textId="77777777" w:rsidR="0086345C" w:rsidRPr="00ED150A" w:rsidRDefault="0086345C" w:rsidP="00ED150A">
      <w:pPr>
        <w:rPr>
          <w:rFonts w:eastAsia="Arial Unicode MS" w:cs="Arial"/>
        </w:rPr>
      </w:pPr>
      <w:r w:rsidRPr="00ED150A">
        <w:rPr>
          <w:rFonts w:cs="Tahoma"/>
          <w:b/>
          <w:szCs w:val="24"/>
        </w:rPr>
        <w:t xml:space="preserve">LA PARTE RECURRENTE </w:t>
      </w:r>
      <w:r w:rsidRPr="00ED150A">
        <w:rPr>
          <w:rFonts w:eastAsia="Arial Unicode MS" w:cs="Arial"/>
        </w:rPr>
        <w:t>no realizó manifestación alguna dentro del término legalmente concedido para tal efecto, ni presentó pruebas o alegatos.</w:t>
      </w:r>
    </w:p>
    <w:p w14:paraId="43289D82" w14:textId="77777777" w:rsidR="00865CF4" w:rsidRPr="00ED150A" w:rsidRDefault="00865CF4" w:rsidP="00ED150A">
      <w:pPr>
        <w:rPr>
          <w:rFonts w:eastAsia="Arial Unicode MS" w:cs="Arial"/>
        </w:rPr>
      </w:pPr>
    </w:p>
    <w:p w14:paraId="0E651988" w14:textId="07B7DBA4" w:rsidR="00664420" w:rsidRPr="00ED150A" w:rsidRDefault="007517BD" w:rsidP="00ED150A">
      <w:pPr>
        <w:pStyle w:val="Ttulo3"/>
      </w:pPr>
      <w:bookmarkStart w:id="21" w:name="_Toc195125461"/>
      <w:r w:rsidRPr="00ED150A">
        <w:rPr>
          <w:rFonts w:eastAsia="Calibri"/>
        </w:rPr>
        <w:t xml:space="preserve">f) </w:t>
      </w:r>
      <w:r w:rsidR="00664420" w:rsidRPr="00ED150A">
        <w:t>Cierre de instrucción</w:t>
      </w:r>
      <w:bookmarkEnd w:id="21"/>
    </w:p>
    <w:p w14:paraId="191F27FB" w14:textId="443D930B" w:rsidR="009756DF" w:rsidRPr="00ED150A" w:rsidRDefault="00BF091A" w:rsidP="00ED150A">
      <w:pPr>
        <w:rPr>
          <w:rFonts w:cs="Tahoma"/>
          <w:szCs w:val="22"/>
        </w:rPr>
      </w:pPr>
      <w:r w:rsidRPr="00ED150A">
        <w:rPr>
          <w:rFonts w:cs="Tahoma"/>
          <w:szCs w:val="22"/>
        </w:rPr>
        <w:t>Al no existir diligencias pendientes por desahogar</w:t>
      </w:r>
      <w:r w:rsidRPr="00ED150A">
        <w:rPr>
          <w:rFonts w:cs="Arial"/>
        </w:rPr>
        <w:t xml:space="preserve">, el </w:t>
      </w:r>
      <w:bookmarkStart w:id="22" w:name="_Hlk104892386"/>
      <w:r w:rsidR="00D0063F" w:rsidRPr="00ED150A">
        <w:rPr>
          <w:rFonts w:cs="Arial"/>
          <w:b/>
        </w:rPr>
        <w:t xml:space="preserve">tres </w:t>
      </w:r>
      <w:r w:rsidR="00175817" w:rsidRPr="00ED150A">
        <w:rPr>
          <w:rFonts w:cs="Arial"/>
          <w:b/>
        </w:rPr>
        <w:t xml:space="preserve">de abril </w:t>
      </w:r>
      <w:r w:rsidR="009A1340" w:rsidRPr="00ED150A">
        <w:rPr>
          <w:rFonts w:cs="Arial"/>
          <w:b/>
        </w:rPr>
        <w:t xml:space="preserve">de dos mil veinticinco </w:t>
      </w:r>
      <w:bookmarkEnd w:id="22"/>
      <w:r w:rsidRPr="00ED150A">
        <w:rPr>
          <w:rFonts w:cs="Arial"/>
        </w:rPr>
        <w:t xml:space="preserve">la </w:t>
      </w:r>
      <w:r w:rsidRPr="00ED150A">
        <w:rPr>
          <w:rFonts w:cs="Arial"/>
          <w:b/>
          <w:bCs/>
        </w:rPr>
        <w:t xml:space="preserve">Comisionada </w:t>
      </w:r>
      <w:r w:rsidRPr="00ED150A">
        <w:rPr>
          <w:b/>
        </w:rPr>
        <w:t xml:space="preserve">Sharon Cristina Morales Martínez </w:t>
      </w:r>
      <w:r w:rsidRPr="00ED150A">
        <w:rPr>
          <w:rFonts w:cs="Arial"/>
        </w:rPr>
        <w:t>acordó el cierre de instrucción</w:t>
      </w:r>
      <w:r w:rsidR="0011350D" w:rsidRPr="00ED150A">
        <w:rPr>
          <w:rFonts w:cs="Arial"/>
        </w:rPr>
        <w:t xml:space="preserve"> y</w:t>
      </w:r>
      <w:r w:rsidRPr="00ED150A">
        <w:rPr>
          <w:rFonts w:cs="Arial"/>
        </w:rPr>
        <w:t xml:space="preserve"> </w:t>
      </w:r>
      <w:r w:rsidR="0011350D" w:rsidRPr="00ED150A">
        <w:rPr>
          <w:rFonts w:cs="Arial"/>
        </w:rPr>
        <w:t xml:space="preserve">la </w:t>
      </w:r>
      <w:r w:rsidRPr="00ED150A">
        <w:rPr>
          <w:rFonts w:cs="Arial"/>
        </w:rPr>
        <w:t>remisión del expediente a efecto de ser resuelto, de conformidad con lo establecido en el artículo 185 fracciones VI y VIII de la Ley de Transparencia y Acceso a la Información Pública del Estado de México y Municipios</w:t>
      </w:r>
      <w:r w:rsidRPr="00ED150A">
        <w:t>.</w:t>
      </w:r>
      <w:r w:rsidR="0011350D" w:rsidRPr="00ED150A">
        <w:t xml:space="preserve"> Dicho acuerdo </w:t>
      </w:r>
      <w:r w:rsidR="00664420" w:rsidRPr="00ED150A">
        <w:rPr>
          <w:rFonts w:cs="Tahoma"/>
          <w:szCs w:val="22"/>
        </w:rPr>
        <w:t xml:space="preserve">fue notificado a las partes el mismo día a través del </w:t>
      </w:r>
      <w:r w:rsidR="00664420" w:rsidRPr="00ED150A">
        <w:rPr>
          <w:rFonts w:cs="Tahoma"/>
          <w:b/>
          <w:szCs w:val="22"/>
          <w:lang w:val="es-ES"/>
        </w:rPr>
        <w:t>SAIMEX</w:t>
      </w:r>
      <w:r w:rsidR="00664420" w:rsidRPr="00ED150A">
        <w:rPr>
          <w:rFonts w:cs="Tahoma"/>
          <w:szCs w:val="22"/>
        </w:rPr>
        <w:t>.</w:t>
      </w:r>
    </w:p>
    <w:p w14:paraId="741683E3" w14:textId="77777777" w:rsidR="0011350D" w:rsidRPr="00ED150A" w:rsidRDefault="0011350D" w:rsidP="00ED150A">
      <w:pPr>
        <w:rPr>
          <w:rFonts w:cs="Tahoma"/>
          <w:szCs w:val="22"/>
        </w:rPr>
      </w:pPr>
    </w:p>
    <w:p w14:paraId="7A9629DE" w14:textId="77777777" w:rsidR="00664420" w:rsidRPr="00ED150A" w:rsidRDefault="00664420" w:rsidP="00ED150A">
      <w:pPr>
        <w:pStyle w:val="Ttulo1"/>
        <w:rPr>
          <w:rFonts w:eastAsiaTheme="minorHAnsi"/>
          <w:lang w:eastAsia="en-US"/>
        </w:rPr>
      </w:pPr>
      <w:bookmarkStart w:id="23" w:name="_Toc195125462"/>
      <w:r w:rsidRPr="00ED150A">
        <w:rPr>
          <w:rFonts w:eastAsiaTheme="minorHAnsi"/>
          <w:lang w:eastAsia="en-US"/>
        </w:rPr>
        <w:t>CONSIDERANDOS</w:t>
      </w:r>
      <w:bookmarkEnd w:id="23"/>
    </w:p>
    <w:p w14:paraId="6DD1243B" w14:textId="77777777" w:rsidR="00664420" w:rsidRPr="00ED150A" w:rsidRDefault="00664420" w:rsidP="00ED150A">
      <w:pPr>
        <w:contextualSpacing/>
        <w:jc w:val="center"/>
        <w:rPr>
          <w:rFonts w:eastAsiaTheme="minorHAnsi" w:cs="Tahoma"/>
          <w:b/>
          <w:szCs w:val="22"/>
          <w:lang w:eastAsia="en-US"/>
        </w:rPr>
      </w:pPr>
    </w:p>
    <w:p w14:paraId="0B67CB92" w14:textId="2E307D3B" w:rsidR="00664420" w:rsidRPr="00ED150A" w:rsidRDefault="00664420" w:rsidP="00ED150A">
      <w:pPr>
        <w:pStyle w:val="Ttulo2"/>
        <w:rPr>
          <w:rFonts w:eastAsia="Batang"/>
        </w:rPr>
      </w:pPr>
      <w:bookmarkStart w:id="24" w:name="_Toc195125463"/>
      <w:r w:rsidRPr="00ED150A">
        <w:rPr>
          <w:rFonts w:eastAsia="Batang"/>
        </w:rPr>
        <w:t xml:space="preserve">PRIMERO. </w:t>
      </w:r>
      <w:r w:rsidR="00BA55A8" w:rsidRPr="00ED150A">
        <w:rPr>
          <w:rFonts w:eastAsia="Batang"/>
        </w:rPr>
        <w:t>Procedibilidad</w:t>
      </w:r>
      <w:bookmarkEnd w:id="24"/>
    </w:p>
    <w:p w14:paraId="39C52BC1" w14:textId="56FCC20D" w:rsidR="00BA55A8" w:rsidRPr="00ED150A" w:rsidRDefault="00BA55A8" w:rsidP="00ED150A">
      <w:pPr>
        <w:pStyle w:val="Ttulo3"/>
      </w:pPr>
      <w:bookmarkStart w:id="25" w:name="_Toc195125464"/>
      <w:r w:rsidRPr="00ED150A">
        <w:t>a) Competencia</w:t>
      </w:r>
      <w:r w:rsidR="00150C49" w:rsidRPr="00ED150A">
        <w:t xml:space="preserve"> del Instituto</w:t>
      </w:r>
      <w:bookmarkEnd w:id="25"/>
    </w:p>
    <w:p w14:paraId="56E64942" w14:textId="6572EDF7" w:rsidR="0011350D" w:rsidRPr="00ED150A" w:rsidRDefault="0011350D" w:rsidP="00ED150A">
      <w:pPr>
        <w:rPr>
          <w:rFonts w:cs="Arial"/>
        </w:rPr>
      </w:pPr>
      <w:r w:rsidRPr="00ED150A">
        <w:t xml:space="preserve">Este Instituto de Transparencia, Acceso a la Información Pública y Protección de Datos Personales del Estado de México y Municipios es competente para conocer y resolver </w:t>
      </w:r>
      <w:r w:rsidR="005F65B7" w:rsidRPr="00ED150A">
        <w:t xml:space="preserve">el </w:t>
      </w:r>
      <w:r w:rsidRPr="00ED150A">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ED150A">
        <w:rPr>
          <w:rFonts w:cs="Arial"/>
        </w:rPr>
        <w:t xml:space="preserve">; y 9, fracciones I y XXIII y 11 del Reglamento Interior del Instituto de </w:t>
      </w:r>
      <w:r w:rsidRPr="00ED150A">
        <w:rPr>
          <w:rFonts w:cs="Arial"/>
        </w:rPr>
        <w:lastRenderedPageBreak/>
        <w:t>Transparencia, Acceso a la Información Pública y Protección de Datos Personales del Estado de México y Municipios.</w:t>
      </w:r>
    </w:p>
    <w:p w14:paraId="6C36A399" w14:textId="77777777" w:rsidR="00DB1C09" w:rsidRPr="00ED150A" w:rsidRDefault="00DB1C09" w:rsidP="00ED150A">
      <w:pPr>
        <w:rPr>
          <w:rFonts w:cs="Arial"/>
        </w:rPr>
      </w:pPr>
    </w:p>
    <w:p w14:paraId="517A2DD6" w14:textId="4169BE4D" w:rsidR="00664420" w:rsidRPr="00ED150A" w:rsidRDefault="00BA55A8" w:rsidP="00ED150A">
      <w:pPr>
        <w:pStyle w:val="Ttulo3"/>
      </w:pPr>
      <w:bookmarkStart w:id="26" w:name="_Toc195125465"/>
      <w:r w:rsidRPr="00ED150A">
        <w:t>b)</w:t>
      </w:r>
      <w:r w:rsidR="00664420" w:rsidRPr="00ED150A">
        <w:t xml:space="preserve"> </w:t>
      </w:r>
      <w:r w:rsidR="00D91CB4" w:rsidRPr="00ED150A">
        <w:t>Legitimidad</w:t>
      </w:r>
      <w:r w:rsidRPr="00ED150A">
        <w:t xml:space="preserve"> de la parte recurrente</w:t>
      </w:r>
      <w:bookmarkEnd w:id="26"/>
    </w:p>
    <w:p w14:paraId="26FEA382" w14:textId="0B06695C" w:rsidR="00D91CB4" w:rsidRPr="00ED150A" w:rsidRDefault="00D91CB4" w:rsidP="00ED150A">
      <w:pPr>
        <w:rPr>
          <w:rFonts w:cs="Arial"/>
          <w:bCs/>
        </w:rPr>
      </w:pPr>
      <w:r w:rsidRPr="00ED150A">
        <w:rPr>
          <w:rFonts w:cs="Arial"/>
          <w:bCs/>
        </w:rPr>
        <w:t>El recurso de revisión fue interpuesto por parte legítima, ya que se presentó por la misma persona que formuló la solicitud de acceso a la Información Pública,</w:t>
      </w:r>
      <w:r w:rsidRPr="00ED150A">
        <w:rPr>
          <w:rFonts w:cs="Arial"/>
          <w:b/>
          <w:bCs/>
        </w:rPr>
        <w:t xml:space="preserve"> </w:t>
      </w:r>
      <w:r w:rsidRPr="00ED150A">
        <w:rPr>
          <w:rFonts w:cs="Arial"/>
        </w:rPr>
        <w:t>debido a que los datos de acceso</w:t>
      </w:r>
      <w:r w:rsidRPr="00ED150A">
        <w:rPr>
          <w:rFonts w:cs="Arial"/>
          <w:b/>
          <w:bCs/>
        </w:rPr>
        <w:t xml:space="preserve"> </w:t>
      </w:r>
      <w:r w:rsidRPr="00ED150A">
        <w:rPr>
          <w:rFonts w:cs="Arial"/>
          <w:b/>
        </w:rPr>
        <w:t>SAIMEX</w:t>
      </w:r>
      <w:r w:rsidRPr="00ED150A">
        <w:rPr>
          <w:rFonts w:eastAsia="Calibri" w:cs="Arial"/>
          <w:lang w:eastAsia="en-US"/>
        </w:rPr>
        <w:t xml:space="preserve"> son personales e irrepetibles.</w:t>
      </w:r>
    </w:p>
    <w:p w14:paraId="2C367810" w14:textId="77777777" w:rsidR="00D91CB4" w:rsidRPr="00ED150A" w:rsidRDefault="00D91CB4" w:rsidP="00ED150A"/>
    <w:p w14:paraId="5C5FA5A8" w14:textId="77777777" w:rsidR="004565C2" w:rsidRPr="00ED150A" w:rsidRDefault="004565C2" w:rsidP="00ED150A">
      <w:pPr>
        <w:pStyle w:val="Ttulo3"/>
        <w:rPr>
          <w:rFonts w:eastAsia="Calibri"/>
          <w:lang w:eastAsia="es-ES_tradnl"/>
        </w:rPr>
      </w:pPr>
      <w:bookmarkStart w:id="27" w:name="_Toc170932820"/>
      <w:bookmarkStart w:id="28" w:name="_Toc195125466"/>
      <w:r w:rsidRPr="00ED150A">
        <w:rPr>
          <w:rFonts w:eastAsia="Calibri"/>
          <w:lang w:eastAsia="es-ES_tradnl"/>
        </w:rPr>
        <w:t>c) Plazo para interponer el recurso</w:t>
      </w:r>
      <w:bookmarkEnd w:id="27"/>
      <w:bookmarkEnd w:id="28"/>
    </w:p>
    <w:p w14:paraId="5C63152A" w14:textId="337FF545" w:rsidR="004565C2" w:rsidRPr="00ED150A" w:rsidRDefault="004565C2" w:rsidP="00ED150A">
      <w:pPr>
        <w:rPr>
          <w:rFonts w:eastAsia="Palatino Linotype" w:cs="Palatino Linotype"/>
          <w:b/>
        </w:rPr>
      </w:pPr>
      <w:r w:rsidRPr="00ED150A">
        <w:rPr>
          <w:rFonts w:cs="Arial"/>
          <w:b/>
        </w:rPr>
        <w:t>EL SUJETO OBLIGADO</w:t>
      </w:r>
      <w:r w:rsidRPr="00ED150A">
        <w:rPr>
          <w:rFonts w:cs="Arial"/>
        </w:rPr>
        <w:t xml:space="preserve"> notificó la respuesta a la solicitud de acceso a la Información Pública el </w:t>
      </w:r>
      <w:r w:rsidR="00D0063F" w:rsidRPr="00ED150A">
        <w:rPr>
          <w:rFonts w:eastAsia="Palatino Linotype" w:cs="Palatino Linotype"/>
          <w:b/>
        </w:rPr>
        <w:t xml:space="preserve">veinticinco </w:t>
      </w:r>
      <w:r w:rsidR="00175817" w:rsidRPr="00ED150A">
        <w:rPr>
          <w:rFonts w:eastAsia="Palatino Linotype" w:cs="Palatino Linotype"/>
          <w:b/>
        </w:rPr>
        <w:t>d</w:t>
      </w:r>
      <w:r w:rsidR="0043654A" w:rsidRPr="00ED150A">
        <w:rPr>
          <w:rFonts w:eastAsia="Palatino Linotype" w:cs="Palatino Linotype"/>
          <w:b/>
        </w:rPr>
        <w:t xml:space="preserve">e febrero </w:t>
      </w:r>
      <w:r w:rsidR="00B373AF" w:rsidRPr="00ED150A">
        <w:rPr>
          <w:rFonts w:eastAsia="Palatino Linotype" w:cs="Palatino Linotype"/>
          <w:b/>
        </w:rPr>
        <w:t>d</w:t>
      </w:r>
      <w:r w:rsidR="009A1340" w:rsidRPr="00ED150A">
        <w:rPr>
          <w:rFonts w:eastAsia="Palatino Linotype" w:cs="Palatino Linotype"/>
          <w:b/>
        </w:rPr>
        <w:t xml:space="preserve">e dos mil veinticinco </w:t>
      </w:r>
      <w:r w:rsidRPr="00ED150A">
        <w:rPr>
          <w:rFonts w:cs="Arial"/>
        </w:rPr>
        <w:t xml:space="preserve">y el recurso </w:t>
      </w:r>
      <w:r w:rsidRPr="00ED150A">
        <w:rPr>
          <w:rFonts w:eastAsia="Palatino Linotype" w:cs="Palatino Linotype"/>
        </w:rPr>
        <w:t>que nos ocupa se interpu</w:t>
      </w:r>
      <w:r w:rsidR="00E27023" w:rsidRPr="00ED150A">
        <w:rPr>
          <w:rFonts w:eastAsia="Palatino Linotype" w:cs="Palatino Linotype"/>
        </w:rPr>
        <w:t>so</w:t>
      </w:r>
      <w:r w:rsidRPr="00ED150A">
        <w:rPr>
          <w:rFonts w:eastAsia="Palatino Linotype" w:cs="Palatino Linotype"/>
        </w:rPr>
        <w:t xml:space="preserve"> el </w:t>
      </w:r>
      <w:r w:rsidR="00D0063F" w:rsidRPr="00ED150A">
        <w:rPr>
          <w:rFonts w:eastAsia="Palatino Linotype" w:cs="Palatino Linotype"/>
          <w:b/>
        </w:rPr>
        <w:t xml:space="preserve">veintisiete </w:t>
      </w:r>
      <w:r w:rsidR="0086345C" w:rsidRPr="00ED150A">
        <w:rPr>
          <w:rFonts w:eastAsia="Palatino Linotype" w:cs="Palatino Linotype"/>
          <w:b/>
        </w:rPr>
        <w:t xml:space="preserve">de </w:t>
      </w:r>
      <w:r w:rsidR="0043654A" w:rsidRPr="00ED150A">
        <w:rPr>
          <w:rFonts w:eastAsia="Palatino Linotype" w:cs="Palatino Linotype"/>
          <w:b/>
        </w:rPr>
        <w:t xml:space="preserve">febrero </w:t>
      </w:r>
      <w:r w:rsidR="009A1340" w:rsidRPr="00ED150A">
        <w:rPr>
          <w:rFonts w:eastAsia="Palatino Linotype" w:cs="Palatino Linotype"/>
          <w:b/>
        </w:rPr>
        <w:t>de dos mil veinticinco</w:t>
      </w:r>
      <w:r w:rsidRPr="00ED150A">
        <w:rPr>
          <w:rFonts w:eastAsia="Palatino Linotype" w:cs="Palatino Linotype"/>
          <w:bCs/>
        </w:rPr>
        <w:t>;</w:t>
      </w:r>
      <w:r w:rsidRPr="00ED150A">
        <w:rPr>
          <w:rFonts w:eastAsia="Palatino Linotype" w:cs="Palatino Linotype"/>
        </w:rPr>
        <w:t xml:space="preserve"> por lo tanto, éste se encuentra dentro del margen temporal previsto en el artículo 178 de la </w:t>
      </w:r>
      <w:r w:rsidRPr="00ED150A">
        <w:rPr>
          <w:rFonts w:cs="Arial"/>
        </w:rPr>
        <w:t>Ley de Transparencia y Acceso a la Información Pública del Estado de México y Municipios</w:t>
      </w:r>
      <w:r w:rsidRPr="00ED150A">
        <w:rPr>
          <w:rFonts w:eastAsiaTheme="minorEastAsia" w:cs="Arial"/>
          <w:lang w:val="es-ES_tradnl"/>
        </w:rPr>
        <w:t>.</w:t>
      </w:r>
    </w:p>
    <w:p w14:paraId="41262D82" w14:textId="77777777" w:rsidR="00813497" w:rsidRPr="00ED150A" w:rsidRDefault="00813497" w:rsidP="00ED150A"/>
    <w:p w14:paraId="46C0EB3A" w14:textId="5A92AF42" w:rsidR="00A53315" w:rsidRPr="00ED150A" w:rsidRDefault="00BA55A8" w:rsidP="00ED150A">
      <w:pPr>
        <w:pStyle w:val="Ttulo3"/>
        <w:rPr>
          <w:rFonts w:eastAsia="Calibri"/>
          <w:lang w:eastAsia="es-ES_tradnl"/>
        </w:rPr>
      </w:pPr>
      <w:bookmarkStart w:id="29" w:name="_Toc195125467"/>
      <w:r w:rsidRPr="00ED150A">
        <w:rPr>
          <w:rFonts w:eastAsia="Calibri"/>
          <w:lang w:eastAsia="es-ES_tradnl"/>
        </w:rPr>
        <w:t>d)</w:t>
      </w:r>
      <w:r w:rsidR="00D91CB4" w:rsidRPr="00ED150A">
        <w:rPr>
          <w:rFonts w:eastAsia="Calibri"/>
          <w:lang w:eastAsia="es-ES_tradnl"/>
        </w:rPr>
        <w:t xml:space="preserve"> </w:t>
      </w:r>
      <w:r w:rsidR="004565C2" w:rsidRPr="00ED150A">
        <w:rPr>
          <w:rFonts w:eastAsia="Calibri"/>
          <w:lang w:eastAsia="es-ES_tradnl"/>
        </w:rPr>
        <w:t>Causal de procedencia</w:t>
      </w:r>
      <w:bookmarkEnd w:id="29"/>
    </w:p>
    <w:p w14:paraId="190404A6" w14:textId="34E2F6E7" w:rsidR="00BA55A8" w:rsidRPr="00ED150A" w:rsidRDefault="00BA55A8" w:rsidP="00ED150A">
      <w:r w:rsidRPr="00ED150A">
        <w:rPr>
          <w:rFonts w:cs="Arial"/>
        </w:rPr>
        <w:t xml:space="preserve">Resulta procedente la interposición del recurso de revisión, ya que </w:t>
      </w:r>
      <w:r w:rsidRPr="00ED150A">
        <w:rPr>
          <w:rFonts w:eastAsia="Calibri" w:cs="Tahoma"/>
          <w:szCs w:val="22"/>
          <w:lang w:eastAsia="es-MX"/>
        </w:rPr>
        <w:t xml:space="preserve">se actualiza la causal de procedencia señalada en el artículo 179, fracción </w:t>
      </w:r>
      <w:r w:rsidR="00175817" w:rsidRPr="00ED150A">
        <w:rPr>
          <w:rFonts w:eastAsia="Calibri" w:cs="Tahoma"/>
          <w:szCs w:val="22"/>
          <w:lang w:eastAsia="es-MX"/>
        </w:rPr>
        <w:t>I</w:t>
      </w:r>
      <w:r w:rsidRPr="00ED150A">
        <w:rPr>
          <w:rFonts w:cs="Arial"/>
        </w:rPr>
        <w:t xml:space="preserve"> de la </w:t>
      </w:r>
      <w:r w:rsidRPr="00ED150A">
        <w:t>Ley de Transparencia y Acceso a la Información Pública del Estado de México y Municipios.</w:t>
      </w:r>
    </w:p>
    <w:p w14:paraId="0EFF7141" w14:textId="77777777" w:rsidR="00362A11" w:rsidRPr="00ED150A" w:rsidRDefault="00362A11" w:rsidP="00ED150A"/>
    <w:p w14:paraId="2284D7EB" w14:textId="3EE1D036" w:rsidR="00BA55A8" w:rsidRPr="00ED150A" w:rsidRDefault="00362A11" w:rsidP="00ED150A">
      <w:pPr>
        <w:pStyle w:val="Ttulo3"/>
      </w:pPr>
      <w:bookmarkStart w:id="30" w:name="_Toc195125468"/>
      <w:r w:rsidRPr="00ED150A">
        <w:t>e) Requisitos formales para la interposición del recurso</w:t>
      </w:r>
      <w:bookmarkEnd w:id="30"/>
    </w:p>
    <w:p w14:paraId="677C7009" w14:textId="77777777" w:rsidR="00185C7C" w:rsidRPr="00ED150A" w:rsidRDefault="00185C7C" w:rsidP="00ED150A">
      <w:pPr>
        <w:rPr>
          <w:rFonts w:cs="Arial"/>
        </w:rPr>
      </w:pPr>
      <w:r w:rsidRPr="00ED150A">
        <w:rPr>
          <w:rFonts w:cs="Arial"/>
          <w:b/>
          <w:bCs/>
        </w:rPr>
        <w:t xml:space="preserve">LA PARTE RECURRENTE </w:t>
      </w:r>
      <w:r w:rsidRPr="00ED150A">
        <w:rPr>
          <w:rFonts w:cs="Arial"/>
        </w:rPr>
        <w:t>acreditó todos y cada uno de los elementos formales exigidos por el artículo 180 de la misma normatividad.</w:t>
      </w:r>
    </w:p>
    <w:p w14:paraId="2BE2EBCD" w14:textId="77777777" w:rsidR="00185C7C" w:rsidRPr="00ED150A" w:rsidRDefault="00185C7C" w:rsidP="00ED150A">
      <w:pPr>
        <w:rPr>
          <w:rFonts w:cs="Arial"/>
        </w:rPr>
      </w:pPr>
    </w:p>
    <w:p w14:paraId="457548E9" w14:textId="3F7AF03B" w:rsidR="00C71CEF" w:rsidRPr="00ED150A" w:rsidRDefault="00C71CEF" w:rsidP="00ED150A">
      <w:pPr>
        <w:pStyle w:val="Ttulo2"/>
      </w:pPr>
      <w:bookmarkStart w:id="31" w:name="_Toc195125469"/>
      <w:r w:rsidRPr="00ED150A">
        <w:lastRenderedPageBreak/>
        <w:t>SEGUNDO. Estudio de Fondo</w:t>
      </w:r>
      <w:bookmarkEnd w:id="31"/>
    </w:p>
    <w:p w14:paraId="2A308F59" w14:textId="0FF373F0" w:rsidR="00C049E2" w:rsidRPr="00ED150A" w:rsidRDefault="00C71CEF" w:rsidP="00ED150A">
      <w:pPr>
        <w:pStyle w:val="Ttulo3"/>
      </w:pPr>
      <w:bookmarkStart w:id="32" w:name="_Toc195125470"/>
      <w:r w:rsidRPr="00ED150A">
        <w:t>a</w:t>
      </w:r>
      <w:r w:rsidR="00C049E2" w:rsidRPr="00ED150A">
        <w:t>) Mandato de transparencia y responsabilidad del Sujeto Obligado</w:t>
      </w:r>
      <w:bookmarkEnd w:id="32"/>
    </w:p>
    <w:p w14:paraId="6901A889" w14:textId="59EEDAE1" w:rsidR="00C049E2" w:rsidRPr="00ED150A" w:rsidRDefault="00C049E2" w:rsidP="00ED150A">
      <w:pPr>
        <w:rPr>
          <w:rFonts w:eastAsia="Palatino Linotype"/>
        </w:rPr>
      </w:pPr>
      <w:r w:rsidRPr="00ED150A">
        <w:rPr>
          <w:rFonts w:eastAsia="Palatino Linotype"/>
        </w:rPr>
        <w:t xml:space="preserve">El </w:t>
      </w:r>
      <w:r w:rsidR="00717E59" w:rsidRPr="00ED150A">
        <w:rPr>
          <w:rFonts w:eastAsia="Palatino Linotype"/>
        </w:rPr>
        <w:t>d</w:t>
      </w:r>
      <w:r w:rsidRPr="00ED150A">
        <w:rPr>
          <w:rFonts w:eastAsia="Palatino Linotype"/>
        </w:rPr>
        <w:t xml:space="preserve">erecho de </w:t>
      </w:r>
      <w:r w:rsidR="00717E59" w:rsidRPr="00ED150A">
        <w:rPr>
          <w:rFonts w:eastAsia="Palatino Linotype"/>
        </w:rPr>
        <w:t>a</w:t>
      </w:r>
      <w:r w:rsidRPr="00ED150A">
        <w:rPr>
          <w:rFonts w:eastAsia="Palatino Linotype"/>
        </w:rPr>
        <w:t xml:space="preserve">cceso a la </w:t>
      </w:r>
      <w:r w:rsidR="00717E59" w:rsidRPr="00ED150A">
        <w:rPr>
          <w:rFonts w:eastAsia="Palatino Linotype"/>
        </w:rPr>
        <w:t>i</w:t>
      </w:r>
      <w:r w:rsidRPr="00ED150A">
        <w:rPr>
          <w:rFonts w:eastAsia="Palatino Linotype"/>
        </w:rPr>
        <w:t xml:space="preserve">nformación </w:t>
      </w:r>
      <w:r w:rsidR="00717E59" w:rsidRPr="00ED150A">
        <w:rPr>
          <w:rFonts w:eastAsia="Palatino Linotype"/>
        </w:rPr>
        <w:t>p</w:t>
      </w:r>
      <w:r w:rsidRPr="00ED150A">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ED150A">
        <w:rPr>
          <w:rFonts w:eastAsia="Palatino Linotype"/>
        </w:rPr>
        <w:t>:</w:t>
      </w:r>
    </w:p>
    <w:p w14:paraId="7FAB8D32" w14:textId="77777777" w:rsidR="00C049E2" w:rsidRPr="00ED150A" w:rsidRDefault="00C049E2" w:rsidP="00ED150A">
      <w:pPr>
        <w:rPr>
          <w:rFonts w:eastAsia="Palatino Linotype"/>
        </w:rPr>
      </w:pPr>
    </w:p>
    <w:p w14:paraId="05320813" w14:textId="77777777" w:rsidR="00C049E2" w:rsidRPr="00ED150A" w:rsidRDefault="00C049E2" w:rsidP="00ED150A">
      <w:pPr>
        <w:pStyle w:val="Puesto"/>
        <w:rPr>
          <w:rFonts w:eastAsia="Palatino Linotype"/>
          <w:b/>
        </w:rPr>
      </w:pPr>
      <w:r w:rsidRPr="00ED150A">
        <w:rPr>
          <w:rFonts w:eastAsia="Palatino Linotype"/>
          <w:b/>
        </w:rPr>
        <w:t>Constitución Política de los Estados Unidos Mexicanos</w:t>
      </w:r>
    </w:p>
    <w:p w14:paraId="6B6C67B6" w14:textId="77777777" w:rsidR="00C049E2" w:rsidRPr="00ED150A" w:rsidRDefault="00C049E2" w:rsidP="00ED150A">
      <w:pPr>
        <w:pStyle w:val="Puesto"/>
        <w:rPr>
          <w:rFonts w:eastAsia="Palatino Linotype"/>
          <w:b/>
        </w:rPr>
      </w:pPr>
      <w:r w:rsidRPr="00ED150A">
        <w:rPr>
          <w:rFonts w:eastAsia="Palatino Linotype"/>
        </w:rPr>
        <w:t>“</w:t>
      </w:r>
      <w:r w:rsidRPr="00ED150A">
        <w:rPr>
          <w:rFonts w:eastAsia="Palatino Linotype"/>
          <w:b/>
        </w:rPr>
        <w:t>Artículo 6.</w:t>
      </w:r>
    </w:p>
    <w:p w14:paraId="38D3B4C4" w14:textId="77777777" w:rsidR="00C049E2" w:rsidRPr="00ED150A" w:rsidRDefault="00C049E2" w:rsidP="00ED150A">
      <w:pPr>
        <w:pStyle w:val="Puesto"/>
        <w:rPr>
          <w:rFonts w:eastAsia="Palatino Linotype"/>
        </w:rPr>
      </w:pPr>
      <w:r w:rsidRPr="00ED150A">
        <w:rPr>
          <w:rFonts w:eastAsia="Palatino Linotype"/>
        </w:rPr>
        <w:t>(…)</w:t>
      </w:r>
    </w:p>
    <w:p w14:paraId="2CCAA297" w14:textId="6602827B" w:rsidR="00C049E2" w:rsidRPr="00ED150A" w:rsidRDefault="00C049E2" w:rsidP="00ED150A">
      <w:pPr>
        <w:pStyle w:val="Puesto"/>
        <w:rPr>
          <w:rFonts w:eastAsia="Palatino Linotype"/>
        </w:rPr>
      </w:pPr>
      <w:r w:rsidRPr="00ED150A">
        <w:rPr>
          <w:rFonts w:eastAsia="Palatino Linotype"/>
        </w:rPr>
        <w:t>Para efectos de lo dispuesto en el presente artículo se observará lo siguiente:</w:t>
      </w:r>
    </w:p>
    <w:p w14:paraId="74CC3718" w14:textId="77777777" w:rsidR="00C049E2" w:rsidRPr="00ED150A" w:rsidRDefault="00C049E2" w:rsidP="00ED150A">
      <w:pPr>
        <w:pStyle w:val="Puesto"/>
        <w:rPr>
          <w:rFonts w:eastAsia="Palatino Linotype"/>
        </w:rPr>
      </w:pPr>
      <w:r w:rsidRPr="00ED150A">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ED150A" w:rsidRDefault="00C049E2" w:rsidP="00ED150A">
      <w:pPr>
        <w:pStyle w:val="Puesto"/>
        <w:rPr>
          <w:rFonts w:eastAsia="Palatino Linotype"/>
        </w:rPr>
      </w:pPr>
      <w:r w:rsidRPr="00ED150A">
        <w:rPr>
          <w:rFonts w:eastAsia="Palatino Linotype"/>
        </w:rPr>
        <w:t xml:space="preserve">I. </w:t>
      </w:r>
      <w:r w:rsidRPr="00ED150A">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ED150A" w:rsidRDefault="00C049E2" w:rsidP="00ED150A">
      <w:pPr>
        <w:pStyle w:val="Puesto"/>
        <w:rPr>
          <w:rFonts w:eastAsia="Palatino Linotype"/>
        </w:rPr>
      </w:pPr>
    </w:p>
    <w:p w14:paraId="504F12DB" w14:textId="77777777" w:rsidR="00C049E2" w:rsidRPr="00ED150A" w:rsidRDefault="00C049E2" w:rsidP="00ED150A">
      <w:pPr>
        <w:pStyle w:val="Puesto"/>
        <w:rPr>
          <w:rFonts w:eastAsia="Palatino Linotype"/>
          <w:b/>
        </w:rPr>
      </w:pPr>
      <w:r w:rsidRPr="00ED150A">
        <w:rPr>
          <w:rFonts w:eastAsia="Palatino Linotype"/>
          <w:b/>
        </w:rPr>
        <w:t>Constitución Política del Estado Libre y Soberano de México</w:t>
      </w:r>
    </w:p>
    <w:p w14:paraId="04932D29" w14:textId="77777777" w:rsidR="00C049E2" w:rsidRPr="00ED150A" w:rsidRDefault="00C049E2" w:rsidP="00ED150A">
      <w:pPr>
        <w:pStyle w:val="Puesto"/>
        <w:rPr>
          <w:rFonts w:eastAsia="Palatino Linotype"/>
          <w:b/>
        </w:rPr>
      </w:pPr>
      <w:r w:rsidRPr="00ED150A">
        <w:rPr>
          <w:rFonts w:eastAsia="Palatino Linotype"/>
        </w:rPr>
        <w:t>“</w:t>
      </w:r>
      <w:r w:rsidRPr="00ED150A">
        <w:rPr>
          <w:rFonts w:eastAsia="Palatino Linotype"/>
          <w:b/>
        </w:rPr>
        <w:t xml:space="preserve">Artículo 5.- </w:t>
      </w:r>
    </w:p>
    <w:p w14:paraId="1D3829F4" w14:textId="77777777" w:rsidR="00C049E2" w:rsidRPr="00ED150A" w:rsidRDefault="00C049E2" w:rsidP="00ED150A">
      <w:pPr>
        <w:pStyle w:val="Puesto"/>
        <w:rPr>
          <w:rFonts w:eastAsia="Palatino Linotype"/>
        </w:rPr>
      </w:pPr>
      <w:r w:rsidRPr="00ED150A">
        <w:rPr>
          <w:rFonts w:eastAsia="Palatino Linotype"/>
        </w:rPr>
        <w:t>(…)</w:t>
      </w:r>
    </w:p>
    <w:p w14:paraId="0EAE47FD" w14:textId="77777777" w:rsidR="00C049E2" w:rsidRPr="00ED150A" w:rsidRDefault="00C049E2" w:rsidP="00ED150A">
      <w:pPr>
        <w:pStyle w:val="Puesto"/>
        <w:rPr>
          <w:rFonts w:eastAsia="Palatino Linotype"/>
        </w:rPr>
      </w:pPr>
      <w:r w:rsidRPr="00ED150A">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ED150A" w:rsidRDefault="00C049E2" w:rsidP="00ED150A">
      <w:pPr>
        <w:pStyle w:val="Puesto"/>
        <w:rPr>
          <w:rFonts w:eastAsia="Palatino Linotype"/>
        </w:rPr>
      </w:pPr>
      <w:r w:rsidRPr="00ED150A">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ED150A" w:rsidRDefault="00C049E2" w:rsidP="00ED150A">
      <w:pPr>
        <w:pStyle w:val="Puesto"/>
        <w:rPr>
          <w:rFonts w:eastAsia="Palatino Linotype"/>
        </w:rPr>
      </w:pPr>
      <w:r w:rsidRPr="00ED150A">
        <w:rPr>
          <w:rFonts w:eastAsia="Palatino Linotype"/>
        </w:rPr>
        <w:t>Este derecho se regirá por los principios y bases siguientes:</w:t>
      </w:r>
    </w:p>
    <w:p w14:paraId="4A3E8CBA" w14:textId="77777777" w:rsidR="00C049E2" w:rsidRPr="00ED150A" w:rsidRDefault="00C049E2" w:rsidP="00ED150A">
      <w:pPr>
        <w:pStyle w:val="Puesto"/>
        <w:rPr>
          <w:rFonts w:eastAsia="Palatino Linotype"/>
        </w:rPr>
      </w:pPr>
      <w:r w:rsidRPr="00ED150A">
        <w:rPr>
          <w:rFonts w:eastAsia="Palatino Linotype"/>
        </w:rPr>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ED150A" w:rsidRDefault="00C049E2" w:rsidP="00ED150A">
      <w:pPr>
        <w:rPr>
          <w:rFonts w:eastAsia="Palatino Linotype"/>
          <w:b/>
          <w:i/>
        </w:rPr>
      </w:pPr>
    </w:p>
    <w:p w14:paraId="6FC1BB3B" w14:textId="3BF4A33D" w:rsidR="00C049E2" w:rsidRPr="00ED150A" w:rsidRDefault="00717E59" w:rsidP="00ED150A">
      <w:pPr>
        <w:rPr>
          <w:rFonts w:eastAsia="Palatino Linotype"/>
          <w:i/>
        </w:rPr>
      </w:pPr>
      <w:r w:rsidRPr="00ED150A">
        <w:rPr>
          <w:rFonts w:eastAsia="Palatino Linotype"/>
        </w:rPr>
        <w:t xml:space="preserve">Asimismo, </w:t>
      </w:r>
      <w:r w:rsidR="00C049E2" w:rsidRPr="00ED150A">
        <w:rPr>
          <w:rFonts w:eastAsia="Palatino Linotype"/>
        </w:rPr>
        <w:t>el artículo 150 de la Ley de Transparencia y Acceso a la Información Pública del Estado de México y Municipios</w:t>
      </w:r>
      <w:r w:rsidR="00057B2D" w:rsidRPr="00ED150A">
        <w:rPr>
          <w:rFonts w:eastAsia="Palatino Linotype"/>
        </w:rPr>
        <w:t xml:space="preserve"> </w:t>
      </w:r>
      <w:r w:rsidR="00E9335C" w:rsidRPr="00ED150A">
        <w:rPr>
          <w:rFonts w:eastAsia="Palatino Linotype"/>
        </w:rPr>
        <w:t xml:space="preserve">indica </w:t>
      </w:r>
      <w:r w:rsidR="00057B2D" w:rsidRPr="00ED150A">
        <w:rPr>
          <w:rFonts w:eastAsia="Palatino Linotype"/>
        </w:rPr>
        <w:t>que</w:t>
      </w:r>
      <w:r w:rsidR="00C049E2" w:rsidRPr="00ED150A">
        <w:rPr>
          <w:rFonts w:eastAsia="Palatino Linotype"/>
        </w:rPr>
        <w:t xml:space="preserve"> la solicitud es la garantía primaria del Derecho de Acceso a la Información, además, establece que se regirá </w:t>
      </w:r>
      <w:r w:rsidR="00C049E2" w:rsidRPr="00ED150A">
        <w:rPr>
          <w:rFonts w:eastAsia="Palatino Linotype"/>
          <w:i/>
        </w:rPr>
        <w:t>por los principios de simplicidad, rapidez</w:t>
      </w:r>
      <w:r w:rsidR="005F65B7" w:rsidRPr="00ED150A">
        <w:rPr>
          <w:rFonts w:eastAsia="Palatino Linotype"/>
          <w:i/>
        </w:rPr>
        <w:t>,</w:t>
      </w:r>
      <w:r w:rsidR="00C049E2" w:rsidRPr="00ED150A">
        <w:rPr>
          <w:rFonts w:eastAsia="Palatino Linotype"/>
          <w:i/>
        </w:rPr>
        <w:t xml:space="preserve"> gratuidad del procedimiento, auxilio y orientación a los particulare</w:t>
      </w:r>
      <w:r w:rsidR="001A58B3" w:rsidRPr="00ED150A">
        <w:rPr>
          <w:rFonts w:eastAsia="Palatino Linotype"/>
          <w:i/>
        </w:rPr>
        <w:t>s.</w:t>
      </w:r>
    </w:p>
    <w:p w14:paraId="033466A6" w14:textId="77777777" w:rsidR="001A58B3" w:rsidRPr="00ED150A" w:rsidRDefault="001A58B3" w:rsidP="00ED150A">
      <w:pPr>
        <w:rPr>
          <w:rFonts w:eastAsia="Palatino Linotype"/>
          <w:i/>
        </w:rPr>
      </w:pPr>
    </w:p>
    <w:p w14:paraId="04ADA10B" w14:textId="574A944A" w:rsidR="001A58B3" w:rsidRPr="00ED150A" w:rsidRDefault="00233F17" w:rsidP="00ED150A">
      <w:pPr>
        <w:rPr>
          <w:rFonts w:eastAsia="Palatino Linotype" w:cs="Palatino Linotype"/>
          <w:i/>
          <w:szCs w:val="22"/>
        </w:rPr>
      </w:pPr>
      <w:r w:rsidRPr="00ED150A">
        <w:rPr>
          <w:rFonts w:eastAsia="Palatino Linotype" w:cs="Palatino Linotype"/>
        </w:rPr>
        <w:t xml:space="preserve">Por su parte, el artículo 4 de </w:t>
      </w:r>
      <w:r w:rsidR="001A58B3" w:rsidRPr="00ED150A">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ED150A">
        <w:rPr>
          <w:rFonts w:eastAsia="Palatino Linotype" w:cs="Palatino Linotype"/>
        </w:rPr>
        <w:t>.</w:t>
      </w:r>
    </w:p>
    <w:p w14:paraId="1407DBB8" w14:textId="77777777" w:rsidR="001A58B3" w:rsidRPr="00ED150A" w:rsidRDefault="001A58B3" w:rsidP="00ED150A">
      <w:pPr>
        <w:rPr>
          <w:rFonts w:eastAsia="Palatino Linotype" w:cs="Palatino Linotype"/>
        </w:rPr>
      </w:pPr>
    </w:p>
    <w:p w14:paraId="7552AA79" w14:textId="5C52E4A4" w:rsidR="001A58B3" w:rsidRPr="00ED150A" w:rsidRDefault="001A58B3" w:rsidP="00ED150A">
      <w:pPr>
        <w:rPr>
          <w:rFonts w:eastAsia="Palatino Linotype" w:cs="Palatino Linotype"/>
        </w:rPr>
      </w:pPr>
      <w:r w:rsidRPr="00ED150A">
        <w:rPr>
          <w:rFonts w:eastAsia="Palatino Linotype" w:cs="Palatino Linotype"/>
        </w:rPr>
        <w:t xml:space="preserve">Esto es, que los Sujetos Obligados </w:t>
      </w:r>
      <w:r w:rsidR="00FA5957" w:rsidRPr="00ED150A">
        <w:rPr>
          <w:rFonts w:eastAsia="Palatino Linotype" w:cs="Palatino Linotype"/>
        </w:rPr>
        <w:t>deben</w:t>
      </w:r>
      <w:r w:rsidRPr="00ED150A">
        <w:rPr>
          <w:rFonts w:eastAsia="Palatino Linotype" w:cs="Palatino Linotype"/>
        </w:rPr>
        <w:t xml:space="preserve"> atender las solicitudes de acceso a la información pública que se les </w:t>
      </w:r>
      <w:r w:rsidR="00FA5957" w:rsidRPr="00ED150A">
        <w:rPr>
          <w:rFonts w:eastAsia="Palatino Linotype" w:cs="Palatino Linotype"/>
        </w:rPr>
        <w:t>sean realizadas,</w:t>
      </w:r>
      <w:r w:rsidRPr="00ED150A">
        <w:rPr>
          <w:rFonts w:eastAsia="Palatino Linotype" w:cs="Palatino Linotype"/>
        </w:rPr>
        <w:t xml:space="preserve"> y proporcionar la información pública que obre en su poder</w:t>
      </w:r>
      <w:r w:rsidR="00FA5957" w:rsidRPr="00ED150A">
        <w:rPr>
          <w:rFonts w:eastAsia="Palatino Linotype" w:cs="Palatino Linotype"/>
        </w:rPr>
        <w:t>,</w:t>
      </w:r>
      <w:r w:rsidRPr="00ED150A">
        <w:rPr>
          <w:rFonts w:eastAsia="Palatino Linotype" w:cs="Palatino Linotype"/>
        </w:rPr>
        <w:t xml:space="preserve"> conforme </w:t>
      </w:r>
      <w:r w:rsidR="00FA5957" w:rsidRPr="00ED150A">
        <w:rPr>
          <w:rFonts w:eastAsia="Palatino Linotype" w:cs="Palatino Linotype"/>
        </w:rPr>
        <w:t>a</w:t>
      </w:r>
      <w:r w:rsidRPr="00ED150A">
        <w:rPr>
          <w:rFonts w:eastAsia="Palatino Linotype" w:cs="Palatino Linotype"/>
        </w:rPr>
        <w:t xml:space="preserve">l estado </w:t>
      </w:r>
      <w:r w:rsidR="00FA5957" w:rsidRPr="00ED150A">
        <w:rPr>
          <w:rFonts w:eastAsia="Palatino Linotype" w:cs="Palatino Linotype"/>
        </w:rPr>
        <w:t xml:space="preserve">en </w:t>
      </w:r>
      <w:r w:rsidRPr="00ED150A">
        <w:rPr>
          <w:rFonts w:eastAsia="Palatino Linotype" w:cs="Palatino Linotype"/>
        </w:rPr>
        <w:t>que se encuentr</w:t>
      </w:r>
      <w:r w:rsidR="00FA5957" w:rsidRPr="00ED150A">
        <w:rPr>
          <w:rFonts w:eastAsia="Palatino Linotype" w:cs="Palatino Linotype"/>
        </w:rPr>
        <w:t>e, sin que sea necesario</w:t>
      </w:r>
      <w:r w:rsidRPr="00ED150A">
        <w:rPr>
          <w:rFonts w:eastAsia="Palatino Linotype" w:cs="Palatino Linotype"/>
        </w:rPr>
        <w:t xml:space="preserve"> </w:t>
      </w:r>
      <w:r w:rsidR="00FA5957" w:rsidRPr="00ED150A">
        <w:rPr>
          <w:rFonts w:eastAsia="Palatino Linotype" w:cs="Palatino Linotype"/>
        </w:rPr>
        <w:t>procesar</w:t>
      </w:r>
      <w:r w:rsidRPr="00ED150A">
        <w:rPr>
          <w:rFonts w:eastAsia="Palatino Linotype" w:cs="Palatino Linotype"/>
        </w:rPr>
        <w:t xml:space="preserve"> la misma, ni presentarla conforme al interés del solicitante; </w:t>
      </w:r>
      <w:r w:rsidR="00FA5957" w:rsidRPr="00ED150A">
        <w:rPr>
          <w:rFonts w:eastAsia="Palatino Linotype" w:cs="Palatino Linotype"/>
        </w:rPr>
        <w:t>tal y como</w:t>
      </w:r>
      <w:r w:rsidRPr="00ED150A">
        <w:rPr>
          <w:rFonts w:eastAsia="Palatino Linotype" w:cs="Palatino Linotype"/>
        </w:rPr>
        <w:t xml:space="preserve"> lo establece el artículo 12 de la Ley de Transparencia y Acceso a la Información Pública del Estado de México y Municipios</w:t>
      </w:r>
      <w:r w:rsidR="00970EB3" w:rsidRPr="00ED150A">
        <w:rPr>
          <w:rFonts w:eastAsia="Palatino Linotype" w:cs="Palatino Linotype"/>
        </w:rPr>
        <w:t>.</w:t>
      </w:r>
    </w:p>
    <w:p w14:paraId="73245195" w14:textId="77777777" w:rsidR="00970EB3" w:rsidRPr="00ED150A" w:rsidRDefault="00970EB3" w:rsidP="00ED150A">
      <w:pPr>
        <w:rPr>
          <w:rFonts w:eastAsia="Palatino Linotype" w:cs="Palatino Linotype"/>
        </w:rPr>
      </w:pPr>
    </w:p>
    <w:p w14:paraId="7F62D4DF" w14:textId="775730E1" w:rsidR="001A58B3" w:rsidRPr="00ED150A" w:rsidRDefault="001A58B3" w:rsidP="00ED150A">
      <w:pPr>
        <w:rPr>
          <w:rFonts w:eastAsia="Palatino Linotype" w:cs="Palatino Linotype"/>
        </w:rPr>
      </w:pPr>
      <w:r w:rsidRPr="00ED150A">
        <w:rPr>
          <w:rFonts w:eastAsia="Palatino Linotype" w:cs="Palatino Linotype"/>
        </w:rPr>
        <w:lastRenderedPageBreak/>
        <w:t>Es decir, que todo sujeto obligado que genere, recopile, administre, procese, archive, posea o conserven, son responsables de la misma</w:t>
      </w:r>
      <w:r w:rsidR="00970EB3" w:rsidRPr="00ED150A">
        <w:rPr>
          <w:rFonts w:eastAsia="Palatino Linotype" w:cs="Palatino Linotype"/>
        </w:rPr>
        <w:t>,</w:t>
      </w:r>
      <w:r w:rsidRPr="00ED150A">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ED150A">
        <w:rPr>
          <w:rFonts w:eastAsia="Palatino Linotype" w:cs="Palatino Linotype"/>
        </w:rPr>
        <w:t>o</w:t>
      </w:r>
      <w:r w:rsidRPr="00ED150A">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ED150A" w:rsidRDefault="001A58B3" w:rsidP="00ED150A">
      <w:pPr>
        <w:rPr>
          <w:rFonts w:eastAsia="Palatino Linotype" w:cs="Palatino Linotype"/>
        </w:rPr>
      </w:pPr>
    </w:p>
    <w:p w14:paraId="04E42DFE" w14:textId="573F1198" w:rsidR="001A58B3" w:rsidRPr="00ED150A" w:rsidRDefault="001A58B3" w:rsidP="00ED150A">
      <w:pPr>
        <w:rPr>
          <w:rFonts w:eastAsia="Palatino Linotype" w:cs="Palatino Linotype"/>
        </w:rPr>
      </w:pPr>
      <w:r w:rsidRPr="00ED150A">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ED150A">
        <w:rPr>
          <w:rFonts w:eastAsia="Palatino Linotype" w:cs="Palatino Linotype"/>
        </w:rPr>
        <w:t>, s</w:t>
      </w:r>
      <w:r w:rsidRPr="00ED150A">
        <w:rPr>
          <w:rFonts w:eastAsia="Palatino Linotype" w:cs="Palatino Linotype"/>
        </w:rPr>
        <w:t xml:space="preserve">iempre y cuando no se trate de información reservada o </w:t>
      </w:r>
      <w:r w:rsidR="00331F35" w:rsidRPr="00ED150A">
        <w:rPr>
          <w:rFonts w:eastAsia="Palatino Linotype" w:cs="Palatino Linotype"/>
        </w:rPr>
        <w:t>confidencial.</w:t>
      </w:r>
    </w:p>
    <w:p w14:paraId="40C5219F" w14:textId="77777777" w:rsidR="001A58B3" w:rsidRPr="00ED150A" w:rsidRDefault="001A58B3" w:rsidP="00ED150A">
      <w:pPr>
        <w:rPr>
          <w:rFonts w:eastAsia="Palatino Linotype" w:cs="Palatino Linotype"/>
        </w:rPr>
      </w:pPr>
    </w:p>
    <w:p w14:paraId="2E629608" w14:textId="01727E15" w:rsidR="00C049E2" w:rsidRPr="00ED150A" w:rsidRDefault="006067C7" w:rsidP="00ED150A">
      <w:pPr>
        <w:rPr>
          <w:rFonts w:eastAsia="Palatino Linotype"/>
        </w:rPr>
      </w:pPr>
      <w:bookmarkStart w:id="33" w:name="_heading=h.2s8eyo1" w:colFirst="0" w:colLast="0"/>
      <w:bookmarkEnd w:id="33"/>
      <w:r w:rsidRPr="00ED150A">
        <w:rPr>
          <w:rFonts w:eastAsia="Palatino Linotype"/>
        </w:rPr>
        <w:t>Con base en lo anterior</w:t>
      </w:r>
      <w:r w:rsidR="00B22A80" w:rsidRPr="00ED150A">
        <w:rPr>
          <w:rFonts w:eastAsia="Palatino Linotype"/>
        </w:rPr>
        <w:t>, se considera que</w:t>
      </w:r>
      <w:r w:rsidR="00C049E2" w:rsidRPr="00ED150A">
        <w:rPr>
          <w:rFonts w:eastAsia="Palatino Linotype"/>
        </w:rPr>
        <w:t xml:space="preserve"> </w:t>
      </w:r>
      <w:r w:rsidR="00B22A80" w:rsidRPr="00ED150A">
        <w:rPr>
          <w:rFonts w:eastAsia="Palatino Linotype"/>
          <w:b/>
          <w:bCs/>
        </w:rPr>
        <w:t>EL</w:t>
      </w:r>
      <w:r w:rsidR="00C049E2" w:rsidRPr="00ED150A">
        <w:rPr>
          <w:rFonts w:eastAsia="Palatino Linotype"/>
        </w:rPr>
        <w:t xml:space="preserve"> </w:t>
      </w:r>
      <w:r w:rsidR="00C049E2" w:rsidRPr="00ED150A">
        <w:rPr>
          <w:rFonts w:eastAsia="Palatino Linotype"/>
          <w:b/>
        </w:rPr>
        <w:t>SUJETO OBLIGADO</w:t>
      </w:r>
      <w:r w:rsidR="00C049E2" w:rsidRPr="00ED150A">
        <w:rPr>
          <w:rFonts w:eastAsia="Palatino Linotype"/>
        </w:rPr>
        <w:t xml:space="preserve"> </w:t>
      </w:r>
      <w:r w:rsidR="00B22A80" w:rsidRPr="00ED150A">
        <w:rPr>
          <w:rFonts w:eastAsia="Palatino Linotype"/>
        </w:rPr>
        <w:t xml:space="preserve">se </w:t>
      </w:r>
      <w:r w:rsidR="00717E59" w:rsidRPr="00ED150A">
        <w:rPr>
          <w:rFonts w:eastAsia="Palatino Linotype"/>
        </w:rPr>
        <w:t>encontraba</w:t>
      </w:r>
      <w:r w:rsidR="00B22A80" w:rsidRPr="00ED150A">
        <w:rPr>
          <w:rFonts w:eastAsia="Palatino Linotype"/>
        </w:rPr>
        <w:t xml:space="preserve"> compelido a</w:t>
      </w:r>
      <w:r w:rsidR="00C049E2" w:rsidRPr="00ED150A">
        <w:rPr>
          <w:rFonts w:eastAsia="Palatino Linotype"/>
        </w:rPr>
        <w:t xml:space="preserve"> atender la solicitud de acceso a la información </w:t>
      </w:r>
      <w:r w:rsidR="00B22A80" w:rsidRPr="00ED150A">
        <w:rPr>
          <w:rFonts w:eastAsia="Palatino Linotype"/>
        </w:rPr>
        <w:t xml:space="preserve">realizada por </w:t>
      </w:r>
      <w:r w:rsidR="00B22A80" w:rsidRPr="00ED150A">
        <w:rPr>
          <w:rFonts w:eastAsia="Palatino Linotype"/>
          <w:b/>
          <w:bCs/>
        </w:rPr>
        <w:t>LA PARTE RECURRENTE</w:t>
      </w:r>
      <w:r w:rsidR="00331F35" w:rsidRPr="00ED150A">
        <w:rPr>
          <w:rFonts w:eastAsia="Palatino Linotype"/>
        </w:rPr>
        <w:t>.</w:t>
      </w:r>
    </w:p>
    <w:p w14:paraId="1611F147" w14:textId="77777777" w:rsidR="00BD5A7C" w:rsidRPr="00ED150A" w:rsidRDefault="00BD5A7C" w:rsidP="00ED150A">
      <w:pPr>
        <w:rPr>
          <w:rFonts w:eastAsia="Palatino Linotype"/>
        </w:rPr>
      </w:pPr>
    </w:p>
    <w:p w14:paraId="51A0E8B4" w14:textId="676DCA47" w:rsidR="00664420" w:rsidRPr="00ED150A" w:rsidRDefault="00C71CEF" w:rsidP="00ED150A">
      <w:pPr>
        <w:pStyle w:val="Ttulo3"/>
        <w:rPr>
          <w:rFonts w:eastAsia="Calibri"/>
          <w:lang w:eastAsia="es-ES_tradnl"/>
        </w:rPr>
      </w:pPr>
      <w:bookmarkStart w:id="34" w:name="_Toc195125471"/>
      <w:r w:rsidRPr="00ED150A">
        <w:rPr>
          <w:rFonts w:eastAsia="Calibri"/>
          <w:lang w:eastAsia="es-ES_tradnl"/>
        </w:rPr>
        <w:t>b)</w:t>
      </w:r>
      <w:r w:rsidR="00A53315" w:rsidRPr="00ED150A">
        <w:rPr>
          <w:rFonts w:eastAsia="Calibri"/>
          <w:lang w:eastAsia="es-ES_tradnl"/>
        </w:rPr>
        <w:t xml:space="preserve"> </w:t>
      </w:r>
      <w:r w:rsidR="00A21A20" w:rsidRPr="00ED150A">
        <w:rPr>
          <w:rFonts w:eastAsia="Calibri"/>
          <w:lang w:eastAsia="es-ES_tradnl"/>
        </w:rPr>
        <w:t>Controversia a resolver</w:t>
      </w:r>
      <w:bookmarkEnd w:id="34"/>
    </w:p>
    <w:p w14:paraId="7F4FFA79" w14:textId="6641A633" w:rsidR="001220C3" w:rsidRPr="00ED150A" w:rsidRDefault="00664420" w:rsidP="00ED150A">
      <w:pPr>
        <w:rPr>
          <w:rFonts w:eastAsia="Calibri"/>
          <w:lang w:eastAsia="es-ES_tradnl"/>
        </w:rPr>
      </w:pPr>
      <w:r w:rsidRPr="00ED150A">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ED150A">
        <w:rPr>
          <w:rFonts w:eastAsia="Calibri"/>
          <w:b/>
          <w:bCs/>
          <w:lang w:eastAsia="es-ES_tradnl"/>
        </w:rPr>
        <w:t>LA PARTE RECURRENTE</w:t>
      </w:r>
      <w:r w:rsidR="004565C2" w:rsidRPr="00ED150A">
        <w:rPr>
          <w:rFonts w:eastAsia="Calibri"/>
          <w:lang w:eastAsia="es-ES_tradnl"/>
        </w:rPr>
        <w:t xml:space="preserve"> solicitó</w:t>
      </w:r>
      <w:r w:rsidR="009246CF" w:rsidRPr="00ED150A">
        <w:rPr>
          <w:rFonts w:eastAsia="Calibri"/>
          <w:lang w:eastAsia="es-ES_tradnl"/>
        </w:rPr>
        <w:t xml:space="preserve"> </w:t>
      </w:r>
      <w:r w:rsidR="001220C3" w:rsidRPr="00ED150A">
        <w:rPr>
          <w:rFonts w:eastAsia="Calibri"/>
          <w:lang w:eastAsia="es-ES_tradnl"/>
        </w:rPr>
        <w:t xml:space="preserve">el programa </w:t>
      </w:r>
      <w:r w:rsidR="00D0063F" w:rsidRPr="00ED150A">
        <w:rPr>
          <w:rFonts w:eastAsia="Calibri"/>
          <w:lang w:eastAsia="es-ES_tradnl"/>
        </w:rPr>
        <w:t xml:space="preserve">anual </w:t>
      </w:r>
      <w:r w:rsidR="001220C3" w:rsidRPr="00ED150A">
        <w:rPr>
          <w:rFonts w:eastAsia="Calibri"/>
          <w:lang w:eastAsia="es-ES_tradnl"/>
        </w:rPr>
        <w:t xml:space="preserve">de obra 2025. </w:t>
      </w:r>
    </w:p>
    <w:p w14:paraId="1C38D5BB" w14:textId="77777777" w:rsidR="001220C3" w:rsidRPr="00ED150A" w:rsidRDefault="001220C3" w:rsidP="00ED150A">
      <w:pPr>
        <w:rPr>
          <w:rFonts w:eastAsia="Calibri"/>
          <w:lang w:eastAsia="es-ES_tradnl"/>
        </w:rPr>
      </w:pPr>
    </w:p>
    <w:p w14:paraId="69814C2A" w14:textId="10A40F77" w:rsidR="00473D8C" w:rsidRPr="00ED150A" w:rsidRDefault="00462338" w:rsidP="00ED150A">
      <w:pPr>
        <w:tabs>
          <w:tab w:val="left" w:pos="4962"/>
        </w:tabs>
        <w:contextualSpacing/>
        <w:rPr>
          <w:rFonts w:cs="Tahoma"/>
          <w:szCs w:val="22"/>
          <w:lang w:val="es-ES"/>
        </w:rPr>
      </w:pPr>
      <w:r w:rsidRPr="00ED150A">
        <w:rPr>
          <w:rFonts w:eastAsiaTheme="minorHAnsi" w:cs="Tahoma"/>
          <w:bCs/>
          <w:iCs/>
          <w:szCs w:val="22"/>
          <w:lang w:eastAsia="en-US"/>
        </w:rPr>
        <w:t xml:space="preserve">En respuesta, </w:t>
      </w:r>
      <w:r w:rsidRPr="00ED150A">
        <w:rPr>
          <w:rFonts w:eastAsiaTheme="minorHAnsi" w:cs="Tahoma"/>
          <w:b/>
          <w:iCs/>
          <w:szCs w:val="22"/>
          <w:lang w:eastAsia="en-US"/>
        </w:rPr>
        <w:t>EL SUJETO OBLIGADO</w:t>
      </w:r>
      <w:r w:rsidR="007E069C" w:rsidRPr="00ED150A">
        <w:rPr>
          <w:rFonts w:eastAsiaTheme="minorHAnsi" w:cs="Tahoma"/>
          <w:b/>
          <w:iCs/>
          <w:szCs w:val="22"/>
          <w:lang w:eastAsia="en-US"/>
        </w:rPr>
        <w:t xml:space="preserve"> </w:t>
      </w:r>
      <w:r w:rsidR="001220C3" w:rsidRPr="00ED150A">
        <w:rPr>
          <w:rFonts w:eastAsiaTheme="minorHAnsi" w:cs="Tahoma"/>
          <w:iCs/>
          <w:szCs w:val="22"/>
          <w:lang w:eastAsia="en-US"/>
        </w:rPr>
        <w:t xml:space="preserve">adjuntó </w:t>
      </w:r>
      <w:r w:rsidR="001220C3" w:rsidRPr="00ED150A">
        <w:rPr>
          <w:rFonts w:cs="Tahoma"/>
          <w:szCs w:val="22"/>
          <w:lang w:val="es-ES"/>
        </w:rPr>
        <w:t xml:space="preserve">oficio </w:t>
      </w:r>
      <w:r w:rsidR="00473D8C" w:rsidRPr="00ED150A">
        <w:rPr>
          <w:rFonts w:cs="Tahoma"/>
          <w:szCs w:val="22"/>
          <w:lang w:val="es-ES"/>
        </w:rPr>
        <w:t xml:space="preserve">por medio del cual el Director de Obras Públicas refiere que a{un no se cuenta con el Programa Anual de Obra autorizado para el año </w:t>
      </w:r>
      <w:r w:rsidR="00473D8C" w:rsidRPr="00ED150A">
        <w:rPr>
          <w:rFonts w:cs="Tahoma"/>
          <w:szCs w:val="22"/>
          <w:lang w:val="es-ES"/>
        </w:rPr>
        <w:lastRenderedPageBreak/>
        <w:t>2025, teniendo como fecha límite el veinticinco de febrero del presente año, de acuerdo con el OSFEM.</w:t>
      </w:r>
    </w:p>
    <w:p w14:paraId="4BAD2504" w14:textId="77777777" w:rsidR="00473D8C" w:rsidRPr="00ED150A" w:rsidRDefault="00473D8C" w:rsidP="00ED150A">
      <w:pPr>
        <w:tabs>
          <w:tab w:val="left" w:pos="4962"/>
        </w:tabs>
        <w:contextualSpacing/>
        <w:rPr>
          <w:rFonts w:cs="Tahoma"/>
          <w:szCs w:val="22"/>
          <w:lang w:val="es-ES"/>
        </w:rPr>
      </w:pPr>
    </w:p>
    <w:p w14:paraId="7B62F4F7" w14:textId="1592BDDB" w:rsidR="00DA54C1" w:rsidRPr="00ED150A" w:rsidRDefault="00CF7586" w:rsidP="00ED150A">
      <w:pPr>
        <w:autoSpaceDE w:val="0"/>
        <w:autoSpaceDN w:val="0"/>
        <w:adjustRightInd w:val="0"/>
        <w:ind w:right="-28"/>
        <w:rPr>
          <w:rFonts w:eastAsiaTheme="minorHAnsi" w:cs="Tahoma"/>
          <w:bCs/>
          <w:iCs/>
          <w:szCs w:val="22"/>
          <w:lang w:eastAsia="en-US"/>
        </w:rPr>
      </w:pPr>
      <w:r w:rsidRPr="00ED150A">
        <w:rPr>
          <w:rFonts w:eastAsiaTheme="minorHAnsi" w:cs="Tahoma"/>
          <w:bCs/>
          <w:iCs/>
          <w:szCs w:val="22"/>
          <w:lang w:eastAsia="en-US"/>
        </w:rPr>
        <w:t xml:space="preserve">Ahora bien, en la interposición del presente recurso </w:t>
      </w:r>
      <w:r w:rsidRPr="00ED150A">
        <w:rPr>
          <w:rFonts w:eastAsiaTheme="minorHAnsi" w:cs="Tahoma"/>
          <w:b/>
          <w:iCs/>
          <w:szCs w:val="22"/>
          <w:lang w:eastAsia="en-US"/>
        </w:rPr>
        <w:t>LA PARTE RECURRENTE</w:t>
      </w:r>
      <w:r w:rsidR="00237120" w:rsidRPr="00ED150A">
        <w:rPr>
          <w:rFonts w:eastAsiaTheme="minorHAnsi" w:cs="Tahoma"/>
          <w:bCs/>
          <w:iCs/>
          <w:szCs w:val="22"/>
          <w:lang w:eastAsia="en-US"/>
        </w:rPr>
        <w:t xml:space="preserve"> s</w:t>
      </w:r>
      <w:r w:rsidR="00E11AA0" w:rsidRPr="00ED150A">
        <w:rPr>
          <w:rFonts w:eastAsiaTheme="minorHAnsi" w:cs="Tahoma"/>
          <w:bCs/>
          <w:iCs/>
          <w:szCs w:val="22"/>
          <w:lang w:eastAsia="en-US"/>
        </w:rPr>
        <w:t xml:space="preserve">e inconformó medularmente </w:t>
      </w:r>
      <w:r w:rsidR="00462338" w:rsidRPr="00ED150A">
        <w:rPr>
          <w:rFonts w:eastAsiaTheme="minorHAnsi" w:cs="Tahoma"/>
          <w:bCs/>
          <w:iCs/>
          <w:szCs w:val="22"/>
          <w:lang w:eastAsia="en-US"/>
        </w:rPr>
        <w:t>por</w:t>
      </w:r>
      <w:r w:rsidR="001220C3" w:rsidRPr="00ED150A">
        <w:rPr>
          <w:rFonts w:eastAsiaTheme="minorHAnsi" w:cs="Tahoma"/>
          <w:bCs/>
          <w:iCs/>
          <w:szCs w:val="22"/>
          <w:lang w:eastAsia="en-US"/>
        </w:rPr>
        <w:t>que no se le hizo entrega de la información</w:t>
      </w:r>
      <w:r w:rsidR="007E069C" w:rsidRPr="00ED150A">
        <w:rPr>
          <w:rFonts w:eastAsiaTheme="minorHAnsi" w:cs="Tahoma"/>
          <w:bCs/>
          <w:iCs/>
          <w:szCs w:val="22"/>
          <w:lang w:eastAsia="en-US"/>
        </w:rPr>
        <w:t>.</w:t>
      </w:r>
      <w:r w:rsidR="009246CF" w:rsidRPr="00ED150A">
        <w:rPr>
          <w:rFonts w:eastAsiaTheme="minorHAnsi" w:cs="Tahoma"/>
          <w:bCs/>
          <w:iCs/>
          <w:szCs w:val="22"/>
          <w:lang w:eastAsia="en-US"/>
        </w:rPr>
        <w:t xml:space="preserve"> </w:t>
      </w:r>
      <w:r w:rsidR="0002630F" w:rsidRPr="00ED150A">
        <w:rPr>
          <w:rFonts w:eastAsiaTheme="minorHAnsi" w:cs="Tahoma"/>
          <w:bCs/>
          <w:iCs/>
          <w:szCs w:val="22"/>
          <w:lang w:eastAsia="en-US"/>
        </w:rPr>
        <w:t xml:space="preserve"> </w:t>
      </w:r>
    </w:p>
    <w:p w14:paraId="62D736AD" w14:textId="77777777" w:rsidR="00DA54C1" w:rsidRPr="00ED150A" w:rsidRDefault="00DA54C1" w:rsidP="00ED150A">
      <w:pPr>
        <w:tabs>
          <w:tab w:val="left" w:pos="4962"/>
        </w:tabs>
        <w:contextualSpacing/>
        <w:rPr>
          <w:rFonts w:eastAsiaTheme="minorHAnsi" w:cs="Tahoma"/>
          <w:bCs/>
          <w:iCs/>
          <w:szCs w:val="22"/>
          <w:lang w:eastAsia="en-US"/>
        </w:rPr>
      </w:pPr>
    </w:p>
    <w:p w14:paraId="5637DCD0" w14:textId="77777777" w:rsidR="00473D8C" w:rsidRPr="00ED150A" w:rsidRDefault="00473D8C" w:rsidP="00ED150A">
      <w:pPr>
        <w:pStyle w:val="Prrafodelista"/>
        <w:widowControl w:val="0"/>
        <w:autoSpaceDE w:val="0"/>
        <w:autoSpaceDN w:val="0"/>
        <w:adjustRightInd w:val="0"/>
        <w:ind w:left="0"/>
      </w:pPr>
      <w:r w:rsidRPr="00ED150A">
        <w:rPr>
          <w:rFonts w:eastAsiaTheme="minorHAnsi" w:cs="Tahoma"/>
          <w:bCs/>
          <w:iCs/>
          <w:szCs w:val="22"/>
          <w:lang w:eastAsia="en-US"/>
        </w:rPr>
        <w:t>Asimismo</w:t>
      </w:r>
      <w:r w:rsidRPr="00ED150A">
        <w:t xml:space="preserve">, es importante señalar que </w:t>
      </w:r>
      <w:r w:rsidRPr="00ED150A">
        <w:rPr>
          <w:b/>
          <w:iCs/>
        </w:rPr>
        <w:t>LA PARTE RECURRENTE</w:t>
      </w:r>
      <w:r w:rsidRPr="00ED150A">
        <w:rPr>
          <w:bCs/>
          <w:iCs/>
        </w:rPr>
        <w:t xml:space="preserve"> </w:t>
      </w:r>
      <w:r w:rsidRPr="00ED150A">
        <w:t xml:space="preserve">no realizó manifestaciones, alegatos o pruebas y por su parte </w:t>
      </w:r>
      <w:r w:rsidRPr="00ED150A">
        <w:rPr>
          <w:b/>
        </w:rPr>
        <w:t>EL SUJETO OBLIGADO</w:t>
      </w:r>
      <w:r w:rsidRPr="00ED150A">
        <w:rPr>
          <w:rFonts w:cs="Arial"/>
        </w:rPr>
        <w:t xml:space="preserve"> omitió rendir su </w:t>
      </w:r>
      <w:r w:rsidRPr="00ED150A">
        <w:t xml:space="preserve">Informe Justificado, en el término establecido en el numeral 185, fracción II de la Ley de Transparencia y Acceso a la Información Pública del Estado de México y Municipios. </w:t>
      </w:r>
    </w:p>
    <w:p w14:paraId="6030DDA4" w14:textId="77777777" w:rsidR="00462338" w:rsidRPr="00ED150A" w:rsidRDefault="00462338" w:rsidP="00ED150A">
      <w:pPr>
        <w:pStyle w:val="Prrafodelista"/>
        <w:widowControl w:val="0"/>
        <w:autoSpaceDE w:val="0"/>
        <w:autoSpaceDN w:val="0"/>
        <w:adjustRightInd w:val="0"/>
        <w:ind w:left="0"/>
      </w:pPr>
    </w:p>
    <w:p w14:paraId="42CD9852" w14:textId="64594E97" w:rsidR="009E0652" w:rsidRPr="00ED150A" w:rsidRDefault="009E0652" w:rsidP="00ED150A">
      <w:pPr>
        <w:tabs>
          <w:tab w:val="left" w:pos="4962"/>
        </w:tabs>
        <w:contextualSpacing/>
        <w:rPr>
          <w:rFonts w:eastAsiaTheme="minorHAnsi" w:cs="Tahoma"/>
          <w:bCs/>
          <w:iCs/>
          <w:szCs w:val="22"/>
          <w:lang w:eastAsia="en-US"/>
        </w:rPr>
      </w:pPr>
      <w:r w:rsidRPr="00ED150A">
        <w:rPr>
          <w:rFonts w:eastAsiaTheme="minorHAnsi" w:cs="Tahoma"/>
          <w:bCs/>
          <w:iCs/>
          <w:szCs w:val="22"/>
          <w:lang w:eastAsia="en-US"/>
        </w:rPr>
        <w:t xml:space="preserve">Derivado de lo anterior, el estudio se centrará en determinar si la respuesta otorgada colma el derecho de acceso a la información ejercido por </w:t>
      </w:r>
      <w:r w:rsidRPr="00ED150A">
        <w:rPr>
          <w:rFonts w:eastAsiaTheme="minorHAnsi" w:cs="Tahoma"/>
          <w:b/>
          <w:bCs/>
          <w:iCs/>
          <w:szCs w:val="22"/>
          <w:lang w:eastAsia="en-US"/>
        </w:rPr>
        <w:t>LA PARTE RECURRENTE</w:t>
      </w:r>
      <w:r w:rsidRPr="00ED150A">
        <w:rPr>
          <w:rFonts w:eastAsiaTheme="minorHAnsi" w:cs="Tahoma"/>
          <w:bCs/>
          <w:iCs/>
          <w:szCs w:val="22"/>
          <w:lang w:eastAsia="en-US"/>
        </w:rPr>
        <w:t>.</w:t>
      </w:r>
    </w:p>
    <w:p w14:paraId="5128D7A9" w14:textId="77777777" w:rsidR="009E0652" w:rsidRPr="00ED150A" w:rsidRDefault="009E0652" w:rsidP="00ED150A">
      <w:pPr>
        <w:tabs>
          <w:tab w:val="left" w:pos="4962"/>
        </w:tabs>
        <w:contextualSpacing/>
        <w:rPr>
          <w:rFonts w:eastAsiaTheme="minorHAnsi" w:cs="Tahoma"/>
          <w:bCs/>
          <w:iCs/>
          <w:szCs w:val="22"/>
          <w:lang w:eastAsia="en-US"/>
        </w:rPr>
      </w:pPr>
    </w:p>
    <w:p w14:paraId="414FD2D5" w14:textId="4408E416" w:rsidR="00664420" w:rsidRPr="00ED150A" w:rsidRDefault="00A21A20" w:rsidP="00ED150A">
      <w:pPr>
        <w:pStyle w:val="Ttulo3"/>
      </w:pPr>
      <w:bookmarkStart w:id="35" w:name="_Toc195125472"/>
      <w:r w:rsidRPr="00ED150A">
        <w:t>c)</w:t>
      </w:r>
      <w:r w:rsidR="00664420" w:rsidRPr="00ED150A">
        <w:t xml:space="preserve"> </w:t>
      </w:r>
      <w:r w:rsidRPr="00ED150A">
        <w:t>Estudio de la controversia</w:t>
      </w:r>
      <w:bookmarkEnd w:id="35"/>
    </w:p>
    <w:p w14:paraId="1D6A30AA" w14:textId="5D42F2EB" w:rsidR="001E0943" w:rsidRPr="00ED150A" w:rsidRDefault="001E0943" w:rsidP="00ED150A">
      <w:r w:rsidRPr="00ED150A">
        <w:rPr>
          <w:rFonts w:cs="Arial"/>
        </w:rPr>
        <w:t xml:space="preserve">Primero, es necesario destacar que la respuesta fue emitida por el servidor público habilitado de la </w:t>
      </w:r>
      <w:r w:rsidRPr="00ED150A">
        <w:rPr>
          <w:rFonts w:cs="Tahoma"/>
          <w:szCs w:val="22"/>
          <w:lang w:val="es-ES"/>
        </w:rPr>
        <w:t xml:space="preserve">Dirección </w:t>
      </w:r>
      <w:r w:rsidR="00473D8C" w:rsidRPr="00ED150A">
        <w:rPr>
          <w:rFonts w:cs="Tahoma"/>
          <w:szCs w:val="22"/>
          <w:lang w:val="es-ES"/>
        </w:rPr>
        <w:t xml:space="preserve"> de Obras Públicas y Desarrollo U</w:t>
      </w:r>
      <w:r w:rsidR="002A3067" w:rsidRPr="00ED150A">
        <w:rPr>
          <w:rFonts w:cs="Tahoma"/>
          <w:szCs w:val="22"/>
          <w:lang w:val="es-ES"/>
        </w:rPr>
        <w:t>rbano</w:t>
      </w:r>
      <w:r w:rsidRPr="00ED150A">
        <w:rPr>
          <w:rFonts w:cs="Arial"/>
        </w:rPr>
        <w:t xml:space="preserve">, </w:t>
      </w:r>
      <w:r w:rsidR="002A3067" w:rsidRPr="00ED150A">
        <w:rPr>
          <w:rFonts w:cs="Arial"/>
        </w:rPr>
        <w:t>el cual conforme a</w:t>
      </w:r>
      <w:r w:rsidRPr="00ED150A">
        <w:t xml:space="preserve">l artículo 96 Bis de la Ley Orgánica Municipal del Estado de México, dispone que el Director de Obras Públicas tiene entre otras las siguientes atribuciones: </w:t>
      </w:r>
    </w:p>
    <w:p w14:paraId="734ED77D" w14:textId="77777777" w:rsidR="001E0943" w:rsidRPr="00ED150A" w:rsidRDefault="001E0943" w:rsidP="00ED150A"/>
    <w:p w14:paraId="19720010" w14:textId="77777777" w:rsidR="001E0943" w:rsidRPr="00ED150A" w:rsidRDefault="001E0943" w:rsidP="00ED150A">
      <w:pPr>
        <w:pStyle w:val="Puesto"/>
      </w:pPr>
      <w:r w:rsidRPr="00ED150A">
        <w:rPr>
          <w:b/>
        </w:rPr>
        <w:t>Artículo 96. Bis.-</w:t>
      </w:r>
      <w:r w:rsidRPr="00ED150A">
        <w:t xml:space="preserve"> El Director de Obras Públicas o el Titular de la Unidad Administrativa equivalente, tiene las siguientes atribuciones: </w:t>
      </w:r>
    </w:p>
    <w:p w14:paraId="538F4940" w14:textId="77777777" w:rsidR="001E0943" w:rsidRPr="00ED150A" w:rsidRDefault="001E0943" w:rsidP="00ED150A">
      <w:pPr>
        <w:pStyle w:val="Puesto"/>
      </w:pPr>
      <w:r w:rsidRPr="00ED150A">
        <w:t xml:space="preserve">I. Realizar la programación y ejecución de las obras públicas y servicios relacionados, que por orden expresa del Ayuntamiento requieran prioridad; </w:t>
      </w:r>
    </w:p>
    <w:p w14:paraId="32ADC71A" w14:textId="3AF9FACF" w:rsidR="001E0943" w:rsidRPr="00ED150A" w:rsidRDefault="001E0943" w:rsidP="00ED150A">
      <w:pPr>
        <w:pStyle w:val="Puesto"/>
      </w:pPr>
      <w:r w:rsidRPr="00ED150A">
        <w:t>II. Planear y coordinar los proyectos de obras públicas y servicios relacionados con las mismas que autorice el Ayuntamiento, una vez que se cumplan los requisitos de licitación y otros que determine la ley de la materia;</w:t>
      </w:r>
    </w:p>
    <w:p w14:paraId="6D8B3C61" w14:textId="055D7636" w:rsidR="001E0943" w:rsidRPr="00ED150A" w:rsidRDefault="001E0943" w:rsidP="00ED150A">
      <w:pPr>
        <w:pStyle w:val="Puesto"/>
      </w:pPr>
      <w:r w:rsidRPr="00ED150A">
        <w:lastRenderedPageBreak/>
        <w:t>III. Proyectar las obras públicas y servicios relacionados, que realice el Municipio, incluyendo la conservación y mantenimiento de edificios, monumentos, calles, parques y jardines;</w:t>
      </w:r>
    </w:p>
    <w:p w14:paraId="0A2F0506" w14:textId="77777777" w:rsidR="001E0943" w:rsidRPr="00ED150A" w:rsidRDefault="001E0943" w:rsidP="00ED150A">
      <w:pPr>
        <w:pStyle w:val="Puesto"/>
      </w:pPr>
      <w:r w:rsidRPr="00ED150A">
        <w:t xml:space="preserve">IV. Construir y ejecutar todas aquellas obras públicas y servicios relacionados, que aumenten y mantengan la infraestructura municipal y que estén consideradas en el programa respectivo; </w:t>
      </w:r>
    </w:p>
    <w:p w14:paraId="18A90D5B" w14:textId="31D67A06" w:rsidR="001E0943" w:rsidRPr="00ED150A" w:rsidRDefault="001E0943" w:rsidP="00ED150A">
      <w:pPr>
        <w:pStyle w:val="Puesto"/>
      </w:pPr>
      <w:r w:rsidRPr="00ED150A">
        <w:t>…</w:t>
      </w:r>
    </w:p>
    <w:p w14:paraId="65B5F1B3" w14:textId="545690A8" w:rsidR="001E0943" w:rsidRPr="00ED150A" w:rsidRDefault="001E0943" w:rsidP="00ED150A">
      <w:pPr>
        <w:pStyle w:val="Puesto"/>
      </w:pPr>
      <w:r w:rsidRPr="00ED150A">
        <w:t xml:space="preserve">VI. Vigilar que se cumplan y lleven a cabo los programas de construcción y mantenimiento de obras públicas y servicios relacionados; </w:t>
      </w:r>
    </w:p>
    <w:p w14:paraId="17F863B0" w14:textId="3E16A08D" w:rsidR="001E0943" w:rsidRPr="00ED150A" w:rsidRDefault="001E0943" w:rsidP="00ED150A">
      <w:pPr>
        <w:pStyle w:val="Puesto"/>
      </w:pPr>
      <w:r w:rsidRPr="00ED150A">
        <w:t>VIII. Vigilar la construcción en las obras por contrato y por administración que hayan sido adjudicadas a los contratistas;</w:t>
      </w:r>
    </w:p>
    <w:p w14:paraId="3FD56E56" w14:textId="404C238E" w:rsidR="001E0943" w:rsidRPr="00ED150A" w:rsidRDefault="001E0943" w:rsidP="00ED150A">
      <w:pPr>
        <w:pStyle w:val="Puesto"/>
      </w:pPr>
      <w:r w:rsidRPr="00ED150A">
        <w:t xml:space="preserve">IX. Administrar y ejercer, en el ámbito de su competencia, de manera coordinada con el Tesorero municipal, los recursos públicos destinados a la planeación, programación, </w:t>
      </w:r>
      <w:proofErr w:type="spellStart"/>
      <w:r w:rsidRPr="00ED150A">
        <w:t>presupuestación</w:t>
      </w:r>
      <w:proofErr w:type="spellEnd"/>
      <w:r w:rsidRPr="00ED150A">
        <w:t>, adjudicación, contratación, ejecución y control de la obra pública, conforme a las disposiciones legales aplicables y en congruencia con los planes, programas, especificaciones técnicas, controles y procedimientos administrativos aprobados;</w:t>
      </w:r>
    </w:p>
    <w:p w14:paraId="30BBD1B9" w14:textId="6E07935B" w:rsidR="001E0943" w:rsidRPr="00ED150A" w:rsidRDefault="001E0943" w:rsidP="00ED150A">
      <w:pPr>
        <w:pStyle w:val="Puesto"/>
      </w:pPr>
      <w:r w:rsidRPr="00ED150A">
        <w:t>X. Verificar que las obras públicas y los servicios relacionados con la misma, hayan sido programadas, presupuestadas, ejecutadas, adquiridas y contratadas en estricto apego a las disposiciones legales aplicables;</w:t>
      </w:r>
    </w:p>
    <w:p w14:paraId="54866271" w14:textId="0C17D86E" w:rsidR="001E0943" w:rsidRPr="00ED150A" w:rsidRDefault="001E0943" w:rsidP="00ED150A">
      <w:pPr>
        <w:pStyle w:val="Puesto"/>
      </w:pPr>
      <w:r w:rsidRPr="00ED150A">
        <w:t>…</w:t>
      </w:r>
    </w:p>
    <w:p w14:paraId="24B12BE3" w14:textId="7658B693" w:rsidR="001E0943" w:rsidRPr="00ED150A" w:rsidRDefault="001E0943" w:rsidP="00ED150A">
      <w:pPr>
        <w:pStyle w:val="Puesto"/>
      </w:pPr>
      <w:r w:rsidRPr="00ED150A">
        <w:t>XX. Autorizar para su pago, previa validación del avance y calidad de las obras, los presupuestos y estimaciones que presenten los contratistas de obras públicas municipales;</w:t>
      </w:r>
    </w:p>
    <w:p w14:paraId="119843E9" w14:textId="77777777" w:rsidR="001E0943" w:rsidRPr="00ED150A" w:rsidRDefault="001E0943" w:rsidP="00ED150A">
      <w:pPr>
        <w:pStyle w:val="Puesto"/>
        <w:ind w:left="0"/>
      </w:pPr>
    </w:p>
    <w:p w14:paraId="6AAA454A" w14:textId="059DDF9F" w:rsidR="001E0943" w:rsidRPr="00ED150A" w:rsidRDefault="001E0943" w:rsidP="00ED150A">
      <w:r w:rsidRPr="00ED150A">
        <w:t xml:space="preserve">Asimismo, no se  omite comentar que de conformidad con los artículos 12.4 y 12.5 del Código Administrativo del Estado de México, se considera obra pública todo trabajo que tenga por objeto principal construir, instalar, ampliar, adecuar, remodelar, restaurar, conservar, mantener, modificar o demoler bienes inmuebles propiedad del Estado, de sus dependencias y entidades y de los municipios y sus organismos con cargo a recursos públicos estatales o municipales; y por servicios relacionados con la obra pública, los trabajos que tengan por objeto concebir, diseñar y calcular los elementos que integran un proyecto de obra pública; las investigaciones, estudios, asesorías y consultorías que se vinculen con los actos que regula el Libro Décimo Segundo del Código, la dirección y supervisión de la ejecución de las obras y los estudios que tengan por objeto principal rehabilitar, corregir o incrementar la eficiencia de </w:t>
      </w:r>
      <w:r w:rsidRPr="00ED150A">
        <w:lastRenderedPageBreak/>
        <w:t>las instalaciones con excepción de los trabajos regulados por el Libro Décimo Sexto del Código.</w:t>
      </w:r>
    </w:p>
    <w:p w14:paraId="14989089" w14:textId="77777777" w:rsidR="001E0943" w:rsidRPr="00ED150A" w:rsidRDefault="001E0943" w:rsidP="00ED150A"/>
    <w:p w14:paraId="440DFFA3" w14:textId="609647C0" w:rsidR="00F31AE1" w:rsidRPr="00ED150A" w:rsidRDefault="001E0943" w:rsidP="00ED150A">
      <w:pPr>
        <w:rPr>
          <w:rFonts w:eastAsia="Palatino Linotype"/>
        </w:rPr>
      </w:pPr>
      <w:r w:rsidRPr="00ED150A">
        <w:t xml:space="preserve">Con base en lo previo, se colige que la Dirección </w:t>
      </w:r>
      <w:r w:rsidR="002A3067" w:rsidRPr="00ED150A">
        <w:t xml:space="preserve">de Obras Públicas y Desarrollo Urbano </w:t>
      </w:r>
      <w:r w:rsidRPr="00ED150A">
        <w:t xml:space="preserve">es el área competente para conocer la información que es del interés de </w:t>
      </w:r>
      <w:r w:rsidRPr="00ED150A">
        <w:rPr>
          <w:b/>
        </w:rPr>
        <w:t>LA PARTE RECURRENTE</w:t>
      </w:r>
      <w:r w:rsidRPr="00ED150A">
        <w:t>, por lo tanto, se concluye que se atendi</w:t>
      </w:r>
      <w:r w:rsidR="002A3067" w:rsidRPr="00ED150A">
        <w:t xml:space="preserve">ó el procedimiento de búsqueda </w:t>
      </w:r>
      <w:r w:rsidR="00F31AE1" w:rsidRPr="00ED150A">
        <w:rPr>
          <w:szCs w:val="22"/>
          <w:lang w:eastAsia="es-MX"/>
        </w:rPr>
        <w:t>que para tal efecto dispone el artículo 162, de la Ley de Transparencia y Acceso a la Información Pública del Estado de México y Municipios, que índica:</w:t>
      </w:r>
    </w:p>
    <w:p w14:paraId="6814DFF0" w14:textId="77777777" w:rsidR="00F31AE1" w:rsidRPr="00ED150A" w:rsidRDefault="00F31AE1" w:rsidP="00ED150A">
      <w:pPr>
        <w:rPr>
          <w:szCs w:val="22"/>
          <w:lang w:eastAsia="es-MX"/>
        </w:rPr>
      </w:pPr>
    </w:p>
    <w:p w14:paraId="03DFDE39" w14:textId="77777777" w:rsidR="00F31AE1" w:rsidRPr="00ED150A" w:rsidRDefault="00F31AE1" w:rsidP="00ED150A">
      <w:pPr>
        <w:pStyle w:val="Puesto"/>
        <w:rPr>
          <w:szCs w:val="22"/>
          <w:lang w:eastAsia="es-MX"/>
        </w:rPr>
      </w:pPr>
      <w:r w:rsidRPr="00ED150A">
        <w:rPr>
          <w:szCs w:val="22"/>
          <w:lang w:eastAsia="es-MX"/>
        </w:rPr>
        <w:t>“</w:t>
      </w:r>
      <w:r w:rsidRPr="00ED150A">
        <w:rPr>
          <w:b/>
          <w:bCs/>
          <w:szCs w:val="22"/>
          <w:lang w:eastAsia="es-MX"/>
        </w:rPr>
        <w:t xml:space="preserve">Artículo 162. </w:t>
      </w:r>
      <w:r w:rsidRPr="00ED150A">
        <w:rPr>
          <w:szCs w:val="22"/>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p>
    <w:p w14:paraId="3E5CD0A0" w14:textId="77777777" w:rsidR="00F31AE1" w:rsidRPr="00ED150A" w:rsidRDefault="00F31AE1" w:rsidP="00ED150A">
      <w:pPr>
        <w:rPr>
          <w:rFonts w:eastAsia="Palatino Linotype"/>
        </w:rPr>
      </w:pPr>
    </w:p>
    <w:p w14:paraId="6A5DF127" w14:textId="129A8315" w:rsidR="00F31AE1" w:rsidRPr="00ED150A" w:rsidRDefault="00F31AE1" w:rsidP="00ED150A">
      <w:pPr>
        <w:rPr>
          <w:rFonts w:cs="Arial"/>
          <w:lang w:val="es-ES_tradnl"/>
        </w:rPr>
      </w:pPr>
      <w:r w:rsidRPr="00ED150A">
        <w:rPr>
          <w:rFonts w:cs="Arial"/>
          <w:lang w:val="es-ES_tradnl"/>
        </w:rPr>
        <w:t>En consecuencia,</w:t>
      </w:r>
      <w:r w:rsidRPr="00ED150A">
        <w:rPr>
          <w:rFonts w:cs="Arial"/>
        </w:rPr>
        <w:t xml:space="preserve"> este Órgano Garante determina que se tiene por atendido el derecho de acceso a la información ejercido por la particular; derivado que la respuesta tiene la presunción legal de ser verídica, considerado que fue emitida por el servidor público habilitado, el cual informó </w:t>
      </w:r>
      <w:r w:rsidR="002A3067" w:rsidRPr="00ED150A">
        <w:rPr>
          <w:rFonts w:cs="Arial"/>
        </w:rPr>
        <w:t>no contar con el Programa Anual de Obras autorizado para este año 2025</w:t>
      </w:r>
      <w:r w:rsidRPr="00ED150A">
        <w:rPr>
          <w:rFonts w:cs="Arial"/>
          <w:lang w:val="es-ES_tradnl"/>
        </w:rPr>
        <w:t xml:space="preserve">.  </w:t>
      </w:r>
    </w:p>
    <w:p w14:paraId="30F965BF" w14:textId="77777777" w:rsidR="00F31AE1" w:rsidRPr="00ED150A" w:rsidRDefault="00F31AE1" w:rsidP="00ED150A">
      <w:pPr>
        <w:rPr>
          <w:rFonts w:cs="Arial"/>
        </w:rPr>
      </w:pPr>
    </w:p>
    <w:p w14:paraId="6AC11E89" w14:textId="77777777" w:rsidR="00F31AE1" w:rsidRPr="00ED150A" w:rsidRDefault="00F31AE1" w:rsidP="00ED150A">
      <w:pPr>
        <w:pStyle w:val="Prrafodelista"/>
        <w:widowControl w:val="0"/>
        <w:autoSpaceDE w:val="0"/>
        <w:autoSpaceDN w:val="0"/>
        <w:adjustRightInd w:val="0"/>
        <w:ind w:left="0"/>
        <w:rPr>
          <w:rFonts w:cs="Arial"/>
        </w:rPr>
      </w:pPr>
      <w:r w:rsidRPr="00ED150A">
        <w:t xml:space="preserve">Por lo que, </w:t>
      </w:r>
      <w:r w:rsidRPr="00ED150A">
        <w:rPr>
          <w:rFonts w:eastAsia="MS Mincho" w:cs="Tahoma"/>
        </w:rPr>
        <w:t xml:space="preserve">la respuesta proporcionada por </w:t>
      </w:r>
      <w:r w:rsidRPr="00ED150A">
        <w:rPr>
          <w:rFonts w:eastAsia="MS Mincho" w:cs="Tahoma"/>
          <w:b/>
        </w:rPr>
        <w:t xml:space="preserve">EL SUJETO OBLIGADO </w:t>
      </w:r>
      <w:r w:rsidRPr="00ED150A">
        <w:rPr>
          <w:rFonts w:eastAsia="Calibri"/>
          <w:lang w:val="es-ES"/>
        </w:rPr>
        <w:t xml:space="preserve">constituye un hecho negativo, </w:t>
      </w:r>
      <w:r w:rsidRPr="00ED150A">
        <w:t xml:space="preserve">que </w:t>
      </w:r>
      <w:r w:rsidRPr="00ED150A">
        <w:rPr>
          <w:rFonts w:cs="Arial"/>
        </w:rPr>
        <w:t xml:space="preserve">es evidente que no puede fácticamente obrar en los archivos del </w:t>
      </w:r>
      <w:r w:rsidRPr="00ED150A">
        <w:rPr>
          <w:rFonts w:cs="Arial"/>
          <w:b/>
        </w:rPr>
        <w:t>SUJETO OBLIGADO</w:t>
      </w:r>
      <w:r w:rsidRPr="00ED150A">
        <w:rPr>
          <w:rFonts w:cs="Arial"/>
        </w:rPr>
        <w:t xml:space="preserve"> ya que no puede probarse por ser lógica y materialmente imposible.</w:t>
      </w:r>
    </w:p>
    <w:p w14:paraId="0DBD58EC" w14:textId="77777777" w:rsidR="00F31AE1" w:rsidRPr="00ED150A" w:rsidRDefault="00F31AE1" w:rsidP="00ED150A"/>
    <w:p w14:paraId="3408FF78" w14:textId="77777777" w:rsidR="00F31AE1" w:rsidRPr="00ED150A" w:rsidRDefault="00F31AE1" w:rsidP="00ED150A">
      <w:pPr>
        <w:autoSpaceDE w:val="0"/>
        <w:autoSpaceDN w:val="0"/>
        <w:adjustRightInd w:val="0"/>
        <w:ind w:right="18"/>
        <w:rPr>
          <w:rFonts w:cs="Arial"/>
        </w:rPr>
      </w:pPr>
      <w:r w:rsidRPr="00ED150A">
        <w:rPr>
          <w:rFonts w:cs="Arial"/>
        </w:rPr>
        <w:t>Por lo que podemos concluir que nos encontramos ante una notoria y evidente inexistencia fáctica de la información solicitada.</w:t>
      </w:r>
    </w:p>
    <w:p w14:paraId="583D7F1A" w14:textId="77777777" w:rsidR="00F31AE1" w:rsidRPr="00ED150A" w:rsidRDefault="00F31AE1" w:rsidP="00ED150A">
      <w:pPr>
        <w:pStyle w:val="Prrafodelista"/>
        <w:widowControl w:val="0"/>
        <w:autoSpaceDE w:val="0"/>
        <w:autoSpaceDN w:val="0"/>
        <w:adjustRightInd w:val="0"/>
        <w:ind w:left="0"/>
        <w:rPr>
          <w:rFonts w:cs="Arial"/>
        </w:rPr>
      </w:pPr>
    </w:p>
    <w:p w14:paraId="4A41E07C" w14:textId="77777777" w:rsidR="00F31AE1" w:rsidRPr="00ED150A" w:rsidRDefault="00F31AE1" w:rsidP="00ED150A">
      <w:pPr>
        <w:autoSpaceDE w:val="0"/>
        <w:autoSpaceDN w:val="0"/>
        <w:adjustRightInd w:val="0"/>
        <w:ind w:right="18"/>
        <w:rPr>
          <w:rFonts w:cs="Arial"/>
        </w:rPr>
      </w:pPr>
      <w:r w:rsidRPr="00ED150A">
        <w:rPr>
          <w:rFonts w:cs="Arial"/>
        </w:rPr>
        <w:lastRenderedPageBreak/>
        <w:t xml:space="preserve">Cabe señalar que, el Pleno de este Órgano Garante, ha sostenido que cuando se está ante la presencia de un acto u hecho negativo, es decir, </w:t>
      </w:r>
      <w:r w:rsidRPr="00ED150A">
        <w:rPr>
          <w:rFonts w:cs="Arial"/>
          <w:b/>
        </w:rPr>
        <w:t>que no se actualiza</w:t>
      </w:r>
      <w:r w:rsidRPr="00ED150A">
        <w:rPr>
          <w:rFonts w:cs="Arial"/>
        </w:rPr>
        <w:t xml:space="preserve"> la circunstancia por la cual </w:t>
      </w:r>
      <w:r w:rsidRPr="00ED150A">
        <w:rPr>
          <w:rFonts w:cs="Arial"/>
          <w:b/>
        </w:rPr>
        <w:t>EL SUJETO OBLIGADO</w:t>
      </w:r>
      <w:r w:rsidRPr="00ED150A">
        <w:rPr>
          <w:rFonts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5C4DDF4B" w14:textId="77777777" w:rsidR="00F31AE1" w:rsidRPr="00ED150A" w:rsidRDefault="00F31AE1" w:rsidP="00ED150A">
      <w:pPr>
        <w:autoSpaceDE w:val="0"/>
        <w:autoSpaceDN w:val="0"/>
        <w:adjustRightInd w:val="0"/>
        <w:ind w:right="18"/>
        <w:rPr>
          <w:rFonts w:cs="Arial"/>
        </w:rPr>
      </w:pPr>
    </w:p>
    <w:p w14:paraId="327C2FD1" w14:textId="77777777" w:rsidR="00F31AE1" w:rsidRPr="00ED150A" w:rsidRDefault="00F31AE1" w:rsidP="00ED150A">
      <w:pPr>
        <w:pStyle w:val="Puesto"/>
      </w:pPr>
      <w:r w:rsidRPr="00ED150A">
        <w:t>“</w:t>
      </w:r>
      <w:r w:rsidRPr="00ED150A">
        <w:rPr>
          <w:b/>
        </w:rPr>
        <w:t>INEXISTENCIA DE LA INFORMACIÓN. EL COMITÉ DE ACCESO A LA INFORMACIÓN PUEDE DECLARARLA ANTE SU EVIDENCIA, SIN NECESIDAD DE DICTAR MEDIDAS PARA SU LOCALIZACIÓN</w:t>
      </w:r>
      <w:r w:rsidRPr="00ED150A">
        <w:t>.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p>
    <w:p w14:paraId="61432A28" w14:textId="77777777" w:rsidR="00F31AE1" w:rsidRPr="00ED150A" w:rsidRDefault="00F31AE1" w:rsidP="00ED150A">
      <w:pPr>
        <w:tabs>
          <w:tab w:val="left" w:pos="8222"/>
        </w:tabs>
        <w:ind w:left="851" w:right="899"/>
        <w:rPr>
          <w:b/>
          <w:i/>
          <w:szCs w:val="22"/>
        </w:rPr>
      </w:pPr>
    </w:p>
    <w:p w14:paraId="68B53A70" w14:textId="77777777" w:rsidR="00F31AE1" w:rsidRPr="00ED150A" w:rsidRDefault="00F31AE1" w:rsidP="00ED150A">
      <w:pPr>
        <w:pStyle w:val="Puesto"/>
        <w:rPr>
          <w:b/>
        </w:rPr>
      </w:pPr>
      <w:r w:rsidRPr="00ED150A">
        <w:rPr>
          <w:b/>
        </w:rPr>
        <w:t xml:space="preserve">HECHOS NEGATIVOS, NO SON SUSCEPTIBLES DE DEMOSTRACION. </w:t>
      </w:r>
      <w:r w:rsidRPr="00ED150A">
        <w:t>Tratándose de un hecho negativo, el Juez no tiene por qué invocar prueba alguna de la que se desprenda, ya que es bien sabido que esta clase de hechos no son susceptibles de demostración.”</w:t>
      </w:r>
    </w:p>
    <w:p w14:paraId="0B8FC8D6" w14:textId="77777777" w:rsidR="00F31AE1" w:rsidRPr="00ED150A" w:rsidRDefault="00F31AE1" w:rsidP="00ED150A">
      <w:pPr>
        <w:ind w:left="851" w:right="1134"/>
        <w:rPr>
          <w:b/>
          <w:szCs w:val="22"/>
        </w:rPr>
      </w:pPr>
    </w:p>
    <w:p w14:paraId="26186DAB" w14:textId="77777777" w:rsidR="00F31AE1" w:rsidRPr="00ED150A" w:rsidRDefault="00F31AE1" w:rsidP="00ED150A">
      <w:pPr>
        <w:rPr>
          <w:rFonts w:cs="Arial"/>
        </w:rPr>
      </w:pPr>
      <w:r w:rsidRPr="00ED150A">
        <w:t xml:space="preserve">Así, de conformidad con lo establecido en el artículo 12 de la Ley de Transparencia y Acceso a la Información Pública del Estado de México y Municipios, </w:t>
      </w:r>
      <w:r w:rsidRPr="00ED150A">
        <w:rPr>
          <w:b/>
        </w:rPr>
        <w:t>EL SUJETO OBLIGADO</w:t>
      </w:r>
      <w:r w:rsidRPr="00ED150A">
        <w:t xml:space="preserve"> sólo proporcionará la información que obra en sus archivos, lo que a</w:t>
      </w:r>
      <w:r w:rsidRPr="00ED150A">
        <w:rPr>
          <w:i/>
        </w:rPr>
        <w:t xml:space="preserve"> contrario sensu</w:t>
      </w:r>
      <w:r w:rsidRPr="00ED150A">
        <w:t xml:space="preserve"> significa que </w:t>
      </w:r>
      <w:r w:rsidRPr="00ED150A">
        <w:lastRenderedPageBreak/>
        <w:t xml:space="preserve">no se está obligado a proporcionar lo que no obre en los mismos; </w:t>
      </w:r>
      <w:r w:rsidRPr="00ED150A">
        <w:rPr>
          <w:rFonts w:cs="Arial"/>
        </w:rPr>
        <w:t>ello con relación al artículo 143 de la Constitución Política del Estado Libre y Soberano de México, pues las autoridades sólo están facultadas para realizar lo que expresamente les faculta la Ley u ordenamientos jurídicos.</w:t>
      </w:r>
    </w:p>
    <w:p w14:paraId="12340E3E" w14:textId="77777777" w:rsidR="00F31AE1" w:rsidRPr="00ED150A" w:rsidRDefault="00F31AE1" w:rsidP="00ED150A">
      <w:pPr>
        <w:pStyle w:val="Prrafodelista"/>
        <w:widowControl w:val="0"/>
        <w:autoSpaceDE w:val="0"/>
        <w:autoSpaceDN w:val="0"/>
        <w:adjustRightInd w:val="0"/>
        <w:ind w:left="0"/>
        <w:rPr>
          <w:rFonts w:cs="Arial"/>
        </w:rPr>
      </w:pPr>
    </w:p>
    <w:p w14:paraId="28BC3BFE" w14:textId="3BA004B4" w:rsidR="00F31AE1" w:rsidRPr="00ED150A" w:rsidRDefault="00F31AE1" w:rsidP="00ED150A">
      <w:pPr>
        <w:pStyle w:val="Prrafodelista"/>
        <w:widowControl w:val="0"/>
        <w:autoSpaceDE w:val="0"/>
        <w:autoSpaceDN w:val="0"/>
        <w:adjustRightInd w:val="0"/>
        <w:ind w:left="0"/>
      </w:pPr>
      <w:r w:rsidRPr="00ED150A">
        <w:t xml:space="preserve">Aunado a lo anterior, es necesario precisar que si bien, </w:t>
      </w:r>
      <w:r w:rsidRPr="00ED150A">
        <w:rPr>
          <w:b/>
        </w:rPr>
        <w:t>EL SUJETO OBLIGADO</w:t>
      </w:r>
      <w:r w:rsidRPr="00ED150A">
        <w:t xml:space="preserve"> tiene la facultad para celebrar contratos de obra pública, estos se realizan en función del Programa Anual de Obra, documento que forma parte del Presupuesto de Egresos Municipal, cuya versión definitiva se promulga y publica en la "Gaceta Municipal”, por la Presidenta o el Presidente Municipal, a más tardar el día </w:t>
      </w:r>
      <w:r w:rsidRPr="00ED150A">
        <w:rPr>
          <w:b/>
        </w:rPr>
        <w:t>veinticinco de febrero de cada año</w:t>
      </w:r>
      <w:r w:rsidRPr="00ED150A">
        <w:t>, de conformidad con los artículos 125, párrafo cuarto de la Constitución Política del Estado Libre y Soberano de México, 351, párrafo segundo del Código Financiero del Estado de México, y 47 de la Ley de Fiscalización Superior del Estado de México, a saber:</w:t>
      </w:r>
    </w:p>
    <w:p w14:paraId="5521C1E2" w14:textId="77777777" w:rsidR="00F31AE1" w:rsidRPr="00ED150A" w:rsidRDefault="00F31AE1" w:rsidP="00ED150A">
      <w:pPr>
        <w:pStyle w:val="Prrafodelista"/>
        <w:widowControl w:val="0"/>
        <w:autoSpaceDE w:val="0"/>
        <w:autoSpaceDN w:val="0"/>
        <w:adjustRightInd w:val="0"/>
        <w:ind w:left="0"/>
        <w:rPr>
          <w:rFonts w:cs="Arial"/>
        </w:rPr>
      </w:pPr>
    </w:p>
    <w:p w14:paraId="22480452" w14:textId="77777777" w:rsidR="00F31AE1" w:rsidRPr="00ED150A" w:rsidRDefault="00F31AE1" w:rsidP="00ED150A">
      <w:pPr>
        <w:pStyle w:val="Puesto"/>
        <w:rPr>
          <w:b/>
        </w:rPr>
      </w:pPr>
      <w:r w:rsidRPr="00ED150A">
        <w:t>“</w:t>
      </w:r>
      <w:r w:rsidRPr="00ED150A">
        <w:rPr>
          <w:b/>
        </w:rPr>
        <w:t xml:space="preserve">Artículo 125... </w:t>
      </w:r>
    </w:p>
    <w:p w14:paraId="1DCBF813" w14:textId="77777777" w:rsidR="00F31AE1" w:rsidRPr="00ED150A" w:rsidRDefault="00F31AE1" w:rsidP="00ED150A">
      <w:pPr>
        <w:pStyle w:val="Puesto"/>
        <w:rPr>
          <w:b/>
        </w:rPr>
      </w:pPr>
      <w:r w:rsidRPr="00ED150A">
        <w:t xml:space="preserve">Los Ayuntamientos podrán celebrar sesiones extraordinarias de cabildo cuando la Ley de ingresos aprobada por la Legislatura, implique adecuaciones a su Presupuesto de Egresos, así como por la asignación de las participaciones y aportaciones federales y estatales. Estas sesiones tendrán como único objeto concordar con el Presupuesto de Egresos. </w:t>
      </w:r>
      <w:r w:rsidRPr="00ED150A">
        <w:rPr>
          <w:b/>
        </w:rPr>
        <w:t>La Presidenta o el Presidente Municipal, promulgará y publicará el Presupuesto de Egresos Municipal, a más tardar el día 25 de febrero de cada año debiendo enviarlo al Órgano Superior de Fiscalización en la misma fecha.</w:t>
      </w:r>
    </w:p>
    <w:p w14:paraId="46C6155C" w14:textId="77777777" w:rsidR="00F31AE1" w:rsidRPr="00ED150A" w:rsidRDefault="00F31AE1" w:rsidP="00ED150A">
      <w:pPr>
        <w:pStyle w:val="Puesto"/>
        <w:rPr>
          <w:b/>
        </w:rPr>
      </w:pPr>
    </w:p>
    <w:p w14:paraId="382E4B61" w14:textId="77777777" w:rsidR="00F31AE1" w:rsidRPr="00ED150A" w:rsidRDefault="00F31AE1" w:rsidP="00ED150A">
      <w:pPr>
        <w:pStyle w:val="Puesto"/>
        <w:rPr>
          <w:b/>
        </w:rPr>
      </w:pPr>
      <w:r w:rsidRPr="00ED150A">
        <w:rPr>
          <w:b/>
        </w:rPr>
        <w:t xml:space="preserve">Artículo 351... </w:t>
      </w:r>
    </w:p>
    <w:p w14:paraId="43ABE818" w14:textId="77777777" w:rsidR="00F31AE1" w:rsidRPr="00ED150A" w:rsidRDefault="00F31AE1" w:rsidP="00ED150A">
      <w:pPr>
        <w:pStyle w:val="Puesto"/>
      </w:pPr>
      <w:r w:rsidRPr="00ED150A">
        <w:rPr>
          <w:b/>
        </w:rPr>
        <w:t xml:space="preserve">Los Ayuntamientos al aprobar en forma definitiva su presupuesto de egresos, deberán publicar en la "Gaceta Municipal" </w:t>
      </w:r>
      <w:r w:rsidRPr="00ED150A">
        <w:t xml:space="preserve">de manera clara y entendible, todas y cada una de las partidas que lo integran, las remuneraciones de todo tipo aprobadas para los miembros del ayuntamiento y para los servidores públicos en general, incluyendo mandos medios y superiores de la administración municipal, </w:t>
      </w:r>
      <w:r w:rsidRPr="00ED150A">
        <w:rPr>
          <w:b/>
        </w:rPr>
        <w:t>a más tardar el</w:t>
      </w:r>
      <w:r w:rsidRPr="00ED150A">
        <w:t xml:space="preserve"> </w:t>
      </w:r>
      <w:r w:rsidRPr="00ED150A">
        <w:rPr>
          <w:b/>
        </w:rPr>
        <w:t>25 de febrero del año para el cual habrá de aplicar dicho presupuesto</w:t>
      </w:r>
      <w:r w:rsidRPr="00ED150A">
        <w:t>.</w:t>
      </w:r>
    </w:p>
    <w:p w14:paraId="0320EA75" w14:textId="77777777" w:rsidR="00F31AE1" w:rsidRPr="00ED150A" w:rsidRDefault="00F31AE1" w:rsidP="00ED150A">
      <w:pPr>
        <w:pStyle w:val="Puesto"/>
      </w:pPr>
    </w:p>
    <w:p w14:paraId="04E1546C" w14:textId="24495488" w:rsidR="00F31AE1" w:rsidRPr="00ED150A" w:rsidRDefault="00F31AE1" w:rsidP="00ED150A">
      <w:pPr>
        <w:pStyle w:val="Puesto"/>
        <w:rPr>
          <w:b/>
        </w:rPr>
      </w:pPr>
      <w:r w:rsidRPr="00ED150A">
        <w:rPr>
          <w:b/>
        </w:rPr>
        <w:lastRenderedPageBreak/>
        <w:t>Artículo 47.-</w:t>
      </w:r>
      <w:r w:rsidRPr="00ED150A">
        <w:t xml:space="preserve"> Los Presidentes Municipales y los Síndicos estarán obligados a </w:t>
      </w:r>
      <w:r w:rsidRPr="00ED150A">
        <w:rPr>
          <w:b/>
        </w:rPr>
        <w:t>informar al Órgano Superior, a más tardar el 25 de febrero de cada año, el Presupuesto de Egresos Municipal que haya aprobado el Ayuntamiento correspondiente.</w:t>
      </w:r>
    </w:p>
    <w:p w14:paraId="0695220D" w14:textId="77777777" w:rsidR="00F31AE1" w:rsidRPr="00ED150A" w:rsidRDefault="00F31AE1" w:rsidP="00ED150A">
      <w:pPr>
        <w:pStyle w:val="Prrafodelista"/>
        <w:widowControl w:val="0"/>
        <w:autoSpaceDE w:val="0"/>
        <w:autoSpaceDN w:val="0"/>
        <w:adjustRightInd w:val="0"/>
        <w:ind w:left="0"/>
        <w:rPr>
          <w:rFonts w:cs="Arial"/>
        </w:rPr>
      </w:pPr>
    </w:p>
    <w:p w14:paraId="53705D58" w14:textId="19D35A0B" w:rsidR="00F31AE1" w:rsidRPr="00ED150A" w:rsidRDefault="00F31AE1" w:rsidP="00ED150A">
      <w:pPr>
        <w:pStyle w:val="Prrafodelista"/>
        <w:widowControl w:val="0"/>
        <w:autoSpaceDE w:val="0"/>
        <w:autoSpaceDN w:val="0"/>
        <w:adjustRightInd w:val="0"/>
        <w:ind w:left="0"/>
      </w:pPr>
      <w:r w:rsidRPr="00ED150A">
        <w:t>Ahora bien, es importante destacar que entre los formatos que integran el Presupuesto de Egresos aprobado, de conformidad con el numeral 3.4.1 del Manual para la Planeación, Programación y Presupuesto de Egresos Municipal para el Ejercicio Fiscal 2025</w:t>
      </w:r>
      <w:r w:rsidRPr="00ED150A">
        <w:rPr>
          <w:rStyle w:val="Refdenotaalpie"/>
        </w:rPr>
        <w:footnoteReference w:id="2"/>
      </w:r>
      <w:r w:rsidRPr="00ED150A">
        <w:t xml:space="preserve">, se encuentra el </w:t>
      </w:r>
      <w:r w:rsidRPr="00ED150A">
        <w:rPr>
          <w:b/>
        </w:rPr>
        <w:t>PbRM-07a Programa Anual de Obra</w:t>
      </w:r>
      <w:r w:rsidRPr="00ED150A">
        <w:t>, el cual especifica de manera precisa el período de ejecución y presupuesto ejercido de la obra pública de que se trate; así como la fuente de financiamiento con la que ésta se llevará a cabo.</w:t>
      </w:r>
    </w:p>
    <w:p w14:paraId="5430D119" w14:textId="77777777" w:rsidR="00F31AE1" w:rsidRPr="00ED150A" w:rsidRDefault="00F31AE1" w:rsidP="00ED150A">
      <w:pPr>
        <w:pStyle w:val="Prrafodelista"/>
        <w:widowControl w:val="0"/>
        <w:autoSpaceDE w:val="0"/>
        <w:autoSpaceDN w:val="0"/>
        <w:adjustRightInd w:val="0"/>
        <w:ind w:left="0"/>
        <w:rPr>
          <w:rFonts w:cs="Arial"/>
        </w:rPr>
      </w:pPr>
    </w:p>
    <w:p w14:paraId="47BA5EC2" w14:textId="38ABE65A" w:rsidR="00F31AE1" w:rsidRPr="00ED150A" w:rsidRDefault="00F31AE1" w:rsidP="00ED150A">
      <w:pPr>
        <w:pStyle w:val="Prrafodelista"/>
        <w:widowControl w:val="0"/>
        <w:autoSpaceDE w:val="0"/>
        <w:autoSpaceDN w:val="0"/>
        <w:adjustRightInd w:val="0"/>
        <w:ind w:left="0"/>
      </w:pPr>
      <w:r w:rsidRPr="00ED150A">
        <w:t xml:space="preserve">En tal contexto, dado que </w:t>
      </w:r>
      <w:r w:rsidRPr="00ED150A">
        <w:rPr>
          <w:b/>
        </w:rPr>
        <w:t xml:space="preserve">LA PARTE RECURRENTE </w:t>
      </w:r>
      <w:r w:rsidRPr="00ED150A">
        <w:t xml:space="preserve">requirió el Programa Anual de Obras del ejercicio 2025, </w:t>
      </w:r>
      <w:r w:rsidRPr="00ED150A">
        <w:rPr>
          <w:b/>
        </w:rPr>
        <w:t>EL SUJETO OBLIGADO</w:t>
      </w:r>
      <w:r w:rsidRPr="00ED150A">
        <w:t xml:space="preserve"> se encuentra imposibilitado para atender favorablemente la solicitud como lo hizo valer el servidor público habilitado de la Dirección </w:t>
      </w:r>
      <w:r w:rsidR="002A3067" w:rsidRPr="00ED150A">
        <w:t xml:space="preserve">de </w:t>
      </w:r>
      <w:r w:rsidRPr="00ED150A">
        <w:t>Obras Públicas</w:t>
      </w:r>
      <w:r w:rsidR="002A3067" w:rsidRPr="00ED150A">
        <w:t xml:space="preserve"> y Desarrollo Urbano</w:t>
      </w:r>
      <w:r w:rsidRPr="00ED150A">
        <w:t xml:space="preserve">, dado que la solicitud materia de estudio fue presentada el pasado </w:t>
      </w:r>
      <w:r w:rsidR="002A3067" w:rsidRPr="00ED150A">
        <w:t xml:space="preserve">dieciocho de febrero </w:t>
      </w:r>
      <w:r w:rsidRPr="00ED150A">
        <w:t>de dos mil veinticinco, como se advierte en los antecede</w:t>
      </w:r>
      <w:r w:rsidR="00B53DE3" w:rsidRPr="00ED150A">
        <w:t xml:space="preserve">ntes de la presente resolución; </w:t>
      </w:r>
      <w:r w:rsidRPr="00ED150A">
        <w:t xml:space="preserve">mientras que el Programa Anual de Obra, al formar parte del presupuesto de egresos municipal definitivo, se promulga a más tardar el </w:t>
      </w:r>
      <w:r w:rsidRPr="00ED150A">
        <w:rPr>
          <w:b/>
        </w:rPr>
        <w:t>veinticinco de febrero de cada ejercicio como ya ha sido expuesto</w:t>
      </w:r>
      <w:r w:rsidRPr="00ED150A">
        <w:t>, por lo que es evidente que a la fecha de presentación de las solicitudes no se había generado información alguna relacionada con lo solicitado.</w:t>
      </w:r>
      <w:r w:rsidR="002A3067" w:rsidRPr="00ED150A">
        <w:t xml:space="preserve"> Aun y cuando dicho presupuesto haya sido aprobado el pasado veintiuno de febrero de dos mil veinticinco, como lo refiere </w:t>
      </w:r>
      <w:r w:rsidR="002A3067" w:rsidRPr="00ED150A">
        <w:rPr>
          <w:b/>
        </w:rPr>
        <w:t xml:space="preserve">LA PARTE RECURRENTE </w:t>
      </w:r>
      <w:r w:rsidR="002A3067" w:rsidRPr="00ED150A">
        <w:t xml:space="preserve">en sus razones o motivos de inconformidad. </w:t>
      </w:r>
    </w:p>
    <w:p w14:paraId="69EC8329" w14:textId="77777777" w:rsidR="00B53DE3" w:rsidRPr="00ED150A" w:rsidRDefault="00B53DE3" w:rsidP="00ED150A">
      <w:pPr>
        <w:pStyle w:val="Prrafodelista"/>
        <w:widowControl w:val="0"/>
        <w:autoSpaceDE w:val="0"/>
        <w:autoSpaceDN w:val="0"/>
        <w:adjustRightInd w:val="0"/>
        <w:ind w:left="0"/>
      </w:pPr>
    </w:p>
    <w:p w14:paraId="3170BE0C" w14:textId="2B7DE795" w:rsidR="00B53DE3" w:rsidRPr="00ED150A" w:rsidRDefault="00B53DE3" w:rsidP="00ED150A">
      <w:pPr>
        <w:pStyle w:val="Prrafodelista"/>
        <w:widowControl w:val="0"/>
        <w:autoSpaceDE w:val="0"/>
        <w:autoSpaceDN w:val="0"/>
        <w:adjustRightInd w:val="0"/>
        <w:ind w:left="0"/>
      </w:pPr>
      <w:r w:rsidRPr="00ED150A">
        <w:t xml:space="preserve">En este orden de ideas, no es procedente la entrega de documento alguno, o en su caso, el </w:t>
      </w:r>
      <w:r w:rsidRPr="00ED150A">
        <w:lastRenderedPageBreak/>
        <w:t xml:space="preserve">Acuerdo de Inexistencia, toda vez que el pronunciamiento del </w:t>
      </w:r>
      <w:r w:rsidRPr="00ED150A">
        <w:rPr>
          <w:b/>
        </w:rPr>
        <w:t>SUJETO OBLIGADO</w:t>
      </w:r>
      <w:r w:rsidRPr="00ED150A">
        <w:t xml:space="preserve"> declara en automática la inexistencia de la información solicitada de modo que no existe obligación de justificar o allegar pruebas, y por ende no tiene aplicación lo estatuido en el artículo 49 fracción XIII de la Ley de la Materia.</w:t>
      </w:r>
    </w:p>
    <w:p w14:paraId="5F52E288" w14:textId="77777777" w:rsidR="00B53DE3" w:rsidRPr="00ED150A" w:rsidRDefault="00B53DE3" w:rsidP="00ED150A">
      <w:pPr>
        <w:pStyle w:val="Prrafodelista"/>
        <w:widowControl w:val="0"/>
        <w:autoSpaceDE w:val="0"/>
        <w:autoSpaceDN w:val="0"/>
        <w:adjustRightInd w:val="0"/>
        <w:ind w:left="0"/>
      </w:pPr>
    </w:p>
    <w:p w14:paraId="7213212F" w14:textId="522D239E" w:rsidR="00F31AE1" w:rsidRPr="00ED150A" w:rsidRDefault="00F31AE1" w:rsidP="00ED150A">
      <w:pPr>
        <w:rPr>
          <w:rFonts w:eastAsiaTheme="minorEastAsia" w:cstheme="minorBidi"/>
          <w:lang w:val="es-ES_tradnl"/>
        </w:rPr>
      </w:pPr>
      <w:r w:rsidRPr="00ED150A">
        <w:rPr>
          <w:rFonts w:cs="Arial"/>
          <w:bCs/>
        </w:rPr>
        <w:t xml:space="preserve">Finalmente, es importante señalar que respecto al pronunciamiento realizado por </w:t>
      </w:r>
      <w:r w:rsidRPr="00ED150A">
        <w:rPr>
          <w:rFonts w:cs="Arial"/>
          <w:b/>
          <w:bCs/>
        </w:rPr>
        <w:t xml:space="preserve">EL SUJETO OBLIGADO </w:t>
      </w:r>
      <w:r w:rsidRPr="00ED150A">
        <w:rPr>
          <w:rFonts w:cs="Arial"/>
          <w:bCs/>
        </w:rPr>
        <w:t xml:space="preserve">a fin de dar respuesta a la solicitud planteada, este Órgano Garante no </w:t>
      </w:r>
      <w:r w:rsidRPr="00ED150A">
        <w:rPr>
          <w:rFonts w:eastAsiaTheme="minorEastAsia" w:cstheme="minorBidi"/>
          <w:lang w:val="es-ES_tradnl"/>
        </w:rPr>
        <w:t xml:space="preserve">está facultado para manifestarse sobre la veracidad de la información proporcionada. </w:t>
      </w:r>
    </w:p>
    <w:p w14:paraId="62ECFEE9" w14:textId="77777777" w:rsidR="00F31AE1" w:rsidRPr="00ED150A" w:rsidRDefault="00F31AE1" w:rsidP="00ED150A">
      <w:pPr>
        <w:rPr>
          <w:rFonts w:eastAsiaTheme="minorEastAsia" w:cstheme="minorBidi"/>
          <w:lang w:val="es-ES_tradnl"/>
        </w:rPr>
      </w:pPr>
    </w:p>
    <w:p w14:paraId="38FC0DC8" w14:textId="77777777" w:rsidR="00F31AE1" w:rsidRPr="00ED150A" w:rsidRDefault="00F31AE1" w:rsidP="00ED150A">
      <w:pPr>
        <w:rPr>
          <w:rFonts w:eastAsiaTheme="minorEastAsia" w:cs="Arial"/>
          <w:lang w:val="es-ES_tradnl"/>
        </w:rPr>
      </w:pPr>
      <w:r w:rsidRPr="00ED150A">
        <w:rPr>
          <w:rFonts w:eastAsiaTheme="minorEastAsia"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38A98307" w14:textId="77777777" w:rsidR="00F31AE1" w:rsidRPr="00ED150A" w:rsidRDefault="00F31AE1" w:rsidP="00ED150A">
      <w:pPr>
        <w:rPr>
          <w:rFonts w:eastAsiaTheme="minorEastAsia" w:cs="Arial"/>
          <w:sz w:val="20"/>
          <w:lang w:val="es-ES_tradnl"/>
        </w:rPr>
      </w:pPr>
    </w:p>
    <w:p w14:paraId="5A14876C" w14:textId="77777777" w:rsidR="00F31AE1" w:rsidRPr="00ED150A" w:rsidRDefault="00F31AE1" w:rsidP="00ED150A">
      <w:pPr>
        <w:pStyle w:val="Puesto"/>
        <w:rPr>
          <w:rFonts w:eastAsiaTheme="minorEastAsia"/>
          <w:lang w:val="es-ES_tradnl"/>
        </w:rPr>
      </w:pPr>
      <w:r w:rsidRPr="00ED150A">
        <w:rPr>
          <w:rFonts w:eastAsiaTheme="minorEastAsia"/>
          <w:lang w:val="es-ES_tradnl"/>
        </w:rPr>
        <w:t>“</w:t>
      </w:r>
      <w:r w:rsidRPr="00ED150A">
        <w:rPr>
          <w:rFonts w:eastAsiaTheme="minorEastAsia"/>
          <w:b/>
          <w:lang w:val="es-ES_tradnl"/>
        </w:rPr>
        <w:t>El Instituto Federal de Acceso a la Información y Protección de Datos no cuenta con facultades para pronunciarse respecto de la veracidad de los documentos proporcionados por los sujetos obligados</w:t>
      </w:r>
      <w:r w:rsidRPr="00ED150A">
        <w:rPr>
          <w:rFonts w:eastAsiaTheme="minorEastAsia"/>
          <w:lang w:val="es-ES_tradnl"/>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(sic)</w:t>
      </w:r>
    </w:p>
    <w:p w14:paraId="609C18F1" w14:textId="77777777" w:rsidR="00F31AE1" w:rsidRPr="00ED150A" w:rsidRDefault="00F31AE1" w:rsidP="00ED150A">
      <w:pPr>
        <w:pStyle w:val="Prrafodelista"/>
        <w:widowControl w:val="0"/>
        <w:autoSpaceDE w:val="0"/>
        <w:autoSpaceDN w:val="0"/>
        <w:adjustRightInd w:val="0"/>
        <w:ind w:left="0"/>
      </w:pPr>
    </w:p>
    <w:p w14:paraId="14240718" w14:textId="77777777" w:rsidR="005D57B7" w:rsidRPr="00ED150A" w:rsidRDefault="005D57B7" w:rsidP="00ED150A">
      <w:pPr>
        <w:pStyle w:val="Ttulo3"/>
      </w:pPr>
      <w:bookmarkStart w:id="36" w:name="_Toc175085018"/>
      <w:bookmarkStart w:id="37" w:name="_Toc195125473"/>
      <w:r w:rsidRPr="00ED150A">
        <w:lastRenderedPageBreak/>
        <w:t>d) Conclusión</w:t>
      </w:r>
      <w:bookmarkEnd w:id="36"/>
      <w:bookmarkEnd w:id="37"/>
    </w:p>
    <w:p w14:paraId="4530E488" w14:textId="77777777" w:rsidR="005D57B7" w:rsidRPr="00ED150A" w:rsidRDefault="005D57B7" w:rsidP="00ED150A">
      <w:pPr>
        <w:rPr>
          <w:rFonts w:eastAsia="Calibri"/>
          <w:b/>
          <w:lang w:val="es-ES"/>
        </w:rPr>
      </w:pPr>
      <w:r w:rsidRPr="00ED150A">
        <w:rPr>
          <w:rFonts w:eastAsia="Calibri"/>
          <w:lang w:val="es-ES"/>
        </w:rPr>
        <w:t xml:space="preserve">Por lo anteriormente expuesto, se considera que las </w:t>
      </w:r>
      <w:r w:rsidRPr="00ED150A">
        <w:rPr>
          <w:rFonts w:cs="Arial"/>
          <w:lang w:val="es-ES"/>
        </w:rPr>
        <w:t xml:space="preserve">razones o motivos de inconformidad planteadas por </w:t>
      </w:r>
      <w:r w:rsidRPr="00ED150A">
        <w:rPr>
          <w:rFonts w:cs="Arial"/>
          <w:b/>
          <w:lang w:val="es-ES"/>
        </w:rPr>
        <w:t>LA PARTE RECURRENTE,</w:t>
      </w:r>
      <w:r w:rsidRPr="00ED150A">
        <w:rPr>
          <w:b/>
          <w:lang w:val="es-ES"/>
        </w:rPr>
        <w:t xml:space="preserve"> </w:t>
      </w:r>
      <w:r w:rsidRPr="00ED150A">
        <w:rPr>
          <w:rFonts w:cs="Arial"/>
          <w:lang w:val="es-ES"/>
        </w:rPr>
        <w:t>resultan infundadas;</w:t>
      </w:r>
      <w:r w:rsidRPr="00ED150A">
        <w:rPr>
          <w:rFonts w:eastAsia="Calibri"/>
          <w:lang w:val="es-ES"/>
        </w:rPr>
        <w:t xml:space="preserve"> en consecuencia este Órgano Garante determina </w:t>
      </w:r>
      <w:r w:rsidRPr="00ED150A">
        <w:rPr>
          <w:rFonts w:eastAsia="Calibri"/>
          <w:b/>
          <w:lang w:val="es-ES"/>
        </w:rPr>
        <w:t xml:space="preserve">CONFIRMAR </w:t>
      </w:r>
      <w:r w:rsidRPr="00ED150A">
        <w:rPr>
          <w:rFonts w:eastAsia="Calibri"/>
          <w:lang w:val="es-ES"/>
        </w:rPr>
        <w:t xml:space="preserve">la respuesta otorgada por el </w:t>
      </w:r>
      <w:r w:rsidRPr="00ED150A">
        <w:rPr>
          <w:rFonts w:eastAsia="Calibri"/>
          <w:b/>
          <w:lang w:val="es-ES"/>
        </w:rPr>
        <w:t>SUJETO OBLIGADO.</w:t>
      </w:r>
    </w:p>
    <w:p w14:paraId="2707DFF7" w14:textId="77777777" w:rsidR="005D57B7" w:rsidRPr="00ED150A" w:rsidRDefault="005D57B7" w:rsidP="00ED150A">
      <w:pPr>
        <w:rPr>
          <w:rFonts w:eastAsia="Palatino Linotype"/>
        </w:rPr>
      </w:pPr>
    </w:p>
    <w:p w14:paraId="6C4C444E" w14:textId="16F1DC79" w:rsidR="00BD5A7C" w:rsidRPr="00ED150A" w:rsidRDefault="00BD5A7C" w:rsidP="00ED150A">
      <w:pPr>
        <w:ind w:right="-93"/>
        <w:rPr>
          <w:rFonts w:cs="Tahoma"/>
          <w:bCs/>
          <w:szCs w:val="22"/>
        </w:rPr>
      </w:pPr>
      <w:bookmarkStart w:id="38" w:name="_Hlk165381027"/>
      <w:r w:rsidRPr="00ED150A">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8"/>
    <w:p w14:paraId="7C13D1A0" w14:textId="77777777" w:rsidR="00BD5A7C" w:rsidRPr="00ED150A" w:rsidRDefault="00BD5A7C" w:rsidP="00ED150A"/>
    <w:p w14:paraId="5C396097" w14:textId="684A0E4F" w:rsidR="00664420" w:rsidRPr="00ED150A" w:rsidRDefault="00664420" w:rsidP="00ED150A">
      <w:pPr>
        <w:pStyle w:val="Ttulo1"/>
      </w:pPr>
      <w:bookmarkStart w:id="39" w:name="_Toc195125474"/>
      <w:r w:rsidRPr="00ED150A">
        <w:t>RESUELVE</w:t>
      </w:r>
      <w:bookmarkEnd w:id="39"/>
    </w:p>
    <w:p w14:paraId="203B7093" w14:textId="77777777" w:rsidR="00664420" w:rsidRPr="00ED150A" w:rsidRDefault="00664420" w:rsidP="00ED150A">
      <w:pPr>
        <w:ind w:right="113"/>
        <w:rPr>
          <w:rFonts w:cs="Arial"/>
          <w:b/>
          <w:szCs w:val="22"/>
        </w:rPr>
      </w:pPr>
    </w:p>
    <w:p w14:paraId="41BF3096" w14:textId="2A37EB7F" w:rsidR="001C555C" w:rsidRPr="00ED150A" w:rsidRDefault="001C555C" w:rsidP="00ED150A">
      <w:pPr>
        <w:widowControl w:val="0"/>
        <w:rPr>
          <w:rFonts w:eastAsia="Calibri" w:cs="Tahoma"/>
          <w:bCs/>
          <w:szCs w:val="22"/>
          <w:lang w:eastAsia="en-US"/>
        </w:rPr>
      </w:pPr>
      <w:r w:rsidRPr="00ED150A">
        <w:rPr>
          <w:b/>
          <w:bCs/>
        </w:rPr>
        <w:t>PRIMERO.</w:t>
      </w:r>
      <w:r w:rsidRPr="00ED150A">
        <w:t xml:space="preserve"> </w:t>
      </w:r>
      <w:r w:rsidRPr="00ED150A">
        <w:rPr>
          <w:rFonts w:cs="Tahoma"/>
          <w:szCs w:val="22"/>
        </w:rPr>
        <w:t xml:space="preserve">Se </w:t>
      </w:r>
      <w:r w:rsidRPr="00ED150A">
        <w:rPr>
          <w:rFonts w:cs="Tahoma"/>
          <w:b/>
          <w:bCs/>
          <w:szCs w:val="22"/>
        </w:rPr>
        <w:t>CONFIRMA</w:t>
      </w:r>
      <w:r w:rsidRPr="00ED150A">
        <w:rPr>
          <w:rFonts w:cs="Tahoma"/>
          <w:szCs w:val="22"/>
        </w:rPr>
        <w:t xml:space="preserve"> la respuesta entregada por el </w:t>
      </w:r>
      <w:r w:rsidRPr="00ED150A">
        <w:rPr>
          <w:rFonts w:cs="Tahoma"/>
          <w:b/>
          <w:bCs/>
          <w:szCs w:val="22"/>
        </w:rPr>
        <w:t>SUJETO OBLIGADO</w:t>
      </w:r>
      <w:r w:rsidRPr="00ED150A">
        <w:rPr>
          <w:rFonts w:cs="Tahoma"/>
          <w:szCs w:val="22"/>
        </w:rPr>
        <w:t xml:space="preserve"> en la solicitud de información </w:t>
      </w:r>
      <w:r w:rsidR="002A3067" w:rsidRPr="00ED150A">
        <w:rPr>
          <w:rFonts w:cs="Tahoma"/>
          <w:b/>
          <w:bCs/>
          <w:szCs w:val="22"/>
        </w:rPr>
        <w:t>00070/MORELOS/IP/2025</w:t>
      </w:r>
      <w:r w:rsidRPr="00ED150A">
        <w:rPr>
          <w:rFonts w:cs="Tahoma"/>
          <w:bCs/>
          <w:szCs w:val="22"/>
        </w:rPr>
        <w:t xml:space="preserve">, </w:t>
      </w:r>
      <w:r w:rsidRPr="00ED150A">
        <w:rPr>
          <w:rFonts w:eastAsia="Calibri" w:cs="Tahoma"/>
          <w:bCs/>
          <w:szCs w:val="22"/>
          <w:lang w:eastAsia="en-US"/>
        </w:rPr>
        <w:t xml:space="preserve">por resultar </w:t>
      </w:r>
      <w:r w:rsidRPr="00ED150A">
        <w:rPr>
          <w:rFonts w:eastAsia="Calibri" w:cs="Tahoma"/>
          <w:b/>
          <w:szCs w:val="22"/>
          <w:lang w:eastAsia="en-US"/>
        </w:rPr>
        <w:t>IN</w:t>
      </w:r>
      <w:r w:rsidRPr="00ED150A">
        <w:rPr>
          <w:rFonts w:eastAsia="Calibri" w:cs="Tahoma"/>
          <w:b/>
          <w:bCs/>
          <w:szCs w:val="22"/>
          <w:lang w:eastAsia="en-US"/>
        </w:rPr>
        <w:t>FUNDADAS</w:t>
      </w:r>
      <w:r w:rsidRPr="00ED150A">
        <w:rPr>
          <w:rFonts w:eastAsia="Calibri" w:cs="Tahoma"/>
          <w:bCs/>
          <w:szCs w:val="22"/>
          <w:lang w:eastAsia="en-US"/>
        </w:rPr>
        <w:t xml:space="preserve"> las razones o motivos de inconformidad hechos valer por </w:t>
      </w:r>
      <w:r w:rsidRPr="00ED150A">
        <w:rPr>
          <w:rFonts w:eastAsia="Calibri" w:cs="Tahoma"/>
          <w:b/>
          <w:szCs w:val="22"/>
          <w:lang w:eastAsia="en-US"/>
        </w:rPr>
        <w:t>LA PARTE RECURRENTE</w:t>
      </w:r>
      <w:r w:rsidRPr="00ED150A">
        <w:rPr>
          <w:rFonts w:eastAsia="Calibri" w:cs="Tahoma"/>
          <w:bCs/>
          <w:szCs w:val="22"/>
          <w:lang w:eastAsia="en-US"/>
        </w:rPr>
        <w:t xml:space="preserve"> en el Recurso de Revisión </w:t>
      </w:r>
      <w:r w:rsidR="004C1963" w:rsidRPr="00ED150A">
        <w:rPr>
          <w:rFonts w:eastAsia="Calibri" w:cs="Tahoma"/>
          <w:b/>
          <w:szCs w:val="22"/>
          <w:lang w:eastAsia="en-US"/>
        </w:rPr>
        <w:t>0</w:t>
      </w:r>
      <w:r w:rsidR="002A3067" w:rsidRPr="00ED150A">
        <w:rPr>
          <w:rFonts w:eastAsia="Calibri" w:cs="Tahoma"/>
          <w:b/>
          <w:szCs w:val="22"/>
          <w:lang w:eastAsia="en-US"/>
        </w:rPr>
        <w:t>2172</w:t>
      </w:r>
      <w:r w:rsidR="004C1963" w:rsidRPr="00ED150A">
        <w:rPr>
          <w:rFonts w:eastAsia="Calibri" w:cs="Tahoma"/>
          <w:b/>
          <w:szCs w:val="22"/>
          <w:lang w:eastAsia="en-US"/>
        </w:rPr>
        <w:t>/INFOEM/IP/RR/2025</w:t>
      </w:r>
      <w:r w:rsidRPr="00ED150A">
        <w:rPr>
          <w:rFonts w:eastAsiaTheme="minorHAnsi" w:cstheme="minorBidi"/>
          <w:szCs w:val="22"/>
          <w:lang w:eastAsia="en-US"/>
        </w:rPr>
        <w:t>,</w:t>
      </w:r>
      <w:r w:rsidRPr="00ED150A">
        <w:rPr>
          <w:rFonts w:cs="Tahoma"/>
          <w:b/>
          <w:szCs w:val="22"/>
        </w:rPr>
        <w:t xml:space="preserve"> </w:t>
      </w:r>
      <w:r w:rsidRPr="00ED150A">
        <w:rPr>
          <w:rFonts w:eastAsia="Calibri" w:cs="Tahoma"/>
          <w:bCs/>
          <w:szCs w:val="22"/>
          <w:lang w:eastAsia="en-US"/>
        </w:rPr>
        <w:t xml:space="preserve">en términos del considerando </w:t>
      </w:r>
      <w:r w:rsidRPr="00ED150A">
        <w:rPr>
          <w:rFonts w:eastAsia="Calibri" w:cs="Tahoma"/>
          <w:b/>
          <w:szCs w:val="22"/>
          <w:lang w:eastAsia="en-US"/>
        </w:rPr>
        <w:t>SEGUNDO</w:t>
      </w:r>
      <w:r w:rsidRPr="00ED150A">
        <w:rPr>
          <w:rFonts w:eastAsia="Calibri" w:cs="Tahoma"/>
          <w:bCs/>
          <w:szCs w:val="22"/>
          <w:lang w:eastAsia="en-US"/>
        </w:rPr>
        <w:t xml:space="preserve"> de la presente Resolución.</w:t>
      </w:r>
    </w:p>
    <w:p w14:paraId="5EB7B50B" w14:textId="77777777" w:rsidR="001C555C" w:rsidRPr="00ED150A" w:rsidRDefault="001C555C" w:rsidP="00ED150A">
      <w:pPr>
        <w:widowControl w:val="0"/>
        <w:rPr>
          <w:rFonts w:eastAsia="Calibri" w:cs="Tahoma"/>
          <w:bCs/>
          <w:szCs w:val="22"/>
          <w:lang w:eastAsia="en-US"/>
        </w:rPr>
      </w:pPr>
    </w:p>
    <w:p w14:paraId="48A95CEF" w14:textId="77777777" w:rsidR="001C555C" w:rsidRPr="00ED150A" w:rsidRDefault="001C555C" w:rsidP="00ED150A">
      <w:pPr>
        <w:ind w:right="-93"/>
      </w:pPr>
      <w:r w:rsidRPr="00ED150A">
        <w:rPr>
          <w:rFonts w:eastAsia="Calibri" w:cs="Tahoma"/>
          <w:b/>
          <w:bCs/>
          <w:szCs w:val="22"/>
          <w:lang w:eastAsia="en-US"/>
        </w:rPr>
        <w:t>SEGUNDO.</w:t>
      </w:r>
      <w:r w:rsidRPr="00ED150A">
        <w:rPr>
          <w:rFonts w:eastAsia="Calibri" w:cs="Tahoma"/>
          <w:szCs w:val="22"/>
          <w:lang w:eastAsia="es-MX"/>
        </w:rPr>
        <w:t xml:space="preserve"> </w:t>
      </w:r>
      <w:r w:rsidRPr="00ED150A">
        <w:rPr>
          <w:rFonts w:eastAsia="Palatino Linotype" w:cs="Palatino Linotype"/>
          <w:b/>
          <w:lang w:eastAsia="es-MX"/>
        </w:rPr>
        <w:t xml:space="preserve">Notifíquese </w:t>
      </w:r>
      <w:r w:rsidRPr="00ED150A">
        <w:rPr>
          <w:szCs w:val="17"/>
          <w:lang w:eastAsia="es-ES_tradnl"/>
        </w:rPr>
        <w:t xml:space="preserve">vía </w:t>
      </w:r>
      <w:r w:rsidRPr="00ED150A">
        <w:rPr>
          <w:rFonts w:cs="Arial"/>
        </w:rPr>
        <w:t>Sistema de Acceso a la Información Mexiquense (</w:t>
      </w:r>
      <w:r w:rsidRPr="00ED150A">
        <w:rPr>
          <w:rFonts w:cs="Arial"/>
          <w:b/>
          <w:bCs/>
        </w:rPr>
        <w:t>SAIMEX)</w:t>
      </w:r>
      <w:r w:rsidRPr="00ED150A">
        <w:rPr>
          <w:shd w:val="clear" w:color="auto" w:fill="FFFFFF"/>
        </w:rPr>
        <w:t xml:space="preserve"> la presente resolución al Titular de la Unidad de Transparencia del </w:t>
      </w:r>
      <w:r w:rsidRPr="00ED150A">
        <w:rPr>
          <w:b/>
          <w:bCs/>
        </w:rPr>
        <w:t>SUJETO OBLIGADO</w:t>
      </w:r>
      <w:r w:rsidRPr="00ED150A">
        <w:t>, para su conocimiento.</w:t>
      </w:r>
    </w:p>
    <w:p w14:paraId="245F12EB" w14:textId="77777777" w:rsidR="001C555C" w:rsidRPr="00ED150A" w:rsidRDefault="001C555C" w:rsidP="00ED150A">
      <w:pPr>
        <w:ind w:right="-93"/>
      </w:pPr>
    </w:p>
    <w:p w14:paraId="6E658FE5" w14:textId="77777777" w:rsidR="001C555C" w:rsidRPr="00ED150A" w:rsidRDefault="001C555C" w:rsidP="00ED150A">
      <w:r w:rsidRPr="00ED150A">
        <w:rPr>
          <w:b/>
          <w:bCs/>
        </w:rPr>
        <w:t>TERCERO.</w:t>
      </w:r>
      <w:r w:rsidRPr="00ED150A">
        <w:t xml:space="preserve"> Notifíquese a </w:t>
      </w:r>
      <w:r w:rsidRPr="00ED150A">
        <w:rPr>
          <w:b/>
          <w:bCs/>
        </w:rPr>
        <w:t>LA PARTE RECURRENTE</w:t>
      </w:r>
      <w:r w:rsidRPr="00ED150A">
        <w:t xml:space="preserve"> la presente resolución vía Sistema de Acceso a la Información Mexiquense (</w:t>
      </w:r>
      <w:r w:rsidRPr="00ED150A">
        <w:rPr>
          <w:b/>
        </w:rPr>
        <w:t>SAIMEX</w:t>
      </w:r>
      <w:r w:rsidRPr="00ED150A">
        <w:t>).</w:t>
      </w:r>
    </w:p>
    <w:p w14:paraId="494E2BD1" w14:textId="77777777" w:rsidR="001C555C" w:rsidRPr="00ED150A" w:rsidRDefault="001C555C" w:rsidP="00ED150A"/>
    <w:p w14:paraId="56F3D2DB" w14:textId="77777777" w:rsidR="001C555C" w:rsidRPr="00ED150A" w:rsidRDefault="001C555C" w:rsidP="00ED150A">
      <w:r w:rsidRPr="00ED150A">
        <w:rPr>
          <w:b/>
          <w:bCs/>
        </w:rPr>
        <w:lastRenderedPageBreak/>
        <w:t>CUARTO</w:t>
      </w:r>
      <w:r w:rsidRPr="00ED150A">
        <w:t xml:space="preserve">. Hágase del conocimiento a </w:t>
      </w:r>
      <w:r w:rsidRPr="00ED150A">
        <w:rPr>
          <w:b/>
          <w:bCs/>
        </w:rPr>
        <w:t>LA PARTE RECURRENTE</w:t>
      </w:r>
      <w:r w:rsidRPr="00ED150A">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30D4192" w14:textId="77777777" w:rsidR="00B137E8" w:rsidRPr="00ED150A" w:rsidRDefault="00B137E8" w:rsidP="00ED150A">
      <w:pPr>
        <w:ind w:right="113"/>
        <w:rPr>
          <w:rFonts w:cs="Arial"/>
          <w:b/>
          <w:szCs w:val="22"/>
        </w:rPr>
      </w:pPr>
    </w:p>
    <w:p w14:paraId="4CA55474" w14:textId="0DE42B6E" w:rsidR="000E324B" w:rsidRPr="00ED150A" w:rsidRDefault="000E324B" w:rsidP="00ED150A">
      <w:pPr>
        <w:rPr>
          <w:rFonts w:eastAsia="Palatino Linotype" w:cs="Palatino Linotype"/>
          <w:szCs w:val="22"/>
        </w:rPr>
      </w:pPr>
      <w:r w:rsidRPr="00ED150A">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D150A">
        <w:rPr>
          <w:rFonts w:eastAsia="Palatino Linotype" w:cs="Palatino Linotype"/>
          <w:szCs w:val="22"/>
        </w:rPr>
        <w:t>DÉ</w:t>
      </w:r>
      <w:r w:rsidRPr="00ED150A">
        <w:rPr>
          <w:rFonts w:eastAsia="Palatino Linotype" w:cs="Palatino Linotype"/>
          <w:szCs w:val="22"/>
        </w:rPr>
        <w:t>CIMA TERCERA SESIÓN ORDINARIA, CELEBRADA EL NUEVE DE ABRIL DE DOS MIL VEINTICINCO, ANTE EL SECRETARIO TÉCNICO DEL PLENO, ALEXIS TAPIA RAMÍREZ.</w:t>
      </w:r>
    </w:p>
    <w:p w14:paraId="64E59AFC" w14:textId="64AEB6B0" w:rsidR="00D85CEA" w:rsidRPr="00ED150A" w:rsidRDefault="009C04A8" w:rsidP="00ED150A">
      <w:pPr>
        <w:ind w:right="-93"/>
        <w:rPr>
          <w:rFonts w:eastAsia="Palatino Linotype" w:cs="Palatino Linotype"/>
          <w:sz w:val="20"/>
        </w:rPr>
      </w:pPr>
      <w:r w:rsidRPr="00ED150A">
        <w:rPr>
          <w:rFonts w:eastAsia="Palatino Linotype" w:cs="Palatino Linotype"/>
          <w:sz w:val="20"/>
        </w:rPr>
        <w:t>SCMM/AGZ/DEMF/RPG</w:t>
      </w:r>
    </w:p>
    <w:p w14:paraId="1DA361E5" w14:textId="77777777" w:rsidR="00D85CEA" w:rsidRPr="00ED150A" w:rsidRDefault="00D85CEA" w:rsidP="00ED150A">
      <w:pPr>
        <w:spacing w:after="160" w:line="259" w:lineRule="auto"/>
        <w:jc w:val="left"/>
        <w:rPr>
          <w:rFonts w:eastAsia="Palatino Linotype" w:cs="Palatino Linotype"/>
          <w:sz w:val="20"/>
        </w:rPr>
      </w:pPr>
      <w:r w:rsidRPr="00ED150A">
        <w:rPr>
          <w:rFonts w:eastAsia="Palatino Linotype" w:cs="Palatino Linotype"/>
          <w:sz w:val="20"/>
        </w:rPr>
        <w:br w:type="page"/>
      </w:r>
    </w:p>
    <w:p w14:paraId="2D425474" w14:textId="77777777" w:rsidR="009C04A8" w:rsidRPr="00ED150A" w:rsidRDefault="009C04A8" w:rsidP="00ED150A">
      <w:pPr>
        <w:ind w:right="-93"/>
        <w:rPr>
          <w:rFonts w:eastAsia="Calibri" w:cs="Tahoma"/>
          <w:szCs w:val="22"/>
          <w:lang w:val="es-ES"/>
        </w:rPr>
      </w:pPr>
    </w:p>
    <w:p w14:paraId="696BC976" w14:textId="77777777" w:rsidR="00664420" w:rsidRPr="00ED150A" w:rsidRDefault="00664420" w:rsidP="00ED150A">
      <w:pPr>
        <w:ind w:right="-93"/>
        <w:rPr>
          <w:rFonts w:eastAsia="Calibri" w:cs="Tahoma"/>
          <w:bCs/>
          <w:szCs w:val="22"/>
          <w:lang w:val="es-ES" w:eastAsia="en-US"/>
        </w:rPr>
      </w:pPr>
    </w:p>
    <w:p w14:paraId="671CB0C5" w14:textId="77777777" w:rsidR="00664420" w:rsidRPr="00ED150A" w:rsidRDefault="00664420" w:rsidP="00ED150A">
      <w:pPr>
        <w:ind w:right="-93"/>
        <w:rPr>
          <w:rFonts w:eastAsia="Calibri" w:cs="Tahoma"/>
          <w:bCs/>
          <w:szCs w:val="22"/>
          <w:lang w:val="es-ES_tradnl" w:eastAsia="en-US"/>
        </w:rPr>
      </w:pPr>
    </w:p>
    <w:p w14:paraId="6FDF3D7E" w14:textId="77777777" w:rsidR="00664420" w:rsidRPr="00ED150A" w:rsidRDefault="00664420" w:rsidP="00ED150A">
      <w:pPr>
        <w:tabs>
          <w:tab w:val="center" w:pos="4568"/>
        </w:tabs>
        <w:ind w:right="-93"/>
        <w:rPr>
          <w:rFonts w:eastAsia="Calibri" w:cs="Tahoma"/>
          <w:bCs/>
          <w:szCs w:val="22"/>
          <w:lang w:eastAsia="en-US"/>
        </w:rPr>
      </w:pPr>
    </w:p>
    <w:p w14:paraId="6246F818" w14:textId="77777777" w:rsidR="00664420" w:rsidRPr="00ED150A" w:rsidRDefault="00664420" w:rsidP="00ED150A">
      <w:pPr>
        <w:tabs>
          <w:tab w:val="center" w:pos="4568"/>
        </w:tabs>
        <w:ind w:right="-93"/>
        <w:rPr>
          <w:rFonts w:eastAsia="Calibri" w:cs="Tahoma"/>
          <w:bCs/>
          <w:szCs w:val="22"/>
          <w:lang w:eastAsia="en-US"/>
        </w:rPr>
      </w:pPr>
    </w:p>
    <w:p w14:paraId="57A88B28" w14:textId="77777777" w:rsidR="00664420" w:rsidRPr="00ED150A" w:rsidRDefault="00664420" w:rsidP="00ED150A">
      <w:pPr>
        <w:tabs>
          <w:tab w:val="center" w:pos="4568"/>
        </w:tabs>
        <w:ind w:right="-93"/>
        <w:rPr>
          <w:rFonts w:eastAsia="Calibri" w:cs="Tahoma"/>
          <w:bCs/>
          <w:szCs w:val="22"/>
          <w:lang w:eastAsia="en-US"/>
        </w:rPr>
      </w:pPr>
    </w:p>
    <w:p w14:paraId="77EF6095" w14:textId="77777777" w:rsidR="00664420" w:rsidRPr="00ED150A" w:rsidRDefault="00664420" w:rsidP="00ED150A">
      <w:pPr>
        <w:tabs>
          <w:tab w:val="center" w:pos="4568"/>
        </w:tabs>
        <w:ind w:right="-93"/>
        <w:rPr>
          <w:rFonts w:eastAsia="Calibri" w:cs="Tahoma"/>
          <w:bCs/>
          <w:szCs w:val="22"/>
          <w:lang w:eastAsia="en-US"/>
        </w:rPr>
      </w:pPr>
    </w:p>
    <w:p w14:paraId="35593947" w14:textId="77777777" w:rsidR="00664420" w:rsidRPr="00ED150A" w:rsidRDefault="00664420" w:rsidP="00ED150A">
      <w:pPr>
        <w:tabs>
          <w:tab w:val="center" w:pos="4568"/>
        </w:tabs>
        <w:ind w:right="-93"/>
        <w:rPr>
          <w:rFonts w:eastAsia="Calibri" w:cs="Tahoma"/>
          <w:bCs/>
          <w:szCs w:val="22"/>
          <w:lang w:eastAsia="en-US"/>
        </w:rPr>
      </w:pPr>
    </w:p>
    <w:p w14:paraId="3AF72A17" w14:textId="77777777" w:rsidR="00664420" w:rsidRPr="00ED150A" w:rsidRDefault="00664420" w:rsidP="00ED150A">
      <w:pPr>
        <w:tabs>
          <w:tab w:val="center" w:pos="4568"/>
        </w:tabs>
        <w:ind w:right="-93"/>
        <w:rPr>
          <w:rFonts w:eastAsia="Calibri" w:cs="Tahoma"/>
          <w:bCs/>
          <w:szCs w:val="22"/>
          <w:lang w:eastAsia="en-US"/>
        </w:rPr>
      </w:pPr>
    </w:p>
    <w:p w14:paraId="37169144" w14:textId="77777777" w:rsidR="00664420" w:rsidRPr="00ED150A" w:rsidRDefault="00664420" w:rsidP="00ED150A">
      <w:pPr>
        <w:tabs>
          <w:tab w:val="center" w:pos="4568"/>
        </w:tabs>
        <w:ind w:right="-93"/>
        <w:rPr>
          <w:rFonts w:eastAsia="Calibri" w:cs="Tahoma"/>
          <w:bCs/>
          <w:szCs w:val="22"/>
          <w:lang w:eastAsia="en-US"/>
        </w:rPr>
      </w:pPr>
    </w:p>
    <w:p w14:paraId="77CFC088" w14:textId="77777777" w:rsidR="00664420" w:rsidRPr="00ED150A" w:rsidRDefault="00664420" w:rsidP="00ED150A">
      <w:pPr>
        <w:tabs>
          <w:tab w:val="center" w:pos="4568"/>
        </w:tabs>
        <w:ind w:right="-93"/>
        <w:rPr>
          <w:rFonts w:eastAsia="Calibri" w:cs="Tahoma"/>
          <w:bCs/>
          <w:szCs w:val="22"/>
          <w:lang w:eastAsia="en-US"/>
        </w:rPr>
      </w:pPr>
    </w:p>
    <w:p w14:paraId="781A11A5" w14:textId="77777777" w:rsidR="00664420" w:rsidRPr="00ED150A" w:rsidRDefault="00664420" w:rsidP="00ED150A">
      <w:pPr>
        <w:tabs>
          <w:tab w:val="center" w:pos="4568"/>
        </w:tabs>
        <w:ind w:right="-93"/>
        <w:rPr>
          <w:rFonts w:eastAsia="Calibri" w:cs="Tahoma"/>
          <w:bCs/>
          <w:szCs w:val="22"/>
          <w:lang w:eastAsia="en-US"/>
        </w:rPr>
      </w:pPr>
    </w:p>
    <w:sectPr w:rsidR="00664420" w:rsidRPr="00ED150A"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63F73" w14:textId="77777777" w:rsidR="00E62F0B" w:rsidRDefault="00E62F0B" w:rsidP="00664420">
      <w:pPr>
        <w:spacing w:line="240" w:lineRule="auto"/>
      </w:pPr>
      <w:r>
        <w:separator/>
      </w:r>
    </w:p>
  </w:endnote>
  <w:endnote w:type="continuationSeparator" w:id="0">
    <w:p w14:paraId="4D12DFA9" w14:textId="77777777" w:rsidR="00E62F0B" w:rsidRDefault="00E62F0B"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523096" w:rsidRDefault="00523096">
    <w:pPr>
      <w:tabs>
        <w:tab w:val="center" w:pos="4550"/>
        <w:tab w:val="left" w:pos="5818"/>
      </w:tabs>
      <w:ind w:right="260"/>
      <w:jc w:val="right"/>
      <w:rPr>
        <w:color w:val="071320" w:themeColor="text2" w:themeShade="80"/>
        <w:sz w:val="24"/>
        <w:szCs w:val="24"/>
      </w:rPr>
    </w:pPr>
  </w:p>
  <w:p w14:paraId="1BCA7F23" w14:textId="77777777" w:rsidR="00523096" w:rsidRDefault="0052309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CA4B327" w:rsidR="00523096" w:rsidRDefault="00523096">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DC766D" w:rsidRPr="00DC766D">
      <w:rPr>
        <w:noProof/>
        <w:color w:val="0A1D30" w:themeColor="text2" w:themeShade="BF"/>
        <w:sz w:val="24"/>
        <w:szCs w:val="24"/>
        <w:lang w:val="es-ES"/>
      </w:rPr>
      <w:t>16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DC766D" w:rsidRPr="00DC766D">
      <w:rPr>
        <w:noProof/>
        <w:color w:val="0A1D30" w:themeColor="text2" w:themeShade="BF"/>
        <w:sz w:val="24"/>
        <w:szCs w:val="24"/>
        <w:lang w:val="es-ES"/>
      </w:rPr>
      <w:t>20</w:t>
    </w:r>
    <w:r>
      <w:rPr>
        <w:color w:val="0A1D30" w:themeColor="text2" w:themeShade="BF"/>
        <w:sz w:val="24"/>
        <w:szCs w:val="24"/>
      </w:rPr>
      <w:fldChar w:fldCharType="end"/>
    </w:r>
  </w:p>
  <w:p w14:paraId="310E15C0" w14:textId="77777777" w:rsidR="00523096" w:rsidRDefault="005230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151EB" w14:textId="77777777" w:rsidR="00E62F0B" w:rsidRDefault="00E62F0B" w:rsidP="00664420">
      <w:pPr>
        <w:spacing w:line="240" w:lineRule="auto"/>
      </w:pPr>
      <w:r>
        <w:separator/>
      </w:r>
    </w:p>
  </w:footnote>
  <w:footnote w:type="continuationSeparator" w:id="0">
    <w:p w14:paraId="2E2496AB" w14:textId="77777777" w:rsidR="00E62F0B" w:rsidRDefault="00E62F0B" w:rsidP="00664420">
      <w:pPr>
        <w:spacing w:line="240" w:lineRule="auto"/>
      </w:pPr>
      <w:r>
        <w:continuationSeparator/>
      </w:r>
    </w:p>
  </w:footnote>
  <w:footnote w:id="1">
    <w:p w14:paraId="2624F39B" w14:textId="7BC5772F" w:rsidR="00523096" w:rsidRPr="00A048C7" w:rsidRDefault="00523096">
      <w:pPr>
        <w:pStyle w:val="Textonotapie"/>
        <w:rPr>
          <w:rFonts w:eastAsia="Batang" w:cs="Tahoma"/>
          <w:i/>
          <w:sz w:val="16"/>
          <w:szCs w:val="22"/>
          <w:lang w:val="es-ES"/>
        </w:rPr>
      </w:pPr>
      <w:r>
        <w:rPr>
          <w:rStyle w:val="Refdenotaalpie"/>
        </w:rPr>
        <w:footnoteRef/>
      </w:r>
      <w:r>
        <w:t xml:space="preserve"> </w:t>
      </w:r>
      <w:r w:rsidRPr="002C158B">
        <w:rPr>
          <w:rFonts w:eastAsia="Batang" w:cs="Tahoma"/>
          <w:i/>
          <w:sz w:val="16"/>
          <w:szCs w:val="22"/>
          <w:lang w:val="es-ES"/>
        </w:rPr>
        <w:t xml:space="preserve">Si bien, se registró el </w:t>
      </w:r>
      <w:r>
        <w:rPr>
          <w:rFonts w:eastAsia="Batang" w:cs="Tahoma"/>
          <w:i/>
          <w:sz w:val="16"/>
          <w:szCs w:val="22"/>
          <w:lang w:val="es-ES"/>
        </w:rPr>
        <w:t xml:space="preserve">veintitrés </w:t>
      </w:r>
      <w:r w:rsidRPr="002C158B">
        <w:rPr>
          <w:rFonts w:eastAsia="Batang" w:cs="Tahoma"/>
          <w:i/>
          <w:sz w:val="16"/>
          <w:szCs w:val="22"/>
          <w:lang w:val="es-ES"/>
        </w:rPr>
        <w:t xml:space="preserve">del mismo mes y año, a través de dicho portal, también lo es, que fue inhábil, de conformidad con </w:t>
      </w:r>
      <w:r>
        <w:rPr>
          <w:rFonts w:eastAsia="Batang" w:cs="Tahoma"/>
          <w:i/>
          <w:sz w:val="16"/>
          <w:szCs w:val="22"/>
          <w:lang w:val="es-ES"/>
        </w:rPr>
        <w:t xml:space="preserve">el </w:t>
      </w:r>
      <w:r w:rsidRPr="00B65681">
        <w:rPr>
          <w:rFonts w:eastAsia="Batang" w:cs="Tahoma"/>
          <w:i/>
          <w:sz w:val="16"/>
          <w:szCs w:val="22"/>
          <w:lang w:val="es-ES"/>
        </w:rPr>
        <w:t>Calendario Oficial en Materia de Transparencia, Acceso a la Información Pública y Protección de Datos Personales del Estado de México y Municipios, as</w:t>
      </w:r>
      <w:r>
        <w:rPr>
          <w:rFonts w:eastAsia="Batang" w:cs="Tahoma"/>
          <w:i/>
          <w:sz w:val="16"/>
          <w:szCs w:val="22"/>
          <w:lang w:val="es-ES"/>
        </w:rPr>
        <w:t>í como de labores del Instituto</w:t>
      </w:r>
      <w:r w:rsidRPr="002C158B">
        <w:rPr>
          <w:rFonts w:eastAsia="Batang" w:cs="Tahoma"/>
          <w:i/>
          <w:sz w:val="16"/>
          <w:szCs w:val="22"/>
          <w:lang w:val="es-ES"/>
        </w:rPr>
        <w:t>, por lo que, se tu</w:t>
      </w:r>
      <w:r>
        <w:rPr>
          <w:rFonts w:eastAsia="Batang" w:cs="Tahoma"/>
          <w:i/>
          <w:sz w:val="16"/>
          <w:szCs w:val="22"/>
          <w:lang w:val="es-ES"/>
        </w:rPr>
        <w:t xml:space="preserve">vo </w:t>
      </w:r>
      <w:r w:rsidRPr="002C158B">
        <w:rPr>
          <w:rFonts w:eastAsia="Batang" w:cs="Tahoma"/>
          <w:i/>
          <w:sz w:val="16"/>
          <w:szCs w:val="22"/>
          <w:lang w:val="es-ES"/>
        </w:rPr>
        <w:t>por recibido, el día hábil subsecuente</w:t>
      </w:r>
      <w:r>
        <w:rPr>
          <w:rFonts w:eastAsia="Batang" w:cs="Tahoma"/>
          <w:i/>
          <w:sz w:val="16"/>
          <w:szCs w:val="22"/>
          <w:lang w:val="es-ES"/>
        </w:rPr>
        <w:t>.</w:t>
      </w:r>
    </w:p>
  </w:footnote>
  <w:footnote w:id="2">
    <w:p w14:paraId="5C321EBA" w14:textId="2C049AFB" w:rsidR="00523096" w:rsidRPr="00F31AE1" w:rsidRDefault="00523096">
      <w:pPr>
        <w:pStyle w:val="Textonotapie"/>
        <w:rPr>
          <w:i/>
          <w:sz w:val="18"/>
        </w:rPr>
      </w:pPr>
      <w:r>
        <w:rPr>
          <w:rStyle w:val="Refdenotaalpie"/>
        </w:rPr>
        <w:footnoteRef/>
      </w:r>
      <w:r>
        <w:t xml:space="preserve"> </w:t>
      </w:r>
      <w:r w:rsidRPr="00F31AE1">
        <w:rPr>
          <w:i/>
          <w:sz w:val="18"/>
        </w:rPr>
        <w:t>https://legislacion.edomex.gob.mx/sites/legislacion.edomex.gob.mx/files/files/pdf/gct/2024/noviembre/nov142/nov142a.pdf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523096" w:rsidRPr="00330DA7" w14:paraId="070A4B18" w14:textId="77777777" w:rsidTr="003F35FD">
      <w:trPr>
        <w:trHeight w:val="144"/>
        <w:jc w:val="right"/>
      </w:trPr>
      <w:tc>
        <w:tcPr>
          <w:tcW w:w="2727" w:type="dxa"/>
        </w:tcPr>
        <w:p w14:paraId="62B7493A" w14:textId="77777777" w:rsidR="00523096" w:rsidRPr="00330DA7" w:rsidRDefault="00523096"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4CC591A" w:rsidR="00523096" w:rsidRPr="00A90C72" w:rsidRDefault="00523096" w:rsidP="00523096">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w:t>
          </w:r>
          <w:r>
            <w:rPr>
              <w:rFonts w:eastAsia="Calibri" w:cs="Tahoma"/>
              <w:szCs w:val="22"/>
              <w:lang w:eastAsia="en-US"/>
            </w:rPr>
            <w:t>2172</w:t>
          </w:r>
          <w:r w:rsidRPr="006E7E69">
            <w:rPr>
              <w:rFonts w:eastAsia="Calibri" w:cs="Tahoma"/>
              <w:szCs w:val="22"/>
              <w:lang w:eastAsia="en-US"/>
            </w:rPr>
            <w:t>/INFOEM/IP/RR/2025</w:t>
          </w:r>
        </w:p>
      </w:tc>
    </w:tr>
    <w:tr w:rsidR="00523096" w:rsidRPr="00330DA7" w14:paraId="4521E058" w14:textId="77777777" w:rsidTr="003F35FD">
      <w:trPr>
        <w:trHeight w:val="283"/>
        <w:jc w:val="right"/>
      </w:trPr>
      <w:tc>
        <w:tcPr>
          <w:tcW w:w="2727" w:type="dxa"/>
        </w:tcPr>
        <w:p w14:paraId="0B68C086" w14:textId="77777777" w:rsidR="00523096" w:rsidRPr="00330DA7" w:rsidRDefault="00523096"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02BFD3D" w:rsidR="00523096" w:rsidRPr="009233A1" w:rsidRDefault="00523096" w:rsidP="00523096">
          <w:pPr>
            <w:tabs>
              <w:tab w:val="right" w:pos="8838"/>
            </w:tabs>
            <w:spacing w:line="240" w:lineRule="auto"/>
            <w:ind w:left="-74" w:right="-105"/>
            <w:rPr>
              <w:rFonts w:eastAsia="Calibri" w:cs="Tahoma"/>
              <w:szCs w:val="22"/>
              <w:lang w:val="es-MX" w:eastAsia="en-US"/>
            </w:rPr>
          </w:pPr>
          <w:r w:rsidRPr="000611E4">
            <w:rPr>
              <w:rFonts w:eastAsia="Calibri" w:cs="Tahoma"/>
              <w:szCs w:val="22"/>
              <w:lang w:eastAsia="en-US"/>
            </w:rPr>
            <w:t xml:space="preserve">Ayuntamiento de </w:t>
          </w:r>
          <w:r>
            <w:rPr>
              <w:rFonts w:eastAsia="Calibri" w:cs="Tahoma"/>
              <w:szCs w:val="22"/>
              <w:lang w:eastAsia="en-US"/>
            </w:rPr>
            <w:t xml:space="preserve">Morelos </w:t>
          </w:r>
        </w:p>
      </w:tc>
    </w:tr>
    <w:tr w:rsidR="00523096" w:rsidRPr="00330DA7" w14:paraId="6331D9B6" w14:textId="77777777" w:rsidTr="003F35FD">
      <w:trPr>
        <w:trHeight w:val="283"/>
        <w:jc w:val="right"/>
      </w:trPr>
      <w:tc>
        <w:tcPr>
          <w:tcW w:w="2727" w:type="dxa"/>
        </w:tcPr>
        <w:p w14:paraId="3FA86BAE" w14:textId="6568823B" w:rsidR="00523096" w:rsidRPr="00330DA7" w:rsidRDefault="00523096"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523096" w:rsidRPr="00EA66FC" w:rsidRDefault="00523096"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523096" w:rsidRPr="00443C6B" w:rsidRDefault="0052309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23096" w:rsidRPr="00330DA7" w14:paraId="29CFF901" w14:textId="77777777" w:rsidTr="004D0573">
      <w:trPr>
        <w:trHeight w:val="1435"/>
      </w:trPr>
      <w:tc>
        <w:tcPr>
          <w:tcW w:w="283" w:type="dxa"/>
          <w:shd w:val="clear" w:color="auto" w:fill="auto"/>
        </w:tcPr>
        <w:p w14:paraId="046B9F8F" w14:textId="77777777" w:rsidR="00523096" w:rsidRPr="00330DA7" w:rsidRDefault="00523096"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523096" w:rsidRPr="00330DA7" w14:paraId="04F272D2" w14:textId="77777777" w:rsidTr="004D0573">
            <w:trPr>
              <w:trHeight w:val="144"/>
            </w:trPr>
            <w:tc>
              <w:tcPr>
                <w:tcW w:w="2727" w:type="dxa"/>
              </w:tcPr>
              <w:p w14:paraId="2FD4DBF6" w14:textId="77777777" w:rsidR="00523096" w:rsidRPr="00330DA7" w:rsidRDefault="00523096"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62ACA22A" w:rsidR="00523096" w:rsidRPr="004D0573" w:rsidRDefault="00523096" w:rsidP="00523096">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w:t>
                </w:r>
                <w:r>
                  <w:rPr>
                    <w:rFonts w:eastAsia="Calibri" w:cs="Tahoma"/>
                    <w:szCs w:val="22"/>
                    <w:lang w:eastAsia="en-US"/>
                  </w:rPr>
                  <w:t>2172</w:t>
                </w:r>
                <w:r w:rsidRPr="006E7E69">
                  <w:rPr>
                    <w:rFonts w:eastAsia="Calibri" w:cs="Tahoma"/>
                    <w:szCs w:val="22"/>
                    <w:lang w:eastAsia="en-US"/>
                  </w:rPr>
                  <w:t>/INFOEM/IP/RR/2025</w:t>
                </w:r>
              </w:p>
            </w:tc>
            <w:tc>
              <w:tcPr>
                <w:tcW w:w="3402" w:type="dxa"/>
              </w:tcPr>
              <w:p w14:paraId="71DEA1CF" w14:textId="77777777" w:rsidR="00523096" w:rsidRDefault="00523096" w:rsidP="004D0573">
                <w:pPr>
                  <w:tabs>
                    <w:tab w:val="right" w:pos="8838"/>
                  </w:tabs>
                  <w:spacing w:line="240" w:lineRule="auto"/>
                  <w:ind w:left="-74" w:right="-105"/>
                  <w:rPr>
                    <w:rFonts w:eastAsia="Calibri" w:cs="Tahoma"/>
                    <w:szCs w:val="22"/>
                    <w:lang w:eastAsia="en-US"/>
                  </w:rPr>
                </w:pPr>
              </w:p>
            </w:tc>
          </w:tr>
          <w:tr w:rsidR="00523096" w:rsidRPr="00330DA7" w14:paraId="05C58951" w14:textId="77777777" w:rsidTr="004D0573">
            <w:trPr>
              <w:trHeight w:val="144"/>
            </w:trPr>
            <w:tc>
              <w:tcPr>
                <w:tcW w:w="2727" w:type="dxa"/>
              </w:tcPr>
              <w:p w14:paraId="642B9610" w14:textId="77777777" w:rsidR="00523096" w:rsidRPr="00330DA7" w:rsidRDefault="00523096"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8E4E433" w:rsidR="00523096" w:rsidRPr="0086345C" w:rsidRDefault="00DC766D" w:rsidP="0086345C">
                <w:pPr>
                  <w:tabs>
                    <w:tab w:val="right" w:pos="8838"/>
                  </w:tabs>
                  <w:spacing w:line="240" w:lineRule="auto"/>
                  <w:ind w:left="-74" w:right="-105"/>
                  <w:rPr>
                    <w:rFonts w:ascii="Arial" w:hAnsi="Arial" w:cs="Arial"/>
                    <w:b/>
                    <w:bCs/>
                    <w:sz w:val="15"/>
                    <w:szCs w:val="15"/>
                    <w:lang w:eastAsia="es-MX"/>
                  </w:rPr>
                </w:pPr>
                <w:r>
                  <w:rPr>
                    <w:rFonts w:eastAsia="Calibri" w:cs="Tahoma"/>
                    <w:szCs w:val="22"/>
                    <w:lang w:eastAsia="en-US"/>
                  </w:rPr>
                  <w:t xml:space="preserve">XXXXX </w:t>
                </w:r>
                <w:proofErr w:type="spellStart"/>
                <w:r>
                  <w:rPr>
                    <w:rFonts w:eastAsia="Calibri" w:cs="Tahoma"/>
                    <w:szCs w:val="22"/>
                    <w:lang w:eastAsia="en-US"/>
                  </w:rPr>
                  <w:t>XXXXX</w:t>
                </w:r>
                <w:proofErr w:type="spellEnd"/>
                <w:r>
                  <w:rPr>
                    <w:rFonts w:eastAsia="Calibri" w:cs="Tahoma"/>
                    <w:szCs w:val="22"/>
                    <w:lang w:eastAsia="en-US"/>
                  </w:rPr>
                  <w:t xml:space="preserve"> XXXXXXXXX</w:t>
                </w:r>
              </w:p>
            </w:tc>
            <w:tc>
              <w:tcPr>
                <w:tcW w:w="3402" w:type="dxa"/>
              </w:tcPr>
              <w:p w14:paraId="73F47F53" w14:textId="77777777" w:rsidR="00523096" w:rsidRPr="005F19B1" w:rsidRDefault="00523096" w:rsidP="004D0573">
                <w:pPr>
                  <w:tabs>
                    <w:tab w:val="left" w:pos="3122"/>
                    <w:tab w:val="right" w:pos="8838"/>
                  </w:tabs>
                  <w:spacing w:line="240" w:lineRule="auto"/>
                  <w:ind w:left="-105" w:right="-105"/>
                  <w:rPr>
                    <w:rFonts w:eastAsia="Calibri" w:cs="Tahoma"/>
                    <w:szCs w:val="22"/>
                    <w:lang w:eastAsia="en-US"/>
                  </w:rPr>
                </w:pPr>
              </w:p>
            </w:tc>
          </w:tr>
          <w:bookmarkEnd w:id="1"/>
          <w:tr w:rsidR="00523096" w:rsidRPr="00330DA7" w14:paraId="00E6CDC1" w14:textId="77777777" w:rsidTr="004D0573">
            <w:trPr>
              <w:trHeight w:val="283"/>
            </w:trPr>
            <w:tc>
              <w:tcPr>
                <w:tcW w:w="2727" w:type="dxa"/>
              </w:tcPr>
              <w:p w14:paraId="0631AD24" w14:textId="77777777" w:rsidR="00523096" w:rsidRPr="00330DA7" w:rsidRDefault="00523096"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48D9723" w:rsidR="00523096" w:rsidRPr="004D0573" w:rsidRDefault="00523096" w:rsidP="00523096">
                <w:pPr>
                  <w:tabs>
                    <w:tab w:val="right" w:pos="8838"/>
                  </w:tabs>
                  <w:spacing w:line="240" w:lineRule="auto"/>
                  <w:ind w:left="-74" w:right="-105"/>
                  <w:rPr>
                    <w:rFonts w:eastAsia="Calibri" w:cs="Tahoma"/>
                    <w:szCs w:val="22"/>
                    <w:lang w:eastAsia="en-US"/>
                  </w:rPr>
                </w:pPr>
                <w:r w:rsidRPr="000611E4">
                  <w:rPr>
                    <w:rFonts w:eastAsia="Calibri" w:cs="Tahoma"/>
                    <w:szCs w:val="22"/>
                    <w:lang w:eastAsia="en-US"/>
                  </w:rPr>
                  <w:t xml:space="preserve">Ayuntamiento de </w:t>
                </w:r>
                <w:r>
                  <w:rPr>
                    <w:rFonts w:eastAsia="Calibri" w:cs="Tahoma"/>
                    <w:szCs w:val="22"/>
                    <w:lang w:eastAsia="en-US"/>
                  </w:rPr>
                  <w:t xml:space="preserve">Morelos  </w:t>
                </w:r>
              </w:p>
            </w:tc>
            <w:tc>
              <w:tcPr>
                <w:tcW w:w="3402" w:type="dxa"/>
              </w:tcPr>
              <w:p w14:paraId="3A7DA319" w14:textId="77777777" w:rsidR="00523096" w:rsidRPr="00A90C72" w:rsidRDefault="00523096" w:rsidP="004D0573">
                <w:pPr>
                  <w:tabs>
                    <w:tab w:val="left" w:pos="2834"/>
                    <w:tab w:val="right" w:pos="8838"/>
                  </w:tabs>
                  <w:spacing w:line="240" w:lineRule="auto"/>
                  <w:ind w:left="-108" w:right="-105"/>
                  <w:rPr>
                    <w:rFonts w:eastAsia="Calibri" w:cs="Tahoma"/>
                    <w:szCs w:val="22"/>
                    <w:lang w:eastAsia="en-US"/>
                  </w:rPr>
                </w:pPr>
              </w:p>
            </w:tc>
          </w:tr>
          <w:tr w:rsidR="00523096" w:rsidRPr="00330DA7" w14:paraId="0F6CD8D2" w14:textId="77777777" w:rsidTr="004D0573">
            <w:trPr>
              <w:trHeight w:val="283"/>
            </w:trPr>
            <w:tc>
              <w:tcPr>
                <w:tcW w:w="2727" w:type="dxa"/>
              </w:tcPr>
              <w:p w14:paraId="31700628" w14:textId="0565A62A" w:rsidR="00523096" w:rsidRPr="00330DA7" w:rsidRDefault="00523096"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523096" w:rsidRPr="00EA66FC" w:rsidRDefault="00523096"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523096" w:rsidRPr="00330DA7" w:rsidRDefault="00523096" w:rsidP="004D0573">
                <w:pPr>
                  <w:tabs>
                    <w:tab w:val="right" w:pos="8838"/>
                  </w:tabs>
                  <w:spacing w:line="240" w:lineRule="auto"/>
                  <w:ind w:left="-108" w:right="-105"/>
                  <w:rPr>
                    <w:rFonts w:eastAsia="Calibri" w:cs="Tahoma"/>
                    <w:szCs w:val="22"/>
                    <w:lang w:eastAsia="en-US"/>
                  </w:rPr>
                </w:pPr>
              </w:p>
            </w:tc>
          </w:tr>
        </w:tbl>
        <w:p w14:paraId="5DC6AC61" w14:textId="77777777" w:rsidR="00523096" w:rsidRPr="00330DA7" w:rsidRDefault="00523096" w:rsidP="004D0573">
          <w:pPr>
            <w:tabs>
              <w:tab w:val="right" w:pos="8838"/>
            </w:tabs>
            <w:ind w:left="-28"/>
            <w:rPr>
              <w:rFonts w:ascii="Arial" w:eastAsia="Calibri" w:hAnsi="Arial" w:cs="Arial"/>
              <w:b/>
              <w:szCs w:val="22"/>
              <w:lang w:eastAsia="en-US"/>
            </w:rPr>
          </w:pPr>
        </w:p>
      </w:tc>
    </w:tr>
  </w:tbl>
  <w:p w14:paraId="2A906731" w14:textId="77777777" w:rsidR="00523096" w:rsidRPr="00765661" w:rsidRDefault="00E62F0B"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E36"/>
    <w:multiLevelType w:val="hybridMultilevel"/>
    <w:tmpl w:val="7EE6D9CC"/>
    <w:lvl w:ilvl="0" w:tplc="E9749F0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5B5ADA"/>
    <w:multiLevelType w:val="hybridMultilevel"/>
    <w:tmpl w:val="D2F221C2"/>
    <w:lvl w:ilvl="0" w:tplc="2CFACA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9"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64D61D6"/>
    <w:multiLevelType w:val="hybridMultilevel"/>
    <w:tmpl w:val="24ECE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44B3889"/>
    <w:multiLevelType w:val="hybridMultilevel"/>
    <w:tmpl w:val="4E6629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0B462B2"/>
    <w:multiLevelType w:val="hybridMultilevel"/>
    <w:tmpl w:val="2334E6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E96691E"/>
    <w:multiLevelType w:val="hybridMultilevel"/>
    <w:tmpl w:val="BE88E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07745F"/>
    <w:multiLevelType w:val="hybridMultilevel"/>
    <w:tmpl w:val="7FCC4A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94A5A73"/>
    <w:multiLevelType w:val="hybridMultilevel"/>
    <w:tmpl w:val="637E3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30"/>
  </w:num>
  <w:num w:numId="3">
    <w:abstractNumId w:val="39"/>
  </w:num>
  <w:num w:numId="4">
    <w:abstractNumId w:val="13"/>
  </w:num>
  <w:num w:numId="5">
    <w:abstractNumId w:val="5"/>
  </w:num>
  <w:num w:numId="6">
    <w:abstractNumId w:val="42"/>
  </w:num>
  <w:num w:numId="7">
    <w:abstractNumId w:val="27"/>
  </w:num>
  <w:num w:numId="8">
    <w:abstractNumId w:val="11"/>
  </w:num>
  <w:num w:numId="9">
    <w:abstractNumId w:val="26"/>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16"/>
  </w:num>
  <w:num w:numId="13">
    <w:abstractNumId w:val="3"/>
  </w:num>
  <w:num w:numId="14">
    <w:abstractNumId w:val="10"/>
  </w:num>
  <w:num w:numId="15">
    <w:abstractNumId w:val="28"/>
  </w:num>
  <w:num w:numId="16">
    <w:abstractNumId w:val="37"/>
  </w:num>
  <w:num w:numId="17">
    <w:abstractNumId w:val="36"/>
  </w:num>
  <w:num w:numId="18">
    <w:abstractNumId w:val="8"/>
  </w:num>
  <w:num w:numId="19">
    <w:abstractNumId w:val="6"/>
  </w:num>
  <w:num w:numId="20">
    <w:abstractNumId w:val="44"/>
  </w:num>
  <w:num w:numId="21">
    <w:abstractNumId w:val="9"/>
  </w:num>
  <w:num w:numId="22">
    <w:abstractNumId w:val="31"/>
  </w:num>
  <w:num w:numId="23">
    <w:abstractNumId w:val="38"/>
  </w:num>
  <w:num w:numId="24">
    <w:abstractNumId w:val="14"/>
  </w:num>
  <w:num w:numId="25">
    <w:abstractNumId w:val="12"/>
  </w:num>
  <w:num w:numId="26">
    <w:abstractNumId w:val="1"/>
  </w:num>
  <w:num w:numId="27">
    <w:abstractNumId w:val="2"/>
  </w:num>
  <w:num w:numId="28">
    <w:abstractNumId w:val="19"/>
  </w:num>
  <w:num w:numId="29">
    <w:abstractNumId w:val="29"/>
  </w:num>
  <w:num w:numId="30">
    <w:abstractNumId w:val="7"/>
  </w:num>
  <w:num w:numId="31">
    <w:abstractNumId w:val="17"/>
  </w:num>
  <w:num w:numId="32">
    <w:abstractNumId w:val="15"/>
  </w:num>
  <w:num w:numId="33">
    <w:abstractNumId w:val="40"/>
  </w:num>
  <w:num w:numId="34">
    <w:abstractNumId w:val="35"/>
  </w:num>
  <w:num w:numId="35">
    <w:abstractNumId w:val="23"/>
  </w:num>
  <w:num w:numId="36">
    <w:abstractNumId w:val="21"/>
  </w:num>
  <w:num w:numId="37">
    <w:abstractNumId w:val="22"/>
  </w:num>
  <w:num w:numId="38">
    <w:abstractNumId w:val="33"/>
  </w:num>
  <w:num w:numId="39">
    <w:abstractNumId w:val="0"/>
  </w:num>
  <w:num w:numId="40">
    <w:abstractNumId w:val="34"/>
  </w:num>
  <w:num w:numId="41">
    <w:abstractNumId w:val="41"/>
  </w:num>
  <w:num w:numId="42">
    <w:abstractNumId w:val="4"/>
  </w:num>
  <w:num w:numId="43">
    <w:abstractNumId w:val="20"/>
  </w:num>
  <w:num w:numId="44">
    <w:abstractNumId w:val="43"/>
  </w:num>
  <w:num w:numId="45">
    <w:abstractNumId w:val="32"/>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1232"/>
    <w:rsid w:val="00025793"/>
    <w:rsid w:val="0002630F"/>
    <w:rsid w:val="000318BC"/>
    <w:rsid w:val="00033156"/>
    <w:rsid w:val="00042FBB"/>
    <w:rsid w:val="00057B2D"/>
    <w:rsid w:val="000611E4"/>
    <w:rsid w:val="00065518"/>
    <w:rsid w:val="000777E2"/>
    <w:rsid w:val="00080071"/>
    <w:rsid w:val="000A03B3"/>
    <w:rsid w:val="000A0798"/>
    <w:rsid w:val="000C3BBA"/>
    <w:rsid w:val="000D0D67"/>
    <w:rsid w:val="000D18CF"/>
    <w:rsid w:val="000E09C4"/>
    <w:rsid w:val="000E23B9"/>
    <w:rsid w:val="000E324B"/>
    <w:rsid w:val="000F32E8"/>
    <w:rsid w:val="000F46F7"/>
    <w:rsid w:val="00103C8A"/>
    <w:rsid w:val="00107F71"/>
    <w:rsid w:val="0011350D"/>
    <w:rsid w:val="001144FB"/>
    <w:rsid w:val="00117DDB"/>
    <w:rsid w:val="001220C3"/>
    <w:rsid w:val="00127130"/>
    <w:rsid w:val="00135056"/>
    <w:rsid w:val="00141876"/>
    <w:rsid w:val="0014207B"/>
    <w:rsid w:val="00150C49"/>
    <w:rsid w:val="001734D5"/>
    <w:rsid w:val="00175817"/>
    <w:rsid w:val="00185C7C"/>
    <w:rsid w:val="001878E5"/>
    <w:rsid w:val="001A58B3"/>
    <w:rsid w:val="001A6A2C"/>
    <w:rsid w:val="001C555C"/>
    <w:rsid w:val="001C6BE2"/>
    <w:rsid w:val="001C7688"/>
    <w:rsid w:val="001D0BF3"/>
    <w:rsid w:val="001D2464"/>
    <w:rsid w:val="001D5BAD"/>
    <w:rsid w:val="001E0943"/>
    <w:rsid w:val="001E0CFD"/>
    <w:rsid w:val="001F329F"/>
    <w:rsid w:val="001F3515"/>
    <w:rsid w:val="002015AE"/>
    <w:rsid w:val="00211F42"/>
    <w:rsid w:val="00233005"/>
    <w:rsid w:val="00233F17"/>
    <w:rsid w:val="0023534F"/>
    <w:rsid w:val="00237120"/>
    <w:rsid w:val="00240234"/>
    <w:rsid w:val="00245D19"/>
    <w:rsid w:val="002553CD"/>
    <w:rsid w:val="00256456"/>
    <w:rsid w:val="00293D29"/>
    <w:rsid w:val="002958FA"/>
    <w:rsid w:val="002961A6"/>
    <w:rsid w:val="002961B5"/>
    <w:rsid w:val="0029641C"/>
    <w:rsid w:val="002A3067"/>
    <w:rsid w:val="002A3601"/>
    <w:rsid w:val="002B0D19"/>
    <w:rsid w:val="002B1D44"/>
    <w:rsid w:val="002B4ED6"/>
    <w:rsid w:val="002B7C6F"/>
    <w:rsid w:val="002D111C"/>
    <w:rsid w:val="002E18F0"/>
    <w:rsid w:val="002F6393"/>
    <w:rsid w:val="00302476"/>
    <w:rsid w:val="00304C8C"/>
    <w:rsid w:val="00306C07"/>
    <w:rsid w:val="00327203"/>
    <w:rsid w:val="00331F35"/>
    <w:rsid w:val="00335CDF"/>
    <w:rsid w:val="00341E94"/>
    <w:rsid w:val="00346BC2"/>
    <w:rsid w:val="00362A11"/>
    <w:rsid w:val="00386CD1"/>
    <w:rsid w:val="003872A2"/>
    <w:rsid w:val="003A3A7E"/>
    <w:rsid w:val="003A40C1"/>
    <w:rsid w:val="003A67CC"/>
    <w:rsid w:val="003B0255"/>
    <w:rsid w:val="003B0AEC"/>
    <w:rsid w:val="003B2486"/>
    <w:rsid w:val="003B5D3E"/>
    <w:rsid w:val="003D5CCF"/>
    <w:rsid w:val="003E731C"/>
    <w:rsid w:val="003F28CD"/>
    <w:rsid w:val="003F35FD"/>
    <w:rsid w:val="003F4455"/>
    <w:rsid w:val="0041385B"/>
    <w:rsid w:val="00416357"/>
    <w:rsid w:val="00430170"/>
    <w:rsid w:val="0043654A"/>
    <w:rsid w:val="00441BFA"/>
    <w:rsid w:val="00446958"/>
    <w:rsid w:val="00454FBD"/>
    <w:rsid w:val="004565C2"/>
    <w:rsid w:val="00462338"/>
    <w:rsid w:val="00473D8C"/>
    <w:rsid w:val="00475FF6"/>
    <w:rsid w:val="004A4241"/>
    <w:rsid w:val="004B001B"/>
    <w:rsid w:val="004C1963"/>
    <w:rsid w:val="004C43D3"/>
    <w:rsid w:val="004D0573"/>
    <w:rsid w:val="004D7CD8"/>
    <w:rsid w:val="004E2939"/>
    <w:rsid w:val="004E5068"/>
    <w:rsid w:val="004F7A00"/>
    <w:rsid w:val="005122DD"/>
    <w:rsid w:val="00512E0B"/>
    <w:rsid w:val="00522385"/>
    <w:rsid w:val="00523096"/>
    <w:rsid w:val="00523E60"/>
    <w:rsid w:val="00523F48"/>
    <w:rsid w:val="005267CD"/>
    <w:rsid w:val="005365FA"/>
    <w:rsid w:val="00536C50"/>
    <w:rsid w:val="005432B1"/>
    <w:rsid w:val="00550AB5"/>
    <w:rsid w:val="0055624C"/>
    <w:rsid w:val="005723CB"/>
    <w:rsid w:val="00575400"/>
    <w:rsid w:val="00591A20"/>
    <w:rsid w:val="005A468E"/>
    <w:rsid w:val="005A5BF2"/>
    <w:rsid w:val="005B18AF"/>
    <w:rsid w:val="005B45A1"/>
    <w:rsid w:val="005D57B7"/>
    <w:rsid w:val="005D5A50"/>
    <w:rsid w:val="005F5301"/>
    <w:rsid w:val="005F65B7"/>
    <w:rsid w:val="006067C7"/>
    <w:rsid w:val="00615195"/>
    <w:rsid w:val="006159AD"/>
    <w:rsid w:val="006415E5"/>
    <w:rsid w:val="00646436"/>
    <w:rsid w:val="006516C0"/>
    <w:rsid w:val="00657603"/>
    <w:rsid w:val="00664420"/>
    <w:rsid w:val="006A21FC"/>
    <w:rsid w:val="006A646A"/>
    <w:rsid w:val="006B10B0"/>
    <w:rsid w:val="006D3237"/>
    <w:rsid w:val="006E13CF"/>
    <w:rsid w:val="006E25BC"/>
    <w:rsid w:val="006E6BBC"/>
    <w:rsid w:val="006E7E69"/>
    <w:rsid w:val="006F7768"/>
    <w:rsid w:val="00717E59"/>
    <w:rsid w:val="00724F22"/>
    <w:rsid w:val="00725C8B"/>
    <w:rsid w:val="00741F4F"/>
    <w:rsid w:val="007517BD"/>
    <w:rsid w:val="0075751F"/>
    <w:rsid w:val="0076337C"/>
    <w:rsid w:val="00773DD6"/>
    <w:rsid w:val="00773EAB"/>
    <w:rsid w:val="00774516"/>
    <w:rsid w:val="00775BFC"/>
    <w:rsid w:val="00782160"/>
    <w:rsid w:val="00794BA5"/>
    <w:rsid w:val="007A2B8D"/>
    <w:rsid w:val="007A3459"/>
    <w:rsid w:val="007B6074"/>
    <w:rsid w:val="007C7C47"/>
    <w:rsid w:val="007D1C55"/>
    <w:rsid w:val="007D1C84"/>
    <w:rsid w:val="007D317F"/>
    <w:rsid w:val="007E069C"/>
    <w:rsid w:val="007E07E1"/>
    <w:rsid w:val="007F5D06"/>
    <w:rsid w:val="00800535"/>
    <w:rsid w:val="00805A6E"/>
    <w:rsid w:val="00811211"/>
    <w:rsid w:val="00811F75"/>
    <w:rsid w:val="00813497"/>
    <w:rsid w:val="00823BA5"/>
    <w:rsid w:val="00826C28"/>
    <w:rsid w:val="00831728"/>
    <w:rsid w:val="00860F56"/>
    <w:rsid w:val="0086345C"/>
    <w:rsid w:val="00864CC1"/>
    <w:rsid w:val="00865CF4"/>
    <w:rsid w:val="00866219"/>
    <w:rsid w:val="00876DBC"/>
    <w:rsid w:val="008950DC"/>
    <w:rsid w:val="008A21E1"/>
    <w:rsid w:val="008A6003"/>
    <w:rsid w:val="008A6F88"/>
    <w:rsid w:val="008B1E16"/>
    <w:rsid w:val="008C2101"/>
    <w:rsid w:val="008E1316"/>
    <w:rsid w:val="008E6224"/>
    <w:rsid w:val="00903DBE"/>
    <w:rsid w:val="00910FD2"/>
    <w:rsid w:val="00911079"/>
    <w:rsid w:val="009176E8"/>
    <w:rsid w:val="009233A1"/>
    <w:rsid w:val="009246CF"/>
    <w:rsid w:val="00931437"/>
    <w:rsid w:val="00936B5A"/>
    <w:rsid w:val="00953212"/>
    <w:rsid w:val="00953430"/>
    <w:rsid w:val="00965890"/>
    <w:rsid w:val="00970EB3"/>
    <w:rsid w:val="0097369C"/>
    <w:rsid w:val="009756DF"/>
    <w:rsid w:val="00976247"/>
    <w:rsid w:val="00982877"/>
    <w:rsid w:val="00985840"/>
    <w:rsid w:val="00985F73"/>
    <w:rsid w:val="0098693C"/>
    <w:rsid w:val="00987AF6"/>
    <w:rsid w:val="00993ED0"/>
    <w:rsid w:val="009A1340"/>
    <w:rsid w:val="009A2D78"/>
    <w:rsid w:val="009A2EDE"/>
    <w:rsid w:val="009A7C10"/>
    <w:rsid w:val="009B2945"/>
    <w:rsid w:val="009C04A8"/>
    <w:rsid w:val="009E0652"/>
    <w:rsid w:val="009E2DEE"/>
    <w:rsid w:val="009E45F2"/>
    <w:rsid w:val="009E4644"/>
    <w:rsid w:val="009F797C"/>
    <w:rsid w:val="00A048C7"/>
    <w:rsid w:val="00A12AFA"/>
    <w:rsid w:val="00A131AC"/>
    <w:rsid w:val="00A16D85"/>
    <w:rsid w:val="00A21A20"/>
    <w:rsid w:val="00A34760"/>
    <w:rsid w:val="00A35DA7"/>
    <w:rsid w:val="00A36A99"/>
    <w:rsid w:val="00A41792"/>
    <w:rsid w:val="00A53315"/>
    <w:rsid w:val="00A6091A"/>
    <w:rsid w:val="00A63966"/>
    <w:rsid w:val="00A6415E"/>
    <w:rsid w:val="00A70EF0"/>
    <w:rsid w:val="00A76102"/>
    <w:rsid w:val="00A811BA"/>
    <w:rsid w:val="00A815EA"/>
    <w:rsid w:val="00A9208D"/>
    <w:rsid w:val="00A964CC"/>
    <w:rsid w:val="00AA3AE9"/>
    <w:rsid w:val="00AA6EA9"/>
    <w:rsid w:val="00AC2DB8"/>
    <w:rsid w:val="00AC3CA0"/>
    <w:rsid w:val="00AC4D02"/>
    <w:rsid w:val="00AD4855"/>
    <w:rsid w:val="00AE3DA7"/>
    <w:rsid w:val="00AE5AEF"/>
    <w:rsid w:val="00AF03C4"/>
    <w:rsid w:val="00B137E8"/>
    <w:rsid w:val="00B169A2"/>
    <w:rsid w:val="00B176D4"/>
    <w:rsid w:val="00B22A80"/>
    <w:rsid w:val="00B36848"/>
    <w:rsid w:val="00B373AF"/>
    <w:rsid w:val="00B53DE3"/>
    <w:rsid w:val="00B61BCE"/>
    <w:rsid w:val="00B65555"/>
    <w:rsid w:val="00B706C0"/>
    <w:rsid w:val="00B71D39"/>
    <w:rsid w:val="00B80A20"/>
    <w:rsid w:val="00BA1AB6"/>
    <w:rsid w:val="00BA27B5"/>
    <w:rsid w:val="00BA55A8"/>
    <w:rsid w:val="00BB2ABF"/>
    <w:rsid w:val="00BB64F4"/>
    <w:rsid w:val="00BC1202"/>
    <w:rsid w:val="00BD2738"/>
    <w:rsid w:val="00BD3F4F"/>
    <w:rsid w:val="00BD5A7C"/>
    <w:rsid w:val="00BE7A1B"/>
    <w:rsid w:val="00BF0221"/>
    <w:rsid w:val="00BF091A"/>
    <w:rsid w:val="00BF4EAD"/>
    <w:rsid w:val="00BF51BF"/>
    <w:rsid w:val="00C00D03"/>
    <w:rsid w:val="00C049E2"/>
    <w:rsid w:val="00C07A92"/>
    <w:rsid w:val="00C10D59"/>
    <w:rsid w:val="00C11951"/>
    <w:rsid w:val="00C229BF"/>
    <w:rsid w:val="00C30616"/>
    <w:rsid w:val="00C351EC"/>
    <w:rsid w:val="00C36795"/>
    <w:rsid w:val="00C42CA7"/>
    <w:rsid w:val="00C461EC"/>
    <w:rsid w:val="00C507D4"/>
    <w:rsid w:val="00C71CEF"/>
    <w:rsid w:val="00C72DAA"/>
    <w:rsid w:val="00C73A98"/>
    <w:rsid w:val="00C7571D"/>
    <w:rsid w:val="00C80B14"/>
    <w:rsid w:val="00C93BC8"/>
    <w:rsid w:val="00CA50B3"/>
    <w:rsid w:val="00CA64AF"/>
    <w:rsid w:val="00CB4F52"/>
    <w:rsid w:val="00CB7C31"/>
    <w:rsid w:val="00CB7E9A"/>
    <w:rsid w:val="00CD0B92"/>
    <w:rsid w:val="00CD3244"/>
    <w:rsid w:val="00CE1DFB"/>
    <w:rsid w:val="00CE29D3"/>
    <w:rsid w:val="00CE3DBD"/>
    <w:rsid w:val="00CE58F2"/>
    <w:rsid w:val="00CF2D8B"/>
    <w:rsid w:val="00CF3383"/>
    <w:rsid w:val="00CF7586"/>
    <w:rsid w:val="00CF7F0C"/>
    <w:rsid w:val="00D0063F"/>
    <w:rsid w:val="00D036D3"/>
    <w:rsid w:val="00D07C17"/>
    <w:rsid w:val="00D161C4"/>
    <w:rsid w:val="00D20F37"/>
    <w:rsid w:val="00D228A6"/>
    <w:rsid w:val="00D2790D"/>
    <w:rsid w:val="00D44B43"/>
    <w:rsid w:val="00D51ECD"/>
    <w:rsid w:val="00D53CE6"/>
    <w:rsid w:val="00D5461D"/>
    <w:rsid w:val="00D55FDA"/>
    <w:rsid w:val="00D6170E"/>
    <w:rsid w:val="00D85CEA"/>
    <w:rsid w:val="00D91CB4"/>
    <w:rsid w:val="00DA54C1"/>
    <w:rsid w:val="00DB1C09"/>
    <w:rsid w:val="00DC30FA"/>
    <w:rsid w:val="00DC766D"/>
    <w:rsid w:val="00DE1133"/>
    <w:rsid w:val="00DE78A1"/>
    <w:rsid w:val="00E11AA0"/>
    <w:rsid w:val="00E16BF5"/>
    <w:rsid w:val="00E27023"/>
    <w:rsid w:val="00E33233"/>
    <w:rsid w:val="00E37496"/>
    <w:rsid w:val="00E37A3F"/>
    <w:rsid w:val="00E37D3C"/>
    <w:rsid w:val="00E62E6A"/>
    <w:rsid w:val="00E62F0B"/>
    <w:rsid w:val="00E73A29"/>
    <w:rsid w:val="00E83EF5"/>
    <w:rsid w:val="00E9335C"/>
    <w:rsid w:val="00ED150A"/>
    <w:rsid w:val="00ED1C1E"/>
    <w:rsid w:val="00EE2AF2"/>
    <w:rsid w:val="00EE7028"/>
    <w:rsid w:val="00EE77E9"/>
    <w:rsid w:val="00EF0A0F"/>
    <w:rsid w:val="00EF6D46"/>
    <w:rsid w:val="00F07EE6"/>
    <w:rsid w:val="00F31AE1"/>
    <w:rsid w:val="00F32348"/>
    <w:rsid w:val="00F33CC8"/>
    <w:rsid w:val="00F4481C"/>
    <w:rsid w:val="00F45902"/>
    <w:rsid w:val="00F52005"/>
    <w:rsid w:val="00F52089"/>
    <w:rsid w:val="00F73861"/>
    <w:rsid w:val="00F75D23"/>
    <w:rsid w:val="00F8365A"/>
    <w:rsid w:val="00F8547A"/>
    <w:rsid w:val="00F857AD"/>
    <w:rsid w:val="00F86DF5"/>
    <w:rsid w:val="00F93742"/>
    <w:rsid w:val="00FA5957"/>
    <w:rsid w:val="00FB0A56"/>
    <w:rsid w:val="00FC3CE0"/>
    <w:rsid w:val="00FC7090"/>
    <w:rsid w:val="00FD06A8"/>
    <w:rsid w:val="00FE33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054">
      <w:bodyDiv w:val="1"/>
      <w:marLeft w:val="0"/>
      <w:marRight w:val="0"/>
      <w:marTop w:val="0"/>
      <w:marBottom w:val="0"/>
      <w:divBdr>
        <w:top w:val="none" w:sz="0" w:space="0" w:color="auto"/>
        <w:left w:val="none" w:sz="0" w:space="0" w:color="auto"/>
        <w:bottom w:val="none" w:sz="0" w:space="0" w:color="auto"/>
        <w:right w:val="none" w:sz="0" w:space="0" w:color="auto"/>
      </w:divBdr>
    </w:div>
    <w:div w:id="123891530">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602802836">
      <w:bodyDiv w:val="1"/>
      <w:marLeft w:val="0"/>
      <w:marRight w:val="0"/>
      <w:marTop w:val="0"/>
      <w:marBottom w:val="0"/>
      <w:divBdr>
        <w:top w:val="none" w:sz="0" w:space="0" w:color="auto"/>
        <w:left w:val="none" w:sz="0" w:space="0" w:color="auto"/>
        <w:bottom w:val="none" w:sz="0" w:space="0" w:color="auto"/>
        <w:right w:val="none" w:sz="0" w:space="0" w:color="auto"/>
      </w:divBdr>
      <w:divsChild>
        <w:div w:id="535393734">
          <w:marLeft w:val="0"/>
          <w:marRight w:val="0"/>
          <w:marTop w:val="0"/>
          <w:marBottom w:val="0"/>
          <w:divBdr>
            <w:top w:val="none" w:sz="0" w:space="0" w:color="auto"/>
            <w:left w:val="none" w:sz="0" w:space="0" w:color="auto"/>
            <w:bottom w:val="none" w:sz="0" w:space="0" w:color="auto"/>
            <w:right w:val="none" w:sz="0" w:space="0" w:color="auto"/>
          </w:divBdr>
        </w:div>
      </w:divsChild>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790242645">
      <w:bodyDiv w:val="1"/>
      <w:marLeft w:val="0"/>
      <w:marRight w:val="0"/>
      <w:marTop w:val="0"/>
      <w:marBottom w:val="0"/>
      <w:divBdr>
        <w:top w:val="none" w:sz="0" w:space="0" w:color="auto"/>
        <w:left w:val="none" w:sz="0" w:space="0" w:color="auto"/>
        <w:bottom w:val="none" w:sz="0" w:space="0" w:color="auto"/>
        <w:right w:val="none" w:sz="0" w:space="0" w:color="auto"/>
      </w:divBdr>
    </w:div>
    <w:div w:id="1135638791">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66749207">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302922469">
      <w:bodyDiv w:val="1"/>
      <w:marLeft w:val="0"/>
      <w:marRight w:val="0"/>
      <w:marTop w:val="0"/>
      <w:marBottom w:val="0"/>
      <w:divBdr>
        <w:top w:val="none" w:sz="0" w:space="0" w:color="auto"/>
        <w:left w:val="none" w:sz="0" w:space="0" w:color="auto"/>
        <w:bottom w:val="none" w:sz="0" w:space="0" w:color="auto"/>
        <w:right w:val="none" w:sz="0" w:space="0" w:color="auto"/>
      </w:divBdr>
      <w:divsChild>
        <w:div w:id="1482043671">
          <w:marLeft w:val="0"/>
          <w:marRight w:val="0"/>
          <w:marTop w:val="0"/>
          <w:marBottom w:val="0"/>
          <w:divBdr>
            <w:top w:val="none" w:sz="0" w:space="0" w:color="auto"/>
            <w:left w:val="none" w:sz="0" w:space="0" w:color="auto"/>
            <w:bottom w:val="none" w:sz="0" w:space="0" w:color="auto"/>
            <w:right w:val="none" w:sz="0" w:space="0" w:color="auto"/>
          </w:divBdr>
        </w:div>
      </w:divsChild>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511485891">
      <w:bodyDiv w:val="1"/>
      <w:marLeft w:val="0"/>
      <w:marRight w:val="0"/>
      <w:marTop w:val="0"/>
      <w:marBottom w:val="0"/>
      <w:divBdr>
        <w:top w:val="none" w:sz="0" w:space="0" w:color="auto"/>
        <w:left w:val="none" w:sz="0" w:space="0" w:color="auto"/>
        <w:bottom w:val="none" w:sz="0" w:space="0" w:color="auto"/>
        <w:right w:val="none" w:sz="0" w:space="0" w:color="auto"/>
      </w:divBdr>
    </w:div>
    <w:div w:id="1512524821">
      <w:bodyDiv w:val="1"/>
      <w:marLeft w:val="0"/>
      <w:marRight w:val="0"/>
      <w:marTop w:val="0"/>
      <w:marBottom w:val="0"/>
      <w:divBdr>
        <w:top w:val="none" w:sz="0" w:space="0" w:color="auto"/>
        <w:left w:val="none" w:sz="0" w:space="0" w:color="auto"/>
        <w:bottom w:val="none" w:sz="0" w:space="0" w:color="auto"/>
        <w:right w:val="none" w:sz="0" w:space="0" w:color="auto"/>
      </w:divBdr>
    </w:div>
    <w:div w:id="1684939249">
      <w:bodyDiv w:val="1"/>
      <w:marLeft w:val="0"/>
      <w:marRight w:val="0"/>
      <w:marTop w:val="0"/>
      <w:marBottom w:val="0"/>
      <w:divBdr>
        <w:top w:val="none" w:sz="0" w:space="0" w:color="auto"/>
        <w:left w:val="none" w:sz="0" w:space="0" w:color="auto"/>
        <w:bottom w:val="none" w:sz="0" w:space="0" w:color="auto"/>
        <w:right w:val="none" w:sz="0" w:space="0" w:color="auto"/>
      </w:divBdr>
      <w:divsChild>
        <w:div w:id="1505433646">
          <w:marLeft w:val="0"/>
          <w:marRight w:val="0"/>
          <w:marTop w:val="0"/>
          <w:marBottom w:val="0"/>
          <w:divBdr>
            <w:top w:val="none" w:sz="0" w:space="0" w:color="auto"/>
            <w:left w:val="none" w:sz="0" w:space="0" w:color="auto"/>
            <w:bottom w:val="none" w:sz="0" w:space="0" w:color="auto"/>
            <w:right w:val="none" w:sz="0" w:space="0" w:color="auto"/>
          </w:divBdr>
        </w:div>
      </w:divsChild>
    </w:div>
    <w:div w:id="1693460174">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212823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068E1E-5F92-4B0C-89E5-88AE2B801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5105</Words>
  <Characters>28081</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cp:revision>
  <cp:lastPrinted>2025-04-10T18:25:00Z</cp:lastPrinted>
  <dcterms:created xsi:type="dcterms:W3CDTF">2025-04-03T19:58:00Z</dcterms:created>
  <dcterms:modified xsi:type="dcterms:W3CDTF">2025-04-29T19:37:00Z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