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93F64" w14:textId="77777777" w:rsidR="000A152D" w:rsidRDefault="000A152D">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1591CDDA" w14:textId="77777777" w:rsidR="000A152D" w:rsidRPr="003370AC" w:rsidRDefault="000248F8">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RESOLUCIÓN DEL RECURSO DE REVISIÓN 10201/INFOEM/IP/RR/2025</w:t>
      </w:r>
    </w:p>
    <w:p w14:paraId="1592D4AD" w14:textId="77777777" w:rsidR="000A152D" w:rsidRPr="003370AC" w:rsidRDefault="000A152D">
      <w:pPr>
        <w:spacing w:line="360" w:lineRule="auto"/>
      </w:pPr>
    </w:p>
    <w:sdt>
      <w:sdtPr>
        <w:rPr>
          <w:lang w:val="es-ES"/>
        </w:rPr>
        <w:id w:val="-4916907"/>
        <w:docPartObj>
          <w:docPartGallery w:val="Table of Contents"/>
          <w:docPartUnique/>
        </w:docPartObj>
      </w:sdtPr>
      <w:sdtEndPr>
        <w:rPr>
          <w:b/>
          <w:bCs/>
        </w:rPr>
      </w:sdtEndPr>
      <w:sdtContent>
        <w:p w14:paraId="15288610" w14:textId="4F943627" w:rsidR="003370AC" w:rsidRDefault="003370AC">
          <w:pPr>
            <w:pStyle w:val="TtulodeTDC"/>
          </w:pPr>
        </w:p>
        <w:p w14:paraId="43D65BC7" w14:textId="1F59715E" w:rsidR="003370AC" w:rsidRPr="003370AC" w:rsidRDefault="003370AC">
          <w:pPr>
            <w:pStyle w:val="TDC1"/>
            <w:rPr>
              <w:rFonts w:ascii="Palatino Linotype" w:eastAsiaTheme="minorEastAsia" w:hAnsi="Palatino Linotype" w:cstheme="minorBidi"/>
              <w:noProof/>
              <w:kern w:val="2"/>
              <w:sz w:val="22"/>
              <w:szCs w:val="22"/>
              <w14:ligatures w14:val="standardContextual"/>
            </w:rPr>
          </w:pPr>
          <w:r>
            <w:fldChar w:fldCharType="begin"/>
          </w:r>
          <w:r>
            <w:instrText xml:space="preserve"> TOC \o "1-3" \h \z \u </w:instrText>
          </w:r>
          <w:r>
            <w:fldChar w:fldCharType="separate"/>
          </w:r>
          <w:hyperlink w:anchor="_Toc210314034" w:history="1">
            <w:r w:rsidRPr="003370AC">
              <w:rPr>
                <w:rStyle w:val="Hipervnculo"/>
                <w:rFonts w:ascii="Palatino Linotype" w:hAnsi="Palatino Linotype"/>
                <w:noProof/>
                <w:sz w:val="22"/>
                <w:szCs w:val="22"/>
              </w:rPr>
              <w:t>A N T E C E D E N T E S</w:t>
            </w:r>
            <w:r w:rsidRPr="003370AC">
              <w:rPr>
                <w:rFonts w:ascii="Palatino Linotype" w:hAnsi="Palatino Linotype"/>
                <w:noProof/>
                <w:webHidden/>
                <w:sz w:val="22"/>
                <w:szCs w:val="22"/>
              </w:rPr>
              <w:tab/>
            </w:r>
            <w:r w:rsidRPr="003370AC">
              <w:rPr>
                <w:rFonts w:ascii="Palatino Linotype" w:hAnsi="Palatino Linotype"/>
                <w:noProof/>
                <w:webHidden/>
                <w:sz w:val="22"/>
                <w:szCs w:val="22"/>
              </w:rPr>
              <w:fldChar w:fldCharType="begin"/>
            </w:r>
            <w:r w:rsidRPr="003370AC">
              <w:rPr>
                <w:rFonts w:ascii="Palatino Linotype" w:hAnsi="Palatino Linotype"/>
                <w:noProof/>
                <w:webHidden/>
                <w:sz w:val="22"/>
                <w:szCs w:val="22"/>
              </w:rPr>
              <w:instrText xml:space="preserve"> PAGEREF _Toc210314034 \h </w:instrText>
            </w:r>
            <w:r w:rsidRPr="003370AC">
              <w:rPr>
                <w:rFonts w:ascii="Palatino Linotype" w:hAnsi="Palatino Linotype"/>
                <w:noProof/>
                <w:webHidden/>
                <w:sz w:val="22"/>
                <w:szCs w:val="22"/>
              </w:rPr>
            </w:r>
            <w:r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2</w:t>
            </w:r>
            <w:r w:rsidRPr="003370AC">
              <w:rPr>
                <w:rFonts w:ascii="Palatino Linotype" w:hAnsi="Palatino Linotype"/>
                <w:noProof/>
                <w:webHidden/>
                <w:sz w:val="22"/>
                <w:szCs w:val="22"/>
              </w:rPr>
              <w:fldChar w:fldCharType="end"/>
            </w:r>
          </w:hyperlink>
        </w:p>
        <w:p w14:paraId="118BC7DF" w14:textId="073963B1"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35" w:history="1">
            <w:r w:rsidR="003370AC" w:rsidRPr="003370AC">
              <w:rPr>
                <w:rStyle w:val="Hipervnculo"/>
                <w:rFonts w:ascii="Palatino Linotype" w:hAnsi="Palatino Linotype"/>
                <w:noProof/>
                <w:sz w:val="22"/>
                <w:szCs w:val="22"/>
              </w:rPr>
              <w:t>I. Presentación de la solicitud de información</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_Toc210314035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2</w:t>
            </w:r>
            <w:r w:rsidR="003370AC" w:rsidRPr="003370AC">
              <w:rPr>
                <w:rFonts w:ascii="Palatino Linotype" w:hAnsi="Palatino Linotype"/>
                <w:noProof/>
                <w:webHidden/>
                <w:sz w:val="22"/>
                <w:szCs w:val="22"/>
              </w:rPr>
              <w:fldChar w:fldCharType="end"/>
            </w:r>
          </w:hyperlink>
        </w:p>
        <w:p w14:paraId="3A7F830A" w14:textId="2E19A704"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36" w:history="1">
            <w:r w:rsidR="003370AC" w:rsidRPr="003370AC">
              <w:rPr>
                <w:rStyle w:val="Hipervnculo"/>
                <w:rFonts w:ascii="Palatino Linotype" w:hAnsi="Palatino Linotype"/>
                <w:noProof/>
                <w:sz w:val="22"/>
                <w:szCs w:val="22"/>
              </w:rPr>
              <w:t>II. Respuesta del Sujeto Obligado</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_Toc210314036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3</w:t>
            </w:r>
            <w:r w:rsidR="003370AC" w:rsidRPr="003370AC">
              <w:rPr>
                <w:rFonts w:ascii="Palatino Linotype" w:hAnsi="Palatino Linotype"/>
                <w:noProof/>
                <w:webHidden/>
                <w:sz w:val="22"/>
                <w:szCs w:val="22"/>
              </w:rPr>
              <w:fldChar w:fldCharType="end"/>
            </w:r>
          </w:hyperlink>
        </w:p>
        <w:p w14:paraId="48D2E5FB" w14:textId="415E3E27"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37" w:history="1">
            <w:r w:rsidR="003370AC" w:rsidRPr="003370AC">
              <w:rPr>
                <w:rStyle w:val="Hipervnculo"/>
                <w:rFonts w:ascii="Palatino Linotype" w:hAnsi="Palatino Linotype"/>
                <w:noProof/>
                <w:sz w:val="22"/>
                <w:szCs w:val="22"/>
              </w:rPr>
              <w:t>III. Interposición del Recurso de Revisión</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_Toc210314037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3</w:t>
            </w:r>
            <w:r w:rsidR="003370AC" w:rsidRPr="003370AC">
              <w:rPr>
                <w:rFonts w:ascii="Palatino Linotype" w:hAnsi="Palatino Linotype"/>
                <w:noProof/>
                <w:webHidden/>
                <w:sz w:val="22"/>
                <w:szCs w:val="22"/>
              </w:rPr>
              <w:fldChar w:fldCharType="end"/>
            </w:r>
          </w:hyperlink>
        </w:p>
        <w:p w14:paraId="5DCDB5BC" w14:textId="1408B270"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38" w:history="1">
            <w:r w:rsidR="003370AC" w:rsidRPr="003370AC">
              <w:rPr>
                <w:rStyle w:val="Hipervnculo"/>
                <w:rFonts w:ascii="Palatino Linotype" w:hAnsi="Palatino Linotype"/>
                <w:noProof/>
                <w:sz w:val="22"/>
                <w:szCs w:val="22"/>
              </w:rPr>
              <w:t>IV. Trámite del Recurso de Revisión ante el Instituto</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_Toc210314038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4</w:t>
            </w:r>
            <w:r w:rsidR="003370AC" w:rsidRPr="003370AC">
              <w:rPr>
                <w:rFonts w:ascii="Palatino Linotype" w:hAnsi="Palatino Linotype"/>
                <w:noProof/>
                <w:webHidden/>
                <w:sz w:val="22"/>
                <w:szCs w:val="22"/>
              </w:rPr>
              <w:fldChar w:fldCharType="end"/>
            </w:r>
          </w:hyperlink>
        </w:p>
        <w:p w14:paraId="37C1C830" w14:textId="136E1ABD" w:rsidR="003370AC" w:rsidRPr="003370AC" w:rsidRDefault="00136CD1">
          <w:pPr>
            <w:pStyle w:val="TDC1"/>
            <w:rPr>
              <w:rFonts w:ascii="Palatino Linotype" w:eastAsiaTheme="minorEastAsia" w:hAnsi="Palatino Linotype" w:cstheme="minorBidi"/>
              <w:noProof/>
              <w:kern w:val="2"/>
              <w:sz w:val="22"/>
              <w:szCs w:val="22"/>
              <w14:ligatures w14:val="standardContextual"/>
            </w:rPr>
          </w:pPr>
          <w:hyperlink w:anchor="_Toc210314039" w:history="1">
            <w:r w:rsidR="003370AC" w:rsidRPr="003370AC">
              <w:rPr>
                <w:rStyle w:val="Hipervnculo"/>
                <w:rFonts w:ascii="Palatino Linotype" w:hAnsi="Palatino Linotype"/>
                <w:noProof/>
                <w:sz w:val="22"/>
                <w:szCs w:val="22"/>
              </w:rPr>
              <w:t>C O N S I D E R A N D O S</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_Toc210314039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5</w:t>
            </w:r>
            <w:r w:rsidR="003370AC" w:rsidRPr="003370AC">
              <w:rPr>
                <w:rFonts w:ascii="Palatino Linotype" w:hAnsi="Palatino Linotype"/>
                <w:noProof/>
                <w:webHidden/>
                <w:sz w:val="22"/>
                <w:szCs w:val="22"/>
              </w:rPr>
              <w:fldChar w:fldCharType="end"/>
            </w:r>
          </w:hyperlink>
        </w:p>
        <w:p w14:paraId="20299994" w14:textId="4FECF2B0"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0" w:history="1">
            <w:r w:rsidR="003370AC" w:rsidRPr="003370AC">
              <w:rPr>
                <w:rStyle w:val="Hipervnculo"/>
                <w:rFonts w:ascii="Palatino Linotype" w:hAnsi="Palatino Linotype"/>
                <w:noProof/>
                <w:sz w:val="22"/>
                <w:szCs w:val="22"/>
              </w:rPr>
              <w:t>PRIMERO. Competencia</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_Toc210314040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5</w:t>
            </w:r>
            <w:r w:rsidR="003370AC" w:rsidRPr="003370AC">
              <w:rPr>
                <w:rFonts w:ascii="Palatino Linotype" w:hAnsi="Palatino Linotype"/>
                <w:noProof/>
                <w:webHidden/>
                <w:sz w:val="22"/>
                <w:szCs w:val="22"/>
              </w:rPr>
              <w:fldChar w:fldCharType="end"/>
            </w:r>
          </w:hyperlink>
        </w:p>
        <w:p w14:paraId="76F588D2" w14:textId="04B51255"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1" w:history="1">
            <w:r w:rsidR="003370AC" w:rsidRPr="003370AC">
              <w:rPr>
                <w:rStyle w:val="Hipervnculo"/>
                <w:rFonts w:ascii="Palatino Linotype" w:hAnsi="Palatino Linotype"/>
                <w:noProof/>
                <w:sz w:val="22"/>
                <w:szCs w:val="22"/>
              </w:rPr>
              <w:t>SEGUNDO. Causales de improcedencia y Sobreseimiento</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_Toc210314041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5</w:t>
            </w:r>
            <w:r w:rsidR="003370AC" w:rsidRPr="003370AC">
              <w:rPr>
                <w:rFonts w:ascii="Palatino Linotype" w:hAnsi="Palatino Linotype"/>
                <w:noProof/>
                <w:webHidden/>
                <w:sz w:val="22"/>
                <w:szCs w:val="22"/>
              </w:rPr>
              <w:fldChar w:fldCharType="end"/>
            </w:r>
          </w:hyperlink>
        </w:p>
        <w:p w14:paraId="448EDA1F" w14:textId="3E42945D"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2" w:history="1">
            <w:r w:rsidR="003370AC" w:rsidRPr="003370AC">
              <w:rPr>
                <w:rStyle w:val="Hipervnculo"/>
                <w:rFonts w:ascii="Palatino Linotype" w:hAnsi="Palatino Linotype"/>
                <w:noProof/>
                <w:sz w:val="22"/>
                <w:szCs w:val="22"/>
              </w:rPr>
              <w:t>TERCERO. Determinación de la Controversia</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_Toc210314042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7</w:t>
            </w:r>
            <w:r w:rsidR="003370AC" w:rsidRPr="003370AC">
              <w:rPr>
                <w:rFonts w:ascii="Palatino Linotype" w:hAnsi="Palatino Linotype"/>
                <w:noProof/>
                <w:webHidden/>
                <w:sz w:val="22"/>
                <w:szCs w:val="22"/>
              </w:rPr>
              <w:fldChar w:fldCharType="end"/>
            </w:r>
          </w:hyperlink>
        </w:p>
        <w:p w14:paraId="3752BE97" w14:textId="461AB5AD"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3" w:history="1">
            <w:r w:rsidR="003370AC" w:rsidRPr="003370AC">
              <w:rPr>
                <w:rStyle w:val="Hipervnculo"/>
                <w:rFonts w:ascii="Palatino Linotype" w:hAnsi="Palatino Linotype"/>
                <w:noProof/>
                <w:sz w:val="22"/>
                <w:szCs w:val="22"/>
              </w:rPr>
              <w:t>CUARTO. Marco normativo aplicable en materia de transparencia y acceso a la información pública</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_Toc210314043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8</w:t>
            </w:r>
            <w:r w:rsidR="003370AC" w:rsidRPr="003370AC">
              <w:rPr>
                <w:rFonts w:ascii="Palatino Linotype" w:hAnsi="Palatino Linotype"/>
                <w:noProof/>
                <w:webHidden/>
                <w:sz w:val="22"/>
                <w:szCs w:val="22"/>
              </w:rPr>
              <w:fldChar w:fldCharType="end"/>
            </w:r>
          </w:hyperlink>
        </w:p>
        <w:p w14:paraId="7C666CD6" w14:textId="4E7A6FF4"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4" w:history="1">
            <w:r w:rsidR="003370AC" w:rsidRPr="003370AC">
              <w:rPr>
                <w:rStyle w:val="Hipervnculo"/>
                <w:rFonts w:ascii="Palatino Linotype" w:hAnsi="Palatino Linotype"/>
                <w:noProof/>
                <w:sz w:val="22"/>
                <w:szCs w:val="22"/>
              </w:rPr>
              <w:t>QUINTO. Estudio de Fondo</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_Toc210314044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9</w:t>
            </w:r>
            <w:r w:rsidR="003370AC" w:rsidRPr="003370AC">
              <w:rPr>
                <w:rFonts w:ascii="Palatino Linotype" w:hAnsi="Palatino Linotype"/>
                <w:noProof/>
                <w:webHidden/>
                <w:sz w:val="22"/>
                <w:szCs w:val="22"/>
              </w:rPr>
              <w:fldChar w:fldCharType="end"/>
            </w:r>
          </w:hyperlink>
        </w:p>
        <w:p w14:paraId="006A409D" w14:textId="12DD15DA"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5" w:history="1">
            <w:r w:rsidR="003370AC" w:rsidRPr="003370AC">
              <w:rPr>
                <w:rStyle w:val="Hipervnculo"/>
                <w:rFonts w:ascii="Palatino Linotype" w:hAnsi="Palatino Linotype"/>
                <w:noProof/>
                <w:sz w:val="22"/>
                <w:szCs w:val="22"/>
              </w:rPr>
              <w:t>SEXTO. Decisión</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_Toc210314045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17</w:t>
            </w:r>
            <w:r w:rsidR="003370AC" w:rsidRPr="003370AC">
              <w:rPr>
                <w:rFonts w:ascii="Palatino Linotype" w:hAnsi="Palatino Linotype"/>
                <w:noProof/>
                <w:webHidden/>
                <w:sz w:val="22"/>
                <w:szCs w:val="22"/>
              </w:rPr>
              <w:fldChar w:fldCharType="end"/>
            </w:r>
          </w:hyperlink>
        </w:p>
        <w:p w14:paraId="073D65AF" w14:textId="52217FE9" w:rsidR="003370AC" w:rsidRPr="003370AC" w:rsidRDefault="00136CD1">
          <w:pPr>
            <w:pStyle w:val="TDC2"/>
            <w:tabs>
              <w:tab w:val="right" w:leader="dot" w:pos="9034"/>
            </w:tabs>
            <w:rPr>
              <w:rFonts w:ascii="Palatino Linotype" w:eastAsiaTheme="minorEastAsia" w:hAnsi="Palatino Linotype" w:cstheme="minorBidi"/>
              <w:noProof/>
              <w:kern w:val="2"/>
              <w:sz w:val="22"/>
              <w:szCs w:val="22"/>
              <w14:ligatures w14:val="standardContextual"/>
            </w:rPr>
          </w:pPr>
          <w:hyperlink w:anchor="_Toc210314046" w:history="1">
            <w:r w:rsidR="003370AC" w:rsidRPr="003370AC">
              <w:rPr>
                <w:rStyle w:val="Hipervnculo"/>
                <w:rFonts w:ascii="Palatino Linotype" w:hAnsi="Palatino Linotype"/>
                <w:noProof/>
                <w:sz w:val="22"/>
                <w:szCs w:val="22"/>
              </w:rPr>
              <w:t>SÉPTIMO. Vista a la Secretaría Técnica del Pleno</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_Toc210314046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17</w:t>
            </w:r>
            <w:r w:rsidR="003370AC" w:rsidRPr="003370AC">
              <w:rPr>
                <w:rFonts w:ascii="Palatino Linotype" w:hAnsi="Palatino Linotype"/>
                <w:noProof/>
                <w:webHidden/>
                <w:sz w:val="22"/>
                <w:szCs w:val="22"/>
              </w:rPr>
              <w:fldChar w:fldCharType="end"/>
            </w:r>
          </w:hyperlink>
        </w:p>
        <w:p w14:paraId="5972A937" w14:textId="65FB111A" w:rsidR="003370AC" w:rsidRPr="003370AC" w:rsidRDefault="00136CD1">
          <w:pPr>
            <w:pStyle w:val="TDC1"/>
            <w:rPr>
              <w:rFonts w:ascii="Palatino Linotype" w:eastAsiaTheme="minorEastAsia" w:hAnsi="Palatino Linotype" w:cstheme="minorBidi"/>
              <w:noProof/>
              <w:kern w:val="2"/>
              <w:sz w:val="22"/>
              <w:szCs w:val="22"/>
              <w14:ligatures w14:val="standardContextual"/>
            </w:rPr>
          </w:pPr>
          <w:hyperlink w:anchor="_Toc210314047" w:history="1">
            <w:r w:rsidR="003370AC" w:rsidRPr="003370AC">
              <w:rPr>
                <w:rStyle w:val="Hipervnculo"/>
                <w:rFonts w:ascii="Palatino Linotype" w:hAnsi="Palatino Linotype"/>
                <w:noProof/>
                <w:sz w:val="22"/>
                <w:szCs w:val="22"/>
              </w:rPr>
              <w:t>R E S U E L V E</w:t>
            </w:r>
            <w:r w:rsidR="003370AC" w:rsidRPr="003370AC">
              <w:rPr>
                <w:rFonts w:ascii="Palatino Linotype" w:hAnsi="Palatino Linotype"/>
                <w:noProof/>
                <w:webHidden/>
                <w:sz w:val="22"/>
                <w:szCs w:val="22"/>
              </w:rPr>
              <w:tab/>
            </w:r>
            <w:r w:rsidR="003370AC" w:rsidRPr="003370AC">
              <w:rPr>
                <w:rFonts w:ascii="Palatino Linotype" w:hAnsi="Palatino Linotype"/>
                <w:noProof/>
                <w:webHidden/>
                <w:sz w:val="22"/>
                <w:szCs w:val="22"/>
              </w:rPr>
              <w:fldChar w:fldCharType="begin"/>
            </w:r>
            <w:r w:rsidR="003370AC" w:rsidRPr="003370AC">
              <w:rPr>
                <w:rFonts w:ascii="Palatino Linotype" w:hAnsi="Palatino Linotype"/>
                <w:noProof/>
                <w:webHidden/>
                <w:sz w:val="22"/>
                <w:szCs w:val="22"/>
              </w:rPr>
              <w:instrText xml:space="preserve"> PAGEREF _Toc210314047 \h </w:instrText>
            </w:r>
            <w:r w:rsidR="003370AC" w:rsidRPr="003370AC">
              <w:rPr>
                <w:rFonts w:ascii="Palatino Linotype" w:hAnsi="Palatino Linotype"/>
                <w:noProof/>
                <w:webHidden/>
                <w:sz w:val="22"/>
                <w:szCs w:val="22"/>
              </w:rPr>
            </w:r>
            <w:r w:rsidR="003370AC" w:rsidRPr="003370AC">
              <w:rPr>
                <w:rFonts w:ascii="Palatino Linotype" w:hAnsi="Palatino Linotype"/>
                <w:noProof/>
                <w:webHidden/>
                <w:sz w:val="22"/>
                <w:szCs w:val="22"/>
              </w:rPr>
              <w:fldChar w:fldCharType="separate"/>
            </w:r>
            <w:r w:rsidR="00A333B1">
              <w:rPr>
                <w:rFonts w:ascii="Palatino Linotype" w:hAnsi="Palatino Linotype"/>
                <w:noProof/>
                <w:webHidden/>
                <w:sz w:val="22"/>
                <w:szCs w:val="22"/>
              </w:rPr>
              <w:t>19</w:t>
            </w:r>
            <w:r w:rsidR="003370AC" w:rsidRPr="003370AC">
              <w:rPr>
                <w:rFonts w:ascii="Palatino Linotype" w:hAnsi="Palatino Linotype"/>
                <w:noProof/>
                <w:webHidden/>
                <w:sz w:val="22"/>
                <w:szCs w:val="22"/>
              </w:rPr>
              <w:fldChar w:fldCharType="end"/>
            </w:r>
          </w:hyperlink>
        </w:p>
        <w:p w14:paraId="4EABD23A" w14:textId="6BCC126C" w:rsidR="003370AC" w:rsidRDefault="003370AC">
          <w:r>
            <w:rPr>
              <w:b/>
              <w:bCs/>
              <w:lang w:val="es-ES"/>
            </w:rPr>
            <w:fldChar w:fldCharType="end"/>
          </w:r>
        </w:p>
      </w:sdtContent>
    </w:sdt>
    <w:p w14:paraId="0DE54CB5" w14:textId="11790268" w:rsidR="000A152D" w:rsidRPr="003370AC" w:rsidRDefault="000A152D">
      <w:pPr>
        <w:spacing w:line="360" w:lineRule="auto"/>
        <w:jc w:val="both"/>
      </w:pPr>
    </w:p>
    <w:p w14:paraId="30BC7706"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br w:type="column"/>
      </w:r>
      <w:r w:rsidRPr="003370AC">
        <w:rPr>
          <w:rFonts w:ascii="Palatino Linotype" w:eastAsia="Palatino Linotype" w:hAnsi="Palatino Linotype" w:cs="Palatino Linotype"/>
          <w:color w:val="000000"/>
          <w:sz w:val="22"/>
          <w:szCs w:val="22"/>
        </w:rPr>
        <w:lastRenderedPageBreak/>
        <w:t xml:space="preserve">Resolución del Pleno del Instituto de Transparencia, Acceso a la Información Pública y </w:t>
      </w:r>
      <w:r w:rsidRPr="003370AC">
        <w:rPr>
          <w:rFonts w:ascii="Palatino Linotype" w:eastAsia="Palatino Linotype" w:hAnsi="Palatino Linotype" w:cs="Palatino Linotype"/>
          <w:sz w:val="22"/>
          <w:szCs w:val="22"/>
        </w:rPr>
        <w:t xml:space="preserve">Protección de Datos Personales del Estado de México y Municipios, con domicilio en Metepec, Estado de México, de fecha uno de octubre de dos mil veinticinco. </w:t>
      </w:r>
    </w:p>
    <w:p w14:paraId="492EEEA8"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288675D4"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b/>
          <w:color w:val="000000"/>
          <w:sz w:val="22"/>
          <w:szCs w:val="22"/>
        </w:rPr>
        <w:t xml:space="preserve">VISTO </w:t>
      </w:r>
      <w:r w:rsidRPr="003370AC">
        <w:rPr>
          <w:rFonts w:ascii="Palatino Linotype" w:eastAsia="Palatino Linotype" w:hAnsi="Palatino Linotype" w:cs="Palatino Linotype"/>
          <w:color w:val="000000"/>
          <w:sz w:val="22"/>
          <w:szCs w:val="22"/>
        </w:rPr>
        <w:t xml:space="preserve">el expediente conformado con motivo del Recurso de Revisión </w:t>
      </w:r>
      <w:r w:rsidRPr="007C2A5B">
        <w:rPr>
          <w:rFonts w:ascii="Palatino Linotype" w:eastAsia="Palatino Linotype" w:hAnsi="Palatino Linotype" w:cs="Palatino Linotype"/>
          <w:b/>
          <w:color w:val="000000"/>
          <w:sz w:val="22"/>
          <w:szCs w:val="22"/>
        </w:rPr>
        <w:t>10201/INFOEM/IP/RR/2025</w:t>
      </w:r>
      <w:r w:rsidRPr="003370AC">
        <w:rPr>
          <w:rFonts w:ascii="Palatino Linotype" w:eastAsia="Palatino Linotype" w:hAnsi="Palatino Linotype" w:cs="Palatino Linotype"/>
          <w:color w:val="000000"/>
          <w:sz w:val="22"/>
          <w:szCs w:val="22"/>
        </w:rPr>
        <w:t xml:space="preserve">, interpuesto por un </w:t>
      </w:r>
      <w:r w:rsidRPr="003370AC">
        <w:rPr>
          <w:rFonts w:ascii="Palatino Linotype" w:eastAsia="Palatino Linotype" w:hAnsi="Palatino Linotype" w:cs="Palatino Linotype"/>
          <w:color w:val="0D0D0D"/>
          <w:sz w:val="22"/>
          <w:szCs w:val="22"/>
        </w:rPr>
        <w:t>Recurrente o Particular</w:t>
      </w:r>
      <w:r w:rsidRPr="003370AC">
        <w:rPr>
          <w:rFonts w:ascii="Palatino Linotype" w:eastAsia="Palatino Linotype" w:hAnsi="Palatino Linotype" w:cs="Palatino Linotype"/>
          <w:color w:val="000000"/>
          <w:sz w:val="22"/>
          <w:szCs w:val="22"/>
        </w:rPr>
        <w:t xml:space="preserve">, en contra de la falta de respuesta del Sujeto Obligado, </w:t>
      </w:r>
      <w:bookmarkStart w:id="0" w:name="_GoBack"/>
      <w:r w:rsidRPr="007C2A5B">
        <w:rPr>
          <w:rFonts w:ascii="Palatino Linotype" w:eastAsia="Palatino Linotype" w:hAnsi="Palatino Linotype" w:cs="Palatino Linotype"/>
          <w:b/>
          <w:sz w:val="22"/>
          <w:szCs w:val="22"/>
        </w:rPr>
        <w:t>Ayuntamiento de Ixtapaluca</w:t>
      </w:r>
      <w:bookmarkEnd w:id="0"/>
      <w:r w:rsidRPr="003370AC">
        <w:rPr>
          <w:rFonts w:ascii="Palatino Linotype" w:eastAsia="Palatino Linotype" w:hAnsi="Palatino Linotype" w:cs="Palatino Linotype"/>
          <w:color w:val="000000"/>
          <w:sz w:val="22"/>
          <w:szCs w:val="22"/>
        </w:rPr>
        <w:t>, a la solicitud de acceso a la información pública 00192/IXTAPALU/IP/2025, se emite la presente Resolución, con base en los Antecedentes y Considerandos que a continuación se exponen:</w:t>
      </w:r>
    </w:p>
    <w:p w14:paraId="496314D7" w14:textId="77777777" w:rsidR="000A152D" w:rsidRPr="003370AC" w:rsidRDefault="000A152D">
      <w:pPr>
        <w:pStyle w:val="Subttulo"/>
        <w:spacing w:after="0" w:line="360" w:lineRule="auto"/>
      </w:pPr>
    </w:p>
    <w:p w14:paraId="7923593D" w14:textId="77777777" w:rsidR="000A152D" w:rsidRPr="003370AC" w:rsidRDefault="000248F8">
      <w:pPr>
        <w:pStyle w:val="Ttulo1"/>
      </w:pPr>
      <w:bookmarkStart w:id="1" w:name="_Toc210314034"/>
      <w:r w:rsidRPr="003370AC">
        <w:t>A N T E C E D E N T E S</w:t>
      </w:r>
      <w:bookmarkEnd w:id="1"/>
    </w:p>
    <w:p w14:paraId="5C2370E5" w14:textId="77777777" w:rsidR="000A152D" w:rsidRPr="003370AC" w:rsidRDefault="000A152D">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14:paraId="56AEE538" w14:textId="77777777" w:rsidR="000A152D" w:rsidRPr="003370AC" w:rsidRDefault="000248F8">
      <w:pPr>
        <w:pStyle w:val="Ttulo2"/>
      </w:pPr>
      <w:bookmarkStart w:id="2" w:name="_Toc210314035"/>
      <w:r w:rsidRPr="003370AC">
        <w:t>I. Presentación de la solicitud de información</w:t>
      </w:r>
      <w:bookmarkEnd w:id="2"/>
    </w:p>
    <w:p w14:paraId="0E9C81FE" w14:textId="77777777" w:rsidR="000A152D" w:rsidRPr="003370AC" w:rsidRDefault="000A152D">
      <w:pPr>
        <w:tabs>
          <w:tab w:val="left" w:pos="567"/>
        </w:tabs>
        <w:spacing w:line="360" w:lineRule="auto"/>
        <w:jc w:val="both"/>
        <w:rPr>
          <w:rFonts w:ascii="Palatino Linotype" w:eastAsia="Palatino Linotype" w:hAnsi="Palatino Linotype" w:cs="Palatino Linotype"/>
          <w:sz w:val="22"/>
          <w:szCs w:val="22"/>
        </w:rPr>
      </w:pPr>
    </w:p>
    <w:p w14:paraId="2533AF4A"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El cinco de agosto de dos mil veinticinco,</w:t>
      </w:r>
      <w:r w:rsidRPr="003370AC">
        <w:rPr>
          <w:rFonts w:ascii="Palatino Linotype" w:eastAsia="Palatino Linotype" w:hAnsi="Palatino Linotype" w:cs="Palatino Linotype"/>
          <w:sz w:val="22"/>
          <w:szCs w:val="22"/>
        </w:rPr>
        <w:t xml:space="preserve"> el Particular presentó solicitud de acceso a la información pública, a través del Sistema de Acceso a la Información Mexiquense (SAIMEX), ante el Sujeto Obligado, en los siguientes términos:</w:t>
      </w:r>
    </w:p>
    <w:p w14:paraId="4AD85E55"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69A7C269" w14:textId="77777777" w:rsidR="000A152D" w:rsidRPr="003370AC" w:rsidRDefault="000248F8">
      <w:pPr>
        <w:tabs>
          <w:tab w:val="left" w:pos="4667"/>
        </w:tabs>
        <w:spacing w:line="360" w:lineRule="auto"/>
        <w:ind w:left="567" w:right="567"/>
        <w:jc w:val="both"/>
        <w:rPr>
          <w:rFonts w:ascii="Palatino Linotype" w:eastAsia="Palatino Linotype" w:hAnsi="Palatino Linotype" w:cs="Palatino Linotype"/>
          <w:b/>
          <w:i/>
        </w:rPr>
      </w:pPr>
      <w:r w:rsidRPr="003370AC">
        <w:rPr>
          <w:rFonts w:ascii="Palatino Linotype" w:eastAsia="Palatino Linotype" w:hAnsi="Palatino Linotype" w:cs="Palatino Linotype"/>
          <w:b/>
          <w:i/>
        </w:rPr>
        <w:t>“DESCRIPCIÓN CLARA Y PRECISA DE LA INFORMACIÓN SOLICITADA</w:t>
      </w:r>
    </w:p>
    <w:p w14:paraId="63DA26AF" w14:textId="77777777" w:rsidR="000A152D" w:rsidRPr="003370AC" w:rsidRDefault="000248F8">
      <w:pPr>
        <w:tabs>
          <w:tab w:val="left" w:pos="4667"/>
        </w:tabs>
        <w:spacing w:line="360" w:lineRule="auto"/>
        <w:ind w:left="567" w:right="567"/>
        <w:jc w:val="both"/>
        <w:rPr>
          <w:rFonts w:ascii="Palatino Linotype" w:eastAsia="Palatino Linotype" w:hAnsi="Palatino Linotype" w:cs="Palatino Linotype"/>
          <w:i/>
        </w:rPr>
      </w:pPr>
      <w:r w:rsidRPr="003370AC">
        <w:rPr>
          <w:rFonts w:ascii="Palatino Linotype" w:eastAsia="Palatino Linotype" w:hAnsi="Palatino Linotype" w:cs="Palatino Linotype"/>
          <w:i/>
          <w:color w:val="000000"/>
        </w:rPr>
        <w:t xml:space="preserve">RECIBOS DE NOMINA EN VERSION PUBLICA DE TODOS LAS QUINCENAS DEL AÑO 2025 Jessica </w:t>
      </w:r>
      <w:proofErr w:type="spellStart"/>
      <w:r w:rsidRPr="003370AC">
        <w:rPr>
          <w:rFonts w:ascii="Palatino Linotype" w:eastAsia="Palatino Linotype" w:hAnsi="Palatino Linotype" w:cs="Palatino Linotype"/>
          <w:i/>
          <w:color w:val="000000"/>
        </w:rPr>
        <w:t>Ortigoza</w:t>
      </w:r>
      <w:proofErr w:type="spellEnd"/>
      <w:r w:rsidRPr="003370AC">
        <w:rPr>
          <w:rFonts w:ascii="Palatino Linotype" w:eastAsia="Palatino Linotype" w:hAnsi="Palatino Linotype" w:cs="Palatino Linotype"/>
          <w:i/>
          <w:color w:val="000000"/>
        </w:rPr>
        <w:t xml:space="preserve"> Díaz DIRECTORA DE ADMINISTRACIÓN Y RECURSOS HUMANOS ASI COMO LOS OFICIOS FIRMADOS DEL MISMO PERIODO</w:t>
      </w:r>
      <w:proofErr w:type="gramStart"/>
      <w:r w:rsidRPr="003370AC">
        <w:rPr>
          <w:rFonts w:ascii="Palatino Linotype" w:eastAsia="Palatino Linotype" w:hAnsi="Palatino Linotype" w:cs="Palatino Linotype"/>
          <w:i/>
          <w:color w:val="000000"/>
        </w:rPr>
        <w:t>..</w:t>
      </w:r>
      <w:r w:rsidRPr="003370AC">
        <w:rPr>
          <w:rFonts w:ascii="Palatino Linotype" w:eastAsia="Palatino Linotype" w:hAnsi="Palatino Linotype" w:cs="Palatino Linotype"/>
          <w:i/>
        </w:rPr>
        <w:t>”</w:t>
      </w:r>
      <w:proofErr w:type="gramEnd"/>
      <w:r w:rsidRPr="003370AC">
        <w:rPr>
          <w:rFonts w:ascii="Palatino Linotype" w:eastAsia="Palatino Linotype" w:hAnsi="Palatino Linotype" w:cs="Palatino Linotype"/>
          <w:i/>
        </w:rPr>
        <w:t xml:space="preserve"> (Sic.)</w:t>
      </w:r>
    </w:p>
    <w:p w14:paraId="430B0108" w14:textId="77777777" w:rsidR="000A152D" w:rsidRPr="003370AC" w:rsidRDefault="000A152D">
      <w:pPr>
        <w:tabs>
          <w:tab w:val="left" w:pos="4667"/>
        </w:tabs>
        <w:spacing w:line="360" w:lineRule="auto"/>
        <w:ind w:left="567" w:right="567"/>
        <w:jc w:val="both"/>
        <w:rPr>
          <w:rFonts w:ascii="Palatino Linotype" w:eastAsia="Palatino Linotype" w:hAnsi="Palatino Linotype" w:cs="Palatino Linotype"/>
          <w:i/>
        </w:rPr>
      </w:pPr>
    </w:p>
    <w:p w14:paraId="18337A9B" w14:textId="77777777" w:rsidR="000A152D" w:rsidRPr="003370AC" w:rsidRDefault="000248F8">
      <w:pPr>
        <w:tabs>
          <w:tab w:val="left" w:pos="4667"/>
        </w:tabs>
        <w:spacing w:line="360" w:lineRule="auto"/>
        <w:ind w:left="567" w:right="567"/>
        <w:jc w:val="both"/>
        <w:rPr>
          <w:rFonts w:ascii="Palatino Linotype" w:eastAsia="Palatino Linotype" w:hAnsi="Palatino Linotype" w:cs="Palatino Linotype"/>
          <w:b/>
          <w:i/>
        </w:rPr>
      </w:pPr>
      <w:r w:rsidRPr="003370AC">
        <w:rPr>
          <w:rFonts w:ascii="Palatino Linotype" w:eastAsia="Palatino Linotype" w:hAnsi="Palatino Linotype" w:cs="Palatino Linotype"/>
          <w:b/>
          <w:i/>
        </w:rPr>
        <w:t>“MODALIDAD DE ENTREGA</w:t>
      </w:r>
    </w:p>
    <w:p w14:paraId="09F358F7" w14:textId="77777777" w:rsidR="000A152D" w:rsidRPr="003370AC" w:rsidRDefault="000248F8">
      <w:pPr>
        <w:spacing w:line="360" w:lineRule="auto"/>
        <w:ind w:left="567" w:right="567"/>
        <w:jc w:val="both"/>
        <w:rPr>
          <w:rFonts w:ascii="Palatino Linotype" w:eastAsia="Palatino Linotype" w:hAnsi="Palatino Linotype" w:cs="Palatino Linotype"/>
          <w:i/>
        </w:rPr>
      </w:pPr>
      <w:r w:rsidRPr="003370AC">
        <w:rPr>
          <w:rFonts w:ascii="Palatino Linotype" w:eastAsia="Palatino Linotype" w:hAnsi="Palatino Linotype" w:cs="Palatino Linotype"/>
          <w:i/>
        </w:rPr>
        <w:t xml:space="preserve">A través del SAIMEX” </w:t>
      </w:r>
    </w:p>
    <w:p w14:paraId="57A8A83D" w14:textId="77777777" w:rsidR="000A152D" w:rsidRPr="003370AC" w:rsidRDefault="000A152D">
      <w:pPr>
        <w:spacing w:line="360" w:lineRule="auto"/>
        <w:ind w:right="567"/>
        <w:jc w:val="both"/>
        <w:rPr>
          <w:rFonts w:ascii="Palatino Linotype" w:eastAsia="Palatino Linotype" w:hAnsi="Palatino Linotype" w:cs="Palatino Linotype"/>
          <w:i/>
        </w:rPr>
      </w:pPr>
    </w:p>
    <w:p w14:paraId="7C4B01F3" w14:textId="77777777" w:rsidR="000A152D" w:rsidRPr="003370AC" w:rsidRDefault="000248F8">
      <w:pPr>
        <w:pStyle w:val="Ttulo2"/>
      </w:pPr>
      <w:bookmarkStart w:id="3" w:name="_Toc210314036"/>
      <w:r w:rsidRPr="003370AC">
        <w:lastRenderedPageBreak/>
        <w:t>II. Respuesta del Sujeto Obligado</w:t>
      </w:r>
      <w:bookmarkEnd w:id="3"/>
    </w:p>
    <w:p w14:paraId="6496C6A7"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074FECC8"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De conformidad con el artículo 136, párrafo primero de la Ley de Transparencia y Acceso a</w:t>
      </w:r>
    </w:p>
    <w:p w14:paraId="203B6EA7"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3370AC">
        <w:rPr>
          <w:rFonts w:ascii="Palatino Linotype" w:eastAsia="Palatino Linotype" w:hAnsi="Palatino Linotype" w:cs="Palatino Linotype"/>
          <w:b/>
          <w:sz w:val="22"/>
          <w:szCs w:val="22"/>
        </w:rPr>
        <w:t xml:space="preserve"> Ayuntamiento de Ixtapaluca</w:t>
      </w:r>
      <w:r w:rsidRPr="003370AC">
        <w:rPr>
          <w:rFonts w:ascii="Palatino Linotype" w:eastAsia="Palatino Linotype" w:hAnsi="Palatino Linotype" w:cs="Palatino Linotype"/>
          <w:color w:val="000000"/>
          <w:sz w:val="22"/>
          <w:szCs w:val="22"/>
        </w:rPr>
        <w:t xml:space="preserve">, omitió dar respuesta a la solicitud de información, por lo que se </w:t>
      </w:r>
      <w:r w:rsidRPr="003370AC">
        <w:rPr>
          <w:rFonts w:ascii="Palatino Linotype" w:eastAsia="Palatino Linotype" w:hAnsi="Palatino Linotype" w:cs="Palatino Linotype"/>
          <w:b/>
          <w:color w:val="000000"/>
          <w:sz w:val="22"/>
          <w:szCs w:val="22"/>
        </w:rPr>
        <w:t>configura la negativa ficta</w:t>
      </w:r>
      <w:r w:rsidRPr="003370AC">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14:paraId="2310C6C6"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55A6660E" w14:textId="77777777" w:rsidR="000A152D" w:rsidRPr="003370AC" w:rsidRDefault="000248F8">
      <w:pPr>
        <w:pStyle w:val="Ttulo2"/>
      </w:pPr>
      <w:bookmarkStart w:id="4" w:name="_Toc210314037"/>
      <w:r w:rsidRPr="003370AC">
        <w:t>III. Interposición del Recurso de Revisión</w:t>
      </w:r>
      <w:bookmarkEnd w:id="4"/>
    </w:p>
    <w:p w14:paraId="6BA615E7" w14:textId="77777777" w:rsidR="000A152D" w:rsidRPr="003370AC" w:rsidRDefault="000A152D">
      <w:pPr>
        <w:spacing w:line="360" w:lineRule="auto"/>
        <w:jc w:val="both"/>
        <w:rPr>
          <w:rFonts w:ascii="Palatino Linotype" w:eastAsia="Palatino Linotype" w:hAnsi="Palatino Linotype" w:cs="Palatino Linotype"/>
          <w:b/>
          <w:color w:val="000000"/>
          <w:sz w:val="22"/>
          <w:szCs w:val="22"/>
        </w:rPr>
      </w:pPr>
    </w:p>
    <w:p w14:paraId="5DA3318F" w14:textId="55964AAA"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color w:val="000000"/>
          <w:sz w:val="22"/>
          <w:szCs w:val="22"/>
        </w:rPr>
        <w:t xml:space="preserve">El </w:t>
      </w:r>
      <w:r w:rsidR="00FB4BCD" w:rsidRPr="003370AC">
        <w:rPr>
          <w:rFonts w:ascii="Palatino Linotype" w:eastAsia="Palatino Linotype" w:hAnsi="Palatino Linotype" w:cs="Palatino Linotype"/>
          <w:color w:val="000000"/>
          <w:sz w:val="22"/>
          <w:szCs w:val="22"/>
        </w:rPr>
        <w:t>primero de septiembre</w:t>
      </w:r>
      <w:r w:rsidRPr="003370AC">
        <w:rPr>
          <w:rFonts w:ascii="Palatino Linotype" w:eastAsia="Palatino Linotype" w:hAnsi="Palatino Linotype" w:cs="Palatino Linotype"/>
          <w:color w:val="000000"/>
          <w:sz w:val="22"/>
          <w:szCs w:val="22"/>
        </w:rPr>
        <w:t xml:space="preserve"> de dos mil veinticinco, el Particular interpuso un Recurso de Revisión ante este Instituto</w:t>
      </w:r>
      <w:r w:rsidR="00FB4BCD" w:rsidRPr="003370AC">
        <w:rPr>
          <w:rFonts w:ascii="Palatino Linotype" w:eastAsia="Palatino Linotype" w:hAnsi="Palatino Linotype" w:cs="Palatino Linotype"/>
          <w:color w:val="000000"/>
          <w:sz w:val="22"/>
          <w:szCs w:val="22"/>
        </w:rPr>
        <w:t xml:space="preserve"> (</w:t>
      </w:r>
      <w:r w:rsidR="003370AC" w:rsidRPr="003370AC">
        <w:rPr>
          <w:rFonts w:ascii="Palatino Linotype" w:eastAsia="Palatino Linotype" w:hAnsi="Palatino Linotype" w:cs="Palatino Linotype"/>
          <w:color w:val="000000"/>
          <w:sz w:val="22"/>
          <w:szCs w:val="22"/>
        </w:rPr>
        <w:t>ya que,</w:t>
      </w:r>
      <w:r w:rsidR="00FB4BCD" w:rsidRPr="003370AC">
        <w:rPr>
          <w:rFonts w:ascii="Palatino Linotype" w:eastAsia="Palatino Linotype" w:hAnsi="Palatino Linotype" w:cs="Palatino Linotype"/>
          <w:color w:val="000000"/>
          <w:sz w:val="22"/>
          <w:szCs w:val="22"/>
        </w:rPr>
        <w:t xml:space="preserve"> si bien se recibió el treinta de agosto de dicho año, este fue inhábil, por lo que se tuvo por presentado el hábil siguiente)</w:t>
      </w:r>
      <w:r w:rsidRPr="003370AC">
        <w:rPr>
          <w:rFonts w:ascii="Palatino Linotype" w:eastAsia="Palatino Linotype" w:hAnsi="Palatino Linotype" w:cs="Palatino Linotype"/>
          <w:color w:val="000000"/>
          <w:sz w:val="22"/>
          <w:szCs w:val="22"/>
        </w:rPr>
        <w:t>, a través del Sistema de Acceso a la Información Mexiquense (SAIMEX), en contra de la falta de respuesta por el</w:t>
      </w:r>
      <w:r w:rsidRPr="003370AC">
        <w:rPr>
          <w:rFonts w:ascii="Palatino Linotype" w:eastAsia="Palatino Linotype" w:hAnsi="Palatino Linotype" w:cs="Palatino Linotype"/>
          <w:sz w:val="22"/>
          <w:szCs w:val="22"/>
        </w:rPr>
        <w:t xml:space="preserve"> Sujeto Obligado</w:t>
      </w:r>
      <w:r w:rsidRPr="003370AC">
        <w:rPr>
          <w:rFonts w:ascii="Palatino Linotype" w:eastAsia="Palatino Linotype" w:hAnsi="Palatino Linotype" w:cs="Palatino Linotype"/>
          <w:color w:val="000000"/>
          <w:sz w:val="22"/>
          <w:szCs w:val="22"/>
        </w:rPr>
        <w:t xml:space="preserve">, a la solicitud de información, en los siguientes términos: </w:t>
      </w:r>
    </w:p>
    <w:p w14:paraId="58B1117D"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1BF8E0BF" w14:textId="77777777" w:rsidR="000A152D" w:rsidRPr="003370AC" w:rsidRDefault="000248F8">
      <w:pPr>
        <w:spacing w:line="360" w:lineRule="auto"/>
        <w:ind w:left="567" w:right="567"/>
        <w:jc w:val="both"/>
        <w:rPr>
          <w:rFonts w:ascii="Palatino Linotype" w:eastAsia="Palatino Linotype" w:hAnsi="Palatino Linotype" w:cs="Palatino Linotype"/>
          <w:i/>
          <w:color w:val="000000"/>
        </w:rPr>
      </w:pPr>
      <w:r w:rsidRPr="003370AC">
        <w:rPr>
          <w:rFonts w:ascii="Palatino Linotype" w:eastAsia="Palatino Linotype" w:hAnsi="Palatino Linotype" w:cs="Palatino Linotype"/>
          <w:b/>
          <w:i/>
          <w:color w:val="000000"/>
        </w:rPr>
        <w:t>“ACTO IMPUGNADO</w:t>
      </w:r>
    </w:p>
    <w:p w14:paraId="35D2CE4A" w14:textId="77777777" w:rsidR="000A152D" w:rsidRPr="003370AC" w:rsidRDefault="000248F8">
      <w:pPr>
        <w:spacing w:line="360" w:lineRule="auto"/>
        <w:ind w:left="567" w:right="567"/>
        <w:jc w:val="both"/>
        <w:rPr>
          <w:rFonts w:ascii="Palatino Linotype" w:eastAsia="Palatino Linotype" w:hAnsi="Palatino Linotype" w:cs="Palatino Linotype"/>
          <w:i/>
          <w:color w:val="000000"/>
        </w:rPr>
      </w:pPr>
      <w:proofErr w:type="gramStart"/>
      <w:r w:rsidRPr="003370AC">
        <w:rPr>
          <w:rFonts w:ascii="Palatino Linotype" w:eastAsia="Palatino Linotype" w:hAnsi="Palatino Linotype" w:cs="Palatino Linotype"/>
          <w:i/>
          <w:color w:val="000000"/>
        </w:rPr>
        <w:t>se</w:t>
      </w:r>
      <w:proofErr w:type="gramEnd"/>
      <w:r w:rsidRPr="003370AC">
        <w:rPr>
          <w:rFonts w:ascii="Palatino Linotype" w:eastAsia="Palatino Linotype" w:hAnsi="Palatino Linotype" w:cs="Palatino Linotype"/>
          <w:i/>
          <w:color w:val="000000"/>
        </w:rPr>
        <w:t xml:space="preserve"> </w:t>
      </w:r>
      <w:proofErr w:type="spellStart"/>
      <w:r w:rsidRPr="003370AC">
        <w:rPr>
          <w:rFonts w:ascii="Palatino Linotype" w:eastAsia="Palatino Linotype" w:hAnsi="Palatino Linotype" w:cs="Palatino Linotype"/>
          <w:i/>
          <w:color w:val="000000"/>
        </w:rPr>
        <w:t>rehusa</w:t>
      </w:r>
      <w:proofErr w:type="spellEnd"/>
      <w:r w:rsidRPr="003370AC">
        <w:rPr>
          <w:rFonts w:ascii="Palatino Linotype" w:eastAsia="Palatino Linotype" w:hAnsi="Palatino Linotype" w:cs="Palatino Linotype"/>
          <w:i/>
          <w:color w:val="000000"/>
        </w:rPr>
        <w:t xml:space="preserve"> a la entrega de la </w:t>
      </w:r>
      <w:proofErr w:type="spellStart"/>
      <w:r w:rsidRPr="003370AC">
        <w:rPr>
          <w:rFonts w:ascii="Palatino Linotype" w:eastAsia="Palatino Linotype" w:hAnsi="Palatino Linotype" w:cs="Palatino Linotype"/>
          <w:i/>
          <w:color w:val="000000"/>
        </w:rPr>
        <w:t>informacion</w:t>
      </w:r>
      <w:proofErr w:type="spellEnd"/>
      <w:r w:rsidRPr="003370AC">
        <w:rPr>
          <w:rFonts w:ascii="Palatino Linotype" w:eastAsia="Palatino Linotype" w:hAnsi="Palatino Linotype" w:cs="Palatino Linotype"/>
          <w:i/>
          <w:color w:val="000000"/>
        </w:rPr>
        <w:t>” (Sic.)</w:t>
      </w:r>
    </w:p>
    <w:p w14:paraId="7340AA9F" w14:textId="77777777" w:rsidR="000A152D" w:rsidRPr="003370AC" w:rsidRDefault="000A152D">
      <w:pPr>
        <w:spacing w:line="360" w:lineRule="auto"/>
        <w:ind w:left="567" w:right="567"/>
        <w:jc w:val="both"/>
        <w:rPr>
          <w:rFonts w:ascii="Palatino Linotype" w:eastAsia="Palatino Linotype" w:hAnsi="Palatino Linotype" w:cs="Palatino Linotype"/>
          <w:i/>
          <w:color w:val="000000"/>
        </w:rPr>
      </w:pPr>
    </w:p>
    <w:p w14:paraId="12DE8961" w14:textId="77777777" w:rsidR="000A152D" w:rsidRPr="003370AC" w:rsidRDefault="000248F8">
      <w:pPr>
        <w:spacing w:line="360" w:lineRule="auto"/>
        <w:ind w:left="567" w:right="567"/>
        <w:rPr>
          <w:rFonts w:ascii="Palatino Linotype" w:eastAsia="Palatino Linotype" w:hAnsi="Palatino Linotype" w:cs="Palatino Linotype"/>
          <w:b/>
          <w:i/>
        </w:rPr>
      </w:pPr>
      <w:r w:rsidRPr="003370AC">
        <w:rPr>
          <w:rFonts w:ascii="Palatino Linotype" w:eastAsia="Palatino Linotype" w:hAnsi="Palatino Linotype" w:cs="Palatino Linotype"/>
          <w:b/>
          <w:i/>
        </w:rPr>
        <w:t>“RAZONES O MOTIVOS DE LA INCONFORMIDAD</w:t>
      </w:r>
    </w:p>
    <w:p w14:paraId="7E490C33" w14:textId="77777777" w:rsidR="000A152D" w:rsidRPr="003370AC" w:rsidRDefault="000248F8">
      <w:pPr>
        <w:spacing w:line="360" w:lineRule="auto"/>
        <w:ind w:left="567" w:right="567"/>
        <w:jc w:val="both"/>
        <w:rPr>
          <w:rFonts w:ascii="Palatino Linotype" w:eastAsia="Palatino Linotype" w:hAnsi="Palatino Linotype" w:cs="Palatino Linotype"/>
          <w:i/>
          <w:color w:val="000000"/>
        </w:rPr>
      </w:pPr>
      <w:proofErr w:type="gramStart"/>
      <w:r w:rsidRPr="003370AC">
        <w:rPr>
          <w:rFonts w:ascii="Palatino Linotype" w:eastAsia="Palatino Linotype" w:hAnsi="Palatino Linotype" w:cs="Palatino Linotype"/>
          <w:i/>
          <w:color w:val="000000"/>
        </w:rPr>
        <w:t>se</w:t>
      </w:r>
      <w:proofErr w:type="gramEnd"/>
      <w:r w:rsidRPr="003370AC">
        <w:rPr>
          <w:rFonts w:ascii="Palatino Linotype" w:eastAsia="Palatino Linotype" w:hAnsi="Palatino Linotype" w:cs="Palatino Linotype"/>
          <w:i/>
          <w:color w:val="000000"/>
        </w:rPr>
        <w:t xml:space="preserve"> </w:t>
      </w:r>
      <w:proofErr w:type="spellStart"/>
      <w:r w:rsidRPr="003370AC">
        <w:rPr>
          <w:rFonts w:ascii="Palatino Linotype" w:eastAsia="Palatino Linotype" w:hAnsi="Palatino Linotype" w:cs="Palatino Linotype"/>
          <w:i/>
          <w:color w:val="000000"/>
        </w:rPr>
        <w:t>rehusa</w:t>
      </w:r>
      <w:proofErr w:type="spellEnd"/>
      <w:r w:rsidRPr="003370AC">
        <w:rPr>
          <w:rFonts w:ascii="Palatino Linotype" w:eastAsia="Palatino Linotype" w:hAnsi="Palatino Linotype" w:cs="Palatino Linotype"/>
          <w:i/>
          <w:color w:val="000000"/>
        </w:rPr>
        <w:t xml:space="preserve"> a la entrega de la </w:t>
      </w:r>
      <w:proofErr w:type="spellStart"/>
      <w:r w:rsidRPr="003370AC">
        <w:rPr>
          <w:rFonts w:ascii="Palatino Linotype" w:eastAsia="Palatino Linotype" w:hAnsi="Palatino Linotype" w:cs="Palatino Linotype"/>
          <w:i/>
          <w:color w:val="000000"/>
        </w:rPr>
        <w:t>informacion</w:t>
      </w:r>
      <w:proofErr w:type="spellEnd"/>
      <w:r w:rsidRPr="003370AC">
        <w:rPr>
          <w:rFonts w:ascii="Palatino Linotype" w:eastAsia="Palatino Linotype" w:hAnsi="Palatino Linotype" w:cs="Palatino Linotype"/>
          <w:i/>
          <w:color w:val="000000"/>
        </w:rPr>
        <w:t>” (Sic.)</w:t>
      </w:r>
    </w:p>
    <w:p w14:paraId="5366090C"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241C26BB" w14:textId="77777777" w:rsidR="000A152D" w:rsidRPr="003370AC" w:rsidRDefault="000248F8">
      <w:pPr>
        <w:pStyle w:val="Ttulo2"/>
      </w:pPr>
      <w:bookmarkStart w:id="5" w:name="_Toc210314038"/>
      <w:r w:rsidRPr="003370AC">
        <w:lastRenderedPageBreak/>
        <w:t>IV. Trámite del Recurso de Revisión ante el Instituto</w:t>
      </w:r>
      <w:bookmarkEnd w:id="5"/>
    </w:p>
    <w:p w14:paraId="6706A77A" w14:textId="77777777" w:rsidR="000A152D" w:rsidRPr="003370AC" w:rsidRDefault="000A152D">
      <w:pPr>
        <w:spacing w:line="360" w:lineRule="auto"/>
        <w:jc w:val="both"/>
        <w:rPr>
          <w:rFonts w:ascii="Palatino Linotype" w:eastAsia="Palatino Linotype" w:hAnsi="Palatino Linotype" w:cs="Palatino Linotype"/>
          <w:b/>
          <w:color w:val="000000"/>
          <w:sz w:val="22"/>
          <w:szCs w:val="22"/>
        </w:rPr>
      </w:pPr>
    </w:p>
    <w:p w14:paraId="0553E178" w14:textId="143EE7AA"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b/>
          <w:color w:val="000000"/>
          <w:sz w:val="22"/>
          <w:szCs w:val="22"/>
        </w:rPr>
        <w:t xml:space="preserve">a) Turno del Recurso de Revisión. </w:t>
      </w:r>
      <w:r w:rsidRPr="003370AC">
        <w:rPr>
          <w:rFonts w:ascii="Palatino Linotype" w:eastAsia="Palatino Linotype" w:hAnsi="Palatino Linotype" w:cs="Palatino Linotype"/>
          <w:color w:val="000000"/>
          <w:sz w:val="22"/>
          <w:szCs w:val="22"/>
        </w:rPr>
        <w:t xml:space="preserve">El </w:t>
      </w:r>
      <w:r w:rsidR="00FB4BCD" w:rsidRPr="003370AC">
        <w:rPr>
          <w:rFonts w:ascii="Palatino Linotype" w:eastAsia="Palatino Linotype" w:hAnsi="Palatino Linotype" w:cs="Palatino Linotype"/>
          <w:color w:val="000000"/>
          <w:sz w:val="22"/>
          <w:szCs w:val="22"/>
        </w:rPr>
        <w:t>primero de septiembre</w:t>
      </w:r>
      <w:r w:rsidRPr="003370AC">
        <w:rPr>
          <w:rFonts w:ascii="Palatino Linotype" w:eastAsia="Palatino Linotype" w:hAnsi="Palatino Linotype" w:cs="Palatino Linotype"/>
          <w:color w:val="000000"/>
          <w:sz w:val="22"/>
          <w:szCs w:val="22"/>
        </w:rPr>
        <w:t xml:space="preserve"> de dos mil veinticinco, el Sistema de Acceso a la Información Mexiquense (SAIMEX), asignó el número de expediente </w:t>
      </w:r>
      <w:r w:rsidRPr="003370AC">
        <w:rPr>
          <w:rFonts w:ascii="Palatino Linotype" w:eastAsia="Palatino Linotype" w:hAnsi="Palatino Linotype" w:cs="Palatino Linotype"/>
          <w:b/>
          <w:color w:val="000000"/>
          <w:sz w:val="22"/>
          <w:szCs w:val="22"/>
        </w:rPr>
        <w:t>10201/INFOEM/IP/RR/2025</w:t>
      </w:r>
      <w:r w:rsidRPr="003370AC">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7DFD6C84" w14:textId="77777777" w:rsidR="000A152D" w:rsidRPr="003370AC" w:rsidRDefault="000A152D">
      <w:pPr>
        <w:spacing w:line="360" w:lineRule="auto"/>
        <w:jc w:val="both"/>
        <w:rPr>
          <w:rFonts w:ascii="Palatino Linotype" w:eastAsia="Palatino Linotype" w:hAnsi="Palatino Linotype" w:cs="Palatino Linotype"/>
          <w:b/>
          <w:color w:val="000000"/>
          <w:sz w:val="22"/>
          <w:szCs w:val="22"/>
        </w:rPr>
      </w:pPr>
    </w:p>
    <w:p w14:paraId="7E38FF6E"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b/>
          <w:color w:val="000000"/>
          <w:sz w:val="22"/>
          <w:szCs w:val="22"/>
        </w:rPr>
        <w:t xml:space="preserve">b) Admisión del Recurso de Revisión. </w:t>
      </w:r>
      <w:r w:rsidRPr="003370AC">
        <w:rPr>
          <w:rFonts w:ascii="Palatino Linotype" w:eastAsia="Palatino Linotype" w:hAnsi="Palatino Linotype" w:cs="Palatino Linotype"/>
          <w:color w:val="000000"/>
          <w:sz w:val="22"/>
          <w:szCs w:val="22"/>
        </w:rPr>
        <w:t>El cuatro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treinta del  mismo mes y año, a través del Sistema de Acceso a la Información Mexiquense (SAIMEX), en el que se les otorgó un plazo de siete días hábiles posteriores a la misma, para que manifestaran lo que a su derecho conviniera y formularan alegatos.</w:t>
      </w:r>
    </w:p>
    <w:p w14:paraId="6BAC2C59"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472E493E" w14:textId="02902FD0"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b/>
          <w:color w:val="000000"/>
          <w:sz w:val="22"/>
          <w:szCs w:val="22"/>
        </w:rPr>
        <w:t>c)</w:t>
      </w:r>
      <w:r w:rsidRPr="003370AC">
        <w:rPr>
          <w:rFonts w:ascii="Palatino Linotype" w:eastAsia="Palatino Linotype" w:hAnsi="Palatino Linotype" w:cs="Palatino Linotype"/>
          <w:color w:val="000000"/>
          <w:sz w:val="22"/>
          <w:szCs w:val="22"/>
        </w:rPr>
        <w:t xml:space="preserve"> </w:t>
      </w:r>
      <w:r w:rsidRPr="003370AC">
        <w:rPr>
          <w:rFonts w:ascii="Palatino Linotype" w:eastAsia="Palatino Linotype" w:hAnsi="Palatino Linotype" w:cs="Palatino Linotype"/>
          <w:b/>
          <w:sz w:val="22"/>
          <w:szCs w:val="22"/>
        </w:rPr>
        <w:t>Manifestaciones</w:t>
      </w:r>
      <w:r w:rsidR="003370AC">
        <w:rPr>
          <w:rFonts w:ascii="Palatino Linotype" w:eastAsia="Palatino Linotype" w:hAnsi="Palatino Linotype" w:cs="Palatino Linotype"/>
          <w:b/>
          <w:sz w:val="22"/>
          <w:szCs w:val="22"/>
        </w:rPr>
        <w:t xml:space="preserve"> o Informe Justificado</w:t>
      </w:r>
      <w:r w:rsidRPr="003370AC">
        <w:rPr>
          <w:rFonts w:ascii="Palatino Linotype" w:eastAsia="Palatino Linotype" w:hAnsi="Palatino Linotype" w:cs="Palatino Linotype"/>
          <w:b/>
          <w:sz w:val="22"/>
          <w:szCs w:val="22"/>
        </w:rPr>
        <w:t xml:space="preserve">. </w:t>
      </w:r>
      <w:r w:rsidRPr="003370AC">
        <w:rPr>
          <w:rFonts w:ascii="Palatino Linotype" w:eastAsia="Palatino Linotype" w:hAnsi="Palatino Linotype" w:cs="Palatino Linotype"/>
          <w:sz w:val="22"/>
          <w:szCs w:val="22"/>
        </w:rPr>
        <w:t>Las partes fueron omisas en rendir manifestaciones</w:t>
      </w:r>
      <w:r w:rsidR="003370AC">
        <w:rPr>
          <w:rFonts w:ascii="Palatino Linotype" w:eastAsia="Palatino Linotype" w:hAnsi="Palatino Linotype" w:cs="Palatino Linotype"/>
          <w:sz w:val="22"/>
          <w:szCs w:val="22"/>
        </w:rPr>
        <w:t xml:space="preserve"> o alegatos</w:t>
      </w:r>
      <w:r w:rsidRPr="003370AC">
        <w:rPr>
          <w:rFonts w:ascii="Palatino Linotype" w:eastAsia="Palatino Linotype" w:hAnsi="Palatino Linotype" w:cs="Palatino Linotype"/>
          <w:sz w:val="22"/>
          <w:szCs w:val="22"/>
        </w:rPr>
        <w:t>.</w:t>
      </w:r>
    </w:p>
    <w:p w14:paraId="55BCB38D" w14:textId="77777777" w:rsidR="000A152D" w:rsidRPr="003370AC" w:rsidRDefault="000A152D">
      <w:pPr>
        <w:spacing w:line="360" w:lineRule="auto"/>
        <w:jc w:val="both"/>
        <w:rPr>
          <w:rFonts w:ascii="Palatino Linotype" w:eastAsia="Palatino Linotype" w:hAnsi="Palatino Linotype" w:cs="Palatino Linotype"/>
          <w:b/>
          <w:sz w:val="18"/>
          <w:szCs w:val="18"/>
        </w:rPr>
      </w:pPr>
    </w:p>
    <w:p w14:paraId="434114DE" w14:textId="77777777" w:rsidR="000A152D" w:rsidRPr="003370AC" w:rsidRDefault="000248F8">
      <w:pPr>
        <w:spacing w:line="360" w:lineRule="auto"/>
        <w:jc w:val="both"/>
        <w:rPr>
          <w:rFonts w:ascii="Palatino Linotype" w:eastAsia="Palatino Linotype" w:hAnsi="Palatino Linotype" w:cs="Palatino Linotype"/>
          <w:b/>
          <w:sz w:val="22"/>
          <w:szCs w:val="22"/>
        </w:rPr>
      </w:pPr>
      <w:r w:rsidRPr="003370AC">
        <w:rPr>
          <w:rFonts w:ascii="Palatino Linotype" w:eastAsia="Palatino Linotype" w:hAnsi="Palatino Linotype" w:cs="Palatino Linotype"/>
          <w:b/>
          <w:sz w:val="22"/>
          <w:szCs w:val="22"/>
        </w:rPr>
        <w:t xml:space="preserve">e) Cierre de instrucción. </w:t>
      </w:r>
      <w:r w:rsidRPr="003370AC">
        <w:rPr>
          <w:rFonts w:ascii="Palatino Linotype" w:eastAsia="Palatino Linotype" w:hAnsi="Palatino Linotype" w:cs="Palatino Linotype"/>
          <w:sz w:val="22"/>
          <w:szCs w:val="22"/>
        </w:rPr>
        <w:t xml:space="preserve">El veintidós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2CA7106" w14:textId="77777777" w:rsidR="000A152D" w:rsidRPr="003370AC" w:rsidRDefault="000A152D">
      <w:pPr>
        <w:spacing w:line="360" w:lineRule="auto"/>
        <w:jc w:val="both"/>
        <w:rPr>
          <w:rFonts w:ascii="Palatino Linotype" w:eastAsia="Palatino Linotype" w:hAnsi="Palatino Linotype" w:cs="Palatino Linotype"/>
          <w:b/>
          <w:sz w:val="18"/>
          <w:szCs w:val="18"/>
        </w:rPr>
      </w:pPr>
    </w:p>
    <w:p w14:paraId="1B5ECDFF"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1F1168CF"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79EE9760" w14:textId="77777777" w:rsidR="000A152D" w:rsidRPr="003370AC" w:rsidRDefault="000248F8">
      <w:pPr>
        <w:pStyle w:val="Ttulo1"/>
      </w:pPr>
      <w:bookmarkStart w:id="6" w:name="_Toc210314039"/>
      <w:r w:rsidRPr="003370AC">
        <w:t>C O N S I D E R A N D O S</w:t>
      </w:r>
      <w:bookmarkEnd w:id="6"/>
    </w:p>
    <w:p w14:paraId="51323755" w14:textId="77777777" w:rsidR="000A152D" w:rsidRPr="003370AC" w:rsidRDefault="000A152D">
      <w:pPr>
        <w:spacing w:line="360" w:lineRule="auto"/>
        <w:jc w:val="both"/>
        <w:rPr>
          <w:rFonts w:ascii="Palatino Linotype" w:eastAsia="Palatino Linotype" w:hAnsi="Palatino Linotype" w:cs="Palatino Linotype"/>
          <w:b/>
          <w:sz w:val="22"/>
          <w:szCs w:val="22"/>
        </w:rPr>
      </w:pPr>
    </w:p>
    <w:p w14:paraId="0E81A2A8" w14:textId="77777777" w:rsidR="000A152D" w:rsidRPr="003370AC" w:rsidRDefault="000248F8">
      <w:pPr>
        <w:pStyle w:val="Ttulo2"/>
      </w:pPr>
      <w:bookmarkStart w:id="7" w:name="_Toc210314040"/>
      <w:r w:rsidRPr="003370AC">
        <w:t>PRIMERO. Competencia</w:t>
      </w:r>
      <w:bookmarkEnd w:id="7"/>
    </w:p>
    <w:p w14:paraId="1E49B44A" w14:textId="77777777" w:rsidR="000A152D" w:rsidRPr="003370AC" w:rsidRDefault="000A152D">
      <w:pPr>
        <w:spacing w:line="360" w:lineRule="auto"/>
        <w:jc w:val="both"/>
        <w:rPr>
          <w:rFonts w:ascii="Palatino Linotype" w:eastAsia="Palatino Linotype" w:hAnsi="Palatino Linotype" w:cs="Palatino Linotype"/>
          <w:b/>
          <w:sz w:val="22"/>
          <w:szCs w:val="22"/>
        </w:rPr>
      </w:pPr>
    </w:p>
    <w:p w14:paraId="0C9649A3" w14:textId="77777777" w:rsidR="000A152D" w:rsidRPr="003370AC" w:rsidRDefault="000248F8">
      <w:pPr>
        <w:spacing w:line="360" w:lineRule="auto"/>
        <w:jc w:val="both"/>
        <w:rPr>
          <w:rFonts w:ascii="Palatino Linotype" w:eastAsia="Palatino Linotype" w:hAnsi="Palatino Linotype" w:cs="Palatino Linotype"/>
          <w:sz w:val="22"/>
          <w:szCs w:val="22"/>
        </w:rPr>
      </w:pPr>
      <w:bookmarkStart w:id="8" w:name="_heading=h.r6c9pmfoyyra" w:colFirst="0" w:colLast="0"/>
      <w:bookmarkEnd w:id="8"/>
      <w:r w:rsidRPr="003370AC">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93A204"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46BB6F4F" w14:textId="77777777" w:rsidR="000A152D" w:rsidRPr="003370AC" w:rsidRDefault="000248F8">
      <w:pPr>
        <w:pStyle w:val="Ttulo2"/>
      </w:pPr>
      <w:bookmarkStart w:id="9" w:name="_Toc210314041"/>
      <w:r w:rsidRPr="003370AC">
        <w:t>SEGUNDO. Causales de improcedencia y Sobreseimiento</w:t>
      </w:r>
      <w:bookmarkEnd w:id="9"/>
    </w:p>
    <w:p w14:paraId="1FAA0D48"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59CC45FE"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sidRPr="003370AC">
        <w:rPr>
          <w:rFonts w:ascii="Palatino Linotype" w:eastAsia="Palatino Linotype" w:hAnsi="Palatino Linotype" w:cs="Palatino Linotype"/>
          <w:i/>
          <w:sz w:val="22"/>
          <w:szCs w:val="22"/>
        </w:rPr>
        <w:t>litis</w:t>
      </w:r>
      <w:proofErr w:type="spellEnd"/>
      <w:r w:rsidRPr="003370AC">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0CA5FC04"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3E148D9A" w14:textId="77777777" w:rsidR="000A152D" w:rsidRPr="003370AC" w:rsidRDefault="000248F8">
      <w:pPr>
        <w:spacing w:line="360" w:lineRule="auto"/>
        <w:jc w:val="both"/>
        <w:rPr>
          <w:rFonts w:ascii="Palatino Linotype" w:eastAsia="Palatino Linotype" w:hAnsi="Palatino Linotype" w:cs="Palatino Linotype"/>
          <w:b/>
          <w:sz w:val="22"/>
          <w:szCs w:val="22"/>
        </w:rPr>
      </w:pPr>
      <w:bookmarkStart w:id="10" w:name="_heading=h.lxudc0utqmiu" w:colFirst="0" w:colLast="0"/>
      <w:bookmarkEnd w:id="10"/>
      <w:r w:rsidRPr="003370AC">
        <w:rPr>
          <w:rFonts w:ascii="Palatino Linotype" w:eastAsia="Palatino Linotype" w:hAnsi="Palatino Linotype" w:cs="Palatino Linotype"/>
          <w:b/>
          <w:sz w:val="22"/>
          <w:szCs w:val="22"/>
        </w:rPr>
        <w:lastRenderedPageBreak/>
        <w:t>Causales de improcedencia</w:t>
      </w:r>
    </w:p>
    <w:p w14:paraId="358914CD" w14:textId="77777777" w:rsidR="000A152D" w:rsidRPr="003370AC" w:rsidRDefault="000A152D">
      <w:pPr>
        <w:spacing w:line="360" w:lineRule="auto"/>
        <w:jc w:val="both"/>
        <w:rPr>
          <w:rFonts w:ascii="Palatino Linotype" w:eastAsia="Palatino Linotype" w:hAnsi="Palatino Linotype" w:cs="Palatino Linotype"/>
          <w:b/>
          <w:sz w:val="22"/>
          <w:szCs w:val="22"/>
        </w:rPr>
      </w:pPr>
    </w:p>
    <w:p w14:paraId="66EFDDBA"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1A1FEF"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5447D4DC"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el presente caso, </w:t>
      </w:r>
      <w:r w:rsidRPr="003370AC">
        <w:rPr>
          <w:rFonts w:ascii="Palatino Linotype" w:eastAsia="Palatino Linotype" w:hAnsi="Palatino Linotype" w:cs="Palatino Linotype"/>
          <w:b/>
          <w:sz w:val="22"/>
          <w:szCs w:val="22"/>
        </w:rPr>
        <w:t>no se actualiza ninguna de las causales de improcedencia</w:t>
      </w:r>
      <w:r w:rsidRPr="003370AC">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62BDEF3C"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B8FBF8B"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sidRPr="003370AC">
        <w:rPr>
          <w:rFonts w:ascii="Palatino Linotype" w:eastAsia="Palatino Linotype" w:hAnsi="Palatino Linotype" w:cs="Palatino Linotype"/>
          <w:b/>
          <w:sz w:val="22"/>
          <w:szCs w:val="22"/>
        </w:rPr>
        <w:t>negativa ficta</w:t>
      </w:r>
      <w:r w:rsidRPr="003370AC">
        <w:rPr>
          <w:rFonts w:ascii="Palatino Linotype" w:eastAsia="Palatino Linotype" w:hAnsi="Palatino Linotype" w:cs="Palatino Linotype"/>
          <w:sz w:val="22"/>
          <w:szCs w:val="22"/>
        </w:rPr>
        <w:t xml:space="preserve">, que genera la posibilidad de los particulares de interponer un recurso de revisión ante tal omisión, </w:t>
      </w:r>
      <w:r w:rsidRPr="003370AC">
        <w:rPr>
          <w:rFonts w:ascii="Palatino Linotype" w:eastAsia="Palatino Linotype" w:hAnsi="Palatino Linotype" w:cs="Palatino Linotype"/>
          <w:sz w:val="22"/>
          <w:szCs w:val="22"/>
          <w:u w:val="single"/>
        </w:rPr>
        <w:t>en cualquier momento</w:t>
      </w:r>
      <w:r w:rsidRPr="003370AC">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4B3FCCE"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47F64559"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lastRenderedPageBreak/>
        <w:t>Conforme a lo anterior, se actualiza la causal de procedencia señalada en el artículo 179, fracción VII, de la Ley de la materia, toda vez que el Solicitante se inconformó con la falta de respuesta a su solicitud de acceso a información pública.</w:t>
      </w:r>
    </w:p>
    <w:p w14:paraId="4DCF515B"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570EAB9" w14:textId="77777777" w:rsidR="000A152D" w:rsidRPr="003370AC" w:rsidRDefault="000248F8">
      <w:pPr>
        <w:spacing w:line="360" w:lineRule="auto"/>
        <w:jc w:val="both"/>
        <w:rPr>
          <w:rFonts w:ascii="Palatino Linotype" w:eastAsia="Palatino Linotype" w:hAnsi="Palatino Linotype" w:cs="Palatino Linotype"/>
          <w:b/>
          <w:color w:val="0D0D0D"/>
          <w:sz w:val="22"/>
          <w:szCs w:val="22"/>
        </w:rPr>
      </w:pPr>
      <w:r w:rsidRPr="003370AC">
        <w:rPr>
          <w:rFonts w:ascii="Palatino Linotype" w:eastAsia="Palatino Linotype" w:hAnsi="Palatino Linotype" w:cs="Palatino Linotype"/>
          <w:b/>
          <w:color w:val="0D0D0D"/>
          <w:sz w:val="22"/>
          <w:szCs w:val="22"/>
        </w:rPr>
        <w:t>Causales de sobreseimiento</w:t>
      </w:r>
    </w:p>
    <w:p w14:paraId="77E98CCD" w14:textId="77777777" w:rsidR="000A152D" w:rsidRPr="003370AC" w:rsidRDefault="000A152D">
      <w:pPr>
        <w:spacing w:line="360" w:lineRule="auto"/>
        <w:jc w:val="both"/>
        <w:rPr>
          <w:rFonts w:ascii="Palatino Linotype" w:eastAsia="Palatino Linotype" w:hAnsi="Palatino Linotype" w:cs="Palatino Linotype"/>
          <w:color w:val="0D0D0D"/>
          <w:sz w:val="22"/>
          <w:szCs w:val="22"/>
        </w:rPr>
      </w:pPr>
    </w:p>
    <w:p w14:paraId="55CB8D42" w14:textId="77777777" w:rsidR="000A152D" w:rsidRPr="003370AC" w:rsidRDefault="000248F8">
      <w:pPr>
        <w:spacing w:line="360" w:lineRule="auto"/>
        <w:jc w:val="both"/>
        <w:rPr>
          <w:rFonts w:ascii="Palatino Linotype" w:eastAsia="Palatino Linotype" w:hAnsi="Palatino Linotype" w:cs="Palatino Linotype"/>
          <w:color w:val="0D0D0D"/>
          <w:sz w:val="22"/>
          <w:szCs w:val="22"/>
        </w:rPr>
      </w:pPr>
      <w:r w:rsidRPr="003370AC">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14:paraId="7CF6EF52" w14:textId="77777777" w:rsidR="000A152D" w:rsidRPr="003370AC" w:rsidRDefault="000A152D">
      <w:pPr>
        <w:spacing w:line="360" w:lineRule="auto"/>
        <w:jc w:val="both"/>
        <w:rPr>
          <w:rFonts w:ascii="Palatino Linotype" w:eastAsia="Palatino Linotype" w:hAnsi="Palatino Linotype" w:cs="Palatino Linotype"/>
          <w:color w:val="0D0D0D"/>
          <w:sz w:val="22"/>
          <w:szCs w:val="22"/>
        </w:rPr>
      </w:pPr>
    </w:p>
    <w:p w14:paraId="28480E88"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F62470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84CC126" w14:textId="77777777" w:rsidR="000A152D" w:rsidRPr="003370AC" w:rsidRDefault="000248F8">
      <w:pPr>
        <w:spacing w:line="360" w:lineRule="auto"/>
        <w:jc w:val="both"/>
        <w:rPr>
          <w:rFonts w:ascii="Palatino Linotype" w:eastAsia="Palatino Linotype" w:hAnsi="Palatino Linotype" w:cs="Palatino Linotype"/>
          <w:color w:val="0D0D0D"/>
          <w:sz w:val="22"/>
          <w:szCs w:val="22"/>
        </w:rPr>
      </w:pPr>
      <w:r w:rsidRPr="003370AC">
        <w:rPr>
          <w:rFonts w:ascii="Palatino Linotype" w:eastAsia="Palatino Linotype" w:hAnsi="Palatino Linotype" w:cs="Palatino Linotype"/>
          <w:color w:val="0D0D0D"/>
          <w:sz w:val="22"/>
          <w:szCs w:val="22"/>
        </w:rPr>
        <w:t xml:space="preserve">Por tales motivos, se considera procedente entrar al fondo del presente asunto. </w:t>
      </w:r>
    </w:p>
    <w:p w14:paraId="239A995C" w14:textId="77777777" w:rsidR="000A152D" w:rsidRPr="003370AC" w:rsidRDefault="000A152D">
      <w:pPr>
        <w:spacing w:line="360" w:lineRule="auto"/>
        <w:jc w:val="both"/>
        <w:rPr>
          <w:rFonts w:ascii="Palatino Linotype" w:eastAsia="Palatino Linotype" w:hAnsi="Palatino Linotype" w:cs="Palatino Linotype"/>
          <w:color w:val="0D0D0D"/>
          <w:sz w:val="22"/>
          <w:szCs w:val="22"/>
        </w:rPr>
      </w:pPr>
    </w:p>
    <w:p w14:paraId="7CFA2DFE" w14:textId="77777777" w:rsidR="000A152D" w:rsidRPr="003370AC" w:rsidRDefault="000248F8">
      <w:pPr>
        <w:pStyle w:val="Ttulo2"/>
      </w:pPr>
      <w:bookmarkStart w:id="11" w:name="_Toc210314042"/>
      <w:r w:rsidRPr="003370AC">
        <w:t>TERCERO. Determinación de la Controversia</w:t>
      </w:r>
      <w:bookmarkEnd w:id="11"/>
    </w:p>
    <w:p w14:paraId="24C365BB"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77228588"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color w:val="000000"/>
          <w:sz w:val="22"/>
          <w:szCs w:val="22"/>
        </w:rPr>
        <w:t xml:space="preserve">Con el objeto de ilustrar la controversia planteada, resulta conveniente precisar, que una vez realizado el estudio de las constancias que integran el expediente en que se actúa, se desprende que el Particular requirió, al Ayuntamiento de Ixtapaluca, los recibos de nómina de todas las quincenas del año dos mil veinticinco de la Directora de Administración y Recursos Humanos, así como los oficios firmados del mismo periodo. </w:t>
      </w:r>
    </w:p>
    <w:p w14:paraId="0269A101" w14:textId="77777777" w:rsidR="000A152D" w:rsidRPr="003370AC" w:rsidRDefault="000248F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lastRenderedPageBreak/>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29525ABD" w14:textId="77777777" w:rsidR="000A152D" w:rsidRPr="003370AC" w:rsidRDefault="000A152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14:paraId="576FC10E"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w:t>
      </w:r>
      <w:proofErr w:type="spellStart"/>
      <w:r w:rsidRPr="003370AC">
        <w:rPr>
          <w:rFonts w:ascii="Palatino Linotype" w:eastAsia="Palatino Linotype" w:hAnsi="Palatino Linotype" w:cs="Palatino Linotype"/>
          <w:sz w:val="22"/>
          <w:szCs w:val="22"/>
        </w:rPr>
        <w:t>recursal</w:t>
      </w:r>
      <w:proofErr w:type="spellEnd"/>
      <w:r w:rsidRPr="003370AC">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14:paraId="754E0FFF"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4EC8A8A4" w14:textId="77777777" w:rsidR="000A152D" w:rsidRPr="003370AC" w:rsidRDefault="000248F8">
      <w:pPr>
        <w:pStyle w:val="Ttulo2"/>
        <w:jc w:val="both"/>
      </w:pPr>
      <w:bookmarkStart w:id="12" w:name="_Toc210314043"/>
      <w:r w:rsidRPr="003370AC">
        <w:t>CUARTO. Marco normativo aplicable en materia de transparencia y acceso a la información pública</w:t>
      </w:r>
      <w:bookmarkEnd w:id="12"/>
    </w:p>
    <w:p w14:paraId="02FA70E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5CCAE34D"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E7EEB72"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61B6988"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4AC3649"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4DAB6AFB"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lastRenderedPageBreak/>
        <w:t>En ese sentido, la Ley de Transparencia y Acceso a la Información Pública del Estado de México y Municipios (Reglamentaria del artículo 5° de la Constitución Local), establece lo siguiente:</w:t>
      </w:r>
    </w:p>
    <w:p w14:paraId="4433FE91"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9B9E349"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B511C7F"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41BEF7B9"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3247E7"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61FD3EA2"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B58C543"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7947136" w14:textId="77777777" w:rsidR="000A152D" w:rsidRPr="003370AC" w:rsidRDefault="000248F8">
      <w:pPr>
        <w:pStyle w:val="Ttulo2"/>
      </w:pPr>
      <w:bookmarkStart w:id="13" w:name="_Toc210314044"/>
      <w:r w:rsidRPr="003370AC">
        <w:t>QUINTO. Estudio de Fondo</w:t>
      </w:r>
      <w:bookmarkEnd w:id="13"/>
    </w:p>
    <w:p w14:paraId="04C7DE3E"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02A597CA"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Sujeto Obligado, a la solicitud de información.</w:t>
      </w:r>
    </w:p>
    <w:p w14:paraId="25BCDAC1"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5920E4B2"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5DF2758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399489D9" w14:textId="77777777" w:rsidR="000A152D" w:rsidRPr="003370AC" w:rsidRDefault="000248F8">
      <w:pPr>
        <w:numPr>
          <w:ilvl w:val="0"/>
          <w:numId w:val="1"/>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14:paraId="12792BB1" w14:textId="77777777" w:rsidR="000A152D" w:rsidRPr="003370AC" w:rsidRDefault="000A152D">
      <w:pPr>
        <w:spacing w:line="360" w:lineRule="auto"/>
        <w:ind w:left="720"/>
        <w:jc w:val="both"/>
        <w:rPr>
          <w:rFonts w:ascii="Palatino Linotype" w:eastAsia="Palatino Linotype" w:hAnsi="Palatino Linotype" w:cs="Palatino Linotype"/>
          <w:sz w:val="22"/>
          <w:szCs w:val="22"/>
        </w:rPr>
      </w:pPr>
    </w:p>
    <w:p w14:paraId="4D8DE151" w14:textId="77777777" w:rsidR="000A152D" w:rsidRPr="003370AC" w:rsidRDefault="000248F8">
      <w:pPr>
        <w:numPr>
          <w:ilvl w:val="0"/>
          <w:numId w:val="1"/>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Transparentar la gestión pública, mediante la difusión de la información generada por los Sujetos Obligados, y</w:t>
      </w:r>
    </w:p>
    <w:p w14:paraId="5709CD38" w14:textId="77777777" w:rsidR="000A152D" w:rsidRPr="003370AC" w:rsidRDefault="000A152D">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2E12D3A8" w14:textId="77777777" w:rsidR="000A152D" w:rsidRPr="003370AC" w:rsidRDefault="000248F8">
      <w:pPr>
        <w:numPr>
          <w:ilvl w:val="0"/>
          <w:numId w:val="1"/>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14:paraId="234EA69B"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B5A423B"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0AB9491"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016F754B"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F3600A"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32B83667"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00BD96E"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41A14882" w14:textId="77777777" w:rsidR="000A152D" w:rsidRPr="003370AC" w:rsidRDefault="000248F8">
      <w:pPr>
        <w:numPr>
          <w:ilvl w:val="0"/>
          <w:numId w:val="2"/>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36788D4" w14:textId="77777777" w:rsidR="000A152D" w:rsidRPr="003370AC" w:rsidRDefault="000A152D">
      <w:pPr>
        <w:spacing w:line="360" w:lineRule="auto"/>
        <w:ind w:left="720"/>
        <w:jc w:val="both"/>
        <w:rPr>
          <w:rFonts w:ascii="Palatino Linotype" w:eastAsia="Palatino Linotype" w:hAnsi="Palatino Linotype" w:cs="Palatino Linotype"/>
          <w:sz w:val="22"/>
          <w:szCs w:val="22"/>
        </w:rPr>
      </w:pPr>
    </w:p>
    <w:p w14:paraId="15F9128C" w14:textId="77777777" w:rsidR="000A152D" w:rsidRPr="003370AC" w:rsidRDefault="000248F8">
      <w:pPr>
        <w:numPr>
          <w:ilvl w:val="0"/>
          <w:numId w:val="2"/>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F493D0F" w14:textId="77777777" w:rsidR="000A152D" w:rsidRPr="003370AC" w:rsidRDefault="000A152D">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07B824C5" w14:textId="77777777" w:rsidR="000A152D" w:rsidRPr="003370AC" w:rsidRDefault="000248F8">
      <w:pPr>
        <w:numPr>
          <w:ilvl w:val="0"/>
          <w:numId w:val="2"/>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3E675582" w14:textId="77777777" w:rsidR="000A152D" w:rsidRPr="003370AC" w:rsidRDefault="000A152D">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1D48420E" w14:textId="77777777" w:rsidR="000A152D" w:rsidRDefault="000248F8">
      <w:pPr>
        <w:numPr>
          <w:ilvl w:val="0"/>
          <w:numId w:val="2"/>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3370AC">
        <w:rPr>
          <w:rFonts w:ascii="Palatino Linotype" w:eastAsia="Palatino Linotype" w:hAnsi="Palatino Linotype" w:cs="Palatino Linotype"/>
          <w:sz w:val="22"/>
          <w:szCs w:val="22"/>
        </w:rPr>
        <w:lastRenderedPageBreak/>
        <w:t>razonable de la documentación solicitada, con el fin de que proporcionen las expresiones documentales que se encuentren en sus archivos o que estén constreñidos a elaborar;</w:t>
      </w:r>
    </w:p>
    <w:p w14:paraId="42DFAF19" w14:textId="77777777" w:rsidR="003370AC" w:rsidRDefault="003370AC" w:rsidP="003370AC">
      <w:pPr>
        <w:pStyle w:val="Prrafodelista"/>
        <w:rPr>
          <w:rFonts w:ascii="Palatino Linotype" w:eastAsia="Palatino Linotype" w:hAnsi="Palatino Linotype" w:cs="Palatino Linotype"/>
          <w:szCs w:val="22"/>
        </w:rPr>
      </w:pPr>
    </w:p>
    <w:p w14:paraId="781AE727" w14:textId="77777777" w:rsidR="000A152D" w:rsidRPr="003370AC" w:rsidRDefault="000248F8">
      <w:pPr>
        <w:numPr>
          <w:ilvl w:val="0"/>
          <w:numId w:val="2"/>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B22BBBA" w14:textId="77777777" w:rsidR="000A152D" w:rsidRPr="003370AC" w:rsidRDefault="000A152D">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14:paraId="3E88B273" w14:textId="77777777" w:rsidR="000A152D" w:rsidRPr="003370AC" w:rsidRDefault="000248F8">
      <w:pPr>
        <w:numPr>
          <w:ilvl w:val="0"/>
          <w:numId w:val="2"/>
        </w:num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D32C47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3FA8B9AA"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Sujeto Obligado, no había registrado respuesta al requerimiento de acceso a la información, el cual se presentó, el cinco de agosto de dos mil veinticinco.</w:t>
      </w:r>
    </w:p>
    <w:p w14:paraId="46E788D2"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3B78C6DE" w14:textId="77777777" w:rsidR="000A152D" w:rsidRPr="003370AC" w:rsidRDefault="000248F8">
      <w:pPr>
        <w:spacing w:line="360" w:lineRule="auto"/>
        <w:jc w:val="both"/>
        <w:rPr>
          <w:rFonts w:ascii="Palatino Linotype" w:eastAsia="Palatino Linotype" w:hAnsi="Palatino Linotype" w:cs="Palatino Linotype"/>
          <w:sz w:val="22"/>
          <w:szCs w:val="22"/>
        </w:rPr>
      </w:pPr>
      <w:bookmarkStart w:id="14" w:name="_heading=h.n3qqxsz65ee5" w:colFirst="0" w:colLast="0"/>
      <w:bookmarkEnd w:id="14"/>
      <w:r w:rsidRPr="003370AC">
        <w:rPr>
          <w:rFonts w:ascii="Palatino Linotype" w:eastAsia="Palatino Linotype" w:hAnsi="Palatino Linotype" w:cs="Palatino Linotype"/>
          <w:sz w:val="22"/>
          <w:szCs w:val="22"/>
        </w:rPr>
        <w:t xml:space="preserve">En ese orden de ideas, el plazo con el que contaba el Sujeto Obligado para emitir contestación al requerimiento informativo comenzó a correr el seis de agosto de dos mil veinticinco y feneció el veintisiete de agosto de dos mil veinticinco; lo anterior, sin contar los nueve, diez, dieciséis, diecisiete, veintitrés y veinticuatro de agosto, de dos mil veinticinco, al ser inhábiles, de conformidad con el artículo, 3°, fracción X, de la Ley de Transparencia y Acceso a la </w:t>
      </w:r>
      <w:r w:rsidRPr="003370AC">
        <w:rPr>
          <w:rFonts w:ascii="Palatino Linotype" w:eastAsia="Palatino Linotype" w:hAnsi="Palatino Linotype" w:cs="Palatino Linotype"/>
          <w:sz w:val="22"/>
          <w:szCs w:val="22"/>
        </w:rPr>
        <w:lastRenderedPageBreak/>
        <w:t>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14:paraId="2371FFA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676A5F32"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14:paraId="76D2E8B6"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4368F5F" w14:textId="77777777" w:rsidR="000A152D" w:rsidRPr="003370AC" w:rsidRDefault="000248F8">
      <w:pPr>
        <w:spacing w:line="360" w:lineRule="auto"/>
        <w:jc w:val="center"/>
      </w:pPr>
      <w:r w:rsidRPr="003370AC">
        <w:rPr>
          <w:noProof/>
        </w:rPr>
        <w:drawing>
          <wp:inline distT="0" distB="0" distL="0" distR="0" wp14:anchorId="232C82DD" wp14:editId="49CA08BE">
            <wp:extent cx="1828800" cy="16002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9"/>
                    <a:srcRect b="39109"/>
                    <a:stretch/>
                  </pic:blipFill>
                  <pic:spPr bwMode="auto">
                    <a:xfrm>
                      <a:off x="0" y="0"/>
                      <a:ext cx="1829061" cy="1600428"/>
                    </a:xfrm>
                    <a:prstGeom prst="rect">
                      <a:avLst/>
                    </a:prstGeom>
                    <a:ln>
                      <a:noFill/>
                    </a:ln>
                    <a:extLst>
                      <a:ext uri="{53640926-AAD7-44D8-BBD7-CCE9431645EC}">
                        <a14:shadowObscured xmlns:a14="http://schemas.microsoft.com/office/drawing/2010/main"/>
                      </a:ext>
                    </a:extLst>
                  </pic:spPr>
                </pic:pic>
              </a:graphicData>
            </a:graphic>
          </wp:inline>
        </w:drawing>
      </w:r>
    </w:p>
    <w:p w14:paraId="0C26EFBB"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4CC77F99"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Conforme a lo anterior, se colige que, tal como lo precisó la persona Recurrente, el Sujeto Obligado, no emitió respuesta para dar contestación a la solicitud de acceso a la información pública, dentro de los plazos establecidos en el artículo 163, de la Ley de Transparencia y Acceso a la Información Pública del Estado de México y Municipios, pues tenía hasta el siete de julio de dos mil veinticinco, para realizar dicha situación, por lo que es evidente que el agravio es </w:t>
      </w:r>
      <w:r w:rsidRPr="003370AC">
        <w:rPr>
          <w:rFonts w:ascii="Palatino Linotype" w:eastAsia="Palatino Linotype" w:hAnsi="Palatino Linotype" w:cs="Palatino Linotype"/>
          <w:b/>
          <w:sz w:val="22"/>
          <w:szCs w:val="22"/>
        </w:rPr>
        <w:t>FUNDADO</w:t>
      </w:r>
      <w:r w:rsidRPr="003370AC">
        <w:rPr>
          <w:rFonts w:ascii="Palatino Linotype" w:eastAsia="Palatino Linotype" w:hAnsi="Palatino Linotype" w:cs="Palatino Linotype"/>
          <w:sz w:val="22"/>
          <w:szCs w:val="22"/>
        </w:rPr>
        <w:t xml:space="preserve">. </w:t>
      </w:r>
    </w:p>
    <w:p w14:paraId="1C76DFEF"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7799504"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Con base en lo expuesto, es procedente </w:t>
      </w:r>
      <w:r w:rsidRPr="003370AC">
        <w:rPr>
          <w:rFonts w:ascii="Palatino Linotype" w:eastAsia="Palatino Linotype" w:hAnsi="Palatino Linotype" w:cs="Palatino Linotype"/>
          <w:b/>
          <w:sz w:val="22"/>
          <w:szCs w:val="22"/>
        </w:rPr>
        <w:t>ORDENAR</w:t>
      </w:r>
      <w:r w:rsidRPr="003370AC">
        <w:rPr>
          <w:rFonts w:ascii="Palatino Linotype" w:eastAsia="Palatino Linotype" w:hAnsi="Palatino Linotype" w:cs="Palatino Linotype"/>
          <w:sz w:val="22"/>
          <w:szCs w:val="22"/>
        </w:rPr>
        <w:t xml:space="preserve"> al Sujeto Obligado, que emita respuesta que a derecho corresponda, a los requerimientos de información; no obstante, para tal circunstancia es necesario contextualizar la solicitud de información.</w:t>
      </w:r>
    </w:p>
    <w:p w14:paraId="39455D36" w14:textId="107CF6E3" w:rsidR="000A152D" w:rsidRPr="003370AC" w:rsidRDefault="000248F8" w:rsidP="003370AC">
      <w:pPr>
        <w:spacing w:line="360" w:lineRule="auto"/>
        <w:jc w:val="both"/>
        <w:rPr>
          <w:rFonts w:ascii="Palatino Linotype" w:eastAsia="Palatino Linotype" w:hAnsi="Palatino Linotype" w:cs="Palatino Linotype"/>
          <w:color w:val="0D0D0D"/>
          <w:sz w:val="22"/>
          <w:szCs w:val="22"/>
        </w:rPr>
      </w:pPr>
      <w:r w:rsidRPr="003370AC">
        <w:rPr>
          <w:rFonts w:ascii="Palatino Linotype" w:eastAsia="Palatino Linotype" w:hAnsi="Palatino Linotype" w:cs="Palatino Linotype"/>
          <w:color w:val="0D0D0D"/>
          <w:sz w:val="22"/>
          <w:szCs w:val="22"/>
        </w:rPr>
        <w:lastRenderedPageBreak/>
        <w:t>Derivado de lo anterior, como se observa el Particular quiere conocer información relacionada con los recibos de nómina y los oficios firmados</w:t>
      </w:r>
      <w:r w:rsidR="003370AC">
        <w:rPr>
          <w:rFonts w:ascii="Palatino Linotype" w:eastAsia="Palatino Linotype" w:hAnsi="Palatino Linotype" w:cs="Palatino Linotype"/>
          <w:color w:val="0D0D0D"/>
          <w:sz w:val="22"/>
          <w:szCs w:val="22"/>
        </w:rPr>
        <w:t>; p</w:t>
      </w:r>
      <w:r w:rsidRPr="003370AC">
        <w:rPr>
          <w:rFonts w:ascii="Palatino Linotype" w:eastAsia="Palatino Linotype" w:hAnsi="Palatino Linotype" w:cs="Palatino Linotype"/>
          <w:sz w:val="22"/>
          <w:szCs w:val="22"/>
        </w:rPr>
        <w:t>or lo que,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3515B417" w14:textId="77777777" w:rsidR="000A152D" w:rsidRPr="003370AC" w:rsidRDefault="000A152D">
      <w:pPr>
        <w:spacing w:line="360" w:lineRule="auto"/>
        <w:ind w:right="-28"/>
        <w:jc w:val="both"/>
        <w:rPr>
          <w:rFonts w:ascii="Palatino Linotype" w:eastAsia="Palatino Linotype" w:hAnsi="Palatino Linotype" w:cs="Palatino Linotype"/>
          <w:sz w:val="22"/>
          <w:szCs w:val="22"/>
        </w:rPr>
      </w:pPr>
    </w:p>
    <w:p w14:paraId="1CAA972C" w14:textId="77777777" w:rsidR="000A152D" w:rsidRPr="003370AC" w:rsidRDefault="000248F8">
      <w:pPr>
        <w:spacing w:line="360" w:lineRule="auto"/>
        <w:ind w:right="-28"/>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7762B08" w14:textId="77777777" w:rsidR="000A152D" w:rsidRPr="003370AC" w:rsidRDefault="000A152D">
      <w:pPr>
        <w:spacing w:line="360" w:lineRule="auto"/>
        <w:ind w:right="-28"/>
        <w:jc w:val="both"/>
        <w:rPr>
          <w:rFonts w:ascii="Palatino Linotype" w:eastAsia="Palatino Linotype" w:hAnsi="Palatino Linotype" w:cs="Palatino Linotype"/>
          <w:sz w:val="22"/>
          <w:szCs w:val="22"/>
        </w:rPr>
      </w:pPr>
    </w:p>
    <w:p w14:paraId="6B5DA6A6"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De la misma manera, el Manual para la Planeación, Programación y presupuesto de egresos Municipal para el ejercicio fiscal dos mil veinticinco, refiere que las remuneraciones consisten en la percepción de un trabajador o atribución monetaria que se da en pago por su servicio o actividad.</w:t>
      </w:r>
    </w:p>
    <w:p w14:paraId="02CF18DB"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5DF9486C"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5C4049"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511B1453"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Además, respecto al documento requerido, el Glosario localizado en la página de Transparencia Presupuestaria de la Secretaría de Hacienda y Crédito Público </w:t>
      </w:r>
      <w:r w:rsidRPr="003370AC">
        <w:rPr>
          <w:rFonts w:ascii="Palatino Linotype" w:eastAsia="Palatino Linotype" w:hAnsi="Palatino Linotype" w:cs="Palatino Linotype"/>
          <w:sz w:val="22"/>
          <w:szCs w:val="22"/>
        </w:rPr>
        <w:lastRenderedPageBreak/>
        <w:t>(</w:t>
      </w:r>
      <w:hyperlink r:id="rId10">
        <w:r w:rsidRPr="003370AC">
          <w:rPr>
            <w:rFonts w:ascii="Palatino Linotype" w:eastAsia="Palatino Linotype" w:hAnsi="Palatino Linotype" w:cs="Palatino Linotype"/>
            <w:color w:val="0000FF"/>
            <w:sz w:val="22"/>
            <w:szCs w:val="22"/>
            <w:u w:val="single"/>
          </w:rPr>
          <w:t>http://www.transparenciapresupuestaria.gob.mx/es/PTP/Glosario</w:t>
        </w:r>
      </w:hyperlink>
      <w:r w:rsidRPr="003370AC">
        <w:rPr>
          <w:rFonts w:ascii="Palatino Linotype" w:eastAsia="Palatino Linotype" w:hAnsi="Palatino Linotype" w:cs="Palatino Linotype"/>
          <w:sz w:val="22"/>
          <w:szCs w:val="22"/>
        </w:rPr>
        <w:t xml:space="preserve">), establece que la </w:t>
      </w:r>
      <w:r w:rsidRPr="003370AC">
        <w:rPr>
          <w:rFonts w:ascii="Palatino Linotype" w:eastAsia="Palatino Linotype" w:hAnsi="Palatino Linotype" w:cs="Palatino Linotype"/>
          <w:b/>
          <w:sz w:val="22"/>
          <w:szCs w:val="22"/>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6E78BE5"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4BEE9E91"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3370AC">
          <w:rPr>
            <w:rFonts w:ascii="Palatino Linotype" w:eastAsia="Palatino Linotype" w:hAnsi="Palatino Linotype" w:cs="Palatino Linotype"/>
            <w:color w:val="0000FF"/>
            <w:sz w:val="22"/>
            <w:szCs w:val="22"/>
            <w:u w:val="single"/>
          </w:rPr>
          <w:t>http://www.apartados.hacienda.gob.mx/contabilidad/documentos/informe_cuenta/1998/cuenta_pública/Glosario/n.htm</w:t>
        </w:r>
      </w:hyperlink>
      <w:r w:rsidRPr="003370AC">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 Conforme a lo anterior, se puede advertir que la nómina se puede referir a lo siguiente:</w:t>
      </w:r>
    </w:p>
    <w:p w14:paraId="1C45FA5E"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43A2ABE2" w14:textId="77777777" w:rsidR="000A152D" w:rsidRPr="003370AC" w:rsidRDefault="000248F8">
      <w:pPr>
        <w:numPr>
          <w:ilvl w:val="0"/>
          <w:numId w:val="3"/>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Relación de trabajadores con las percepciones monetarias de cada uno. </w:t>
      </w:r>
    </w:p>
    <w:p w14:paraId="52A8DEBB" w14:textId="77777777" w:rsidR="000A152D" w:rsidRPr="003370AC" w:rsidRDefault="000248F8">
      <w:pPr>
        <w:numPr>
          <w:ilvl w:val="0"/>
          <w:numId w:val="3"/>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b/>
          <w:color w:val="000000"/>
          <w:sz w:val="22"/>
          <w:szCs w:val="22"/>
          <w:u w:val="single"/>
        </w:rPr>
      </w:pPr>
      <w:r w:rsidRPr="003370AC">
        <w:rPr>
          <w:rFonts w:ascii="Palatino Linotype" w:eastAsia="Palatino Linotype" w:hAnsi="Palatino Linotype" w:cs="Palatino Linotype"/>
          <w:b/>
          <w:color w:val="000000"/>
          <w:sz w:val="22"/>
          <w:szCs w:val="22"/>
          <w:u w:val="single"/>
        </w:rPr>
        <w:t>Recibo individual que contiene las prestaciones y deducciones de un trabajador.</w:t>
      </w:r>
    </w:p>
    <w:p w14:paraId="33759FC6" w14:textId="77777777" w:rsidR="000A152D" w:rsidRPr="003370AC" w:rsidRDefault="000248F8">
      <w:pPr>
        <w:numPr>
          <w:ilvl w:val="0"/>
          <w:numId w:val="3"/>
        </w:numPr>
        <w:pBdr>
          <w:top w:val="nil"/>
          <w:left w:val="nil"/>
          <w:bottom w:val="nil"/>
          <w:right w:val="nil"/>
          <w:between w:val="nil"/>
        </w:pBdr>
        <w:tabs>
          <w:tab w:val="left" w:pos="4962"/>
        </w:tabs>
        <w:spacing w:line="360" w:lineRule="auto"/>
        <w:ind w:left="709"/>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Listado general de los servidores públicos de una institución o dependencia, en el cual se asientan las percepciones brutas, deducciones y alcance neto de las mismas.</w:t>
      </w:r>
    </w:p>
    <w:p w14:paraId="427F41BA"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27094B66" w14:textId="77777777" w:rsidR="000A152D" w:rsidRPr="003370AC" w:rsidRDefault="000248F8">
      <w:pPr>
        <w:tabs>
          <w:tab w:val="left" w:pos="4962"/>
        </w:tabs>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En ese orden de ideas, los Lineamientos para la integración y presentación de los Informes Trimestrales Estatales y Municipales del Ejercicio Fiscal 2025, establecen que el Sujeto Obligado deberá entregar al Órgano Superior de Fiscalización, la Conciliación de Nómina (1 y 2), en donde se encuentran los comprobantes fiscales digitales, por concepto de pago de nómina.</w:t>
      </w:r>
    </w:p>
    <w:p w14:paraId="2A9E3ED4"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13DD1C64" w14:textId="77777777" w:rsidR="000A152D"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lastRenderedPageBreak/>
        <w:t xml:space="preserve">En lo que respecta a los oficios, es conviene señalar que los </w:t>
      </w:r>
      <w:r w:rsidRPr="003370AC">
        <w:rPr>
          <w:rFonts w:ascii="Palatino Linotype" w:eastAsia="Palatino Linotype" w:hAnsi="Palatino Linotype" w:cs="Palatino Linotype"/>
          <w:b/>
          <w:i/>
          <w:sz w:val="22"/>
          <w:szCs w:val="22"/>
        </w:rPr>
        <w:t>oficios</w:t>
      </w:r>
      <w:r w:rsidRPr="003370AC">
        <w:rPr>
          <w:rFonts w:ascii="Palatino Linotype" w:eastAsia="Palatino Linotype" w:hAnsi="Palatino Linotype" w:cs="Palatino Linotype"/>
          <w:sz w:val="22"/>
          <w:szCs w:val="22"/>
        </w:rPr>
        <w:t xml:space="preserve">, son ampliamente conocidos como instrumentos de comunicación entre autoridades o dependencias, que permiten llevar a cabo distintas gestiones para el cumplimiento de sus distintas funciones y se tratan de documentos que el Sujeto Obligado debe poner a disposición de la ciudadanía cuando estos versen sobre en ejercicio de sus funciones. </w:t>
      </w:r>
    </w:p>
    <w:p w14:paraId="2BA666D7" w14:textId="77777777" w:rsidR="003370AC" w:rsidRPr="003370AC" w:rsidRDefault="003370AC">
      <w:pPr>
        <w:spacing w:line="360" w:lineRule="auto"/>
        <w:jc w:val="both"/>
        <w:rPr>
          <w:rFonts w:ascii="Palatino Linotype" w:eastAsia="Palatino Linotype" w:hAnsi="Palatino Linotype" w:cs="Palatino Linotype"/>
          <w:i/>
          <w:sz w:val="22"/>
          <w:szCs w:val="22"/>
        </w:rPr>
      </w:pPr>
    </w:p>
    <w:p w14:paraId="2496E5D9"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sidRPr="003370AC">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sidRPr="003370AC">
        <w:rPr>
          <w:rFonts w:ascii="Palatino Linotype" w:eastAsia="Palatino Linotype" w:hAnsi="Palatino Linotype" w:cs="Palatino Linotype"/>
          <w:color w:val="000000"/>
          <w:sz w:val="22"/>
          <w:szCs w:val="22"/>
        </w:rPr>
        <w:t>.</w:t>
      </w:r>
    </w:p>
    <w:p w14:paraId="4BFC6E2D" w14:textId="77777777" w:rsidR="000A152D" w:rsidRPr="003370AC" w:rsidRDefault="000A152D">
      <w:pPr>
        <w:tabs>
          <w:tab w:val="left" w:pos="4962"/>
        </w:tabs>
        <w:spacing w:line="360" w:lineRule="auto"/>
        <w:jc w:val="both"/>
        <w:rPr>
          <w:rFonts w:ascii="Palatino Linotype" w:eastAsia="Palatino Linotype" w:hAnsi="Palatino Linotype" w:cs="Palatino Linotype"/>
          <w:sz w:val="22"/>
          <w:szCs w:val="22"/>
        </w:rPr>
      </w:pPr>
    </w:p>
    <w:p w14:paraId="2E1BA4F7" w14:textId="77777777" w:rsidR="000A152D" w:rsidRPr="003370AC" w:rsidRDefault="000248F8">
      <w:pPr>
        <w:spacing w:line="360" w:lineRule="auto"/>
        <w:jc w:val="both"/>
        <w:rPr>
          <w:rFonts w:ascii="Palatino Linotype" w:eastAsia="Palatino Linotype" w:hAnsi="Palatino Linotype" w:cs="Palatino Linotype"/>
          <w:sz w:val="22"/>
          <w:szCs w:val="22"/>
        </w:rPr>
      </w:pPr>
      <w:bookmarkStart w:id="15" w:name="_heading=h.cay94yhmxwdk" w:colFirst="0" w:colLast="0"/>
      <w:bookmarkEnd w:id="15"/>
      <w:r w:rsidRPr="003370AC">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59471CB"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5ADE5F52"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1FFBC041"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80B53EF" w14:textId="77777777" w:rsidR="000A152D" w:rsidRPr="003370AC" w:rsidRDefault="000248F8">
      <w:pPr>
        <w:pStyle w:val="Ttulo2"/>
      </w:pPr>
      <w:bookmarkStart w:id="16" w:name="_Toc210314045"/>
      <w:r w:rsidRPr="003370AC">
        <w:lastRenderedPageBreak/>
        <w:t>SEXTO. Decisión</w:t>
      </w:r>
      <w:bookmarkEnd w:id="16"/>
    </w:p>
    <w:p w14:paraId="059FB4E5"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5AEB6A17"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sidRPr="003370AC">
        <w:rPr>
          <w:rFonts w:ascii="Palatino Linotype" w:eastAsia="Palatino Linotype" w:hAnsi="Palatino Linotype" w:cs="Palatino Linotype"/>
          <w:b/>
          <w:sz w:val="22"/>
          <w:szCs w:val="22"/>
        </w:rPr>
        <w:t>ORDENAR</w:t>
      </w:r>
      <w:r w:rsidRPr="003370AC">
        <w:rPr>
          <w:rFonts w:ascii="Palatino Linotype" w:eastAsia="Palatino Linotype" w:hAnsi="Palatino Linotype" w:cs="Palatino Linotype"/>
          <w:sz w:val="22"/>
          <w:szCs w:val="22"/>
        </w:rPr>
        <w:t xml:space="preserve"> al Sujeto Obligado, a que dé trámite y respuesta a la solicitud de información pública con número</w:t>
      </w:r>
      <w:r w:rsidRPr="003370AC">
        <w:rPr>
          <w:rFonts w:ascii="Palatino Linotype" w:eastAsia="Palatino Linotype" w:hAnsi="Palatino Linotype" w:cs="Palatino Linotype"/>
          <w:color w:val="000000"/>
          <w:sz w:val="22"/>
          <w:szCs w:val="22"/>
        </w:rPr>
        <w:t xml:space="preserve"> 00192/IXTAPALU/IP/2025.</w:t>
      </w:r>
    </w:p>
    <w:p w14:paraId="1451D757"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2BED60F" w14:textId="77777777" w:rsidR="000A152D" w:rsidRPr="003370AC" w:rsidRDefault="000248F8">
      <w:pPr>
        <w:pStyle w:val="Ttulo2"/>
      </w:pPr>
      <w:bookmarkStart w:id="17" w:name="_Toc210314046"/>
      <w:r w:rsidRPr="003370AC">
        <w:t>SÉPTIMO. Vista a la Secretaría Técnica del Pleno</w:t>
      </w:r>
      <w:bookmarkEnd w:id="17"/>
    </w:p>
    <w:p w14:paraId="0E26D2CC"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02718B51" w14:textId="77777777" w:rsidR="000A152D" w:rsidRPr="003370AC" w:rsidRDefault="000248F8">
      <w:pPr>
        <w:spacing w:line="360" w:lineRule="auto"/>
        <w:ind w:right="-93"/>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En el caso en estudio, como ha quedado señalado que el Ayuntamiento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58FA6689" w14:textId="77777777" w:rsidR="000A152D" w:rsidRPr="003370AC" w:rsidRDefault="000A152D">
      <w:pPr>
        <w:spacing w:line="360" w:lineRule="auto"/>
        <w:ind w:right="-93"/>
        <w:jc w:val="both"/>
        <w:rPr>
          <w:rFonts w:ascii="Palatino Linotype" w:eastAsia="Palatino Linotype" w:hAnsi="Palatino Linotype" w:cs="Palatino Linotype"/>
          <w:sz w:val="22"/>
          <w:szCs w:val="22"/>
        </w:rPr>
      </w:pPr>
    </w:p>
    <w:p w14:paraId="193C73E2" w14:textId="77777777" w:rsidR="000A152D" w:rsidRPr="003370AC" w:rsidRDefault="000248F8">
      <w:pPr>
        <w:spacing w:line="360" w:lineRule="auto"/>
        <w:ind w:right="-93"/>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F3674FA" w14:textId="77777777" w:rsidR="000A152D" w:rsidRPr="003370AC" w:rsidRDefault="000A152D">
      <w:pPr>
        <w:spacing w:line="360" w:lineRule="auto"/>
        <w:ind w:right="-93"/>
        <w:jc w:val="both"/>
        <w:rPr>
          <w:rFonts w:ascii="Palatino Linotype" w:eastAsia="Palatino Linotype" w:hAnsi="Palatino Linotype" w:cs="Palatino Linotype"/>
          <w:sz w:val="22"/>
          <w:szCs w:val="22"/>
        </w:rPr>
      </w:pPr>
    </w:p>
    <w:p w14:paraId="2732666D" w14:textId="77777777" w:rsidR="000A152D" w:rsidRPr="003370AC" w:rsidRDefault="000248F8">
      <w:pPr>
        <w:spacing w:line="360" w:lineRule="auto"/>
        <w:ind w:right="-93"/>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539021A3" w14:textId="77777777" w:rsidR="000A152D" w:rsidRPr="003370AC" w:rsidRDefault="000A152D">
      <w:pPr>
        <w:spacing w:line="360" w:lineRule="auto"/>
        <w:ind w:right="-93"/>
        <w:jc w:val="both"/>
        <w:rPr>
          <w:rFonts w:ascii="Palatino Linotype" w:eastAsia="Palatino Linotype" w:hAnsi="Palatino Linotype" w:cs="Palatino Linotype"/>
          <w:sz w:val="22"/>
          <w:szCs w:val="22"/>
        </w:rPr>
      </w:pPr>
    </w:p>
    <w:p w14:paraId="5B675356" w14:textId="77777777" w:rsidR="000A152D" w:rsidRPr="003370AC" w:rsidRDefault="000248F8">
      <w:pPr>
        <w:spacing w:line="360" w:lineRule="auto"/>
        <w:ind w:right="-93"/>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5F50461" w14:textId="77777777" w:rsidR="000A152D" w:rsidRPr="003370AC" w:rsidRDefault="000A152D">
      <w:pPr>
        <w:spacing w:line="360" w:lineRule="auto"/>
        <w:ind w:right="-93"/>
        <w:jc w:val="both"/>
        <w:rPr>
          <w:rFonts w:ascii="Palatino Linotype" w:eastAsia="Palatino Linotype" w:hAnsi="Palatino Linotype" w:cs="Palatino Linotype"/>
          <w:sz w:val="22"/>
          <w:szCs w:val="22"/>
        </w:rPr>
      </w:pPr>
    </w:p>
    <w:p w14:paraId="43B5B390" w14:textId="77777777" w:rsidR="000A152D" w:rsidRPr="003370AC" w:rsidRDefault="000248F8">
      <w:pPr>
        <w:spacing w:line="360" w:lineRule="auto"/>
        <w:ind w:right="-93"/>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2CB6693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6CF01F66" w14:textId="77777777" w:rsidR="000A152D" w:rsidRPr="003370AC" w:rsidRDefault="000248F8">
      <w:pPr>
        <w:spacing w:line="360" w:lineRule="auto"/>
        <w:jc w:val="both"/>
        <w:rPr>
          <w:rFonts w:ascii="Palatino Linotype" w:eastAsia="Palatino Linotype" w:hAnsi="Palatino Linotype" w:cs="Palatino Linotype"/>
          <w:b/>
          <w:sz w:val="22"/>
          <w:szCs w:val="22"/>
        </w:rPr>
      </w:pPr>
      <w:r w:rsidRPr="003370AC">
        <w:rPr>
          <w:rFonts w:ascii="Palatino Linotype" w:eastAsia="Palatino Linotype" w:hAnsi="Palatino Linotype" w:cs="Palatino Linotype"/>
          <w:b/>
          <w:sz w:val="22"/>
          <w:szCs w:val="22"/>
        </w:rPr>
        <w:t>Términos de la Resolución para conocimiento del Particular</w:t>
      </w:r>
    </w:p>
    <w:p w14:paraId="52F18EE1" w14:textId="77777777" w:rsidR="000A152D" w:rsidRPr="003370AC" w:rsidRDefault="000A152D">
      <w:pPr>
        <w:spacing w:line="360" w:lineRule="auto"/>
        <w:jc w:val="both"/>
        <w:rPr>
          <w:rFonts w:ascii="Palatino Linotype" w:eastAsia="Palatino Linotype" w:hAnsi="Palatino Linotype" w:cs="Palatino Linotype"/>
          <w:b/>
          <w:sz w:val="22"/>
          <w:szCs w:val="22"/>
        </w:rPr>
      </w:pPr>
    </w:p>
    <w:p w14:paraId="18032D46"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 búsqueda exhaustiva y razonable en sus archivos, y en su caso, entregarle la documentación que corresponda. </w:t>
      </w:r>
    </w:p>
    <w:p w14:paraId="4CECA09C"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CDA53C5"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ECC70E7"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4141A93" w14:textId="77777777" w:rsidR="000A152D" w:rsidRPr="003370AC" w:rsidRDefault="000248F8">
      <w:pPr>
        <w:spacing w:line="360" w:lineRule="auto"/>
        <w:jc w:val="both"/>
        <w:rPr>
          <w:rFonts w:ascii="Palatino Linotype" w:eastAsia="Palatino Linotype" w:hAnsi="Palatino Linotype" w:cs="Palatino Linotype"/>
          <w:color w:val="000000"/>
          <w:sz w:val="22"/>
          <w:szCs w:val="22"/>
        </w:rPr>
      </w:pPr>
      <w:r w:rsidRPr="003370AC">
        <w:rPr>
          <w:rFonts w:ascii="Palatino Linotype" w:eastAsia="Palatino Linotype" w:hAnsi="Palatino Linotype" w:cs="Palatino Linotype"/>
          <w:color w:val="000000"/>
          <w:sz w:val="22"/>
          <w:szCs w:val="22"/>
        </w:rPr>
        <w:t xml:space="preserve">Finalmente, se le informa que la labor de este Instituto de Transparencia, Acceso a la Información Pública y Protección de Datos Personales del Estado de México y Municipios, es </w:t>
      </w:r>
      <w:r w:rsidRPr="003370AC">
        <w:rPr>
          <w:rFonts w:ascii="Palatino Linotype" w:eastAsia="Palatino Linotype" w:hAnsi="Palatino Linotype" w:cs="Palatino Linotype"/>
          <w:color w:val="000000"/>
          <w:sz w:val="22"/>
          <w:szCs w:val="22"/>
        </w:rPr>
        <w:lastRenderedPageBreak/>
        <w:t>apoyar a la población a acceder a la información pública y garantizar la protección de los datos personales.</w:t>
      </w:r>
    </w:p>
    <w:p w14:paraId="624C25E8" w14:textId="77777777" w:rsidR="000A152D" w:rsidRPr="003370AC" w:rsidRDefault="000A152D">
      <w:pPr>
        <w:spacing w:line="360" w:lineRule="auto"/>
        <w:jc w:val="both"/>
        <w:rPr>
          <w:rFonts w:ascii="Palatino Linotype" w:eastAsia="Palatino Linotype" w:hAnsi="Palatino Linotype" w:cs="Palatino Linotype"/>
          <w:color w:val="000000"/>
          <w:sz w:val="22"/>
          <w:szCs w:val="22"/>
        </w:rPr>
      </w:pPr>
    </w:p>
    <w:p w14:paraId="1E573171"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Por lo expuesto y fundado, este Pleno:</w:t>
      </w:r>
    </w:p>
    <w:p w14:paraId="12106EB5"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B73C124"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42C53C13" w14:textId="77777777" w:rsidR="000A152D" w:rsidRPr="003370AC" w:rsidRDefault="000248F8">
      <w:pPr>
        <w:pStyle w:val="Ttulo1"/>
      </w:pPr>
      <w:bookmarkStart w:id="18" w:name="_Toc210314047"/>
      <w:r w:rsidRPr="003370AC">
        <w:t>R E S U E L V E</w:t>
      </w:r>
      <w:bookmarkEnd w:id="18"/>
    </w:p>
    <w:p w14:paraId="239E6F02" w14:textId="77777777" w:rsidR="000A152D" w:rsidRPr="003370AC" w:rsidRDefault="000A152D">
      <w:pPr>
        <w:spacing w:line="360" w:lineRule="auto"/>
        <w:jc w:val="both"/>
        <w:rPr>
          <w:rFonts w:ascii="Palatino Linotype" w:eastAsia="Palatino Linotype" w:hAnsi="Palatino Linotype" w:cs="Palatino Linotype"/>
          <w:b/>
          <w:sz w:val="22"/>
          <w:szCs w:val="22"/>
        </w:rPr>
      </w:pPr>
    </w:p>
    <w:p w14:paraId="10156BDB"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b/>
          <w:sz w:val="22"/>
          <w:szCs w:val="22"/>
        </w:rPr>
        <w:t xml:space="preserve">PRIMERO. </w:t>
      </w:r>
      <w:r w:rsidRPr="003370AC">
        <w:rPr>
          <w:rFonts w:ascii="Palatino Linotype" w:eastAsia="Palatino Linotype" w:hAnsi="Palatino Linotype" w:cs="Palatino Linotype"/>
          <w:sz w:val="22"/>
          <w:szCs w:val="22"/>
        </w:rPr>
        <w:t xml:space="preserve">Resultan </w:t>
      </w:r>
      <w:r w:rsidRPr="003370AC">
        <w:rPr>
          <w:rFonts w:ascii="Palatino Linotype" w:eastAsia="Palatino Linotype" w:hAnsi="Palatino Linotype" w:cs="Palatino Linotype"/>
          <w:b/>
          <w:sz w:val="22"/>
          <w:szCs w:val="22"/>
        </w:rPr>
        <w:t>FUNDADAS</w:t>
      </w:r>
      <w:r w:rsidRPr="003370AC">
        <w:rPr>
          <w:rFonts w:ascii="Palatino Linotype" w:eastAsia="Palatino Linotype" w:hAnsi="Palatino Linotype" w:cs="Palatino Linotype"/>
          <w:sz w:val="22"/>
          <w:szCs w:val="22"/>
        </w:rPr>
        <w:t xml:space="preserve"> las razones o motivos de inconformidad hechos valer por el Particular en el Recurso de Revisión 10201/INFOEM/IP/RR/2025,</w:t>
      </w:r>
      <w:r w:rsidRPr="003370AC">
        <w:rPr>
          <w:rFonts w:ascii="Palatino Linotype" w:eastAsia="Palatino Linotype" w:hAnsi="Palatino Linotype" w:cs="Palatino Linotype"/>
          <w:b/>
          <w:sz w:val="22"/>
          <w:szCs w:val="22"/>
        </w:rPr>
        <w:t xml:space="preserve"> </w:t>
      </w:r>
      <w:r w:rsidRPr="003370AC">
        <w:rPr>
          <w:rFonts w:ascii="Palatino Linotype" w:eastAsia="Palatino Linotype" w:hAnsi="Palatino Linotype" w:cs="Palatino Linotype"/>
          <w:sz w:val="22"/>
          <w:szCs w:val="22"/>
        </w:rPr>
        <w:t>en términos de los considerandos QUINTO y SEXTO de la presente Resolución.</w:t>
      </w:r>
    </w:p>
    <w:p w14:paraId="20D77904"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054A5ABC" w14:textId="77777777" w:rsidR="000A152D" w:rsidRPr="003370AC" w:rsidRDefault="000248F8">
      <w:pPr>
        <w:spacing w:line="360" w:lineRule="auto"/>
        <w:jc w:val="both"/>
        <w:rPr>
          <w:b/>
        </w:rPr>
      </w:pPr>
      <w:r w:rsidRPr="003370AC">
        <w:rPr>
          <w:rFonts w:ascii="Palatino Linotype" w:eastAsia="Palatino Linotype" w:hAnsi="Palatino Linotype" w:cs="Palatino Linotype"/>
          <w:b/>
          <w:sz w:val="22"/>
          <w:szCs w:val="22"/>
        </w:rPr>
        <w:t xml:space="preserve">SEGUNDO. </w:t>
      </w:r>
      <w:r w:rsidRPr="003370AC">
        <w:rPr>
          <w:rFonts w:ascii="Palatino Linotype" w:eastAsia="Palatino Linotype" w:hAnsi="Palatino Linotype" w:cs="Palatino Linotype"/>
          <w:sz w:val="22"/>
          <w:szCs w:val="22"/>
        </w:rPr>
        <w:t>Se</w:t>
      </w:r>
      <w:r w:rsidRPr="003370AC">
        <w:rPr>
          <w:rFonts w:ascii="Palatino Linotype" w:eastAsia="Palatino Linotype" w:hAnsi="Palatino Linotype" w:cs="Palatino Linotype"/>
          <w:b/>
          <w:sz w:val="22"/>
          <w:szCs w:val="22"/>
        </w:rPr>
        <w:t xml:space="preserve"> ORDENA </w:t>
      </w:r>
      <w:r w:rsidRPr="003370AC">
        <w:rPr>
          <w:rFonts w:ascii="Palatino Linotype" w:eastAsia="Palatino Linotype" w:hAnsi="Palatino Linotype" w:cs="Palatino Linotype"/>
          <w:sz w:val="22"/>
          <w:szCs w:val="22"/>
        </w:rPr>
        <w:t>al Sujeto Obligado, a efecto de que dé atención a la solicitud de acceso a la información</w:t>
      </w:r>
      <w:r w:rsidRPr="003370AC">
        <w:rPr>
          <w:rFonts w:ascii="Palatino Linotype" w:eastAsia="Palatino Linotype" w:hAnsi="Palatino Linotype" w:cs="Palatino Linotype"/>
          <w:color w:val="0D0D0D"/>
          <w:sz w:val="22"/>
          <w:szCs w:val="22"/>
        </w:rPr>
        <w:t xml:space="preserve"> </w:t>
      </w:r>
      <w:r w:rsidRPr="003370AC">
        <w:rPr>
          <w:rFonts w:ascii="Palatino Linotype" w:eastAsia="Palatino Linotype" w:hAnsi="Palatino Linotype" w:cs="Palatino Linotype"/>
          <w:color w:val="000000"/>
          <w:sz w:val="22"/>
          <w:szCs w:val="22"/>
        </w:rPr>
        <w:t>00</w:t>
      </w:r>
      <w:r w:rsidRPr="003370AC">
        <w:rPr>
          <w:rFonts w:ascii="Palatino Linotype" w:eastAsia="Palatino Linotype" w:hAnsi="Palatino Linotype" w:cs="Palatino Linotype"/>
          <w:sz w:val="22"/>
          <w:szCs w:val="22"/>
        </w:rPr>
        <w:t>192</w:t>
      </w:r>
      <w:r w:rsidRPr="003370AC">
        <w:rPr>
          <w:rFonts w:ascii="Palatino Linotype" w:eastAsia="Palatino Linotype" w:hAnsi="Palatino Linotype" w:cs="Palatino Linotype"/>
          <w:color w:val="000000"/>
          <w:sz w:val="22"/>
          <w:szCs w:val="22"/>
        </w:rPr>
        <w:t>/</w:t>
      </w:r>
      <w:r w:rsidRPr="003370AC">
        <w:rPr>
          <w:rFonts w:ascii="Palatino Linotype" w:eastAsia="Palatino Linotype" w:hAnsi="Palatino Linotype" w:cs="Palatino Linotype"/>
          <w:sz w:val="22"/>
          <w:szCs w:val="22"/>
        </w:rPr>
        <w:t>IXTAPALU</w:t>
      </w:r>
      <w:r w:rsidRPr="003370AC">
        <w:rPr>
          <w:rFonts w:ascii="Palatino Linotype" w:eastAsia="Palatino Linotype" w:hAnsi="Palatino Linotype" w:cs="Palatino Linotype"/>
          <w:color w:val="000000"/>
          <w:sz w:val="22"/>
          <w:szCs w:val="22"/>
        </w:rPr>
        <w:t>/IP/2025</w:t>
      </w:r>
      <w:r w:rsidRPr="003370AC">
        <w:rPr>
          <w:rFonts w:ascii="Palatino Linotype" w:eastAsia="Palatino Linotype" w:hAnsi="Palatino Linotype" w:cs="Palatino Linotype"/>
          <w:color w:val="0D0D0D"/>
          <w:sz w:val="22"/>
          <w:szCs w:val="22"/>
        </w:rPr>
        <w:t xml:space="preserve">, </w:t>
      </w:r>
      <w:r w:rsidRPr="003370AC">
        <w:rPr>
          <w:rFonts w:ascii="Palatino Linotype" w:eastAsia="Palatino Linotype" w:hAnsi="Palatino Linotype" w:cs="Palatino Linotype"/>
          <w:sz w:val="22"/>
          <w:szCs w:val="22"/>
        </w:rPr>
        <w:t>y a través del SAIMEX, dé la respuesta que conforme a derecho corresponda</w:t>
      </w:r>
      <w:r w:rsidRPr="003370AC">
        <w:rPr>
          <w:b/>
        </w:rPr>
        <w:t xml:space="preserve">. </w:t>
      </w:r>
    </w:p>
    <w:p w14:paraId="10878E54"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3B6BF08D"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b/>
          <w:sz w:val="22"/>
          <w:szCs w:val="22"/>
        </w:rPr>
        <w:t xml:space="preserve">TERCERO. </w:t>
      </w:r>
      <w:r w:rsidRPr="003370AC">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36F8285D"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69315B23"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b/>
          <w:sz w:val="22"/>
          <w:szCs w:val="22"/>
        </w:rPr>
        <w:t>CUARTO.</w:t>
      </w:r>
      <w:r w:rsidRPr="003370AC">
        <w:rPr>
          <w:rFonts w:ascii="Palatino Linotype" w:eastAsia="Palatino Linotype" w:hAnsi="Palatino Linotype" w:cs="Palatino Linotype"/>
          <w:sz w:val="22"/>
          <w:szCs w:val="22"/>
        </w:rPr>
        <w:t xml:space="preserve"> </w:t>
      </w:r>
      <w:r w:rsidRPr="003370AC">
        <w:rPr>
          <w:rFonts w:ascii="Palatino Linotype" w:eastAsia="Palatino Linotype" w:hAnsi="Palatino Linotype" w:cs="Palatino Linotype"/>
          <w:b/>
          <w:sz w:val="22"/>
          <w:szCs w:val="22"/>
        </w:rPr>
        <w:t xml:space="preserve">NOTIFÍQUESE POR SAIMEX </w:t>
      </w:r>
      <w:r w:rsidRPr="003370AC">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3370AC">
        <w:rPr>
          <w:rFonts w:ascii="Palatino Linotype" w:eastAsia="Palatino Linotype" w:hAnsi="Palatino Linotype" w:cs="Palatino Linotype"/>
          <w:sz w:val="22"/>
          <w:szCs w:val="22"/>
        </w:rPr>
        <w:lastRenderedPageBreak/>
        <w:t>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5824860"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121F4B9E"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b/>
          <w:sz w:val="22"/>
          <w:szCs w:val="22"/>
        </w:rPr>
        <w:t>QUINTO. NOTIFÍQUESE</w:t>
      </w:r>
      <w:r w:rsidRPr="003370AC">
        <w:rPr>
          <w:rFonts w:ascii="Palatino Linotype" w:eastAsia="Palatino Linotype" w:hAnsi="Palatino Linotype" w:cs="Palatino Linotype"/>
          <w:sz w:val="22"/>
          <w:szCs w:val="22"/>
        </w:rPr>
        <w:t xml:space="preserve"> </w:t>
      </w:r>
      <w:r w:rsidRPr="003370AC">
        <w:rPr>
          <w:rFonts w:ascii="Palatino Linotype" w:eastAsia="Palatino Linotype" w:hAnsi="Palatino Linotype" w:cs="Palatino Linotype"/>
          <w:b/>
          <w:sz w:val="22"/>
          <w:szCs w:val="22"/>
        </w:rPr>
        <w:t xml:space="preserve">POR SAIMEX, </w:t>
      </w:r>
      <w:r w:rsidRPr="003370AC">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49D7A" w14:textId="77777777" w:rsidR="000A152D" w:rsidRPr="003370AC" w:rsidRDefault="000A152D">
      <w:pPr>
        <w:spacing w:line="360" w:lineRule="auto"/>
        <w:jc w:val="both"/>
        <w:rPr>
          <w:rFonts w:ascii="Palatino Linotype" w:eastAsia="Palatino Linotype" w:hAnsi="Palatino Linotype" w:cs="Palatino Linotype"/>
          <w:sz w:val="22"/>
          <w:szCs w:val="22"/>
        </w:rPr>
      </w:pPr>
    </w:p>
    <w:p w14:paraId="273A2A30" w14:textId="77777777" w:rsidR="000A152D" w:rsidRPr="003370AC"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b/>
          <w:sz w:val="22"/>
          <w:szCs w:val="22"/>
        </w:rPr>
        <w:t>SEXTO.</w:t>
      </w:r>
      <w:r w:rsidRPr="003370AC">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7D71373F" w14:textId="77777777" w:rsidR="000A152D" w:rsidRPr="003370AC" w:rsidRDefault="000A152D">
      <w:pPr>
        <w:spacing w:line="360" w:lineRule="auto"/>
        <w:jc w:val="both"/>
        <w:rPr>
          <w:rFonts w:ascii="Palatino Linotype" w:eastAsia="Palatino Linotype" w:hAnsi="Palatino Linotype" w:cs="Palatino Linotype"/>
          <w:b/>
          <w:sz w:val="22"/>
          <w:szCs w:val="22"/>
        </w:rPr>
      </w:pPr>
    </w:p>
    <w:p w14:paraId="7B61547C" w14:textId="77777777" w:rsidR="000A152D" w:rsidRDefault="000248F8">
      <w:pPr>
        <w:spacing w:line="360" w:lineRule="auto"/>
        <w:jc w:val="both"/>
        <w:rPr>
          <w:rFonts w:ascii="Palatino Linotype" w:eastAsia="Palatino Linotype" w:hAnsi="Palatino Linotype" w:cs="Palatino Linotype"/>
          <w:sz w:val="22"/>
          <w:szCs w:val="22"/>
        </w:rPr>
      </w:pPr>
      <w:r w:rsidRPr="003370AC">
        <w:rPr>
          <w:rFonts w:ascii="Palatino Linotype" w:eastAsia="Palatino Linotype" w:hAnsi="Palatino Linotype" w:cs="Palatino Linotype"/>
          <w:sz w:val="22"/>
          <w:szCs w:val="22"/>
        </w:rPr>
        <w:t>ASÍ LO RESUELVE, POR </w:t>
      </w:r>
      <w:r w:rsidRPr="003370AC">
        <w:rPr>
          <w:rFonts w:ascii="Palatino Linotype" w:eastAsia="Palatino Linotype" w:hAnsi="Palatino Linotype" w:cs="Palatino Linotype"/>
          <w:b/>
          <w:sz w:val="22"/>
          <w:szCs w:val="22"/>
        </w:rPr>
        <w:t>UNANIMIDAD</w:t>
      </w:r>
      <w:r w:rsidRPr="003370AC">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p>
    <w:p w14:paraId="5FF308C3" w14:textId="77777777" w:rsidR="000A152D" w:rsidRDefault="000A152D">
      <w:pPr>
        <w:spacing w:line="360" w:lineRule="auto"/>
      </w:pPr>
    </w:p>
    <w:p w14:paraId="09A41A74" w14:textId="77777777" w:rsidR="000A152D" w:rsidRDefault="000A152D">
      <w:pPr>
        <w:spacing w:line="360" w:lineRule="auto"/>
      </w:pPr>
    </w:p>
    <w:p w14:paraId="7797800C"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0A183723"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5E07E70C"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70378D13"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1E2C0A51"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1A947502"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4C598E50"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22B582EF"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286CC592"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6FE43519"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20D5EFBA"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4A5A7EEC"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0CC40119"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566ADBFF"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5C869D27"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3347C101"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62C4030D" w14:textId="77777777" w:rsidR="000A152D" w:rsidRDefault="000A152D">
      <w:pPr>
        <w:spacing w:line="360" w:lineRule="auto"/>
        <w:jc w:val="both"/>
        <w:rPr>
          <w:rFonts w:ascii="Palatino Linotype" w:eastAsia="Palatino Linotype" w:hAnsi="Palatino Linotype" w:cs="Palatino Linotype"/>
          <w:color w:val="000000"/>
          <w:sz w:val="22"/>
          <w:szCs w:val="22"/>
        </w:rPr>
      </w:pPr>
    </w:p>
    <w:p w14:paraId="14B5F2B3" w14:textId="77777777" w:rsidR="000A152D" w:rsidRDefault="000A152D">
      <w:pPr>
        <w:spacing w:line="360" w:lineRule="auto"/>
        <w:jc w:val="both"/>
        <w:rPr>
          <w:rFonts w:ascii="Palatino Linotype" w:eastAsia="Palatino Linotype" w:hAnsi="Palatino Linotype" w:cs="Palatino Linotype"/>
          <w:color w:val="000000"/>
          <w:sz w:val="22"/>
          <w:szCs w:val="22"/>
        </w:rPr>
      </w:pPr>
    </w:p>
    <w:sectPr w:rsidR="000A152D">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F1B6B" w14:textId="77777777" w:rsidR="00136CD1" w:rsidRDefault="00136CD1">
      <w:r>
        <w:separator/>
      </w:r>
    </w:p>
  </w:endnote>
  <w:endnote w:type="continuationSeparator" w:id="0">
    <w:p w14:paraId="54AA5968" w14:textId="77777777" w:rsidR="00136CD1" w:rsidRDefault="0013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62750" w14:textId="77777777" w:rsidR="000A152D" w:rsidRDefault="000A152D">
    <w:pPr>
      <w:pBdr>
        <w:top w:val="nil"/>
        <w:left w:val="nil"/>
        <w:bottom w:val="nil"/>
        <w:right w:val="nil"/>
        <w:between w:val="nil"/>
      </w:pBdr>
      <w:tabs>
        <w:tab w:val="center" w:pos="4419"/>
        <w:tab w:val="right" w:pos="8838"/>
      </w:tabs>
      <w:jc w:val="right"/>
      <w:rPr>
        <w:color w:val="000000"/>
        <w:sz w:val="26"/>
        <w:szCs w:val="26"/>
      </w:rPr>
    </w:pPr>
  </w:p>
  <w:p w14:paraId="5F0F17C7" w14:textId="77777777" w:rsidR="000A152D" w:rsidRDefault="000248F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33B1">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33B1">
      <w:rPr>
        <w:b/>
        <w:noProof/>
        <w:color w:val="000000"/>
        <w:sz w:val="24"/>
        <w:szCs w:val="24"/>
      </w:rPr>
      <w:t>21</w:t>
    </w:r>
    <w:r>
      <w:rPr>
        <w:b/>
        <w:color w:val="000000"/>
        <w:sz w:val="24"/>
        <w:szCs w:val="24"/>
      </w:rPr>
      <w:fldChar w:fldCharType="end"/>
    </w:r>
  </w:p>
  <w:p w14:paraId="611026D3" w14:textId="77777777" w:rsidR="000A152D" w:rsidRDefault="000A15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6B3FB" w14:textId="77777777" w:rsidR="000A152D" w:rsidRDefault="000A152D">
    <w:pPr>
      <w:pBdr>
        <w:top w:val="nil"/>
        <w:left w:val="nil"/>
        <w:bottom w:val="nil"/>
        <w:right w:val="nil"/>
        <w:between w:val="nil"/>
      </w:pBdr>
      <w:tabs>
        <w:tab w:val="center" w:pos="4419"/>
        <w:tab w:val="right" w:pos="8838"/>
      </w:tabs>
      <w:jc w:val="right"/>
      <w:rPr>
        <w:color w:val="000000"/>
      </w:rPr>
    </w:pPr>
  </w:p>
  <w:p w14:paraId="6F635A0E" w14:textId="77777777" w:rsidR="000A152D" w:rsidRDefault="000248F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333B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333B1">
      <w:rPr>
        <w:b/>
        <w:noProof/>
        <w:color w:val="000000"/>
        <w:sz w:val="24"/>
        <w:szCs w:val="24"/>
      </w:rPr>
      <w:t>21</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9AC02" w14:textId="77777777" w:rsidR="00136CD1" w:rsidRDefault="00136CD1">
      <w:r>
        <w:separator/>
      </w:r>
    </w:p>
  </w:footnote>
  <w:footnote w:type="continuationSeparator" w:id="0">
    <w:p w14:paraId="1D62CAEF" w14:textId="77777777" w:rsidR="00136CD1" w:rsidRDefault="00136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919A" w14:textId="4692DB00" w:rsidR="000A152D" w:rsidRDefault="00136CD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r>
      <w:rPr>
        <w:rFonts w:ascii="Garamond" w:eastAsia="Garamond" w:hAnsi="Garamond" w:cs="Garamond"/>
        <w:color w:val="000000"/>
        <w:sz w:val="16"/>
        <w:szCs w:val="16"/>
      </w:rPr>
      <w:pict w14:anchorId="3574C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6.4pt;margin-top:-12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a"/>
      <w:tblW w:w="8222" w:type="dxa"/>
      <w:tblInd w:w="2552" w:type="dxa"/>
      <w:tblLayout w:type="fixed"/>
      <w:tblLook w:val="0400" w:firstRow="0" w:lastRow="0" w:firstColumn="0" w:lastColumn="0" w:noHBand="0" w:noVBand="1"/>
    </w:tblPr>
    <w:tblGrid>
      <w:gridCol w:w="8222"/>
    </w:tblGrid>
    <w:tr w:rsidR="000A152D" w14:paraId="257E12E6" w14:textId="77777777">
      <w:trPr>
        <w:trHeight w:val="1412"/>
      </w:trPr>
      <w:tc>
        <w:tcPr>
          <w:tcW w:w="8222" w:type="dxa"/>
          <w:shd w:val="clear" w:color="auto" w:fill="auto"/>
        </w:tcPr>
        <w:p w14:paraId="32596E81" w14:textId="77777777" w:rsidR="000A152D" w:rsidRDefault="000A152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700" w:type="dxa"/>
            <w:tblInd w:w="874"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0A152D" w14:paraId="355821B1" w14:textId="77777777" w:rsidTr="00FB4BCD">
            <w:trPr>
              <w:trHeight w:val="144"/>
            </w:trPr>
            <w:tc>
              <w:tcPr>
                <w:tcW w:w="2552" w:type="dxa"/>
              </w:tcPr>
              <w:p w14:paraId="2BF10F20"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8" w:type="dxa"/>
              </w:tcPr>
              <w:p w14:paraId="59DE044F"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10201/INFOEM/IP/RR/2025</w:t>
                </w:r>
              </w:p>
            </w:tc>
          </w:tr>
          <w:tr w:rsidR="000A152D" w14:paraId="55DBDA97" w14:textId="77777777" w:rsidTr="00FB4BCD">
            <w:trPr>
              <w:trHeight w:val="144"/>
            </w:trPr>
            <w:tc>
              <w:tcPr>
                <w:tcW w:w="2552" w:type="dxa"/>
              </w:tcPr>
              <w:p w14:paraId="111158B9"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8" w:type="dxa"/>
              </w:tcPr>
              <w:p w14:paraId="61856761"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Ixtapaluca</w:t>
                </w:r>
              </w:p>
            </w:tc>
          </w:tr>
          <w:tr w:rsidR="000A152D" w14:paraId="2DBC33DB" w14:textId="77777777" w:rsidTr="00FB4BCD">
            <w:trPr>
              <w:trHeight w:val="138"/>
            </w:trPr>
            <w:tc>
              <w:tcPr>
                <w:tcW w:w="2552" w:type="dxa"/>
              </w:tcPr>
              <w:p w14:paraId="6E5DB156"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8" w:type="dxa"/>
              </w:tcPr>
              <w:p w14:paraId="1B693252"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81E17A6" w14:textId="77777777" w:rsidR="000A152D" w:rsidRDefault="000A152D">
          <w:pPr>
            <w:tabs>
              <w:tab w:val="right" w:pos="8838"/>
            </w:tabs>
            <w:ind w:left="-28"/>
            <w:jc w:val="both"/>
            <w:rPr>
              <w:rFonts w:ascii="Arial" w:eastAsia="Arial" w:hAnsi="Arial" w:cs="Arial"/>
              <w:b/>
              <w:sz w:val="22"/>
              <w:szCs w:val="22"/>
            </w:rPr>
          </w:pPr>
        </w:p>
      </w:tc>
    </w:tr>
  </w:tbl>
  <w:p w14:paraId="70A7C1FE" w14:textId="13EEADEB" w:rsidR="000A152D" w:rsidRDefault="000A152D">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3853" w14:textId="77777777" w:rsidR="000A152D" w:rsidRDefault="00136CD1">
    <w:r>
      <w:rPr>
        <w:rFonts w:ascii="Palatino Linotype" w:eastAsia="Palatino Linotype" w:hAnsi="Palatino Linotype" w:cs="Palatino Linotype"/>
        <w:b/>
        <w:sz w:val="22"/>
        <w:szCs w:val="22"/>
      </w:rPr>
      <w:pict w14:anchorId="5AFB9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MARCA DE AGUA - HOJA RESOLUCIÓN" style="position:absolute;margin-left:-79.7pt;margin-top:-124.7pt;width:663.5pt;height:12in;z-index:-251659264;mso-position-horizontal:absolute;mso-position-horizontal-relative:margin;mso-position-vertical:absolute;mso-position-vertical-relative:margin">
          <v:imagedata r:id="rId1" o:title="image2"/>
          <w10:wrap anchorx="margin" anchory="margin"/>
        </v:shape>
      </w:pict>
    </w:r>
  </w:p>
  <w:tbl>
    <w:tblPr>
      <w:tblStyle w:val="a1"/>
      <w:tblpPr w:leftFromText="141" w:rightFromText="141" w:vertAnchor="page" w:horzAnchor="margin" w:tblpY="556"/>
      <w:tblW w:w="1006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2405"/>
      <w:gridCol w:w="4257"/>
    </w:tblGrid>
    <w:tr w:rsidR="000A152D" w14:paraId="5822DBE6" w14:textId="77777777">
      <w:trPr>
        <w:trHeight w:val="466"/>
      </w:trPr>
      <w:tc>
        <w:tcPr>
          <w:tcW w:w="3402" w:type="dxa"/>
          <w:vAlign w:val="bottom"/>
        </w:tcPr>
        <w:p w14:paraId="2D2E7509" w14:textId="77777777" w:rsidR="000A152D" w:rsidRDefault="000A152D">
          <w:pPr>
            <w:tabs>
              <w:tab w:val="right" w:pos="8838"/>
            </w:tabs>
            <w:ind w:right="-105"/>
            <w:rPr>
              <w:rFonts w:ascii="Palatino Linotype" w:eastAsia="Palatino Linotype" w:hAnsi="Palatino Linotype" w:cs="Palatino Linotype"/>
              <w:b/>
              <w:sz w:val="22"/>
              <w:szCs w:val="22"/>
            </w:rPr>
          </w:pPr>
        </w:p>
      </w:tc>
      <w:tc>
        <w:tcPr>
          <w:tcW w:w="2405" w:type="dxa"/>
          <w:vAlign w:val="bottom"/>
        </w:tcPr>
        <w:p w14:paraId="6A4CAC8A" w14:textId="77777777" w:rsidR="000A152D" w:rsidRDefault="000248F8">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7" w:type="dxa"/>
          <w:vAlign w:val="bottom"/>
        </w:tcPr>
        <w:p w14:paraId="1A8414E9" w14:textId="77777777" w:rsidR="000A152D" w:rsidRDefault="000248F8">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19" w:name="_heading=h.qmnudxgu17hz" w:colFirst="0" w:colLast="0"/>
          <w:bookmarkEnd w:id="19"/>
          <w:r>
            <w:rPr>
              <w:rFonts w:ascii="Palatino Linotype" w:eastAsia="Palatino Linotype" w:hAnsi="Palatino Linotype" w:cs="Palatino Linotype"/>
              <w:sz w:val="22"/>
              <w:szCs w:val="22"/>
            </w:rPr>
            <w:t>10201/INFOEM/IP/RR/2025</w:t>
          </w:r>
        </w:p>
      </w:tc>
    </w:tr>
    <w:tr w:rsidR="000A152D" w14:paraId="33038F62" w14:textId="77777777">
      <w:trPr>
        <w:trHeight w:val="119"/>
      </w:trPr>
      <w:tc>
        <w:tcPr>
          <w:tcW w:w="3402" w:type="dxa"/>
        </w:tcPr>
        <w:p w14:paraId="4C5AFBAB" w14:textId="77777777" w:rsidR="000A152D" w:rsidRDefault="000A152D">
          <w:pPr>
            <w:tabs>
              <w:tab w:val="right" w:pos="8838"/>
            </w:tabs>
            <w:ind w:right="-105"/>
            <w:rPr>
              <w:rFonts w:ascii="Palatino Linotype" w:eastAsia="Palatino Linotype" w:hAnsi="Palatino Linotype" w:cs="Palatino Linotype"/>
              <w:b/>
              <w:sz w:val="22"/>
              <w:szCs w:val="22"/>
            </w:rPr>
          </w:pPr>
        </w:p>
      </w:tc>
      <w:tc>
        <w:tcPr>
          <w:tcW w:w="2405" w:type="dxa"/>
        </w:tcPr>
        <w:p w14:paraId="5975A54A" w14:textId="77777777" w:rsidR="000A152D" w:rsidRDefault="000248F8">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257" w:type="dxa"/>
        </w:tcPr>
        <w:p w14:paraId="1152DD61" w14:textId="77777777" w:rsidR="000A152D" w:rsidRDefault="000A152D">
          <w:pPr>
            <w:tabs>
              <w:tab w:val="right" w:pos="8838"/>
            </w:tabs>
            <w:spacing w:line="276" w:lineRule="auto"/>
            <w:ind w:right="-246"/>
            <w:jc w:val="both"/>
            <w:rPr>
              <w:rFonts w:ascii="Palatino Linotype" w:eastAsia="Palatino Linotype" w:hAnsi="Palatino Linotype" w:cs="Palatino Linotype"/>
              <w:sz w:val="22"/>
              <w:szCs w:val="22"/>
            </w:rPr>
          </w:pPr>
        </w:p>
      </w:tc>
    </w:tr>
    <w:tr w:rsidR="000A152D" w14:paraId="426DA0B3" w14:textId="77777777">
      <w:trPr>
        <w:trHeight w:val="234"/>
      </w:trPr>
      <w:tc>
        <w:tcPr>
          <w:tcW w:w="3402" w:type="dxa"/>
        </w:tcPr>
        <w:p w14:paraId="2AA05E79" w14:textId="77777777" w:rsidR="000A152D" w:rsidRDefault="000A152D">
          <w:pPr>
            <w:tabs>
              <w:tab w:val="right" w:pos="8838"/>
            </w:tabs>
            <w:ind w:right="-105"/>
            <w:rPr>
              <w:rFonts w:ascii="Palatino Linotype" w:eastAsia="Palatino Linotype" w:hAnsi="Palatino Linotype" w:cs="Palatino Linotype"/>
              <w:b/>
              <w:sz w:val="22"/>
              <w:szCs w:val="22"/>
            </w:rPr>
          </w:pPr>
        </w:p>
      </w:tc>
      <w:tc>
        <w:tcPr>
          <w:tcW w:w="2405" w:type="dxa"/>
        </w:tcPr>
        <w:p w14:paraId="65550073" w14:textId="77777777" w:rsidR="000A152D" w:rsidRDefault="000248F8">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7" w:type="dxa"/>
        </w:tcPr>
        <w:p w14:paraId="08FF3A56" w14:textId="77777777" w:rsidR="000A152D" w:rsidRDefault="000248F8">
          <w:pPr>
            <w:tabs>
              <w:tab w:val="right" w:pos="8838"/>
            </w:tabs>
            <w:spacing w:line="276" w:lineRule="auto"/>
            <w:ind w:right="88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Ixtapaluca</w:t>
          </w:r>
        </w:p>
      </w:tc>
    </w:tr>
    <w:tr w:rsidR="000A152D" w14:paraId="6883276F" w14:textId="77777777">
      <w:trPr>
        <w:trHeight w:val="234"/>
      </w:trPr>
      <w:tc>
        <w:tcPr>
          <w:tcW w:w="3402" w:type="dxa"/>
        </w:tcPr>
        <w:p w14:paraId="02BADA5C" w14:textId="77777777" w:rsidR="000A152D" w:rsidRDefault="000A152D">
          <w:pPr>
            <w:tabs>
              <w:tab w:val="right" w:pos="8838"/>
            </w:tabs>
            <w:ind w:right="-105"/>
            <w:rPr>
              <w:rFonts w:ascii="Palatino Linotype" w:eastAsia="Palatino Linotype" w:hAnsi="Palatino Linotype" w:cs="Palatino Linotype"/>
              <w:b/>
              <w:sz w:val="22"/>
              <w:szCs w:val="22"/>
            </w:rPr>
          </w:pPr>
        </w:p>
      </w:tc>
      <w:tc>
        <w:tcPr>
          <w:tcW w:w="2405" w:type="dxa"/>
        </w:tcPr>
        <w:p w14:paraId="55579B0A" w14:textId="77777777" w:rsidR="000A152D" w:rsidRDefault="000248F8">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257" w:type="dxa"/>
        </w:tcPr>
        <w:p w14:paraId="1CE3C181" w14:textId="77777777" w:rsidR="000A152D" w:rsidRDefault="000248F8">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0A8CC8A9" w14:textId="77777777" w:rsidR="000A152D" w:rsidRDefault="000A152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F1204"/>
    <w:multiLevelType w:val="multilevel"/>
    <w:tmpl w:val="B3FEB61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0C524A"/>
    <w:multiLevelType w:val="multilevel"/>
    <w:tmpl w:val="538A4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AD71A3"/>
    <w:multiLevelType w:val="multilevel"/>
    <w:tmpl w:val="AC1E6A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2D"/>
    <w:rsid w:val="000248F8"/>
    <w:rsid w:val="000A152D"/>
    <w:rsid w:val="00136CD1"/>
    <w:rsid w:val="003370AC"/>
    <w:rsid w:val="007C2A5B"/>
    <w:rsid w:val="00A245E8"/>
    <w:rsid w:val="00A333B1"/>
    <w:rsid w:val="00C61F2D"/>
    <w:rsid w:val="00CE2153"/>
    <w:rsid w:val="00FB4B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A669B6E"/>
  <w15:docId w15:val="{DBCAA3A1-2AB5-4F9F-AA3A-6BB63008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uiPriority w:val="9"/>
    <w:unhideWhenUsed/>
    <w:qFormat/>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uiPriority w:val="11"/>
    <w:qFormat/>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C3%BAblica/Glosario/n.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ransparenciapresupuestaria.gob.mx/es/PTP/Glosari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2ysxELTNKEJOc6Ec+ZvlY1rAag==">CgMxLjAyDmguNTFvMmxmc2F3cTR1Mg5oLnJtejkyN2F4aG14NDIOaC5ndW1hc2F0em43aWcyDmgudDh4aDR4MnNtOTJiMg5oLmJlNW5icWs4MDUwdDIOaC5jbnpvNG5wN3BndjYyDmguOHAzM29qd2lyeWlsMg5oLnI2YzlwbWZveXlyYTIOaC5jbWxpNXh1a3phb2YyDmgubHh1ZGMwdXRxbWl1Mg5oLndmZHcxdm10aGF4ZTIOaC5mcHZjNnRmOGhzM3IyDmgub3k5enQ2NzN2eG05Mg5oLm4zcXF4c3o2NWVlNTIOaC5jYXk5NHlobXh3ZGsyDmguZ3FpOGEzeXAzNGJtMg1oLm5nOGt3a2U4OW91Mg5oLmVpcWd3ZjF3bzJuZjIOaC5xbW51ZHhndTE3aHo4AHIhMUtzLUpjcVZJXzlrTWxMdjBkUy1iXzg4ZGVfN2JQM3M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D2FC6F-19C8-4F00-9636-2D4BE8F77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4868</Words>
  <Characters>26780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2025-10-03T15:14:00Z</cp:lastPrinted>
  <dcterms:created xsi:type="dcterms:W3CDTF">2025-10-03T15:14:00Z</dcterms:created>
  <dcterms:modified xsi:type="dcterms:W3CDTF">2025-10-03T15:15:00Z</dcterms:modified>
</cp:coreProperties>
</file>