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6B8" w:rsidRPr="00244B85" w:rsidRDefault="003966B8" w:rsidP="003966B8">
      <w:pPr>
        <w:spacing w:line="360" w:lineRule="auto"/>
        <w:ind w:right="-592"/>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w:t>
      </w:r>
      <w:r w:rsidR="00BF2093" w:rsidRPr="00244B85">
        <w:rPr>
          <w:rFonts w:ascii="Palatino Linotype" w:eastAsia="Palatino Linotype" w:hAnsi="Palatino Linotype" w:cs="Palatino Linotype"/>
          <w:sz w:val="22"/>
          <w:szCs w:val="22"/>
        </w:rPr>
        <w:t>pec, Estado de México; de fecha</w:t>
      </w:r>
      <w:r w:rsidRPr="00244B85">
        <w:rPr>
          <w:rFonts w:ascii="Palatino Linotype" w:eastAsia="Palatino Linotype" w:hAnsi="Palatino Linotype" w:cs="Palatino Linotype"/>
          <w:sz w:val="22"/>
          <w:szCs w:val="22"/>
        </w:rPr>
        <w:t xml:space="preserve"> veintiséis de febrero de dos mil veinticinco. </w:t>
      </w:r>
    </w:p>
    <w:p w:rsidR="003966B8" w:rsidRPr="00244B85" w:rsidRDefault="003966B8" w:rsidP="003966B8">
      <w:pPr>
        <w:spacing w:line="360" w:lineRule="auto"/>
        <w:ind w:right="-592"/>
        <w:jc w:val="both"/>
        <w:rPr>
          <w:rFonts w:ascii="Palatino Linotype" w:eastAsia="Palatino Linotype" w:hAnsi="Palatino Linotype" w:cs="Palatino Linotype"/>
          <w:sz w:val="22"/>
          <w:szCs w:val="22"/>
        </w:rPr>
      </w:pPr>
    </w:p>
    <w:p w:rsidR="003966B8" w:rsidRPr="00244B85" w:rsidRDefault="003966B8" w:rsidP="003966B8">
      <w:pPr>
        <w:spacing w:line="360" w:lineRule="auto"/>
        <w:ind w:right="-592"/>
        <w:jc w:val="both"/>
        <w:rPr>
          <w:rFonts w:ascii="Palatino Linotype" w:eastAsia="Palatino Linotype" w:hAnsi="Palatino Linotype" w:cs="Palatino Linotype"/>
          <w:b/>
          <w:sz w:val="22"/>
          <w:szCs w:val="22"/>
        </w:rPr>
      </w:pPr>
      <w:r w:rsidRPr="00244B85">
        <w:rPr>
          <w:rFonts w:ascii="Palatino Linotype" w:eastAsia="Palatino Linotype" w:hAnsi="Palatino Linotype" w:cs="Palatino Linotype"/>
          <w:b/>
          <w:sz w:val="22"/>
          <w:szCs w:val="22"/>
        </w:rPr>
        <w:t>VISTO</w:t>
      </w:r>
      <w:r w:rsidRPr="00244B85">
        <w:rPr>
          <w:rFonts w:ascii="Palatino Linotype" w:eastAsia="Palatino Linotype" w:hAnsi="Palatino Linotype" w:cs="Palatino Linotype"/>
          <w:sz w:val="22"/>
          <w:szCs w:val="22"/>
        </w:rPr>
        <w:t xml:space="preserve"> el expediente electrónico formado con motivo del recurso de revisión </w:t>
      </w:r>
      <w:r w:rsidRPr="00244B85">
        <w:rPr>
          <w:rFonts w:ascii="Palatino Linotype" w:eastAsia="Palatino Linotype" w:hAnsi="Palatino Linotype" w:cs="Palatino Linotype"/>
          <w:b/>
          <w:sz w:val="22"/>
          <w:szCs w:val="22"/>
        </w:rPr>
        <w:t xml:space="preserve">02683/INFOEM/IP/RR/2024, </w:t>
      </w:r>
      <w:r w:rsidRPr="00244B85">
        <w:rPr>
          <w:rFonts w:ascii="Palatino Linotype" w:eastAsia="Palatino Linotype" w:hAnsi="Palatino Linotype" w:cs="Palatino Linotype"/>
          <w:sz w:val="22"/>
          <w:szCs w:val="22"/>
        </w:rPr>
        <w:t xml:space="preserve">promovido por </w:t>
      </w:r>
      <w:r w:rsidR="0054211E">
        <w:rPr>
          <w:rFonts w:ascii="Palatino Linotype" w:eastAsia="Palatino Linotype" w:hAnsi="Palatino Linotype" w:cs="Palatino Linotype"/>
          <w:b/>
          <w:bCs/>
          <w:sz w:val="22"/>
          <w:szCs w:val="22"/>
        </w:rPr>
        <w:t>XXXX</w:t>
      </w:r>
      <w:r w:rsidRPr="00244B85">
        <w:rPr>
          <w:rFonts w:ascii="Palatino Linotype" w:eastAsia="Palatino Linotype" w:hAnsi="Palatino Linotype" w:cs="Palatino Linotype"/>
          <w:sz w:val="22"/>
          <w:szCs w:val="22"/>
        </w:rPr>
        <w:t>, a quien en lo sucesivo se identificará como la</w:t>
      </w:r>
      <w:r w:rsidRPr="00244B85">
        <w:rPr>
          <w:rFonts w:ascii="Palatino Linotype" w:eastAsia="Palatino Linotype" w:hAnsi="Palatino Linotype" w:cs="Palatino Linotype"/>
          <w:b/>
          <w:sz w:val="22"/>
          <w:szCs w:val="22"/>
        </w:rPr>
        <w:t xml:space="preserve"> RECURRENTE</w:t>
      </w:r>
      <w:r w:rsidRPr="00244B85">
        <w:rPr>
          <w:rFonts w:ascii="Palatino Linotype" w:eastAsia="Palatino Linotype" w:hAnsi="Palatino Linotype" w:cs="Palatino Linotype"/>
          <w:sz w:val="22"/>
          <w:szCs w:val="22"/>
        </w:rPr>
        <w:t xml:space="preserve">, en contra de la respuesta del </w:t>
      </w:r>
      <w:r w:rsidRPr="00244B85">
        <w:rPr>
          <w:rFonts w:ascii="Palatino Linotype" w:eastAsia="Palatino Linotype" w:hAnsi="Palatino Linotype" w:cs="Palatino Linotype"/>
          <w:b/>
          <w:sz w:val="22"/>
          <w:szCs w:val="22"/>
        </w:rPr>
        <w:t xml:space="preserve">Ayuntamiento de Temoaya, </w:t>
      </w:r>
      <w:r w:rsidRPr="00244B85">
        <w:rPr>
          <w:rFonts w:ascii="Palatino Linotype" w:eastAsia="Palatino Linotype" w:hAnsi="Palatino Linotype" w:cs="Palatino Linotype"/>
          <w:sz w:val="22"/>
          <w:szCs w:val="22"/>
        </w:rPr>
        <w:t>en adelante el</w:t>
      </w:r>
      <w:r w:rsidRPr="00244B85">
        <w:rPr>
          <w:rFonts w:ascii="Palatino Linotype" w:eastAsia="Palatino Linotype" w:hAnsi="Palatino Linotype" w:cs="Palatino Linotype"/>
          <w:b/>
          <w:sz w:val="22"/>
          <w:szCs w:val="22"/>
        </w:rPr>
        <w:t xml:space="preserve"> SUJETO OBLIGADO</w:t>
      </w:r>
      <w:r w:rsidRPr="00244B85">
        <w:rPr>
          <w:rFonts w:ascii="Palatino Linotype" w:eastAsia="Palatino Linotype" w:hAnsi="Palatino Linotype" w:cs="Palatino Linotype"/>
          <w:sz w:val="22"/>
          <w:szCs w:val="22"/>
        </w:rPr>
        <w:t>, por lo que se procede a dictar la presente resolución, con base en los siguientes:</w:t>
      </w:r>
    </w:p>
    <w:p w:rsidR="003966B8" w:rsidRPr="00244B85" w:rsidRDefault="003966B8" w:rsidP="003966B8">
      <w:pPr>
        <w:keepNext/>
        <w:keepLines/>
        <w:spacing w:line="360" w:lineRule="auto"/>
        <w:ind w:right="-592"/>
        <w:jc w:val="center"/>
        <w:rPr>
          <w:rFonts w:ascii="Palatino Linotype" w:eastAsia="Palatino Linotype" w:hAnsi="Palatino Linotype" w:cs="Palatino Linotype"/>
          <w:b/>
          <w:sz w:val="22"/>
          <w:szCs w:val="22"/>
        </w:rPr>
      </w:pPr>
      <w:bookmarkStart w:id="0" w:name="_heading=h.gjdgxs" w:colFirst="0" w:colLast="0"/>
      <w:bookmarkEnd w:id="0"/>
      <w:r w:rsidRPr="00244B85">
        <w:rPr>
          <w:rFonts w:ascii="Palatino Linotype" w:eastAsia="Palatino Linotype" w:hAnsi="Palatino Linotype" w:cs="Palatino Linotype"/>
          <w:b/>
          <w:sz w:val="22"/>
          <w:szCs w:val="22"/>
        </w:rPr>
        <w:t>A N T E C E D E N T E S</w:t>
      </w:r>
    </w:p>
    <w:p w:rsidR="003966B8" w:rsidRPr="00244B85" w:rsidRDefault="003966B8" w:rsidP="003966B8">
      <w:pPr>
        <w:spacing w:line="360" w:lineRule="auto"/>
        <w:ind w:right="-592"/>
        <w:rPr>
          <w:rFonts w:ascii="Palatino Linotype" w:eastAsia="Palatino Linotype" w:hAnsi="Palatino Linotype" w:cs="Palatino Linotype"/>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w:t>
      </w:r>
      <w:r w:rsidRPr="00244B85">
        <w:rPr>
          <w:rFonts w:ascii="Palatino Linotype" w:eastAsia="Palatino Linotype" w:hAnsi="Palatino Linotype" w:cs="Palatino Linotype"/>
          <w:b/>
          <w:color w:val="000000"/>
          <w:sz w:val="22"/>
          <w:szCs w:val="22"/>
        </w:rPr>
        <w:t>doce de abril de dos mil veinticuatro</w:t>
      </w:r>
      <w:r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b/>
          <w:color w:val="000000"/>
          <w:sz w:val="22"/>
          <w:szCs w:val="22"/>
        </w:rPr>
        <w:t>EL RECURRENTE,</w:t>
      </w:r>
      <w:r w:rsidRPr="00244B85">
        <w:rPr>
          <w:rFonts w:ascii="Palatino Linotype" w:eastAsia="Palatino Linotype" w:hAnsi="Palatino Linotype" w:cs="Palatino Linotype"/>
          <w:color w:val="000000"/>
          <w:sz w:val="22"/>
          <w:szCs w:val="22"/>
        </w:rPr>
        <w:t xml:space="preserve"> ante el </w:t>
      </w:r>
      <w:r w:rsidRPr="00244B85">
        <w:rPr>
          <w:rFonts w:ascii="Palatino Linotype" w:eastAsia="Palatino Linotype" w:hAnsi="Palatino Linotype" w:cs="Palatino Linotype"/>
          <w:b/>
          <w:color w:val="000000"/>
          <w:sz w:val="22"/>
          <w:szCs w:val="22"/>
        </w:rPr>
        <w:t>SUJETO OBLIGADO</w:t>
      </w:r>
      <w:r w:rsidRPr="00244B85">
        <w:rPr>
          <w:rFonts w:ascii="Palatino Linotype" w:eastAsia="Palatino Linotype" w:hAnsi="Palatino Linotype" w:cs="Palatino Linotype"/>
          <w:color w:val="000000"/>
          <w:sz w:val="22"/>
          <w:szCs w:val="22"/>
        </w:rPr>
        <w:t xml:space="preserve"> vía Sistema de Acceso a la Información Mexiquense (</w:t>
      </w:r>
      <w:r w:rsidRPr="00244B85">
        <w:rPr>
          <w:rFonts w:ascii="Palatino Linotype" w:eastAsia="Palatino Linotype" w:hAnsi="Palatino Linotype" w:cs="Palatino Linotype"/>
          <w:b/>
          <w:color w:val="000000"/>
          <w:sz w:val="22"/>
          <w:szCs w:val="22"/>
        </w:rPr>
        <w:t>SAIMEX)</w:t>
      </w:r>
      <w:r w:rsidRPr="00244B85">
        <w:rPr>
          <w:rFonts w:ascii="Palatino Linotype" w:eastAsia="Palatino Linotype" w:hAnsi="Palatino Linotype" w:cs="Palatino Linotype"/>
          <w:color w:val="000000"/>
          <w:sz w:val="22"/>
          <w:szCs w:val="22"/>
        </w:rPr>
        <w:t xml:space="preserve">, presentó una solicitud de información registrada con el número </w:t>
      </w:r>
      <w:r w:rsidRPr="00244B85">
        <w:rPr>
          <w:rFonts w:ascii="Palatino Linotype" w:eastAsia="Palatino Linotype" w:hAnsi="Palatino Linotype" w:cs="Palatino Linotype"/>
          <w:b/>
          <w:color w:val="000000"/>
          <w:sz w:val="22"/>
          <w:szCs w:val="22"/>
        </w:rPr>
        <w:t xml:space="preserve">00055/TEMOAYA/IP/2024, </w:t>
      </w:r>
      <w:r w:rsidRPr="00244B85">
        <w:rPr>
          <w:rFonts w:ascii="Palatino Linotype" w:eastAsia="Palatino Linotype" w:hAnsi="Palatino Linotype" w:cs="Palatino Linotype"/>
          <w:sz w:val="22"/>
          <w:szCs w:val="22"/>
        </w:rPr>
        <w:t xml:space="preserve">en la que </w:t>
      </w:r>
      <w:r w:rsidRPr="00244B85">
        <w:rPr>
          <w:rFonts w:ascii="Palatino Linotype" w:eastAsia="Palatino Linotype" w:hAnsi="Palatino Linotype" w:cs="Palatino Linotype"/>
          <w:color w:val="000000"/>
          <w:sz w:val="22"/>
          <w:szCs w:val="22"/>
        </w:rPr>
        <w:t>solicitó lo siguiente:</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“solicito copia digitalizada de la nomina asi como todos los recibos de nomina debi</w:t>
      </w:r>
      <w:bookmarkStart w:id="1" w:name="_GoBack"/>
      <w:bookmarkEnd w:id="1"/>
      <w:r w:rsidRPr="00244B85">
        <w:rPr>
          <w:rFonts w:ascii="Palatino Linotype" w:eastAsia="Palatino Linotype" w:hAnsi="Palatino Linotype" w:cs="Palatino Linotype"/>
          <w:i/>
          <w:color w:val="000000"/>
          <w:sz w:val="22"/>
          <w:szCs w:val="22"/>
        </w:rPr>
        <w:t xml:space="preserve">damente firmados de hombres y mujeres exclusivamente de la Dirección de Obras Públicas del año 2022 y 2023: de dicha nomina requiero los gafetes de acreditacion como empleado del ayuntamiento, asi como en su caso si no forman parte de la plantilla laboral actualmente requiero la copia simple en formato pdf legible de la liquidación por derecho corresponde asi como copia simple de la renuncia presentada a la presidenta. gracias.” (Sic)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Se solicitó la entrega de la información a través de SAIMEX.</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w:t>
      </w:r>
      <w:r w:rsidRPr="00244B85">
        <w:rPr>
          <w:rFonts w:ascii="Palatino Linotype" w:eastAsia="Palatino Linotype" w:hAnsi="Palatino Linotype" w:cs="Palatino Linotype"/>
          <w:b/>
          <w:color w:val="000000"/>
          <w:sz w:val="22"/>
          <w:szCs w:val="22"/>
        </w:rPr>
        <w:t>doce de abril de dos mil veinticuatro,</w:t>
      </w:r>
      <w:r w:rsidRPr="00244B85">
        <w:rPr>
          <w:rFonts w:ascii="Palatino Linotype" w:eastAsia="Palatino Linotype" w:hAnsi="Palatino Linotype" w:cs="Palatino Linotype"/>
          <w:color w:val="000000"/>
          <w:sz w:val="22"/>
          <w:szCs w:val="22"/>
        </w:rPr>
        <w:t xml:space="preserve"> giro los requerimientos de información para que fuera atendida la solicitud de información </w:t>
      </w:r>
      <w:r w:rsidRPr="00244B85">
        <w:rPr>
          <w:rFonts w:ascii="Palatino Linotype" w:eastAsia="Palatino Linotype" w:hAnsi="Palatino Linotype" w:cs="Palatino Linotype"/>
          <w:b/>
          <w:color w:val="000000"/>
          <w:sz w:val="22"/>
          <w:szCs w:val="22"/>
        </w:rPr>
        <w:t xml:space="preserve">00055/TEMOAYA/IP/2024. </w:t>
      </w:r>
    </w:p>
    <w:p w:rsidR="003966B8" w:rsidRPr="00244B85" w:rsidRDefault="003966B8" w:rsidP="003966B8">
      <w:pPr>
        <w:pBdr>
          <w:top w:val="nil"/>
          <w:left w:val="nil"/>
          <w:bottom w:val="nil"/>
          <w:right w:val="nil"/>
          <w:between w:val="nil"/>
        </w:pBdr>
        <w:ind w:left="720" w:right="-592"/>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w:t>
      </w:r>
      <w:r w:rsidRPr="00244B85">
        <w:rPr>
          <w:rFonts w:ascii="Palatino Linotype" w:eastAsia="Palatino Linotype" w:hAnsi="Palatino Linotype" w:cs="Palatino Linotype"/>
          <w:b/>
          <w:color w:val="000000"/>
          <w:sz w:val="22"/>
          <w:szCs w:val="22"/>
        </w:rPr>
        <w:t>siete de mayo de dos mil veinticuatro</w:t>
      </w:r>
      <w:r w:rsidRPr="00244B85">
        <w:rPr>
          <w:rFonts w:ascii="Palatino Linotype" w:eastAsia="Palatino Linotype" w:hAnsi="Palatino Linotype" w:cs="Palatino Linotype"/>
          <w:color w:val="000000"/>
          <w:sz w:val="22"/>
          <w:szCs w:val="22"/>
        </w:rPr>
        <w:t xml:space="preserve">, el </w:t>
      </w:r>
      <w:r w:rsidRPr="00244B85">
        <w:rPr>
          <w:rFonts w:ascii="Palatino Linotype" w:eastAsia="Palatino Linotype" w:hAnsi="Palatino Linotype" w:cs="Palatino Linotype"/>
          <w:b/>
          <w:color w:val="000000"/>
          <w:sz w:val="22"/>
          <w:szCs w:val="22"/>
        </w:rPr>
        <w:t>SUJETO OBLIGADO</w:t>
      </w:r>
      <w:r w:rsidRPr="00244B85">
        <w:rPr>
          <w:rFonts w:ascii="Palatino Linotype" w:eastAsia="Palatino Linotype" w:hAnsi="Palatino Linotype" w:cs="Palatino Linotype"/>
          <w:b/>
          <w:i/>
          <w:color w:val="000000"/>
          <w:sz w:val="22"/>
          <w:szCs w:val="22"/>
        </w:rPr>
        <w:t xml:space="preserve"> </w:t>
      </w:r>
      <w:r w:rsidRPr="00244B85">
        <w:rPr>
          <w:rFonts w:ascii="Palatino Linotype" w:eastAsia="Palatino Linotype" w:hAnsi="Palatino Linotype" w:cs="Palatino Linotype"/>
          <w:color w:val="000000"/>
          <w:sz w:val="22"/>
          <w:szCs w:val="22"/>
        </w:rPr>
        <w:t xml:space="preserve">dio respuesta a la solicitud de información mediante ocho archivos electrónicos en formato pdf, cuyo contenido grosso modo es el siguiente.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lastRenderedPageBreak/>
        <w:t xml:space="preserve">anexo 055 (renuncias).pdf: </w:t>
      </w:r>
      <w:r w:rsidRPr="00244B85">
        <w:rPr>
          <w:rFonts w:ascii="Palatino Linotype" w:eastAsia="Palatino Linotype" w:hAnsi="Palatino Linotype" w:cs="Palatino Linotype"/>
          <w:i/>
          <w:sz w:val="22"/>
          <w:szCs w:val="22"/>
        </w:rPr>
        <w:t xml:space="preserve">renuncias de las personas que fueron servidores públicos en el periodo 2022 y 2023.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ACUSE DE OFICIO DEL INFOEM 258.pdf: </w:t>
      </w:r>
      <w:r w:rsidRPr="00244B85">
        <w:rPr>
          <w:rFonts w:ascii="Palatino Linotype" w:eastAsia="Palatino Linotype" w:hAnsi="Palatino Linotype" w:cs="Palatino Linotype"/>
          <w:i/>
          <w:sz w:val="22"/>
          <w:szCs w:val="22"/>
        </w:rPr>
        <w:t xml:space="preserve">acuse del Director General de Informática, mediante la cual quedo registrada la incidencia técnica pro sobrepasar las capacidades técnicas del Sistema SAIMEX.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DIR. DE OBRAS SOL. 55.pdf: </w:t>
      </w:r>
      <w:r w:rsidRPr="00244B85">
        <w:rPr>
          <w:rFonts w:ascii="Palatino Linotype" w:eastAsia="Palatino Linotype" w:hAnsi="Palatino Linotype" w:cs="Palatino Linotype"/>
          <w:i/>
          <w:sz w:val="22"/>
          <w:szCs w:val="22"/>
        </w:rPr>
        <w:t xml:space="preserve">oficio del Director de Obras Públicas, mediante el cual refiere que envía copia simple de los gafetes del personal que labora en su área, del cual clasificaron el Registro Federal del Contribuyente.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QUINTA SESIÓN EXTRAORDINARIA.pdf: </w:t>
      </w:r>
      <w:r w:rsidRPr="00244B85">
        <w:rPr>
          <w:rFonts w:ascii="Palatino Linotype" w:eastAsia="Palatino Linotype" w:hAnsi="Palatino Linotype" w:cs="Palatino Linotype"/>
          <w:i/>
          <w:sz w:val="22"/>
          <w:szCs w:val="22"/>
        </w:rPr>
        <w:t>Acta del Comité de Transparencia, mediante el cual en el numeral cinco clasifican la información confidencial consistente en el RFC, CURP, Número de Seguridad Social, Número de cuenta bancaria, deducciones contenidas en recibo de pago, Código de verificación de QR, así como el cambio de modalidad</w:t>
      </w:r>
      <w:r w:rsidR="00B869BF" w:rsidRPr="00244B85">
        <w:rPr>
          <w:rFonts w:ascii="Palatino Linotype" w:eastAsia="Palatino Linotype" w:hAnsi="Palatino Linotype" w:cs="Palatino Linotype"/>
          <w:i/>
          <w:sz w:val="22"/>
          <w:szCs w:val="22"/>
        </w:rPr>
        <w:t xml:space="preserve"> referente a los recibos de nómina </w:t>
      </w:r>
      <w:r w:rsidR="00034665" w:rsidRPr="00244B85">
        <w:rPr>
          <w:rFonts w:ascii="Palatino Linotype" w:eastAsia="Palatino Linotype" w:hAnsi="Palatino Linotype" w:cs="Palatino Linotype"/>
          <w:i/>
          <w:sz w:val="22"/>
          <w:szCs w:val="22"/>
        </w:rPr>
        <w:t xml:space="preserve">para que sean consultados de manera directa.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RECURSOS HUMANOS SOL. 55.pdf</w:t>
      </w:r>
      <w:r w:rsidR="00034665" w:rsidRPr="00244B85">
        <w:rPr>
          <w:rFonts w:ascii="Palatino Linotype" w:eastAsia="Palatino Linotype" w:hAnsi="Palatino Linotype" w:cs="Palatino Linotype"/>
          <w:b/>
          <w:i/>
          <w:sz w:val="22"/>
          <w:szCs w:val="22"/>
        </w:rPr>
        <w:t xml:space="preserve">: </w:t>
      </w:r>
      <w:r w:rsidR="00034665" w:rsidRPr="00244B85">
        <w:rPr>
          <w:rFonts w:ascii="Palatino Linotype" w:eastAsia="Palatino Linotype" w:hAnsi="Palatino Linotype" w:cs="Palatino Linotype"/>
          <w:i/>
          <w:sz w:val="22"/>
          <w:szCs w:val="22"/>
        </w:rPr>
        <w:t xml:space="preserve">oficio del Jefe del Departamento de Recursos Humanos, mediante el cual solicita se clasifiquen datos personales de los gafetes, en virtud de que contienen el RFC y huella dactilar.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gafetes del personal de obras publicas 2022 - 2024_redacted.pdf</w:t>
      </w:r>
      <w:r w:rsidR="00034665" w:rsidRPr="00244B85">
        <w:rPr>
          <w:rFonts w:ascii="Palatino Linotype" w:eastAsia="Palatino Linotype" w:hAnsi="Palatino Linotype" w:cs="Palatino Linotype"/>
          <w:b/>
          <w:i/>
          <w:sz w:val="22"/>
          <w:szCs w:val="22"/>
        </w:rPr>
        <w:t xml:space="preserve">: </w:t>
      </w:r>
      <w:r w:rsidR="00034665" w:rsidRPr="00244B85">
        <w:rPr>
          <w:rFonts w:ascii="Palatino Linotype" w:eastAsia="Palatino Linotype" w:hAnsi="Palatino Linotype" w:cs="Palatino Linotype"/>
          <w:i/>
          <w:sz w:val="22"/>
          <w:szCs w:val="22"/>
        </w:rPr>
        <w:t>contiene cincuenta gafetes del personal de Dirección de Obras Públicas</w:t>
      </w:r>
      <w:r w:rsidR="00B420BA" w:rsidRPr="00244B85">
        <w:rPr>
          <w:rFonts w:ascii="Palatino Linotype" w:eastAsia="Palatino Linotype" w:hAnsi="Palatino Linotype" w:cs="Palatino Linotype"/>
          <w:i/>
          <w:sz w:val="22"/>
          <w:szCs w:val="22"/>
        </w:rPr>
        <w:t xml:space="preserve">, en la que clasifican el RFC.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TESORERIA MUNICIPAL SOL. 55.pdf</w:t>
      </w:r>
      <w:r w:rsidR="00B420BA" w:rsidRPr="00244B85">
        <w:rPr>
          <w:rFonts w:ascii="Palatino Linotype" w:eastAsia="Palatino Linotype" w:hAnsi="Palatino Linotype" w:cs="Palatino Linotype"/>
          <w:b/>
          <w:i/>
          <w:sz w:val="22"/>
          <w:szCs w:val="22"/>
        </w:rPr>
        <w:t xml:space="preserve">: </w:t>
      </w:r>
      <w:r w:rsidR="00B420BA" w:rsidRPr="00244B85">
        <w:rPr>
          <w:rFonts w:ascii="Palatino Linotype" w:eastAsia="Palatino Linotype" w:hAnsi="Palatino Linotype" w:cs="Palatino Linotype"/>
          <w:i/>
          <w:sz w:val="22"/>
          <w:szCs w:val="22"/>
        </w:rPr>
        <w:t xml:space="preserve">oficio del Tesorero Municipal, mediante el cual informa que la información de los recibos de nómina sobre pasa  las capacidades técnicas del sistema Saimex. </w:t>
      </w:r>
    </w:p>
    <w:p w:rsidR="003966B8" w:rsidRPr="00244B85" w:rsidRDefault="003966B8" w:rsidP="00B420BA">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CONSEJERIA JURÍDICA SOL. 55.pdf</w:t>
      </w:r>
      <w:r w:rsidR="00B420BA" w:rsidRPr="00244B85">
        <w:rPr>
          <w:rFonts w:ascii="Palatino Linotype" w:eastAsia="Palatino Linotype" w:hAnsi="Palatino Linotype" w:cs="Palatino Linotype"/>
          <w:b/>
          <w:i/>
          <w:sz w:val="22"/>
          <w:szCs w:val="22"/>
        </w:rPr>
        <w:t xml:space="preserve">: </w:t>
      </w:r>
      <w:r w:rsidR="00B420BA" w:rsidRPr="00244B85">
        <w:rPr>
          <w:rFonts w:ascii="Palatino Linotype" w:eastAsia="Palatino Linotype" w:hAnsi="Palatino Linotype" w:cs="Palatino Linotype"/>
          <w:i/>
          <w:sz w:val="22"/>
          <w:szCs w:val="22"/>
        </w:rPr>
        <w:t xml:space="preserve">Oficio del Consejero Jurídico y Consultivo, mediante el cual informa que se encontraron 4 convenios de terminación de la relación laboral de ex servidores públicos adscritos al área de obras públicas del 2022 y 2023, dando cumplimiento a lo solicitado se remite la información por vía digital, referente a la liquidación. </w:t>
      </w:r>
    </w:p>
    <w:p w:rsidR="003966B8" w:rsidRPr="00244B85" w:rsidRDefault="003966B8" w:rsidP="003966B8">
      <w:pPr>
        <w:spacing w:line="360" w:lineRule="auto"/>
        <w:ind w:right="-28"/>
        <w:jc w:val="both"/>
        <w:rPr>
          <w:rFonts w:ascii="Palatino Linotype" w:eastAsia="Palatino Linotype" w:hAnsi="Palatino Linotype" w:cs="Palatino Linotype"/>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w:t>
      </w:r>
      <w:r w:rsidR="00B420BA" w:rsidRPr="00244B85">
        <w:rPr>
          <w:rFonts w:ascii="Palatino Linotype" w:eastAsia="Palatino Linotype" w:hAnsi="Palatino Linotype" w:cs="Palatino Linotype"/>
          <w:b/>
          <w:color w:val="000000"/>
          <w:sz w:val="22"/>
          <w:szCs w:val="22"/>
        </w:rPr>
        <w:t xml:space="preserve">nueve de mayo </w:t>
      </w:r>
      <w:r w:rsidRPr="00244B85">
        <w:rPr>
          <w:rFonts w:ascii="Palatino Linotype" w:eastAsia="Palatino Linotype" w:hAnsi="Palatino Linotype" w:cs="Palatino Linotype"/>
          <w:b/>
          <w:color w:val="000000"/>
          <w:sz w:val="22"/>
          <w:szCs w:val="22"/>
        </w:rPr>
        <w:t>de dos mil veinticuatro</w:t>
      </w:r>
      <w:r w:rsidRPr="00244B85">
        <w:rPr>
          <w:rFonts w:ascii="Palatino Linotype" w:eastAsia="Palatino Linotype" w:hAnsi="Palatino Linotype" w:cs="Palatino Linotype"/>
          <w:color w:val="000000"/>
          <w:sz w:val="22"/>
          <w:szCs w:val="22"/>
        </w:rPr>
        <w:t xml:space="preserve">, </w:t>
      </w:r>
      <w:r w:rsidR="00B420BA" w:rsidRPr="00244B85">
        <w:rPr>
          <w:rFonts w:ascii="Palatino Linotype" w:eastAsia="Palatino Linotype" w:hAnsi="Palatino Linotype" w:cs="Palatino Linotype"/>
          <w:b/>
          <w:color w:val="000000"/>
          <w:sz w:val="22"/>
          <w:szCs w:val="22"/>
        </w:rPr>
        <w:t>LA</w:t>
      </w:r>
      <w:r w:rsidRPr="00244B85">
        <w:rPr>
          <w:rFonts w:ascii="Palatino Linotype" w:eastAsia="Palatino Linotype" w:hAnsi="Palatino Linotype" w:cs="Palatino Linotype"/>
          <w:b/>
          <w:color w:val="000000"/>
          <w:sz w:val="22"/>
          <w:szCs w:val="22"/>
        </w:rPr>
        <w:t xml:space="preserve"> RECURRENTE</w:t>
      </w:r>
      <w:r w:rsidRPr="00244B85">
        <w:rPr>
          <w:rFonts w:ascii="Palatino Linotype" w:eastAsia="Palatino Linotype" w:hAnsi="Palatino Linotype" w:cs="Palatino Linotype"/>
          <w:color w:val="000000"/>
          <w:sz w:val="22"/>
          <w:szCs w:val="22"/>
        </w:rPr>
        <w:t xml:space="preserve"> interpuso el recurso de revisión, en contra de la respuesta, señalando como:</w:t>
      </w:r>
    </w:p>
    <w:p w:rsidR="003966B8" w:rsidRPr="00244B85" w:rsidRDefault="003966B8" w:rsidP="003966B8">
      <w:pPr>
        <w:pStyle w:val="Prrafodelista"/>
        <w:numPr>
          <w:ilvl w:val="0"/>
          <w:numId w:val="5"/>
        </w:numPr>
        <w:spacing w:line="360" w:lineRule="auto"/>
        <w:ind w:right="-28"/>
        <w:jc w:val="both"/>
        <w:rPr>
          <w:rFonts w:ascii="Palatino Linotype" w:eastAsia="Palatino Linotype" w:hAnsi="Palatino Linotype" w:cs="Palatino Linotype"/>
          <w:i/>
          <w:szCs w:val="22"/>
        </w:rPr>
      </w:pPr>
      <w:r w:rsidRPr="00244B85">
        <w:rPr>
          <w:rFonts w:ascii="Palatino Linotype" w:eastAsia="Palatino Linotype" w:hAnsi="Palatino Linotype" w:cs="Palatino Linotype"/>
          <w:b/>
          <w:szCs w:val="22"/>
        </w:rPr>
        <w:t>Acto impugnado</w:t>
      </w:r>
      <w:r w:rsidRPr="00244B85">
        <w:rPr>
          <w:rFonts w:ascii="Palatino Linotype" w:eastAsia="Palatino Linotype" w:hAnsi="Palatino Linotype" w:cs="Palatino Linotype"/>
          <w:b/>
          <w:i/>
          <w:szCs w:val="22"/>
        </w:rPr>
        <w:t>:</w:t>
      </w:r>
      <w:r w:rsidRPr="00244B85">
        <w:rPr>
          <w:rFonts w:ascii="Palatino Linotype" w:eastAsia="Palatino Linotype" w:hAnsi="Palatino Linotype" w:cs="Palatino Linotype"/>
          <w:i/>
          <w:color w:val="000000"/>
          <w:szCs w:val="22"/>
        </w:rPr>
        <w:t xml:space="preserve"> “</w:t>
      </w:r>
      <w:r w:rsidR="00B420BA" w:rsidRPr="00244B85">
        <w:rPr>
          <w:rFonts w:ascii="Palatino Linotype" w:eastAsia="Palatino Linotype" w:hAnsi="Palatino Linotype" w:cs="Palatino Linotype"/>
          <w:i/>
          <w:color w:val="000000"/>
          <w:szCs w:val="22"/>
        </w:rPr>
        <w:t>re4spiesta</w:t>
      </w:r>
      <w:r w:rsidRPr="00244B85">
        <w:rPr>
          <w:rFonts w:ascii="Palatino Linotype" w:eastAsia="Palatino Linotype" w:hAnsi="Palatino Linotype" w:cs="Palatino Linotype"/>
          <w:i/>
          <w:color w:val="000000"/>
          <w:szCs w:val="22"/>
        </w:rPr>
        <w:t>." (Sic)</w:t>
      </w:r>
    </w:p>
    <w:p w:rsidR="00B420BA" w:rsidRPr="00244B85" w:rsidRDefault="00B420BA" w:rsidP="00B420BA">
      <w:pPr>
        <w:pStyle w:val="Prrafodelista"/>
        <w:spacing w:line="360" w:lineRule="auto"/>
        <w:ind w:right="-28"/>
        <w:jc w:val="both"/>
        <w:rPr>
          <w:rFonts w:ascii="Palatino Linotype" w:eastAsia="Palatino Linotype" w:hAnsi="Palatino Linotype" w:cs="Palatino Linotype"/>
          <w:i/>
          <w:szCs w:val="22"/>
        </w:rPr>
      </w:pPr>
    </w:p>
    <w:p w:rsidR="003966B8" w:rsidRPr="00244B85" w:rsidRDefault="003966B8" w:rsidP="00B420BA">
      <w:pPr>
        <w:pStyle w:val="Prrafodelista"/>
        <w:numPr>
          <w:ilvl w:val="0"/>
          <w:numId w:val="5"/>
        </w:numPr>
        <w:spacing w:line="360" w:lineRule="auto"/>
        <w:ind w:right="-28"/>
        <w:jc w:val="both"/>
        <w:rPr>
          <w:rFonts w:ascii="Palatino Linotype" w:eastAsia="Palatino Linotype" w:hAnsi="Palatino Linotype" w:cs="Palatino Linotype"/>
          <w:szCs w:val="22"/>
        </w:rPr>
      </w:pPr>
      <w:r w:rsidRPr="00244B85">
        <w:rPr>
          <w:rFonts w:ascii="Palatino Linotype" w:eastAsia="Palatino Linotype" w:hAnsi="Palatino Linotype" w:cs="Palatino Linotype"/>
          <w:b/>
          <w:szCs w:val="22"/>
        </w:rPr>
        <w:t xml:space="preserve">Razones o Motivos de inconformidad: </w:t>
      </w:r>
      <w:r w:rsidRPr="00244B85">
        <w:rPr>
          <w:rFonts w:ascii="Palatino Linotype" w:eastAsia="Palatino Linotype" w:hAnsi="Palatino Linotype" w:cs="Palatino Linotype"/>
          <w:szCs w:val="22"/>
        </w:rPr>
        <w:t>“</w:t>
      </w:r>
      <w:r w:rsidR="00B420BA" w:rsidRPr="00244B85">
        <w:rPr>
          <w:rFonts w:ascii="Palatino Linotype" w:eastAsia="Palatino Linotype" w:hAnsi="Palatino Linotype" w:cs="Palatino Linotype"/>
          <w:i/>
          <w:color w:val="000000"/>
          <w:szCs w:val="22"/>
        </w:rPr>
        <w:t>no dan toda la información ya que falta la gente que fue aviadora.</w:t>
      </w:r>
      <w:r w:rsidRPr="00244B85">
        <w:rPr>
          <w:rFonts w:ascii="Palatino Linotype" w:eastAsia="Palatino Linotype" w:hAnsi="Palatino Linotype" w:cs="Palatino Linotype"/>
          <w:i/>
          <w:color w:val="000000"/>
          <w:szCs w:val="22"/>
        </w:rPr>
        <w:t>.” (Sic)</w:t>
      </w:r>
      <w:r w:rsidRPr="00244B85">
        <w:rPr>
          <w:rFonts w:ascii="Palatino Linotype" w:eastAsia="Palatino Linotype" w:hAnsi="Palatino Linotype" w:cs="Palatino Linotype"/>
          <w:szCs w:val="22"/>
        </w:rPr>
        <w:t xml:space="preserve">. </w:t>
      </w:r>
    </w:p>
    <w:p w:rsidR="003966B8" w:rsidRPr="00244B85" w:rsidRDefault="003966B8" w:rsidP="003966B8">
      <w:pPr>
        <w:spacing w:line="360" w:lineRule="auto"/>
        <w:ind w:left="567" w:right="-592"/>
        <w:jc w:val="both"/>
        <w:rPr>
          <w:rFonts w:ascii="Palatino Linotype" w:eastAsia="Palatino Linotype" w:hAnsi="Palatino Linotype" w:cs="Palatino Linotype"/>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lastRenderedPageBreak/>
        <w:t xml:space="preserve">Se registró el recurso de revisión bajo el número de expediente al rubro indicado, asimismo con fundamento en lo dispuesto por el artículo 185 fracción I de la </w:t>
      </w:r>
      <w:r w:rsidRPr="00244B85">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244B85">
        <w:rPr>
          <w:rFonts w:ascii="Palatino Linotype" w:eastAsia="Palatino Linotype" w:hAnsi="Palatino Linotype" w:cs="Palatino Linotype"/>
          <w:color w:val="000000"/>
          <w:sz w:val="22"/>
          <w:szCs w:val="22"/>
        </w:rPr>
        <w:t xml:space="preserve">se </w:t>
      </w:r>
      <w:r w:rsidRPr="00244B85">
        <w:rPr>
          <w:rFonts w:ascii="Palatino Linotype" w:eastAsia="Palatino Linotype" w:hAnsi="Palatino Linotype" w:cs="Palatino Linotype"/>
          <w:sz w:val="22"/>
          <w:szCs w:val="22"/>
        </w:rPr>
        <w:t>turna</w:t>
      </w:r>
      <w:r w:rsidRPr="00244B85">
        <w:rPr>
          <w:rFonts w:ascii="Palatino Linotype" w:eastAsia="Palatino Linotype" w:hAnsi="Palatino Linotype" w:cs="Palatino Linotype"/>
          <w:color w:val="000000"/>
          <w:sz w:val="22"/>
          <w:szCs w:val="22"/>
        </w:rPr>
        <w:t xml:space="preserve"> a la </w:t>
      </w:r>
      <w:r w:rsidRPr="00244B85">
        <w:rPr>
          <w:rFonts w:ascii="Palatino Linotype" w:eastAsia="Palatino Linotype" w:hAnsi="Palatino Linotype" w:cs="Palatino Linotype"/>
          <w:b/>
          <w:color w:val="000000"/>
          <w:sz w:val="22"/>
          <w:szCs w:val="22"/>
        </w:rPr>
        <w:t xml:space="preserve">Comisionada María del Rosario Mejía Ayala, </w:t>
      </w:r>
      <w:r w:rsidRPr="00244B85">
        <w:rPr>
          <w:rFonts w:ascii="Palatino Linotype" w:eastAsia="Palatino Linotype" w:hAnsi="Palatino Linotype" w:cs="Palatino Linotype"/>
          <w:sz w:val="22"/>
          <w:szCs w:val="22"/>
        </w:rPr>
        <w:t>para</w:t>
      </w:r>
      <w:r w:rsidRPr="00244B85">
        <w:rPr>
          <w:rFonts w:ascii="Palatino Linotype" w:eastAsia="Palatino Linotype" w:hAnsi="Palatino Linotype" w:cs="Palatino Linotype"/>
          <w:color w:val="000000"/>
          <w:sz w:val="22"/>
          <w:szCs w:val="22"/>
        </w:rPr>
        <w:t xml:space="preserve"> su análisis.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sz w:val="22"/>
          <w:szCs w:val="22"/>
        </w:rPr>
        <w:t>La</w:t>
      </w:r>
      <w:r w:rsidRPr="00244B85">
        <w:rPr>
          <w:rFonts w:ascii="Palatino Linotype" w:eastAsia="Palatino Linotype" w:hAnsi="Palatino Linotype" w:cs="Palatino Linotype"/>
          <w:color w:val="000000"/>
          <w:sz w:val="22"/>
          <w:szCs w:val="22"/>
        </w:rPr>
        <w:t xml:space="preserve"> Comisionad</w:t>
      </w:r>
      <w:r w:rsidRPr="00244B85">
        <w:rPr>
          <w:rFonts w:ascii="Palatino Linotype" w:eastAsia="Palatino Linotype" w:hAnsi="Palatino Linotype" w:cs="Palatino Linotype"/>
          <w:sz w:val="22"/>
          <w:szCs w:val="22"/>
        </w:rPr>
        <w:t>a</w:t>
      </w:r>
      <w:r w:rsidRPr="00244B85">
        <w:rPr>
          <w:rFonts w:ascii="Palatino Linotype" w:eastAsia="Palatino Linotype" w:hAnsi="Palatino Linotype" w:cs="Palatino Linotype"/>
          <w:color w:val="000000"/>
          <w:sz w:val="22"/>
          <w:szCs w:val="22"/>
        </w:rPr>
        <w:t xml:space="preserve"> Ponente con fundamento en lo dispuesto por el artículo 185 fracción II de la ley de la materia, a través del acuerdo de admisión del </w:t>
      </w:r>
      <w:r w:rsidR="00B420BA" w:rsidRPr="00244B85">
        <w:rPr>
          <w:rFonts w:ascii="Palatino Linotype" w:eastAsia="Palatino Linotype" w:hAnsi="Palatino Linotype" w:cs="Palatino Linotype"/>
          <w:b/>
          <w:color w:val="000000"/>
          <w:sz w:val="22"/>
          <w:szCs w:val="22"/>
        </w:rPr>
        <w:t xml:space="preserve">diecisiete de mayo </w:t>
      </w:r>
      <w:r w:rsidRPr="00244B85">
        <w:rPr>
          <w:rFonts w:ascii="Palatino Linotype" w:eastAsia="Palatino Linotype" w:hAnsi="Palatino Linotype" w:cs="Palatino Linotype"/>
          <w:b/>
          <w:color w:val="000000"/>
          <w:sz w:val="22"/>
          <w:szCs w:val="22"/>
        </w:rPr>
        <w:t>de dos mil veinticuatro</w:t>
      </w:r>
      <w:r w:rsidRPr="00244B85">
        <w:rPr>
          <w:rFonts w:ascii="Palatino Linotype" w:eastAsia="Palatino Linotype" w:hAnsi="Palatino Linotype" w:cs="Palatino Linotype"/>
          <w:color w:val="000000"/>
          <w:sz w:val="22"/>
          <w:szCs w:val="22"/>
        </w:rPr>
        <w:t xml:space="preserve">, puso a disposición de las partes el expediente electrónico vía </w:t>
      </w:r>
      <w:r w:rsidRPr="00244B85">
        <w:rPr>
          <w:rFonts w:ascii="Palatino Linotype" w:eastAsia="Palatino Linotype" w:hAnsi="Palatino Linotype" w:cs="Palatino Linotype"/>
          <w:b/>
          <w:color w:val="000000"/>
          <w:sz w:val="22"/>
          <w:szCs w:val="22"/>
        </w:rPr>
        <w:t xml:space="preserve">SAIMEX </w:t>
      </w:r>
      <w:r w:rsidRPr="00244B85">
        <w:rPr>
          <w:rFonts w:ascii="Palatino Linotype" w:eastAsia="Palatino Linotype" w:hAnsi="Palatino Linotype" w:cs="Palatino Linotype"/>
          <w:color w:val="000000"/>
          <w:sz w:val="22"/>
          <w:szCs w:val="22"/>
        </w:rPr>
        <w:t xml:space="preserve">a efecto de que en un plazo máximo de siete días </w:t>
      </w:r>
      <w:r w:rsidRPr="00244B85">
        <w:rPr>
          <w:rFonts w:ascii="Palatino Linotype" w:eastAsia="Palatino Linotype" w:hAnsi="Palatino Linotype" w:cs="Palatino Linotype"/>
          <w:sz w:val="22"/>
          <w:szCs w:val="22"/>
        </w:rPr>
        <w:t>manifestara</w:t>
      </w:r>
      <w:r w:rsidRPr="00244B85">
        <w:rPr>
          <w:rFonts w:ascii="Palatino Linotype" w:eastAsia="Palatino Linotype" w:hAnsi="Palatino Linotype" w:cs="Palatino Linotype"/>
          <w:color w:val="000000"/>
          <w:sz w:val="22"/>
          <w:szCs w:val="22"/>
        </w:rPr>
        <w:t xml:space="preserve"> lo que a derecho </w:t>
      </w:r>
      <w:r w:rsidRPr="00244B85">
        <w:rPr>
          <w:rFonts w:ascii="Palatino Linotype" w:eastAsia="Palatino Linotype" w:hAnsi="Palatino Linotype" w:cs="Palatino Linotype"/>
          <w:sz w:val="22"/>
          <w:szCs w:val="22"/>
        </w:rPr>
        <w:t>conviniera</w:t>
      </w:r>
      <w:r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sz w:val="22"/>
          <w:szCs w:val="22"/>
        </w:rPr>
        <w:t>ofreciera</w:t>
      </w:r>
      <w:r w:rsidRPr="00244B85">
        <w:rPr>
          <w:rFonts w:ascii="Palatino Linotype" w:eastAsia="Palatino Linotype" w:hAnsi="Palatino Linotype" w:cs="Palatino Linotype"/>
          <w:color w:val="000000"/>
          <w:sz w:val="22"/>
          <w:szCs w:val="22"/>
        </w:rPr>
        <w:t xml:space="preserve"> pruebas y alegatos según corresponda al caso concreto, de esta forma para que el </w:t>
      </w:r>
      <w:r w:rsidRPr="00244B85">
        <w:rPr>
          <w:rFonts w:ascii="Palatino Linotype" w:eastAsia="Palatino Linotype" w:hAnsi="Palatino Linotype" w:cs="Palatino Linotype"/>
          <w:b/>
          <w:color w:val="000000"/>
          <w:sz w:val="22"/>
          <w:szCs w:val="22"/>
        </w:rPr>
        <w:t>SUJETO OBLIGADO</w:t>
      </w:r>
      <w:r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sz w:val="22"/>
          <w:szCs w:val="22"/>
        </w:rPr>
        <w:t>presentará</w:t>
      </w:r>
      <w:r w:rsidRPr="00244B85">
        <w:rPr>
          <w:rFonts w:ascii="Palatino Linotype" w:eastAsia="Palatino Linotype" w:hAnsi="Palatino Linotype" w:cs="Palatino Linotype"/>
          <w:color w:val="000000"/>
          <w:sz w:val="22"/>
          <w:szCs w:val="22"/>
        </w:rPr>
        <w:t xml:space="preserve"> el informe justificado procedente. De las constancias que obran en el expediente electrónico SAIMEX el particular no realizó manifestaciones.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B420BA" w:rsidRPr="00244B85" w:rsidRDefault="00B420BA" w:rsidP="003966B8">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Tal y como se observa en el expediente electrónico el </w:t>
      </w:r>
      <w:r w:rsidRPr="00244B85">
        <w:rPr>
          <w:rFonts w:ascii="Palatino Linotype" w:eastAsia="Palatino Linotype" w:hAnsi="Palatino Linotype" w:cs="Palatino Linotype"/>
          <w:b/>
          <w:color w:val="000000"/>
          <w:sz w:val="22"/>
          <w:szCs w:val="22"/>
        </w:rPr>
        <w:t xml:space="preserve">SUJETO OBLIGADO y la RECURRENTE </w:t>
      </w:r>
      <w:r w:rsidRPr="00244B85">
        <w:rPr>
          <w:rFonts w:ascii="Palatino Linotype" w:eastAsia="Palatino Linotype" w:hAnsi="Palatino Linotype" w:cs="Palatino Linotype"/>
          <w:color w:val="000000"/>
          <w:sz w:val="22"/>
          <w:szCs w:val="22"/>
        </w:rPr>
        <w:t xml:space="preserve">fueron omisos en manifestar lo que a su derecho conviniera y asistiera respectivamente. </w:t>
      </w:r>
    </w:p>
    <w:p w:rsidR="00B420BA" w:rsidRPr="00244B85" w:rsidRDefault="00B420BA" w:rsidP="00B420BA">
      <w:pPr>
        <w:pStyle w:val="Prrafodelista"/>
        <w:rPr>
          <w:rFonts w:ascii="Palatino Linotype" w:eastAsia="Palatino Linotype" w:hAnsi="Palatino Linotype" w:cs="Palatino Linotype"/>
          <w:color w:val="000000"/>
          <w:szCs w:val="22"/>
        </w:rPr>
      </w:pPr>
    </w:p>
    <w:p w:rsidR="003966B8" w:rsidRPr="00244B85" w:rsidRDefault="003966B8" w:rsidP="003966B8">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w:t>
      </w:r>
      <w:r w:rsidR="00B420BA" w:rsidRPr="00244B85">
        <w:rPr>
          <w:rFonts w:ascii="Palatino Linotype" w:eastAsia="Palatino Linotype" w:hAnsi="Palatino Linotype" w:cs="Palatino Linotype"/>
          <w:b/>
          <w:color w:val="000000"/>
          <w:sz w:val="22"/>
          <w:szCs w:val="22"/>
        </w:rPr>
        <w:t>veinte de febrero</w:t>
      </w:r>
      <w:r w:rsidRPr="00244B85">
        <w:rPr>
          <w:rFonts w:ascii="Palatino Linotype" w:eastAsia="Palatino Linotype" w:hAnsi="Palatino Linotype" w:cs="Palatino Linotype"/>
          <w:b/>
          <w:color w:val="000000"/>
          <w:sz w:val="22"/>
          <w:szCs w:val="22"/>
        </w:rPr>
        <w:t xml:space="preserve"> de dos mil veinticinco</w:t>
      </w:r>
      <w:r w:rsidRPr="00244B85">
        <w:rPr>
          <w:rFonts w:ascii="Palatino Linotype" w:eastAsia="Palatino Linotype" w:hAnsi="Palatino Linotype" w:cs="Palatino Linotype"/>
          <w:color w:val="000000"/>
          <w:sz w:val="22"/>
          <w:szCs w:val="22"/>
        </w:rPr>
        <w:t xml:space="preserve">, se notificó el acuerdo a través del cual se aprobó la ampliación de plazo para emitir resolución. </w:t>
      </w:r>
    </w:p>
    <w:p w:rsidR="003966B8" w:rsidRPr="00244B85" w:rsidRDefault="003966B8" w:rsidP="003966B8">
      <w:pPr>
        <w:pBdr>
          <w:top w:val="nil"/>
          <w:left w:val="nil"/>
          <w:bottom w:val="nil"/>
          <w:right w:val="nil"/>
          <w:between w:val="nil"/>
        </w:pBdr>
        <w:ind w:right="-592"/>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Este organismo garante no pasa por alto justificar, que la dilación en la resolución del presente asunto encuentra justificación en el alto número de recursos de revisión recibidos, circunstancia atípica que ha rebasado las capacidades técnicas y humanas del personal encargado de la proyección de las resoluciones a dichos medios de impugnación.</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 xml:space="preserve">Por ello, es menester precisar que si bien se ha excedido el plazo para resolver el presente medio de impugnación, de conformidad con la ley de la materia, dicha dilación es de carácter excepcional y se encuentra justificada en los elementos para medir la razonabilidad del plazo de </w:t>
      </w:r>
      <w:r w:rsidRPr="00244B85">
        <w:rPr>
          <w:rFonts w:ascii="Palatino Linotype" w:eastAsia="Palatino Linotype" w:hAnsi="Palatino Linotype" w:cs="Palatino Linotype"/>
          <w:color w:val="000000"/>
          <w:sz w:val="22"/>
          <w:szCs w:val="22"/>
        </w:rPr>
        <w:lastRenderedPageBreak/>
        <w:t>resolución de asuntos conforme a los parámetros establecidos por diversos órganos jurisdiccionales federales, aplicables también en procedimientos análogos, como el que nos ocupa.</w:t>
      </w: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 xml:space="preserve">Por ello, excepcionalmente, si un asunto es resuelto con posterioridad a los plazos señalados por la norma debe analizarse la razonabilidad de dicha dilación atendiendo a los siguientes criterios:   </w:t>
      </w:r>
    </w:p>
    <w:p w:rsidR="003966B8" w:rsidRPr="00244B85" w:rsidRDefault="003966B8" w:rsidP="003966B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color w:val="000000"/>
          <w:sz w:val="22"/>
          <w:szCs w:val="22"/>
        </w:rPr>
        <w:t xml:space="preserve">Complejidad del </w:t>
      </w:r>
      <w:r w:rsidRPr="00244B85">
        <w:rPr>
          <w:rFonts w:ascii="Palatino Linotype" w:eastAsia="Palatino Linotype" w:hAnsi="Palatino Linotype" w:cs="Palatino Linotype"/>
          <w:sz w:val="22"/>
          <w:szCs w:val="22"/>
        </w:rPr>
        <w:t>asunto</w:t>
      </w:r>
      <w:r w:rsidRPr="00244B85">
        <w:rPr>
          <w:rFonts w:ascii="Palatino Linotype" w:eastAsia="Palatino Linotype" w:hAnsi="Palatino Linotype" w:cs="Palatino Linotype"/>
          <w:color w:val="000000"/>
          <w:sz w:val="22"/>
          <w:szCs w:val="22"/>
        </w:rPr>
        <w:t xml:space="preserve">: La complejidad de la prueba, la pluralidad de sujetos procesales, el tiempo transcurrido, las características y contexto del recurso. </w:t>
      </w:r>
    </w:p>
    <w:p w:rsidR="003966B8" w:rsidRPr="00244B85" w:rsidRDefault="003966B8" w:rsidP="003966B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Actividad Procesal del interesado. Acciones u omisiones del interesado.</w:t>
      </w:r>
    </w:p>
    <w:p w:rsidR="003966B8" w:rsidRPr="00244B85" w:rsidRDefault="003966B8" w:rsidP="003966B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Conducta de la Autoridad: Las Acciones u omisiones realizadas en el procedimiento. Así como si la autoridad actuó con la debida diligencia.</w:t>
      </w:r>
    </w:p>
    <w:p w:rsidR="003966B8" w:rsidRPr="00244B85" w:rsidRDefault="003966B8" w:rsidP="003966B8">
      <w:pPr>
        <w:numPr>
          <w:ilvl w:val="0"/>
          <w:numId w:val="1"/>
        </w:numPr>
        <w:pBdr>
          <w:top w:val="nil"/>
          <w:left w:val="nil"/>
          <w:bottom w:val="nil"/>
          <w:right w:val="nil"/>
          <w:between w:val="nil"/>
        </w:pBdr>
        <w:spacing w:line="360" w:lineRule="auto"/>
        <w:ind w:right="113"/>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La afectación generada en la situación jurídica de la persona involucrada en el proceso: Violación a sus derechos humanos.</w:t>
      </w:r>
    </w:p>
    <w:p w:rsidR="003966B8" w:rsidRPr="00244B85" w:rsidRDefault="003966B8" w:rsidP="003966B8">
      <w:pPr>
        <w:pBdr>
          <w:top w:val="nil"/>
          <w:left w:val="nil"/>
          <w:bottom w:val="nil"/>
          <w:right w:val="nil"/>
          <w:between w:val="nil"/>
        </w:pBdr>
        <w:spacing w:line="360" w:lineRule="auto"/>
        <w:ind w:left="851"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lastRenderedPageBreak/>
        <w:t xml:space="preserve">Argumento que encuentra sustento en la jurisprudencia P./J. 32/92 emitida por el Pleno de la Suprema Corte de Justicia de la Nación </w:t>
      </w:r>
      <w:r w:rsidRPr="00244B85">
        <w:rPr>
          <w:rFonts w:ascii="Palatino Linotype" w:eastAsia="Palatino Linotype" w:hAnsi="Palatino Linotype" w:cs="Palatino Linotype"/>
          <w:sz w:val="22"/>
          <w:szCs w:val="22"/>
        </w:rPr>
        <w:t>del rubro</w:t>
      </w:r>
      <w:r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244B85">
        <w:rPr>
          <w:rFonts w:ascii="Palatino Linotype" w:eastAsia="Palatino Linotype" w:hAnsi="Palatino Linotype" w:cs="Palatino Linotype"/>
          <w:color w:val="000000"/>
          <w:sz w:val="22"/>
          <w:szCs w:val="22"/>
        </w:rPr>
        <w:t xml:space="preserve">, visible en la Gaceta del </w:t>
      </w:r>
      <w:r w:rsidRPr="00244B85">
        <w:rPr>
          <w:rFonts w:ascii="Palatino Linotype" w:eastAsia="Palatino Linotype" w:hAnsi="Palatino Linotype" w:cs="Palatino Linotype"/>
          <w:sz w:val="22"/>
          <w:szCs w:val="22"/>
        </w:rPr>
        <w:t>Semanario</w:t>
      </w:r>
      <w:r w:rsidRPr="00244B85">
        <w:rPr>
          <w:rFonts w:ascii="Palatino Linotype" w:eastAsia="Palatino Linotype" w:hAnsi="Palatino Linotype" w:cs="Palatino Linotype"/>
          <w:color w:val="000000"/>
          <w:sz w:val="22"/>
          <w:szCs w:val="22"/>
        </w:rPr>
        <w:t xml:space="preserve"> Judicial de la Federación con el registro digital 205635.</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b/>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color w:val="000000"/>
          <w:sz w:val="22"/>
          <w:szCs w:val="22"/>
        </w:rPr>
        <w:t>Al respecto, también son de considerar los criterios sostenidos por el Cuarto Tribunal Colegiado en Materia Administrativa del Primer Circuito, cuyos rubros y datos de identificación son los siguientes:</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i/>
          <w:color w:val="000000"/>
          <w:sz w:val="22"/>
          <w:szCs w:val="22"/>
        </w:rPr>
        <w:t>“PLAZO RAZONABLE PARA RESOLVER. DIMENSIÓN Y EFECTOS DE ESTE CONCEPTO CUANDO SE ADUCE EXCESIVA CARGA DE TRABAJO.”</w:t>
      </w:r>
      <w:r w:rsidRPr="00244B85">
        <w:rPr>
          <w:rFonts w:ascii="Palatino Linotype" w:eastAsia="Palatino Linotype" w:hAnsi="Palatino Linotype" w:cs="Palatino Linotype"/>
          <w:color w:val="000000"/>
          <w:sz w:val="22"/>
          <w:szCs w:val="22"/>
        </w:rPr>
        <w:t xml:space="preserve"> consultable en el Sem</w:t>
      </w:r>
      <w:r w:rsidRPr="00244B85">
        <w:rPr>
          <w:rFonts w:ascii="Palatino Linotype" w:eastAsia="Palatino Linotype" w:hAnsi="Palatino Linotype" w:cs="Palatino Linotype"/>
          <w:sz w:val="22"/>
          <w:szCs w:val="22"/>
        </w:rPr>
        <w:t>a</w:t>
      </w:r>
      <w:r w:rsidRPr="00244B85">
        <w:rPr>
          <w:rFonts w:ascii="Palatino Linotype" w:eastAsia="Palatino Linotype" w:hAnsi="Palatino Linotype" w:cs="Palatino Linotype"/>
          <w:color w:val="000000"/>
          <w:sz w:val="22"/>
          <w:szCs w:val="22"/>
        </w:rPr>
        <w:t>nario Judicial de la Federación y su gaceta, con el registro digital 2002351.</w:t>
      </w:r>
    </w:p>
    <w:p w:rsidR="003966B8" w:rsidRPr="00244B85" w:rsidRDefault="003966B8" w:rsidP="003966B8">
      <w:pPr>
        <w:pBdr>
          <w:top w:val="nil"/>
          <w:left w:val="nil"/>
          <w:bottom w:val="nil"/>
          <w:right w:val="nil"/>
          <w:between w:val="nil"/>
        </w:pBdr>
        <w:spacing w:line="360" w:lineRule="auto"/>
        <w:ind w:left="851" w:right="-28"/>
        <w:jc w:val="both"/>
        <w:rPr>
          <w:rFonts w:ascii="Palatino Linotype" w:eastAsia="Palatino Linotype" w:hAnsi="Palatino Linotype" w:cs="Palatino Linotype"/>
          <w:b/>
          <w:color w:val="000000"/>
          <w:sz w:val="22"/>
          <w:szCs w:val="22"/>
        </w:rPr>
      </w:pPr>
    </w:p>
    <w:p w:rsidR="003966B8" w:rsidRPr="00244B85" w:rsidRDefault="003966B8" w:rsidP="003966B8">
      <w:pPr>
        <w:pBdr>
          <w:top w:val="nil"/>
          <w:left w:val="nil"/>
          <w:bottom w:val="nil"/>
          <w:right w:val="nil"/>
          <w:between w:val="nil"/>
        </w:pBdr>
        <w:spacing w:line="360" w:lineRule="auto"/>
        <w:ind w:left="851" w:right="-28"/>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i/>
          <w:color w:val="000000"/>
          <w:sz w:val="22"/>
          <w:szCs w:val="22"/>
        </w:rPr>
        <w:t>“PLAZO RAZONABLE PARA RESOLVER. CONCEPTO Y ELEMENTOS QUE LO INTEGRAN A LA LUZ DEL DERECHO INTERNACIONAL DE LOS DERECHOS HUMANOS.”</w:t>
      </w:r>
      <w:r w:rsidRPr="00244B85">
        <w:rPr>
          <w:rFonts w:ascii="Palatino Linotype" w:eastAsia="Palatino Linotype" w:hAnsi="Palatino Linotype" w:cs="Palatino Linotype"/>
          <w:color w:val="000000"/>
          <w:sz w:val="22"/>
          <w:szCs w:val="22"/>
        </w:rPr>
        <w:t>, visible en el Sem</w:t>
      </w:r>
      <w:r w:rsidRPr="00244B85">
        <w:rPr>
          <w:rFonts w:ascii="Palatino Linotype" w:eastAsia="Palatino Linotype" w:hAnsi="Palatino Linotype" w:cs="Palatino Linotype"/>
          <w:sz w:val="22"/>
          <w:szCs w:val="22"/>
        </w:rPr>
        <w:t>a</w:t>
      </w:r>
      <w:r w:rsidRPr="00244B85">
        <w:rPr>
          <w:rFonts w:ascii="Palatino Linotype" w:eastAsia="Palatino Linotype" w:hAnsi="Palatino Linotype" w:cs="Palatino Linotype"/>
          <w:color w:val="000000"/>
          <w:sz w:val="22"/>
          <w:szCs w:val="22"/>
        </w:rPr>
        <w:t>nario Judicial de la Federación y su gaceta, con el registro digital 2002350.</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i/>
          <w:color w:val="000000"/>
          <w:sz w:val="22"/>
          <w:szCs w:val="22"/>
        </w:rPr>
      </w:pPr>
    </w:p>
    <w:p w:rsidR="003966B8" w:rsidRPr="00244B85" w:rsidRDefault="003966B8" w:rsidP="003966B8">
      <w:pPr>
        <w:numPr>
          <w:ilvl w:val="0"/>
          <w:numId w:val="2"/>
        </w:numPr>
        <w:pBdr>
          <w:top w:val="nil"/>
          <w:left w:val="nil"/>
          <w:bottom w:val="nil"/>
          <w:right w:val="nil"/>
          <w:between w:val="nil"/>
        </w:pBdr>
        <w:tabs>
          <w:tab w:val="left" w:pos="426"/>
        </w:tabs>
        <w:spacing w:line="360" w:lineRule="auto"/>
        <w:ind w:left="0" w:right="-592" w:firstLine="0"/>
        <w:jc w:val="both"/>
        <w:rPr>
          <w:rFonts w:ascii="Palatino Linotype" w:eastAsia="Palatino Linotype" w:hAnsi="Palatino Linotype" w:cs="Palatino Linotype"/>
          <w:color w:val="000000"/>
          <w:sz w:val="22"/>
          <w:szCs w:val="22"/>
        </w:rPr>
      </w:pPr>
      <w:bookmarkStart w:id="2" w:name="_heading=h.30j0zll" w:colFirst="0" w:colLast="0"/>
      <w:bookmarkEnd w:id="2"/>
      <w:r w:rsidRPr="00244B85">
        <w:rPr>
          <w:rFonts w:ascii="Palatino Linotype" w:eastAsia="Palatino Linotype" w:hAnsi="Palatino Linotype" w:cs="Palatino Linotype"/>
          <w:color w:val="000000"/>
          <w:sz w:val="22"/>
          <w:szCs w:val="22"/>
        </w:rPr>
        <w:t>Por ello, este Organismo Garante comprometido con la tutela de los derechos humanos confiados, señala que este exceso de plazo legal para resolver el presente asunto, resulta de carácter excepcional.</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Comisionado Ponente decretó el cierre de instrucción mediante el acuerdo de fecha </w:t>
      </w:r>
      <w:r w:rsidR="00713AD9" w:rsidRPr="00244B85">
        <w:rPr>
          <w:rFonts w:ascii="Palatino Linotype" w:eastAsia="Palatino Linotype" w:hAnsi="Palatino Linotype" w:cs="Palatino Linotype"/>
          <w:b/>
          <w:color w:val="000000"/>
          <w:sz w:val="22"/>
          <w:szCs w:val="22"/>
        </w:rPr>
        <w:t>veinte de febrero</w:t>
      </w:r>
      <w:r w:rsidRPr="00244B85">
        <w:rPr>
          <w:rFonts w:ascii="Palatino Linotype" w:eastAsia="Palatino Linotype" w:hAnsi="Palatino Linotype" w:cs="Palatino Linotype"/>
          <w:b/>
          <w:color w:val="000000"/>
          <w:sz w:val="22"/>
          <w:szCs w:val="22"/>
        </w:rPr>
        <w:t xml:space="preserve"> de dos mil veinticinco. </w:t>
      </w:r>
    </w:p>
    <w:p w:rsidR="003966B8" w:rsidRPr="00244B85" w:rsidRDefault="003966B8" w:rsidP="003966B8">
      <w:pPr>
        <w:spacing w:line="360" w:lineRule="auto"/>
        <w:ind w:right="-592"/>
        <w:jc w:val="both"/>
        <w:rPr>
          <w:rFonts w:ascii="Palatino Linotype" w:eastAsia="Palatino Linotype" w:hAnsi="Palatino Linotype" w:cs="Palatino Linotype"/>
          <w:sz w:val="22"/>
          <w:szCs w:val="22"/>
        </w:rPr>
      </w:pPr>
    </w:p>
    <w:p w:rsidR="003966B8" w:rsidRPr="00244B85" w:rsidRDefault="003966B8" w:rsidP="003966B8">
      <w:pPr>
        <w:spacing w:line="360" w:lineRule="auto"/>
        <w:ind w:right="-592"/>
        <w:jc w:val="center"/>
        <w:rPr>
          <w:rFonts w:ascii="Palatino Linotype" w:eastAsia="Palatino Linotype" w:hAnsi="Palatino Linotype" w:cs="Palatino Linotype"/>
          <w:sz w:val="22"/>
          <w:szCs w:val="22"/>
        </w:rPr>
      </w:pPr>
      <w:bookmarkStart w:id="3" w:name="_heading=h.1fob9te" w:colFirst="0" w:colLast="0"/>
      <w:bookmarkEnd w:id="3"/>
      <w:r w:rsidRPr="00244B85">
        <w:rPr>
          <w:rFonts w:ascii="Palatino Linotype" w:eastAsia="Palatino Linotype" w:hAnsi="Palatino Linotype" w:cs="Palatino Linotype"/>
          <w:b/>
          <w:sz w:val="22"/>
          <w:szCs w:val="22"/>
        </w:rPr>
        <w:t>C O N S I D E R A N D O</w:t>
      </w:r>
    </w:p>
    <w:p w:rsidR="003966B8" w:rsidRPr="00244B85" w:rsidRDefault="003966B8" w:rsidP="003966B8">
      <w:pPr>
        <w:spacing w:line="360" w:lineRule="auto"/>
        <w:ind w:right="-592"/>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sz w:val="22"/>
          <w:szCs w:val="22"/>
        </w:rPr>
        <w:t xml:space="preserve">                                                                                                                     </w:t>
      </w:r>
    </w:p>
    <w:p w:rsidR="003966B8" w:rsidRPr="00244B85" w:rsidRDefault="003966B8" w:rsidP="003966B8">
      <w:pPr>
        <w:spacing w:line="360" w:lineRule="auto"/>
        <w:ind w:right="-592"/>
        <w:jc w:val="both"/>
        <w:rPr>
          <w:rFonts w:ascii="Palatino Linotype" w:eastAsia="Palatino Linotype" w:hAnsi="Palatino Linotype" w:cs="Palatino Linotype"/>
          <w:b/>
          <w:sz w:val="22"/>
          <w:szCs w:val="22"/>
        </w:rPr>
      </w:pPr>
      <w:bookmarkStart w:id="4" w:name="_heading=h.3znysh7" w:colFirst="0" w:colLast="0"/>
      <w:bookmarkEnd w:id="4"/>
      <w:r w:rsidRPr="00244B85">
        <w:rPr>
          <w:rFonts w:ascii="Palatino Linotype" w:eastAsia="Palatino Linotype" w:hAnsi="Palatino Linotype" w:cs="Palatino Linotype"/>
          <w:b/>
          <w:sz w:val="22"/>
          <w:szCs w:val="22"/>
        </w:rPr>
        <w:t>PRIMERO. De la competencia</w:t>
      </w: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Este Instituto de Transparencia, Acceso a la Información Pública y Protección de Datos Personales del Estado de México, es competente para conocer y resolver el presente recurso de revisión interpuesto por el Recurrente conforme a lo dispuesto en los artículos 6, apartado A, fracción IV de la Constitución Política de los Estados Unidos Mexicanos; 5, párrafos trigésimo, trigésimo primero y trigésimo segundo,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keepNext/>
        <w:keepLines/>
        <w:spacing w:line="360" w:lineRule="auto"/>
        <w:ind w:right="-592"/>
        <w:rPr>
          <w:rFonts w:ascii="Palatino Linotype" w:eastAsia="Palatino Linotype" w:hAnsi="Palatino Linotype" w:cs="Palatino Linotype"/>
          <w:b/>
          <w:sz w:val="22"/>
          <w:szCs w:val="22"/>
        </w:rPr>
      </w:pPr>
      <w:bookmarkStart w:id="5" w:name="_heading=h.2et92p0" w:colFirst="0" w:colLast="0"/>
      <w:bookmarkEnd w:id="5"/>
      <w:r w:rsidRPr="00244B85">
        <w:rPr>
          <w:rFonts w:ascii="Palatino Linotype" w:eastAsia="Palatino Linotype" w:hAnsi="Palatino Linotype" w:cs="Palatino Linotype"/>
          <w:b/>
          <w:sz w:val="22"/>
          <w:szCs w:val="22"/>
        </w:rPr>
        <w:lastRenderedPageBreak/>
        <w:t>SEGUNDO. De la oportunidad y procedencia.</w:t>
      </w: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medio de impugnación fue presentado a través del </w:t>
      </w:r>
      <w:r w:rsidRPr="00244B85">
        <w:rPr>
          <w:rFonts w:ascii="Palatino Linotype" w:eastAsia="Palatino Linotype" w:hAnsi="Palatino Linotype" w:cs="Palatino Linotype"/>
          <w:b/>
          <w:color w:val="000000"/>
          <w:sz w:val="22"/>
          <w:szCs w:val="22"/>
        </w:rPr>
        <w:t>SAIMEX,</w:t>
      </w:r>
      <w:r w:rsidRPr="00244B85">
        <w:rPr>
          <w:rFonts w:ascii="Palatino Linotype" w:eastAsia="Palatino Linotype" w:hAnsi="Palatino Linotype" w:cs="Palatino Linotype"/>
          <w:color w:val="000000"/>
          <w:sz w:val="22"/>
          <w:szCs w:val="22"/>
        </w:rPr>
        <w:t xml:space="preserve"> en el formato previamente aprobado para tal efecto y dentro del plazo legal de quince días hábiles otorgados; siendo así que el </w:t>
      </w:r>
      <w:r w:rsidRPr="00244B85">
        <w:rPr>
          <w:rFonts w:ascii="Palatino Linotype" w:eastAsia="Palatino Linotype" w:hAnsi="Palatino Linotype" w:cs="Palatino Linotype"/>
          <w:b/>
          <w:color w:val="000000"/>
          <w:sz w:val="22"/>
          <w:szCs w:val="22"/>
        </w:rPr>
        <w:t>SUJETO OBLIGADO</w:t>
      </w:r>
      <w:r w:rsidRPr="00244B85">
        <w:rPr>
          <w:rFonts w:ascii="Palatino Linotype" w:eastAsia="Palatino Linotype" w:hAnsi="Palatino Linotype" w:cs="Palatino Linotype"/>
          <w:color w:val="000000"/>
          <w:sz w:val="22"/>
          <w:szCs w:val="22"/>
        </w:rPr>
        <w:t xml:space="preserve"> entregó respuesta a la solicitud el día </w:t>
      </w:r>
      <w:r w:rsidR="00EF101C" w:rsidRPr="00244B85">
        <w:rPr>
          <w:rFonts w:ascii="Palatino Linotype" w:eastAsia="Palatino Linotype" w:hAnsi="Palatino Linotype" w:cs="Palatino Linotype"/>
          <w:b/>
          <w:color w:val="000000"/>
          <w:sz w:val="22"/>
          <w:szCs w:val="22"/>
        </w:rPr>
        <w:t xml:space="preserve">siete de mayo </w:t>
      </w:r>
      <w:r w:rsidRPr="00244B85">
        <w:rPr>
          <w:rFonts w:ascii="Palatino Linotype" w:eastAsia="Palatino Linotype" w:hAnsi="Palatino Linotype" w:cs="Palatino Linotype"/>
          <w:b/>
          <w:color w:val="000000"/>
          <w:sz w:val="22"/>
          <w:szCs w:val="22"/>
        </w:rPr>
        <w:t>de dos mil veinticuatro</w:t>
      </w:r>
      <w:r w:rsidRPr="00244B85">
        <w:rPr>
          <w:rFonts w:ascii="Palatino Linotype" w:eastAsia="Palatino Linotype" w:hAnsi="Palatino Linotype" w:cs="Palatino Linotype"/>
          <w:color w:val="000000"/>
          <w:sz w:val="22"/>
          <w:szCs w:val="22"/>
        </w:rPr>
        <w:t xml:space="preserve">, de tal forma que el plazo para interponer el recurso de revisión transcurrió del </w:t>
      </w:r>
      <w:r w:rsidR="00EF101C" w:rsidRPr="00244B85">
        <w:rPr>
          <w:rFonts w:ascii="Palatino Linotype" w:eastAsia="Palatino Linotype" w:hAnsi="Palatino Linotype" w:cs="Palatino Linotype"/>
          <w:b/>
          <w:color w:val="000000"/>
          <w:sz w:val="22"/>
          <w:szCs w:val="22"/>
        </w:rPr>
        <w:t xml:space="preserve">ocho al veintiocho de mayo </w:t>
      </w:r>
      <w:r w:rsidRPr="00244B85">
        <w:rPr>
          <w:rFonts w:ascii="Palatino Linotype" w:eastAsia="Palatino Linotype" w:hAnsi="Palatino Linotype" w:cs="Palatino Linotype"/>
          <w:b/>
          <w:color w:val="000000"/>
          <w:sz w:val="22"/>
          <w:szCs w:val="22"/>
        </w:rPr>
        <w:t>de dos mil veinticuatro</w:t>
      </w:r>
      <w:r w:rsidRPr="00244B85">
        <w:rPr>
          <w:rFonts w:ascii="Palatino Linotype" w:eastAsia="Palatino Linotype" w:hAnsi="Palatino Linotype" w:cs="Palatino Linotype"/>
          <w:color w:val="000000"/>
          <w:sz w:val="22"/>
          <w:szCs w:val="22"/>
        </w:rPr>
        <w:t xml:space="preserve">; en consecuencia, presentó su inconformidad el día </w:t>
      </w:r>
      <w:r w:rsidR="00EF101C" w:rsidRPr="00244B85">
        <w:rPr>
          <w:rFonts w:ascii="Palatino Linotype" w:eastAsia="Palatino Linotype" w:hAnsi="Palatino Linotype" w:cs="Palatino Linotype"/>
          <w:b/>
          <w:color w:val="000000"/>
          <w:sz w:val="22"/>
          <w:szCs w:val="22"/>
        </w:rPr>
        <w:t xml:space="preserve">nueve de mayo </w:t>
      </w:r>
      <w:r w:rsidRPr="00244B85">
        <w:rPr>
          <w:rFonts w:ascii="Palatino Linotype" w:eastAsia="Palatino Linotype" w:hAnsi="Palatino Linotype" w:cs="Palatino Linotype"/>
          <w:b/>
          <w:color w:val="000000"/>
          <w:sz w:val="22"/>
          <w:szCs w:val="22"/>
        </w:rPr>
        <w:t>de dos mil veinticuatro</w:t>
      </w:r>
      <w:r w:rsidRPr="00244B85">
        <w:rPr>
          <w:rFonts w:ascii="Palatino Linotype" w:eastAsia="Palatino Linotype" w:hAnsi="Palatino Linotype" w:cs="Palatino Linotype"/>
          <w:color w:val="000000"/>
          <w:sz w:val="22"/>
          <w:szCs w:val="22"/>
        </w:rPr>
        <w:t xml:space="preserve">, por lo que se encuentra dentro de los márgenes temporales previstos en el artículo 178 de la </w:t>
      </w:r>
      <w:r w:rsidRPr="00244B85">
        <w:rPr>
          <w:rFonts w:ascii="Palatino Linotype" w:eastAsia="Palatino Linotype" w:hAnsi="Palatino Linotype" w:cs="Palatino Linotype"/>
          <w:b/>
          <w:color w:val="000000"/>
          <w:sz w:val="22"/>
          <w:szCs w:val="22"/>
        </w:rPr>
        <w:t xml:space="preserve">Ley de Transparencia y Acceso a la Información Pública del Estado de México y Municipios </w:t>
      </w:r>
      <w:r w:rsidRPr="00244B85">
        <w:rPr>
          <w:rFonts w:ascii="Palatino Linotype" w:eastAsia="Palatino Linotype" w:hAnsi="Palatino Linotype" w:cs="Palatino Linotype"/>
          <w:color w:val="000000"/>
          <w:sz w:val="22"/>
          <w:szCs w:val="22"/>
        </w:rPr>
        <w:t>vigente.</w:t>
      </w:r>
    </w:p>
    <w:p w:rsidR="003966B8" w:rsidRPr="00244B85" w:rsidRDefault="003966B8" w:rsidP="003966B8">
      <w:pPr>
        <w:spacing w:line="360" w:lineRule="auto"/>
        <w:ind w:right="-592"/>
        <w:rPr>
          <w:rFonts w:ascii="Palatino Linotype" w:eastAsia="Palatino Linotype" w:hAnsi="Palatino Linotype" w:cs="Palatino Linotype"/>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rsidR="003966B8" w:rsidRPr="00244B85" w:rsidRDefault="003966B8" w:rsidP="003966B8">
      <w:pPr>
        <w:keepNext/>
        <w:keepLines/>
        <w:spacing w:before="240" w:line="360" w:lineRule="auto"/>
        <w:ind w:right="-592"/>
        <w:rPr>
          <w:rFonts w:ascii="Palatino Linotype" w:eastAsia="Palatino Linotype" w:hAnsi="Palatino Linotype" w:cs="Palatino Linotype"/>
          <w:b/>
          <w:sz w:val="22"/>
          <w:szCs w:val="22"/>
        </w:rPr>
      </w:pPr>
      <w:bookmarkStart w:id="6" w:name="_heading=h.tyjcwt" w:colFirst="0" w:colLast="0"/>
      <w:bookmarkEnd w:id="6"/>
      <w:r w:rsidRPr="00244B85">
        <w:rPr>
          <w:rFonts w:ascii="Palatino Linotype" w:eastAsia="Palatino Linotype" w:hAnsi="Palatino Linotype" w:cs="Palatino Linotype"/>
          <w:b/>
          <w:sz w:val="22"/>
          <w:szCs w:val="22"/>
        </w:rPr>
        <w:t>TERCERO. De las causales del sobreseimiento.</w:t>
      </w:r>
    </w:p>
    <w:p w:rsidR="003966B8" w:rsidRPr="00244B85" w:rsidRDefault="003966B8" w:rsidP="003966B8">
      <w:pPr>
        <w:numPr>
          <w:ilvl w:val="0"/>
          <w:numId w:val="2"/>
        </w:numPr>
        <w:pBdr>
          <w:top w:val="nil"/>
          <w:left w:val="nil"/>
          <w:bottom w:val="nil"/>
          <w:right w:val="nil"/>
          <w:between w:val="nil"/>
        </w:pBdr>
        <w:tabs>
          <w:tab w:val="left" w:pos="284"/>
          <w:tab w:val="left" w:pos="426"/>
        </w:tabs>
        <w:spacing w:before="240"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El recurso revisión tiene como finalidad reparar cualquier posible afectación al Derecho de Acceso a la Información Pública en términos del Título Octavo de la Ley de Transparencia, Acceso a la Información Pública del Estado de México y Municipios, y determinar la confirmación; revocación o modificación; desechamiento o </w:t>
      </w:r>
      <w:r w:rsidRPr="00244B85">
        <w:rPr>
          <w:rFonts w:ascii="Palatino Linotype" w:eastAsia="Palatino Linotype" w:hAnsi="Palatino Linotype" w:cs="Palatino Linotype"/>
          <w:b/>
          <w:color w:val="000000"/>
          <w:sz w:val="22"/>
          <w:szCs w:val="22"/>
          <w:u w:val="single"/>
        </w:rPr>
        <w:t>sobreseimiento</w:t>
      </w:r>
      <w:r w:rsidRPr="00244B85">
        <w:rPr>
          <w:rFonts w:ascii="Palatino Linotype" w:eastAsia="Palatino Linotype" w:hAnsi="Palatino Linotype" w:cs="Palatino Linotype"/>
          <w:color w:val="000000"/>
          <w:sz w:val="22"/>
          <w:szCs w:val="22"/>
        </w:rPr>
        <w:t xml:space="preserve">; y, en su caso, ordenar la entrega de la información respecto a la falta de respuesta por parte del </w:t>
      </w:r>
      <w:r w:rsidRPr="00244B85">
        <w:rPr>
          <w:rFonts w:ascii="Palatino Linotype" w:eastAsia="Palatino Linotype" w:hAnsi="Palatino Linotype" w:cs="Palatino Linotype"/>
          <w:b/>
          <w:color w:val="000000"/>
          <w:sz w:val="22"/>
          <w:szCs w:val="22"/>
        </w:rPr>
        <w:t>SUJETO</w:t>
      </w:r>
      <w:r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b/>
          <w:color w:val="000000"/>
          <w:sz w:val="22"/>
          <w:szCs w:val="22"/>
        </w:rPr>
        <w:t>OBLIGADO</w:t>
      </w:r>
      <w:r w:rsidRPr="00244B85">
        <w:rPr>
          <w:rFonts w:ascii="Palatino Linotype" w:eastAsia="Palatino Linotype" w:hAnsi="Palatino Linotype" w:cs="Palatino Linotype"/>
          <w:color w:val="000000"/>
          <w:sz w:val="22"/>
          <w:szCs w:val="22"/>
        </w:rPr>
        <w:t>.</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after="360" w:line="360" w:lineRule="auto"/>
        <w:ind w:left="0" w:right="-592" w:firstLine="0"/>
        <w:jc w:val="both"/>
        <w:rPr>
          <w:rFonts w:ascii="Palatino Linotype" w:eastAsia="Palatino Linotype" w:hAnsi="Palatino Linotype" w:cs="Palatino Linotype"/>
          <w:color w:val="000000"/>
          <w:sz w:val="22"/>
          <w:szCs w:val="22"/>
        </w:rPr>
      </w:pPr>
      <w:bookmarkStart w:id="7" w:name="_heading=h.3dy6vkm" w:colFirst="0" w:colLast="0"/>
      <w:bookmarkEnd w:id="7"/>
      <w:r w:rsidRPr="00244B85">
        <w:rPr>
          <w:rFonts w:ascii="Palatino Linotype" w:eastAsia="Palatino Linotype" w:hAnsi="Palatino Linotype" w:cs="Palatino Linotype"/>
          <w:color w:val="000000"/>
          <w:sz w:val="22"/>
          <w:szCs w:val="22"/>
        </w:rPr>
        <w:t>Así, debemos recordar que el particular solicitó: “</w:t>
      </w:r>
      <w:r w:rsidRPr="00244B85">
        <w:rPr>
          <w:rFonts w:ascii="Palatino Linotype" w:eastAsia="Palatino Linotype" w:hAnsi="Palatino Linotype" w:cs="Palatino Linotype"/>
          <w:i/>
          <w:color w:val="000000"/>
          <w:sz w:val="22"/>
          <w:szCs w:val="22"/>
        </w:rPr>
        <w:t>…</w:t>
      </w:r>
      <w:r w:rsidR="001A2D62" w:rsidRPr="00244B85">
        <w:rPr>
          <w:rFonts w:ascii="Palatino Linotype" w:eastAsia="Palatino Linotype" w:hAnsi="Palatino Linotype" w:cs="Palatino Linotype"/>
          <w:i/>
          <w:color w:val="000000"/>
          <w:sz w:val="22"/>
          <w:szCs w:val="22"/>
        </w:rPr>
        <w:t xml:space="preserve">solicito copia digitalizada de la nomina asi como todos los recibos de nomina debidamente firmados de hombres y mujeres exclusivamente de la Dirección de Obras Públicas del año 2022 y 2023: de dicha nomina requiero los gafetes de acreditacion como empleado del ayuntamiento, asi como en su caso si no forman parte de la plantilla laboral actualmente requiero la copia </w:t>
      </w:r>
      <w:r w:rsidR="001A2D62" w:rsidRPr="00244B85">
        <w:rPr>
          <w:rFonts w:ascii="Palatino Linotype" w:eastAsia="Palatino Linotype" w:hAnsi="Palatino Linotype" w:cs="Palatino Linotype"/>
          <w:i/>
          <w:color w:val="000000"/>
          <w:sz w:val="22"/>
          <w:szCs w:val="22"/>
        </w:rPr>
        <w:lastRenderedPageBreak/>
        <w:t>simple en formato pdf legible de la liquidación por derecho corresponde asi como copia simple de la renuncia presentada a la presidenta. gracias</w:t>
      </w:r>
      <w:r w:rsidRPr="00244B85">
        <w:rPr>
          <w:rFonts w:ascii="Palatino Linotype" w:eastAsia="Palatino Linotype" w:hAnsi="Palatino Linotype" w:cs="Palatino Linotype"/>
          <w:i/>
          <w:color w:val="000000"/>
          <w:sz w:val="22"/>
          <w:szCs w:val="22"/>
        </w:rPr>
        <w:t>.”</w:t>
      </w:r>
    </w:p>
    <w:p w:rsidR="003966B8" w:rsidRPr="00244B85" w:rsidRDefault="003966B8" w:rsidP="003966B8">
      <w:pPr>
        <w:numPr>
          <w:ilvl w:val="0"/>
          <w:numId w:val="2"/>
        </w:numPr>
        <w:tabs>
          <w:tab w:val="left" w:pos="0"/>
        </w:tabs>
        <w:spacing w:before="240" w:line="360" w:lineRule="auto"/>
        <w:ind w:left="0" w:right="-592" w:firstLine="0"/>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color w:val="000000"/>
          <w:sz w:val="22"/>
          <w:szCs w:val="22"/>
        </w:rPr>
        <w:t>Así las cosas, este Instituto de Transparencia, de conformidad con los principios de eficacia y profesionalismo</w:t>
      </w:r>
      <w:r w:rsidRPr="00244B85">
        <w:rPr>
          <w:rFonts w:ascii="Palatino Linotype" w:eastAsia="Palatino Linotype" w:hAnsi="Palatino Linotype" w:cs="Palatino Linotype"/>
          <w:color w:val="000000"/>
          <w:sz w:val="22"/>
          <w:szCs w:val="22"/>
          <w:vertAlign w:val="superscript"/>
        </w:rPr>
        <w:footnoteReference w:id="1"/>
      </w:r>
      <w:r w:rsidRPr="00244B85">
        <w:rPr>
          <w:rFonts w:ascii="Palatino Linotype" w:eastAsia="Palatino Linotype" w:hAnsi="Palatino Linotype" w:cs="Palatino Linotype"/>
          <w:color w:val="000000"/>
          <w:sz w:val="22"/>
          <w:szCs w:val="22"/>
        </w:rPr>
        <w:t xml:space="preserve">, procederá a verificar la información remitida por el </w:t>
      </w:r>
      <w:r w:rsidRPr="00244B85">
        <w:rPr>
          <w:rFonts w:ascii="Palatino Linotype" w:eastAsia="Palatino Linotype" w:hAnsi="Palatino Linotype" w:cs="Palatino Linotype"/>
          <w:b/>
          <w:color w:val="000000"/>
          <w:sz w:val="22"/>
          <w:szCs w:val="22"/>
        </w:rPr>
        <w:t>SUJETO OBLIGADO y</w:t>
      </w:r>
      <w:r w:rsidRPr="00244B85">
        <w:rPr>
          <w:rFonts w:ascii="Palatino Linotype" w:eastAsia="Palatino Linotype" w:hAnsi="Palatino Linotype" w:cs="Palatino Linotype"/>
          <w:color w:val="000000"/>
          <w:sz w:val="22"/>
          <w:szCs w:val="22"/>
        </w:rPr>
        <w:t xml:space="preserve"> las manifestaciones realizadas por el </w:t>
      </w:r>
      <w:r w:rsidRPr="00244B85">
        <w:rPr>
          <w:rFonts w:ascii="Palatino Linotype" w:eastAsia="Palatino Linotype" w:hAnsi="Palatino Linotype" w:cs="Palatino Linotype"/>
          <w:b/>
          <w:sz w:val="22"/>
          <w:szCs w:val="22"/>
        </w:rPr>
        <w:t>SOLICITANTE</w:t>
      </w:r>
      <w:r w:rsidRPr="00244B85">
        <w:rPr>
          <w:rFonts w:ascii="Palatino Linotype" w:eastAsia="Palatino Linotype" w:hAnsi="Palatino Linotype" w:cs="Palatino Linotype"/>
          <w:b/>
          <w:color w:val="000000"/>
          <w:sz w:val="22"/>
          <w:szCs w:val="22"/>
        </w:rPr>
        <w:t xml:space="preserve"> </w:t>
      </w:r>
      <w:r w:rsidRPr="00244B85">
        <w:rPr>
          <w:rFonts w:ascii="Palatino Linotype" w:eastAsia="Palatino Linotype" w:hAnsi="Palatino Linotype" w:cs="Palatino Linotype"/>
          <w:color w:val="000000"/>
          <w:sz w:val="22"/>
          <w:szCs w:val="22"/>
        </w:rPr>
        <w:t xml:space="preserve">a efecto de determinar si la información remitida se encuentra apegada a lo que establece la Ley en materia de transparencia. </w:t>
      </w:r>
    </w:p>
    <w:p w:rsidR="001A2D62" w:rsidRPr="00244B85" w:rsidRDefault="001A2D62" w:rsidP="001A2D62">
      <w:pPr>
        <w:tabs>
          <w:tab w:val="left" w:pos="0"/>
        </w:tabs>
        <w:spacing w:before="240" w:line="360" w:lineRule="auto"/>
        <w:ind w:right="-592"/>
        <w:jc w:val="both"/>
        <w:rPr>
          <w:rFonts w:ascii="Palatino Linotype" w:eastAsia="Palatino Linotype" w:hAnsi="Palatino Linotype" w:cs="Palatino Linotype"/>
          <w:sz w:val="22"/>
          <w:szCs w:val="22"/>
        </w:rPr>
      </w:pPr>
    </w:p>
    <w:p w:rsidR="001A2D62"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 xml:space="preserve">En tal contexto, el </w:t>
      </w:r>
      <w:r w:rsidRPr="00244B85">
        <w:rPr>
          <w:rFonts w:ascii="Palatino Linotype" w:eastAsia="Palatino Linotype" w:hAnsi="Palatino Linotype" w:cs="Palatino Linotype"/>
          <w:b/>
          <w:color w:val="000000"/>
          <w:sz w:val="22"/>
          <w:szCs w:val="22"/>
        </w:rPr>
        <w:t>SUJETO OBLIGADO</w:t>
      </w:r>
      <w:r w:rsidR="001A2D62" w:rsidRPr="00244B85">
        <w:rPr>
          <w:rFonts w:ascii="Palatino Linotype" w:eastAsia="Palatino Linotype" w:hAnsi="Palatino Linotype" w:cs="Palatino Linotype"/>
          <w:b/>
          <w:color w:val="000000"/>
          <w:sz w:val="22"/>
          <w:szCs w:val="22"/>
        </w:rPr>
        <w:t xml:space="preserve"> </w:t>
      </w:r>
      <w:r w:rsidR="001A2D62" w:rsidRPr="00244B85">
        <w:rPr>
          <w:rFonts w:ascii="Palatino Linotype" w:eastAsia="Palatino Linotype" w:hAnsi="Palatino Linotype" w:cs="Palatino Linotype"/>
          <w:color w:val="000000"/>
          <w:sz w:val="22"/>
          <w:szCs w:val="22"/>
        </w:rPr>
        <w:t xml:space="preserve">entrego la siguiente información en respuesta a la solicitud de información.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anexo 055 (renuncias).pdf: </w:t>
      </w:r>
      <w:r w:rsidRPr="00244B85">
        <w:rPr>
          <w:rFonts w:ascii="Palatino Linotype" w:eastAsia="Palatino Linotype" w:hAnsi="Palatino Linotype" w:cs="Palatino Linotype"/>
          <w:i/>
          <w:sz w:val="22"/>
          <w:szCs w:val="22"/>
        </w:rPr>
        <w:t xml:space="preserve">renuncias de las personas que fueron servidores públicos en el periodo 2022 y 2023.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ACUSE DE OFICIO DEL INFOEM 258.pdf: </w:t>
      </w:r>
      <w:r w:rsidRPr="00244B85">
        <w:rPr>
          <w:rFonts w:ascii="Palatino Linotype" w:eastAsia="Palatino Linotype" w:hAnsi="Palatino Linotype" w:cs="Palatino Linotype"/>
          <w:i/>
          <w:sz w:val="22"/>
          <w:szCs w:val="22"/>
        </w:rPr>
        <w:t xml:space="preserve">acuse del Director General de Informática, mediante la cual quedo registrada la incidencia técnica pro sobrepasar las capacidades técnicas del Sistema SAIMEX.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DIR. DE OBRAS SOL. 55.pdf: </w:t>
      </w:r>
      <w:r w:rsidRPr="00244B85">
        <w:rPr>
          <w:rFonts w:ascii="Palatino Linotype" w:eastAsia="Palatino Linotype" w:hAnsi="Palatino Linotype" w:cs="Palatino Linotype"/>
          <w:i/>
          <w:sz w:val="22"/>
          <w:szCs w:val="22"/>
        </w:rPr>
        <w:t xml:space="preserve">oficio del Director de Obras Públicas, mediante el cual refiere que envía copia simple de los gafetes del personal que labora en su área, del cual clasificaron el Registro Federal del Contribuyente.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QUINTA SESIÓN EXTRAORDINARIA.pdf: </w:t>
      </w:r>
      <w:r w:rsidRPr="00244B85">
        <w:rPr>
          <w:rFonts w:ascii="Palatino Linotype" w:eastAsia="Palatino Linotype" w:hAnsi="Palatino Linotype" w:cs="Palatino Linotype"/>
          <w:i/>
          <w:sz w:val="22"/>
          <w:szCs w:val="22"/>
        </w:rPr>
        <w:t xml:space="preserve">Acta del Comité de Transparencia, mediante el cual en el numeral cinco clasifican la información confidencial consistente en el RFC, CURP, Número de Seguridad Social, Número de cuenta bancaria, deducciones contenidas en recibo de pago, Código de verificación de QR, así como el cambio de modalidad referente a los recibos de nómina para que sean consultados de manera directa.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RECURSOS HUMANOS SOL. 55.pdf: </w:t>
      </w:r>
      <w:r w:rsidRPr="00244B85">
        <w:rPr>
          <w:rFonts w:ascii="Palatino Linotype" w:eastAsia="Palatino Linotype" w:hAnsi="Palatino Linotype" w:cs="Palatino Linotype"/>
          <w:i/>
          <w:sz w:val="22"/>
          <w:szCs w:val="22"/>
        </w:rPr>
        <w:t xml:space="preserve">oficio del Jefe del Departamento de Recursos Humanos, mediante el cual solicita se clasifiquen datos personales de los gafetes, en virtud de que contienen el RFC y huella dactilar.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lastRenderedPageBreak/>
        <w:t xml:space="preserve">gafetes del personal de obras publicas 2022 - 2024_redacted.pdf: </w:t>
      </w:r>
      <w:r w:rsidRPr="00244B85">
        <w:rPr>
          <w:rFonts w:ascii="Palatino Linotype" w:eastAsia="Palatino Linotype" w:hAnsi="Palatino Linotype" w:cs="Palatino Linotype"/>
          <w:i/>
          <w:sz w:val="22"/>
          <w:szCs w:val="22"/>
        </w:rPr>
        <w:t xml:space="preserve">contiene cincuenta gafetes del personal de Dirección de Obras Públicas, en la que clasifican el RFC.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TESORERIA MUNICIPAL SOL. 55.pdf: </w:t>
      </w:r>
      <w:r w:rsidRPr="00244B85">
        <w:rPr>
          <w:rFonts w:ascii="Palatino Linotype" w:eastAsia="Palatino Linotype" w:hAnsi="Palatino Linotype" w:cs="Palatino Linotype"/>
          <w:i/>
          <w:sz w:val="22"/>
          <w:szCs w:val="22"/>
        </w:rPr>
        <w:t xml:space="preserve">oficio del Tesorero Municipal, mediante el cual informa que la información de los recibos de nómina sobre pasa  las capacidades técnicas del sistema Saimex. </w:t>
      </w:r>
    </w:p>
    <w:p w:rsidR="001A2D62" w:rsidRPr="00244B85" w:rsidRDefault="001A2D62" w:rsidP="001A2D62">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 xml:space="preserve">CONSEJERIA JURÍDICA SOL. 55.pdf: </w:t>
      </w:r>
      <w:r w:rsidRPr="00244B85">
        <w:rPr>
          <w:rFonts w:ascii="Palatino Linotype" w:eastAsia="Palatino Linotype" w:hAnsi="Palatino Linotype" w:cs="Palatino Linotype"/>
          <w:i/>
          <w:sz w:val="22"/>
          <w:szCs w:val="22"/>
        </w:rPr>
        <w:t xml:space="preserve">Oficio del Consejero Jurídico y Consultivo, mediante el cual informa que se encontraron 4 convenios de terminación de la relación laboral de ex servidores públicos adscritos al área de obras públicas del 2022 y 2023, dando cumplimiento a lo solicitado se remite la información por vía digital, referente a la liquidación. </w:t>
      </w:r>
    </w:p>
    <w:p w:rsidR="001A2D62" w:rsidRPr="00244B85" w:rsidRDefault="001A2D62" w:rsidP="001A2D62">
      <w:pPr>
        <w:rPr>
          <w:sz w:val="22"/>
          <w:szCs w:val="22"/>
        </w:rPr>
      </w:pPr>
    </w:p>
    <w:p w:rsidR="001A2D62" w:rsidRPr="00244B85" w:rsidRDefault="001A2D62" w:rsidP="001A2D62">
      <w:pPr>
        <w:pStyle w:val="Prrafodelista"/>
        <w:rPr>
          <w:rFonts w:ascii="Palatino Linotype" w:eastAsia="Palatino Linotype" w:hAnsi="Palatino Linotype" w:cs="Palatino Linotype"/>
          <w:b/>
          <w:color w:val="000000"/>
          <w:szCs w:val="22"/>
        </w:rPr>
      </w:pPr>
    </w:p>
    <w:p w:rsidR="003966B8" w:rsidRPr="00244B85" w:rsidRDefault="003966B8" w:rsidP="005A06E0">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b/>
          <w:color w:val="000000"/>
          <w:sz w:val="22"/>
          <w:szCs w:val="22"/>
        </w:rPr>
        <w:t xml:space="preserve"> </w:t>
      </w:r>
      <w:r w:rsidR="001A2D62" w:rsidRPr="00244B85">
        <w:rPr>
          <w:rFonts w:ascii="Palatino Linotype" w:eastAsia="Palatino Linotype" w:hAnsi="Palatino Linotype" w:cs="Palatino Linotype"/>
          <w:color w:val="000000"/>
          <w:sz w:val="22"/>
          <w:szCs w:val="22"/>
        </w:rPr>
        <w:t xml:space="preserve">De la respuesta proporcionada la entonces </w:t>
      </w:r>
      <w:r w:rsidR="001A2D62" w:rsidRPr="00244B85">
        <w:rPr>
          <w:rFonts w:ascii="Palatino Linotype" w:eastAsia="Palatino Linotype" w:hAnsi="Palatino Linotype" w:cs="Palatino Linotype"/>
          <w:b/>
          <w:color w:val="000000"/>
          <w:sz w:val="22"/>
          <w:szCs w:val="22"/>
        </w:rPr>
        <w:t xml:space="preserve">SOLICITANTE </w:t>
      </w:r>
      <w:r w:rsidR="001A2D62" w:rsidRPr="00244B85">
        <w:rPr>
          <w:rFonts w:ascii="Palatino Linotype" w:eastAsia="Palatino Linotype" w:hAnsi="Palatino Linotype" w:cs="Palatino Linotype"/>
          <w:color w:val="000000"/>
          <w:sz w:val="22"/>
          <w:szCs w:val="22"/>
        </w:rPr>
        <w:t xml:space="preserve">se inconformo por </w:t>
      </w:r>
      <w:r w:rsidR="001A2D62" w:rsidRPr="00244B85">
        <w:rPr>
          <w:rFonts w:ascii="Palatino Linotype" w:eastAsia="Palatino Linotype" w:hAnsi="Palatino Linotype" w:cs="Palatino Linotype"/>
          <w:i/>
          <w:color w:val="000000"/>
          <w:sz w:val="22"/>
          <w:szCs w:val="22"/>
        </w:rPr>
        <w:t>“no dan toda la información ya que falta la gente que fue aviadora”</w:t>
      </w:r>
      <w:r w:rsidR="005A06E0" w:rsidRPr="00244B85">
        <w:rPr>
          <w:rFonts w:ascii="Palatino Linotype" w:eastAsia="Palatino Linotype" w:hAnsi="Palatino Linotype" w:cs="Palatino Linotype"/>
          <w:color w:val="000000"/>
          <w:sz w:val="22"/>
          <w:szCs w:val="22"/>
        </w:rPr>
        <w:t xml:space="preserve">. </w:t>
      </w:r>
    </w:p>
    <w:p w:rsidR="005A06E0" w:rsidRPr="00244B85" w:rsidRDefault="005A06E0" w:rsidP="005A06E0">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En consecuencia,  en un primer momento se advierte que la inconformidad de</w:t>
      </w:r>
      <w:r w:rsidR="005A06E0"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color w:val="000000"/>
          <w:sz w:val="22"/>
          <w:szCs w:val="22"/>
        </w:rPr>
        <w:t>l</w:t>
      </w:r>
      <w:r w:rsidR="005A06E0" w:rsidRPr="00244B85">
        <w:rPr>
          <w:rFonts w:ascii="Palatino Linotype" w:eastAsia="Palatino Linotype" w:hAnsi="Palatino Linotype" w:cs="Palatino Linotype"/>
          <w:color w:val="000000"/>
          <w:sz w:val="22"/>
          <w:szCs w:val="22"/>
        </w:rPr>
        <w:t>a</w:t>
      </w:r>
      <w:r w:rsidRPr="00244B85">
        <w:rPr>
          <w:rFonts w:ascii="Palatino Linotype" w:eastAsia="Palatino Linotype" w:hAnsi="Palatino Linotype" w:cs="Palatino Linotype"/>
          <w:color w:val="000000"/>
          <w:sz w:val="22"/>
          <w:szCs w:val="22"/>
        </w:rPr>
        <w:t xml:space="preserve"> </w:t>
      </w:r>
      <w:r w:rsidRPr="00244B85">
        <w:rPr>
          <w:rFonts w:ascii="Palatino Linotype" w:eastAsia="Palatino Linotype" w:hAnsi="Palatino Linotype" w:cs="Palatino Linotype"/>
          <w:b/>
          <w:color w:val="000000"/>
          <w:sz w:val="22"/>
          <w:szCs w:val="22"/>
        </w:rPr>
        <w:t>RECURRENTE</w:t>
      </w:r>
      <w:r w:rsidRPr="00244B85">
        <w:rPr>
          <w:rFonts w:ascii="Palatino Linotype" w:eastAsia="Palatino Linotype" w:hAnsi="Palatino Linotype" w:cs="Palatino Linotype"/>
          <w:color w:val="000000"/>
          <w:sz w:val="22"/>
          <w:szCs w:val="22"/>
        </w:rPr>
        <w:t xml:space="preserve"> radica en que la info</w:t>
      </w:r>
      <w:r w:rsidR="005A06E0" w:rsidRPr="00244B85">
        <w:rPr>
          <w:rFonts w:ascii="Palatino Linotype" w:eastAsia="Palatino Linotype" w:hAnsi="Palatino Linotype" w:cs="Palatino Linotype"/>
          <w:color w:val="000000"/>
          <w:sz w:val="22"/>
          <w:szCs w:val="22"/>
        </w:rPr>
        <w:t xml:space="preserve">rmación remitida es incompleta respecto a la gente aviadora, por lo que, </w:t>
      </w:r>
      <w:r w:rsidRPr="00244B85">
        <w:rPr>
          <w:rFonts w:ascii="Palatino Linotype" w:eastAsia="Palatino Linotype" w:hAnsi="Palatino Linotype" w:cs="Palatino Linotype"/>
          <w:color w:val="000000"/>
          <w:sz w:val="22"/>
          <w:szCs w:val="22"/>
        </w:rPr>
        <w:t xml:space="preserve">no se </w:t>
      </w:r>
      <w:r w:rsidR="005A06E0" w:rsidRPr="00244B85">
        <w:rPr>
          <w:rFonts w:ascii="Palatino Linotype" w:eastAsia="Palatino Linotype" w:hAnsi="Palatino Linotype" w:cs="Palatino Linotype"/>
          <w:sz w:val="22"/>
          <w:szCs w:val="22"/>
        </w:rPr>
        <w:t xml:space="preserve">inconformo </w:t>
      </w:r>
      <w:r w:rsidRPr="00244B85">
        <w:rPr>
          <w:rFonts w:ascii="Palatino Linotype" w:eastAsia="Palatino Linotype" w:hAnsi="Palatino Linotype" w:cs="Palatino Linotype"/>
          <w:color w:val="000000"/>
          <w:sz w:val="22"/>
          <w:szCs w:val="22"/>
        </w:rPr>
        <w:t xml:space="preserve">por las documentales emitidas en respuesta, </w:t>
      </w:r>
      <w:r w:rsidR="005A06E0" w:rsidRPr="00244B85">
        <w:rPr>
          <w:rFonts w:ascii="Palatino Linotype" w:eastAsia="Palatino Linotype" w:hAnsi="Palatino Linotype" w:cs="Palatino Linotype"/>
          <w:color w:val="000000"/>
          <w:sz w:val="22"/>
          <w:szCs w:val="22"/>
        </w:rPr>
        <w:t xml:space="preserve">ni por el cambio de modalidad propuesto por el </w:t>
      </w:r>
      <w:r w:rsidR="005A06E0" w:rsidRPr="00244B85">
        <w:rPr>
          <w:rFonts w:ascii="Palatino Linotype" w:eastAsia="Palatino Linotype" w:hAnsi="Palatino Linotype" w:cs="Palatino Linotype"/>
          <w:b/>
          <w:color w:val="000000"/>
          <w:sz w:val="22"/>
          <w:szCs w:val="22"/>
        </w:rPr>
        <w:t>SUJETO OBLIGADO</w:t>
      </w:r>
      <w:r w:rsidRPr="00244B85">
        <w:rPr>
          <w:rFonts w:ascii="Palatino Linotype" w:eastAsia="Palatino Linotype" w:hAnsi="Palatino Linotype" w:cs="Palatino Linotype"/>
          <w:color w:val="000000"/>
          <w:sz w:val="22"/>
          <w:szCs w:val="22"/>
        </w:rPr>
        <w:t xml:space="preserve"> en este caso, la</w:t>
      </w:r>
      <w:r w:rsidR="005A06E0" w:rsidRPr="00244B85">
        <w:rPr>
          <w:rFonts w:ascii="Palatino Linotype" w:eastAsia="Palatino Linotype" w:hAnsi="Palatino Linotype" w:cs="Palatino Linotype"/>
          <w:color w:val="000000"/>
          <w:sz w:val="22"/>
          <w:szCs w:val="22"/>
        </w:rPr>
        <w:t>s</w:t>
      </w:r>
      <w:r w:rsidRPr="00244B85">
        <w:rPr>
          <w:rFonts w:ascii="Palatino Linotype" w:eastAsia="Palatino Linotype" w:hAnsi="Palatino Linotype" w:cs="Palatino Linotype"/>
          <w:color w:val="000000"/>
          <w:sz w:val="22"/>
          <w:szCs w:val="22"/>
        </w:rPr>
        <w:t xml:space="preserve"> parte</w:t>
      </w:r>
      <w:r w:rsidR="005A06E0" w:rsidRPr="00244B85">
        <w:rPr>
          <w:rFonts w:ascii="Palatino Linotype" w:eastAsia="Palatino Linotype" w:hAnsi="Palatino Linotype" w:cs="Palatino Linotype"/>
          <w:color w:val="000000"/>
          <w:sz w:val="22"/>
          <w:szCs w:val="22"/>
        </w:rPr>
        <w:t>s</w:t>
      </w:r>
      <w:r w:rsidRPr="00244B85">
        <w:rPr>
          <w:rFonts w:ascii="Palatino Linotype" w:eastAsia="Palatino Linotype" w:hAnsi="Palatino Linotype" w:cs="Palatino Linotype"/>
          <w:color w:val="000000"/>
          <w:sz w:val="22"/>
          <w:szCs w:val="22"/>
        </w:rPr>
        <w:t xml:space="preserve"> de la respuesta que no fue</w:t>
      </w:r>
      <w:r w:rsidR="005A06E0" w:rsidRPr="00244B85">
        <w:rPr>
          <w:rFonts w:ascii="Palatino Linotype" w:eastAsia="Palatino Linotype" w:hAnsi="Palatino Linotype" w:cs="Palatino Linotype"/>
          <w:color w:val="000000"/>
          <w:sz w:val="22"/>
          <w:szCs w:val="22"/>
        </w:rPr>
        <w:t>ron</w:t>
      </w:r>
      <w:r w:rsidRPr="00244B85">
        <w:rPr>
          <w:rFonts w:ascii="Palatino Linotype" w:eastAsia="Palatino Linotype" w:hAnsi="Palatino Linotype" w:cs="Palatino Linotype"/>
          <w:color w:val="000000"/>
          <w:sz w:val="22"/>
          <w:szCs w:val="22"/>
        </w:rPr>
        <w:t xml:space="preserve"> impugnada</w:t>
      </w:r>
      <w:r w:rsidR="005A06E0" w:rsidRPr="00244B85">
        <w:rPr>
          <w:rFonts w:ascii="Palatino Linotype" w:eastAsia="Palatino Linotype" w:hAnsi="Palatino Linotype" w:cs="Palatino Linotype"/>
          <w:color w:val="000000"/>
          <w:sz w:val="22"/>
          <w:szCs w:val="22"/>
        </w:rPr>
        <w:t>s</w:t>
      </w:r>
      <w:r w:rsidRPr="00244B85">
        <w:rPr>
          <w:rFonts w:ascii="Palatino Linotype" w:eastAsia="Palatino Linotype" w:hAnsi="Palatino Linotype" w:cs="Palatino Linotype"/>
          <w:color w:val="000000"/>
          <w:sz w:val="22"/>
          <w:szCs w:val="22"/>
        </w:rPr>
        <w:t xml:space="preserve"> debe</w:t>
      </w:r>
      <w:r w:rsidR="005A06E0" w:rsidRPr="00244B85">
        <w:rPr>
          <w:rFonts w:ascii="Palatino Linotype" w:eastAsia="Palatino Linotype" w:hAnsi="Palatino Linotype" w:cs="Palatino Linotype"/>
          <w:color w:val="000000"/>
          <w:sz w:val="22"/>
          <w:szCs w:val="22"/>
        </w:rPr>
        <w:t>n</w:t>
      </w:r>
      <w:r w:rsidRPr="00244B85">
        <w:rPr>
          <w:rFonts w:ascii="Palatino Linotype" w:eastAsia="Palatino Linotype" w:hAnsi="Palatino Linotype" w:cs="Palatino Linotype"/>
          <w:color w:val="000000"/>
          <w:sz w:val="22"/>
          <w:szCs w:val="22"/>
        </w:rPr>
        <w:t xml:space="preserve"> declararse consentida</w:t>
      </w:r>
      <w:r w:rsidR="005A06E0" w:rsidRPr="00244B85">
        <w:rPr>
          <w:rFonts w:ascii="Palatino Linotype" w:eastAsia="Palatino Linotype" w:hAnsi="Palatino Linotype" w:cs="Palatino Linotype"/>
          <w:color w:val="000000"/>
          <w:sz w:val="22"/>
          <w:szCs w:val="22"/>
        </w:rPr>
        <w:t>s</w:t>
      </w:r>
      <w:r w:rsidRPr="00244B85">
        <w:rPr>
          <w:rFonts w:ascii="Palatino Linotype" w:eastAsia="Palatino Linotype" w:hAnsi="Palatino Linotype" w:cs="Palatino Linotype"/>
          <w:color w:val="000000"/>
          <w:sz w:val="22"/>
          <w:szCs w:val="22"/>
        </w:rPr>
        <w:t xml:space="preserve">, toda vez que al no realizar manifestaciones de inconformidad respecto de la respuesta proporcionada, no pueden producirse efectos jurídicos tendentes a revocar, confirmar o modificar el acto reclamado, ya que no realizó manifestación alguna al respecto.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Sirve de sustento, la tesis jurisprudencial número VI.3o.C. J/60, publicada en el Semanario Judicial de la Federación y su Gaceta bajo el número de registro 176,608 que a la letra dice:</w:t>
      </w:r>
    </w:p>
    <w:p w:rsidR="003966B8" w:rsidRPr="00244B85" w:rsidRDefault="003966B8" w:rsidP="00DE50F6">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“ACTOS CONSENTIDOS. SON LOS QUE NO SE IMPUGNAN MEDIANTE EL RECURSO IDÓNEO. 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rsidR="003966B8" w:rsidRPr="00244B85" w:rsidRDefault="003966B8" w:rsidP="003966B8">
      <w:pPr>
        <w:pBdr>
          <w:top w:val="nil"/>
          <w:left w:val="nil"/>
          <w:bottom w:val="nil"/>
          <w:right w:val="nil"/>
          <w:between w:val="nil"/>
        </w:pBdr>
        <w:spacing w:line="360" w:lineRule="auto"/>
        <w:ind w:left="851" w:right="-592"/>
        <w:jc w:val="both"/>
        <w:rPr>
          <w:rFonts w:ascii="Palatino Linotype" w:eastAsia="Palatino Linotype" w:hAnsi="Palatino Linotype" w:cs="Palatino Linotype"/>
          <w:i/>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Lo anterior es así, debido a que cuand</w:t>
      </w:r>
      <w:r w:rsidR="00DE50F6" w:rsidRPr="00244B85">
        <w:rPr>
          <w:rFonts w:ascii="Palatino Linotype" w:eastAsia="Palatino Linotype" w:hAnsi="Palatino Linotype" w:cs="Palatino Linotype"/>
          <w:color w:val="000000"/>
          <w:sz w:val="22"/>
          <w:szCs w:val="22"/>
        </w:rPr>
        <w:t>o la</w:t>
      </w:r>
      <w:r w:rsidRPr="00244B85">
        <w:rPr>
          <w:rFonts w:ascii="Palatino Linotype" w:eastAsia="Palatino Linotype" w:hAnsi="Palatino Linotype" w:cs="Palatino Linotype"/>
          <w:color w:val="000000"/>
          <w:sz w:val="22"/>
          <w:szCs w:val="22"/>
        </w:rPr>
        <w:t xml:space="preserve"> particular impugnó la respuesta del </w:t>
      </w:r>
      <w:r w:rsidRPr="00244B85">
        <w:rPr>
          <w:rFonts w:ascii="Palatino Linotype" w:eastAsia="Palatino Linotype" w:hAnsi="Palatino Linotype" w:cs="Palatino Linotype"/>
          <w:b/>
          <w:color w:val="000000"/>
          <w:sz w:val="22"/>
          <w:szCs w:val="22"/>
        </w:rPr>
        <w:t>SUJETO OBLIGADO</w:t>
      </w:r>
      <w:r w:rsidRPr="00244B85">
        <w:rPr>
          <w:rFonts w:ascii="Palatino Linotype" w:eastAsia="Palatino Linotype" w:hAnsi="Palatino Linotype" w:cs="Palatino Linotype"/>
          <w:color w:val="000000"/>
          <w:sz w:val="22"/>
          <w:szCs w:val="22"/>
        </w:rPr>
        <w:t>, no expresó razón o motivo de inconformidad en contra de lo que se le hizo entrega, por tanto, estos deben declararse at</w:t>
      </w:r>
      <w:r w:rsidR="00DE50F6" w:rsidRPr="00244B85">
        <w:rPr>
          <w:rFonts w:ascii="Palatino Linotype" w:eastAsia="Palatino Linotype" w:hAnsi="Palatino Linotype" w:cs="Palatino Linotype"/>
          <w:color w:val="000000"/>
          <w:sz w:val="22"/>
          <w:szCs w:val="22"/>
        </w:rPr>
        <w:t xml:space="preserve">endidos, pues se entiende que </w:t>
      </w:r>
      <w:r w:rsidR="00DE50F6" w:rsidRPr="00244B85">
        <w:rPr>
          <w:rFonts w:ascii="Palatino Linotype" w:eastAsia="Palatino Linotype" w:hAnsi="Palatino Linotype" w:cs="Palatino Linotype"/>
          <w:b/>
          <w:color w:val="000000"/>
          <w:sz w:val="22"/>
          <w:szCs w:val="22"/>
        </w:rPr>
        <w:t>LA</w:t>
      </w:r>
      <w:r w:rsidRPr="00244B85">
        <w:rPr>
          <w:rFonts w:ascii="Palatino Linotype" w:eastAsia="Palatino Linotype" w:hAnsi="Palatino Linotype" w:cs="Palatino Linotype"/>
          <w:b/>
          <w:color w:val="000000"/>
          <w:sz w:val="22"/>
          <w:szCs w:val="22"/>
        </w:rPr>
        <w:t xml:space="preserve"> RECURRENTE</w:t>
      </w:r>
      <w:r w:rsidRPr="00244B85">
        <w:rPr>
          <w:rFonts w:ascii="Palatino Linotype" w:eastAsia="Palatino Linotype" w:hAnsi="Palatino Linotype" w:cs="Palatino Linotype"/>
          <w:color w:val="000000"/>
          <w:sz w:val="22"/>
          <w:szCs w:val="22"/>
        </w:rPr>
        <w:t xml:space="preserve"> está conforme con la respuesta proporcionada por </w:t>
      </w:r>
      <w:r w:rsidRPr="00244B85">
        <w:rPr>
          <w:rFonts w:ascii="Palatino Linotype" w:eastAsia="Palatino Linotype" w:hAnsi="Palatino Linotype" w:cs="Palatino Linotype"/>
          <w:b/>
          <w:color w:val="000000"/>
          <w:sz w:val="22"/>
          <w:szCs w:val="22"/>
        </w:rPr>
        <w:t>EL SUJETO OBLIGADO</w:t>
      </w:r>
      <w:r w:rsidRPr="00244B85">
        <w:rPr>
          <w:rFonts w:ascii="Palatino Linotype" w:eastAsia="Palatino Linotype" w:hAnsi="Palatino Linotype" w:cs="Palatino Linotype"/>
          <w:color w:val="000000"/>
          <w:sz w:val="22"/>
          <w:szCs w:val="22"/>
        </w:rPr>
        <w:t xml:space="preserve">, al no contravenir la misma.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3966B8" w:rsidRPr="00244B85" w:rsidRDefault="003966B8" w:rsidP="003966B8">
      <w:pPr>
        <w:numPr>
          <w:ilvl w:val="0"/>
          <w:numId w:val="2"/>
        </w:numPr>
        <w:pBdr>
          <w:top w:val="nil"/>
          <w:left w:val="nil"/>
          <w:bottom w:val="nil"/>
          <w:right w:val="nil"/>
          <w:between w:val="nil"/>
        </w:pBdr>
        <w:spacing w:line="360" w:lineRule="auto"/>
        <w:ind w:left="0" w:right="-592" w:firstLine="0"/>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color w:val="000000"/>
          <w:sz w:val="22"/>
          <w:szCs w:val="22"/>
        </w:rPr>
        <w:t>Atento a ello, es importante traer a contexto la Tesis Jurisprudencial Número 3ª./J.7/91, Publicada en el Semanario Judicial de la Federación y su Gaceta bajo el número de registro 174,177, que establece lo siguiente:</w:t>
      </w:r>
    </w:p>
    <w:p w:rsidR="003966B8" w:rsidRPr="00244B85" w:rsidRDefault="003966B8" w:rsidP="00757273">
      <w:pPr>
        <w:pBdr>
          <w:top w:val="nil"/>
          <w:left w:val="nil"/>
          <w:bottom w:val="nil"/>
          <w:right w:val="nil"/>
          <w:between w:val="nil"/>
        </w:pBdr>
        <w:spacing w:after="240"/>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“REVISIÓN EN AMPARO. LOS RESOLUTIVOS NO COMBATIDOS DEBEN DECLARARSE FIRMES. 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rsidR="003966B8" w:rsidRPr="00244B85" w:rsidRDefault="003966B8" w:rsidP="003966B8">
      <w:pPr>
        <w:numPr>
          <w:ilvl w:val="0"/>
          <w:numId w:val="2"/>
        </w:numPr>
        <w:spacing w:line="360" w:lineRule="auto"/>
        <w:ind w:left="0" w:right="-592" w:firstLine="0"/>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sz w:val="22"/>
          <w:szCs w:val="22"/>
        </w:rPr>
        <w:t xml:space="preserve">Conforme al Criterio establecido, es improcedente entrar al análisis de las partes de la respuesta del Sujeto Obligado que no fueron impugnadas por el Recurrente; por lo que, en el presente caso, se tiene por consentida la información proporcionada por el Ente Recurrido, en respuesta. En este contexto, se hará pronunciamiento, únicamente por la </w:t>
      </w:r>
      <w:r w:rsidR="00757273" w:rsidRPr="00244B85">
        <w:rPr>
          <w:rFonts w:ascii="Palatino Linotype" w:eastAsia="Palatino Linotype" w:hAnsi="Palatino Linotype" w:cs="Palatino Linotype"/>
          <w:sz w:val="22"/>
          <w:szCs w:val="22"/>
        </w:rPr>
        <w:t xml:space="preserve">impugnación referente a los aviadores, que fue el motivo de inconformidad de la </w:t>
      </w:r>
      <w:r w:rsidR="00757273" w:rsidRPr="00244B85">
        <w:rPr>
          <w:rFonts w:ascii="Palatino Linotype" w:eastAsia="Palatino Linotype" w:hAnsi="Palatino Linotype" w:cs="Palatino Linotype"/>
          <w:b/>
          <w:sz w:val="22"/>
          <w:szCs w:val="22"/>
        </w:rPr>
        <w:t>RECURRENTE</w:t>
      </w:r>
      <w:r w:rsidRPr="00244B85">
        <w:rPr>
          <w:rFonts w:ascii="Palatino Linotype" w:eastAsia="Palatino Linotype" w:hAnsi="Palatino Linotype" w:cs="Palatino Linotype"/>
          <w:sz w:val="22"/>
          <w:szCs w:val="22"/>
        </w:rPr>
        <w:t xml:space="preserve">. </w:t>
      </w:r>
    </w:p>
    <w:p w:rsidR="003966B8" w:rsidRPr="00244B85" w:rsidRDefault="003966B8" w:rsidP="003966B8">
      <w:pPr>
        <w:pBdr>
          <w:top w:val="nil"/>
          <w:left w:val="nil"/>
          <w:bottom w:val="nil"/>
          <w:right w:val="nil"/>
          <w:between w:val="nil"/>
        </w:pBdr>
        <w:spacing w:line="360" w:lineRule="auto"/>
        <w:ind w:right="-592"/>
        <w:jc w:val="both"/>
        <w:rPr>
          <w:rFonts w:ascii="Palatino Linotype" w:eastAsia="Palatino Linotype" w:hAnsi="Palatino Linotype" w:cs="Palatino Linotype"/>
          <w:color w:val="000000"/>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eastAsia="Palatino Linotype" w:hAnsi="Palatino Linotype" w:cs="Palatino Linotype"/>
          <w:sz w:val="22"/>
          <w:szCs w:val="22"/>
        </w:rPr>
        <w:t>Ahora bien</w:t>
      </w:r>
      <w:r w:rsidRPr="00244B85">
        <w:rPr>
          <w:rFonts w:ascii="Palatino Linotype" w:hAnsi="Palatino Linotype" w:cs="Arial"/>
          <w:sz w:val="22"/>
          <w:szCs w:val="22"/>
        </w:rPr>
        <w:t>, del análisis realizado al expediente electrónico, se advierte que el motivo de inconformidad no constituye un derecho de acceso a la información y por lo tanto no es atendible mediante el analisis del recurso de revisión, porque el motivo de inconformidad de trata de manifestaciones subjetivas vertidas por el particular, así como declaraciones, situación que conlleva a afirmar que se está en presencia del ejercicio del derecho a la libre expresión y en todo caso a un derecho de petición.</w:t>
      </w:r>
    </w:p>
    <w:p w:rsidR="00EB6A0C" w:rsidRPr="00244B85" w:rsidRDefault="00EB6A0C" w:rsidP="00EB6A0C">
      <w:pPr>
        <w:spacing w:line="360" w:lineRule="auto"/>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i/>
          <w:sz w:val="22"/>
          <w:szCs w:val="22"/>
        </w:rPr>
      </w:pPr>
      <w:r w:rsidRPr="00244B85">
        <w:rPr>
          <w:rFonts w:ascii="Palatino Linotype" w:hAnsi="Palatino Linotype" w:cs="Arial"/>
          <w:sz w:val="22"/>
          <w:szCs w:val="22"/>
        </w:rPr>
        <w:t xml:space="preserve">A efecto de </w:t>
      </w:r>
      <w:r w:rsidRPr="00244B85">
        <w:rPr>
          <w:rFonts w:ascii="Palatino Linotype" w:eastAsia="Palatino Linotype" w:hAnsi="Palatino Linotype" w:cs="Palatino Linotype"/>
          <w:sz w:val="22"/>
          <w:szCs w:val="22"/>
        </w:rPr>
        <w:t>sustentar</w:t>
      </w:r>
      <w:r w:rsidRPr="00244B85">
        <w:rPr>
          <w:rFonts w:ascii="Palatino Linotype" w:hAnsi="Palatino Linotype" w:cs="Arial"/>
          <w:sz w:val="22"/>
          <w:szCs w:val="22"/>
        </w:rPr>
        <w:t xml:space="preserve"> lo anterior, es preciso mencionar que David Cienfuegos Salgado, concibe al derecho de petición como </w:t>
      </w:r>
      <w:r w:rsidRPr="00244B85">
        <w:rPr>
          <w:rFonts w:ascii="Palatino Linotype" w:hAnsi="Palatino Linotype" w:cs="Arial"/>
          <w:i/>
          <w:sz w:val="22"/>
          <w:szCs w:val="22"/>
        </w:rPr>
        <w:t>“</w:t>
      </w:r>
      <w:r w:rsidRPr="00244B85">
        <w:rPr>
          <w:rFonts w:ascii="Palatino Linotype" w:hAnsi="Palatino Linotype" w:cs="Arial"/>
          <w:b/>
          <w:i/>
          <w:sz w:val="22"/>
          <w:szCs w:val="22"/>
          <w:u w:val="single"/>
        </w:rPr>
        <w:t>el derecho de toda persona a ser escuchado por quienes ejercen el poder públic</w:t>
      </w:r>
      <w:r w:rsidRPr="00244B85">
        <w:rPr>
          <w:rFonts w:ascii="Palatino Linotype" w:hAnsi="Palatino Linotype" w:cs="Arial"/>
          <w:i/>
          <w:sz w:val="22"/>
          <w:szCs w:val="22"/>
        </w:rPr>
        <w:t>o.</w:t>
      </w:r>
      <w:r w:rsidRPr="00244B85">
        <w:rPr>
          <w:rStyle w:val="Refdenotaalpie"/>
          <w:rFonts w:ascii="Palatino Linotype" w:hAnsi="Palatino Linotype"/>
          <w:i/>
          <w:sz w:val="22"/>
          <w:szCs w:val="22"/>
        </w:rPr>
        <w:t xml:space="preserve"> </w:t>
      </w:r>
      <w:r w:rsidRPr="00244B85">
        <w:rPr>
          <w:rStyle w:val="Refdenotaalpie"/>
          <w:rFonts w:ascii="Palatino Linotype" w:hAnsi="Palatino Linotype"/>
          <w:i/>
          <w:sz w:val="22"/>
          <w:szCs w:val="22"/>
        </w:rPr>
        <w:footnoteReference w:id="2"/>
      </w:r>
      <w:r w:rsidRPr="00244B85">
        <w:rPr>
          <w:rFonts w:ascii="Palatino Linotype" w:hAnsi="Palatino Linotype" w:cs="Arial"/>
          <w:i/>
          <w:sz w:val="22"/>
          <w:szCs w:val="22"/>
        </w:rPr>
        <w:t xml:space="preserve">” (Sic) </w:t>
      </w:r>
    </w:p>
    <w:p w:rsidR="00EB6A0C" w:rsidRPr="00244B85" w:rsidRDefault="00EB6A0C" w:rsidP="00EB6A0C">
      <w:pPr>
        <w:pStyle w:val="Prrafodelista"/>
        <w:autoSpaceDE w:val="0"/>
        <w:autoSpaceDN w:val="0"/>
        <w:adjustRightInd w:val="0"/>
        <w:spacing w:line="360" w:lineRule="auto"/>
        <w:ind w:left="0"/>
        <w:contextualSpacing w:val="0"/>
        <w:jc w:val="both"/>
        <w:rPr>
          <w:rFonts w:ascii="Palatino Linotype" w:hAnsi="Palatino Linotype" w:cs="Arial"/>
          <w:i/>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De la </w:t>
      </w:r>
      <w:r w:rsidRPr="00244B85">
        <w:rPr>
          <w:rFonts w:ascii="Palatino Linotype" w:eastAsia="Palatino Linotype" w:hAnsi="Palatino Linotype" w:cs="Palatino Linotype"/>
          <w:sz w:val="22"/>
          <w:szCs w:val="22"/>
        </w:rPr>
        <w:t>misma</w:t>
      </w:r>
      <w:r w:rsidRPr="00244B85">
        <w:rPr>
          <w:rFonts w:ascii="Palatino Linotype" w:hAnsi="Palatino Linotype" w:cs="Arial"/>
          <w:sz w:val="22"/>
          <w:szCs w:val="22"/>
        </w:rPr>
        <w:t xml:space="preserve"> manera, Miguel Carbonell en su libro “Los derechos fundamentales” refiere que el </w:t>
      </w:r>
      <w:r w:rsidRPr="00244B85">
        <w:rPr>
          <w:rFonts w:ascii="Palatino Linotype" w:hAnsi="Palatino Linotype" w:cs="Arial"/>
          <w:sz w:val="22"/>
          <w:szCs w:val="22"/>
          <w:u w:val="single"/>
        </w:rPr>
        <w:t>derecho de petición se ha entendido de dos distintitas maneras</w:t>
      </w:r>
      <w:r w:rsidRPr="00244B85">
        <w:rPr>
          <w:rFonts w:ascii="Palatino Linotype" w:hAnsi="Palatino Linotype" w:cs="Arial"/>
          <w:sz w:val="22"/>
          <w:szCs w:val="22"/>
        </w:rPr>
        <w:t xml:space="preserve">, a saber: como un derecho fundamental de participación política ya que </w:t>
      </w:r>
      <w:r w:rsidRPr="00244B85">
        <w:rPr>
          <w:rFonts w:ascii="Palatino Linotype" w:hAnsi="Palatino Linotype" w:cs="Arial"/>
          <w:sz w:val="22"/>
          <w:szCs w:val="22"/>
          <w:u w:val="single"/>
        </w:rPr>
        <w:t xml:space="preserve">permite a los particulares trasladar a las autoridades sus </w:t>
      </w:r>
      <w:r w:rsidRPr="00244B85">
        <w:rPr>
          <w:rFonts w:ascii="Palatino Linotype" w:hAnsi="Palatino Linotype" w:cs="Arial"/>
          <w:b/>
          <w:sz w:val="22"/>
          <w:szCs w:val="22"/>
          <w:u w:val="single"/>
        </w:rPr>
        <w:t>inquietudes, quejas</w:t>
      </w:r>
      <w:r w:rsidRPr="00244B85">
        <w:rPr>
          <w:rFonts w:ascii="Palatino Linotype" w:hAnsi="Palatino Linotype" w:cs="Arial"/>
          <w:sz w:val="22"/>
          <w:szCs w:val="22"/>
          <w:u w:val="single"/>
        </w:rPr>
        <w:t>, sugerencias</w:t>
      </w:r>
      <w:r w:rsidRPr="00244B85">
        <w:rPr>
          <w:rFonts w:ascii="Palatino Linotype" w:hAnsi="Palatino Linotype" w:cs="Arial"/>
          <w:sz w:val="22"/>
          <w:szCs w:val="22"/>
        </w:rPr>
        <w:t xml:space="preserve"> y requerimientos en cualquier materia o asunto; y como una </w:t>
      </w:r>
      <w:r w:rsidRPr="00244B85">
        <w:rPr>
          <w:rFonts w:ascii="Palatino Linotype" w:hAnsi="Palatino Linotype" w:cs="Arial"/>
          <w:b/>
          <w:sz w:val="22"/>
          <w:szCs w:val="22"/>
        </w:rPr>
        <w:t>forma específica de la libertad de expresión</w:t>
      </w:r>
      <w:r w:rsidRPr="00244B85">
        <w:rPr>
          <w:rFonts w:ascii="Palatino Linotype" w:hAnsi="Palatino Linotype" w:cs="Arial"/>
          <w:sz w:val="22"/>
          <w:szCs w:val="22"/>
        </w:rPr>
        <w:t>, en tanto que permite expresarse frente a las autoridades. De igual manera que el derecho de petición se traduce en la obligación de todos los funcionarios y autoridades de permitir a los ciudadanos de dirigirse a ellos en demanda de lo que deseen expresar o solicitar y responder de dicha demanda por escrito, de forma congruente y en un plazo breve.</w:t>
      </w:r>
      <w:r w:rsidRPr="00244B85">
        <w:rPr>
          <w:rStyle w:val="Refdenotaalpie"/>
          <w:rFonts w:ascii="Palatino Linotype" w:hAnsi="Palatino Linotype" w:cs="Arial"/>
          <w:sz w:val="22"/>
          <w:szCs w:val="22"/>
        </w:rPr>
        <w:footnoteReference w:id="3"/>
      </w:r>
    </w:p>
    <w:p w:rsidR="00EB6A0C" w:rsidRPr="00244B85" w:rsidRDefault="00EB6A0C" w:rsidP="00EB6A0C">
      <w:pPr>
        <w:spacing w:line="360" w:lineRule="auto"/>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Por otro </w:t>
      </w:r>
      <w:r w:rsidRPr="00244B85">
        <w:rPr>
          <w:rFonts w:ascii="Palatino Linotype" w:eastAsia="Palatino Linotype" w:hAnsi="Palatino Linotype" w:cs="Palatino Linotype"/>
          <w:sz w:val="22"/>
          <w:szCs w:val="22"/>
        </w:rPr>
        <w:t>lado</w:t>
      </w:r>
      <w:r w:rsidRPr="00244B85">
        <w:rPr>
          <w:rFonts w:ascii="Palatino Linotype" w:hAnsi="Palatino Linotype" w:cs="Arial"/>
          <w:sz w:val="22"/>
          <w:szCs w:val="22"/>
        </w:rPr>
        <w:t xml:space="preserve">, el autor anteriormente citado, indica que el </w:t>
      </w:r>
      <w:r w:rsidRPr="00244B85">
        <w:rPr>
          <w:rFonts w:ascii="Palatino Linotype" w:hAnsi="Palatino Linotype" w:cs="Arial"/>
          <w:b/>
          <w:sz w:val="22"/>
          <w:szCs w:val="22"/>
          <w:u w:val="single"/>
        </w:rPr>
        <w:t>derecho de acceso a la información pública</w:t>
      </w:r>
      <w:r w:rsidRPr="00244B85">
        <w:rPr>
          <w:rFonts w:ascii="Palatino Linotype" w:hAnsi="Palatino Linotype" w:cs="Arial"/>
          <w:sz w:val="22"/>
          <w:szCs w:val="22"/>
        </w:rPr>
        <w:t xml:space="preserve"> es el derecho de conocer la </w:t>
      </w:r>
      <w:r w:rsidRPr="00244B85">
        <w:rPr>
          <w:rFonts w:ascii="Palatino Linotype" w:hAnsi="Palatino Linotype" w:cs="Arial"/>
          <w:sz w:val="22"/>
          <w:szCs w:val="22"/>
          <w:u w:val="single"/>
        </w:rPr>
        <w:t>información de carácter público que se genera o está en posesión de los órganos del poder público</w:t>
      </w:r>
      <w:r w:rsidRPr="00244B85">
        <w:rPr>
          <w:rFonts w:ascii="Palatino Linotype" w:hAnsi="Palatino Linotype" w:cs="Arial"/>
          <w:sz w:val="22"/>
          <w:szCs w:val="22"/>
        </w:rPr>
        <w:t xml:space="preserve"> o de los sujetos que utilizan o se benefician con recursos provenientes del Estado, es el derecho que tienen los ciudadanos para acceder a documentos y datos que obren en el poder del gobierno.</w:t>
      </w:r>
    </w:p>
    <w:p w:rsidR="00EB6A0C" w:rsidRPr="00244B85" w:rsidRDefault="00EB6A0C" w:rsidP="00EB6A0C">
      <w:pPr>
        <w:pStyle w:val="Textoindependiente"/>
        <w:kinsoku w:val="0"/>
        <w:overflowPunct w:val="0"/>
        <w:spacing w:after="0" w:line="360" w:lineRule="auto"/>
        <w:ind w:right="99"/>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Por su </w:t>
      </w:r>
      <w:r w:rsidRPr="00244B85">
        <w:rPr>
          <w:rFonts w:ascii="Palatino Linotype" w:eastAsia="Palatino Linotype" w:hAnsi="Palatino Linotype" w:cs="Palatino Linotype"/>
          <w:sz w:val="22"/>
          <w:szCs w:val="22"/>
        </w:rPr>
        <w:t>parte</w:t>
      </w:r>
      <w:r w:rsidRPr="00244B85">
        <w:rPr>
          <w:rFonts w:ascii="Palatino Linotype" w:hAnsi="Palatino Linotype" w:cs="Arial"/>
          <w:sz w:val="22"/>
          <w:szCs w:val="22"/>
        </w:rPr>
        <w:t xml:space="preserve"> Ernesto Villanueva define al derecho de acceso a la información pública como la prerrogativa de la persona para acceder a datos, registros y todo tipo de informaciones en poder </w:t>
      </w:r>
      <w:r w:rsidRPr="00244B85">
        <w:rPr>
          <w:rFonts w:ascii="Palatino Linotype" w:hAnsi="Palatino Linotype" w:cs="Arial"/>
          <w:sz w:val="22"/>
          <w:szCs w:val="22"/>
        </w:rPr>
        <w:lastRenderedPageBreak/>
        <w:t>de las entidades públicas y empresas privadas que ejercen gasto público o cumplen funciones de autoridad, con las excepciones taxativas que establezca la ley en una sociedad democrática.</w:t>
      </w:r>
      <w:r w:rsidRPr="00244B85">
        <w:rPr>
          <w:rStyle w:val="Refdenotaalpie"/>
          <w:rFonts w:ascii="Palatino Linotype" w:hAnsi="Palatino Linotype" w:cs="Arial"/>
          <w:sz w:val="22"/>
          <w:szCs w:val="22"/>
        </w:rPr>
        <w:footnoteReference w:id="4"/>
      </w:r>
    </w:p>
    <w:p w:rsidR="00EB6A0C" w:rsidRPr="00244B85" w:rsidRDefault="00EB6A0C" w:rsidP="00EB6A0C">
      <w:pPr>
        <w:pStyle w:val="Textoindependiente"/>
        <w:kinsoku w:val="0"/>
        <w:overflowPunct w:val="0"/>
        <w:spacing w:after="0" w:line="360" w:lineRule="auto"/>
        <w:ind w:right="99"/>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De lo </w:t>
      </w:r>
      <w:r w:rsidRPr="00244B85">
        <w:rPr>
          <w:rFonts w:ascii="Palatino Linotype" w:eastAsia="Palatino Linotype" w:hAnsi="Palatino Linotype" w:cs="Palatino Linotype"/>
          <w:sz w:val="22"/>
          <w:szCs w:val="22"/>
        </w:rPr>
        <w:t>anterior</w:t>
      </w:r>
      <w:r w:rsidRPr="00244B85">
        <w:rPr>
          <w:rFonts w:ascii="Palatino Linotype" w:hAnsi="Palatino Linotype" w:cs="Arial"/>
          <w:sz w:val="22"/>
          <w:szCs w:val="22"/>
        </w:rPr>
        <w:t xml:space="preserve"> se puede concluir que la distinción entre el </w:t>
      </w:r>
      <w:r w:rsidRPr="00244B85">
        <w:rPr>
          <w:rFonts w:ascii="Palatino Linotype" w:hAnsi="Palatino Linotype" w:cs="Arial"/>
          <w:b/>
          <w:sz w:val="22"/>
          <w:szCs w:val="22"/>
        </w:rPr>
        <w:t>derecho de petición</w:t>
      </w:r>
      <w:r w:rsidRPr="00244B85">
        <w:rPr>
          <w:rFonts w:ascii="Palatino Linotype" w:hAnsi="Palatino Linotype" w:cs="Arial"/>
          <w:sz w:val="22"/>
          <w:szCs w:val="22"/>
        </w:rPr>
        <w:t xml:space="preserve"> y el derecho de acceso a la información descansa, principalmente, en que </w:t>
      </w:r>
      <w:r w:rsidRPr="00244B85">
        <w:rPr>
          <w:rFonts w:ascii="Palatino Linotype" w:hAnsi="Palatino Linotype" w:cs="Arial"/>
          <w:sz w:val="22"/>
          <w:szCs w:val="22"/>
          <w:u w:val="single"/>
        </w:rPr>
        <w:t xml:space="preserve">la pretensión del peticionario consiste generalmente en obligar a la autoridad responsable a que actúe </w:t>
      </w:r>
      <w:r w:rsidRPr="00244B85">
        <w:rPr>
          <w:rFonts w:ascii="Palatino Linotype" w:hAnsi="Palatino Linotype" w:cs="Arial"/>
          <w:sz w:val="22"/>
          <w:szCs w:val="22"/>
        </w:rPr>
        <w:t>en el sentido de contestar lo solicitado, mientras que en el derecho de acceso a la información pública la pretensión radica en que se permita el acceso a datos y todo tipo de documentación que tenga el carácter de información pública, que sea generada, administrada o se encuentre en posesión de los considerados Sujetos Obligados por la Ley de la Materia.</w:t>
      </w:r>
    </w:p>
    <w:p w:rsidR="00EB6A0C" w:rsidRPr="00244B85" w:rsidRDefault="00EB6A0C" w:rsidP="00EB6A0C">
      <w:pPr>
        <w:pStyle w:val="Textoindependiente"/>
        <w:kinsoku w:val="0"/>
        <w:overflowPunct w:val="0"/>
        <w:spacing w:after="0" w:line="360" w:lineRule="auto"/>
        <w:ind w:right="99"/>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Con base a lo anterior, tenemos que la parte </w:t>
      </w:r>
      <w:r w:rsidRPr="00244B85">
        <w:rPr>
          <w:rFonts w:ascii="Palatino Linotype" w:hAnsi="Palatino Linotype" w:cs="Arial"/>
          <w:b/>
          <w:sz w:val="22"/>
          <w:szCs w:val="22"/>
        </w:rPr>
        <w:t>Recurrente</w:t>
      </w:r>
      <w:r w:rsidRPr="00244B85">
        <w:rPr>
          <w:rFonts w:ascii="Palatino Linotype" w:hAnsi="Palatino Linotype" w:cs="Arial"/>
          <w:sz w:val="22"/>
          <w:szCs w:val="22"/>
        </w:rPr>
        <w:t xml:space="preserve">, a través de su inconformidad señala que la entrega de información fue incompleta toda vez que falta información de los aviadores de lo cual se debe de referir que ese término no existe para los servidores públicos, por lo que al no existir dicho término para el cargo de  desempeñar un cargo público es que no existe documentación alguna para la entrega de una razón o atención al pronunciamiento del </w:t>
      </w:r>
      <w:r w:rsidRPr="00244B85">
        <w:rPr>
          <w:rFonts w:ascii="Palatino Linotype" w:hAnsi="Palatino Linotype" w:cs="Arial"/>
          <w:b/>
          <w:sz w:val="22"/>
          <w:szCs w:val="22"/>
        </w:rPr>
        <w:t>RECURRENTE</w:t>
      </w:r>
      <w:r w:rsidRPr="00244B85">
        <w:rPr>
          <w:rFonts w:ascii="Palatino Linotype" w:hAnsi="Palatino Linotype" w:cs="Arial"/>
          <w:sz w:val="22"/>
          <w:szCs w:val="22"/>
        </w:rPr>
        <w:t xml:space="preserve">. </w:t>
      </w:r>
    </w:p>
    <w:p w:rsidR="00EB6A0C" w:rsidRPr="00244B85" w:rsidRDefault="00EB6A0C" w:rsidP="00EB6A0C">
      <w:pPr>
        <w:pStyle w:val="Prrafodelista"/>
        <w:rPr>
          <w:rFonts w:ascii="Palatino Linotype" w:hAnsi="Palatino Linotype" w:cs="Arial"/>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En ese sentido, se establece que no es algo que la Ley de la Materia establezca como atribución, derecho o facultad; pues ello implicaría emitir un juicio de valor referente a pronunciamientos realizados, los cuales como ha quedado explicado, al constituir </w:t>
      </w:r>
      <w:r w:rsidRPr="00244B85">
        <w:rPr>
          <w:rFonts w:ascii="Palatino Linotype" w:hAnsi="Palatino Linotype" w:cs="Arial"/>
          <w:b/>
          <w:sz w:val="22"/>
          <w:szCs w:val="22"/>
          <w:u w:val="single"/>
        </w:rPr>
        <w:t>interrogantes, inquietudes y manifestaciones</w:t>
      </w:r>
      <w:r w:rsidRPr="00244B85">
        <w:rPr>
          <w:rFonts w:ascii="Palatino Linotype" w:hAnsi="Palatino Linotype" w:cs="Arial"/>
          <w:sz w:val="22"/>
          <w:szCs w:val="22"/>
        </w:rPr>
        <w:t xml:space="preserve"> resultan estar encaminadas a ser satisfechas en ejercicio del derecho de petición.</w:t>
      </w:r>
    </w:p>
    <w:p w:rsidR="00EB6A0C" w:rsidRPr="00244B85" w:rsidRDefault="00EB6A0C" w:rsidP="00EB6A0C">
      <w:pPr>
        <w:pStyle w:val="Textoindependiente"/>
        <w:kinsoku w:val="0"/>
        <w:overflowPunct w:val="0"/>
        <w:spacing w:after="0" w:line="360" w:lineRule="auto"/>
        <w:ind w:right="99"/>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 xml:space="preserve">Además, es de resaltar que este Instituto de Transparencia como Organismo Garante de difusión, protección y respeto al derecho de acceso a la información pública y a la protección de datos personales, conforme a su naturaleza jurídica y a sus atribuciones previstas en los artículos 29, </w:t>
      </w:r>
      <w:r w:rsidRPr="00244B85">
        <w:rPr>
          <w:rFonts w:ascii="Palatino Linotype" w:hAnsi="Palatino Linotype" w:cs="Arial"/>
          <w:sz w:val="22"/>
          <w:szCs w:val="22"/>
        </w:rPr>
        <w:lastRenderedPageBreak/>
        <w:t xml:space="preserve">36 y 179 de la Ley de Transparencia y Acceso a la Información Pública del Estado de México y Municipios, es competente para resolver los recursos de revisión, cuando se niegue la información solicitada, se clasifique la información solicitada, se declare la inexistencia de lo solicitado, el Sujeto Obligado se declare incompetente para atender la solicitud de información, se entregue la información incompleta, se entregue información que no corresponda a lo solicitado, no se dé respuesta a la solicitud, se notifique o se ponga a disposición la información en un formato o modalidad distinto al solicitado, incomprensible o no accesible, respecto de los costos o tiempos de entrega de la información, cuando no se dé trámite a la solicitud, no se permita la consulta directa de la solicitud, se fundamente o motive deficientemente, y/o cuando se oriente a un trámite en específico; todo en ejercicio del derecho de acceso a la información pública, no así cuando se trate de un derecho de petición ejercido por un gobernado; en consecuencia, este Instinto no tiene atribuciones para pronunciarse respecto a las manifestaciones expuestas por la parte </w:t>
      </w:r>
      <w:r w:rsidRPr="00244B85">
        <w:rPr>
          <w:rFonts w:ascii="Palatino Linotype" w:hAnsi="Palatino Linotype" w:cs="Arial"/>
          <w:b/>
          <w:sz w:val="22"/>
          <w:szCs w:val="22"/>
        </w:rPr>
        <w:t>Recurrente,</w:t>
      </w:r>
      <w:r w:rsidRPr="00244B85">
        <w:rPr>
          <w:rFonts w:ascii="Palatino Linotype" w:hAnsi="Palatino Linotype" w:cs="Arial"/>
          <w:sz w:val="22"/>
          <w:szCs w:val="22"/>
        </w:rPr>
        <w:t xml:space="preserve"> esencialmente en virtud de que se advierte que las mismas se tratan de aseveraciones que pudieran ser consideradas de carácter subjetivo hechas sin un soporte que las sustente; es decir, la solicitud del particular es tendente a que el </w:t>
      </w:r>
      <w:r w:rsidRPr="00244B85">
        <w:rPr>
          <w:rFonts w:ascii="Palatino Linotype" w:hAnsi="Palatino Linotype" w:cs="Arial"/>
          <w:b/>
          <w:sz w:val="22"/>
          <w:szCs w:val="22"/>
        </w:rPr>
        <w:t>Sujeto Obligado</w:t>
      </w:r>
      <w:r w:rsidRPr="00244B85">
        <w:rPr>
          <w:rFonts w:ascii="Palatino Linotype" w:hAnsi="Palatino Linotype" w:cs="Arial"/>
          <w:sz w:val="22"/>
          <w:szCs w:val="22"/>
        </w:rPr>
        <w:t xml:space="preserve"> aclare o actué sobre una inquietud.</w:t>
      </w:r>
    </w:p>
    <w:p w:rsidR="00EB6A0C" w:rsidRPr="00244B85" w:rsidRDefault="00EB6A0C" w:rsidP="00EB6A0C">
      <w:pPr>
        <w:pStyle w:val="Textoindependiente"/>
        <w:kinsoku w:val="0"/>
        <w:overflowPunct w:val="0"/>
        <w:spacing w:after="0" w:line="360" w:lineRule="auto"/>
        <w:ind w:right="99"/>
        <w:jc w:val="both"/>
        <w:rPr>
          <w:rFonts w:ascii="Palatino Linotype" w:hAnsi="Palatino Linotype" w:cs="Arial"/>
          <w:sz w:val="22"/>
          <w:szCs w:val="22"/>
        </w:rPr>
      </w:pPr>
    </w:p>
    <w:p w:rsidR="00EB6A0C" w:rsidRPr="00244B85" w:rsidRDefault="00EB6A0C" w:rsidP="00EB6A0C">
      <w:pPr>
        <w:numPr>
          <w:ilvl w:val="0"/>
          <w:numId w:val="2"/>
        </w:numPr>
        <w:spacing w:line="360" w:lineRule="auto"/>
        <w:ind w:left="0" w:right="-592" w:firstLine="0"/>
        <w:jc w:val="both"/>
        <w:rPr>
          <w:rFonts w:ascii="Palatino Linotype" w:hAnsi="Palatino Linotype"/>
          <w:sz w:val="22"/>
          <w:szCs w:val="22"/>
        </w:rPr>
      </w:pPr>
      <w:r w:rsidRPr="00244B85">
        <w:rPr>
          <w:rFonts w:ascii="Palatino Linotype" w:hAnsi="Palatino Linotype" w:cs="Arial"/>
          <w:sz w:val="22"/>
          <w:szCs w:val="22"/>
        </w:rPr>
        <w:t xml:space="preserve">Cabe mencionar que la materia del cuestionamiento constituye un dato personal, que </w:t>
      </w:r>
      <w:r w:rsidRPr="00244B85">
        <w:rPr>
          <w:rFonts w:ascii="Palatino Linotype" w:eastAsia="Palatino Linotype" w:hAnsi="Palatino Linotype" w:cs="Palatino Linotype"/>
          <w:sz w:val="22"/>
          <w:szCs w:val="22"/>
        </w:rPr>
        <w:t>encuadra</w:t>
      </w:r>
      <w:r w:rsidRPr="00244B85">
        <w:rPr>
          <w:rFonts w:ascii="Palatino Linotype" w:hAnsi="Palatino Linotype" w:cs="Arial"/>
          <w:sz w:val="22"/>
          <w:szCs w:val="22"/>
        </w:rPr>
        <w:t xml:space="preserve"> en la hipótesis prevista en el artículo 143 fracción I</w:t>
      </w:r>
      <w:r w:rsidRPr="00244B85">
        <w:rPr>
          <w:rStyle w:val="Refdenotaalpie"/>
          <w:rFonts w:ascii="Palatino Linotype" w:hAnsi="Palatino Linotype" w:cs="Arial"/>
          <w:sz w:val="22"/>
          <w:szCs w:val="22"/>
        </w:rPr>
        <w:footnoteReference w:id="5"/>
      </w:r>
      <w:r w:rsidRPr="00244B85">
        <w:rPr>
          <w:rFonts w:ascii="Palatino Linotype" w:hAnsi="Palatino Linotype" w:cs="Arial"/>
          <w:sz w:val="22"/>
          <w:szCs w:val="22"/>
        </w:rPr>
        <w:t xml:space="preserve"> de la Ley de la Materia, y que, </w:t>
      </w:r>
      <w:r w:rsidRPr="00244B85">
        <w:rPr>
          <w:rFonts w:ascii="Palatino Linotype" w:hAnsi="Palatino Linotype"/>
          <w:sz w:val="22"/>
          <w:szCs w:val="22"/>
        </w:rPr>
        <w:t xml:space="preserve">si bien es cierto que en las áreas encargadas del personal de una entidad pública existen expedientes con datos personales, también lo es que no existe marco legal que constriña a las entidades públicas a documentar información respecto al interés del solicitante , máxime que en caso concreto, así como tampoco hay un campo que delimite </w:t>
      </w:r>
      <w:r w:rsidR="00590056" w:rsidRPr="00244B85">
        <w:rPr>
          <w:rFonts w:ascii="Palatino Linotype" w:hAnsi="Palatino Linotype"/>
          <w:sz w:val="22"/>
          <w:szCs w:val="22"/>
        </w:rPr>
        <w:t xml:space="preserve">si los sujetos obligados cuentan o no con aviadores en su plantilla laboral. </w:t>
      </w:r>
    </w:p>
    <w:p w:rsidR="00EB6A0C" w:rsidRPr="00244B85" w:rsidRDefault="00EB6A0C" w:rsidP="00590056">
      <w:pPr>
        <w:rPr>
          <w:rFonts w:ascii="Palatino Linotype" w:eastAsia="Palatino Linotype" w:hAnsi="Palatino Linotype" w:cs="Palatino Linotype"/>
          <w:color w:val="000000"/>
          <w:sz w:val="22"/>
          <w:szCs w:val="22"/>
        </w:rPr>
      </w:pPr>
    </w:p>
    <w:p w:rsidR="00590056" w:rsidRPr="00244B85" w:rsidRDefault="00590056" w:rsidP="006B59D0">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lastRenderedPageBreak/>
        <w:t xml:space="preserve">Por consiguiente, en relación a la inconformidad que hizo la </w:t>
      </w:r>
      <w:r w:rsidRPr="00244B85">
        <w:rPr>
          <w:rFonts w:ascii="Palatino Linotype" w:hAnsi="Palatino Linotype" w:cs="Arial"/>
          <w:b/>
          <w:sz w:val="22"/>
          <w:szCs w:val="22"/>
        </w:rPr>
        <w:t xml:space="preserve">RECURRENE </w:t>
      </w:r>
      <w:r w:rsidRPr="00244B85">
        <w:rPr>
          <w:rFonts w:ascii="Palatino Linotype" w:hAnsi="Palatino Linotype" w:cs="Arial"/>
          <w:sz w:val="22"/>
          <w:szCs w:val="22"/>
        </w:rPr>
        <w:t>resta solamente señalarle, que quedan a salvo sus derechos que considere ejercibles a través de las vías y autoridades que estime procedentes; máxime que este Instituto se encuentra impedido para pronunciarse sobre la veracidad o no de lo que señala en sus motivos de inconformidad</w:t>
      </w:r>
      <w:r w:rsidR="006B59D0" w:rsidRPr="00244B85">
        <w:rPr>
          <w:rFonts w:ascii="Palatino Linotype" w:hAnsi="Palatino Linotype" w:cs="Arial"/>
          <w:sz w:val="22"/>
          <w:szCs w:val="22"/>
        </w:rPr>
        <w:t>.</w:t>
      </w:r>
    </w:p>
    <w:p w:rsidR="006B59D0" w:rsidRPr="00244B85" w:rsidRDefault="006B59D0" w:rsidP="006B59D0">
      <w:pPr>
        <w:kinsoku w:val="0"/>
        <w:overflowPunct w:val="0"/>
        <w:spacing w:line="360" w:lineRule="auto"/>
        <w:ind w:right="99"/>
        <w:jc w:val="both"/>
        <w:rPr>
          <w:rFonts w:ascii="Palatino Linotype" w:hAnsi="Palatino Linotype" w:cs="Arial"/>
          <w:sz w:val="22"/>
          <w:szCs w:val="22"/>
        </w:rPr>
      </w:pPr>
    </w:p>
    <w:p w:rsidR="00590056" w:rsidRPr="00244B85" w:rsidRDefault="00590056" w:rsidP="00590056">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Al mismo tiempo, no se advierte que el recurso de revisión encuadre en alguno de los supuestos de procedencia que plantea la Ley de Transparencia y Acceso a la Información Pública del Estado de México y Municipios en su artículo 179, que es del tenor literal siguiente:</w:t>
      </w:r>
    </w:p>
    <w:p w:rsidR="00590056" w:rsidRPr="00244B85" w:rsidRDefault="00590056" w:rsidP="00590056">
      <w:pPr>
        <w:pStyle w:val="Textoindependiente"/>
        <w:kinsoku w:val="0"/>
        <w:overflowPunct w:val="0"/>
        <w:spacing w:after="0" w:line="360" w:lineRule="auto"/>
        <w:ind w:right="96"/>
        <w:jc w:val="both"/>
        <w:rPr>
          <w:rFonts w:ascii="Palatino Linotype" w:hAnsi="Palatino Linotype" w:cs="Arial"/>
          <w:sz w:val="22"/>
          <w:szCs w:val="22"/>
        </w:rPr>
      </w:pP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 xml:space="preserve">“Artículo 179. </w:t>
      </w:r>
      <w:r w:rsidRPr="00244B85">
        <w:rPr>
          <w:rFonts w:ascii="Palatino Linotype" w:hAnsi="Palatino Linotype"/>
          <w:i/>
          <w:sz w:val="22"/>
          <w:szCs w:val="22"/>
        </w:rPr>
        <w:t>El recurso de revisión es un medio de protección que la Ley otorga a los particulares, para hacer valer su derecho de acceso a la información pública, y procederá en contra de las siguientes causas:</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w:t>
      </w:r>
      <w:r w:rsidRPr="00244B85">
        <w:rPr>
          <w:rFonts w:ascii="Palatino Linotype" w:hAnsi="Palatino Linotype"/>
          <w:i/>
          <w:sz w:val="22"/>
          <w:szCs w:val="22"/>
        </w:rPr>
        <w:t xml:space="preserve">. La negativa a la información solicitada;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II</w:t>
      </w:r>
      <w:r w:rsidRPr="00244B85">
        <w:rPr>
          <w:rFonts w:ascii="Palatino Linotype" w:hAnsi="Palatino Linotype"/>
          <w:i/>
          <w:sz w:val="22"/>
          <w:szCs w:val="22"/>
        </w:rPr>
        <w:t xml:space="preserve">. La clasificación de la información;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III</w:t>
      </w:r>
      <w:r w:rsidRPr="00244B85">
        <w:rPr>
          <w:rFonts w:ascii="Palatino Linotype" w:hAnsi="Palatino Linotype"/>
          <w:i/>
          <w:sz w:val="22"/>
          <w:szCs w:val="22"/>
        </w:rPr>
        <w:t>. La declaración de inexistencia de la información;</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IV.</w:t>
      </w:r>
      <w:r w:rsidRPr="00244B85">
        <w:rPr>
          <w:rFonts w:ascii="Palatino Linotype" w:hAnsi="Palatino Linotype"/>
          <w:i/>
          <w:sz w:val="22"/>
          <w:szCs w:val="22"/>
        </w:rPr>
        <w:t xml:space="preserve"> La declaración de incompetencia por el sujeto obligado;</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V.</w:t>
      </w:r>
      <w:r w:rsidRPr="00244B85">
        <w:rPr>
          <w:rFonts w:ascii="Palatino Linotype" w:hAnsi="Palatino Linotype"/>
          <w:i/>
          <w:sz w:val="22"/>
          <w:szCs w:val="22"/>
        </w:rPr>
        <w:t xml:space="preserve"> La entrega de información incompleta;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VI.</w:t>
      </w:r>
      <w:r w:rsidRPr="00244B85">
        <w:rPr>
          <w:rFonts w:ascii="Palatino Linotype" w:hAnsi="Palatino Linotype"/>
          <w:i/>
          <w:sz w:val="22"/>
          <w:szCs w:val="22"/>
        </w:rPr>
        <w:t xml:space="preserve"> La entrega de información que no corresponda con lo solicitado;</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VII</w:t>
      </w:r>
      <w:r w:rsidRPr="00244B85">
        <w:rPr>
          <w:rFonts w:ascii="Palatino Linotype" w:hAnsi="Palatino Linotype"/>
          <w:i/>
          <w:sz w:val="22"/>
          <w:szCs w:val="22"/>
        </w:rPr>
        <w:t xml:space="preserve">. La falta de respuesta a una solicitud de acceso a la información;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VIII</w:t>
      </w:r>
      <w:r w:rsidRPr="00244B85">
        <w:rPr>
          <w:rFonts w:ascii="Palatino Linotype" w:hAnsi="Palatino Linotype"/>
          <w:i/>
          <w:sz w:val="22"/>
          <w:szCs w:val="22"/>
        </w:rPr>
        <w:t xml:space="preserve">. La notificación, entrega o puesta a disposición de información en una modalidad o formato distinto al solicitado;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IX.</w:t>
      </w:r>
      <w:r w:rsidRPr="00244B85">
        <w:rPr>
          <w:rFonts w:ascii="Palatino Linotype" w:hAnsi="Palatino Linotype"/>
          <w:i/>
          <w:sz w:val="22"/>
          <w:szCs w:val="22"/>
        </w:rPr>
        <w:t xml:space="preserve"> La entrega o puesta a disposición de información en un formato incomprensible y/o no accesible para el solicitante;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 xml:space="preserve">X. </w:t>
      </w:r>
      <w:r w:rsidRPr="00244B85">
        <w:rPr>
          <w:rFonts w:ascii="Palatino Linotype" w:hAnsi="Palatino Linotype"/>
          <w:i/>
          <w:sz w:val="22"/>
          <w:szCs w:val="22"/>
        </w:rPr>
        <w:t xml:space="preserve">Los costos o tiempos de entrega de la información;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XI</w:t>
      </w:r>
      <w:r w:rsidRPr="00244B85">
        <w:rPr>
          <w:rFonts w:ascii="Palatino Linotype" w:hAnsi="Palatino Linotype"/>
          <w:i/>
          <w:sz w:val="22"/>
          <w:szCs w:val="22"/>
        </w:rPr>
        <w:t xml:space="preserve">. La falta de trámite a una solicitud;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XII</w:t>
      </w:r>
      <w:r w:rsidRPr="00244B85">
        <w:rPr>
          <w:rFonts w:ascii="Palatino Linotype" w:hAnsi="Palatino Linotype"/>
          <w:i/>
          <w:sz w:val="22"/>
          <w:szCs w:val="22"/>
        </w:rPr>
        <w:t xml:space="preserve">. La negativa a permitir la consulta directa de la información;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XIII</w:t>
      </w:r>
      <w:r w:rsidRPr="00244B85">
        <w:rPr>
          <w:rFonts w:ascii="Palatino Linotype" w:hAnsi="Palatino Linotype"/>
          <w:i/>
          <w:sz w:val="22"/>
          <w:szCs w:val="22"/>
        </w:rPr>
        <w:t xml:space="preserve">. La falta, deficiencia o insuficiencia de la fundamentación y/o motivación en la respuesta; y </w:t>
      </w:r>
    </w:p>
    <w:p w:rsidR="00590056" w:rsidRPr="00244B85" w:rsidRDefault="00590056" w:rsidP="006B59D0">
      <w:pPr>
        <w:pStyle w:val="Textoindependiente"/>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XIV.</w:t>
      </w:r>
      <w:r w:rsidRPr="00244B85">
        <w:rPr>
          <w:rFonts w:ascii="Palatino Linotype" w:hAnsi="Palatino Linotype"/>
          <w:i/>
          <w:sz w:val="22"/>
          <w:szCs w:val="22"/>
        </w:rPr>
        <w:t xml:space="preserve"> La orientación a un trámite específico. </w:t>
      </w:r>
    </w:p>
    <w:p w:rsidR="00590056" w:rsidRPr="00244B85" w:rsidRDefault="00590056" w:rsidP="006B59D0">
      <w:pPr>
        <w:pStyle w:val="Textoindependiente"/>
        <w:kinsoku w:val="0"/>
        <w:overflowPunct w:val="0"/>
        <w:spacing w:after="0"/>
        <w:ind w:left="1134" w:right="1106"/>
        <w:jc w:val="both"/>
        <w:rPr>
          <w:rFonts w:ascii="Palatino Linotype" w:hAnsi="Palatino Linotype" w:cs="Arial"/>
          <w:sz w:val="22"/>
          <w:szCs w:val="22"/>
        </w:rPr>
      </w:pPr>
      <w:r w:rsidRPr="00244B85">
        <w:rPr>
          <w:rFonts w:ascii="Palatino Linotype" w:hAnsi="Palatino Linotype"/>
          <w:i/>
          <w:sz w:val="22"/>
          <w:szCs w:val="22"/>
        </w:rPr>
        <w:t>La respuesta que den los sujetos obligados derivada de la resolución a un recurso de revisión que proceda por las causales señaladas en las fracciones IV, VII, IX, X, XI y XII es susceptible de ser impugnada de nueva cuenta, mediante recurso de revisión, ante el Instituto”</w:t>
      </w:r>
    </w:p>
    <w:p w:rsidR="00590056" w:rsidRPr="00244B85" w:rsidRDefault="00590056" w:rsidP="00590056">
      <w:pPr>
        <w:pStyle w:val="Textoindependiente"/>
        <w:kinsoku w:val="0"/>
        <w:overflowPunct w:val="0"/>
        <w:spacing w:after="0" w:line="360" w:lineRule="auto"/>
        <w:ind w:right="96"/>
        <w:jc w:val="both"/>
        <w:rPr>
          <w:rFonts w:ascii="Palatino Linotype" w:hAnsi="Palatino Linotype" w:cs="Arial"/>
          <w:sz w:val="22"/>
          <w:szCs w:val="22"/>
        </w:rPr>
      </w:pPr>
    </w:p>
    <w:p w:rsidR="00590056" w:rsidRPr="00244B85" w:rsidRDefault="00590056" w:rsidP="00590056">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lastRenderedPageBreak/>
        <w:t>Por lo tanto, en virtud de los argumentos expuestos con anterioridad así como del análisis realizado a las constancias que obran en el expediente electrónico del SAIMEX, se determina sobreseer el presente recurso de revisión por actualizarse la causal de sobreseimiento prevista en la fracción IV del artículo 192 de la Ley de Transparencia y Acceso a la Información Pública del Estado de México y Municipios en su correlación con la causal de improcedencia contemplada en la fracción III del artículo 191 del ordenamiento legal en cita, los que se transcriben a continuación, para un mejor entendimiento:</w:t>
      </w:r>
    </w:p>
    <w:p w:rsidR="00590056" w:rsidRPr="00244B85" w:rsidRDefault="00590056" w:rsidP="00590056">
      <w:pPr>
        <w:pStyle w:val="Textoindependiente"/>
        <w:kinsoku w:val="0"/>
        <w:overflowPunct w:val="0"/>
        <w:spacing w:after="0" w:line="360" w:lineRule="auto"/>
        <w:ind w:left="567" w:right="616"/>
        <w:contextualSpacing/>
        <w:jc w:val="both"/>
        <w:rPr>
          <w:rFonts w:ascii="Palatino Linotype" w:hAnsi="Palatino Linotype" w:cs="Arial"/>
          <w:i/>
          <w:sz w:val="22"/>
          <w:szCs w:val="22"/>
        </w:rPr>
      </w:pP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cs="Arial"/>
          <w:i/>
          <w:sz w:val="22"/>
          <w:szCs w:val="22"/>
        </w:rPr>
      </w:pPr>
      <w:r w:rsidRPr="00244B85">
        <w:rPr>
          <w:rFonts w:ascii="Palatino Linotype" w:hAnsi="Palatino Linotype"/>
          <w:i/>
          <w:sz w:val="22"/>
          <w:szCs w:val="22"/>
        </w:rPr>
        <w:t>“</w:t>
      </w:r>
      <w:r w:rsidRPr="00244B85">
        <w:rPr>
          <w:rFonts w:ascii="Palatino Linotype" w:hAnsi="Palatino Linotype"/>
          <w:b/>
          <w:i/>
          <w:sz w:val="22"/>
          <w:szCs w:val="22"/>
        </w:rPr>
        <w:t>Artículo 192.</w:t>
      </w:r>
      <w:r w:rsidRPr="00244B85">
        <w:rPr>
          <w:rFonts w:ascii="Palatino Linotype" w:hAnsi="Palatino Linotype"/>
          <w:i/>
          <w:sz w:val="22"/>
          <w:szCs w:val="22"/>
        </w:rPr>
        <w:t xml:space="preserve"> El recurso será sobreseído, en todo o en parte, cuando una vez admitido, se actualicen alguno de los siguientes supuestos:</w:t>
      </w: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cs="Arial"/>
          <w:i/>
          <w:sz w:val="22"/>
          <w:szCs w:val="22"/>
        </w:rPr>
      </w:pPr>
      <w:r w:rsidRPr="00244B85">
        <w:rPr>
          <w:rFonts w:ascii="Palatino Linotype" w:hAnsi="Palatino Linotype" w:cs="Arial"/>
          <w:i/>
          <w:sz w:val="22"/>
          <w:szCs w:val="22"/>
        </w:rPr>
        <w:t>…</w:t>
      </w: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IV</w:t>
      </w:r>
      <w:r w:rsidRPr="00244B85">
        <w:rPr>
          <w:rFonts w:ascii="Palatino Linotype" w:hAnsi="Palatino Linotype"/>
          <w:i/>
          <w:sz w:val="22"/>
          <w:szCs w:val="22"/>
        </w:rPr>
        <w:t xml:space="preserve">. Admitido el recurso de revisión, </w:t>
      </w:r>
      <w:r w:rsidRPr="00244B85">
        <w:rPr>
          <w:rFonts w:ascii="Palatino Linotype" w:hAnsi="Palatino Linotype"/>
          <w:b/>
          <w:i/>
          <w:sz w:val="22"/>
          <w:szCs w:val="22"/>
        </w:rPr>
        <w:t>aparezca alguna causal de improcedencia</w:t>
      </w:r>
      <w:r w:rsidRPr="00244B85">
        <w:rPr>
          <w:rFonts w:ascii="Palatino Linotype" w:hAnsi="Palatino Linotype"/>
          <w:i/>
          <w:sz w:val="22"/>
          <w:szCs w:val="22"/>
        </w:rPr>
        <w:t xml:space="preserve"> en los términos de la presente Ley…</w:t>
      </w: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b/>
          <w:i/>
          <w:sz w:val="22"/>
          <w:szCs w:val="22"/>
        </w:rPr>
      </w:pP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Artículo 191</w:t>
      </w:r>
      <w:r w:rsidRPr="00244B85">
        <w:rPr>
          <w:rFonts w:ascii="Palatino Linotype" w:hAnsi="Palatino Linotype"/>
          <w:i/>
          <w:sz w:val="22"/>
          <w:szCs w:val="22"/>
        </w:rPr>
        <w:t xml:space="preserve">. </w:t>
      </w:r>
      <w:r w:rsidRPr="00244B85">
        <w:rPr>
          <w:rFonts w:ascii="Palatino Linotype" w:hAnsi="Palatino Linotype"/>
          <w:b/>
          <w:i/>
          <w:sz w:val="22"/>
          <w:szCs w:val="22"/>
        </w:rPr>
        <w:t>El recurso</w:t>
      </w:r>
      <w:r w:rsidRPr="00244B85">
        <w:rPr>
          <w:rFonts w:ascii="Palatino Linotype" w:hAnsi="Palatino Linotype"/>
          <w:i/>
          <w:sz w:val="22"/>
          <w:szCs w:val="22"/>
        </w:rPr>
        <w:t xml:space="preserve"> </w:t>
      </w:r>
      <w:r w:rsidRPr="00244B85">
        <w:rPr>
          <w:rFonts w:ascii="Palatino Linotype" w:hAnsi="Palatino Linotype"/>
          <w:b/>
          <w:i/>
          <w:sz w:val="22"/>
          <w:szCs w:val="22"/>
        </w:rPr>
        <w:t xml:space="preserve">será </w:t>
      </w:r>
      <w:r w:rsidRPr="00244B85">
        <w:rPr>
          <w:rFonts w:ascii="Palatino Linotype" w:hAnsi="Palatino Linotype"/>
          <w:i/>
          <w:sz w:val="22"/>
          <w:szCs w:val="22"/>
        </w:rPr>
        <w:t xml:space="preserve">desechado por </w:t>
      </w:r>
      <w:r w:rsidRPr="00244B85">
        <w:rPr>
          <w:rFonts w:ascii="Palatino Linotype" w:hAnsi="Palatino Linotype"/>
          <w:b/>
          <w:i/>
          <w:sz w:val="22"/>
          <w:szCs w:val="22"/>
        </w:rPr>
        <w:t>improcedente cuando</w:t>
      </w:r>
      <w:r w:rsidRPr="00244B85">
        <w:rPr>
          <w:rFonts w:ascii="Palatino Linotype" w:hAnsi="Palatino Linotype"/>
          <w:i/>
          <w:sz w:val="22"/>
          <w:szCs w:val="22"/>
        </w:rPr>
        <w:t>:</w:t>
      </w: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i/>
          <w:sz w:val="22"/>
          <w:szCs w:val="22"/>
        </w:rPr>
      </w:pPr>
      <w:r w:rsidRPr="00244B85">
        <w:rPr>
          <w:rFonts w:ascii="Palatino Linotype" w:hAnsi="Palatino Linotype"/>
          <w:i/>
          <w:sz w:val="22"/>
          <w:szCs w:val="22"/>
        </w:rPr>
        <w:t>…</w:t>
      </w:r>
    </w:p>
    <w:p w:rsidR="00590056" w:rsidRPr="00244B85" w:rsidRDefault="00590056" w:rsidP="006B59D0">
      <w:pPr>
        <w:pStyle w:val="Textoindependiente"/>
        <w:tabs>
          <w:tab w:val="left" w:pos="7938"/>
        </w:tabs>
        <w:kinsoku w:val="0"/>
        <w:overflowPunct w:val="0"/>
        <w:spacing w:after="0"/>
        <w:ind w:left="1134" w:right="1106"/>
        <w:jc w:val="both"/>
        <w:rPr>
          <w:rFonts w:ascii="Palatino Linotype" w:hAnsi="Palatino Linotype"/>
          <w:i/>
          <w:sz w:val="22"/>
          <w:szCs w:val="22"/>
        </w:rPr>
      </w:pPr>
      <w:r w:rsidRPr="00244B85">
        <w:rPr>
          <w:rFonts w:ascii="Palatino Linotype" w:hAnsi="Palatino Linotype"/>
          <w:b/>
          <w:i/>
          <w:sz w:val="22"/>
          <w:szCs w:val="22"/>
        </w:rPr>
        <w:t>III.</w:t>
      </w:r>
      <w:r w:rsidRPr="00244B85">
        <w:rPr>
          <w:rFonts w:ascii="Palatino Linotype" w:hAnsi="Palatino Linotype"/>
          <w:i/>
          <w:sz w:val="22"/>
          <w:szCs w:val="22"/>
        </w:rPr>
        <w:t xml:space="preserve"> No actualice alguno de los supuestos previstos en la presente Ley: “</w:t>
      </w:r>
    </w:p>
    <w:p w:rsidR="006B59D0" w:rsidRPr="00244B85" w:rsidRDefault="006B59D0" w:rsidP="006B59D0">
      <w:pPr>
        <w:pStyle w:val="Textoindependiente"/>
        <w:tabs>
          <w:tab w:val="left" w:pos="7938"/>
        </w:tabs>
        <w:kinsoku w:val="0"/>
        <w:overflowPunct w:val="0"/>
        <w:spacing w:after="0"/>
        <w:ind w:left="1134" w:right="1106"/>
        <w:jc w:val="both"/>
        <w:rPr>
          <w:rFonts w:ascii="Palatino Linotype" w:hAnsi="Palatino Linotype"/>
          <w:i/>
          <w:sz w:val="22"/>
          <w:szCs w:val="22"/>
        </w:rPr>
      </w:pPr>
    </w:p>
    <w:p w:rsidR="00590056" w:rsidRPr="00244B85" w:rsidRDefault="00590056" w:rsidP="00590056">
      <w:pPr>
        <w:numPr>
          <w:ilvl w:val="0"/>
          <w:numId w:val="2"/>
        </w:numPr>
        <w:spacing w:line="360" w:lineRule="auto"/>
        <w:ind w:left="0" w:right="-592" w:firstLine="0"/>
        <w:jc w:val="both"/>
        <w:rPr>
          <w:rFonts w:ascii="Palatino Linotype" w:hAnsi="Palatino Linotype"/>
          <w:sz w:val="22"/>
          <w:szCs w:val="22"/>
        </w:rPr>
      </w:pPr>
      <w:r w:rsidRPr="00244B85">
        <w:rPr>
          <w:rFonts w:ascii="Palatino Linotype" w:hAnsi="Palatino Linotype"/>
          <w:sz w:val="22"/>
          <w:szCs w:val="22"/>
        </w:rPr>
        <w:t xml:space="preserve">Siendo el </w:t>
      </w:r>
      <w:r w:rsidRPr="00244B85">
        <w:rPr>
          <w:rFonts w:ascii="Palatino Linotype" w:hAnsi="Palatino Linotype"/>
          <w:i/>
          <w:sz w:val="22"/>
          <w:szCs w:val="22"/>
        </w:rPr>
        <w:t>sobreseimiento</w:t>
      </w:r>
      <w:r w:rsidRPr="00244B85">
        <w:rPr>
          <w:rFonts w:ascii="Palatino Linotype" w:hAnsi="Palatino Linotype"/>
          <w:sz w:val="22"/>
          <w:szCs w:val="22"/>
        </w:rPr>
        <w:t xml:space="preserve"> un acto que da por terminado el procedimiento administrativo de </w:t>
      </w:r>
      <w:r w:rsidRPr="00244B85">
        <w:rPr>
          <w:rFonts w:ascii="Palatino Linotype" w:hAnsi="Palatino Linotype" w:cs="Arial"/>
          <w:sz w:val="22"/>
          <w:szCs w:val="22"/>
        </w:rPr>
        <w:t>impugnación</w:t>
      </w:r>
      <w:r w:rsidRPr="00244B85">
        <w:rPr>
          <w:rFonts w:ascii="Palatino Linotype" w:hAnsi="Palatino Linotype"/>
          <w:sz w:val="22"/>
          <w:szCs w:val="22"/>
        </w:rPr>
        <w:t xml:space="preserve">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rsidR="00590056" w:rsidRPr="00244B85" w:rsidRDefault="00590056" w:rsidP="006B59D0">
      <w:pPr>
        <w:ind w:left="1134" w:right="1106"/>
        <w:contextualSpacing/>
        <w:jc w:val="both"/>
        <w:rPr>
          <w:rFonts w:ascii="Palatino Linotype" w:hAnsi="Palatino Linotype"/>
          <w:sz w:val="22"/>
          <w:szCs w:val="22"/>
        </w:rPr>
      </w:pPr>
    </w:p>
    <w:p w:rsidR="00590056" w:rsidRPr="00244B85" w:rsidRDefault="00590056" w:rsidP="006B59D0">
      <w:pPr>
        <w:ind w:left="1134" w:right="1106"/>
        <w:jc w:val="both"/>
        <w:rPr>
          <w:rFonts w:ascii="Palatino Linotype" w:eastAsia="Palatino Linotype" w:hAnsi="Palatino Linotype" w:cs="Palatino Linotype"/>
          <w:b/>
          <w:i/>
          <w:sz w:val="22"/>
          <w:szCs w:val="22"/>
        </w:rPr>
      </w:pPr>
      <w:r w:rsidRPr="00244B85">
        <w:rPr>
          <w:rFonts w:ascii="Palatino Linotype" w:eastAsia="Palatino Linotype" w:hAnsi="Palatino Linotype" w:cs="Palatino Linotype"/>
          <w:i/>
          <w:sz w:val="22"/>
          <w:szCs w:val="22"/>
        </w:rPr>
        <w:t>“</w:t>
      </w:r>
      <w:r w:rsidRPr="00244B85">
        <w:rPr>
          <w:rFonts w:ascii="Palatino Linotype" w:eastAsia="Palatino Linotype" w:hAnsi="Palatino Linotype" w:cs="Palatino Linotype"/>
          <w:b/>
          <w:i/>
          <w:sz w:val="22"/>
          <w:szCs w:val="22"/>
        </w:rPr>
        <w:t>SOBRESEIMIENTO, NO PERMITE ENTRAR AL ESTUDIO DE LAS CUESTIONES DE FONDO</w:t>
      </w:r>
    </w:p>
    <w:p w:rsidR="00590056" w:rsidRPr="00244B85" w:rsidRDefault="00590056" w:rsidP="006B59D0">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rsidR="00590056" w:rsidRPr="00244B85" w:rsidRDefault="00590056" w:rsidP="006B59D0">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rsidR="00590056" w:rsidRPr="00244B85" w:rsidRDefault="00590056" w:rsidP="00590056">
      <w:pPr>
        <w:spacing w:line="360" w:lineRule="auto"/>
        <w:jc w:val="both"/>
        <w:rPr>
          <w:rFonts w:ascii="Palatino Linotype" w:eastAsia="Palatino Linotype" w:hAnsi="Palatino Linotype" w:cs="Palatino Linotype"/>
          <w:sz w:val="22"/>
          <w:szCs w:val="22"/>
        </w:rPr>
      </w:pPr>
    </w:p>
    <w:p w:rsidR="008E22D4" w:rsidRPr="00244B85" w:rsidRDefault="006672FD" w:rsidP="008E22D4">
      <w:pPr>
        <w:keepNext/>
        <w:keepLines/>
        <w:spacing w:line="360" w:lineRule="auto"/>
        <w:ind w:right="48"/>
        <w:rPr>
          <w:rFonts w:ascii="Palatino Linotype" w:eastAsia="Palatino Linotype" w:hAnsi="Palatino Linotype" w:cs="Palatino Linotype"/>
          <w:b/>
          <w:sz w:val="22"/>
          <w:szCs w:val="22"/>
        </w:rPr>
      </w:pPr>
      <w:r w:rsidRPr="00244B85">
        <w:rPr>
          <w:rFonts w:ascii="Palatino Linotype" w:eastAsia="Palatino Linotype" w:hAnsi="Palatino Linotype" w:cs="Palatino Linotype"/>
          <w:b/>
          <w:sz w:val="22"/>
          <w:szCs w:val="22"/>
        </w:rPr>
        <w:lastRenderedPageBreak/>
        <w:t>CUARTO</w:t>
      </w:r>
      <w:r w:rsidR="008E22D4" w:rsidRPr="00244B85">
        <w:rPr>
          <w:rFonts w:ascii="Palatino Linotype" w:eastAsia="Palatino Linotype" w:hAnsi="Palatino Linotype" w:cs="Palatino Linotype"/>
          <w:b/>
          <w:sz w:val="22"/>
          <w:szCs w:val="22"/>
        </w:rPr>
        <w:t>. Vista a la Dirección de Protección de Datos Personales.</w:t>
      </w:r>
    </w:p>
    <w:p w:rsidR="008E22D4" w:rsidRPr="00244B85" w:rsidRDefault="008E22D4" w:rsidP="008E22D4">
      <w:pPr>
        <w:keepNext/>
        <w:keepLines/>
        <w:spacing w:line="360" w:lineRule="auto"/>
        <w:ind w:right="48"/>
        <w:rPr>
          <w:rFonts w:ascii="Palatino Linotype" w:eastAsia="Palatino Linotype" w:hAnsi="Palatino Linotype" w:cs="Palatino Linotype"/>
          <w:b/>
          <w:sz w:val="22"/>
          <w:szCs w:val="22"/>
        </w:rPr>
      </w:pPr>
    </w:p>
    <w:p w:rsidR="008E22D4" w:rsidRPr="00244B85" w:rsidRDefault="008E22D4" w:rsidP="008E22D4">
      <w:pPr>
        <w:numPr>
          <w:ilvl w:val="0"/>
          <w:numId w:val="2"/>
        </w:numPr>
        <w:spacing w:line="360" w:lineRule="auto"/>
        <w:ind w:left="0" w:right="-592" w:firstLine="0"/>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sz w:val="22"/>
          <w:szCs w:val="22"/>
        </w:rPr>
        <w:t xml:space="preserve">Es necesario resaltar que el recurso de revisión previsto en la Ley de la materia no es el </w:t>
      </w:r>
      <w:r w:rsidRPr="00244B85">
        <w:rPr>
          <w:rFonts w:ascii="Palatino Linotype" w:hAnsi="Palatino Linotype"/>
          <w:sz w:val="22"/>
          <w:szCs w:val="22"/>
        </w:rPr>
        <w:t>medio</w:t>
      </w:r>
      <w:r w:rsidRPr="00244B85">
        <w:rPr>
          <w:rFonts w:ascii="Palatino Linotype" w:eastAsia="Palatino Linotype" w:hAnsi="Palatino Linotype" w:cs="Palatino Linotype"/>
          <w:sz w:val="22"/>
          <w:szCs w:val="22"/>
        </w:rPr>
        <w:t xml:space="preserve"> para investigar y, en su caso, sancionar a servidores públicos por la falta de cuidado de la protección de datos personales; es así que, se aprecia que se vulneraron datos personales de particulares; como lo es el </w:t>
      </w:r>
      <w:r w:rsidRPr="00244B85">
        <w:rPr>
          <w:rFonts w:ascii="Palatino Linotype" w:eastAsia="Palatino Linotype" w:hAnsi="Palatino Linotype" w:cs="Palatino Linotype"/>
          <w:b/>
          <w:sz w:val="22"/>
          <w:szCs w:val="22"/>
        </w:rPr>
        <w:t xml:space="preserve">Registro Federal de Contribuyentes, </w:t>
      </w:r>
      <w:r w:rsidRPr="00244B85">
        <w:rPr>
          <w:rFonts w:ascii="Palatino Linotype" w:eastAsia="Palatino Linotype" w:hAnsi="Palatino Linotype" w:cs="Palatino Linotype"/>
          <w:sz w:val="22"/>
          <w:szCs w:val="22"/>
        </w:rPr>
        <w:t xml:space="preserve">por lo que es necesario dar vista al área competente para que en ejercicio de sus atribuciones realice las investigaciones pertinentes por las omisiones detectadas atribuibles al </w:t>
      </w:r>
      <w:r w:rsidRPr="00244B85">
        <w:rPr>
          <w:rFonts w:ascii="Palatino Linotype" w:eastAsia="Palatino Linotype" w:hAnsi="Palatino Linotype" w:cs="Palatino Linotype"/>
          <w:b/>
          <w:sz w:val="22"/>
          <w:szCs w:val="22"/>
        </w:rPr>
        <w:t>SUJETO OBLIGADO.</w:t>
      </w:r>
    </w:p>
    <w:p w:rsidR="008E22D4" w:rsidRPr="00244B85" w:rsidRDefault="008E22D4" w:rsidP="008E22D4">
      <w:pPr>
        <w:spacing w:line="360" w:lineRule="auto"/>
        <w:ind w:right="-28"/>
        <w:jc w:val="both"/>
        <w:rPr>
          <w:rFonts w:ascii="Palatino Linotype" w:eastAsia="Palatino Linotype" w:hAnsi="Palatino Linotype" w:cs="Palatino Linotype"/>
          <w:i/>
          <w:sz w:val="22"/>
          <w:szCs w:val="22"/>
        </w:rPr>
      </w:pPr>
    </w:p>
    <w:p w:rsidR="008E22D4" w:rsidRPr="00244B85" w:rsidRDefault="008E22D4" w:rsidP="008E22D4">
      <w:pPr>
        <w:numPr>
          <w:ilvl w:val="0"/>
          <w:numId w:val="2"/>
        </w:numPr>
        <w:spacing w:line="360" w:lineRule="auto"/>
        <w:ind w:left="0" w:right="-592" w:firstLine="0"/>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color w:val="000000"/>
          <w:sz w:val="22"/>
          <w:szCs w:val="22"/>
        </w:rPr>
        <w:t xml:space="preserve">Por </w:t>
      </w:r>
      <w:r w:rsidRPr="00244B85">
        <w:rPr>
          <w:rFonts w:ascii="Palatino Linotype" w:eastAsia="Palatino Linotype" w:hAnsi="Palatino Linotype" w:cs="Palatino Linotype"/>
          <w:sz w:val="22"/>
          <w:szCs w:val="22"/>
        </w:rPr>
        <w:t>ello, es conveniente señalar las fracciones XIV, XXII, XXIII y XXV, del artículo 82, de la Ley de Protección de Datos Personales en Posesión de Sujetos Obligados del Estado de México y Municipios, que establece:</w:t>
      </w:r>
    </w:p>
    <w:p w:rsidR="008E22D4" w:rsidRPr="00244B85" w:rsidRDefault="008E22D4" w:rsidP="008E22D4">
      <w:pPr>
        <w:pBdr>
          <w:top w:val="nil"/>
          <w:left w:val="nil"/>
          <w:bottom w:val="nil"/>
          <w:right w:val="nil"/>
          <w:between w:val="nil"/>
        </w:pBdr>
        <w:spacing w:before="240"/>
        <w:ind w:left="1134" w:right="1106"/>
        <w:jc w:val="both"/>
        <w:rPr>
          <w:rFonts w:ascii="Palatino Linotype" w:eastAsia="Palatino Linotype" w:hAnsi="Palatino Linotype" w:cs="Palatino Linotype"/>
          <w:b/>
          <w:i/>
          <w:color w:val="000000"/>
          <w:sz w:val="22"/>
          <w:szCs w:val="22"/>
        </w:rPr>
      </w:pPr>
      <w:r w:rsidRPr="00244B85">
        <w:rPr>
          <w:rFonts w:ascii="Palatino Linotype" w:eastAsia="Palatino Linotype" w:hAnsi="Palatino Linotype" w:cs="Palatino Linotype"/>
          <w:b/>
          <w:i/>
          <w:color w:val="000000"/>
          <w:sz w:val="22"/>
          <w:szCs w:val="22"/>
        </w:rPr>
        <w:t xml:space="preserve">Atribuciones del Instituto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b/>
          <w:i/>
          <w:color w:val="000000"/>
          <w:sz w:val="22"/>
          <w:szCs w:val="22"/>
        </w:rPr>
        <w:t>“Artículo 82.</w:t>
      </w:r>
      <w:r w:rsidRPr="00244B85">
        <w:rPr>
          <w:rFonts w:ascii="Palatino Linotype" w:eastAsia="Palatino Linotype" w:hAnsi="Palatino Linotype" w:cs="Palatino Linotype"/>
          <w:i/>
          <w:color w:val="000000"/>
          <w:sz w:val="22"/>
          <w:szCs w:val="22"/>
        </w:rPr>
        <w:t xml:space="preserve"> El Instituto, además de las atribuciones encomendadas por la Ley de Transparencia y normatividad aplicable, tendrá las atribuciones siguientes: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 xml:space="preserve">(…)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b/>
          <w:i/>
          <w:color w:val="000000"/>
          <w:sz w:val="22"/>
          <w:szCs w:val="22"/>
        </w:rPr>
        <w:t>XIV. Formular observaciones y recomendaciones</w:t>
      </w:r>
      <w:r w:rsidRPr="00244B85">
        <w:rPr>
          <w:rFonts w:ascii="Palatino Linotype" w:eastAsia="Palatino Linotype" w:hAnsi="Palatino Linotype" w:cs="Palatino Linotype"/>
          <w:i/>
          <w:color w:val="000000"/>
          <w:sz w:val="22"/>
          <w:szCs w:val="22"/>
        </w:rPr>
        <w:t xml:space="preserve"> a los sujetos obligados que incumplan esta Ley.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 xml:space="preserve">(…)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b/>
          <w:i/>
          <w:color w:val="000000"/>
          <w:sz w:val="22"/>
          <w:szCs w:val="22"/>
        </w:rPr>
        <w:t>XXII. Verificar el cumplimiento</w:t>
      </w:r>
      <w:r w:rsidRPr="00244B85">
        <w:rPr>
          <w:rFonts w:ascii="Palatino Linotype" w:eastAsia="Palatino Linotype" w:hAnsi="Palatino Linotype" w:cs="Palatino Linotype"/>
          <w:i/>
          <w:color w:val="000000"/>
          <w:sz w:val="22"/>
          <w:szCs w:val="22"/>
        </w:rPr>
        <w:t xml:space="preserve"> de las disposiciones previstas en esta Ley a través de los procedimientos de revisión que resulten compatibles con las disposiciones de esta Ley.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b/>
          <w:i/>
          <w:color w:val="000000"/>
          <w:sz w:val="22"/>
          <w:szCs w:val="22"/>
        </w:rPr>
        <w:t>XXIII. Implementar los procedimientos</w:t>
      </w:r>
      <w:r w:rsidRPr="00244B85">
        <w:rPr>
          <w:rFonts w:ascii="Palatino Linotype" w:eastAsia="Palatino Linotype" w:hAnsi="Palatino Linotype" w:cs="Palatino Linotype"/>
          <w:i/>
          <w:color w:val="000000"/>
          <w:sz w:val="22"/>
          <w:szCs w:val="22"/>
        </w:rPr>
        <w:t xml:space="preserve"> que resulten necesarios para el cumplimiento de las disposiciones de esta Ley y para asegurar la protección de datos personales de los titulares.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 xml:space="preserve">(…) </w:t>
      </w:r>
    </w:p>
    <w:p w:rsidR="008E22D4" w:rsidRPr="00244B85" w:rsidRDefault="008E22D4" w:rsidP="008E22D4">
      <w:pPr>
        <w:pBdr>
          <w:top w:val="nil"/>
          <w:left w:val="nil"/>
          <w:bottom w:val="nil"/>
          <w:right w:val="nil"/>
          <w:between w:val="nil"/>
        </w:pBdr>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b/>
          <w:i/>
          <w:color w:val="000000"/>
          <w:sz w:val="22"/>
          <w:szCs w:val="22"/>
        </w:rPr>
        <w:t>XXV. Investigar las posibles violaciones</w:t>
      </w:r>
      <w:r w:rsidRPr="00244B85">
        <w:rPr>
          <w:rFonts w:ascii="Palatino Linotype" w:eastAsia="Palatino Linotype" w:hAnsi="Palatino Linotype" w:cs="Palatino Linotype"/>
          <w:i/>
          <w:color w:val="000000"/>
          <w:sz w:val="22"/>
          <w:szCs w:val="22"/>
        </w:rPr>
        <w:t xml:space="preserve"> a la seguridad de los datos personales a fin de determinar la práctica de verificaciones. </w:t>
      </w:r>
    </w:p>
    <w:p w:rsidR="008E22D4" w:rsidRPr="00244B85" w:rsidRDefault="008E22D4" w:rsidP="008E22D4">
      <w:pPr>
        <w:pBdr>
          <w:top w:val="nil"/>
          <w:left w:val="nil"/>
          <w:bottom w:val="nil"/>
          <w:right w:val="nil"/>
          <w:between w:val="nil"/>
        </w:pBdr>
        <w:spacing w:after="240"/>
        <w:ind w:left="1134" w:right="1106"/>
        <w:jc w:val="both"/>
        <w:rPr>
          <w:rFonts w:ascii="Palatino Linotype" w:eastAsia="Palatino Linotype" w:hAnsi="Palatino Linotype" w:cs="Palatino Linotype"/>
          <w:i/>
          <w:color w:val="000000"/>
          <w:sz w:val="22"/>
          <w:szCs w:val="22"/>
        </w:rPr>
      </w:pPr>
      <w:r w:rsidRPr="00244B85">
        <w:rPr>
          <w:rFonts w:ascii="Palatino Linotype" w:eastAsia="Palatino Linotype" w:hAnsi="Palatino Linotype" w:cs="Palatino Linotype"/>
          <w:i/>
          <w:color w:val="000000"/>
          <w:sz w:val="22"/>
          <w:szCs w:val="22"/>
        </w:rPr>
        <w:t xml:space="preserve">(…)” </w:t>
      </w:r>
    </w:p>
    <w:p w:rsidR="008E22D4" w:rsidRPr="00244B85" w:rsidRDefault="008E22D4" w:rsidP="008E22D4">
      <w:pPr>
        <w:ind w:right="-28"/>
        <w:jc w:val="both"/>
        <w:rPr>
          <w:rFonts w:ascii="Palatino Linotype" w:eastAsia="Palatino Linotype" w:hAnsi="Palatino Linotype" w:cs="Palatino Linotype"/>
          <w:i/>
          <w:sz w:val="22"/>
          <w:szCs w:val="22"/>
        </w:rPr>
      </w:pPr>
    </w:p>
    <w:p w:rsidR="008E22D4" w:rsidRPr="00244B85" w:rsidRDefault="008E22D4" w:rsidP="008E22D4">
      <w:pPr>
        <w:numPr>
          <w:ilvl w:val="0"/>
          <w:numId w:val="2"/>
        </w:numPr>
        <w:spacing w:line="360" w:lineRule="auto"/>
        <w:ind w:left="0" w:right="-592" w:firstLine="0"/>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sz w:val="22"/>
          <w:szCs w:val="22"/>
        </w:rPr>
        <w:t xml:space="preserve">Por lo tanto, es menester dar vista a la </w:t>
      </w:r>
      <w:r w:rsidRPr="00244B85">
        <w:rPr>
          <w:rFonts w:ascii="Palatino Linotype" w:eastAsia="Palatino Linotype" w:hAnsi="Palatino Linotype" w:cs="Palatino Linotype"/>
          <w:b/>
          <w:sz w:val="22"/>
          <w:szCs w:val="22"/>
        </w:rPr>
        <w:t>Dirección de Protección de Datos Personales</w:t>
      </w:r>
      <w:r w:rsidRPr="00244B85">
        <w:rPr>
          <w:rFonts w:ascii="Palatino Linotype" w:eastAsia="Palatino Linotype" w:hAnsi="Palatino Linotype" w:cs="Palatino Linotype"/>
          <w:sz w:val="22"/>
          <w:szCs w:val="22"/>
        </w:rPr>
        <w:t xml:space="preserve"> de este </w:t>
      </w:r>
      <w:r w:rsidRPr="00244B85">
        <w:rPr>
          <w:rFonts w:ascii="Palatino Linotype" w:hAnsi="Palatino Linotype"/>
          <w:sz w:val="22"/>
          <w:szCs w:val="22"/>
        </w:rPr>
        <w:t>Instituto</w:t>
      </w:r>
      <w:r w:rsidRPr="00244B85">
        <w:rPr>
          <w:rFonts w:ascii="Palatino Linotype" w:eastAsia="Palatino Linotype" w:hAnsi="Palatino Linotype" w:cs="Palatino Linotype"/>
          <w:sz w:val="22"/>
          <w:szCs w:val="22"/>
        </w:rPr>
        <w:t xml:space="preserve"> para que en ejercicio de sus atribuciones atiendan las directivas marcadas en la propia Ley </w:t>
      </w:r>
      <w:r w:rsidRPr="00244B85">
        <w:rPr>
          <w:rFonts w:ascii="Palatino Linotype" w:eastAsia="Palatino Linotype" w:hAnsi="Palatino Linotype" w:cs="Palatino Linotype"/>
          <w:sz w:val="22"/>
          <w:szCs w:val="22"/>
        </w:rPr>
        <w:lastRenderedPageBreak/>
        <w:t xml:space="preserve">de la materia, con fundamento en el artículo 82 de la Ley de la materia, el cual señala la atribución de este Órgano Garante para Investigar las posibles violaciones a la seguridad de los datos personales a fin de determinar la práctica de verificaciones. </w:t>
      </w:r>
    </w:p>
    <w:p w:rsidR="008E22D4" w:rsidRPr="00244B85" w:rsidRDefault="008E22D4" w:rsidP="008E22D4">
      <w:pPr>
        <w:spacing w:line="360" w:lineRule="auto"/>
        <w:ind w:right="-28"/>
        <w:jc w:val="both"/>
        <w:rPr>
          <w:rFonts w:ascii="Palatino Linotype" w:eastAsia="Palatino Linotype" w:hAnsi="Palatino Linotype" w:cs="Palatino Linotype"/>
          <w:i/>
          <w:sz w:val="22"/>
          <w:szCs w:val="22"/>
        </w:rPr>
      </w:pPr>
    </w:p>
    <w:p w:rsidR="008E22D4" w:rsidRPr="00244B85" w:rsidRDefault="008E22D4" w:rsidP="008E22D4">
      <w:pPr>
        <w:numPr>
          <w:ilvl w:val="0"/>
          <w:numId w:val="2"/>
        </w:numPr>
        <w:spacing w:line="360" w:lineRule="auto"/>
        <w:ind w:left="0" w:right="-592" w:firstLine="0"/>
        <w:jc w:val="both"/>
        <w:rPr>
          <w:rFonts w:ascii="Palatino Linotype" w:eastAsia="Palatino Linotype" w:hAnsi="Palatino Linotype" w:cs="Palatino Linotype"/>
          <w:sz w:val="22"/>
          <w:szCs w:val="22"/>
        </w:rPr>
      </w:pPr>
      <w:r w:rsidRPr="00244B85">
        <w:rPr>
          <w:rFonts w:ascii="Palatino Linotype" w:hAnsi="Palatino Linotype"/>
          <w:sz w:val="22"/>
          <w:szCs w:val="22"/>
        </w:rPr>
        <w:t>Por</w:t>
      </w:r>
      <w:r w:rsidRPr="00244B85">
        <w:rPr>
          <w:rFonts w:ascii="Palatino Linotype" w:eastAsia="Palatino Linotype" w:hAnsi="Palatino Linotype" w:cs="Palatino Linotype"/>
          <w:sz w:val="22"/>
          <w:szCs w:val="22"/>
        </w:rPr>
        <w:t xml:space="preserve"> último y no menos importante, se debe enfatizar que tal y como se mencionó en este considerando, el </w:t>
      </w:r>
      <w:r w:rsidRPr="00244B85">
        <w:rPr>
          <w:rFonts w:ascii="Palatino Linotype" w:eastAsia="Palatino Linotype" w:hAnsi="Palatino Linotype" w:cs="Palatino Linotype"/>
          <w:b/>
          <w:sz w:val="22"/>
          <w:szCs w:val="22"/>
        </w:rPr>
        <w:t>SUJETO OBLIGADO</w:t>
      </w:r>
      <w:r w:rsidRPr="00244B85">
        <w:rPr>
          <w:rFonts w:ascii="Palatino Linotype" w:eastAsia="Palatino Linotype" w:hAnsi="Palatino Linotype" w:cs="Palatino Linotype"/>
          <w:sz w:val="22"/>
          <w:szCs w:val="22"/>
        </w:rPr>
        <w:t xml:space="preserve"> realizó un pronunciamiento que debió ser clasificado como confidencial. Por dicha información, es menester hacer del conocimiento de la persona que solicitó la información, que ahora se encuentra sujeto a la </w:t>
      </w:r>
      <w:r w:rsidRPr="00244B85">
        <w:rPr>
          <w:rFonts w:ascii="Palatino Linotype" w:eastAsia="Palatino Linotype" w:hAnsi="Palatino Linotype" w:cs="Palatino Linotype"/>
          <w:b/>
          <w:sz w:val="22"/>
          <w:szCs w:val="22"/>
        </w:rPr>
        <w:t>LEY FEDERAL DE PROTECCIÓN DE DATOS PERSONALES EN POSESIÓN DE LOS PARTICULARES</w:t>
      </w:r>
      <w:r w:rsidRPr="00244B85">
        <w:rPr>
          <w:rFonts w:ascii="Palatino Linotype" w:eastAsia="Palatino Linotype" w:hAnsi="Palatino Linotype" w:cs="Palatino Linotype"/>
          <w:sz w:val="22"/>
          <w:szCs w:val="22"/>
        </w:rPr>
        <w:t xml:space="preserve"> que señala puntualmente en su artículo lo siguiente: </w:t>
      </w:r>
    </w:p>
    <w:p w:rsidR="008E22D4" w:rsidRPr="00244B85" w:rsidRDefault="008E22D4" w:rsidP="008E22D4">
      <w:pPr>
        <w:spacing w:line="360" w:lineRule="auto"/>
        <w:ind w:left="1134" w:right="1106"/>
        <w:jc w:val="both"/>
        <w:rPr>
          <w:rFonts w:ascii="Palatino Linotype" w:eastAsia="Palatino Linotype" w:hAnsi="Palatino Linotype" w:cs="Palatino Linotype"/>
          <w:sz w:val="22"/>
          <w:szCs w:val="22"/>
        </w:rPr>
      </w:pPr>
    </w:p>
    <w:p w:rsidR="008E22D4" w:rsidRPr="00244B85" w:rsidRDefault="008E22D4" w:rsidP="008E22D4">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b/>
          <w:i/>
          <w:sz w:val="22"/>
          <w:szCs w:val="22"/>
        </w:rPr>
        <w:t>“Artículo 1.-</w:t>
      </w:r>
      <w:r w:rsidRPr="00244B85">
        <w:rPr>
          <w:rFonts w:ascii="Palatino Linotype" w:eastAsia="Palatino Linotype" w:hAnsi="Palatino Linotype" w:cs="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rsidR="008E22D4" w:rsidRPr="00244B85" w:rsidRDefault="008E22D4" w:rsidP="008E22D4">
      <w:pPr>
        <w:spacing w:line="360" w:lineRule="auto"/>
        <w:ind w:right="-592"/>
        <w:jc w:val="both"/>
        <w:rPr>
          <w:rFonts w:ascii="Palatino Linotype" w:eastAsia="Palatino Linotype" w:hAnsi="Palatino Linotype" w:cs="Palatino Linotype"/>
          <w:sz w:val="22"/>
          <w:szCs w:val="22"/>
        </w:rPr>
      </w:pPr>
    </w:p>
    <w:p w:rsidR="00590056" w:rsidRPr="00244B85" w:rsidRDefault="008E22D4" w:rsidP="00590056">
      <w:pPr>
        <w:numPr>
          <w:ilvl w:val="0"/>
          <w:numId w:val="2"/>
        </w:numPr>
        <w:spacing w:line="360" w:lineRule="auto"/>
        <w:ind w:left="0" w:right="-592" w:firstLine="0"/>
        <w:jc w:val="both"/>
        <w:rPr>
          <w:rFonts w:ascii="Palatino Linotype" w:eastAsia="Palatino Linotype" w:hAnsi="Palatino Linotype" w:cs="Palatino Linotype"/>
          <w:sz w:val="22"/>
          <w:szCs w:val="22"/>
        </w:rPr>
      </w:pPr>
      <w:r w:rsidRPr="00244B85">
        <w:rPr>
          <w:rFonts w:ascii="Palatino Linotype" w:eastAsia="Palatino Linotype" w:hAnsi="Palatino Linotype" w:cs="Palatino Linotype"/>
          <w:sz w:val="22"/>
          <w:szCs w:val="22"/>
        </w:rPr>
        <w:t xml:space="preserve">De lo anteriormente expuesto, </w:t>
      </w:r>
      <w:r w:rsidR="00590056" w:rsidRPr="00244B85">
        <w:rPr>
          <w:rFonts w:ascii="Palatino Linotype" w:eastAsia="Palatino Linotype" w:hAnsi="Palatino Linotype" w:cs="Palatino Linotype"/>
          <w:sz w:val="22"/>
          <w:szCs w:val="22"/>
        </w:rPr>
        <w:t xml:space="preserve">la decisión de este Organismo Colegiado </w:t>
      </w:r>
      <w:r w:rsidRPr="00244B85">
        <w:rPr>
          <w:rFonts w:ascii="Palatino Linotype" w:eastAsia="Palatino Linotype" w:hAnsi="Palatino Linotype" w:cs="Palatino Linotype"/>
          <w:sz w:val="22"/>
          <w:szCs w:val="22"/>
        </w:rPr>
        <w:t xml:space="preserve">es </w:t>
      </w:r>
      <w:r w:rsidR="00590056" w:rsidRPr="00244B85">
        <w:rPr>
          <w:rFonts w:ascii="Palatino Linotype" w:eastAsia="Palatino Linotype" w:hAnsi="Palatino Linotype" w:cs="Palatino Linotype"/>
          <w:sz w:val="22"/>
          <w:szCs w:val="22"/>
        </w:rPr>
        <w:t>sobreseer el recurso de revisión</w:t>
      </w:r>
      <w:r w:rsidRPr="00244B85">
        <w:rPr>
          <w:rFonts w:ascii="Palatino Linotype" w:eastAsia="Palatino Linotype" w:hAnsi="Palatino Linotype" w:cs="Palatino Linotype"/>
          <w:sz w:val="22"/>
          <w:szCs w:val="22"/>
        </w:rPr>
        <w:t>, sim embargo esto</w:t>
      </w:r>
      <w:r w:rsidR="00590056" w:rsidRPr="00244B85">
        <w:rPr>
          <w:rFonts w:ascii="Palatino Linotype" w:eastAsia="Palatino Linotype" w:hAnsi="Palatino Linotype" w:cs="Palatino Linotype"/>
          <w:sz w:val="22"/>
          <w:szCs w:val="22"/>
        </w:rPr>
        <w:t xml:space="preserve"> no implica una limitación o negación a la justicia, según lo ha establecido el Poder Judicial Federal, en el criterio que es aplicable por analogía, con rubro:</w:t>
      </w:r>
    </w:p>
    <w:p w:rsidR="00590056" w:rsidRPr="00244B85" w:rsidRDefault="00590056" w:rsidP="00590056">
      <w:pPr>
        <w:spacing w:line="360" w:lineRule="auto"/>
        <w:jc w:val="both"/>
        <w:rPr>
          <w:rFonts w:ascii="Palatino Linotype" w:eastAsia="Palatino Linotype" w:hAnsi="Palatino Linotype" w:cs="Palatino Linotype"/>
          <w:sz w:val="22"/>
          <w:szCs w:val="22"/>
        </w:rPr>
      </w:pPr>
    </w:p>
    <w:p w:rsidR="00590056" w:rsidRPr="00244B85" w:rsidRDefault="00590056" w:rsidP="006B59D0">
      <w:pPr>
        <w:ind w:left="1134" w:right="1106"/>
        <w:jc w:val="both"/>
        <w:rPr>
          <w:rFonts w:ascii="Palatino Linotype" w:eastAsia="Palatino Linotype" w:hAnsi="Palatino Linotype" w:cs="Palatino Linotype"/>
          <w:b/>
          <w:i/>
          <w:sz w:val="22"/>
          <w:szCs w:val="22"/>
        </w:rPr>
      </w:pPr>
      <w:r w:rsidRPr="00244B85">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rsidR="00590056" w:rsidRPr="00244B85" w:rsidRDefault="00590056" w:rsidP="006B59D0">
      <w:pPr>
        <w:ind w:left="1134" w:right="1106"/>
        <w:jc w:val="both"/>
        <w:rPr>
          <w:rFonts w:ascii="Palatino Linotype" w:eastAsia="Palatino Linotype" w:hAnsi="Palatino Linotype" w:cs="Palatino Linotype"/>
          <w:i/>
          <w:sz w:val="22"/>
          <w:szCs w:val="22"/>
        </w:rPr>
      </w:pPr>
      <w:r w:rsidRPr="00244B85">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w:t>
      </w:r>
      <w:r w:rsidRPr="00244B85">
        <w:rPr>
          <w:rFonts w:ascii="Palatino Linotype" w:eastAsia="Palatino Linotype" w:hAnsi="Palatino Linotype" w:cs="Palatino Linotype"/>
          <w:i/>
          <w:sz w:val="22"/>
          <w:szCs w:val="22"/>
        </w:rPr>
        <w:lastRenderedPageBreak/>
        <w:t>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(Sic)</w:t>
      </w:r>
      <w:r w:rsidRPr="00244B85">
        <w:rPr>
          <w:rFonts w:ascii="Palatino Linotype" w:eastAsia="Palatino Linotype" w:hAnsi="Palatino Linotype" w:cs="Palatino Linotype"/>
          <w:color w:val="000000"/>
          <w:sz w:val="22"/>
          <w:szCs w:val="22"/>
        </w:rPr>
        <w:tab/>
      </w:r>
    </w:p>
    <w:p w:rsidR="00590056" w:rsidRPr="00244B85" w:rsidRDefault="00590056" w:rsidP="00590056">
      <w:pPr>
        <w:pStyle w:val="Textoindependiente"/>
        <w:kinsoku w:val="0"/>
        <w:overflowPunct w:val="0"/>
        <w:spacing w:after="0" w:line="360" w:lineRule="auto"/>
        <w:ind w:right="96"/>
        <w:jc w:val="both"/>
        <w:rPr>
          <w:rFonts w:ascii="Palatino Linotype" w:hAnsi="Palatino Linotype" w:cs="Arial"/>
          <w:sz w:val="22"/>
          <w:szCs w:val="22"/>
        </w:rPr>
      </w:pPr>
    </w:p>
    <w:p w:rsidR="00590056" w:rsidRPr="00244B85" w:rsidRDefault="00590056" w:rsidP="00590056">
      <w:pPr>
        <w:numPr>
          <w:ilvl w:val="0"/>
          <w:numId w:val="2"/>
        </w:numPr>
        <w:spacing w:line="360" w:lineRule="auto"/>
        <w:ind w:left="0" w:right="-592" w:firstLine="0"/>
        <w:jc w:val="both"/>
        <w:rPr>
          <w:rFonts w:ascii="Palatino Linotype" w:hAnsi="Palatino Linotype" w:cs="Arial"/>
          <w:sz w:val="22"/>
          <w:szCs w:val="22"/>
        </w:rPr>
      </w:pPr>
      <w:r w:rsidRPr="00244B85">
        <w:rPr>
          <w:rFonts w:ascii="Palatino Linotype" w:hAnsi="Palatino Linotype" w:cs="Arial"/>
          <w:sz w:val="22"/>
          <w:szCs w:val="22"/>
        </w:rPr>
        <w:t>Así, con fundamento en lo prescrito en los artículos 5 párrafos trigésimo, trigésimo primero y trigésimo segundo de la Constitución Política del Estado Libre y Soberano de México; 2, fracción II; 29, 36 fracciones I y II; 176, 178, 181, 185 y 186 fracción II de la Ley de Transparencia y Acceso a la Información Pública del Estado de México y Municipios, este Pleno:</w:t>
      </w:r>
    </w:p>
    <w:p w:rsidR="00590056" w:rsidRPr="00244B85" w:rsidRDefault="00590056" w:rsidP="00590056">
      <w:pPr>
        <w:pBdr>
          <w:top w:val="nil"/>
          <w:left w:val="nil"/>
          <w:bottom w:val="nil"/>
          <w:right w:val="nil"/>
          <w:between w:val="nil"/>
        </w:pBdr>
        <w:tabs>
          <w:tab w:val="left" w:pos="567"/>
        </w:tabs>
        <w:spacing w:line="360" w:lineRule="auto"/>
        <w:ind w:right="-592"/>
        <w:jc w:val="both"/>
        <w:rPr>
          <w:rFonts w:ascii="Palatino Linotype" w:eastAsia="Palatino Linotype" w:hAnsi="Palatino Linotype" w:cs="Palatino Linotype"/>
          <w:color w:val="000000"/>
          <w:sz w:val="22"/>
          <w:szCs w:val="22"/>
        </w:rPr>
      </w:pPr>
    </w:p>
    <w:p w:rsidR="00590056" w:rsidRPr="00244B85" w:rsidRDefault="00590056" w:rsidP="00590056">
      <w:pPr>
        <w:pStyle w:val="Prrafodelista"/>
        <w:rPr>
          <w:rFonts w:ascii="Palatino Linotype" w:eastAsia="Palatino Linotype" w:hAnsi="Palatino Linotype" w:cs="Palatino Linotype"/>
          <w:color w:val="000000"/>
          <w:szCs w:val="22"/>
        </w:rPr>
      </w:pPr>
    </w:p>
    <w:p w:rsidR="003966B8" w:rsidRPr="00244B85" w:rsidRDefault="003966B8" w:rsidP="003966B8">
      <w:pPr>
        <w:pStyle w:val="Ttulo1"/>
        <w:spacing w:line="360" w:lineRule="auto"/>
        <w:ind w:right="-592"/>
        <w:jc w:val="center"/>
        <w:rPr>
          <w:rFonts w:ascii="Palatino Linotype" w:eastAsia="Palatino Linotype" w:hAnsi="Palatino Linotype" w:cs="Palatino Linotype"/>
          <w:b/>
          <w:color w:val="000000"/>
          <w:sz w:val="22"/>
          <w:szCs w:val="22"/>
        </w:rPr>
      </w:pPr>
      <w:bookmarkStart w:id="8" w:name="_heading=h.1t3h5sf" w:colFirst="0" w:colLast="0"/>
      <w:bookmarkEnd w:id="8"/>
      <w:r w:rsidRPr="00244B85">
        <w:rPr>
          <w:rFonts w:ascii="Palatino Linotype" w:eastAsia="Palatino Linotype" w:hAnsi="Palatino Linotype" w:cs="Palatino Linotype"/>
          <w:b/>
          <w:color w:val="000000"/>
          <w:sz w:val="22"/>
          <w:szCs w:val="22"/>
        </w:rPr>
        <w:t>R E S O L U T I V O S</w:t>
      </w:r>
    </w:p>
    <w:p w:rsidR="003966B8" w:rsidRPr="00244B85" w:rsidRDefault="003966B8" w:rsidP="003966B8">
      <w:pPr>
        <w:ind w:right="-592"/>
        <w:rPr>
          <w:sz w:val="22"/>
          <w:szCs w:val="22"/>
        </w:rPr>
      </w:pPr>
    </w:p>
    <w:p w:rsidR="006B59D0" w:rsidRPr="00244B85" w:rsidRDefault="003966B8" w:rsidP="006B59D0">
      <w:pPr>
        <w:spacing w:after="240" w:line="360" w:lineRule="auto"/>
        <w:ind w:right="-592"/>
        <w:jc w:val="both"/>
        <w:rPr>
          <w:rFonts w:ascii="Palatino Linotype" w:eastAsia="Palatino Linotype" w:hAnsi="Palatino Linotype" w:cs="Palatino Linotype"/>
          <w:sz w:val="22"/>
          <w:szCs w:val="22"/>
          <w:lang w:val="es-ES"/>
        </w:rPr>
      </w:pPr>
      <w:r w:rsidRPr="00244B85">
        <w:rPr>
          <w:rFonts w:ascii="Palatino Linotype" w:eastAsia="Palatino Linotype" w:hAnsi="Palatino Linotype" w:cs="Palatino Linotype"/>
          <w:b/>
          <w:sz w:val="22"/>
          <w:szCs w:val="22"/>
        </w:rPr>
        <w:t>PRIMERO.</w:t>
      </w:r>
      <w:r w:rsidRPr="00244B85">
        <w:rPr>
          <w:rFonts w:ascii="Palatino Linotype" w:eastAsia="Palatino Linotype" w:hAnsi="Palatino Linotype" w:cs="Palatino Linotype"/>
          <w:sz w:val="22"/>
          <w:szCs w:val="22"/>
        </w:rPr>
        <w:t xml:space="preserve"> Se </w:t>
      </w:r>
      <w:r w:rsidRPr="00244B85">
        <w:rPr>
          <w:rFonts w:ascii="Palatino Linotype" w:eastAsia="Palatino Linotype" w:hAnsi="Palatino Linotype" w:cs="Palatino Linotype"/>
          <w:b/>
          <w:sz w:val="22"/>
          <w:szCs w:val="22"/>
        </w:rPr>
        <w:t xml:space="preserve">SOBRESEE el </w:t>
      </w:r>
      <w:r w:rsidRPr="00244B85">
        <w:rPr>
          <w:rFonts w:ascii="Palatino Linotype" w:eastAsia="Palatino Linotype" w:hAnsi="Palatino Linotype" w:cs="Palatino Linotype"/>
          <w:sz w:val="22"/>
          <w:szCs w:val="22"/>
        </w:rPr>
        <w:t xml:space="preserve">recurso de revisión número </w:t>
      </w:r>
      <w:r w:rsidRPr="00244B85">
        <w:rPr>
          <w:rFonts w:ascii="Palatino Linotype" w:eastAsia="Palatino Linotype" w:hAnsi="Palatino Linotype" w:cs="Palatino Linotype"/>
          <w:b/>
          <w:sz w:val="22"/>
          <w:szCs w:val="22"/>
        </w:rPr>
        <w:t>02683/INFOEM/IP/RR/2024</w:t>
      </w:r>
      <w:r w:rsidRPr="00244B85">
        <w:rPr>
          <w:rFonts w:ascii="Palatino Linotype" w:eastAsia="Palatino Linotype" w:hAnsi="Palatino Linotype" w:cs="Palatino Linotype"/>
          <w:sz w:val="22"/>
          <w:szCs w:val="22"/>
        </w:rPr>
        <w:t xml:space="preserve">, </w:t>
      </w:r>
      <w:r w:rsidR="006B59D0" w:rsidRPr="00244B85">
        <w:rPr>
          <w:rFonts w:ascii="Palatino Linotype" w:eastAsia="Palatino Linotype" w:hAnsi="Palatino Linotype" w:cs="Palatino Linotype"/>
          <w:sz w:val="22"/>
          <w:szCs w:val="22"/>
        </w:rPr>
        <w:t xml:space="preserve">por </w:t>
      </w:r>
      <w:r w:rsidR="006B59D0" w:rsidRPr="00244B85">
        <w:rPr>
          <w:rFonts w:ascii="Palatino Linotype" w:eastAsia="Palatino Linotype" w:hAnsi="Palatino Linotype" w:cs="Palatino Linotype"/>
          <w:sz w:val="22"/>
          <w:szCs w:val="22"/>
          <w:lang w:val="es-ES"/>
        </w:rPr>
        <w:t>actualizarse la fracción IV</w:t>
      </w:r>
      <w:r w:rsidR="00BF2093" w:rsidRPr="00244B85">
        <w:rPr>
          <w:rFonts w:ascii="Palatino Linotype" w:eastAsia="Palatino Linotype" w:hAnsi="Palatino Linotype" w:cs="Palatino Linotype"/>
          <w:sz w:val="22"/>
          <w:szCs w:val="22"/>
          <w:lang w:val="es-ES"/>
        </w:rPr>
        <w:t>,</w:t>
      </w:r>
      <w:r w:rsidR="006B59D0" w:rsidRPr="00244B85">
        <w:rPr>
          <w:rFonts w:ascii="Palatino Linotype" w:eastAsia="Palatino Linotype" w:hAnsi="Palatino Linotype" w:cs="Palatino Linotype"/>
          <w:sz w:val="22"/>
          <w:szCs w:val="22"/>
          <w:lang w:val="es-ES"/>
        </w:rPr>
        <w:t xml:space="preserve"> del artículo 192, de la ley de transparencia vigente en la entidad, en términos del Considerando </w:t>
      </w:r>
      <w:r w:rsidR="006B59D0" w:rsidRPr="00244B85">
        <w:rPr>
          <w:rFonts w:ascii="Palatino Linotype" w:eastAsia="Palatino Linotype" w:hAnsi="Palatino Linotype" w:cs="Palatino Linotype"/>
          <w:b/>
          <w:sz w:val="22"/>
          <w:szCs w:val="22"/>
          <w:lang w:val="es-ES"/>
        </w:rPr>
        <w:t>TERCERO</w:t>
      </w:r>
      <w:r w:rsidR="006B59D0" w:rsidRPr="00244B85">
        <w:rPr>
          <w:rFonts w:ascii="Palatino Linotype" w:eastAsia="Palatino Linotype" w:hAnsi="Palatino Linotype" w:cs="Palatino Linotype"/>
          <w:sz w:val="22"/>
          <w:szCs w:val="22"/>
          <w:lang w:val="es-ES"/>
        </w:rPr>
        <w:t xml:space="preserve"> de la presente resolución.</w:t>
      </w:r>
    </w:p>
    <w:p w:rsidR="003966B8" w:rsidRPr="00244B85" w:rsidRDefault="00BF2093" w:rsidP="006B59D0">
      <w:pPr>
        <w:spacing w:after="240" w:line="360" w:lineRule="auto"/>
        <w:ind w:right="-592"/>
        <w:jc w:val="both"/>
        <w:rPr>
          <w:rFonts w:ascii="Palatino Linotype" w:eastAsia="Palatino Linotype" w:hAnsi="Palatino Linotype" w:cs="Palatino Linotype"/>
          <w:b/>
          <w:color w:val="000000"/>
          <w:sz w:val="22"/>
          <w:szCs w:val="22"/>
        </w:rPr>
      </w:pPr>
      <w:r w:rsidRPr="00244B85">
        <w:rPr>
          <w:rFonts w:ascii="Palatino Linotype" w:eastAsia="Palatino Linotype" w:hAnsi="Palatino Linotype" w:cs="Palatino Linotype"/>
          <w:b/>
          <w:color w:val="000000"/>
          <w:sz w:val="22"/>
          <w:szCs w:val="22"/>
        </w:rPr>
        <w:t>SEGUNDO. Notifíquese</w:t>
      </w:r>
      <w:r w:rsidR="003966B8" w:rsidRPr="00244B85">
        <w:rPr>
          <w:rFonts w:ascii="Palatino Linotype" w:eastAsia="Palatino Linotype" w:hAnsi="Palatino Linotype" w:cs="Palatino Linotype"/>
          <w:b/>
          <w:color w:val="000000"/>
          <w:sz w:val="22"/>
          <w:szCs w:val="22"/>
        </w:rPr>
        <w:t xml:space="preserve"> </w:t>
      </w:r>
      <w:r w:rsidR="003966B8" w:rsidRPr="00244B85">
        <w:rPr>
          <w:rFonts w:ascii="Palatino Linotype" w:eastAsia="Palatino Linotype" w:hAnsi="Palatino Linotype" w:cs="Palatino Linotype"/>
          <w:color w:val="000000"/>
          <w:sz w:val="22"/>
          <w:szCs w:val="22"/>
        </w:rPr>
        <w:t xml:space="preserve">a través del Sistema de Acceso a la Información Mexiquense </w:t>
      </w:r>
      <w:r w:rsidR="003966B8" w:rsidRPr="00244B85">
        <w:rPr>
          <w:rFonts w:ascii="Palatino Linotype" w:eastAsia="Palatino Linotype" w:hAnsi="Palatino Linotype" w:cs="Palatino Linotype"/>
          <w:b/>
          <w:color w:val="000000"/>
          <w:sz w:val="22"/>
          <w:szCs w:val="22"/>
        </w:rPr>
        <w:t xml:space="preserve">(SAIMEX) </w:t>
      </w:r>
      <w:r w:rsidR="003966B8" w:rsidRPr="00244B85">
        <w:rPr>
          <w:rFonts w:ascii="Palatino Linotype" w:eastAsia="Palatino Linotype" w:hAnsi="Palatino Linotype" w:cs="Palatino Linotype"/>
          <w:color w:val="000000"/>
          <w:sz w:val="22"/>
          <w:szCs w:val="22"/>
        </w:rPr>
        <w:t>la presente resolución al Titular de la Unidad de Transparencia del</w:t>
      </w:r>
      <w:r w:rsidR="003966B8" w:rsidRPr="00244B85">
        <w:rPr>
          <w:rFonts w:ascii="Palatino Linotype" w:eastAsia="Palatino Linotype" w:hAnsi="Palatino Linotype" w:cs="Palatino Linotype"/>
          <w:b/>
          <w:color w:val="000000"/>
          <w:sz w:val="22"/>
          <w:szCs w:val="22"/>
        </w:rPr>
        <w:t xml:space="preserve"> SUJETO OBLIGADO. </w:t>
      </w:r>
    </w:p>
    <w:p w:rsidR="003966B8" w:rsidRPr="00244B85" w:rsidRDefault="003966B8" w:rsidP="003966B8">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222222"/>
          <w:sz w:val="22"/>
          <w:szCs w:val="22"/>
        </w:rPr>
      </w:pPr>
      <w:r w:rsidRPr="00244B85">
        <w:rPr>
          <w:rFonts w:ascii="Palatino Linotype" w:eastAsia="Palatino Linotype" w:hAnsi="Palatino Linotype" w:cs="Palatino Linotype"/>
          <w:b/>
          <w:color w:val="000000"/>
          <w:sz w:val="22"/>
          <w:szCs w:val="22"/>
        </w:rPr>
        <w:t xml:space="preserve">TERCERO. Notifíquese al RECURRENTE </w:t>
      </w:r>
      <w:r w:rsidRPr="00244B85">
        <w:rPr>
          <w:rFonts w:ascii="Palatino Linotype" w:eastAsia="Palatino Linotype" w:hAnsi="Palatino Linotype" w:cs="Palatino Linotype"/>
          <w:color w:val="222222"/>
          <w:sz w:val="22"/>
          <w:szCs w:val="22"/>
        </w:rPr>
        <w:t xml:space="preserve">la presente resolución vía </w:t>
      </w:r>
      <w:r w:rsidRPr="00244B85">
        <w:rPr>
          <w:rFonts w:ascii="Palatino Linotype" w:eastAsia="Palatino Linotype" w:hAnsi="Palatino Linotype" w:cs="Palatino Linotype"/>
          <w:b/>
          <w:color w:val="222222"/>
          <w:sz w:val="22"/>
          <w:szCs w:val="22"/>
        </w:rPr>
        <w:t>SAIMEX</w:t>
      </w:r>
      <w:r w:rsidRPr="00244B85">
        <w:rPr>
          <w:rFonts w:ascii="Palatino Linotype" w:eastAsia="Palatino Linotype" w:hAnsi="Palatino Linotype" w:cs="Palatino Linotype"/>
          <w:color w:val="222222"/>
          <w:sz w:val="22"/>
          <w:szCs w:val="22"/>
        </w:rPr>
        <w:t>.</w:t>
      </w:r>
    </w:p>
    <w:p w:rsidR="003966B8" w:rsidRPr="00244B85" w:rsidRDefault="003966B8" w:rsidP="003966B8">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sz w:val="22"/>
          <w:szCs w:val="22"/>
        </w:rPr>
      </w:pPr>
      <w:r w:rsidRPr="00244B85">
        <w:rPr>
          <w:rFonts w:ascii="Palatino Linotype" w:eastAsia="Palatino Linotype" w:hAnsi="Palatino Linotype" w:cs="Palatino Linotype"/>
          <w:b/>
          <w:color w:val="000000"/>
          <w:sz w:val="22"/>
          <w:szCs w:val="22"/>
        </w:rPr>
        <w:t>CUARTO.</w:t>
      </w:r>
      <w:r w:rsidRPr="00244B85">
        <w:rPr>
          <w:rFonts w:ascii="Palatino Linotype" w:eastAsia="Palatino Linotype" w:hAnsi="Palatino Linotype" w:cs="Palatino Linotype"/>
          <w:color w:val="000000"/>
          <w:sz w:val="22"/>
          <w:szCs w:val="22"/>
        </w:rPr>
        <w:t xml:space="preserve"> Se hace del conocimiento del </w:t>
      </w:r>
      <w:r w:rsidRPr="00244B85">
        <w:rPr>
          <w:rFonts w:ascii="Palatino Linotype" w:eastAsia="Palatino Linotype" w:hAnsi="Palatino Linotype" w:cs="Palatino Linotype"/>
          <w:b/>
          <w:color w:val="000000"/>
          <w:sz w:val="22"/>
          <w:szCs w:val="22"/>
        </w:rPr>
        <w:t xml:space="preserve">RECURRENTE </w:t>
      </w:r>
      <w:r w:rsidRPr="00244B85">
        <w:rPr>
          <w:rFonts w:ascii="Palatino Linotype" w:eastAsia="Palatino Linotype" w:hAnsi="Palatino Linotype" w:cs="Palatino Linotype"/>
          <w:color w:val="000000"/>
          <w:sz w:val="22"/>
          <w:szCs w:val="22"/>
        </w:rPr>
        <w:t xml:space="preserve">que, de conformidad con lo establecido en el artículo 196 de la Ley de Transparencia y Acceso a la Información Pública del Estado de México y Municipios, en caso de que considere que la resolución le cause algún perjuicio podrá </w:t>
      </w:r>
      <w:r w:rsidRPr="00244B85">
        <w:rPr>
          <w:rFonts w:ascii="Palatino Linotype" w:eastAsia="Palatino Linotype" w:hAnsi="Palatino Linotype" w:cs="Palatino Linotype"/>
          <w:sz w:val="22"/>
          <w:szCs w:val="22"/>
        </w:rPr>
        <w:t>impugnar vía</w:t>
      </w:r>
      <w:r w:rsidRPr="00244B85">
        <w:rPr>
          <w:rFonts w:ascii="Palatino Linotype" w:eastAsia="Palatino Linotype" w:hAnsi="Palatino Linotype" w:cs="Palatino Linotype"/>
          <w:color w:val="000000"/>
          <w:sz w:val="22"/>
          <w:szCs w:val="22"/>
        </w:rPr>
        <w:t xml:space="preserve"> juicio de amparo en los términos de las leyes aplicables.</w:t>
      </w:r>
    </w:p>
    <w:p w:rsidR="008E22D4" w:rsidRPr="00244B85" w:rsidRDefault="00BF2093" w:rsidP="008E22D4">
      <w:pPr>
        <w:shd w:val="clear" w:color="auto" w:fill="FFFFFF"/>
        <w:spacing w:line="360" w:lineRule="auto"/>
        <w:jc w:val="both"/>
        <w:rPr>
          <w:rFonts w:ascii="Palatino Linotype" w:eastAsia="Calibri" w:hAnsi="Palatino Linotype"/>
          <w:color w:val="000000" w:themeColor="text1"/>
          <w:sz w:val="22"/>
        </w:rPr>
      </w:pPr>
      <w:r w:rsidRPr="00244B85">
        <w:rPr>
          <w:rFonts w:ascii="Palatino Linotype" w:eastAsia="Calibri" w:hAnsi="Palatino Linotype"/>
          <w:b/>
          <w:color w:val="000000" w:themeColor="text1"/>
          <w:sz w:val="22"/>
        </w:rPr>
        <w:t>QUINTO</w:t>
      </w:r>
      <w:r w:rsidR="008E22D4" w:rsidRPr="00244B85">
        <w:rPr>
          <w:rFonts w:ascii="Palatino Linotype" w:eastAsia="Calibri" w:hAnsi="Palatino Linotype"/>
          <w:b/>
          <w:color w:val="000000" w:themeColor="text1"/>
          <w:sz w:val="22"/>
        </w:rPr>
        <w:t>.</w:t>
      </w:r>
      <w:r w:rsidR="008E22D4" w:rsidRPr="00244B85">
        <w:rPr>
          <w:rFonts w:ascii="Palatino Linotype" w:eastAsia="Calibri" w:hAnsi="Palatino Linotype"/>
          <w:color w:val="000000" w:themeColor="text1"/>
          <w:sz w:val="22"/>
        </w:rPr>
        <w:t xml:space="preserve"> </w:t>
      </w:r>
      <w:r w:rsidR="008E22D4" w:rsidRPr="00244B85">
        <w:rPr>
          <w:rFonts w:ascii="Palatino Linotype" w:hAnsi="Palatino Linotype" w:cs="Tahoma"/>
          <w:bCs/>
          <w:sz w:val="22"/>
        </w:rPr>
        <w:t xml:space="preserve">Con fundamento en lo dispuesto en los artículos 14, fracción XXVI y 24, fracciones XI, XII y XIII del Reglamento Interior del Instituto de Transparencia, Acceso a la Información </w:t>
      </w:r>
      <w:r w:rsidR="008E22D4" w:rsidRPr="00244B85">
        <w:rPr>
          <w:rFonts w:ascii="Palatino Linotype" w:hAnsi="Palatino Linotype" w:cs="Tahoma"/>
          <w:bCs/>
          <w:sz w:val="22"/>
        </w:rPr>
        <w:lastRenderedPageBreak/>
        <w:t xml:space="preserve">Pública y Protección de Datos Personales del Estado de México y Municipios, gírese oficio a la Dirección General de Protección de Datos Personales de este Instituto, en términos de lo dispuesto en el </w:t>
      </w:r>
      <w:r w:rsidR="008E22D4" w:rsidRPr="00244B85">
        <w:rPr>
          <w:rFonts w:ascii="Palatino Linotype" w:hAnsi="Palatino Linotype"/>
          <w:b/>
          <w:sz w:val="22"/>
          <w:lang w:eastAsia="es-ES_tradnl"/>
        </w:rPr>
        <w:t>Considerando</w:t>
      </w:r>
      <w:r w:rsidR="008E22D4" w:rsidRPr="00244B85">
        <w:rPr>
          <w:rFonts w:ascii="Palatino Linotype" w:hAnsi="Palatino Linotype"/>
          <w:sz w:val="22"/>
          <w:lang w:eastAsia="es-ES_tradnl"/>
        </w:rPr>
        <w:t xml:space="preserve"> </w:t>
      </w:r>
      <w:r w:rsidR="008E22D4" w:rsidRPr="00244B85">
        <w:rPr>
          <w:rFonts w:ascii="Palatino Linotype" w:hAnsi="Palatino Linotype"/>
          <w:b/>
          <w:sz w:val="22"/>
          <w:lang w:eastAsia="es-ES_tradnl"/>
        </w:rPr>
        <w:t>CUARTO</w:t>
      </w:r>
      <w:r w:rsidR="008E22D4" w:rsidRPr="00244B85">
        <w:rPr>
          <w:rFonts w:ascii="Palatino Linotype" w:hAnsi="Palatino Linotype" w:cs="Tahoma"/>
          <w:bCs/>
          <w:sz w:val="22"/>
        </w:rPr>
        <w:t xml:space="preserve"> la presente Resolución.</w:t>
      </w:r>
    </w:p>
    <w:p w:rsidR="003966B8" w:rsidRPr="00244B85" w:rsidRDefault="003966B8" w:rsidP="003966B8">
      <w:pPr>
        <w:pBdr>
          <w:top w:val="nil"/>
          <w:left w:val="nil"/>
          <w:bottom w:val="nil"/>
          <w:right w:val="nil"/>
          <w:between w:val="nil"/>
        </w:pBdr>
        <w:spacing w:after="240" w:line="360" w:lineRule="auto"/>
        <w:ind w:right="-592"/>
        <w:jc w:val="both"/>
        <w:rPr>
          <w:rFonts w:ascii="Palatino Linotype" w:eastAsia="Palatino Linotype" w:hAnsi="Palatino Linotype" w:cs="Palatino Linotype"/>
          <w:color w:val="000000"/>
          <w:sz w:val="22"/>
          <w:szCs w:val="22"/>
        </w:rPr>
      </w:pPr>
    </w:p>
    <w:p w:rsidR="00BF2093" w:rsidRPr="003C7186" w:rsidRDefault="00BF2093" w:rsidP="00BF2093">
      <w:pPr>
        <w:spacing w:line="360" w:lineRule="auto"/>
        <w:ind w:left="-142" w:right="-234" w:firstLine="1"/>
        <w:jc w:val="both"/>
        <w:rPr>
          <w:rFonts w:ascii="Palatino Linotype" w:hAnsi="Palatino Linotype"/>
        </w:rPr>
      </w:pPr>
      <w:r w:rsidRPr="00244B8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F76442" w:rsidRPr="00244B85">
        <w:rPr>
          <w:rFonts w:ascii="Palatino Linotype" w:hAnsi="Palatino Linotype"/>
        </w:rPr>
        <w:t xml:space="preserve"> EMITIENDO VOTO PARTICULAR CONCURRENTE</w:t>
      </w:r>
      <w:r w:rsidRPr="00244B85">
        <w:rPr>
          <w:rFonts w:ascii="Palatino Linotype" w:hAnsi="Palatino Linotype"/>
        </w:rPr>
        <w:t xml:space="preserve"> Y GUADALUPE RAMÍREZ PEÑA</w:t>
      </w:r>
      <w:r w:rsidR="00F76442" w:rsidRPr="00244B85">
        <w:rPr>
          <w:rFonts w:ascii="Palatino Linotype" w:hAnsi="Palatino Linotype"/>
        </w:rPr>
        <w:t xml:space="preserve"> EMITIENDO VOTO PARTICULAR CONCURRENTE</w:t>
      </w:r>
      <w:r w:rsidRPr="00244B85">
        <w:rPr>
          <w:rFonts w:ascii="Palatino Linotype" w:hAnsi="Palatino Linotype"/>
        </w:rPr>
        <w:t>;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spacing w:line="360" w:lineRule="auto"/>
        <w:ind w:right="-592"/>
        <w:rPr>
          <w:rFonts w:ascii="Palatino Linotype" w:eastAsia="Palatino Linotype" w:hAnsi="Palatino Linotype" w:cs="Palatino Linotype"/>
          <w:sz w:val="22"/>
          <w:szCs w:val="22"/>
        </w:rPr>
      </w:pPr>
    </w:p>
    <w:p w:rsidR="003966B8" w:rsidRPr="00590056" w:rsidRDefault="003966B8" w:rsidP="003966B8">
      <w:pPr>
        <w:ind w:right="-592"/>
        <w:rPr>
          <w:sz w:val="22"/>
          <w:szCs w:val="22"/>
        </w:rPr>
      </w:pPr>
    </w:p>
    <w:p w:rsidR="008B5609" w:rsidRPr="00590056" w:rsidRDefault="008B5609">
      <w:pPr>
        <w:rPr>
          <w:sz w:val="22"/>
          <w:szCs w:val="22"/>
        </w:rPr>
      </w:pPr>
    </w:p>
    <w:sectPr w:rsidR="008B5609" w:rsidRPr="00590056">
      <w:headerReference w:type="even" r:id="rId7"/>
      <w:headerReference w:type="default" r:id="rId8"/>
      <w:footerReference w:type="default" r:id="rId9"/>
      <w:headerReference w:type="first" r:id="rId10"/>
      <w:footerReference w:type="first" r:id="rId11"/>
      <w:pgSz w:w="12240" w:h="15840"/>
      <w:pgMar w:top="80" w:right="1608"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BBF" w:rsidRDefault="00EE6BBF" w:rsidP="003966B8">
      <w:r>
        <w:separator/>
      </w:r>
    </w:p>
  </w:endnote>
  <w:endnote w:type="continuationSeparator" w:id="0">
    <w:p w:rsidR="00EE6BBF" w:rsidRDefault="00EE6BBF" w:rsidP="00396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62" w:rsidRDefault="001A2D6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4211E">
      <w:rPr>
        <w:b/>
        <w:noProof/>
        <w:color w:val="000000"/>
      </w:rPr>
      <w:t>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4211E">
      <w:rPr>
        <w:b/>
        <w:noProof/>
        <w:color w:val="000000"/>
      </w:rPr>
      <w:t>20</w:t>
    </w:r>
    <w:r>
      <w:rPr>
        <w:b/>
        <w:color w:val="000000"/>
      </w:rPr>
      <w:fldChar w:fldCharType="end"/>
    </w:r>
  </w:p>
  <w:p w:rsidR="001A2D62" w:rsidRDefault="001A2D6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62" w:rsidRDefault="001A2D62">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54211E">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54211E">
      <w:rPr>
        <w:b/>
        <w:noProof/>
        <w:color w:val="000000"/>
      </w:rPr>
      <w:t>20</w:t>
    </w:r>
    <w:r>
      <w:rPr>
        <w:b/>
        <w:color w:val="000000"/>
      </w:rPr>
      <w:fldChar w:fldCharType="end"/>
    </w:r>
  </w:p>
  <w:p w:rsidR="001A2D62" w:rsidRDefault="001A2D6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BBF" w:rsidRDefault="00EE6BBF" w:rsidP="003966B8">
      <w:r>
        <w:separator/>
      </w:r>
    </w:p>
  </w:footnote>
  <w:footnote w:type="continuationSeparator" w:id="0">
    <w:p w:rsidR="00EE6BBF" w:rsidRDefault="00EE6BBF" w:rsidP="003966B8">
      <w:r>
        <w:continuationSeparator/>
      </w:r>
    </w:p>
  </w:footnote>
  <w:footnote w:id="1">
    <w:p w:rsidR="001A2D62" w:rsidRDefault="001A2D62" w:rsidP="003966B8">
      <w:pPr>
        <w:pBdr>
          <w:top w:val="nil"/>
          <w:left w:val="nil"/>
          <w:bottom w:val="nil"/>
          <w:right w:val="nil"/>
          <w:between w:val="nil"/>
        </w:pBdr>
        <w:jc w:val="both"/>
        <w:rPr>
          <w:rFonts w:ascii="Palatino Linotype" w:eastAsia="Palatino Linotype" w:hAnsi="Palatino Linotype" w:cs="Palatino Linotype"/>
          <w:color w:val="000000"/>
          <w:sz w:val="18"/>
          <w:szCs w:val="18"/>
        </w:rPr>
      </w:pPr>
      <w:r>
        <w:rPr>
          <w:vertAlign w:val="superscript"/>
        </w:rPr>
        <w:footnoteRef/>
      </w:r>
      <w:r>
        <w:rPr>
          <w:rFonts w:ascii="Palatino Linotype" w:eastAsia="Palatino Linotype" w:hAnsi="Palatino Linotype" w:cs="Palatino Linotype"/>
          <w:color w:val="000000"/>
        </w:rPr>
        <w:t xml:space="preserve"> </w:t>
      </w:r>
      <w:r>
        <w:rPr>
          <w:rFonts w:ascii="Palatino Linotype" w:eastAsia="Palatino Linotype" w:hAnsi="Palatino Linotype" w:cs="Palatino Linotype"/>
          <w:b/>
          <w:color w:val="000000"/>
          <w:sz w:val="18"/>
          <w:szCs w:val="18"/>
        </w:rPr>
        <w:t>Artículo 9.</w:t>
      </w:r>
      <w:r>
        <w:rPr>
          <w:rFonts w:ascii="Palatino Linotype" w:eastAsia="Palatino Linotype" w:hAnsi="Palatino Linotype" w:cs="Palatino Linotype"/>
          <w:color w:val="000000"/>
          <w:sz w:val="18"/>
          <w:szCs w:val="18"/>
        </w:rPr>
        <w:t xml:space="preserve"> El Instituto deberá regir su funcionamiento de acuerdo a los siguientes principios:</w:t>
      </w:r>
    </w:p>
    <w:p w:rsidR="001A2D62" w:rsidRDefault="001A2D62" w:rsidP="003966B8">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1A2D62" w:rsidRDefault="001A2D62" w:rsidP="003966B8">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b/>
          <w:color w:val="000000"/>
          <w:sz w:val="18"/>
          <w:szCs w:val="18"/>
        </w:rPr>
        <w:t>II. Eficacia:</w:t>
      </w:r>
      <w:r>
        <w:rPr>
          <w:rFonts w:ascii="Palatino Linotype" w:eastAsia="Palatino Linotype" w:hAnsi="Palatino Linotype" w:cs="Palatino Linotype"/>
          <w:color w:val="000000"/>
          <w:sz w:val="18"/>
          <w:szCs w:val="18"/>
        </w:rPr>
        <w:t xml:space="preserve"> Obligación del Instituto para tutelar, de manera efectiva, el derecho de acceso a la información</w:t>
      </w:r>
    </w:p>
    <w:p w:rsidR="001A2D62" w:rsidRDefault="001A2D62" w:rsidP="003966B8">
      <w:pPr>
        <w:pBdr>
          <w:top w:val="nil"/>
          <w:left w:val="nil"/>
          <w:bottom w:val="nil"/>
          <w:right w:val="nil"/>
          <w:between w:val="nil"/>
        </w:pBdr>
        <w:jc w:val="both"/>
        <w:rPr>
          <w:rFonts w:ascii="Palatino Linotype" w:eastAsia="Palatino Linotype" w:hAnsi="Palatino Linotype" w:cs="Palatino Linotype"/>
          <w:color w:val="000000"/>
          <w:sz w:val="18"/>
          <w:szCs w:val="18"/>
        </w:rPr>
      </w:pPr>
      <w:r>
        <w:rPr>
          <w:rFonts w:ascii="Palatino Linotype" w:eastAsia="Palatino Linotype" w:hAnsi="Palatino Linotype" w:cs="Palatino Linotype"/>
          <w:color w:val="000000"/>
          <w:sz w:val="18"/>
          <w:szCs w:val="18"/>
        </w:rPr>
        <w:t>(…)</w:t>
      </w:r>
    </w:p>
    <w:p w:rsidR="001A2D62" w:rsidRDefault="001A2D62" w:rsidP="003966B8">
      <w:pPr>
        <w:pBdr>
          <w:top w:val="nil"/>
          <w:left w:val="nil"/>
          <w:bottom w:val="nil"/>
          <w:right w:val="nil"/>
          <w:between w:val="nil"/>
        </w:pBdr>
        <w:jc w:val="both"/>
        <w:rPr>
          <w:rFonts w:ascii="Calibri" w:eastAsia="Calibri" w:hAnsi="Calibri" w:cs="Calibri"/>
          <w:color w:val="000000"/>
        </w:rPr>
      </w:pPr>
      <w:r>
        <w:rPr>
          <w:rFonts w:ascii="Palatino Linotype" w:eastAsia="Palatino Linotype" w:hAnsi="Palatino Linotype" w:cs="Palatino Linotype"/>
          <w:b/>
          <w:color w:val="000000"/>
          <w:sz w:val="18"/>
          <w:szCs w:val="18"/>
        </w:rPr>
        <w:t>IX. Profesionalismo:</w:t>
      </w:r>
      <w:r>
        <w:rPr>
          <w:rFonts w:ascii="Palatino Linotype" w:eastAsia="Palatino Linotype" w:hAnsi="Palatino Linotype" w:cs="Palatino Linotype"/>
          <w:color w:val="000000"/>
          <w:sz w:val="18"/>
          <w:szCs w:val="18"/>
        </w:rPr>
        <w:t xml:space="preserve"> Los servidores públicos que laboren en el Instituto deberán sujetar su actuación a conocimientos técnicos, teóricos y metodológicos que garanticen un desempeño eficiente y eficaz en el ejercicio de la función pública que tienen encomendada; y</w:t>
      </w:r>
    </w:p>
  </w:footnote>
  <w:footnote w:id="2">
    <w:p w:rsidR="00EB6A0C" w:rsidRPr="00820FBB" w:rsidRDefault="00EB6A0C" w:rsidP="00EB6A0C">
      <w:pPr>
        <w:autoSpaceDE w:val="0"/>
        <w:autoSpaceDN w:val="0"/>
        <w:adjustRightInd w:val="0"/>
        <w:jc w:val="both"/>
        <w:rPr>
          <w:rFonts w:ascii="Palatino Linotype" w:eastAsiaTheme="minorEastAsia" w:hAnsi="Palatino Linotype" w:cs="Arial"/>
          <w:sz w:val="16"/>
          <w:szCs w:val="16"/>
        </w:rPr>
      </w:pPr>
      <w:r w:rsidRPr="00820FBB">
        <w:rPr>
          <w:rFonts w:ascii="Palatino Linotype" w:eastAsiaTheme="minorEastAsia" w:hAnsi="Palatino Linotype"/>
          <w:sz w:val="16"/>
          <w:szCs w:val="16"/>
        </w:rPr>
        <w:footnoteRef/>
      </w:r>
      <w:r w:rsidRPr="00820FBB">
        <w:rPr>
          <w:rFonts w:ascii="Palatino Linotype" w:eastAsiaTheme="minorEastAsia" w:hAnsi="Palatino Linotype" w:cs="Arial"/>
          <w:sz w:val="16"/>
          <w:szCs w:val="16"/>
        </w:rPr>
        <w:t xml:space="preserve"> CIENFUEGOS SALGADO David. El Derecho de Petición en México. Ed. Instituto de Investigaciones Jurídica UNAM. México 2004. p. 31</w:t>
      </w:r>
    </w:p>
  </w:footnote>
  <w:footnote w:id="3">
    <w:p w:rsidR="00EB6A0C" w:rsidRPr="00820FBB" w:rsidRDefault="00EB6A0C" w:rsidP="00EB6A0C">
      <w:pPr>
        <w:spacing w:before="240" w:after="240"/>
        <w:contextualSpacing/>
        <w:jc w:val="both"/>
        <w:rPr>
          <w:rFonts w:ascii="Palatino Linotype" w:hAnsi="Palatino Linotype" w:cs="Arial"/>
          <w:sz w:val="16"/>
          <w:szCs w:val="16"/>
        </w:rPr>
      </w:pPr>
      <w:r w:rsidRPr="00820FBB">
        <w:rPr>
          <w:rStyle w:val="Refdenotaalpie"/>
          <w:rFonts w:ascii="Palatino Linotype" w:hAnsi="Palatino Linotype"/>
          <w:sz w:val="16"/>
          <w:szCs w:val="16"/>
        </w:rPr>
        <w:footnoteRef/>
      </w:r>
      <w:r w:rsidRPr="00820FBB">
        <w:rPr>
          <w:rFonts w:ascii="Palatino Linotype" w:hAnsi="Palatino Linotype"/>
          <w:sz w:val="16"/>
          <w:szCs w:val="16"/>
        </w:rPr>
        <w:t xml:space="preserve"> </w:t>
      </w:r>
      <w:r w:rsidRPr="00820FBB">
        <w:rPr>
          <w:rFonts w:ascii="Palatino Linotype" w:hAnsi="Palatino Linotype" w:cs="Arial"/>
          <w:sz w:val="16"/>
          <w:szCs w:val="16"/>
        </w:rPr>
        <w:t>Carbonell, M. (2004). Los Derechos Fundamentales (Primera Edición ed.), México: Instituto de investigaciones Jurídicas.</w:t>
      </w:r>
    </w:p>
  </w:footnote>
  <w:footnote w:id="4">
    <w:p w:rsidR="00EB6A0C" w:rsidRPr="00820FBB" w:rsidRDefault="00EB6A0C" w:rsidP="00EB6A0C">
      <w:pPr>
        <w:pStyle w:val="Textoindependiente"/>
        <w:kinsoku w:val="0"/>
        <w:overflowPunct w:val="0"/>
        <w:spacing w:line="198" w:lineRule="exact"/>
        <w:jc w:val="both"/>
        <w:rPr>
          <w:rFonts w:ascii="Palatino Linotype" w:hAnsi="Palatino Linotype"/>
          <w:sz w:val="16"/>
          <w:szCs w:val="16"/>
        </w:rPr>
      </w:pPr>
      <w:r w:rsidRPr="00820FBB">
        <w:rPr>
          <w:rStyle w:val="Refdenotaalpie"/>
          <w:rFonts w:ascii="Palatino Linotype" w:hAnsi="Palatino Linotype"/>
          <w:sz w:val="16"/>
          <w:szCs w:val="16"/>
        </w:rPr>
        <w:footnoteRef/>
      </w:r>
      <w:r w:rsidRPr="00820FBB">
        <w:rPr>
          <w:rFonts w:ascii="Palatino Linotype" w:hAnsi="Palatino Linotype"/>
          <w:sz w:val="16"/>
          <w:szCs w:val="16"/>
        </w:rPr>
        <w:t xml:space="preserve"> VILLANUEVA VILLANUEVA Ernesto, Derecho de la Información, Ed, Porrúa S.A., México.</w:t>
      </w:r>
      <w:r w:rsidRPr="00820FBB">
        <w:rPr>
          <w:rFonts w:ascii="Palatino Linotype" w:hAnsi="Palatino Linotype"/>
          <w:spacing w:val="6"/>
          <w:sz w:val="16"/>
          <w:szCs w:val="16"/>
        </w:rPr>
        <w:t xml:space="preserve"> </w:t>
      </w:r>
      <w:r w:rsidRPr="00820FBB">
        <w:rPr>
          <w:rFonts w:ascii="Palatino Linotype" w:hAnsi="Palatino Linotype"/>
          <w:sz w:val="16"/>
          <w:szCs w:val="16"/>
        </w:rPr>
        <w:t>2006, pág.270.</w:t>
      </w:r>
    </w:p>
  </w:footnote>
  <w:footnote w:id="5">
    <w:p w:rsidR="00EB6A0C" w:rsidRPr="00820FBB" w:rsidRDefault="00EB6A0C" w:rsidP="00EB6A0C">
      <w:pPr>
        <w:pStyle w:val="Textonotapie"/>
        <w:jc w:val="both"/>
        <w:rPr>
          <w:rFonts w:ascii="Palatino Linotype" w:hAnsi="Palatino Linotype"/>
          <w:sz w:val="16"/>
          <w:szCs w:val="16"/>
        </w:rPr>
      </w:pPr>
      <w:r w:rsidRPr="00820FBB">
        <w:rPr>
          <w:rStyle w:val="Refdenotaalpie"/>
          <w:rFonts w:ascii="Palatino Linotype" w:hAnsi="Palatino Linotype"/>
          <w:sz w:val="16"/>
          <w:szCs w:val="16"/>
        </w:rPr>
        <w:footnoteRef/>
      </w:r>
      <w:r w:rsidRPr="00820FBB">
        <w:rPr>
          <w:rFonts w:ascii="Palatino Linotype" w:hAnsi="Palatino Linotype"/>
          <w:sz w:val="16"/>
          <w:szCs w:val="16"/>
        </w:rPr>
        <w:t xml:space="preserve"> Artículo 143. Para los efectos de esta Ley se considera información confidencial, la clasificada como tal, de manera permanente, por su naturaleza, cuando: </w:t>
      </w:r>
    </w:p>
    <w:p w:rsidR="00EB6A0C" w:rsidRPr="00820FBB" w:rsidRDefault="00EB6A0C" w:rsidP="00EB6A0C">
      <w:pPr>
        <w:pStyle w:val="Textonotapie"/>
        <w:jc w:val="both"/>
        <w:rPr>
          <w:rFonts w:ascii="Palatino Linotype" w:hAnsi="Palatino Linotype"/>
          <w:sz w:val="16"/>
          <w:szCs w:val="16"/>
          <w:lang w:val="es-ES"/>
        </w:rPr>
      </w:pPr>
      <w:r w:rsidRPr="00820FBB">
        <w:rPr>
          <w:rFonts w:ascii="Palatino Linotype" w:hAnsi="Palatino Linotype"/>
          <w:sz w:val="16"/>
          <w:szCs w:val="16"/>
        </w:rPr>
        <w:t>I. Se refiera a la información privada y los datos personales concernientes a una persona física o jurídico colectiva identificada o identificable;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D62" w:rsidRDefault="00EE6BBF">
    <w:pPr>
      <w:pBdr>
        <w:top w:val="nil"/>
        <w:left w:val="nil"/>
        <w:bottom w:val="nil"/>
        <w:right w:val="nil"/>
        <w:between w:val="nil"/>
      </w:pBdr>
      <w:tabs>
        <w:tab w:val="center" w:pos="4419"/>
        <w:tab w:val="right" w:pos="8838"/>
      </w:tabs>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00" w:firstRow="0" w:lastRow="0" w:firstColumn="0" w:lastColumn="0" w:noHBand="0" w:noVBand="1"/>
    </w:tblPr>
    <w:tblGrid>
      <w:gridCol w:w="2311"/>
      <w:gridCol w:w="8037"/>
    </w:tblGrid>
    <w:tr w:rsidR="001A2D62" w:rsidTr="003966B8">
      <w:trPr>
        <w:trHeight w:val="1230"/>
      </w:trPr>
      <w:tc>
        <w:tcPr>
          <w:tcW w:w="2311" w:type="dxa"/>
          <w:shd w:val="clear" w:color="auto" w:fill="auto"/>
        </w:tcPr>
        <w:p w:rsidR="001A2D62" w:rsidRDefault="001A2D62">
          <w:pPr>
            <w:tabs>
              <w:tab w:val="right" w:pos="4273"/>
            </w:tabs>
            <w:rPr>
              <w:rFonts w:ascii="Garamond" w:eastAsia="Garamond" w:hAnsi="Garamond" w:cs="Garamond"/>
              <w:sz w:val="16"/>
              <w:szCs w:val="16"/>
            </w:rPr>
          </w:pPr>
        </w:p>
      </w:tc>
      <w:tc>
        <w:tcPr>
          <w:tcW w:w="8037" w:type="dxa"/>
          <w:shd w:val="clear" w:color="auto" w:fill="auto"/>
        </w:tcPr>
        <w:tbl>
          <w:tblPr>
            <w:tblW w:w="6790" w:type="dxa"/>
            <w:tblInd w:w="1330" w:type="dxa"/>
            <w:tblLayout w:type="fixed"/>
            <w:tblLook w:val="0400" w:firstRow="0" w:lastRow="0" w:firstColumn="0" w:lastColumn="0" w:noHBand="0" w:noVBand="1"/>
          </w:tblPr>
          <w:tblGrid>
            <w:gridCol w:w="2600"/>
            <w:gridCol w:w="4190"/>
          </w:tblGrid>
          <w:tr w:rsidR="001A2D62" w:rsidTr="003966B8">
            <w:trPr>
              <w:trHeight w:val="128"/>
            </w:trPr>
            <w:tc>
              <w:tcPr>
                <w:tcW w:w="2600" w:type="dxa"/>
                <w:shd w:val="clear" w:color="auto" w:fill="auto"/>
              </w:tcPr>
              <w:p w:rsidR="001A2D62" w:rsidRDefault="001A2D6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190" w:type="dxa"/>
                <w:shd w:val="clear" w:color="auto" w:fill="auto"/>
              </w:tcPr>
              <w:p w:rsidR="001A2D62" w:rsidRDefault="001A2D62">
                <w:pPr>
                  <w:tabs>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02683/INFOEM/IP/RR/2024</w:t>
                </w:r>
                <w:r>
                  <w:rPr>
                    <w:rFonts w:ascii="Palatino Linotype" w:eastAsia="Palatino Linotype" w:hAnsi="Palatino Linotype" w:cs="Palatino Linotype"/>
                    <w:b/>
                    <w:sz w:val="22"/>
                    <w:szCs w:val="22"/>
                  </w:rPr>
                  <w:t xml:space="preserve"> </w:t>
                </w:r>
              </w:p>
            </w:tc>
          </w:tr>
          <w:tr w:rsidR="001A2D62" w:rsidTr="003966B8">
            <w:trPr>
              <w:trHeight w:val="252"/>
            </w:trPr>
            <w:tc>
              <w:tcPr>
                <w:tcW w:w="2600" w:type="dxa"/>
                <w:shd w:val="clear" w:color="auto" w:fill="auto"/>
              </w:tcPr>
              <w:p w:rsidR="001A2D62" w:rsidRDefault="001A2D6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190" w:type="dxa"/>
                <w:shd w:val="clear" w:color="auto" w:fill="auto"/>
              </w:tcPr>
              <w:p w:rsidR="001A2D62" w:rsidRDefault="001A2D62">
                <w:pPr>
                  <w:tabs>
                    <w:tab w:val="left" w:pos="2834"/>
                    <w:tab w:val="right" w:pos="8838"/>
                  </w:tabs>
                  <w:ind w:left="-108" w:right="-102"/>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Temoaya</w:t>
                </w:r>
              </w:p>
            </w:tc>
          </w:tr>
          <w:tr w:rsidR="001A2D62" w:rsidTr="003966B8">
            <w:trPr>
              <w:trHeight w:val="252"/>
            </w:trPr>
            <w:tc>
              <w:tcPr>
                <w:tcW w:w="2600" w:type="dxa"/>
                <w:shd w:val="clear" w:color="auto" w:fill="auto"/>
              </w:tcPr>
              <w:p w:rsidR="001A2D62" w:rsidRDefault="001A2D62">
                <w:pPr>
                  <w:tabs>
                    <w:tab w:val="right" w:pos="8838"/>
                  </w:tabs>
                  <w:ind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190" w:type="dxa"/>
                <w:shd w:val="clear" w:color="auto" w:fill="auto"/>
              </w:tcPr>
              <w:p w:rsidR="001A2D62" w:rsidRDefault="001A2D62">
                <w:pPr>
                  <w:tabs>
                    <w:tab w:val="right" w:pos="8838"/>
                  </w:tabs>
                  <w:ind w:left="-108" w:right="171"/>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A2D62" w:rsidRDefault="001A2D62">
                <w:pPr>
                  <w:tabs>
                    <w:tab w:val="right" w:pos="8838"/>
                  </w:tabs>
                  <w:ind w:left="-108" w:right="171"/>
                  <w:jc w:val="both"/>
                  <w:rPr>
                    <w:rFonts w:ascii="Palatino Linotype" w:eastAsia="Palatino Linotype" w:hAnsi="Palatino Linotype" w:cs="Palatino Linotype"/>
                    <w:b/>
                    <w:sz w:val="22"/>
                    <w:szCs w:val="22"/>
                  </w:rPr>
                </w:pPr>
              </w:p>
            </w:tc>
          </w:tr>
        </w:tbl>
        <w:p w:rsidR="001A2D62" w:rsidRDefault="001A2D62">
          <w:pPr>
            <w:tabs>
              <w:tab w:val="right" w:pos="8838"/>
            </w:tabs>
            <w:ind w:left="-28"/>
            <w:jc w:val="both"/>
            <w:rPr>
              <w:rFonts w:ascii="Arial" w:eastAsia="Arial" w:hAnsi="Arial" w:cs="Arial"/>
              <w:b/>
              <w:sz w:val="22"/>
              <w:szCs w:val="22"/>
            </w:rPr>
          </w:pPr>
        </w:p>
      </w:tc>
    </w:tr>
  </w:tbl>
  <w:p w:rsidR="001A2D62" w:rsidRDefault="00EE6BBF">
    <w:pPr>
      <w:pBdr>
        <w:top w:val="nil"/>
        <w:left w:val="nil"/>
        <w:bottom w:val="nil"/>
        <w:right w:val="nil"/>
        <w:between w:val="nil"/>
      </w:pBdr>
      <w:tabs>
        <w:tab w:val="center" w:pos="4419"/>
        <w:tab w:val="right" w:pos="8838"/>
      </w:tabs>
      <w:rPr>
        <w:color w:val="000000"/>
        <w:sz w:val="14"/>
        <w:szCs w:val="14"/>
      </w:rPr>
    </w:pPr>
    <w:r>
      <w:rPr>
        <w:color w:val="000000"/>
        <w:sz w:val="14"/>
        <w:szCs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 style="position:absolute;margin-left:-68.8pt;margin-top:-120.5pt;width:589.8pt;height:768pt;z-index:-251657216;mso-position-horizontal:absolute;mso-position-horizontal-relative:margin;mso-position-vertical:absolute;mso-position-vertical-relative:margin">
          <v:imagedata r:id="rId1" o:title="image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90" w:type="dxa"/>
      <w:tblLayout w:type="fixed"/>
      <w:tblLook w:val="0400" w:firstRow="0" w:lastRow="0" w:firstColumn="0" w:lastColumn="0" w:noHBand="0" w:noVBand="1"/>
    </w:tblPr>
    <w:tblGrid>
      <w:gridCol w:w="2410"/>
      <w:gridCol w:w="8080"/>
    </w:tblGrid>
    <w:tr w:rsidR="001A2D62" w:rsidTr="003966B8">
      <w:trPr>
        <w:trHeight w:val="1435"/>
      </w:trPr>
      <w:tc>
        <w:tcPr>
          <w:tcW w:w="2410" w:type="dxa"/>
          <w:shd w:val="clear" w:color="auto" w:fill="auto"/>
        </w:tcPr>
        <w:p w:rsidR="001A2D62" w:rsidRDefault="001A2D62">
          <w:pPr>
            <w:tabs>
              <w:tab w:val="right" w:pos="4273"/>
            </w:tabs>
            <w:rPr>
              <w:rFonts w:ascii="Garamond" w:eastAsia="Garamond" w:hAnsi="Garamond" w:cs="Garamond"/>
              <w:sz w:val="22"/>
              <w:szCs w:val="22"/>
            </w:rPr>
          </w:pPr>
        </w:p>
      </w:tc>
      <w:tc>
        <w:tcPr>
          <w:tcW w:w="8080" w:type="dxa"/>
          <w:shd w:val="clear" w:color="auto" w:fill="auto"/>
        </w:tcPr>
        <w:tbl>
          <w:tblPr>
            <w:tblW w:w="7231" w:type="dxa"/>
            <w:tblInd w:w="1019" w:type="dxa"/>
            <w:tblLayout w:type="fixed"/>
            <w:tblLook w:val="0400" w:firstRow="0" w:lastRow="0" w:firstColumn="0" w:lastColumn="0" w:noHBand="0" w:noVBand="1"/>
          </w:tblPr>
          <w:tblGrid>
            <w:gridCol w:w="2548"/>
            <w:gridCol w:w="4683"/>
          </w:tblGrid>
          <w:tr w:rsidR="001A2D62" w:rsidTr="003966B8">
            <w:trPr>
              <w:trHeight w:val="148"/>
            </w:trPr>
            <w:tc>
              <w:tcPr>
                <w:tcW w:w="2548" w:type="dxa"/>
                <w:shd w:val="clear" w:color="auto" w:fill="auto"/>
              </w:tcPr>
              <w:p w:rsidR="001A2D62" w:rsidRDefault="001A2D62">
                <w:pPr>
                  <w:tabs>
                    <w:tab w:val="right" w:pos="8838"/>
                  </w:tabs>
                  <w:ind w:left="-264" w:right="-105" w:firstLine="19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4683" w:type="dxa"/>
                <w:shd w:val="clear" w:color="auto" w:fill="auto"/>
              </w:tcPr>
              <w:p w:rsidR="001A2D62" w:rsidRDefault="001A2D6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02683/INFOEM/IP/RR/2024</w:t>
                </w:r>
              </w:p>
            </w:tc>
          </w:tr>
          <w:tr w:rsidR="001A2D62" w:rsidTr="003966B8">
            <w:trPr>
              <w:trHeight w:val="148"/>
            </w:trPr>
            <w:tc>
              <w:tcPr>
                <w:tcW w:w="2548" w:type="dxa"/>
                <w:shd w:val="clear" w:color="auto" w:fill="auto"/>
              </w:tcPr>
              <w:p w:rsidR="001A2D62" w:rsidRDefault="001A2D6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4683" w:type="dxa"/>
                <w:shd w:val="clear" w:color="auto" w:fill="auto"/>
              </w:tcPr>
              <w:p w:rsidR="001A2D62" w:rsidRDefault="0054211E">
                <w:pPr>
                  <w:tabs>
                    <w:tab w:val="left" w:pos="3122"/>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b/>
                    <w:bCs/>
                    <w:sz w:val="22"/>
                    <w:szCs w:val="22"/>
                  </w:rPr>
                  <w:t>XXXX</w:t>
                </w:r>
              </w:p>
            </w:tc>
          </w:tr>
          <w:tr w:rsidR="001A2D62" w:rsidTr="003966B8">
            <w:trPr>
              <w:trHeight w:val="292"/>
            </w:trPr>
            <w:tc>
              <w:tcPr>
                <w:tcW w:w="2548" w:type="dxa"/>
                <w:shd w:val="clear" w:color="auto" w:fill="auto"/>
              </w:tcPr>
              <w:p w:rsidR="001A2D62" w:rsidRDefault="001A2D6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4683" w:type="dxa"/>
                <w:shd w:val="clear" w:color="auto" w:fill="auto"/>
              </w:tcPr>
              <w:p w:rsidR="001A2D62" w:rsidRDefault="001A2D62" w:rsidP="003966B8">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Ayuntamiento de Temoaya</w:t>
                </w:r>
              </w:p>
            </w:tc>
          </w:tr>
          <w:tr w:rsidR="001A2D62" w:rsidTr="003966B8">
            <w:trPr>
              <w:trHeight w:val="292"/>
            </w:trPr>
            <w:tc>
              <w:tcPr>
                <w:tcW w:w="2548" w:type="dxa"/>
                <w:shd w:val="clear" w:color="auto" w:fill="auto"/>
              </w:tcPr>
              <w:p w:rsidR="001A2D62" w:rsidRDefault="001A2D62">
                <w:pPr>
                  <w:tabs>
                    <w:tab w:val="right" w:pos="8838"/>
                  </w:tabs>
                  <w:ind w:left="-74" w:right="-105"/>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Comisionado ponente:</w:t>
                </w:r>
              </w:p>
            </w:tc>
            <w:tc>
              <w:tcPr>
                <w:tcW w:w="4683" w:type="dxa"/>
                <w:shd w:val="clear" w:color="auto" w:fill="auto"/>
              </w:tcPr>
              <w:p w:rsidR="001A2D62" w:rsidRDefault="001A2D62">
                <w:pPr>
                  <w:tabs>
                    <w:tab w:val="right" w:pos="8838"/>
                  </w:tabs>
                  <w:ind w:left="-74" w:right="-105"/>
                  <w:jc w:val="both"/>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María del Rosario Mejía Ayala</w:t>
                </w:r>
              </w:p>
              <w:p w:rsidR="001A2D62" w:rsidRDefault="001A2D62">
                <w:pPr>
                  <w:tabs>
                    <w:tab w:val="right" w:pos="8838"/>
                  </w:tabs>
                  <w:ind w:left="-74" w:right="-105"/>
                  <w:jc w:val="both"/>
                  <w:rPr>
                    <w:rFonts w:ascii="Palatino Linotype" w:eastAsia="Palatino Linotype" w:hAnsi="Palatino Linotype" w:cs="Palatino Linotype"/>
                    <w:b/>
                    <w:sz w:val="22"/>
                    <w:szCs w:val="22"/>
                  </w:rPr>
                </w:pPr>
              </w:p>
            </w:tc>
          </w:tr>
        </w:tbl>
        <w:p w:rsidR="001A2D62" w:rsidRDefault="001A2D62">
          <w:pPr>
            <w:tabs>
              <w:tab w:val="right" w:pos="8838"/>
            </w:tabs>
            <w:ind w:left="-28"/>
            <w:jc w:val="both"/>
            <w:rPr>
              <w:rFonts w:ascii="Arial" w:eastAsia="Arial" w:hAnsi="Arial" w:cs="Arial"/>
              <w:b/>
              <w:sz w:val="22"/>
              <w:szCs w:val="22"/>
            </w:rPr>
          </w:pPr>
        </w:p>
      </w:tc>
    </w:tr>
  </w:tbl>
  <w:p w:rsidR="001A2D62" w:rsidRDefault="00EE6BBF">
    <w:pPr>
      <w:pBdr>
        <w:top w:val="nil"/>
        <w:left w:val="nil"/>
        <w:bottom w:val="nil"/>
        <w:right w:val="nil"/>
        <w:between w:val="nil"/>
      </w:pBdr>
      <w:tabs>
        <w:tab w:val="center" w:pos="4419"/>
        <w:tab w:val="right" w:pos="8838"/>
      </w:tabs>
      <w:rPr>
        <w:color w:val="000000"/>
        <w:sz w:val="2"/>
        <w:szCs w:val="2"/>
      </w:rPr>
    </w:pPr>
    <w:r>
      <w:rPr>
        <w:color w:val="000000"/>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17.6pt;width:589.8pt;height:768pt;z-index:-251656192;mso-position-horizontal:absolute;mso-position-horizontal-relative:margin;mso-position-vertical:absolute;mso-position-vertical-relative:margin">
          <v:imagedata r:id="rId1"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10DDA"/>
    <w:multiLevelType w:val="multilevel"/>
    <w:tmpl w:val="32D20A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776D9A"/>
    <w:multiLevelType w:val="hybridMultilevel"/>
    <w:tmpl w:val="3C62E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FB15050"/>
    <w:multiLevelType w:val="multilevel"/>
    <w:tmpl w:val="C9F2BE52"/>
    <w:lvl w:ilvl="0">
      <w:start w:val="1"/>
      <w:numFmt w:val="decimal"/>
      <w:lvlText w:val="%1."/>
      <w:lvlJc w:val="left"/>
      <w:pPr>
        <w:ind w:left="360"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6EB7542"/>
    <w:multiLevelType w:val="multilevel"/>
    <w:tmpl w:val="924024F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57FB03B5"/>
    <w:multiLevelType w:val="multilevel"/>
    <w:tmpl w:val="D2326CA6"/>
    <w:lvl w:ilvl="0">
      <w:start w:val="1"/>
      <w:numFmt w:val="decimal"/>
      <w:lvlText w:val="%1."/>
      <w:lvlJc w:val="left"/>
      <w:pPr>
        <w:ind w:left="720" w:hanging="360"/>
      </w:pPr>
      <w:rPr>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EB2189C"/>
    <w:multiLevelType w:val="multilevel"/>
    <w:tmpl w:val="B6509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6B8"/>
    <w:rsid w:val="00034665"/>
    <w:rsid w:val="001A1A21"/>
    <w:rsid w:val="001A2D62"/>
    <w:rsid w:val="00207FF6"/>
    <w:rsid w:val="00223013"/>
    <w:rsid w:val="00244B85"/>
    <w:rsid w:val="00275693"/>
    <w:rsid w:val="003966B8"/>
    <w:rsid w:val="003D26F7"/>
    <w:rsid w:val="004460C9"/>
    <w:rsid w:val="0054211E"/>
    <w:rsid w:val="00566799"/>
    <w:rsid w:val="00590056"/>
    <w:rsid w:val="005A06E0"/>
    <w:rsid w:val="0061626C"/>
    <w:rsid w:val="006672FD"/>
    <w:rsid w:val="006B59D0"/>
    <w:rsid w:val="00713AD9"/>
    <w:rsid w:val="00757273"/>
    <w:rsid w:val="008B5609"/>
    <w:rsid w:val="008E22D4"/>
    <w:rsid w:val="00A1000F"/>
    <w:rsid w:val="00AD60A5"/>
    <w:rsid w:val="00B420BA"/>
    <w:rsid w:val="00B869BF"/>
    <w:rsid w:val="00B979EC"/>
    <w:rsid w:val="00BF2093"/>
    <w:rsid w:val="00DD48D1"/>
    <w:rsid w:val="00DE50F6"/>
    <w:rsid w:val="00E05EFB"/>
    <w:rsid w:val="00EB6A0C"/>
    <w:rsid w:val="00EE6BBF"/>
    <w:rsid w:val="00EF101C"/>
    <w:rsid w:val="00F764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C51A202B-AC08-46C7-AFB6-680988968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66B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3966B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66B8"/>
    <w:rPr>
      <w:rFonts w:asciiTheme="majorHAnsi" w:eastAsiaTheme="majorEastAsia" w:hAnsiTheme="majorHAnsi" w:cstheme="majorBidi"/>
      <w:color w:val="2E74B5" w:themeColor="accent1" w:themeShade="BF"/>
      <w:sz w:val="32"/>
      <w:szCs w:val="32"/>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1"/>
    <w:qFormat/>
    <w:rsid w:val="003966B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3966B8"/>
    <w:rPr>
      <w:rFonts w:ascii="Century Gothic" w:eastAsia="Times New Roman" w:hAnsi="Century Gothic" w:cs="Times New Roman"/>
      <w:szCs w:val="24"/>
      <w:lang w:eastAsia="es-MX"/>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nhideWhenUsed/>
    <w:qFormat/>
    <w:rsid w:val="00EB6A0C"/>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rsid w:val="00EB6A0C"/>
    <w:rPr>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
    <w:basedOn w:val="Fuentedeprrafopredeter"/>
    <w:uiPriority w:val="99"/>
    <w:unhideWhenUsed/>
    <w:qFormat/>
    <w:rsid w:val="00EB6A0C"/>
    <w:rPr>
      <w:vertAlign w:val="superscript"/>
    </w:rPr>
  </w:style>
  <w:style w:type="paragraph" w:styleId="Textoindependiente">
    <w:name w:val="Body Text"/>
    <w:basedOn w:val="Normal"/>
    <w:link w:val="TextoindependienteCar"/>
    <w:uiPriority w:val="99"/>
    <w:unhideWhenUsed/>
    <w:rsid w:val="00EB6A0C"/>
    <w:pPr>
      <w:spacing w:after="120"/>
    </w:pPr>
    <w:rPr>
      <w:lang w:val="es-ES"/>
    </w:rPr>
  </w:style>
  <w:style w:type="character" w:customStyle="1" w:styleId="TextoindependienteCar">
    <w:name w:val="Texto independiente Car"/>
    <w:basedOn w:val="Fuentedeprrafopredeter"/>
    <w:link w:val="Textoindependiente"/>
    <w:uiPriority w:val="99"/>
    <w:rsid w:val="00EB6A0C"/>
    <w:rPr>
      <w:rFonts w:ascii="Times New Roman" w:eastAsia="Times New Roman" w:hAnsi="Times New Roman" w:cs="Times New Roman"/>
      <w:sz w:val="24"/>
      <w:szCs w:val="24"/>
      <w:lang w:val="es-ES" w:eastAsia="es-MX"/>
    </w:rPr>
  </w:style>
  <w:style w:type="paragraph" w:styleId="Piedepgina">
    <w:name w:val="footer"/>
    <w:basedOn w:val="Normal"/>
    <w:link w:val="PiedepginaCar"/>
    <w:uiPriority w:val="99"/>
    <w:unhideWhenUsed/>
    <w:rsid w:val="0054211E"/>
    <w:pPr>
      <w:tabs>
        <w:tab w:val="center" w:pos="4419"/>
        <w:tab w:val="right" w:pos="8838"/>
      </w:tabs>
    </w:pPr>
  </w:style>
  <w:style w:type="character" w:customStyle="1" w:styleId="PiedepginaCar">
    <w:name w:val="Pie de página Car"/>
    <w:basedOn w:val="Fuentedeprrafopredeter"/>
    <w:link w:val="Piedepgina"/>
    <w:uiPriority w:val="99"/>
    <w:rsid w:val="0054211E"/>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20</Pages>
  <Words>5501</Words>
  <Characters>30256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35686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INFOEM399</dc:creator>
  <cp:keywords/>
  <dc:description/>
  <cp:lastModifiedBy>Cuenta Microsoft</cp:lastModifiedBy>
  <cp:revision>9</cp:revision>
  <cp:lastPrinted>2025-02-27T17:12:00Z</cp:lastPrinted>
  <dcterms:created xsi:type="dcterms:W3CDTF">2025-02-20T20:50:00Z</dcterms:created>
  <dcterms:modified xsi:type="dcterms:W3CDTF">2025-04-04T19:48:00Z</dcterms:modified>
</cp:coreProperties>
</file>