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5B6AF436"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57063F">
        <w:rPr>
          <w:rFonts w:ascii="Palatino Linotype" w:hAnsi="Palatino Linotype" w:cs="Arial"/>
          <w:color w:val="000000"/>
          <w:lang w:val="es-MX" w:eastAsia="es-MX"/>
        </w:rPr>
        <w:t>dos de abril</w:t>
      </w:r>
      <w:r w:rsidR="00E36D94">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7EBC2106"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07651A">
        <w:rPr>
          <w:rFonts w:ascii="Palatino Linotype" w:eastAsiaTheme="minorHAnsi" w:hAnsi="Palatino Linotype" w:cs="Arial"/>
          <w:b/>
          <w:lang w:val="es-MX" w:eastAsia="en-US"/>
        </w:rPr>
        <w:t>2450</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864828">
        <w:rPr>
          <w:rFonts w:ascii="Palatino Linotype" w:hAnsi="Palatino Linotype" w:cs="Arial"/>
        </w:rPr>
        <w:t xml:space="preserve"> </w:t>
      </w:r>
      <w:r w:rsidR="00BF43AC">
        <w:rPr>
          <w:rFonts w:ascii="Palatino Linotype" w:hAnsi="Palatino Linotype" w:cs="Arial"/>
          <w:b/>
          <w:bCs/>
        </w:rPr>
        <w:t>persona que no señala nombre o seudónimo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E93E8D" w:rsidRPr="00E93E8D">
        <w:rPr>
          <w:rFonts w:ascii="Palatino Linotype" w:eastAsiaTheme="minorHAnsi" w:hAnsi="Palatino Linotype" w:cs="Arial"/>
          <w:b/>
          <w:lang w:val="es-MX" w:eastAsia="en-US"/>
        </w:rPr>
        <w:t xml:space="preserve">Ayuntamiento </w:t>
      </w:r>
      <w:r w:rsidR="00B1050A" w:rsidRPr="00B1050A">
        <w:rPr>
          <w:rFonts w:ascii="Palatino Linotype" w:eastAsiaTheme="minorHAnsi" w:hAnsi="Palatino Linotype" w:cs="Arial"/>
          <w:b/>
          <w:lang w:val="es-MX" w:eastAsia="en-US"/>
        </w:rPr>
        <w:t>de Atizapán</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5D52552C"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w:t>
      </w:r>
      <w:r w:rsidR="00B1050A">
        <w:rPr>
          <w:rFonts w:ascii="Palatino Linotype" w:eastAsiaTheme="minorHAnsi" w:hAnsi="Palatino Linotype" w:cs="Arial"/>
          <w:szCs w:val="22"/>
          <w:lang w:val="es-MX" w:eastAsia="en-US"/>
        </w:rPr>
        <w:t>siete de febrero</w:t>
      </w:r>
      <w:r w:rsidR="00864828">
        <w:rPr>
          <w:rFonts w:ascii="Palatino Linotype" w:eastAsiaTheme="minorHAnsi" w:hAnsi="Palatino Linotype" w:cs="Arial"/>
          <w:szCs w:val="22"/>
          <w:lang w:val="es-MX" w:eastAsia="en-US"/>
        </w:rPr>
        <w:t xml:space="preserve"> de dos mil veinticinco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B1050A" w:rsidRPr="00B1050A">
        <w:rPr>
          <w:rFonts w:ascii="Palatino Linotype" w:eastAsiaTheme="minorHAnsi" w:hAnsi="Palatino Linotype" w:cs="Arial"/>
          <w:b/>
          <w:szCs w:val="22"/>
          <w:lang w:val="es-MX" w:eastAsia="en-US"/>
        </w:rPr>
        <w:t>00059/ATIZAPAN/IP/2025</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03F26B1E"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B1050A" w:rsidRPr="00B1050A">
        <w:rPr>
          <w:rFonts w:ascii="Palatino Linotype" w:hAnsi="Palatino Linotype"/>
          <w:i/>
          <w:szCs w:val="20"/>
          <w:lang w:val="es-MX" w:eastAsia="es-MX"/>
        </w:rPr>
        <w:t>Actas de Cabildo desde que entro la nueva administración</w:t>
      </w:r>
      <w:r w:rsidR="00BF4388" w:rsidRPr="00BF4388">
        <w:rPr>
          <w:rFonts w:ascii="Palatino Linotype" w:hAnsi="Palatino Linotype"/>
          <w:i/>
          <w:szCs w:val="20"/>
          <w:lang w:val="es-MX" w:eastAsia="es-MX"/>
        </w:rPr>
        <w:t>.</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4C3467C" w14:textId="77777777" w:rsidR="006A200A" w:rsidRDefault="006A200A" w:rsidP="004309A2">
      <w:pPr>
        <w:spacing w:line="360" w:lineRule="auto"/>
        <w:jc w:val="both"/>
        <w:rPr>
          <w:rFonts w:ascii="Palatino Linotype" w:eastAsiaTheme="minorHAnsi" w:hAnsi="Palatino Linotype" w:cs="Arial"/>
          <w:lang w:val="es-MX" w:eastAsia="en-US"/>
        </w:rPr>
      </w:pPr>
    </w:p>
    <w:p w14:paraId="1C41C7A8" w14:textId="29C8B651" w:rsidR="00B7066B" w:rsidRDefault="00440C43"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lastRenderedPageBreak/>
        <w:t>No se tiene la certeza que e</w:t>
      </w:r>
      <w:r w:rsidR="00393EAF" w:rsidRPr="00393EAF">
        <w:rPr>
          <w:rFonts w:ascii="Palatino Linotype" w:eastAsiaTheme="minorHAnsi" w:hAnsi="Palatino Linotype" w:cs="Arial"/>
          <w:lang w:val="es-MX" w:eastAsia="en-US"/>
        </w:rPr>
        <w:t xml:space="preserve">l </w:t>
      </w:r>
      <w:r w:rsidR="00B7066B">
        <w:rPr>
          <w:rFonts w:ascii="Palatino Linotype" w:eastAsiaTheme="minorHAnsi" w:hAnsi="Palatino Linotype" w:cs="Arial"/>
          <w:lang w:val="es-MX" w:eastAsia="en-US"/>
        </w:rPr>
        <w:t>Titular de la Unidad de Transparencia realiz</w:t>
      </w:r>
      <w:r>
        <w:rPr>
          <w:rFonts w:ascii="Palatino Linotype" w:eastAsiaTheme="minorHAnsi" w:hAnsi="Palatino Linotype" w:cs="Arial"/>
          <w:lang w:val="es-MX" w:eastAsia="en-US"/>
        </w:rPr>
        <w:t>ara</w:t>
      </w:r>
      <w:r w:rsidR="00B7066B">
        <w:rPr>
          <w:rFonts w:ascii="Palatino Linotype" w:eastAsiaTheme="minorHAnsi" w:hAnsi="Palatino Linotype" w:cs="Arial"/>
          <w:lang w:val="es-MX" w:eastAsia="en-US"/>
        </w:rPr>
        <w:t xml:space="preserve"> el turno de la solicitud de información al servidor público habilitado que consider</w:t>
      </w:r>
      <w:r>
        <w:rPr>
          <w:rFonts w:ascii="Palatino Linotype" w:eastAsiaTheme="minorHAnsi" w:hAnsi="Palatino Linotype" w:cs="Arial"/>
          <w:lang w:val="es-MX" w:eastAsia="en-US"/>
        </w:rPr>
        <w:t>ara</w:t>
      </w:r>
      <w:r w:rsidR="00B7066B">
        <w:rPr>
          <w:rFonts w:ascii="Palatino Linotype" w:eastAsiaTheme="minorHAnsi" w:hAnsi="Palatino Linotype" w:cs="Arial"/>
          <w:lang w:val="es-MX" w:eastAsia="en-US"/>
        </w:rPr>
        <w:t xml:space="preserve"> competente</w:t>
      </w:r>
      <w:r w:rsidR="00C701E3">
        <w:rPr>
          <w:rFonts w:ascii="Palatino Linotype" w:eastAsiaTheme="minorHAnsi" w:hAnsi="Palatino Linotype" w:cs="Arial"/>
          <w:lang w:val="es-MX" w:eastAsia="en-US"/>
        </w:rPr>
        <w:t>, sin que existiera respuesta por parte del mismo.</w:t>
      </w:r>
    </w:p>
    <w:p w14:paraId="21818EA7" w14:textId="0F5464E5" w:rsidR="004309A2" w:rsidRDefault="00C701E3"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El </w:t>
      </w:r>
      <w:r w:rsidR="00393EAF" w:rsidRPr="00393EAF">
        <w:rPr>
          <w:rFonts w:ascii="Palatino Linotype" w:eastAsiaTheme="minorHAnsi" w:hAnsi="Palatino Linotype" w:cs="Arial"/>
          <w:lang w:val="es-MX" w:eastAsia="en-US"/>
        </w:rPr>
        <w:t>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07724F3E"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440C43">
        <w:rPr>
          <w:rFonts w:ascii="Palatino Linotype" w:eastAsiaTheme="minorHAnsi" w:hAnsi="Palatino Linotype" w:cs="Arial"/>
          <w:lang w:val="es-MX" w:eastAsia="en-US"/>
        </w:rPr>
        <w:t>cuatro de marzo</w:t>
      </w:r>
      <w:r w:rsidR="00D02C55">
        <w:rPr>
          <w:rFonts w:ascii="Palatino Linotype" w:eastAsiaTheme="minorHAnsi" w:hAnsi="Palatino Linotype" w:cs="Arial"/>
          <w:lang w:val="es-MX" w:eastAsia="en-US"/>
        </w:rPr>
        <w:t xml:space="preserve">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440C43">
        <w:rPr>
          <w:rFonts w:ascii="Palatino Linotype" w:eastAsiaTheme="minorHAnsi" w:hAnsi="Palatino Linotype" w:cs="Arial"/>
          <w:b/>
          <w:bCs/>
          <w:lang w:val="es-MX" w:eastAsia="es-MX"/>
        </w:rPr>
        <w:t>2450</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0BEA249E"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440C43" w:rsidRPr="00440C43">
        <w:rPr>
          <w:rFonts w:ascii="Palatino Linotype" w:eastAsia="Palatino Linotype" w:hAnsi="Palatino Linotype"/>
        </w:rPr>
        <w:t>La falta de respuesta</w:t>
      </w:r>
      <w:r w:rsidR="00202CB6" w:rsidRPr="00202CB6">
        <w:rPr>
          <w:rFonts w:ascii="Palatino Linotype" w:eastAsia="Palatino Linotype" w:hAnsi="Palatino Linotype"/>
        </w:rPr>
        <w:t>.</w:t>
      </w:r>
      <w:r w:rsidRPr="00021DCF">
        <w:rPr>
          <w:rFonts w:ascii="Palatino Linotype" w:eastAsia="Palatino Linotype" w:hAnsi="Palatino Linotype"/>
        </w:rPr>
        <w:t>” (Sic)</w:t>
      </w:r>
      <w:r w:rsidRPr="00021DCF">
        <w:rPr>
          <w:rFonts w:eastAsia="Palatino Linotype"/>
        </w:rPr>
        <w:t xml:space="preserve"> </w:t>
      </w:r>
    </w:p>
    <w:p w14:paraId="00930ED4" w14:textId="1368E97A" w:rsidR="00021DCF" w:rsidRPr="00021DCF" w:rsidRDefault="00021DCF" w:rsidP="00202CB6">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440C43" w:rsidRPr="00440C43">
        <w:rPr>
          <w:rFonts w:ascii="Palatino Linotype" w:eastAsia="Palatino Linotype" w:hAnsi="Palatino Linotype"/>
          <w:lang w:val="es-ES_tradnl"/>
        </w:rPr>
        <w:t>La falta de respuesta</w:t>
      </w:r>
      <w:r w:rsidR="00202CB6" w:rsidRPr="00202CB6">
        <w:rPr>
          <w:rFonts w:ascii="Palatino Linotype" w:eastAsia="Palatino Linotype" w:hAnsi="Palatino Linotype"/>
          <w:lang w:val="es-ES_tradnl"/>
        </w:rPr>
        <w:t>.</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5C9F96AF"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sidR="00437D78">
        <w:rPr>
          <w:rFonts w:ascii="Palatino Linotype" w:eastAsia="Palatino Linotype" w:hAnsi="Palatino Linotype" w:cs="Palatino Linotype"/>
          <w:color w:val="000000"/>
          <w:lang w:val="es-ES_tradnl" w:eastAsia="en-US"/>
        </w:rPr>
        <w:t>diez de marzo</w:t>
      </w:r>
      <w:r w:rsidR="009436C4">
        <w:rPr>
          <w:rFonts w:ascii="Palatino Linotype" w:eastAsia="Palatino Linotype" w:hAnsi="Palatino Linotype" w:cs="Palatino Linotype"/>
          <w:color w:val="000000"/>
          <w:lang w:val="es-ES_tradnl" w:eastAsia="en-US"/>
        </w:rPr>
        <w:t xml:space="preserve">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r w:rsidR="00484FED" w:rsidRPr="00414479">
        <w:rPr>
          <w:rFonts w:ascii="Palatino Linotype" w:eastAsiaTheme="minorHAnsi" w:hAnsi="Palatino Linotype" w:cstheme="minorBidi"/>
          <w:lang w:val="es-MX" w:eastAsia="en-US"/>
        </w:rPr>
        <w:t>disposición</w:t>
      </w:r>
      <w:r w:rsidRPr="00414479">
        <w:rPr>
          <w:rFonts w:ascii="Palatino Linotype" w:eastAsiaTheme="minorHAnsi" w:hAnsi="Palatino Linotype" w:cstheme="minorBidi"/>
          <w:lang w:val="es-MX" w:eastAsia="en-US"/>
        </w:rPr>
        <w:t xml:space="preserve"> de las partes, para que, en un plazo </w:t>
      </w:r>
      <w:r w:rsidR="00484FED" w:rsidRPr="00414479">
        <w:rPr>
          <w:rFonts w:ascii="Palatino Linotype" w:eastAsiaTheme="minorHAnsi" w:hAnsi="Palatino Linotype" w:cstheme="minorBidi"/>
          <w:lang w:val="es-MX" w:eastAsia="en-US"/>
        </w:rPr>
        <w:t>máximo</w:t>
      </w:r>
      <w:r w:rsidRPr="00414479">
        <w:rPr>
          <w:rFonts w:ascii="Palatino Linotype" w:eastAsiaTheme="minorHAnsi" w:hAnsi="Palatino Linotype" w:cstheme="minorBidi"/>
          <w:lang w:val="es-MX" w:eastAsia="en-US"/>
        </w:rPr>
        <w:t xml:space="preserve"> de siete </w:t>
      </w:r>
      <w:r w:rsidR="00484FED" w:rsidRPr="00414479">
        <w:rPr>
          <w:rFonts w:ascii="Palatino Linotype" w:eastAsiaTheme="minorHAnsi" w:hAnsi="Palatino Linotype" w:cstheme="minorBidi"/>
          <w:lang w:val="es-MX" w:eastAsia="en-US"/>
        </w:rPr>
        <w:t>días</w:t>
      </w:r>
      <w:r w:rsidRPr="00414479">
        <w:rPr>
          <w:rFonts w:ascii="Palatino Linotype" w:eastAsiaTheme="minorHAnsi" w:hAnsi="Palatino Linotype" w:cstheme="minorBidi"/>
          <w:lang w:val="es-MX" w:eastAsia="en-US"/>
        </w:rPr>
        <w:t xml:space="preserve"> </w:t>
      </w:r>
      <w:r w:rsidR="00484FED" w:rsidRPr="00414479">
        <w:rPr>
          <w:rFonts w:ascii="Palatino Linotype" w:eastAsiaTheme="minorHAnsi" w:hAnsi="Palatino Linotype" w:cstheme="minorBidi"/>
          <w:lang w:val="es-MX" w:eastAsia="en-US"/>
        </w:rPr>
        <w:t>hábiles</w:t>
      </w:r>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4E3F2C2E" w14:textId="7164A1AC" w:rsidR="00A35BEF" w:rsidRDefault="00D36738" w:rsidP="00D61EBB">
      <w:pPr>
        <w:spacing w:line="360" w:lineRule="auto"/>
        <w:jc w:val="both"/>
        <w:rPr>
          <w:rFonts w:ascii="Palatino Linotype" w:hAnsi="Palatino Linotype" w:cs="Arial"/>
        </w:rPr>
      </w:pPr>
      <w:r>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00A35BEF" w:rsidRPr="00A35BEF">
        <w:t xml:space="preserve"> </w:t>
      </w:r>
      <w:r w:rsidR="00A35BEF" w:rsidRPr="00A35BEF">
        <w:rPr>
          <w:rFonts w:ascii="Palatino Linotype" w:hAnsi="Palatino Linotype" w:cs="Arial"/>
        </w:rPr>
        <w:t>la parte Recurrente no realizó manifestaciones, alegatos ni presentó prueb</w:t>
      </w:r>
      <w:r w:rsidR="00A35BEF">
        <w:rPr>
          <w:rFonts w:ascii="Palatino Linotype" w:hAnsi="Palatino Linotype" w:cs="Arial"/>
        </w:rPr>
        <w:t>as que a su derecho convinieran, lo cual se corrobora con la siguiente imagen.</w:t>
      </w:r>
    </w:p>
    <w:p w14:paraId="11ADC9F4" w14:textId="26EBBD73" w:rsidR="00A618AB" w:rsidRDefault="00437D78" w:rsidP="00297C9F">
      <w:pPr>
        <w:spacing w:line="360" w:lineRule="auto"/>
        <w:jc w:val="both"/>
        <w:rPr>
          <w:rFonts w:ascii="Palatino Linotype" w:hAnsi="Palatino Linotype" w:cs="Arial"/>
          <w:noProof/>
          <w:lang w:val="es-MX" w:eastAsia="es-MX"/>
        </w:rPr>
      </w:pPr>
      <w:r>
        <w:rPr>
          <w:rFonts w:ascii="Palatino Linotype" w:hAnsi="Palatino Linotype" w:cs="Arial"/>
          <w:noProof/>
          <w:lang w:val="es-MX" w:eastAsia="es-MX"/>
        </w:rPr>
        <w:drawing>
          <wp:inline distT="0" distB="0" distL="0" distR="0" wp14:anchorId="3CCFBE8B" wp14:editId="5415147B">
            <wp:extent cx="5791835" cy="1297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791835" cy="1297940"/>
                    </a:xfrm>
                    <a:prstGeom prst="rect">
                      <a:avLst/>
                    </a:prstGeom>
                  </pic:spPr>
                </pic:pic>
              </a:graphicData>
            </a:graphic>
          </wp:inline>
        </w:drawing>
      </w:r>
    </w:p>
    <w:p w14:paraId="66389950" w14:textId="77777777" w:rsidR="006D3457" w:rsidRDefault="006D3457" w:rsidP="00297C9F">
      <w:pPr>
        <w:spacing w:line="360" w:lineRule="auto"/>
        <w:jc w:val="both"/>
        <w:rPr>
          <w:rFonts w:ascii="Palatino Linotype" w:hAnsi="Palatino Linotype" w:cs="Arial"/>
          <w:noProof/>
          <w:lang w:val="es-MX" w:eastAsia="es-MX"/>
        </w:rPr>
      </w:pPr>
    </w:p>
    <w:p w14:paraId="42F17203" w14:textId="77777777" w:rsidR="006D3457" w:rsidRDefault="006D3457"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342F326A"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36C478DA"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437D78">
        <w:rPr>
          <w:rFonts w:ascii="Palatino Linotype" w:eastAsiaTheme="minorHAnsi" w:hAnsi="Palatino Linotype" w:cs="Arial"/>
          <w:lang w:val="es-MX" w:eastAsia="en-US"/>
        </w:rPr>
        <w:t>veintiuno de marzo</w:t>
      </w:r>
      <w:r w:rsidR="007D2332">
        <w:rPr>
          <w:rFonts w:ascii="Palatino Linotype" w:eastAsiaTheme="minorHAnsi" w:hAnsi="Palatino Linotype" w:cs="Arial"/>
          <w:lang w:val="es-MX" w:eastAsia="en-US"/>
        </w:rPr>
        <w:t xml:space="preserve"> de dos mil veinticinco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t>PRIMERO. De la competencia</w:t>
      </w:r>
      <w:r w:rsidRPr="00B341AE">
        <w:rPr>
          <w:rFonts w:ascii="Palatino Linotype" w:eastAsiaTheme="minorHAnsi" w:hAnsi="Palatino Linotype" w:cs="Arial"/>
          <w:lang w:val="es-MX" w:eastAsia="en-US"/>
        </w:rPr>
        <w:t>.</w:t>
      </w:r>
    </w:p>
    <w:p w14:paraId="2607322A" w14:textId="4BDE619A" w:rsidR="00B341AE" w:rsidRPr="00B341AE" w:rsidRDefault="00AA1F49" w:rsidP="00B341AE">
      <w:pPr>
        <w:spacing w:line="360" w:lineRule="auto"/>
        <w:jc w:val="both"/>
        <w:rPr>
          <w:rFonts w:ascii="Palatino Linotype" w:eastAsiaTheme="minorHAnsi" w:hAnsi="Palatino Linotype" w:cs="Arial"/>
          <w:lang w:val="es-MX" w:eastAsia="en-US"/>
        </w:rPr>
      </w:pPr>
      <w:r w:rsidRPr="00AA1F49">
        <w:rPr>
          <w:rFonts w:ascii="Palatino Linotype" w:eastAsiaTheme="minorHAnsi" w:hAnsi="Palatino Linotype" w:cs="Arial"/>
          <w:lang w:val="es-MX" w:eastAsia="en-US"/>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B341AE" w:rsidRPr="00B341AE">
        <w:rPr>
          <w:rFonts w:ascii="Palatino Linotype" w:eastAsiaTheme="minorHAnsi" w:hAnsi="Palatino Linotype" w:cs="Arial"/>
          <w:lang w:val="es-MX" w:eastAsia="en-US"/>
        </w:rPr>
        <w:t>.</w:t>
      </w:r>
    </w:p>
    <w:p w14:paraId="7D1C3C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10552183"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w:t>
      </w:r>
      <w:r w:rsidRPr="00B341AE">
        <w:rPr>
          <w:rFonts w:ascii="Palatino Linotype" w:eastAsia="Palatino Linotype" w:hAnsi="Palatino Linotype" w:cs="Palatino Linotype"/>
          <w:lang w:val="es-MX" w:eastAsia="en-US"/>
        </w:rPr>
        <w:lastRenderedPageBreak/>
        <w:t xml:space="preserve">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t>TERCERO. Estudio y resolución del asunto</w:t>
      </w:r>
      <w:r w:rsidRPr="00B341AE">
        <w:rPr>
          <w:rFonts w:ascii="Palatino Linotype" w:hAnsi="Palatino Linotype"/>
          <w:b/>
          <w:sz w:val="28"/>
          <w:szCs w:val="28"/>
        </w:rPr>
        <w:t xml:space="preserve">. </w:t>
      </w:r>
    </w:p>
    <w:p w14:paraId="308442D1" w14:textId="43656A8E"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Quinto de la Constitución </w:t>
      </w:r>
      <w:r w:rsidRPr="00B341AE">
        <w:rPr>
          <w:rFonts w:ascii="Palatino Linotype" w:hAnsi="Palatino Linotype" w:cs="Arial"/>
          <w:color w:val="000000"/>
          <w:lang w:val="es-ES_tradnl" w:eastAsia="es-MX"/>
        </w:rPr>
        <w:lastRenderedPageBreak/>
        <w:t xml:space="preserve">Local, </w:t>
      </w:r>
      <w:r w:rsidRPr="00B341AE">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xml:space="preserve">, de conformidad con lo </w:t>
      </w:r>
      <w:r w:rsidRPr="00B341AE">
        <w:rPr>
          <w:rFonts w:ascii="Palatino Linotype" w:hAnsi="Palatino Linotype"/>
          <w:lang w:eastAsia="es-MX"/>
        </w:rPr>
        <w:lastRenderedPageBreak/>
        <w:t>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 xml:space="preserve">De tal manera que la omisión </w:t>
      </w:r>
      <w:r w:rsidRPr="00B341AE">
        <w:rPr>
          <w:rFonts w:ascii="Palatino Linotype" w:eastAsia="Calibri" w:hAnsi="Palatino Linotype"/>
        </w:rPr>
        <w:lastRenderedPageBreak/>
        <w:t>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00E124DC"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De conformidad con el artículo 91 de la Ley de Transparencia y Acceso a la Información Pública el </w:t>
      </w:r>
      <w:r w:rsidRPr="00B72FCB">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72FCB">
        <w:rPr>
          <w:rFonts w:ascii="Palatino Linotype" w:eastAsiaTheme="minorHAnsi" w:hAnsi="Palatino Linotype" w:cs="Arial"/>
          <w:lang w:val="es-MX" w:eastAsia="en-US"/>
        </w:rPr>
        <w:t xml:space="preserve">; la </w:t>
      </w:r>
      <w:r w:rsidRPr="00B72FCB">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r w:rsidR="00BF58D2" w:rsidRPr="00B72FCB">
        <w:rPr>
          <w:rFonts w:ascii="Palatino Linotype" w:eastAsia="Palatino Linotype" w:hAnsi="Palatino Linotype" w:cs="Palatino Linotype"/>
          <w:lang w:val="es-MX" w:eastAsia="en-US"/>
        </w:rPr>
        <w:t>información</w:t>
      </w:r>
      <w:r w:rsidRPr="00B72FCB">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w:t>
      </w:r>
      <w:r w:rsidRPr="00B72FCB">
        <w:rPr>
          <w:rFonts w:ascii="Palatino Linotype" w:eastAsia="Palatino Linotype" w:hAnsi="Palatino Linotype" w:cs="Palatino Linotype"/>
          <w:lang w:val="es-MX" w:eastAsia="en-US"/>
        </w:rPr>
        <w:lastRenderedPageBreak/>
        <w:t xml:space="preserve">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B72FCB"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Por lo que para dar atención a la </w:t>
      </w:r>
      <w:r w:rsidR="007B6D0C" w:rsidRPr="007B6D0C">
        <w:rPr>
          <w:rFonts w:ascii="Palatino Linotype" w:eastAsia="Palatino Linotype" w:hAnsi="Palatino Linotype" w:cs="Palatino Linotype"/>
          <w:lang w:val="es-MX" w:eastAsia="en-US"/>
        </w:rPr>
        <w:t>solicitud</w:t>
      </w:r>
      <w:r w:rsidRPr="00B72FCB">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39721E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Para la clasificación de la información es necesario considerar lo establecido por los Lineamientos Generales en materia de Clasificación y Desclasificación de la información, emitidos por el Sistema Nacional de Transparencia, Acceso a la </w:t>
      </w:r>
      <w:r w:rsidRPr="00B72FCB">
        <w:rPr>
          <w:rFonts w:ascii="Palatino Linotype" w:eastAsiaTheme="minorHAnsi" w:hAnsi="Palatino Linotype" w:cs="Arial"/>
          <w:lang w:val="es-MX" w:eastAsia="en-US"/>
        </w:rPr>
        <w:lastRenderedPageBreak/>
        <w:t>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72FCB">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72FCB">
        <w:rPr>
          <w:rFonts w:ascii="Palatino Linotype" w:eastAsia="Palatino Linotype" w:hAnsi="Palatino Linotype" w:cs="Palatino Linotype"/>
          <w:b/>
          <w:lang w:val="es-MX" w:eastAsia="en-US"/>
        </w:rPr>
        <w:t>Sujeto Obligado</w:t>
      </w:r>
      <w:r w:rsidRPr="00B72FCB">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281509" w14:textId="77777777" w:rsidR="00B72FCB" w:rsidRPr="00B72FCB"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B5AACA2"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r w:rsidRPr="00B72FCB">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2FCB">
        <w:rPr>
          <w:rFonts w:ascii="Palatino Linotype" w:hAnsi="Palatino Linotype" w:cs="Arial"/>
          <w:i/>
          <w:iCs/>
        </w:rPr>
        <w:t>.</w:t>
      </w:r>
    </w:p>
    <w:p w14:paraId="020DB958"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p>
    <w:p w14:paraId="7AFBA4DC" w14:textId="77777777"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B341AE">
        <w:rPr>
          <w:rFonts w:ascii="Palatino Linotype" w:hAnsi="Palatino Linotype"/>
        </w:rPr>
        <w:t>del Reglamento Interior del 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4DF445E2"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lastRenderedPageBreak/>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724DF2" w:rsidRPr="00724DF2">
        <w:rPr>
          <w:rFonts w:ascii="Palatino Linotype" w:eastAsiaTheme="minorHAnsi" w:hAnsi="Palatino Linotype" w:cs="Arial"/>
          <w:b/>
          <w:lang w:val="es-MX" w:eastAsia="en-US"/>
        </w:rPr>
        <w:t xml:space="preserve"> 00059/ATIZAPAN/IP/2025</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1171D8F4"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724DF2" w:rsidRPr="00724DF2">
        <w:rPr>
          <w:rFonts w:ascii="Palatino Linotype" w:hAnsi="Palatino Linotype"/>
          <w:b/>
          <w:bCs/>
        </w:rPr>
        <w:t xml:space="preserve"> 00059/ATIZAPAN/IP/2025</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r w:rsidR="00724DF2">
        <w:rPr>
          <w:rFonts w:ascii="Palatino Linotype" w:eastAsiaTheme="minorHAnsi" w:hAnsi="Palatino Linotype" w:cs="Arial"/>
          <w:b/>
          <w:lang w:val="es-MX" w:eastAsia="en-US"/>
        </w:rPr>
        <w:t xml:space="preserve"> </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B341AE">
        <w:rPr>
          <w:rFonts w:ascii="Palatino Linotype" w:eastAsiaTheme="minorHAnsi" w:hAnsi="Palatino Linotype" w:cstheme="minorBidi"/>
          <w:lang w:val="es-MX" w:eastAsia="es-ES_tradnl"/>
        </w:rPr>
        <w:lastRenderedPageBreak/>
        <w:t>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027F259E"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xml:space="preserve">, </w:t>
      </w:r>
      <w:r w:rsidRPr="00B341AE">
        <w:rPr>
          <w:rFonts w:ascii="Palatino Linotype" w:eastAsiaTheme="minorHAnsi" w:hAnsi="Palatino Linotype" w:cs="Arial"/>
          <w:lang w:val="es-MX" w:eastAsia="en-US"/>
        </w:rPr>
        <w:lastRenderedPageBreak/>
        <w:t xml:space="preserve">CONFORMADO POR LOS COMISIONADOS JOSÉ MARTÍNEZ VILCHIS, MARÍA DEL ROSARIO MEJÍA AYALA, SHARON CRISTINA MORALES MARTÍNEZ, LUIS GUSTAVO PARRA NORIEGA Y GUADALUPE RAMÍREZ PEÑA, EN LA </w:t>
      </w:r>
      <w:r w:rsidR="003F0064">
        <w:rPr>
          <w:rFonts w:ascii="Palatino Linotype" w:eastAsiaTheme="minorHAnsi" w:hAnsi="Palatino Linotype" w:cs="Arial"/>
          <w:lang w:val="es-MX" w:eastAsia="en-US"/>
        </w:rPr>
        <w:t>DÉCIMA</w:t>
      </w:r>
      <w:r w:rsidRPr="00B341AE">
        <w:rPr>
          <w:rFonts w:ascii="Palatino Linotype" w:eastAsiaTheme="minorHAnsi" w:hAnsi="Palatino Linotype" w:cs="Arial"/>
          <w:lang w:val="es-MX" w:eastAsia="en-US"/>
        </w:rPr>
        <w:t xml:space="preserve"> </w:t>
      </w:r>
      <w:r w:rsidR="0057063F">
        <w:rPr>
          <w:rFonts w:ascii="Palatino Linotype" w:eastAsiaTheme="minorHAnsi" w:hAnsi="Palatino Linotype" w:cs="Arial"/>
          <w:lang w:val="es-MX" w:eastAsia="en-US"/>
        </w:rPr>
        <w:t xml:space="preserve">SEGUNDA </w:t>
      </w:r>
      <w:r w:rsidRPr="00B341AE">
        <w:rPr>
          <w:rFonts w:ascii="Palatino Linotype" w:eastAsiaTheme="minorHAnsi" w:hAnsi="Palatino Linotype" w:cs="Arial"/>
          <w:lang w:val="es-MX" w:eastAsia="en-US"/>
        </w:rPr>
        <w:t xml:space="preserve">SESIÓN ORDINARIA CELEBRADA EL </w:t>
      </w:r>
      <w:r w:rsidR="0057063F">
        <w:rPr>
          <w:rFonts w:ascii="Palatino Linotype" w:eastAsiaTheme="minorHAnsi" w:hAnsi="Palatino Linotype" w:cs="Arial"/>
          <w:lang w:val="es-MX" w:eastAsia="en-US"/>
        </w:rPr>
        <w:t>DOS DE ABRIL</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SECRETARIO TÉCNICO DEL PLENO, ALEXIS TAPIA RAMÍREZ. ----</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E36D94">
        <w:rPr>
          <w:rFonts w:ascii="Palatino Linotype" w:eastAsiaTheme="minorHAnsi" w:hAnsi="Palatino Linotype" w:cs="Arial"/>
          <w:lang w:val="es-MX" w:eastAsia="en-US"/>
        </w:rPr>
        <w:t>----------</w:t>
      </w:r>
    </w:p>
    <w:p w14:paraId="365C69F6" w14:textId="4294E27D" w:rsidR="00B341AE" w:rsidRPr="00B341AE" w:rsidRDefault="00E36D94" w:rsidP="00B341AE">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noProof/>
          <w:lang w:val="es-MX" w:eastAsia="es-MX"/>
        </w:rPr>
        <mc:AlternateContent>
          <mc:Choice Requires="wps">
            <w:drawing>
              <wp:anchor distT="0" distB="0" distL="114300" distR="114300" simplePos="0" relativeHeight="251659264" behindDoc="0" locked="0" layoutInCell="1" allowOverlap="1" wp14:anchorId="64C19B51" wp14:editId="74DA39AA">
                <wp:simplePos x="0" y="0"/>
                <wp:positionH relativeFrom="column">
                  <wp:posOffset>25333</wp:posOffset>
                </wp:positionH>
                <wp:positionV relativeFrom="paragraph">
                  <wp:posOffset>43986</wp:posOffset>
                </wp:positionV>
                <wp:extent cx="5636525" cy="5923128"/>
                <wp:effectExtent l="0" t="0" r="21590" b="20955"/>
                <wp:wrapNone/>
                <wp:docPr id="763587286" name="Conector recto 1"/>
                <wp:cNvGraphicFramePr/>
                <a:graphic xmlns:a="http://schemas.openxmlformats.org/drawingml/2006/main">
                  <a:graphicData uri="http://schemas.microsoft.com/office/word/2010/wordprocessingShape">
                    <wps:wsp>
                      <wps:cNvCnPr/>
                      <wps:spPr>
                        <a:xfrm>
                          <a:off x="0" y="0"/>
                          <a:ext cx="5636525" cy="59231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3C0B8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3.45pt" to="445.8pt,4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" strokecolor="#5b9bd5 [3204]" strokeweight=".5pt">
                <v:stroke joinstyle="miter"/>
              </v:line>
            </w:pict>
          </mc:Fallback>
        </mc:AlternateContent>
      </w: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2FAC0A1A" w14:textId="77777777" w:rsidR="00E24920" w:rsidRDefault="00E24920" w:rsidP="00B341AE">
      <w:pPr>
        <w:spacing w:line="360" w:lineRule="auto"/>
        <w:jc w:val="both"/>
        <w:rPr>
          <w:rFonts w:ascii="Palatino Linotype" w:eastAsiaTheme="minorHAnsi" w:hAnsi="Palatino Linotype" w:cs="Arial"/>
          <w:lang w:val="es-MX" w:eastAsia="en-US"/>
        </w:rPr>
      </w:pPr>
    </w:p>
    <w:p w14:paraId="760C5DFC" w14:textId="77777777" w:rsidR="00E24920" w:rsidRDefault="00E24920" w:rsidP="00B341AE">
      <w:pPr>
        <w:spacing w:line="360" w:lineRule="auto"/>
        <w:jc w:val="both"/>
        <w:rPr>
          <w:rFonts w:ascii="Palatino Linotype" w:eastAsiaTheme="minorHAnsi" w:hAnsi="Palatino Linotype" w:cs="Arial"/>
          <w:lang w:val="es-MX" w:eastAsia="en-US"/>
        </w:rPr>
      </w:pPr>
    </w:p>
    <w:p w14:paraId="537E84E2" w14:textId="77777777" w:rsidR="00E24920" w:rsidRDefault="00E24920" w:rsidP="00B341AE">
      <w:pPr>
        <w:spacing w:line="360" w:lineRule="auto"/>
        <w:jc w:val="both"/>
        <w:rPr>
          <w:rFonts w:ascii="Palatino Linotype" w:eastAsiaTheme="minorHAnsi" w:hAnsi="Palatino Linotype" w:cs="Arial"/>
          <w:lang w:val="es-MX" w:eastAsia="en-US"/>
        </w:rPr>
      </w:pPr>
    </w:p>
    <w:p w14:paraId="37BCA127" w14:textId="77777777" w:rsidR="00E24920" w:rsidRDefault="00E24920" w:rsidP="00B341AE">
      <w:pPr>
        <w:spacing w:line="360" w:lineRule="auto"/>
        <w:jc w:val="both"/>
        <w:rPr>
          <w:rFonts w:ascii="Palatino Linotype" w:eastAsiaTheme="minorHAnsi" w:hAnsi="Palatino Linotype" w:cs="Arial"/>
          <w:lang w:val="es-MX" w:eastAsia="en-US"/>
        </w:rPr>
      </w:pPr>
    </w:p>
    <w:p w14:paraId="5A7F20D8" w14:textId="77777777" w:rsidR="00E24920" w:rsidRDefault="00E24920" w:rsidP="00B341AE">
      <w:pPr>
        <w:spacing w:line="360" w:lineRule="auto"/>
        <w:jc w:val="both"/>
        <w:rPr>
          <w:rFonts w:ascii="Palatino Linotype" w:eastAsiaTheme="minorHAnsi" w:hAnsi="Palatino Linotype" w:cs="Arial"/>
          <w:lang w:val="es-MX" w:eastAsia="en-US"/>
        </w:rPr>
      </w:pPr>
    </w:p>
    <w:p w14:paraId="5A1BE9D7" w14:textId="77777777" w:rsidR="00E24920" w:rsidRDefault="00E24920"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476E3443" w14:textId="77777777" w:rsidR="00E24920" w:rsidRDefault="00E24920" w:rsidP="00B341AE">
      <w:pPr>
        <w:spacing w:line="360" w:lineRule="auto"/>
        <w:jc w:val="both"/>
        <w:rPr>
          <w:rFonts w:ascii="Palatino Linotype" w:eastAsiaTheme="minorHAnsi" w:hAnsi="Palatino Linotype" w:cs="Arial"/>
          <w:lang w:val="es-MX" w:eastAsia="en-US"/>
        </w:rPr>
      </w:pPr>
    </w:p>
    <w:p w14:paraId="69D7C5C7" w14:textId="77777777" w:rsidR="00E24920" w:rsidRDefault="00E24920" w:rsidP="00B341AE">
      <w:pPr>
        <w:spacing w:line="360" w:lineRule="auto"/>
        <w:jc w:val="both"/>
        <w:rPr>
          <w:rFonts w:ascii="Palatino Linotype" w:eastAsiaTheme="minorHAnsi" w:hAnsi="Palatino Linotype" w:cs="Arial"/>
          <w:lang w:val="es-MX" w:eastAsia="en-US"/>
        </w:rPr>
      </w:pPr>
    </w:p>
    <w:p w14:paraId="15CB6286" w14:textId="77777777" w:rsidR="00E24920" w:rsidRPr="00B341AE" w:rsidRDefault="00E24920" w:rsidP="00B341AE">
      <w:pPr>
        <w:spacing w:line="360" w:lineRule="auto"/>
        <w:jc w:val="both"/>
        <w:rPr>
          <w:rFonts w:ascii="Palatino Linotype" w:eastAsiaTheme="minorHAnsi" w:hAnsi="Palatino Linotype" w:cs="Arial"/>
          <w:lang w:val="es-MX" w:eastAsia="en-US"/>
        </w:rPr>
      </w:pPr>
    </w:p>
    <w:p w14:paraId="1F8F7F99"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4C17A" w14:textId="77777777" w:rsidR="00EC24A7" w:rsidRDefault="00EC24A7" w:rsidP="000B5E25">
      <w:r>
        <w:separator/>
      </w:r>
    </w:p>
  </w:endnote>
  <w:endnote w:type="continuationSeparator" w:id="0">
    <w:p w14:paraId="656F0733" w14:textId="77777777" w:rsidR="00EC24A7" w:rsidRDefault="00EC24A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E7355">
      <w:rPr>
        <w:rFonts w:ascii="Palatino Linotype" w:hAnsi="Palatino Linotype" w:cs="Arial"/>
        <w:bCs/>
        <w:noProof/>
        <w:sz w:val="20"/>
        <w:szCs w:val="20"/>
      </w:rPr>
      <w:t>15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E7355">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E735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E7355">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7285" w14:textId="77777777" w:rsidR="00EC24A7" w:rsidRDefault="00EC24A7" w:rsidP="000B5E25">
      <w:r>
        <w:separator/>
      </w:r>
    </w:p>
  </w:footnote>
  <w:footnote w:type="continuationSeparator" w:id="0">
    <w:p w14:paraId="1D99F2F7" w14:textId="77777777" w:rsidR="00EC24A7" w:rsidRDefault="00EC24A7"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EE7355">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27759E74" w:rsidR="00EB62E8" w:rsidRPr="0029071C" w:rsidRDefault="008B77DA"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2450</w:t>
          </w:r>
          <w:r w:rsidR="00EB62E8"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59031BB0" w:rsidR="00EB62E8" w:rsidRPr="0029071C" w:rsidRDefault="00CF75E2" w:rsidP="0090178D">
          <w:pPr>
            <w:spacing w:line="276" w:lineRule="auto"/>
            <w:jc w:val="right"/>
            <w:rPr>
              <w:rFonts w:ascii="Palatino Linotype" w:hAnsi="Palatino Linotype"/>
              <w:sz w:val="22"/>
              <w:szCs w:val="22"/>
            </w:rPr>
          </w:pPr>
          <w:r w:rsidRPr="00CF75E2">
            <w:rPr>
              <w:rFonts w:ascii="Palatino Linotype" w:hAnsi="Palatino Linotype"/>
              <w:sz w:val="22"/>
              <w:szCs w:val="22"/>
            </w:rPr>
            <w:t xml:space="preserve">Ayuntamiento de </w:t>
          </w:r>
          <w:r w:rsidR="008B77DA" w:rsidRPr="008B77DA">
            <w:rPr>
              <w:rFonts w:ascii="Palatino Linotype" w:hAnsi="Palatino Linotype"/>
              <w:sz w:val="22"/>
              <w:szCs w:val="22"/>
            </w:rPr>
            <w:t>Atizapán</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EE735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BE94201" w:rsidR="00EB62E8" w:rsidRPr="0029071C" w:rsidRDefault="00EB62E8"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7651A">
            <w:rPr>
              <w:rFonts w:ascii="Palatino Linotype" w:hAnsi="Palatino Linotype"/>
              <w:sz w:val="22"/>
              <w:szCs w:val="22"/>
              <w:lang w:val="es-ES_tradnl"/>
            </w:rPr>
            <w:t>2450</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47FBE73E" w:rsidR="00EB62E8" w:rsidRPr="006D30E6" w:rsidRDefault="00EE7355"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785FB2C9" w:rsidR="00EB62E8" w:rsidRPr="0029071C" w:rsidRDefault="00CF75E2" w:rsidP="0090178D">
          <w:pPr>
            <w:spacing w:line="276" w:lineRule="auto"/>
            <w:jc w:val="right"/>
            <w:rPr>
              <w:rFonts w:ascii="Palatino Linotype" w:hAnsi="Palatino Linotype"/>
              <w:sz w:val="22"/>
              <w:szCs w:val="22"/>
            </w:rPr>
          </w:pPr>
          <w:r w:rsidRPr="00CF75E2">
            <w:rPr>
              <w:rFonts w:ascii="Palatino Linotype" w:hAnsi="Palatino Linotype"/>
              <w:sz w:val="22"/>
              <w:szCs w:val="22"/>
            </w:rPr>
            <w:t xml:space="preserve">Ayuntamiento de </w:t>
          </w:r>
          <w:r w:rsidR="0007651A" w:rsidRPr="0007651A">
            <w:rPr>
              <w:rFonts w:ascii="Palatino Linotype" w:hAnsi="Palatino Linotype"/>
              <w:sz w:val="22"/>
              <w:szCs w:val="22"/>
            </w:rPr>
            <w:t>Atizapán</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EE7355">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5pt;height:10.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3D51"/>
    <w:rsid w:val="0000611A"/>
    <w:rsid w:val="00011953"/>
    <w:rsid w:val="000120BC"/>
    <w:rsid w:val="000153AF"/>
    <w:rsid w:val="0002117B"/>
    <w:rsid w:val="00021DCF"/>
    <w:rsid w:val="00023DA9"/>
    <w:rsid w:val="00031EFF"/>
    <w:rsid w:val="00032D08"/>
    <w:rsid w:val="00035DA5"/>
    <w:rsid w:val="00036F8B"/>
    <w:rsid w:val="00037D70"/>
    <w:rsid w:val="000422AE"/>
    <w:rsid w:val="000544D6"/>
    <w:rsid w:val="0005462A"/>
    <w:rsid w:val="00054E04"/>
    <w:rsid w:val="000572E9"/>
    <w:rsid w:val="000616A9"/>
    <w:rsid w:val="0006583A"/>
    <w:rsid w:val="00070547"/>
    <w:rsid w:val="00071173"/>
    <w:rsid w:val="0007651A"/>
    <w:rsid w:val="000768A8"/>
    <w:rsid w:val="000775FC"/>
    <w:rsid w:val="0007769E"/>
    <w:rsid w:val="000829CA"/>
    <w:rsid w:val="00085980"/>
    <w:rsid w:val="000859CC"/>
    <w:rsid w:val="00087797"/>
    <w:rsid w:val="00091A55"/>
    <w:rsid w:val="00091E1F"/>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64778"/>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6A8B"/>
    <w:rsid w:val="00197EBB"/>
    <w:rsid w:val="001A1237"/>
    <w:rsid w:val="001A46ED"/>
    <w:rsid w:val="001A4D66"/>
    <w:rsid w:val="001A6109"/>
    <w:rsid w:val="001A7AE9"/>
    <w:rsid w:val="001B367C"/>
    <w:rsid w:val="001B3752"/>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1D71"/>
    <w:rsid w:val="0020249A"/>
    <w:rsid w:val="00202C04"/>
    <w:rsid w:val="00202CB6"/>
    <w:rsid w:val="00206B79"/>
    <w:rsid w:val="002151BC"/>
    <w:rsid w:val="00216776"/>
    <w:rsid w:val="002167BB"/>
    <w:rsid w:val="00217E6C"/>
    <w:rsid w:val="00223504"/>
    <w:rsid w:val="00224947"/>
    <w:rsid w:val="00225163"/>
    <w:rsid w:val="0022726A"/>
    <w:rsid w:val="002273B6"/>
    <w:rsid w:val="002313F8"/>
    <w:rsid w:val="002329AD"/>
    <w:rsid w:val="00235936"/>
    <w:rsid w:val="00236CBA"/>
    <w:rsid w:val="00241C4E"/>
    <w:rsid w:val="00242014"/>
    <w:rsid w:val="0024323F"/>
    <w:rsid w:val="002467FA"/>
    <w:rsid w:val="00247138"/>
    <w:rsid w:val="00251C5D"/>
    <w:rsid w:val="00253578"/>
    <w:rsid w:val="002555F7"/>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97C9F"/>
    <w:rsid w:val="002A040B"/>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153A"/>
    <w:rsid w:val="003B1C85"/>
    <w:rsid w:val="003B3224"/>
    <w:rsid w:val="003B4CF3"/>
    <w:rsid w:val="003B63F7"/>
    <w:rsid w:val="003B70B0"/>
    <w:rsid w:val="003C3563"/>
    <w:rsid w:val="003C6395"/>
    <w:rsid w:val="003C6E1C"/>
    <w:rsid w:val="003D0889"/>
    <w:rsid w:val="003D1214"/>
    <w:rsid w:val="003D32FC"/>
    <w:rsid w:val="003D5C8A"/>
    <w:rsid w:val="003D5F3E"/>
    <w:rsid w:val="003D7AF1"/>
    <w:rsid w:val="003E21A7"/>
    <w:rsid w:val="003E3BD5"/>
    <w:rsid w:val="003E3DAA"/>
    <w:rsid w:val="003E56C9"/>
    <w:rsid w:val="003E6C2E"/>
    <w:rsid w:val="003F0064"/>
    <w:rsid w:val="003F580B"/>
    <w:rsid w:val="003F684E"/>
    <w:rsid w:val="004018F9"/>
    <w:rsid w:val="00414479"/>
    <w:rsid w:val="00423CC8"/>
    <w:rsid w:val="00425E0F"/>
    <w:rsid w:val="004309A2"/>
    <w:rsid w:val="00430BAC"/>
    <w:rsid w:val="00430CDF"/>
    <w:rsid w:val="004344EA"/>
    <w:rsid w:val="00434A56"/>
    <w:rsid w:val="0043515A"/>
    <w:rsid w:val="00435BED"/>
    <w:rsid w:val="004367FB"/>
    <w:rsid w:val="00437518"/>
    <w:rsid w:val="00437D78"/>
    <w:rsid w:val="004403F7"/>
    <w:rsid w:val="00440C43"/>
    <w:rsid w:val="00441335"/>
    <w:rsid w:val="00442FD8"/>
    <w:rsid w:val="004432D5"/>
    <w:rsid w:val="00443892"/>
    <w:rsid w:val="004445A1"/>
    <w:rsid w:val="00444719"/>
    <w:rsid w:val="004454D4"/>
    <w:rsid w:val="00445CAA"/>
    <w:rsid w:val="00460AA8"/>
    <w:rsid w:val="00462F75"/>
    <w:rsid w:val="004672ED"/>
    <w:rsid w:val="00484F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344"/>
    <w:rsid w:val="004F76D0"/>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0134"/>
    <w:rsid w:val="005327BF"/>
    <w:rsid w:val="0053343D"/>
    <w:rsid w:val="0054391A"/>
    <w:rsid w:val="005439BE"/>
    <w:rsid w:val="0054796A"/>
    <w:rsid w:val="005527B5"/>
    <w:rsid w:val="00555C87"/>
    <w:rsid w:val="005619F6"/>
    <w:rsid w:val="00561A6E"/>
    <w:rsid w:val="00563B39"/>
    <w:rsid w:val="0057063F"/>
    <w:rsid w:val="00572099"/>
    <w:rsid w:val="0057289F"/>
    <w:rsid w:val="00574FDC"/>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15984"/>
    <w:rsid w:val="00620280"/>
    <w:rsid w:val="0062349E"/>
    <w:rsid w:val="00623943"/>
    <w:rsid w:val="00624DF8"/>
    <w:rsid w:val="006258FD"/>
    <w:rsid w:val="006278DF"/>
    <w:rsid w:val="00630BD1"/>
    <w:rsid w:val="00631E2F"/>
    <w:rsid w:val="00632E48"/>
    <w:rsid w:val="006345E3"/>
    <w:rsid w:val="00637F33"/>
    <w:rsid w:val="00643B58"/>
    <w:rsid w:val="0066047F"/>
    <w:rsid w:val="00660854"/>
    <w:rsid w:val="00661CC3"/>
    <w:rsid w:val="00673084"/>
    <w:rsid w:val="006762A5"/>
    <w:rsid w:val="00681058"/>
    <w:rsid w:val="006810FF"/>
    <w:rsid w:val="00681ED0"/>
    <w:rsid w:val="00683574"/>
    <w:rsid w:val="00684C32"/>
    <w:rsid w:val="0069065D"/>
    <w:rsid w:val="00694976"/>
    <w:rsid w:val="00696467"/>
    <w:rsid w:val="00696D7B"/>
    <w:rsid w:val="006A200A"/>
    <w:rsid w:val="006A240A"/>
    <w:rsid w:val="006A2694"/>
    <w:rsid w:val="006A3506"/>
    <w:rsid w:val="006A40F2"/>
    <w:rsid w:val="006A6458"/>
    <w:rsid w:val="006B321A"/>
    <w:rsid w:val="006B3C0A"/>
    <w:rsid w:val="006B418F"/>
    <w:rsid w:val="006B7EF1"/>
    <w:rsid w:val="006C3931"/>
    <w:rsid w:val="006C6557"/>
    <w:rsid w:val="006D10FB"/>
    <w:rsid w:val="006D1713"/>
    <w:rsid w:val="006D30E6"/>
    <w:rsid w:val="006D3457"/>
    <w:rsid w:val="006D3A03"/>
    <w:rsid w:val="006E08FA"/>
    <w:rsid w:val="006E37A5"/>
    <w:rsid w:val="006E6297"/>
    <w:rsid w:val="006F4DB2"/>
    <w:rsid w:val="006F5F93"/>
    <w:rsid w:val="006F617E"/>
    <w:rsid w:val="006F7B06"/>
    <w:rsid w:val="00702EBA"/>
    <w:rsid w:val="00703F77"/>
    <w:rsid w:val="00710FED"/>
    <w:rsid w:val="00715F45"/>
    <w:rsid w:val="0071621C"/>
    <w:rsid w:val="00716632"/>
    <w:rsid w:val="00717A0C"/>
    <w:rsid w:val="0072075B"/>
    <w:rsid w:val="007209EB"/>
    <w:rsid w:val="007237B8"/>
    <w:rsid w:val="00723B66"/>
    <w:rsid w:val="0072450B"/>
    <w:rsid w:val="00724DF2"/>
    <w:rsid w:val="0072658E"/>
    <w:rsid w:val="00732345"/>
    <w:rsid w:val="007334F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0FBE"/>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BF0"/>
    <w:rsid w:val="00800A80"/>
    <w:rsid w:val="00800EC7"/>
    <w:rsid w:val="00806DFA"/>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4828"/>
    <w:rsid w:val="008660D6"/>
    <w:rsid w:val="008733BC"/>
    <w:rsid w:val="008803EF"/>
    <w:rsid w:val="00880D92"/>
    <w:rsid w:val="00882980"/>
    <w:rsid w:val="008907E4"/>
    <w:rsid w:val="00896D29"/>
    <w:rsid w:val="00897958"/>
    <w:rsid w:val="008A12CF"/>
    <w:rsid w:val="008A1A90"/>
    <w:rsid w:val="008A3681"/>
    <w:rsid w:val="008A64CB"/>
    <w:rsid w:val="008B082B"/>
    <w:rsid w:val="008B3DB9"/>
    <w:rsid w:val="008B60D3"/>
    <w:rsid w:val="008B6546"/>
    <w:rsid w:val="008B77DA"/>
    <w:rsid w:val="008C170A"/>
    <w:rsid w:val="008C3ADE"/>
    <w:rsid w:val="008C3B24"/>
    <w:rsid w:val="008C52F9"/>
    <w:rsid w:val="008C7CA7"/>
    <w:rsid w:val="008C7F4F"/>
    <w:rsid w:val="008D05D3"/>
    <w:rsid w:val="008D096B"/>
    <w:rsid w:val="008E01E4"/>
    <w:rsid w:val="008E2233"/>
    <w:rsid w:val="008E7A16"/>
    <w:rsid w:val="008E7F32"/>
    <w:rsid w:val="008F148C"/>
    <w:rsid w:val="008F3219"/>
    <w:rsid w:val="008F5D37"/>
    <w:rsid w:val="008F5DAE"/>
    <w:rsid w:val="00900C9B"/>
    <w:rsid w:val="00901487"/>
    <w:rsid w:val="0090178D"/>
    <w:rsid w:val="0090223E"/>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31A"/>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1F49"/>
    <w:rsid w:val="00AA26B4"/>
    <w:rsid w:val="00AB15E3"/>
    <w:rsid w:val="00AB34F9"/>
    <w:rsid w:val="00AB4982"/>
    <w:rsid w:val="00AB4CE0"/>
    <w:rsid w:val="00AC3DB9"/>
    <w:rsid w:val="00AC687D"/>
    <w:rsid w:val="00AC6C27"/>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050A"/>
    <w:rsid w:val="00B17992"/>
    <w:rsid w:val="00B20C2B"/>
    <w:rsid w:val="00B22D8E"/>
    <w:rsid w:val="00B22E97"/>
    <w:rsid w:val="00B23344"/>
    <w:rsid w:val="00B24878"/>
    <w:rsid w:val="00B24B11"/>
    <w:rsid w:val="00B250D7"/>
    <w:rsid w:val="00B253F0"/>
    <w:rsid w:val="00B309E3"/>
    <w:rsid w:val="00B31853"/>
    <w:rsid w:val="00B341AE"/>
    <w:rsid w:val="00B34ADE"/>
    <w:rsid w:val="00B36260"/>
    <w:rsid w:val="00B406CE"/>
    <w:rsid w:val="00B431FC"/>
    <w:rsid w:val="00B50B07"/>
    <w:rsid w:val="00B5421D"/>
    <w:rsid w:val="00B570FD"/>
    <w:rsid w:val="00B57219"/>
    <w:rsid w:val="00B579E5"/>
    <w:rsid w:val="00B642EC"/>
    <w:rsid w:val="00B6659F"/>
    <w:rsid w:val="00B67DF2"/>
    <w:rsid w:val="00B7066B"/>
    <w:rsid w:val="00B71058"/>
    <w:rsid w:val="00B72FCB"/>
    <w:rsid w:val="00B7320F"/>
    <w:rsid w:val="00B802A5"/>
    <w:rsid w:val="00B8098B"/>
    <w:rsid w:val="00B80C9E"/>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233B"/>
    <w:rsid w:val="00BE7180"/>
    <w:rsid w:val="00BE7A6E"/>
    <w:rsid w:val="00BF2FBF"/>
    <w:rsid w:val="00BF4388"/>
    <w:rsid w:val="00BF43AC"/>
    <w:rsid w:val="00BF4AAA"/>
    <w:rsid w:val="00BF58D2"/>
    <w:rsid w:val="00BF6E0F"/>
    <w:rsid w:val="00C0414E"/>
    <w:rsid w:val="00C058C8"/>
    <w:rsid w:val="00C0658B"/>
    <w:rsid w:val="00C07220"/>
    <w:rsid w:val="00C145A0"/>
    <w:rsid w:val="00C20F80"/>
    <w:rsid w:val="00C21BDE"/>
    <w:rsid w:val="00C2417C"/>
    <w:rsid w:val="00C249A6"/>
    <w:rsid w:val="00C27928"/>
    <w:rsid w:val="00C27FA1"/>
    <w:rsid w:val="00C37A05"/>
    <w:rsid w:val="00C4326C"/>
    <w:rsid w:val="00C464BA"/>
    <w:rsid w:val="00C468F3"/>
    <w:rsid w:val="00C50EC6"/>
    <w:rsid w:val="00C56DD5"/>
    <w:rsid w:val="00C57395"/>
    <w:rsid w:val="00C63F7B"/>
    <w:rsid w:val="00C6588E"/>
    <w:rsid w:val="00C701E3"/>
    <w:rsid w:val="00C70447"/>
    <w:rsid w:val="00C753C2"/>
    <w:rsid w:val="00C802FB"/>
    <w:rsid w:val="00C8473B"/>
    <w:rsid w:val="00C8502C"/>
    <w:rsid w:val="00C85653"/>
    <w:rsid w:val="00C86669"/>
    <w:rsid w:val="00C87949"/>
    <w:rsid w:val="00C9212F"/>
    <w:rsid w:val="00CA216C"/>
    <w:rsid w:val="00CA4BF9"/>
    <w:rsid w:val="00CA62C6"/>
    <w:rsid w:val="00CA7698"/>
    <w:rsid w:val="00CB3433"/>
    <w:rsid w:val="00CB54CA"/>
    <w:rsid w:val="00CB5558"/>
    <w:rsid w:val="00CC0700"/>
    <w:rsid w:val="00CC0B81"/>
    <w:rsid w:val="00CC2F50"/>
    <w:rsid w:val="00CC30A4"/>
    <w:rsid w:val="00CC338E"/>
    <w:rsid w:val="00CC36C9"/>
    <w:rsid w:val="00CD024D"/>
    <w:rsid w:val="00CD0A7D"/>
    <w:rsid w:val="00CD3A41"/>
    <w:rsid w:val="00CD431E"/>
    <w:rsid w:val="00CE1C82"/>
    <w:rsid w:val="00CE51D0"/>
    <w:rsid w:val="00CE59CD"/>
    <w:rsid w:val="00CE6A53"/>
    <w:rsid w:val="00CF1DF5"/>
    <w:rsid w:val="00CF3179"/>
    <w:rsid w:val="00CF51A3"/>
    <w:rsid w:val="00CF75E2"/>
    <w:rsid w:val="00CF7FBE"/>
    <w:rsid w:val="00D0093C"/>
    <w:rsid w:val="00D01A63"/>
    <w:rsid w:val="00D02C55"/>
    <w:rsid w:val="00D02FC5"/>
    <w:rsid w:val="00D10C88"/>
    <w:rsid w:val="00D12C36"/>
    <w:rsid w:val="00D13B13"/>
    <w:rsid w:val="00D16E64"/>
    <w:rsid w:val="00D21ECE"/>
    <w:rsid w:val="00D2395F"/>
    <w:rsid w:val="00D25A0F"/>
    <w:rsid w:val="00D25C27"/>
    <w:rsid w:val="00D27727"/>
    <w:rsid w:val="00D3242B"/>
    <w:rsid w:val="00D34428"/>
    <w:rsid w:val="00D34A4E"/>
    <w:rsid w:val="00D36738"/>
    <w:rsid w:val="00D4431A"/>
    <w:rsid w:val="00D46EBD"/>
    <w:rsid w:val="00D5191E"/>
    <w:rsid w:val="00D52B66"/>
    <w:rsid w:val="00D553D4"/>
    <w:rsid w:val="00D57210"/>
    <w:rsid w:val="00D57AED"/>
    <w:rsid w:val="00D57F74"/>
    <w:rsid w:val="00D61EBB"/>
    <w:rsid w:val="00D66D85"/>
    <w:rsid w:val="00D75A4F"/>
    <w:rsid w:val="00D77CE7"/>
    <w:rsid w:val="00D80B28"/>
    <w:rsid w:val="00D83603"/>
    <w:rsid w:val="00D901D7"/>
    <w:rsid w:val="00D91786"/>
    <w:rsid w:val="00D9216F"/>
    <w:rsid w:val="00D929AB"/>
    <w:rsid w:val="00D92BFE"/>
    <w:rsid w:val="00D967A6"/>
    <w:rsid w:val="00DA2014"/>
    <w:rsid w:val="00DA3095"/>
    <w:rsid w:val="00DA59ED"/>
    <w:rsid w:val="00DA65F7"/>
    <w:rsid w:val="00DA74C3"/>
    <w:rsid w:val="00DB368A"/>
    <w:rsid w:val="00DC1583"/>
    <w:rsid w:val="00DC2B31"/>
    <w:rsid w:val="00DC3FEA"/>
    <w:rsid w:val="00DC76D5"/>
    <w:rsid w:val="00DD1866"/>
    <w:rsid w:val="00DD5A69"/>
    <w:rsid w:val="00DE01B9"/>
    <w:rsid w:val="00DE0A8D"/>
    <w:rsid w:val="00DE347D"/>
    <w:rsid w:val="00DE4773"/>
    <w:rsid w:val="00DE562A"/>
    <w:rsid w:val="00DE5A03"/>
    <w:rsid w:val="00DE5DC2"/>
    <w:rsid w:val="00DE7148"/>
    <w:rsid w:val="00DF0080"/>
    <w:rsid w:val="00DF35F0"/>
    <w:rsid w:val="00DF62A4"/>
    <w:rsid w:val="00DF700F"/>
    <w:rsid w:val="00E00D15"/>
    <w:rsid w:val="00E06D0C"/>
    <w:rsid w:val="00E11B18"/>
    <w:rsid w:val="00E14823"/>
    <w:rsid w:val="00E174F8"/>
    <w:rsid w:val="00E22337"/>
    <w:rsid w:val="00E24920"/>
    <w:rsid w:val="00E31176"/>
    <w:rsid w:val="00E33297"/>
    <w:rsid w:val="00E341AD"/>
    <w:rsid w:val="00E34587"/>
    <w:rsid w:val="00E363D8"/>
    <w:rsid w:val="00E36D94"/>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3E13"/>
    <w:rsid w:val="00E74701"/>
    <w:rsid w:val="00E75E5F"/>
    <w:rsid w:val="00E823B8"/>
    <w:rsid w:val="00E849A6"/>
    <w:rsid w:val="00E85E17"/>
    <w:rsid w:val="00E90222"/>
    <w:rsid w:val="00E9091C"/>
    <w:rsid w:val="00E93BB3"/>
    <w:rsid w:val="00E93E8D"/>
    <w:rsid w:val="00E94642"/>
    <w:rsid w:val="00E9680B"/>
    <w:rsid w:val="00EA46CC"/>
    <w:rsid w:val="00EA49B9"/>
    <w:rsid w:val="00EA5AA1"/>
    <w:rsid w:val="00EA61B9"/>
    <w:rsid w:val="00EA6DB7"/>
    <w:rsid w:val="00EA75FB"/>
    <w:rsid w:val="00EA7BF4"/>
    <w:rsid w:val="00EB02CD"/>
    <w:rsid w:val="00EB62E8"/>
    <w:rsid w:val="00EB6C62"/>
    <w:rsid w:val="00EB7A95"/>
    <w:rsid w:val="00EC1365"/>
    <w:rsid w:val="00EC19DC"/>
    <w:rsid w:val="00EC24A7"/>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355"/>
    <w:rsid w:val="00EE7518"/>
    <w:rsid w:val="00EF193B"/>
    <w:rsid w:val="00EF45D1"/>
    <w:rsid w:val="00F01C71"/>
    <w:rsid w:val="00F029CD"/>
    <w:rsid w:val="00F06F52"/>
    <w:rsid w:val="00F106FC"/>
    <w:rsid w:val="00F16F55"/>
    <w:rsid w:val="00F1730B"/>
    <w:rsid w:val="00F20273"/>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38CE"/>
    <w:rsid w:val="00F5646A"/>
    <w:rsid w:val="00F570D3"/>
    <w:rsid w:val="00F62221"/>
    <w:rsid w:val="00F63223"/>
    <w:rsid w:val="00F66C7B"/>
    <w:rsid w:val="00F676DA"/>
    <w:rsid w:val="00F712EE"/>
    <w:rsid w:val="00F7363B"/>
    <w:rsid w:val="00F73BB1"/>
    <w:rsid w:val="00F73DC7"/>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39156822">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33049551">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98984070">
      <w:bodyDiv w:val="1"/>
      <w:marLeft w:val="0"/>
      <w:marRight w:val="0"/>
      <w:marTop w:val="0"/>
      <w:marBottom w:val="0"/>
      <w:divBdr>
        <w:top w:val="none" w:sz="0" w:space="0" w:color="auto"/>
        <w:left w:val="none" w:sz="0" w:space="0" w:color="auto"/>
        <w:bottom w:val="none" w:sz="0" w:space="0" w:color="auto"/>
        <w:right w:val="none" w:sz="0" w:space="0" w:color="auto"/>
      </w:divBdr>
    </w:div>
    <w:div w:id="41112216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2738407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874076873">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28655506">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56718844">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14342492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16912575">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582182415">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690523373">
      <w:bodyDiv w:val="1"/>
      <w:marLeft w:val="0"/>
      <w:marRight w:val="0"/>
      <w:marTop w:val="0"/>
      <w:marBottom w:val="0"/>
      <w:divBdr>
        <w:top w:val="none" w:sz="0" w:space="0" w:color="auto"/>
        <w:left w:val="none" w:sz="0" w:space="0" w:color="auto"/>
        <w:bottom w:val="none" w:sz="0" w:space="0" w:color="auto"/>
        <w:right w:val="none" w:sz="0" w:space="0" w:color="auto"/>
      </w:divBdr>
    </w:div>
    <w:div w:id="1694459449">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 w:id="2040424428">
      <w:bodyDiv w:val="1"/>
      <w:marLeft w:val="0"/>
      <w:marRight w:val="0"/>
      <w:marTop w:val="0"/>
      <w:marBottom w:val="0"/>
      <w:divBdr>
        <w:top w:val="none" w:sz="0" w:space="0" w:color="auto"/>
        <w:left w:val="none" w:sz="0" w:space="0" w:color="auto"/>
        <w:bottom w:val="none" w:sz="0" w:space="0" w:color="auto"/>
        <w:right w:val="none" w:sz="0" w:space="0" w:color="auto"/>
      </w:divBdr>
    </w:div>
    <w:div w:id="20788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74E6-8804-497C-985E-229585A7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3135</Words>
  <Characters>17244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cp:lastPrinted>2025-03-07T20:12:00Z</cp:lastPrinted>
  <dcterms:created xsi:type="dcterms:W3CDTF">2025-03-24T21:25:00Z</dcterms:created>
  <dcterms:modified xsi:type="dcterms:W3CDTF">2025-04-29T18:28:00Z</dcterms:modified>
</cp:coreProperties>
</file>