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D755" w14:textId="77777777" w:rsidR="00185F49" w:rsidRPr="00F507D3" w:rsidRDefault="00862F4A">
      <w:pPr>
        <w:spacing w:before="120"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doce de marzo de dos mil veinticinco.</w:t>
      </w:r>
    </w:p>
    <w:p w14:paraId="4042BC35" w14:textId="413DD53C" w:rsidR="00185F49" w:rsidRPr="00F507D3" w:rsidRDefault="00185F49">
      <w:pPr>
        <w:tabs>
          <w:tab w:val="left" w:pos="6720"/>
          <w:tab w:val="right" w:pos="8838"/>
        </w:tabs>
        <w:spacing w:after="0" w:line="360" w:lineRule="auto"/>
        <w:jc w:val="both"/>
        <w:rPr>
          <w:rFonts w:ascii="Palatino Linotype" w:eastAsia="Palatino Linotype" w:hAnsi="Palatino Linotype" w:cs="Palatino Linotype"/>
          <w:sz w:val="24"/>
          <w:szCs w:val="24"/>
        </w:rPr>
      </w:pPr>
    </w:p>
    <w:p w14:paraId="5B3B1F69" w14:textId="722F1D74"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Visto </w:t>
      </w:r>
      <w:r w:rsidRPr="00F507D3">
        <w:rPr>
          <w:rFonts w:ascii="Palatino Linotype" w:eastAsia="Palatino Linotype" w:hAnsi="Palatino Linotype" w:cs="Palatino Linotype"/>
          <w:sz w:val="24"/>
          <w:szCs w:val="24"/>
        </w:rPr>
        <w:t>el expediente relativo al recurso de revisión</w:t>
      </w:r>
      <w:r w:rsidRPr="00F507D3">
        <w:rPr>
          <w:rFonts w:ascii="Palatino Linotype" w:eastAsia="Palatino Linotype" w:hAnsi="Palatino Linotype" w:cs="Palatino Linotype"/>
          <w:b/>
          <w:sz w:val="24"/>
          <w:szCs w:val="24"/>
        </w:rPr>
        <w:t xml:space="preserve"> 00709/INFOEM/IP/RR/2025</w:t>
      </w:r>
      <w:r w:rsidRPr="00F507D3">
        <w:rPr>
          <w:rFonts w:ascii="Palatino Linotype" w:eastAsia="Palatino Linotype" w:hAnsi="Palatino Linotype" w:cs="Palatino Linotype"/>
          <w:sz w:val="24"/>
          <w:szCs w:val="24"/>
        </w:rPr>
        <w:t>, interpuesto por</w:t>
      </w:r>
      <w:r w:rsidRPr="00F507D3">
        <w:rPr>
          <w:rFonts w:ascii="Palatino Linotype" w:eastAsia="Palatino Linotype" w:hAnsi="Palatino Linotype" w:cs="Palatino Linotype"/>
          <w:b/>
          <w:sz w:val="24"/>
          <w:szCs w:val="24"/>
        </w:rPr>
        <w:t xml:space="preserve"> </w:t>
      </w:r>
      <w:r w:rsidR="00DB0D60" w:rsidRPr="00DB0D60">
        <w:rPr>
          <w:rFonts w:ascii="Palatino Linotype" w:eastAsia="Palatino Linotype" w:hAnsi="Palatino Linotype" w:cs="Palatino Linotype"/>
          <w:b/>
          <w:sz w:val="24"/>
          <w:szCs w:val="24"/>
        </w:rPr>
        <w:t>XXXXXXXXXX XXX XXXXXX</w:t>
      </w:r>
      <w:r w:rsidRPr="00F507D3">
        <w:rPr>
          <w:rFonts w:ascii="Palatino Linotype" w:eastAsia="Palatino Linotype" w:hAnsi="Palatino Linotype" w:cs="Palatino Linotype"/>
          <w:sz w:val="24"/>
          <w:szCs w:val="24"/>
        </w:rPr>
        <w:t xml:space="preserve">, en lo sucesivo se le denominara </w:t>
      </w:r>
      <w:r w:rsidRPr="00F507D3">
        <w:rPr>
          <w:rFonts w:ascii="Palatino Linotype" w:eastAsia="Palatino Linotype" w:hAnsi="Palatino Linotype" w:cs="Palatino Linotype"/>
          <w:b/>
          <w:sz w:val="24"/>
          <w:szCs w:val="24"/>
        </w:rPr>
        <w:t>LA PARTE RECURRENTE</w:t>
      </w:r>
      <w:r w:rsidRPr="00F507D3">
        <w:rPr>
          <w:rFonts w:ascii="Palatino Linotype" w:eastAsia="Palatino Linotype" w:hAnsi="Palatino Linotype" w:cs="Palatino Linotype"/>
          <w:sz w:val="24"/>
          <w:szCs w:val="24"/>
        </w:rPr>
        <w:t xml:space="preserve">, en contra de la respuesta a la solicitud de información con número de folio </w:t>
      </w:r>
      <w:r w:rsidRPr="00F507D3">
        <w:rPr>
          <w:rFonts w:ascii="Palatino Linotype" w:eastAsia="Palatino Linotype" w:hAnsi="Palatino Linotype" w:cs="Palatino Linotype"/>
          <w:b/>
          <w:sz w:val="24"/>
          <w:szCs w:val="24"/>
        </w:rPr>
        <w:t>00542/UAI/IP/2024</w:t>
      </w:r>
      <w:r w:rsidRPr="00F507D3">
        <w:rPr>
          <w:rFonts w:ascii="Palatino Linotype" w:eastAsia="Palatino Linotype" w:hAnsi="Palatino Linotype" w:cs="Palatino Linotype"/>
          <w:sz w:val="24"/>
          <w:szCs w:val="24"/>
        </w:rPr>
        <w:t xml:space="preserve">, por parte del </w:t>
      </w:r>
      <w:r w:rsidRPr="00F507D3">
        <w:rPr>
          <w:rFonts w:ascii="Palatino Linotype" w:eastAsia="Palatino Linotype" w:hAnsi="Palatino Linotype" w:cs="Palatino Linotype"/>
          <w:b/>
          <w:sz w:val="24"/>
          <w:szCs w:val="24"/>
        </w:rPr>
        <w:t>Unidad de Asuntos Internos</w:t>
      </w:r>
      <w:r w:rsidRPr="00F507D3">
        <w:rPr>
          <w:rFonts w:ascii="Palatino Linotype" w:eastAsia="Palatino Linotype" w:hAnsi="Palatino Linotype" w:cs="Palatino Linotype"/>
          <w:sz w:val="24"/>
          <w:szCs w:val="24"/>
        </w:rPr>
        <w:t>, en lo sucesivo</w:t>
      </w:r>
      <w:r w:rsidRPr="00F507D3">
        <w:rPr>
          <w:rFonts w:ascii="Palatino Linotype" w:eastAsia="Palatino Linotype" w:hAnsi="Palatino Linotype" w:cs="Palatino Linotype"/>
          <w:b/>
          <w:sz w:val="24"/>
          <w:szCs w:val="24"/>
        </w:rPr>
        <w:t xml:space="preserve"> EL SUJETO OBLIGADO; </w:t>
      </w:r>
      <w:r w:rsidRPr="00F507D3">
        <w:rPr>
          <w:rFonts w:ascii="Palatino Linotype" w:eastAsia="Palatino Linotype" w:hAnsi="Palatino Linotype" w:cs="Palatino Linotype"/>
          <w:sz w:val="24"/>
          <w:szCs w:val="24"/>
        </w:rPr>
        <w:t xml:space="preserve">se procede a dictar la presente resolución, con base en lo siguiente.  </w:t>
      </w:r>
    </w:p>
    <w:p w14:paraId="0630D70A"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1AB65095" w14:textId="77777777" w:rsidR="00185F49" w:rsidRPr="00F507D3" w:rsidRDefault="00862F4A">
      <w:pPr>
        <w:spacing w:after="0" w:line="360" w:lineRule="auto"/>
        <w:ind w:right="49"/>
        <w:jc w:val="center"/>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A N T E C E D E N T E S</w:t>
      </w:r>
    </w:p>
    <w:p w14:paraId="5F3E3593"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09A333F"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1.</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 xml:space="preserve">SOLICITUD DE INFORMACIÓN. </w:t>
      </w:r>
      <w:r w:rsidRPr="00F507D3">
        <w:rPr>
          <w:rFonts w:ascii="Palatino Linotype" w:eastAsia="Palatino Linotype" w:hAnsi="Palatino Linotype" w:cs="Palatino Linotype"/>
          <w:sz w:val="24"/>
          <w:szCs w:val="24"/>
        </w:rPr>
        <w:t xml:space="preserve">Con fecha dieciséis de diciembre de dos mil veinticuatro, </w:t>
      </w:r>
      <w:r w:rsidRPr="00F507D3">
        <w:rPr>
          <w:rFonts w:ascii="Palatino Linotype" w:eastAsia="Palatino Linotype" w:hAnsi="Palatino Linotype" w:cs="Palatino Linotype"/>
          <w:b/>
          <w:sz w:val="24"/>
          <w:szCs w:val="24"/>
        </w:rPr>
        <w:t>LA PARTE RECURRENTE</w:t>
      </w:r>
      <w:r w:rsidRPr="00F507D3">
        <w:rPr>
          <w:rFonts w:ascii="Palatino Linotype" w:eastAsia="Palatino Linotype" w:hAnsi="Palatino Linotype" w:cs="Palatino Linotype"/>
          <w:sz w:val="24"/>
          <w:szCs w:val="24"/>
        </w:rPr>
        <w:t>, presentó a través del Sistema de Acceso a la Información Mexiquense (</w:t>
      </w:r>
      <w:r w:rsidRPr="00F507D3">
        <w:rPr>
          <w:rFonts w:ascii="Palatino Linotype" w:eastAsia="Palatino Linotype" w:hAnsi="Palatino Linotype" w:cs="Palatino Linotype"/>
          <w:b/>
          <w:sz w:val="24"/>
          <w:szCs w:val="24"/>
        </w:rPr>
        <w:t>SAIMEX)</w:t>
      </w:r>
      <w:r w:rsidRPr="00F507D3">
        <w:rPr>
          <w:rFonts w:ascii="Palatino Linotype" w:eastAsia="Palatino Linotype" w:hAnsi="Palatino Linotype" w:cs="Palatino Linotype"/>
          <w:sz w:val="24"/>
          <w:szCs w:val="24"/>
        </w:rPr>
        <w:t xml:space="preserve"> ante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solicitud de acceso a la información pública, registrada bajo el número de expediente</w:t>
      </w:r>
      <w:r w:rsidRPr="00F507D3">
        <w:rPr>
          <w:rFonts w:ascii="Verdana" w:eastAsia="Verdana" w:hAnsi="Verdana" w:cs="Verdana"/>
          <w:b/>
        </w:rPr>
        <w:t> </w:t>
      </w:r>
      <w:r w:rsidRPr="00F507D3">
        <w:rPr>
          <w:rFonts w:ascii="Palatino Linotype" w:eastAsia="Palatino Linotype" w:hAnsi="Palatino Linotype" w:cs="Palatino Linotype"/>
          <w:b/>
          <w:sz w:val="24"/>
          <w:szCs w:val="24"/>
        </w:rPr>
        <w:t>00542/UAI/IP/2024</w:t>
      </w:r>
      <w:r w:rsidRPr="00F507D3">
        <w:rPr>
          <w:rFonts w:ascii="Palatino Linotype" w:eastAsia="Palatino Linotype" w:hAnsi="Palatino Linotype" w:cs="Palatino Linotype"/>
          <w:sz w:val="24"/>
          <w:szCs w:val="24"/>
        </w:rPr>
        <w:t>,</w:t>
      </w:r>
      <w:r w:rsidRPr="00F507D3">
        <w:rPr>
          <w:rFonts w:ascii="Palatino Linotype" w:eastAsia="Palatino Linotype" w:hAnsi="Palatino Linotype" w:cs="Palatino Linotype"/>
          <w:b/>
          <w:sz w:val="24"/>
          <w:szCs w:val="24"/>
        </w:rPr>
        <w:t xml:space="preserve"> </w:t>
      </w:r>
      <w:r w:rsidRPr="00F507D3">
        <w:rPr>
          <w:rFonts w:ascii="Palatino Linotype" w:eastAsia="Palatino Linotype" w:hAnsi="Palatino Linotype" w:cs="Palatino Linotype"/>
          <w:sz w:val="24"/>
          <w:szCs w:val="24"/>
        </w:rPr>
        <w:t>mediante la cual solicitó la siguiente información:</w:t>
      </w:r>
    </w:p>
    <w:p w14:paraId="66ACF8D6"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14D31AD0" w14:textId="77777777" w:rsidR="00185F49" w:rsidRPr="00F507D3" w:rsidRDefault="00862F4A">
      <w:pPr>
        <w:spacing w:after="0" w:line="276" w:lineRule="auto"/>
        <w:ind w:left="709" w:right="758"/>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“1. NUMERO DE DENUNCIAS Y QUEJAS RECIBIDAS DEL 01 DE SEPTIEMBRE AL 15 DE DICIEMBRE DE 2024. 2. DEL NUMERAL ANTERIOR INDIQUE EL MEDIO POR EL CUAL FUERON RECIBIDAS DICHAS QUEJAS Y/O DENUNCIAS. 3. DE LOS NUMERALES ANTERIORES REMITA LA VERSIÓN PÚBLICA DE LOS OFICIOS </w:t>
      </w:r>
      <w:r w:rsidRPr="00F507D3">
        <w:rPr>
          <w:rFonts w:ascii="Palatino Linotype" w:eastAsia="Palatino Linotype" w:hAnsi="Palatino Linotype" w:cs="Palatino Linotype"/>
          <w:i/>
        </w:rPr>
        <w:lastRenderedPageBreak/>
        <w:t>EMITIDOS A FIN DE ATENDER DICHAS DENUNCIAS. 4. INDIQUE CUALES FUERON LAS ACCIONES A FIN DE ATENDER LAS DENUNCIAS EN MERITO. 5. INDIQUE EL ESTATUS PROCESAL DE LAS DENUNCIAS RECIBIDAS DEL 01 DE SEPTIEMBRE AL 15 DE DICIEMBRE DE 2024. 6. VERSION PÚBLICA DE LOS ACUERDOS DE CIERRE; REMISIÓN Y ANALISIS DE LAS DENUNCIAS Y QUEJAS TURNADAS A LA DIRECCIÓN DE RESPONSIBILIDADES DEL 01 DE SEPTIEMBRE AL 15 DE DICIEMBRE DEL 2024. CABE SEÑALAR QUE SI BIEN LOS EXPEDIENTES SE ECUENTRAN EN PERIODO DE INVESTIGACIÓN SE REQUIERE LA FECHA DE INICIO, FECHA DE RADICACIÓN, ACCIONES REALIZADAS POR CADA EXPEDIENTE Y LA VERSIÓN PÚBLICA DE TODO LO ACTUADO HASTA EL DIA DE HOY” (Sic).</w:t>
      </w:r>
    </w:p>
    <w:p w14:paraId="01B854B7" w14:textId="77777777" w:rsidR="00185F49" w:rsidRPr="00F507D3" w:rsidRDefault="00185F49">
      <w:pPr>
        <w:spacing w:after="0" w:line="276" w:lineRule="auto"/>
        <w:ind w:left="709" w:right="758"/>
        <w:jc w:val="both"/>
        <w:rPr>
          <w:rFonts w:ascii="Palatino Linotype" w:eastAsia="Palatino Linotype" w:hAnsi="Palatino Linotype" w:cs="Palatino Linotype"/>
          <w:i/>
        </w:rPr>
      </w:pPr>
    </w:p>
    <w:p w14:paraId="179697F8"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Modalidad de entrega: A través del </w:t>
      </w:r>
      <w:r w:rsidRPr="00F507D3">
        <w:rPr>
          <w:rFonts w:ascii="Palatino Linotype" w:eastAsia="Palatino Linotype" w:hAnsi="Palatino Linotype" w:cs="Palatino Linotype"/>
          <w:b/>
          <w:sz w:val="24"/>
          <w:szCs w:val="24"/>
        </w:rPr>
        <w:t>SAIMEX</w:t>
      </w:r>
      <w:r w:rsidRPr="00F507D3">
        <w:rPr>
          <w:rFonts w:ascii="Palatino Linotype" w:eastAsia="Palatino Linotype" w:hAnsi="Palatino Linotype" w:cs="Palatino Linotype"/>
          <w:sz w:val="24"/>
          <w:szCs w:val="24"/>
        </w:rPr>
        <w:t xml:space="preserve">. </w:t>
      </w:r>
    </w:p>
    <w:p w14:paraId="0750D460"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2F011BC" w14:textId="77777777" w:rsidR="00185F49" w:rsidRPr="00F507D3" w:rsidRDefault="00862F4A">
      <w:pPr>
        <w:widowControl w:val="0"/>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2. DE LA PRÓRROGA.</w:t>
      </w:r>
      <w:r w:rsidRPr="00F507D3">
        <w:rPr>
          <w:rFonts w:ascii="Palatino Linotype" w:eastAsia="Palatino Linotype" w:hAnsi="Palatino Linotype" w:cs="Palatino Linotype"/>
          <w:sz w:val="24"/>
          <w:szCs w:val="24"/>
        </w:rPr>
        <w:t xml:space="preserve"> En fecha veinticuatro de enero de dos mil veinticinco,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solicitó una prórroga para la entrega de la información requerida en las solicitudes de acceso a la información tal como se observa a continuación:</w:t>
      </w:r>
    </w:p>
    <w:p w14:paraId="0EE52F3E" w14:textId="77777777" w:rsidR="00185F49" w:rsidRPr="00F507D3" w:rsidRDefault="00185F49">
      <w:pPr>
        <w:spacing w:line="360" w:lineRule="auto"/>
        <w:jc w:val="both"/>
        <w:rPr>
          <w:rFonts w:ascii="Palatino Linotype" w:eastAsia="Palatino Linotype" w:hAnsi="Palatino Linotype" w:cs="Palatino Linotype"/>
          <w:b/>
        </w:rPr>
      </w:pPr>
    </w:p>
    <w:p w14:paraId="09521E1E" w14:textId="77777777" w:rsidR="00185F49" w:rsidRPr="00F507D3" w:rsidRDefault="00862F4A">
      <w:pPr>
        <w:spacing w:line="276" w:lineRule="auto"/>
        <w:ind w:left="851" w:right="900"/>
        <w:jc w:val="both"/>
        <w:rPr>
          <w:rFonts w:ascii="Palatino Linotype" w:eastAsia="Palatino Linotype" w:hAnsi="Palatino Linotype" w:cs="Palatino Linotype"/>
          <w:i/>
        </w:rPr>
      </w:pPr>
      <w:r w:rsidRPr="00F507D3">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E5A080B" w14:textId="77777777" w:rsidR="00185F49" w:rsidRPr="00F507D3" w:rsidRDefault="00862F4A">
      <w:pPr>
        <w:spacing w:line="276" w:lineRule="auto"/>
        <w:ind w:left="851" w:right="900"/>
        <w:jc w:val="both"/>
        <w:rPr>
          <w:rFonts w:ascii="Palatino Linotype" w:eastAsia="Palatino Linotype" w:hAnsi="Palatino Linotype" w:cs="Palatino Linotype"/>
          <w:i/>
        </w:rPr>
      </w:pPr>
      <w:r w:rsidRPr="00F507D3">
        <w:rPr>
          <w:rFonts w:ascii="Palatino Linotype" w:eastAsia="Palatino Linotype" w:hAnsi="Palatino Linotype" w:cs="Palatino Linotype"/>
          <w:i/>
        </w:rPr>
        <w:t>Se aprueba la ampliación de plazo mediante el Acuerdo UAI/CT/EXTRAORDINARIA/2025/01/05</w:t>
      </w:r>
    </w:p>
    <w:p w14:paraId="4EF348BD" w14:textId="77777777" w:rsidR="00185F49" w:rsidRPr="00F507D3" w:rsidRDefault="00862F4A">
      <w:pPr>
        <w:spacing w:line="276" w:lineRule="auto"/>
        <w:ind w:left="851" w:right="900"/>
        <w:jc w:val="both"/>
        <w:rPr>
          <w:rFonts w:ascii="Palatino Linotype" w:eastAsia="Palatino Linotype" w:hAnsi="Palatino Linotype" w:cs="Palatino Linotype"/>
          <w:i/>
        </w:rPr>
      </w:pPr>
      <w:r w:rsidRPr="00F507D3">
        <w:rPr>
          <w:rFonts w:ascii="Palatino Linotype" w:eastAsia="Palatino Linotype" w:hAnsi="Palatino Linotype" w:cs="Palatino Linotype"/>
          <w:i/>
        </w:rPr>
        <w:t>MTRO HÉCTOR DANIEL ZARAGOZA MANRÍQUE</w:t>
      </w:r>
    </w:p>
    <w:p w14:paraId="663A6415" w14:textId="77777777" w:rsidR="00185F49" w:rsidRPr="00F507D3" w:rsidRDefault="00862F4A">
      <w:pPr>
        <w:spacing w:line="276" w:lineRule="auto"/>
        <w:ind w:left="851" w:right="900"/>
        <w:jc w:val="both"/>
        <w:rPr>
          <w:rFonts w:ascii="Palatino Linotype" w:eastAsia="Palatino Linotype" w:hAnsi="Palatino Linotype" w:cs="Palatino Linotype"/>
          <w:i/>
        </w:rPr>
      </w:pPr>
      <w:r w:rsidRPr="00F507D3">
        <w:rPr>
          <w:rFonts w:ascii="Palatino Linotype" w:eastAsia="Palatino Linotype" w:hAnsi="Palatino Linotype" w:cs="Palatino Linotype"/>
          <w:i/>
        </w:rPr>
        <w:t>Responsable de la Unidad de Transparencia”</w:t>
      </w:r>
    </w:p>
    <w:p w14:paraId="4EB96EA2" w14:textId="77777777" w:rsidR="00185F49" w:rsidRPr="00F507D3" w:rsidRDefault="00862F4A">
      <w:pPr>
        <w:spacing w:after="0" w:line="360" w:lineRule="auto"/>
        <w:jc w:val="both"/>
        <w:rPr>
          <w:rFonts w:ascii="Palatino Linotype" w:eastAsia="Palatino Linotype" w:hAnsi="Palatino Linotype" w:cs="Palatino Linotype"/>
        </w:rPr>
      </w:pPr>
      <w:r w:rsidRPr="00F507D3">
        <w:rPr>
          <w:rFonts w:ascii="Palatino Linotype" w:eastAsia="Palatino Linotype" w:hAnsi="Palatino Linotype" w:cs="Palatino Linotype"/>
          <w:b/>
        </w:rPr>
        <w:lastRenderedPageBreak/>
        <w:t>EL SUJETO OBLIGADO</w:t>
      </w:r>
      <w:r w:rsidRPr="00F507D3">
        <w:rPr>
          <w:rFonts w:ascii="Palatino Linotype" w:eastAsia="Palatino Linotype" w:hAnsi="Palatino Linotype" w:cs="Palatino Linotype"/>
        </w:rPr>
        <w:t>, adjunta los archivos electrónicos:</w:t>
      </w:r>
    </w:p>
    <w:p w14:paraId="3AD60C47" w14:textId="77777777" w:rsidR="00185F49" w:rsidRPr="00F507D3" w:rsidRDefault="00185F49">
      <w:pPr>
        <w:spacing w:after="0" w:line="360" w:lineRule="auto"/>
        <w:jc w:val="both"/>
        <w:rPr>
          <w:rFonts w:ascii="Palatino Linotype" w:eastAsia="Palatino Linotype" w:hAnsi="Palatino Linotype" w:cs="Palatino Linotype"/>
        </w:rPr>
      </w:pPr>
    </w:p>
    <w:p w14:paraId="40A1C7F3" w14:textId="77777777" w:rsidR="00185F49" w:rsidRPr="00F507D3" w:rsidRDefault="00862F4A">
      <w:pPr>
        <w:spacing w:after="0" w:line="360" w:lineRule="auto"/>
        <w:jc w:val="both"/>
        <w:rPr>
          <w:rFonts w:ascii="Palatino Linotype" w:eastAsia="Palatino Linotype" w:hAnsi="Palatino Linotype" w:cs="Palatino Linotype"/>
        </w:rPr>
      </w:pPr>
      <w:r w:rsidRPr="00F507D3">
        <w:rPr>
          <w:rFonts w:ascii="Palatino Linotype" w:eastAsia="Palatino Linotype" w:hAnsi="Palatino Linotype" w:cs="Palatino Linotype"/>
        </w:rPr>
        <w:t>“</w:t>
      </w:r>
      <w:r w:rsidRPr="00F507D3">
        <w:rPr>
          <w:rFonts w:ascii="Palatino Linotype" w:eastAsia="Palatino Linotype" w:hAnsi="Palatino Linotype" w:cs="Palatino Linotype"/>
          <w:b/>
          <w:i/>
          <w:u w:val="single"/>
        </w:rPr>
        <w:t>542.pdf</w:t>
      </w:r>
      <w:r w:rsidRPr="00F507D3">
        <w:rPr>
          <w:rFonts w:ascii="Palatino Linotype" w:eastAsia="Palatino Linotype" w:hAnsi="Palatino Linotype" w:cs="Palatino Linotype"/>
        </w:rPr>
        <w:t xml:space="preserve">”: Oficio signado por el Titular de la Unidad de Transparencia, mediante el cual señala que el día 24 de enero del año 2025, el Comité de Transparencia emitió el Acuerdo UAI/CT/ESTRAORDINARIA/2025/01/05 por el cual aprobó por unanimidad de votos la ampliación del plazo de la solicitud de información. </w:t>
      </w:r>
    </w:p>
    <w:p w14:paraId="19808C0C" w14:textId="77777777" w:rsidR="00185F49" w:rsidRPr="00F507D3" w:rsidRDefault="00185F49">
      <w:pPr>
        <w:spacing w:after="0" w:line="360" w:lineRule="auto"/>
        <w:jc w:val="both"/>
        <w:rPr>
          <w:rFonts w:ascii="Palatino Linotype" w:eastAsia="Palatino Linotype" w:hAnsi="Palatino Linotype" w:cs="Palatino Linotype"/>
          <w:b/>
          <w:i/>
          <w:u w:val="single"/>
        </w:rPr>
      </w:pPr>
    </w:p>
    <w:p w14:paraId="738968DF" w14:textId="50ED6F15" w:rsidR="00185F49" w:rsidRPr="00F507D3" w:rsidRDefault="00862F4A">
      <w:pPr>
        <w:spacing w:after="0" w:line="360" w:lineRule="auto"/>
        <w:jc w:val="both"/>
        <w:rPr>
          <w:rFonts w:ascii="Palatino Linotype" w:eastAsia="Palatino Linotype" w:hAnsi="Palatino Linotype" w:cs="Palatino Linotype"/>
        </w:rPr>
      </w:pPr>
      <w:r w:rsidRPr="00F507D3">
        <w:rPr>
          <w:rFonts w:ascii="Palatino Linotype" w:eastAsia="Palatino Linotype" w:hAnsi="Palatino Linotype" w:cs="Palatino Linotype"/>
        </w:rPr>
        <w:t>“</w:t>
      </w:r>
      <w:r w:rsidRPr="00F507D3">
        <w:rPr>
          <w:rFonts w:ascii="Palatino Linotype" w:eastAsia="Palatino Linotype" w:hAnsi="Palatino Linotype" w:cs="Palatino Linotype"/>
          <w:b/>
          <w:i/>
          <w:u w:val="single"/>
        </w:rPr>
        <w:t>ACTA 1a SESION EXTRAORD-2025.pdf</w:t>
      </w:r>
      <w:r w:rsidRPr="00F507D3">
        <w:rPr>
          <w:rFonts w:ascii="Palatino Linotype" w:eastAsia="Palatino Linotype" w:hAnsi="Palatino Linotype" w:cs="Palatino Linotype"/>
        </w:rPr>
        <w:t>”: Acta de la Primera Sesión Extraordinaria 2025, en donde su quinto punto del orden del día se aprueba la ampliación de plazo para otorgar respuesta a la solicitud de informa</w:t>
      </w:r>
      <w:r w:rsidR="00A30A46" w:rsidRPr="00F507D3">
        <w:rPr>
          <w:rFonts w:ascii="Palatino Linotype" w:eastAsia="Palatino Linotype" w:hAnsi="Palatino Linotype" w:cs="Palatino Linotype"/>
        </w:rPr>
        <w:t>ción, cumpliendo con las formalidades requeridas.</w:t>
      </w:r>
    </w:p>
    <w:p w14:paraId="79891BE8"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1C009EE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3. RESPUESTA.  </w:t>
      </w:r>
      <w:r w:rsidRPr="00F507D3">
        <w:rPr>
          <w:rFonts w:ascii="Palatino Linotype" w:eastAsia="Palatino Linotype" w:hAnsi="Palatino Linotype" w:cs="Palatino Linotype"/>
          <w:sz w:val="24"/>
          <w:szCs w:val="24"/>
        </w:rPr>
        <w:t xml:space="preserve">Con fecha cinco de febrero del dos mil veinticinco,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EDBBA22"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2E80A47C"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3305BC"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se adjunta respuesta a su solicitud</w:t>
      </w:r>
    </w:p>
    <w:p w14:paraId="786FCB38"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ATENTAMENTE</w:t>
      </w:r>
    </w:p>
    <w:p w14:paraId="73D41FF2"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MTRO HÉCTOR DANIEL ZARAGOZA MANRÍQUE”</w:t>
      </w:r>
    </w:p>
    <w:p w14:paraId="2BDA89D1" w14:textId="77777777" w:rsidR="00185F49" w:rsidRPr="00F507D3" w:rsidRDefault="00185F49">
      <w:pPr>
        <w:spacing w:after="0" w:line="276" w:lineRule="auto"/>
        <w:ind w:left="851" w:right="902"/>
        <w:jc w:val="both"/>
        <w:rPr>
          <w:rFonts w:ascii="Palatino Linotype" w:eastAsia="Palatino Linotype" w:hAnsi="Palatino Linotype" w:cs="Palatino Linotype"/>
          <w:sz w:val="24"/>
          <w:szCs w:val="24"/>
        </w:rPr>
      </w:pPr>
    </w:p>
    <w:p w14:paraId="79E5D6FC" w14:textId="77777777" w:rsidR="00185F49" w:rsidRPr="00F507D3" w:rsidRDefault="00862F4A">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adjuntó para tal efecto el archivo electrónico siguiente:</w:t>
      </w:r>
    </w:p>
    <w:p w14:paraId="15BD0087" w14:textId="58327883"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w:t>
      </w:r>
      <w:r w:rsidRPr="00F507D3">
        <w:rPr>
          <w:rFonts w:ascii="Palatino Linotype" w:eastAsia="Palatino Linotype" w:hAnsi="Palatino Linotype" w:cs="Palatino Linotype"/>
          <w:b/>
          <w:i/>
          <w:sz w:val="24"/>
          <w:szCs w:val="24"/>
          <w:u w:val="single"/>
        </w:rPr>
        <w:t>R-542.pdf</w:t>
      </w:r>
      <w:r w:rsidRPr="00F507D3">
        <w:rPr>
          <w:rFonts w:ascii="Palatino Linotype" w:eastAsia="Palatino Linotype" w:hAnsi="Palatino Linotype" w:cs="Palatino Linotype"/>
          <w:sz w:val="24"/>
          <w:szCs w:val="24"/>
        </w:rPr>
        <w:t>”: Oficio de fecha cinco de febrero de dos mil veinticinco, signado por el Titular de la Unidad de Transparencia, mediante el cual señala que</w:t>
      </w:r>
      <w:r w:rsidRPr="00F507D3">
        <w:rPr>
          <w:rFonts w:ascii="Palatino Linotype" w:eastAsia="Palatino Linotype" w:hAnsi="Palatino Linotype" w:cs="Palatino Linotype"/>
          <w:sz w:val="40"/>
          <w:szCs w:val="40"/>
        </w:rPr>
        <w:t xml:space="preserve"> </w:t>
      </w:r>
      <w:r w:rsidR="00A30A46" w:rsidRPr="00F507D3">
        <w:rPr>
          <w:rFonts w:ascii="Palatino Linotype" w:eastAsia="Palatino Linotype" w:hAnsi="Palatino Linotype" w:cs="Palatino Linotype"/>
          <w:sz w:val="24"/>
          <w:szCs w:val="40"/>
        </w:rPr>
        <w:t>turnó</w:t>
      </w:r>
      <w:r w:rsidRPr="00F507D3">
        <w:rPr>
          <w:rFonts w:ascii="Palatino Linotype" w:eastAsia="Palatino Linotype" w:hAnsi="Palatino Linotype" w:cs="Palatino Linotype"/>
          <w:sz w:val="40"/>
          <w:szCs w:val="40"/>
        </w:rPr>
        <w:t xml:space="preserve"> </w:t>
      </w:r>
      <w:r w:rsidRPr="00F507D3">
        <w:rPr>
          <w:rFonts w:ascii="Palatino Linotype" w:eastAsia="Palatino Linotype" w:hAnsi="Palatino Linotype" w:cs="Palatino Linotype"/>
          <w:sz w:val="24"/>
          <w:szCs w:val="24"/>
        </w:rPr>
        <w:t xml:space="preserve">la </w:t>
      </w:r>
      <w:r w:rsidRPr="00F507D3">
        <w:rPr>
          <w:rFonts w:ascii="Palatino Linotype" w:eastAsia="Palatino Linotype" w:hAnsi="Palatino Linotype" w:cs="Palatino Linotype"/>
          <w:sz w:val="24"/>
          <w:szCs w:val="24"/>
        </w:rPr>
        <w:lastRenderedPageBreak/>
        <w:t xml:space="preserve">solicitud a la Dirección de Investigación y Supervisión, la cual </w:t>
      </w:r>
      <w:r w:rsidR="00A30A46" w:rsidRPr="00F507D3">
        <w:rPr>
          <w:rFonts w:ascii="Palatino Linotype" w:eastAsia="Palatino Linotype" w:hAnsi="Palatino Linotype" w:cs="Palatino Linotype"/>
          <w:sz w:val="24"/>
          <w:szCs w:val="24"/>
        </w:rPr>
        <w:t>señaló</w:t>
      </w:r>
      <w:r w:rsidRPr="00F507D3">
        <w:rPr>
          <w:rFonts w:ascii="Palatino Linotype" w:eastAsia="Palatino Linotype" w:hAnsi="Palatino Linotype" w:cs="Palatino Linotype"/>
          <w:sz w:val="24"/>
          <w:szCs w:val="24"/>
        </w:rPr>
        <w:t xml:space="preserve"> que la información requerida es parte de los expedientes y se encuentra glosada en cada uno de los legajos que los componen, por lo que la información tendría que pasar por un conjunto de actividades para procesarla como son búsqueda y extracción de la documentación de expedientes, la digitalización, la reproducción en formato compatible con medio magnético y el análisis e identificación de información confidencial o reservada, así como testado y generación de versiones públicas, siendo que la información excede la capacidad máxima de carga dentro del SAIMEX, poniendo a disposición lo siguiente:</w:t>
      </w:r>
    </w:p>
    <w:p w14:paraId="3FCB6041" w14:textId="77777777" w:rsidR="00A30A46" w:rsidRPr="00F507D3" w:rsidRDefault="00A30A46">
      <w:pPr>
        <w:spacing w:after="0" w:line="360" w:lineRule="auto"/>
        <w:jc w:val="both"/>
        <w:rPr>
          <w:rFonts w:ascii="Palatino Linotype" w:eastAsia="Palatino Linotype" w:hAnsi="Palatino Linotype" w:cs="Palatino Linotype"/>
          <w:sz w:val="24"/>
          <w:szCs w:val="24"/>
        </w:rPr>
      </w:pPr>
    </w:p>
    <w:p w14:paraId="0ECA096C"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1. Número de denuncias y quejas recibidas del primero de septiembre al 15 de diciembre de 2024.</w:t>
      </w:r>
    </w:p>
    <w:p w14:paraId="77D8330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2. el medio de atender dichas denuncias. </w:t>
      </w:r>
    </w:p>
    <w:p w14:paraId="3C2BBF32"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3. Oficios emitidos a fin de atender las denuncias. </w:t>
      </w:r>
    </w:p>
    <w:p w14:paraId="7552C33E"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4. Acciones a fin de atender las denuncias en mérito.</w:t>
      </w:r>
    </w:p>
    <w:p w14:paraId="031918D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5. El estatus procesal de las denuncias recibidas del 01 de septiembre al 15 de diciembre de 2024.</w:t>
      </w:r>
    </w:p>
    <w:p w14:paraId="74D99DA1"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6. Acuerdos de cierre.</w:t>
      </w:r>
    </w:p>
    <w:p w14:paraId="5B8120ED"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Por lo que podrá hacer la consulta directa de manera calendarizada  programando cada jueves del mes de febrero del año en curso, señalando la ubicación y el horario para la entrega de 200 fojas a fin de atender la solicitud. </w:t>
      </w:r>
    </w:p>
    <w:p w14:paraId="03D90330"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75BE8CF" w14:textId="77777777" w:rsidR="00185F49" w:rsidRPr="00F507D3" w:rsidRDefault="00862F4A">
      <w:pPr>
        <w:spacing w:after="0" w:line="360" w:lineRule="auto"/>
        <w:ind w:right="-234"/>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lastRenderedPageBreak/>
        <w:t xml:space="preserve">4. DEL RECURSO DE REVISIÓN. </w:t>
      </w:r>
      <w:r w:rsidRPr="00F507D3">
        <w:rPr>
          <w:rFonts w:ascii="Palatino Linotype" w:eastAsia="Palatino Linotype" w:hAnsi="Palatino Linotype" w:cs="Palatino Linotype"/>
          <w:sz w:val="24"/>
          <w:szCs w:val="24"/>
        </w:rPr>
        <w:t>Inconforme con la respuesta del</w:t>
      </w:r>
      <w:r w:rsidRPr="00F507D3">
        <w:rPr>
          <w:rFonts w:ascii="Palatino Linotype" w:eastAsia="Palatino Linotype" w:hAnsi="Palatino Linotype" w:cs="Palatino Linotype"/>
          <w:b/>
          <w:sz w:val="24"/>
          <w:szCs w:val="24"/>
        </w:rPr>
        <w:t xml:space="preserve"> SUJETO OBLIGADO, </w:t>
      </w:r>
      <w:r w:rsidRPr="00F507D3">
        <w:rPr>
          <w:rFonts w:ascii="Palatino Linotype" w:eastAsia="Palatino Linotype" w:hAnsi="Palatino Linotype" w:cs="Palatino Linotype"/>
          <w:sz w:val="24"/>
          <w:szCs w:val="24"/>
        </w:rPr>
        <w:t>en fecha seis de febrero de dos mil veinticinco,</w:t>
      </w:r>
      <w:r w:rsidRPr="00F507D3">
        <w:rPr>
          <w:rFonts w:ascii="Palatino Linotype" w:eastAsia="Palatino Linotype" w:hAnsi="Palatino Linotype" w:cs="Palatino Linotype"/>
          <w:b/>
          <w:sz w:val="24"/>
          <w:szCs w:val="24"/>
        </w:rPr>
        <w:t xml:space="preserve"> LA PARTE RECURRENTE </w:t>
      </w:r>
      <w:r w:rsidRPr="00F507D3">
        <w:rPr>
          <w:rFonts w:ascii="Palatino Linotype" w:eastAsia="Palatino Linotype" w:hAnsi="Palatino Linotype" w:cs="Palatino Linotype"/>
          <w:sz w:val="24"/>
          <w:szCs w:val="24"/>
        </w:rPr>
        <w:t>interpuso el recurso de revisión, el cual fue registrado</w:t>
      </w:r>
      <w:r w:rsidRPr="00F507D3">
        <w:rPr>
          <w:rFonts w:ascii="Palatino Linotype" w:eastAsia="Palatino Linotype" w:hAnsi="Palatino Linotype" w:cs="Palatino Linotype"/>
          <w:b/>
          <w:sz w:val="24"/>
          <w:szCs w:val="24"/>
        </w:rPr>
        <w:t xml:space="preserve"> </w:t>
      </w:r>
      <w:r w:rsidRPr="00F507D3">
        <w:rPr>
          <w:rFonts w:ascii="Palatino Linotype" w:eastAsia="Palatino Linotype" w:hAnsi="Palatino Linotype" w:cs="Palatino Linotype"/>
          <w:sz w:val="24"/>
          <w:szCs w:val="24"/>
        </w:rPr>
        <w:t xml:space="preserve">en el sistema electrónico con el expediente número </w:t>
      </w:r>
      <w:r w:rsidRPr="00F507D3">
        <w:rPr>
          <w:rFonts w:ascii="Palatino Linotype" w:eastAsia="Palatino Linotype" w:hAnsi="Palatino Linotype" w:cs="Palatino Linotype"/>
          <w:b/>
          <w:sz w:val="24"/>
          <w:szCs w:val="24"/>
        </w:rPr>
        <w:tab/>
        <w:t>00709/INFOEM/IP/RR/2025</w:t>
      </w:r>
      <w:r w:rsidRPr="00F507D3">
        <w:rPr>
          <w:rFonts w:ascii="Palatino Linotype" w:eastAsia="Palatino Linotype" w:hAnsi="Palatino Linotype" w:cs="Palatino Linotype"/>
          <w:sz w:val="24"/>
          <w:szCs w:val="24"/>
        </w:rPr>
        <w:t>, en el cual manifiesta, lo siguiente:</w:t>
      </w:r>
    </w:p>
    <w:p w14:paraId="5BFF12A8" w14:textId="77777777" w:rsidR="00185F49" w:rsidRPr="00F507D3" w:rsidRDefault="00185F49">
      <w:pPr>
        <w:spacing w:after="0" w:line="360" w:lineRule="auto"/>
        <w:ind w:right="-234"/>
        <w:jc w:val="both"/>
        <w:rPr>
          <w:rFonts w:ascii="Palatino Linotype" w:eastAsia="Palatino Linotype" w:hAnsi="Palatino Linotype" w:cs="Palatino Linotype"/>
          <w:sz w:val="24"/>
          <w:szCs w:val="24"/>
        </w:rPr>
      </w:pPr>
    </w:p>
    <w:p w14:paraId="637B9F7B" w14:textId="77777777" w:rsidR="00185F49" w:rsidRPr="00F507D3" w:rsidRDefault="00862F4A">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F507D3">
        <w:rPr>
          <w:rFonts w:ascii="Palatino Linotype" w:eastAsia="Palatino Linotype" w:hAnsi="Palatino Linotype" w:cs="Palatino Linotype"/>
          <w:b/>
          <w:i/>
          <w:sz w:val="24"/>
          <w:szCs w:val="24"/>
        </w:rPr>
        <w:t>Acto Impugnado:</w:t>
      </w:r>
    </w:p>
    <w:p w14:paraId="18A21378" w14:textId="77777777" w:rsidR="00185F49" w:rsidRPr="00F507D3" w:rsidRDefault="00185F49">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1CD197A5" w14:textId="77777777" w:rsidR="00185F49" w:rsidRPr="00F507D3" w:rsidRDefault="00862F4A">
      <w:pPr>
        <w:tabs>
          <w:tab w:val="left" w:pos="8222"/>
        </w:tabs>
        <w:spacing w:after="0" w:line="276" w:lineRule="auto"/>
        <w:ind w:left="851" w:right="616"/>
        <w:jc w:val="both"/>
        <w:rPr>
          <w:rFonts w:ascii="Palatino Linotype" w:eastAsia="Palatino Linotype" w:hAnsi="Palatino Linotype" w:cs="Palatino Linotype"/>
          <w:i/>
        </w:rPr>
      </w:pPr>
      <w:r w:rsidRPr="00F507D3">
        <w:rPr>
          <w:rFonts w:ascii="Palatino Linotype" w:eastAsia="Palatino Linotype" w:hAnsi="Palatino Linotype" w:cs="Palatino Linotype"/>
          <w:i/>
        </w:rPr>
        <w:t>“CAMBIO DE MODALIDAD Y NEGATIVA DE IENTRAGAR NFORMACIÓN PUBLICA” [sic]</w:t>
      </w:r>
    </w:p>
    <w:p w14:paraId="2FB35F7F" w14:textId="77777777" w:rsidR="00185F49" w:rsidRPr="00F507D3" w:rsidRDefault="00185F49">
      <w:pPr>
        <w:tabs>
          <w:tab w:val="left" w:pos="8222"/>
        </w:tabs>
        <w:spacing w:after="0" w:line="276" w:lineRule="auto"/>
        <w:ind w:left="851" w:right="616"/>
        <w:jc w:val="both"/>
        <w:rPr>
          <w:rFonts w:ascii="Palatino Linotype" w:eastAsia="Palatino Linotype" w:hAnsi="Palatino Linotype" w:cs="Palatino Linotype"/>
          <w:i/>
        </w:rPr>
      </w:pPr>
    </w:p>
    <w:p w14:paraId="0F635AB7" w14:textId="77777777" w:rsidR="00185F49" w:rsidRPr="00F507D3" w:rsidRDefault="00862F4A">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F507D3">
        <w:rPr>
          <w:rFonts w:ascii="Palatino Linotype" w:eastAsia="Palatino Linotype" w:hAnsi="Palatino Linotype" w:cs="Palatino Linotype"/>
          <w:b/>
          <w:i/>
          <w:sz w:val="24"/>
          <w:szCs w:val="24"/>
        </w:rPr>
        <w:t>Razones o Motivos de Inconformidad</w:t>
      </w:r>
      <w:r w:rsidRPr="00F507D3">
        <w:rPr>
          <w:rFonts w:ascii="Palatino Linotype" w:eastAsia="Palatino Linotype" w:hAnsi="Palatino Linotype" w:cs="Palatino Linotype"/>
          <w:i/>
          <w:sz w:val="24"/>
          <w:szCs w:val="24"/>
        </w:rPr>
        <w:t>:</w:t>
      </w:r>
    </w:p>
    <w:p w14:paraId="719BCE35" w14:textId="77777777" w:rsidR="00185F49" w:rsidRPr="00F507D3" w:rsidRDefault="00185F49">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0142BC25" w14:textId="77777777" w:rsidR="00185F49" w:rsidRPr="00F507D3" w:rsidRDefault="00862F4A">
      <w:pPr>
        <w:spacing w:after="0" w:line="276" w:lineRule="auto"/>
        <w:ind w:left="851" w:right="616"/>
        <w:jc w:val="both"/>
        <w:rPr>
          <w:rFonts w:ascii="Palatino Linotype" w:eastAsia="Palatino Linotype" w:hAnsi="Palatino Linotype" w:cs="Palatino Linotype"/>
          <w:i/>
        </w:rPr>
      </w:pPr>
      <w:r w:rsidRPr="00F507D3">
        <w:rPr>
          <w:rFonts w:ascii="Palatino Linotype" w:eastAsia="Palatino Linotype" w:hAnsi="Palatino Linotype" w:cs="Palatino Linotype"/>
          <w:i/>
          <w:sz w:val="24"/>
          <w:szCs w:val="24"/>
        </w:rPr>
        <w:t>“</w:t>
      </w:r>
      <w:r w:rsidRPr="00F507D3">
        <w:rPr>
          <w:rFonts w:ascii="Palatino Linotype" w:eastAsia="Palatino Linotype" w:hAnsi="Palatino Linotype" w:cs="Palatino Linotype"/>
          <w:i/>
        </w:rPr>
        <w:t>CAMBIO DE MODALIDAD Y NEGATIVA DE IENTRAGAR NFORMACIÓN PUBLICA” [sic]</w:t>
      </w:r>
    </w:p>
    <w:p w14:paraId="783898B3" w14:textId="77777777" w:rsidR="00185F49" w:rsidRPr="00F507D3" w:rsidRDefault="00185F49">
      <w:pPr>
        <w:spacing w:after="0" w:line="276" w:lineRule="auto"/>
        <w:ind w:left="851" w:right="616"/>
        <w:jc w:val="both"/>
        <w:rPr>
          <w:rFonts w:ascii="Palatino Linotype" w:eastAsia="Palatino Linotype" w:hAnsi="Palatino Linotype" w:cs="Palatino Linotype"/>
          <w:i/>
        </w:rPr>
      </w:pPr>
    </w:p>
    <w:p w14:paraId="2E47134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5. TURNO. </w:t>
      </w:r>
      <w:r w:rsidRPr="00F507D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507D3">
        <w:rPr>
          <w:rFonts w:ascii="Palatino Linotype" w:eastAsia="Palatino Linotype" w:hAnsi="Palatino Linotype" w:cs="Palatino Linotype"/>
          <w:b/>
          <w:sz w:val="24"/>
          <w:szCs w:val="24"/>
        </w:rPr>
        <w:t xml:space="preserve">Guadalupe Ramírez Peña, </w:t>
      </w:r>
      <w:r w:rsidRPr="00F507D3">
        <w:rPr>
          <w:rFonts w:ascii="Palatino Linotype" w:eastAsia="Palatino Linotype" w:hAnsi="Palatino Linotype" w:cs="Palatino Linotype"/>
          <w:sz w:val="24"/>
          <w:szCs w:val="24"/>
        </w:rPr>
        <w:t>a efecto de que analizara sobre su admisión o su desechamiento.</w:t>
      </w:r>
    </w:p>
    <w:p w14:paraId="77BA45CE"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014DB95" w14:textId="485E7235"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6. ADMISIÓN DEL RECURSO DE REVISIÓN.</w:t>
      </w:r>
      <w:r w:rsidRPr="00F507D3">
        <w:rPr>
          <w:rFonts w:ascii="Palatino Linotype" w:eastAsia="Palatino Linotype" w:hAnsi="Palatino Linotype" w:cs="Palatino Linotype"/>
          <w:sz w:val="24"/>
          <w:szCs w:val="24"/>
        </w:rPr>
        <w:t xml:space="preserve"> Con fecha</w:t>
      </w:r>
      <w:r w:rsidRPr="00F507D3">
        <w:rPr>
          <w:rFonts w:ascii="Palatino Linotype" w:eastAsia="Palatino Linotype" w:hAnsi="Palatino Linotype" w:cs="Palatino Linotype"/>
          <w:b/>
          <w:sz w:val="24"/>
          <w:szCs w:val="24"/>
        </w:rPr>
        <w:t xml:space="preserve"> once de febrero de dos mil veinticinco</w:t>
      </w:r>
      <w:r w:rsidRPr="00F507D3">
        <w:rPr>
          <w:rFonts w:ascii="Palatino Linotype" w:eastAsia="Palatino Linotype" w:hAnsi="Palatino Linotype" w:cs="Palatino Linotype"/>
          <w:sz w:val="24"/>
          <w:szCs w:val="24"/>
        </w:rPr>
        <w:t>,</w:t>
      </w:r>
      <w:r w:rsidRPr="00F507D3">
        <w:rPr>
          <w:rFonts w:ascii="Palatino Linotype" w:eastAsia="Palatino Linotype" w:hAnsi="Palatino Linotype" w:cs="Palatino Linotype"/>
          <w:b/>
          <w:sz w:val="24"/>
          <w:szCs w:val="24"/>
        </w:rPr>
        <w:t xml:space="preserve"> </w:t>
      </w:r>
      <w:r w:rsidRPr="00F507D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w:t>
      </w:r>
      <w:r w:rsidRPr="00F507D3">
        <w:rPr>
          <w:rFonts w:ascii="Palatino Linotype" w:eastAsia="Palatino Linotype" w:hAnsi="Palatino Linotype" w:cs="Palatino Linotype"/>
          <w:sz w:val="24"/>
          <w:szCs w:val="24"/>
        </w:rPr>
        <w:lastRenderedPageBreak/>
        <w:t xml:space="preserve">trámite el recurso de revisión que ahora se resuelve, dando un plazo máximo de siete días hábiles para que las partes manifestaran lo que a su derecho resultara conveniente, ofrecieran pruebas, formularan alegatos y </w:t>
      </w:r>
      <w:r w:rsidRPr="00F507D3">
        <w:rPr>
          <w:rFonts w:ascii="Palatino Linotype" w:eastAsia="Palatino Linotype" w:hAnsi="Palatino Linotype" w:cs="Palatino Linotype"/>
          <w:b/>
          <w:sz w:val="24"/>
          <w:szCs w:val="24"/>
        </w:rPr>
        <w:t xml:space="preserve">EL SUJETO OBLIGADO </w:t>
      </w:r>
      <w:r w:rsidRPr="00F507D3">
        <w:rPr>
          <w:rFonts w:ascii="Palatino Linotype" w:eastAsia="Palatino Linotype" w:hAnsi="Palatino Linotype" w:cs="Palatino Linotype"/>
          <w:sz w:val="24"/>
          <w:szCs w:val="24"/>
        </w:rPr>
        <w:t>presentará su informe justificado.</w:t>
      </w:r>
    </w:p>
    <w:p w14:paraId="6A504234" w14:textId="77777777" w:rsidR="0019050E" w:rsidRPr="00F507D3" w:rsidRDefault="0019050E">
      <w:pPr>
        <w:spacing w:after="0" w:line="360" w:lineRule="auto"/>
        <w:jc w:val="both"/>
        <w:rPr>
          <w:rFonts w:ascii="Palatino Linotype" w:eastAsia="Palatino Linotype" w:hAnsi="Palatino Linotype" w:cs="Palatino Linotype"/>
          <w:sz w:val="24"/>
          <w:szCs w:val="24"/>
        </w:rPr>
      </w:pPr>
    </w:p>
    <w:p w14:paraId="7B38C4C2"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7. MANIFESTACIONES</w:t>
      </w:r>
      <w:r w:rsidRPr="00F507D3">
        <w:rPr>
          <w:rFonts w:ascii="Palatino Linotype" w:eastAsia="Palatino Linotype" w:hAnsi="Palatino Linotype" w:cs="Palatino Linotype"/>
          <w:sz w:val="24"/>
          <w:szCs w:val="24"/>
        </w:rPr>
        <w:t xml:space="preserve">. Con fecha diecinueve de febrero de dos mil veinticinco se recibió, a través del Sistema de Acceso a la Información Mexiquense (SAIMEX), el informe justificado del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w:t>
      </w:r>
      <w:r w:rsidRPr="00F507D3">
        <w:rPr>
          <w:rFonts w:ascii="Palatino Linotype" w:eastAsia="Palatino Linotype" w:hAnsi="Palatino Linotype" w:cs="Palatino Linotype"/>
          <w:b/>
          <w:sz w:val="24"/>
          <w:szCs w:val="24"/>
        </w:rPr>
        <w:t xml:space="preserve"> </w:t>
      </w:r>
      <w:r w:rsidRPr="00F507D3">
        <w:rPr>
          <w:rFonts w:ascii="Palatino Linotype" w:eastAsia="Palatino Linotype" w:hAnsi="Palatino Linotype" w:cs="Palatino Linotype"/>
          <w:sz w:val="24"/>
          <w:szCs w:val="24"/>
        </w:rPr>
        <w:t xml:space="preserve">a través del siguiente archivo electrónico: </w:t>
      </w:r>
    </w:p>
    <w:p w14:paraId="4BE13A51"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1A870860"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Oficio de fecha doce de febrero de dos mil veinticinco, signado por el Titular de la Unidad de Transparencia, mediante el cual ratifica su respuesta inicial. </w:t>
      </w:r>
    </w:p>
    <w:p w14:paraId="49590146"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692AF52" w14:textId="2408B4C3" w:rsidR="00185F49" w:rsidRPr="00F507D3" w:rsidRDefault="00862F4A">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Documento que se puso a la vista de </w:t>
      </w:r>
      <w:r w:rsidRPr="00F507D3">
        <w:rPr>
          <w:rFonts w:ascii="Palatino Linotype" w:eastAsia="Palatino Linotype" w:hAnsi="Palatino Linotype" w:cs="Palatino Linotype"/>
          <w:b/>
          <w:sz w:val="24"/>
          <w:szCs w:val="24"/>
        </w:rPr>
        <w:t xml:space="preserve">LA PARTE RECURRENTE </w:t>
      </w:r>
      <w:r w:rsidRPr="00F507D3">
        <w:rPr>
          <w:rFonts w:ascii="Palatino Linotype" w:eastAsia="Palatino Linotype" w:hAnsi="Palatino Linotype" w:cs="Palatino Linotype"/>
          <w:sz w:val="24"/>
          <w:szCs w:val="24"/>
        </w:rPr>
        <w:t xml:space="preserve">en fecha diecinueve de febrero de dos mil veinticinco, mismo que resultó omiso de emitir sus manifestaciones conforme a derecho le corresponde. </w:t>
      </w:r>
    </w:p>
    <w:p w14:paraId="745CD545" w14:textId="77777777" w:rsidR="00185F49" w:rsidRPr="00F507D3" w:rsidRDefault="00185F49">
      <w:pPr>
        <w:spacing w:after="0" w:line="360" w:lineRule="auto"/>
        <w:ind w:right="51"/>
        <w:jc w:val="both"/>
        <w:rPr>
          <w:rFonts w:ascii="Palatino Linotype" w:eastAsia="Palatino Linotype" w:hAnsi="Palatino Linotype" w:cs="Palatino Linotype"/>
          <w:sz w:val="24"/>
          <w:szCs w:val="24"/>
        </w:rPr>
      </w:pPr>
    </w:p>
    <w:p w14:paraId="286EBB45"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8. REQUERIMIENTO DE INFORMACIÓN ADICIONAL.</w:t>
      </w:r>
      <w:r w:rsidRPr="00F507D3">
        <w:rPr>
          <w:rFonts w:ascii="Palatino Linotype" w:eastAsia="Palatino Linotype" w:hAnsi="Palatino Linotype" w:cs="Palatino Linotype"/>
          <w:sz w:val="24"/>
          <w:szCs w:val="24"/>
        </w:rPr>
        <w:t xml:space="preserve"> El </w:t>
      </w:r>
      <w:r w:rsidRPr="00F507D3">
        <w:rPr>
          <w:rFonts w:ascii="Palatino Linotype" w:eastAsia="Palatino Linotype" w:hAnsi="Palatino Linotype" w:cs="Palatino Linotype"/>
          <w:b/>
          <w:sz w:val="24"/>
          <w:szCs w:val="24"/>
        </w:rPr>
        <w:t>cuatro de marzo de dos mil veinticinco</w:t>
      </w:r>
      <w:r w:rsidRPr="00F507D3">
        <w:rPr>
          <w:rFonts w:ascii="Palatino Linotype" w:eastAsia="Palatino Linotype" w:hAnsi="Palatino Linotype" w:cs="Palatino Linotype"/>
          <w:sz w:val="24"/>
          <w:szCs w:val="24"/>
        </w:rPr>
        <w:t xml:space="preserve">, se envió por correo electrónico un requerimiento de información adicional al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 el cual consistió en lo siguiente:</w:t>
      </w:r>
    </w:p>
    <w:p w14:paraId="3B12FBA4"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lastRenderedPageBreak/>
        <w:drawing>
          <wp:inline distT="0" distB="0" distL="0" distR="0" wp14:anchorId="7842EF8B" wp14:editId="3AECA9DF">
            <wp:extent cx="5612130" cy="3211830"/>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612130" cy="3211830"/>
                    </a:xfrm>
                    <a:prstGeom prst="rect">
                      <a:avLst/>
                    </a:prstGeom>
                    <a:ln/>
                  </pic:spPr>
                </pic:pic>
              </a:graphicData>
            </a:graphic>
          </wp:inline>
        </w:drawing>
      </w:r>
    </w:p>
    <w:p w14:paraId="624C978C"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2F5EAEF3"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5E6A78FE"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Del cual,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otorgó respuesta en lo medular al requerimiento adicional de información de la siguiente forma: </w:t>
      </w:r>
    </w:p>
    <w:p w14:paraId="35B08483"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lastRenderedPageBreak/>
        <w:drawing>
          <wp:inline distT="0" distB="0" distL="0" distR="0" wp14:anchorId="243DABF3" wp14:editId="6CFA5E3E">
            <wp:extent cx="5612130" cy="5593080"/>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612130" cy="5593080"/>
                    </a:xfrm>
                    <a:prstGeom prst="rect">
                      <a:avLst/>
                    </a:prstGeom>
                    <a:ln/>
                  </pic:spPr>
                </pic:pic>
              </a:graphicData>
            </a:graphic>
          </wp:inline>
        </w:drawing>
      </w:r>
    </w:p>
    <w:p w14:paraId="0AD012DD"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9. CIERRE DE INSTRUCCIÓN. </w:t>
      </w:r>
      <w:r w:rsidRPr="00F507D3">
        <w:rPr>
          <w:rFonts w:ascii="Palatino Linotype" w:eastAsia="Palatino Linotype" w:hAnsi="Palatino Linotype" w:cs="Palatino Linotype"/>
          <w:sz w:val="24"/>
          <w:szCs w:val="24"/>
        </w:rPr>
        <w:t xml:space="preserve">El once de marzo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w:t>
      </w:r>
      <w:r w:rsidRPr="00F507D3">
        <w:rPr>
          <w:rFonts w:ascii="Palatino Linotype" w:eastAsia="Palatino Linotype" w:hAnsi="Palatino Linotype" w:cs="Palatino Linotype"/>
          <w:sz w:val="24"/>
          <w:szCs w:val="24"/>
        </w:rPr>
        <w:lastRenderedPageBreak/>
        <w:t>Información Pública del Estado de México y Municipios, iniciando el término legal para dictar resolución definitiva del asunto.</w:t>
      </w:r>
    </w:p>
    <w:p w14:paraId="6B705205"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F076A53"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A86CA31"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5007A40C" w14:textId="77777777" w:rsidR="00185F49" w:rsidRPr="00F507D3" w:rsidRDefault="00862F4A">
      <w:pPr>
        <w:widowControl w:val="0"/>
        <w:spacing w:after="0" w:line="360" w:lineRule="auto"/>
        <w:jc w:val="center"/>
        <w:rPr>
          <w:rFonts w:ascii="Palatino Linotype" w:eastAsia="Palatino Linotype" w:hAnsi="Palatino Linotype" w:cs="Palatino Linotype"/>
          <w:b/>
          <w:sz w:val="24"/>
          <w:szCs w:val="24"/>
        </w:rPr>
      </w:pPr>
      <w:r w:rsidRPr="00F507D3">
        <w:rPr>
          <w:rFonts w:ascii="Palatino Linotype" w:eastAsia="Palatino Linotype" w:hAnsi="Palatino Linotype" w:cs="Palatino Linotype"/>
          <w:b/>
          <w:sz w:val="24"/>
          <w:szCs w:val="24"/>
        </w:rPr>
        <w:t>C O N S I D E R A N D O S</w:t>
      </w:r>
    </w:p>
    <w:p w14:paraId="502D4FED" w14:textId="77777777" w:rsidR="00185F49" w:rsidRPr="00F507D3" w:rsidRDefault="00185F49">
      <w:pPr>
        <w:widowControl w:val="0"/>
        <w:spacing w:after="0" w:line="360" w:lineRule="auto"/>
        <w:jc w:val="center"/>
        <w:rPr>
          <w:rFonts w:ascii="Palatino Linotype" w:eastAsia="Palatino Linotype" w:hAnsi="Palatino Linotype" w:cs="Palatino Linotype"/>
          <w:b/>
          <w:sz w:val="24"/>
          <w:szCs w:val="24"/>
        </w:rPr>
      </w:pPr>
    </w:p>
    <w:p w14:paraId="756022B1"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PRIMERO. COMPETENCIA.</w:t>
      </w:r>
      <w:r w:rsidRPr="00F507D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41FDA37"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55031179"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lastRenderedPageBreak/>
        <w:t xml:space="preserve">SEGUNDO. OPORTUNIDAD Y PROCEDIBILIDAD DEL RECURSO DE REVISIÓN.  </w:t>
      </w:r>
      <w:r w:rsidRPr="00F507D3">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1C23036"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41C07EFA"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F507D3">
        <w:rPr>
          <w:rFonts w:ascii="Palatino Linotype" w:eastAsia="Palatino Linotype" w:hAnsi="Palatino Linotype" w:cs="Palatino Linotype"/>
          <w:b/>
          <w:sz w:val="24"/>
          <w:szCs w:val="24"/>
        </w:rPr>
        <w:t xml:space="preserve"> EL SUJETO OBLIGADO </w:t>
      </w:r>
      <w:r w:rsidRPr="00F507D3">
        <w:rPr>
          <w:rFonts w:ascii="Palatino Linotype" w:eastAsia="Palatino Linotype" w:hAnsi="Palatino Linotype" w:cs="Palatino Linotype"/>
          <w:sz w:val="24"/>
          <w:szCs w:val="24"/>
        </w:rPr>
        <w:t xml:space="preserve">emitió la respuesta, toda vez que esta fue pronunciada el día cinco de febrero del año dos mil veinticinco, mientras que </w:t>
      </w:r>
      <w:r w:rsidRPr="00F507D3">
        <w:rPr>
          <w:rFonts w:ascii="Palatino Linotype" w:eastAsia="Palatino Linotype" w:hAnsi="Palatino Linotype" w:cs="Palatino Linotype"/>
          <w:b/>
          <w:sz w:val="24"/>
          <w:szCs w:val="24"/>
        </w:rPr>
        <w:t>LA PARTE</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RECURRENTE</w:t>
      </w:r>
      <w:r w:rsidRPr="00F507D3">
        <w:rPr>
          <w:rFonts w:ascii="Palatino Linotype" w:eastAsia="Palatino Linotype" w:hAnsi="Palatino Linotype" w:cs="Palatino Linotype"/>
          <w:sz w:val="24"/>
          <w:szCs w:val="24"/>
        </w:rPr>
        <w:t xml:space="preserve"> interpuso el recurso de revisión en fecha seis de febrero de dos mil veinticinco, es decir, al siguiente día hábil de haber recibido la respuesta. </w:t>
      </w:r>
    </w:p>
    <w:p w14:paraId="10D4244D"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5814B88"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F507D3">
        <w:rPr>
          <w:rFonts w:ascii="Palatino Linotype" w:eastAsia="Palatino Linotype" w:hAnsi="Palatino Linotype" w:cs="Palatino Linotype"/>
          <w:b/>
          <w:sz w:val="24"/>
          <w:szCs w:val="24"/>
        </w:rPr>
        <w:t>LA PARTE</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RECURRENTE</w:t>
      </w:r>
      <w:r w:rsidRPr="00F507D3">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C3B64AB"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D91B9CE" w14:textId="77777777" w:rsidR="00185F49" w:rsidRPr="00F507D3" w:rsidRDefault="00862F4A">
      <w:pPr>
        <w:spacing w:after="0" w:line="276" w:lineRule="auto"/>
        <w:ind w:left="851" w:right="90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 xml:space="preserve">"Las solicitudes anónimas, con nombre incompleto o seudónimo serán procedentes para su trámite por parte del sujeto obligado ante quien se </w:t>
      </w:r>
      <w:r w:rsidRPr="00F507D3">
        <w:rPr>
          <w:rFonts w:ascii="Palatino Linotype" w:eastAsia="Palatino Linotype" w:hAnsi="Palatino Linotype" w:cs="Palatino Linotype"/>
          <w:b/>
          <w:i/>
        </w:rPr>
        <w:lastRenderedPageBreak/>
        <w:t>presente. No podrá requerirse información adicional con motivo del nombre proporcionado por el solicitante."</w:t>
      </w:r>
    </w:p>
    <w:p w14:paraId="6A91EAD3" w14:textId="77777777" w:rsidR="00185F49" w:rsidRPr="00F507D3" w:rsidRDefault="00185F49">
      <w:pPr>
        <w:spacing w:after="0" w:line="360" w:lineRule="auto"/>
        <w:ind w:left="851" w:right="902"/>
        <w:jc w:val="both"/>
        <w:rPr>
          <w:rFonts w:ascii="Palatino Linotype" w:eastAsia="Palatino Linotype" w:hAnsi="Palatino Linotype" w:cs="Palatino Linotype"/>
          <w:sz w:val="24"/>
          <w:szCs w:val="24"/>
        </w:rPr>
      </w:pPr>
    </w:p>
    <w:p w14:paraId="7AEA9C6E" w14:textId="77777777" w:rsidR="00185F49" w:rsidRPr="00F507D3" w:rsidRDefault="00862F4A">
      <w:pPr>
        <w:spacing w:after="0" w:line="360" w:lineRule="auto"/>
        <w:jc w:val="both"/>
        <w:rPr>
          <w:rFonts w:ascii="Palatino Linotype" w:eastAsia="Palatino Linotype" w:hAnsi="Palatino Linotype" w:cs="Palatino Linotype"/>
          <w:b/>
          <w:sz w:val="24"/>
          <w:szCs w:val="24"/>
        </w:rPr>
      </w:pPr>
      <w:r w:rsidRPr="00F507D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507D3">
        <w:rPr>
          <w:rFonts w:ascii="Palatino Linotype" w:eastAsia="Palatino Linotype" w:hAnsi="Palatino Linotype" w:cs="Palatino Linotype"/>
          <w:b/>
          <w:sz w:val="24"/>
          <w:szCs w:val="24"/>
        </w:rPr>
        <w:t xml:space="preserve">EL SAIMEX.  </w:t>
      </w:r>
    </w:p>
    <w:p w14:paraId="15802ADD"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0F92059" w14:textId="1CB2ED95" w:rsidR="00185F49" w:rsidRPr="00F507D3" w:rsidRDefault="00862F4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Finalmente, resulta procedente la interposición del recurso, según lo aducido por </w:t>
      </w:r>
      <w:r w:rsidRPr="00F507D3">
        <w:rPr>
          <w:rFonts w:ascii="Palatino Linotype" w:eastAsia="Palatino Linotype" w:hAnsi="Palatino Linotype" w:cs="Palatino Linotype"/>
          <w:b/>
          <w:sz w:val="24"/>
          <w:szCs w:val="24"/>
        </w:rPr>
        <w:t>LA PARTE RECURRENTE</w:t>
      </w:r>
      <w:r w:rsidRPr="00F507D3">
        <w:rPr>
          <w:rFonts w:ascii="Palatino Linotype" w:eastAsia="Palatino Linotype" w:hAnsi="Palatino Linotype" w:cs="Palatino Linotype"/>
          <w:sz w:val="24"/>
          <w:szCs w:val="24"/>
        </w:rPr>
        <w:t xml:space="preserve"> en sus razones o motivos de inconformidad, de acuerdo al artículo 179, fracción I </w:t>
      </w:r>
      <w:r w:rsidR="00A30A46" w:rsidRPr="00F507D3">
        <w:rPr>
          <w:rFonts w:ascii="Palatino Linotype" w:eastAsia="Palatino Linotype" w:hAnsi="Palatino Linotype" w:cs="Palatino Linotype"/>
          <w:sz w:val="24"/>
          <w:szCs w:val="24"/>
        </w:rPr>
        <w:t xml:space="preserve">y VIII </w:t>
      </w:r>
      <w:r w:rsidRPr="00F507D3">
        <w:rPr>
          <w:rFonts w:ascii="Palatino Linotype" w:eastAsia="Palatino Linotype" w:hAnsi="Palatino Linotype" w:cs="Palatino Linotype"/>
          <w:sz w:val="24"/>
          <w:szCs w:val="24"/>
        </w:rPr>
        <w:t>de la Ley de Transparencia y Acceso a la Información Pública del Estado de México y Municipios; que a la letra dice:</w:t>
      </w:r>
    </w:p>
    <w:p w14:paraId="205ADBCA" w14:textId="77777777" w:rsidR="00185F49" w:rsidRPr="00F507D3" w:rsidRDefault="00185F4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8AE85C2" w14:textId="77777777" w:rsidR="00185F49" w:rsidRPr="00F507D3" w:rsidRDefault="00862F4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507D3">
        <w:rPr>
          <w:rFonts w:ascii="Palatino Linotype" w:eastAsia="Palatino Linotype" w:hAnsi="Palatino Linotype" w:cs="Palatino Linotype"/>
          <w:b/>
          <w:i/>
        </w:rPr>
        <w:t>“Artículo 179</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rPr>
        <w:t>El recurso de revisión</w:t>
      </w:r>
      <w:r w:rsidRPr="00F507D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F507D3">
        <w:rPr>
          <w:rFonts w:ascii="Palatino Linotype" w:eastAsia="Palatino Linotype" w:hAnsi="Palatino Linotype" w:cs="Palatino Linotype"/>
          <w:b/>
          <w:i/>
        </w:rPr>
        <w:t>, y procederá en contra de las siguientes causas</w:t>
      </w:r>
      <w:r w:rsidRPr="00F507D3">
        <w:rPr>
          <w:rFonts w:ascii="Palatino Linotype" w:eastAsia="Palatino Linotype" w:hAnsi="Palatino Linotype" w:cs="Palatino Linotype"/>
          <w:i/>
        </w:rPr>
        <w:t>:</w:t>
      </w:r>
    </w:p>
    <w:p w14:paraId="78387F77" w14:textId="77777777" w:rsidR="00A30A46" w:rsidRPr="00F507D3" w:rsidRDefault="00862F4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507D3">
        <w:rPr>
          <w:rFonts w:ascii="Palatino Linotype" w:eastAsia="Palatino Linotype" w:hAnsi="Palatino Linotype" w:cs="Palatino Linotype"/>
          <w:i/>
        </w:rPr>
        <w:t>I. La negativa a la información solicitada;</w:t>
      </w:r>
    </w:p>
    <w:p w14:paraId="4947A8B6" w14:textId="21894BDA" w:rsidR="00A30A46" w:rsidRPr="00F507D3" w:rsidRDefault="00A30A4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3A4E5837" w14:textId="492FC93B" w:rsidR="00185F49" w:rsidRPr="00F507D3" w:rsidRDefault="00A30A46" w:rsidP="00A30A4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507D3">
        <w:rPr>
          <w:rFonts w:ascii="Palatino Linotype" w:eastAsia="Palatino Linotype" w:hAnsi="Palatino Linotype" w:cs="Palatino Linotype"/>
          <w:i/>
        </w:rPr>
        <w:t>VIII. La notificación, entrega o puesta a disposición de información en una modalidad o formato distinto al solicitado;</w:t>
      </w:r>
      <w:r w:rsidR="00862F4A" w:rsidRPr="00F507D3">
        <w:rPr>
          <w:rFonts w:ascii="Palatino Linotype" w:eastAsia="Palatino Linotype" w:hAnsi="Palatino Linotype" w:cs="Palatino Linotype"/>
          <w:i/>
        </w:rPr>
        <w:t>”</w:t>
      </w:r>
    </w:p>
    <w:p w14:paraId="098E72AC" w14:textId="77777777" w:rsidR="0019050E" w:rsidRPr="00F507D3" w:rsidRDefault="0019050E">
      <w:pPr>
        <w:spacing w:after="0" w:line="360" w:lineRule="auto"/>
        <w:jc w:val="both"/>
        <w:rPr>
          <w:rFonts w:ascii="Palatino Linotype" w:eastAsia="Palatino Linotype" w:hAnsi="Palatino Linotype" w:cs="Palatino Linotype"/>
          <w:b/>
          <w:sz w:val="24"/>
          <w:szCs w:val="24"/>
        </w:rPr>
      </w:pPr>
    </w:p>
    <w:p w14:paraId="59B4FD38" w14:textId="2E659193"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TERCERO. MATERIA DE LA REVISIÓN. </w:t>
      </w:r>
      <w:r w:rsidRPr="00F507D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F507D3">
        <w:rPr>
          <w:rFonts w:ascii="Palatino Linotype" w:eastAsia="Palatino Linotype" w:hAnsi="Palatino Linotype" w:cs="Palatino Linotype"/>
          <w:b/>
          <w:sz w:val="24"/>
          <w:szCs w:val="24"/>
        </w:rPr>
        <w:t>EL</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sz w:val="24"/>
          <w:szCs w:val="24"/>
        </w:rPr>
        <w:lastRenderedPageBreak/>
        <w:t xml:space="preserve">satisface el derecho de acceso a la información pública de </w:t>
      </w:r>
      <w:r w:rsidRPr="00F507D3">
        <w:rPr>
          <w:rFonts w:ascii="Palatino Linotype" w:eastAsia="Palatino Linotype" w:hAnsi="Palatino Linotype" w:cs="Palatino Linotype"/>
          <w:b/>
          <w:sz w:val="24"/>
          <w:szCs w:val="24"/>
        </w:rPr>
        <w:t>LA PARTE</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RECURRENTE</w:t>
      </w:r>
      <w:r w:rsidRPr="00F507D3">
        <w:rPr>
          <w:rFonts w:ascii="Palatino Linotype" w:eastAsia="Palatino Linotype" w:hAnsi="Palatino Linotype" w:cs="Palatino Linotype"/>
          <w:sz w:val="24"/>
          <w:szCs w:val="24"/>
        </w:rPr>
        <w:t>, o en su defecto, en caso de ser procedente, ordenar la entrega de información.</w:t>
      </w:r>
    </w:p>
    <w:p w14:paraId="0F632EFB"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B0DFA4B"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 xml:space="preserve">CUARTO. ESTUDIO Y RESOLUCIÓN DEL ASUNTO.  </w:t>
      </w:r>
      <w:r w:rsidRPr="00F507D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2480869"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0774CAE" w14:textId="77777777" w:rsidR="00185F49" w:rsidRPr="00F507D3" w:rsidRDefault="00862F4A">
      <w:pPr>
        <w:tabs>
          <w:tab w:val="left" w:pos="709"/>
        </w:tabs>
        <w:spacing w:after="0" w:line="276" w:lineRule="auto"/>
        <w:ind w:left="851" w:right="850"/>
        <w:jc w:val="both"/>
        <w:rPr>
          <w:rFonts w:ascii="Palatino Linotype" w:eastAsia="Palatino Linotype" w:hAnsi="Palatino Linotype" w:cs="Palatino Linotype"/>
          <w:i/>
        </w:rPr>
      </w:pPr>
      <w:r w:rsidRPr="00F507D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F507D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BC59351" w14:textId="77777777" w:rsidR="00185F49" w:rsidRPr="00F507D3" w:rsidRDefault="00862F4A">
      <w:pPr>
        <w:tabs>
          <w:tab w:val="left" w:pos="709"/>
        </w:tabs>
        <w:spacing w:after="0" w:line="276" w:lineRule="auto"/>
        <w:ind w:left="851" w:right="850"/>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5B157AD" w14:textId="77777777" w:rsidR="00185F49" w:rsidRPr="00F507D3" w:rsidRDefault="00862F4A">
      <w:pPr>
        <w:tabs>
          <w:tab w:val="left" w:pos="709"/>
        </w:tabs>
        <w:spacing w:after="0" w:line="276" w:lineRule="auto"/>
        <w:ind w:left="851" w:right="850"/>
        <w:jc w:val="both"/>
        <w:rPr>
          <w:rFonts w:ascii="Palatino Linotype" w:eastAsia="Palatino Linotype" w:hAnsi="Palatino Linotype" w:cs="Palatino Linotype"/>
          <w:i/>
        </w:rPr>
      </w:pPr>
      <w:r w:rsidRPr="00F507D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507D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F7D6C1B" w14:textId="77777777" w:rsidR="00185F49" w:rsidRPr="00F507D3" w:rsidRDefault="00862F4A">
      <w:pPr>
        <w:tabs>
          <w:tab w:val="left" w:pos="709"/>
        </w:tabs>
        <w:spacing w:after="0" w:line="276" w:lineRule="auto"/>
        <w:ind w:left="851" w:right="850"/>
        <w:jc w:val="both"/>
        <w:rPr>
          <w:rFonts w:ascii="Palatino Linotype" w:eastAsia="Palatino Linotype" w:hAnsi="Palatino Linotype" w:cs="Palatino Linotype"/>
          <w:i/>
        </w:rPr>
      </w:pPr>
      <w:r w:rsidRPr="00F507D3">
        <w:rPr>
          <w:rFonts w:ascii="Palatino Linotype" w:eastAsia="Palatino Linotype" w:hAnsi="Palatino Linotype" w:cs="Palatino Linotype"/>
          <w:i/>
        </w:rPr>
        <w:lastRenderedPageBreak/>
        <w:t>[…]</w:t>
      </w:r>
    </w:p>
    <w:p w14:paraId="59A8FCA2"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b/>
          <w:i/>
        </w:rPr>
        <w:t>“</w:t>
      </w:r>
      <w:r w:rsidRPr="00F507D3">
        <w:rPr>
          <w:rFonts w:ascii="Palatino Linotype" w:eastAsia="Palatino Linotype" w:hAnsi="Palatino Linotype" w:cs="Palatino Linotype"/>
          <w:i/>
        </w:rPr>
        <w:t>Artículo 6o.</w:t>
      </w:r>
    </w:p>
    <w:p w14:paraId="42F0AEDD"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26713039"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5F53CFAD"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52F8F0"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6324E7E7"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19E16528"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6F27A02"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4F3F8DB2"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V. Los sujetos obligados deberán preservar sus documentos en archivos administrativos actualizados y publicarán, a través de los medios electrónicos disponibles, la información completa y actualizada sobre el ejercicio de los </w:t>
      </w:r>
      <w:r w:rsidRPr="00F507D3">
        <w:rPr>
          <w:rFonts w:ascii="Palatino Linotype" w:eastAsia="Palatino Linotype" w:hAnsi="Palatino Linotype" w:cs="Palatino Linotype"/>
          <w:i/>
        </w:rPr>
        <w:lastRenderedPageBreak/>
        <w:t>recursos públicos y los indicadores que permitan rendir cuenta del cumplimiento de sus objetivos y de los resultados obtenidos.</w:t>
      </w:r>
    </w:p>
    <w:p w14:paraId="542BBFF4"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2D6FC8C3"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3475A181"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1FC1A257"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los sujetos obligados.</w:t>
      </w:r>
    </w:p>
    <w:p w14:paraId="627D9A3A" w14:textId="77777777" w:rsidR="00185F49" w:rsidRPr="00F507D3" w:rsidRDefault="00185F49">
      <w:pPr>
        <w:spacing w:after="0" w:line="276" w:lineRule="auto"/>
        <w:ind w:left="851" w:right="901"/>
        <w:jc w:val="both"/>
        <w:rPr>
          <w:rFonts w:ascii="Palatino Linotype" w:eastAsia="Palatino Linotype" w:hAnsi="Palatino Linotype" w:cs="Palatino Linotype"/>
          <w:i/>
        </w:rPr>
      </w:pPr>
    </w:p>
    <w:p w14:paraId="07928CDF"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1C330CC6" w14:textId="77777777" w:rsidR="00185F49" w:rsidRPr="00F507D3" w:rsidRDefault="00185F49">
      <w:pPr>
        <w:spacing w:after="0" w:line="276" w:lineRule="auto"/>
        <w:ind w:left="851" w:right="901"/>
        <w:jc w:val="both"/>
        <w:rPr>
          <w:rFonts w:ascii="Palatino Linotype" w:eastAsia="Palatino Linotype" w:hAnsi="Palatino Linotype" w:cs="Palatino Linotype"/>
          <w:i/>
        </w:rPr>
      </w:pPr>
    </w:p>
    <w:p w14:paraId="6D7DBF86" w14:textId="77777777" w:rsidR="00185F49" w:rsidRPr="00F507D3" w:rsidRDefault="00862F4A">
      <w:pPr>
        <w:spacing w:after="0" w:line="276" w:lineRule="auto"/>
        <w:ind w:left="851" w:right="901"/>
        <w:jc w:val="both"/>
        <w:rPr>
          <w:rFonts w:ascii="Palatino Linotype" w:eastAsia="Palatino Linotype" w:hAnsi="Palatino Linotype" w:cs="Palatino Linotype"/>
          <w:i/>
        </w:rPr>
      </w:pPr>
      <w:r w:rsidRPr="00F507D3">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0C296F58" w14:textId="77777777" w:rsidR="00185F49" w:rsidRPr="00F507D3" w:rsidRDefault="00185F49">
      <w:pPr>
        <w:spacing w:after="0" w:line="276" w:lineRule="auto"/>
        <w:ind w:left="851" w:right="851"/>
        <w:jc w:val="both"/>
        <w:rPr>
          <w:rFonts w:ascii="Palatino Linotype" w:eastAsia="Palatino Linotype" w:hAnsi="Palatino Linotype" w:cs="Palatino Linotype"/>
          <w:i/>
          <w:sz w:val="24"/>
          <w:szCs w:val="24"/>
        </w:rPr>
      </w:pPr>
    </w:p>
    <w:p w14:paraId="2CA13998" w14:textId="77777777" w:rsidR="00185F49" w:rsidRPr="00F507D3" w:rsidRDefault="00862F4A">
      <w:pPr>
        <w:tabs>
          <w:tab w:val="left" w:pos="709"/>
        </w:tabs>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F507D3">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402B3FA8" w14:textId="77777777" w:rsidR="00185F49" w:rsidRPr="00F507D3" w:rsidRDefault="00185F49">
      <w:pPr>
        <w:tabs>
          <w:tab w:val="left" w:pos="709"/>
        </w:tabs>
        <w:spacing w:after="0" w:line="360" w:lineRule="auto"/>
        <w:jc w:val="both"/>
        <w:rPr>
          <w:rFonts w:ascii="Palatino Linotype" w:eastAsia="Palatino Linotype" w:hAnsi="Palatino Linotype" w:cs="Palatino Linotype"/>
          <w:sz w:val="24"/>
          <w:szCs w:val="24"/>
        </w:rPr>
      </w:pPr>
    </w:p>
    <w:p w14:paraId="5635D5CA" w14:textId="77777777" w:rsidR="00185F49" w:rsidRPr="00F507D3" w:rsidRDefault="00862F4A">
      <w:pPr>
        <w:tabs>
          <w:tab w:val="left" w:pos="709"/>
        </w:tabs>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En primer lugar, es conveniente analizar si la respuesta del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578457" w14:textId="77777777" w:rsidR="00185F49" w:rsidRPr="00F507D3" w:rsidRDefault="00185F49">
      <w:pPr>
        <w:tabs>
          <w:tab w:val="left" w:pos="709"/>
        </w:tabs>
        <w:spacing w:after="0" w:line="360" w:lineRule="auto"/>
        <w:jc w:val="both"/>
        <w:rPr>
          <w:rFonts w:ascii="Palatino Linotype" w:eastAsia="Palatino Linotype" w:hAnsi="Palatino Linotype" w:cs="Palatino Linotype"/>
          <w:sz w:val="24"/>
          <w:szCs w:val="24"/>
        </w:rPr>
      </w:pPr>
    </w:p>
    <w:p w14:paraId="3A7CF544" w14:textId="77777777" w:rsidR="00185F49" w:rsidRPr="00F507D3" w:rsidRDefault="00862F4A">
      <w:pPr>
        <w:spacing w:after="0" w:line="276" w:lineRule="auto"/>
        <w:ind w:left="709" w:right="760"/>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r w:rsidRPr="00F507D3">
        <w:rPr>
          <w:rFonts w:ascii="Palatino Linotype" w:eastAsia="Palatino Linotype" w:hAnsi="Palatino Linotype" w:cs="Palatino Linotype"/>
          <w:b/>
          <w:i/>
        </w:rPr>
        <w:t>Artículo 4.</w:t>
      </w:r>
      <w:r w:rsidRPr="00F507D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6DA0E9D" w14:textId="77777777" w:rsidR="00185F49" w:rsidRPr="00F507D3" w:rsidRDefault="00862F4A">
      <w:pPr>
        <w:spacing w:after="0" w:line="276" w:lineRule="auto"/>
        <w:ind w:left="709" w:right="760"/>
        <w:jc w:val="both"/>
        <w:rPr>
          <w:rFonts w:ascii="Palatino Linotype" w:eastAsia="Palatino Linotype" w:hAnsi="Palatino Linotype" w:cs="Palatino Linotype"/>
          <w:i/>
        </w:rPr>
      </w:pPr>
      <w:r w:rsidRPr="00F507D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507D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66F7FDD" w14:textId="77777777" w:rsidR="00185F49" w:rsidRPr="00F507D3" w:rsidRDefault="00185F49">
      <w:pPr>
        <w:spacing w:after="0" w:line="276" w:lineRule="auto"/>
        <w:ind w:left="709" w:right="760"/>
        <w:jc w:val="both"/>
        <w:rPr>
          <w:rFonts w:ascii="Palatino Linotype" w:eastAsia="Palatino Linotype" w:hAnsi="Palatino Linotype" w:cs="Palatino Linotype"/>
          <w:i/>
        </w:rPr>
      </w:pPr>
    </w:p>
    <w:p w14:paraId="0E893188" w14:textId="77777777" w:rsidR="00185F49" w:rsidRPr="00F507D3" w:rsidRDefault="00862F4A">
      <w:pPr>
        <w:spacing w:after="0" w:line="276" w:lineRule="auto"/>
        <w:ind w:left="709" w:right="760"/>
        <w:jc w:val="both"/>
        <w:rPr>
          <w:rFonts w:ascii="Palatino Linotype" w:eastAsia="Palatino Linotype" w:hAnsi="Palatino Linotype" w:cs="Palatino Linotype"/>
          <w:i/>
        </w:rPr>
      </w:pPr>
      <w:r w:rsidRPr="00F507D3">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F507D3">
        <w:rPr>
          <w:rFonts w:ascii="Palatino Linotype" w:eastAsia="Palatino Linotype" w:hAnsi="Palatino Linotype" w:cs="Palatino Linotype"/>
          <w:i/>
        </w:rPr>
        <w:t>.”</w:t>
      </w:r>
    </w:p>
    <w:p w14:paraId="403DE5A1" w14:textId="77777777" w:rsidR="00185F49" w:rsidRPr="00F507D3" w:rsidRDefault="00185F49">
      <w:pPr>
        <w:spacing w:after="0" w:line="360" w:lineRule="auto"/>
        <w:ind w:left="709" w:right="760"/>
        <w:jc w:val="both"/>
        <w:rPr>
          <w:rFonts w:ascii="Palatino Linotype" w:eastAsia="Palatino Linotype" w:hAnsi="Palatino Linotype" w:cs="Palatino Linotype"/>
          <w:sz w:val="24"/>
          <w:szCs w:val="24"/>
        </w:rPr>
      </w:pPr>
    </w:p>
    <w:p w14:paraId="219F264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18D6FD9"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5A08DF27" w14:textId="77777777" w:rsidR="00185F49" w:rsidRPr="00F507D3" w:rsidRDefault="00862F4A">
      <w:pPr>
        <w:spacing w:after="0" w:line="276" w:lineRule="auto"/>
        <w:ind w:left="567" w:right="760"/>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r w:rsidRPr="00F507D3">
        <w:rPr>
          <w:rFonts w:ascii="Palatino Linotype" w:eastAsia="Palatino Linotype" w:hAnsi="Palatino Linotype" w:cs="Palatino Linotype"/>
          <w:b/>
          <w:i/>
        </w:rPr>
        <w:t>Artículo 12.-</w:t>
      </w:r>
      <w:r w:rsidRPr="00F507D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165B6CF" w14:textId="77777777" w:rsidR="00185F49" w:rsidRPr="00F507D3" w:rsidRDefault="00185F49">
      <w:pPr>
        <w:spacing w:after="0" w:line="276" w:lineRule="auto"/>
        <w:ind w:left="567" w:right="760"/>
        <w:jc w:val="both"/>
        <w:rPr>
          <w:rFonts w:ascii="Palatino Linotype" w:eastAsia="Palatino Linotype" w:hAnsi="Palatino Linotype" w:cs="Palatino Linotype"/>
          <w:i/>
        </w:rPr>
      </w:pPr>
    </w:p>
    <w:p w14:paraId="5622DC4B" w14:textId="77777777" w:rsidR="00185F49" w:rsidRPr="00F507D3" w:rsidRDefault="00862F4A">
      <w:pPr>
        <w:spacing w:after="0" w:line="276" w:lineRule="auto"/>
        <w:ind w:left="567" w:right="760"/>
        <w:jc w:val="both"/>
        <w:rPr>
          <w:rFonts w:ascii="Palatino Linotype" w:eastAsia="Palatino Linotype" w:hAnsi="Palatino Linotype" w:cs="Palatino Linotype"/>
          <w:i/>
        </w:rPr>
      </w:pPr>
      <w:r w:rsidRPr="00F507D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26A12D3"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0A60D982"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F507D3">
        <w:rPr>
          <w:rFonts w:ascii="Palatino Linotype" w:eastAsia="Palatino Linotype" w:hAnsi="Palatino Linotype" w:cs="Palatino Linotype"/>
          <w:sz w:val="24"/>
          <w:szCs w:val="24"/>
        </w:rPr>
        <w:lastRenderedPageBreak/>
        <w:t>que es deber de los Sujetos Obligados, garantizar el Derecho de Acceso a la Información Pública.</w:t>
      </w:r>
      <w:r w:rsidRPr="00F507D3">
        <w:rPr>
          <w:rFonts w:ascii="Palatino Linotype" w:eastAsia="Palatino Linotype" w:hAnsi="Palatino Linotype" w:cs="Palatino Linotype"/>
          <w:strike/>
          <w:sz w:val="24"/>
          <w:szCs w:val="24"/>
        </w:rPr>
        <w:t xml:space="preserve"> </w:t>
      </w:r>
    </w:p>
    <w:p w14:paraId="40851430"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C64459C"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CF5926"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569BDAB9"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422D5D5"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7721210"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“Artículo 18.</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F507D3">
        <w:rPr>
          <w:rFonts w:ascii="Palatino Linotype" w:eastAsia="Palatino Linotype" w:hAnsi="Palatino Linotype" w:cs="Palatino Linotype"/>
          <w:i/>
        </w:rPr>
        <w:t xml:space="preserve"> y reutilización de la información que generen.</w:t>
      </w:r>
    </w:p>
    <w:p w14:paraId="2E2BC6CE"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 xml:space="preserve">Artículo 19. </w:t>
      </w:r>
      <w:r w:rsidRPr="00F507D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F507D3">
        <w:rPr>
          <w:rFonts w:ascii="Palatino Linotype" w:eastAsia="Palatino Linotype" w:hAnsi="Palatino Linotype" w:cs="Palatino Linotype"/>
          <w:i/>
        </w:rPr>
        <w:t>.</w:t>
      </w:r>
    </w:p>
    <w:p w14:paraId="6076A241"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23B7426"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F507D3">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66CFC9CA" w14:textId="77777777" w:rsidR="0019050E" w:rsidRPr="00F507D3" w:rsidRDefault="0019050E">
      <w:pPr>
        <w:spacing w:after="0" w:line="360" w:lineRule="auto"/>
        <w:jc w:val="both"/>
        <w:rPr>
          <w:rFonts w:ascii="Palatino Linotype" w:eastAsia="Palatino Linotype" w:hAnsi="Palatino Linotype" w:cs="Palatino Linotype"/>
          <w:sz w:val="24"/>
          <w:szCs w:val="24"/>
        </w:rPr>
      </w:pPr>
    </w:p>
    <w:p w14:paraId="7DE3BC27" w14:textId="38D1E1CA"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4B62905"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B505A3D"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4A2C38E"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0334FFEC"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r w:rsidRPr="00F507D3">
        <w:rPr>
          <w:rFonts w:ascii="Palatino Linotype" w:eastAsia="Palatino Linotype" w:hAnsi="Palatino Linotype" w:cs="Palatino Linotype"/>
          <w:b/>
          <w:i/>
        </w:rPr>
        <w:t xml:space="preserve">Artículo 3. </w:t>
      </w:r>
      <w:r w:rsidRPr="00F507D3">
        <w:rPr>
          <w:rFonts w:ascii="Palatino Linotype" w:eastAsia="Palatino Linotype" w:hAnsi="Palatino Linotype" w:cs="Palatino Linotype"/>
          <w:i/>
        </w:rPr>
        <w:t>Para los efectos de la presente Ley se entenderá por:</w:t>
      </w:r>
    </w:p>
    <w:p w14:paraId="234AB257"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lastRenderedPageBreak/>
        <w:t>…</w:t>
      </w:r>
    </w:p>
    <w:p w14:paraId="03A87087"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b/>
          <w:i/>
        </w:rPr>
        <w:t>XI. Documento:</w:t>
      </w:r>
      <w:r w:rsidRPr="00F507D3">
        <w:rPr>
          <w:rFonts w:ascii="Palatino Linotype" w:eastAsia="Palatino Linotype" w:hAnsi="Palatino Linotype" w:cs="Palatino Linotype"/>
          <w:i/>
        </w:rPr>
        <w:t xml:space="preserve"> Los expedientes, reportes, estudios, actas</w:t>
      </w:r>
      <w:r w:rsidRPr="00F507D3">
        <w:rPr>
          <w:rFonts w:ascii="Palatino Linotype" w:eastAsia="Palatino Linotype" w:hAnsi="Palatino Linotype" w:cs="Palatino Linotype"/>
          <w:b/>
          <w:i/>
        </w:rPr>
        <w:t>,</w:t>
      </w:r>
      <w:r w:rsidRPr="00F507D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FF1A902" w14:textId="77777777" w:rsidR="00185F49" w:rsidRPr="00F507D3" w:rsidRDefault="00185F49">
      <w:pPr>
        <w:spacing w:after="0" w:line="360" w:lineRule="auto"/>
        <w:ind w:left="851" w:right="899"/>
        <w:jc w:val="both"/>
        <w:rPr>
          <w:rFonts w:ascii="Palatino Linotype" w:eastAsia="Palatino Linotype" w:hAnsi="Palatino Linotype" w:cs="Palatino Linotype"/>
          <w:sz w:val="24"/>
          <w:szCs w:val="24"/>
        </w:rPr>
      </w:pPr>
    </w:p>
    <w:p w14:paraId="24ED93E2"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94F1D24"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B1DD853" w14:textId="77777777" w:rsidR="00185F49" w:rsidRPr="00F507D3" w:rsidRDefault="00862F4A">
      <w:pPr>
        <w:spacing w:after="0" w:line="276" w:lineRule="auto"/>
        <w:ind w:left="851" w:right="902"/>
        <w:jc w:val="both"/>
        <w:rPr>
          <w:rFonts w:ascii="Palatino Linotype" w:eastAsia="Palatino Linotype" w:hAnsi="Palatino Linotype" w:cs="Palatino Linotype"/>
          <w:b/>
          <w:i/>
        </w:rPr>
      </w:pPr>
      <w:r w:rsidRPr="00F507D3">
        <w:rPr>
          <w:rFonts w:ascii="Palatino Linotype" w:eastAsia="Palatino Linotype" w:hAnsi="Palatino Linotype" w:cs="Palatino Linotype"/>
          <w:b/>
        </w:rPr>
        <w:t>“</w:t>
      </w:r>
      <w:r w:rsidRPr="00F507D3">
        <w:rPr>
          <w:rFonts w:ascii="Palatino Linotype" w:eastAsia="Palatino Linotype" w:hAnsi="Palatino Linotype" w:cs="Palatino Linotype"/>
          <w:b/>
          <w:i/>
        </w:rPr>
        <w:t>CRITERIO 0002-11</w:t>
      </w:r>
    </w:p>
    <w:p w14:paraId="4300D7B9"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507D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609985"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En consecuencia el acceso a la información se refiere a que se cumplan cualquiera de los siguientes tres supuestos:</w:t>
      </w:r>
    </w:p>
    <w:p w14:paraId="1EEE3778"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3D2BA41"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36402A47"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6A2B764" w14:textId="77777777" w:rsidR="00185F49" w:rsidRPr="00F507D3" w:rsidRDefault="00185F49">
      <w:pPr>
        <w:spacing w:after="0" w:line="276" w:lineRule="auto"/>
        <w:ind w:left="851" w:right="902"/>
        <w:jc w:val="both"/>
        <w:rPr>
          <w:rFonts w:ascii="Palatino Linotype" w:eastAsia="Palatino Linotype" w:hAnsi="Palatino Linotype" w:cs="Palatino Linotype"/>
          <w:sz w:val="24"/>
          <w:szCs w:val="24"/>
        </w:rPr>
      </w:pPr>
    </w:p>
    <w:p w14:paraId="3B6249C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De ahí que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507D3">
        <w:rPr>
          <w:rFonts w:ascii="Palatino Linotype" w:eastAsia="Palatino Linotype" w:hAnsi="Palatino Linotype" w:cs="Palatino Linotype"/>
          <w:sz w:val="24"/>
          <w:szCs w:val="24"/>
          <w:vertAlign w:val="superscript"/>
        </w:rPr>
        <w:footnoteReference w:id="1"/>
      </w:r>
      <w:r w:rsidRPr="00F507D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507D3">
        <w:rPr>
          <w:rFonts w:ascii="Palatino Linotype" w:eastAsia="Palatino Linotype" w:hAnsi="Palatino Linotype" w:cs="Palatino Linotype"/>
          <w:sz w:val="24"/>
          <w:szCs w:val="24"/>
          <w:vertAlign w:val="superscript"/>
        </w:rPr>
        <w:footnoteReference w:id="2"/>
      </w:r>
      <w:r w:rsidRPr="00F507D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4B41D19"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CCD1376" w14:textId="77777777" w:rsidR="00185F49" w:rsidRPr="00F507D3" w:rsidRDefault="00862F4A">
      <w:pPr>
        <w:spacing w:after="24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103"/>
        <w:gridCol w:w="1276"/>
      </w:tblGrid>
      <w:tr w:rsidR="00F507D3" w:rsidRPr="00F507D3" w14:paraId="017D3B8D" w14:textId="77777777">
        <w:tc>
          <w:tcPr>
            <w:tcW w:w="2405" w:type="dxa"/>
            <w:shd w:val="clear" w:color="auto" w:fill="AEAAAA"/>
          </w:tcPr>
          <w:p w14:paraId="5CED9645"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b/>
                <w:sz w:val="20"/>
                <w:szCs w:val="20"/>
              </w:rPr>
              <w:t>Solicitud</w:t>
            </w:r>
            <w:r w:rsidRPr="00F507D3">
              <w:rPr>
                <w:rFonts w:ascii="Palatino Linotype" w:eastAsia="Palatino Linotype" w:hAnsi="Palatino Linotype" w:cs="Palatino Linotype"/>
                <w:sz w:val="20"/>
                <w:szCs w:val="20"/>
              </w:rPr>
              <w:t xml:space="preserve"> </w:t>
            </w:r>
          </w:p>
        </w:tc>
        <w:tc>
          <w:tcPr>
            <w:tcW w:w="5103" w:type="dxa"/>
            <w:shd w:val="clear" w:color="auto" w:fill="AEAAAA"/>
          </w:tcPr>
          <w:p w14:paraId="21AACE14" w14:textId="77777777" w:rsidR="00185F49" w:rsidRPr="00F507D3" w:rsidRDefault="00862F4A">
            <w:pPr>
              <w:spacing w:before="240" w:after="240" w:line="360" w:lineRule="auto"/>
              <w:jc w:val="center"/>
              <w:rPr>
                <w:rFonts w:ascii="Palatino Linotype" w:eastAsia="Palatino Linotype" w:hAnsi="Palatino Linotype" w:cs="Palatino Linotype"/>
                <w:b/>
                <w:sz w:val="20"/>
                <w:szCs w:val="20"/>
              </w:rPr>
            </w:pPr>
            <w:r w:rsidRPr="00F507D3">
              <w:rPr>
                <w:rFonts w:ascii="Palatino Linotype" w:eastAsia="Palatino Linotype" w:hAnsi="Palatino Linotype" w:cs="Palatino Linotype"/>
                <w:b/>
                <w:sz w:val="20"/>
                <w:szCs w:val="20"/>
              </w:rPr>
              <w:t>Respuesta</w:t>
            </w:r>
          </w:p>
        </w:tc>
        <w:tc>
          <w:tcPr>
            <w:tcW w:w="1276" w:type="dxa"/>
            <w:shd w:val="clear" w:color="auto" w:fill="AEAAAA"/>
          </w:tcPr>
          <w:p w14:paraId="30B09628" w14:textId="77777777" w:rsidR="00185F49" w:rsidRPr="00F507D3" w:rsidRDefault="00862F4A">
            <w:pPr>
              <w:spacing w:before="240" w:after="240" w:line="360" w:lineRule="auto"/>
              <w:jc w:val="center"/>
              <w:rPr>
                <w:rFonts w:ascii="Palatino Linotype" w:eastAsia="Palatino Linotype" w:hAnsi="Palatino Linotype" w:cs="Palatino Linotype"/>
                <w:b/>
                <w:sz w:val="20"/>
                <w:szCs w:val="20"/>
              </w:rPr>
            </w:pPr>
            <w:r w:rsidRPr="00F507D3">
              <w:rPr>
                <w:rFonts w:ascii="Palatino Linotype" w:eastAsia="Palatino Linotype" w:hAnsi="Palatino Linotype" w:cs="Palatino Linotype"/>
                <w:b/>
                <w:sz w:val="20"/>
                <w:szCs w:val="20"/>
              </w:rPr>
              <w:t>Informe Justificado</w:t>
            </w:r>
          </w:p>
        </w:tc>
      </w:tr>
      <w:tr w:rsidR="00185F49" w:rsidRPr="00F507D3" w14:paraId="2E27FC3C" w14:textId="77777777">
        <w:tc>
          <w:tcPr>
            <w:tcW w:w="2405" w:type="dxa"/>
            <w:shd w:val="clear" w:color="auto" w:fill="auto"/>
          </w:tcPr>
          <w:p w14:paraId="3C623A7C"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1. Número de denuncias y quejas recibidas del 01 de septiembre al 15 de diciembre de 2024. </w:t>
            </w:r>
          </w:p>
          <w:p w14:paraId="1F6A6B9C"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2. Del numeral anterior indique el medio por el cual fueron recibidas dichas quejas y/o denuncias. </w:t>
            </w:r>
          </w:p>
          <w:p w14:paraId="50AF0654"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3. De los numerales anteriores remita la versión pública de los oficios emitidos a fin de atender dichas denuncias. </w:t>
            </w:r>
          </w:p>
          <w:p w14:paraId="6592A95E"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4. Indique cuales fueron las acciones a fin de atender las denuncias en mérito. </w:t>
            </w:r>
          </w:p>
          <w:p w14:paraId="467867B8"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5. Indique el estatus procesal de las denuncias recibidas del </w:t>
            </w:r>
            <w:r w:rsidRPr="00F507D3">
              <w:rPr>
                <w:rFonts w:ascii="Palatino Linotype" w:eastAsia="Palatino Linotype" w:hAnsi="Palatino Linotype" w:cs="Palatino Linotype"/>
                <w:sz w:val="20"/>
                <w:szCs w:val="20"/>
              </w:rPr>
              <w:lastRenderedPageBreak/>
              <w:t xml:space="preserve">01 de septiembre al 15 de diciembre de 2024. </w:t>
            </w:r>
          </w:p>
          <w:p w14:paraId="142FDF41" w14:textId="77777777" w:rsidR="00185F49" w:rsidRPr="00F507D3" w:rsidRDefault="00862F4A">
            <w:pPr>
              <w:spacing w:before="240" w:after="240" w:line="276"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6. Versión pública de los acuerdos de cierre; remisión y análisis de las denuncias y quejas turnadas a la dirección de responsabilidades del 01 de septiembre al 15 de diciembre del 2024.</w:t>
            </w:r>
          </w:p>
        </w:tc>
        <w:tc>
          <w:tcPr>
            <w:tcW w:w="5103" w:type="dxa"/>
            <w:shd w:val="clear" w:color="auto" w:fill="auto"/>
          </w:tcPr>
          <w:p w14:paraId="0B947930"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lastRenderedPageBreak/>
              <w:t>La Dirección de Investigación y Supervisión señalo que la información requerida es parte de los expedientes y se encuentra glosada en cada uno de los legajos que los componen, por lo que la información tendría que pasar por un conjunto de actividades para procesarla como son búsqueda y extracción de la documentación de expedientes, la digitalización, la reproducción en formato compatible con medio magnético y el análisis e identificación de información confidencial o reservada, así como testado y generación de versiones públicas, siendo que la información excede la capacidad máxima de carga dentro del SAIMEX, poniendo a disposición lo siguiente:</w:t>
            </w:r>
          </w:p>
          <w:p w14:paraId="59F9DF3B"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1. Número de denuncias y quejas recibidas del primero de septiembre al 15 de diciembre de 2024.</w:t>
            </w:r>
          </w:p>
          <w:p w14:paraId="61F5CE7F"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2. el medio de atender dichas denuncias. </w:t>
            </w:r>
          </w:p>
          <w:p w14:paraId="2DFFC5D7"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3. Oficios emitidos a fin de atender las denuncias. </w:t>
            </w:r>
          </w:p>
          <w:p w14:paraId="48558B91"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lastRenderedPageBreak/>
              <w:t>4. Acciones a fin de atender las denuncias en mérito.</w:t>
            </w:r>
          </w:p>
          <w:p w14:paraId="14D817F0"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5. El estatus procesal de las denuncias recibidas del 01 de septiembre al 15 de diciembre de 2024.</w:t>
            </w:r>
          </w:p>
          <w:p w14:paraId="411B18FF"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6. Acuerdos de cierre.</w:t>
            </w:r>
          </w:p>
          <w:p w14:paraId="479ABB10"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t xml:space="preserve">Por lo que podrá hacer la consulta directa de manera calendarizada  programando cada jueves del mes de febrero del año en curso, señalando la ubicación y el horario para </w:t>
            </w:r>
            <w:r w:rsidRPr="00F507D3">
              <w:rPr>
                <w:rFonts w:ascii="Palatino Linotype" w:eastAsia="Palatino Linotype" w:hAnsi="Palatino Linotype" w:cs="Palatino Linotype"/>
                <w:b/>
                <w:sz w:val="20"/>
                <w:szCs w:val="20"/>
                <w:u w:val="single"/>
              </w:rPr>
              <w:t>la entrega de 200 fojas a fin de atender la solicitud.</w:t>
            </w:r>
          </w:p>
        </w:tc>
        <w:tc>
          <w:tcPr>
            <w:tcW w:w="1276" w:type="dxa"/>
          </w:tcPr>
          <w:p w14:paraId="16073925" w14:textId="77777777" w:rsidR="00185F49" w:rsidRPr="00F507D3" w:rsidRDefault="00862F4A">
            <w:pPr>
              <w:spacing w:before="240" w:after="240" w:line="360" w:lineRule="auto"/>
              <w:jc w:val="both"/>
              <w:rPr>
                <w:rFonts w:ascii="Palatino Linotype" w:eastAsia="Palatino Linotype" w:hAnsi="Palatino Linotype" w:cs="Palatino Linotype"/>
                <w:sz w:val="20"/>
                <w:szCs w:val="20"/>
              </w:rPr>
            </w:pPr>
            <w:r w:rsidRPr="00F507D3">
              <w:rPr>
                <w:rFonts w:ascii="Palatino Linotype" w:eastAsia="Palatino Linotype" w:hAnsi="Palatino Linotype" w:cs="Palatino Linotype"/>
                <w:sz w:val="20"/>
                <w:szCs w:val="20"/>
              </w:rPr>
              <w:lastRenderedPageBreak/>
              <w:t xml:space="preserve">Ratifica </w:t>
            </w:r>
          </w:p>
        </w:tc>
      </w:tr>
    </w:tbl>
    <w:p w14:paraId="4F0461B0" w14:textId="77777777" w:rsidR="00185F49" w:rsidRPr="00F507D3" w:rsidRDefault="00185F49">
      <w:pPr>
        <w:spacing w:after="240" w:line="360" w:lineRule="auto"/>
        <w:jc w:val="both"/>
        <w:rPr>
          <w:rFonts w:ascii="Palatino Linotype" w:eastAsia="Palatino Linotype" w:hAnsi="Palatino Linotype" w:cs="Palatino Linotype"/>
          <w:sz w:val="24"/>
          <w:szCs w:val="24"/>
        </w:rPr>
      </w:pPr>
    </w:p>
    <w:p w14:paraId="7624793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Aclarado lo anterior, </w:t>
      </w:r>
      <w:r w:rsidRPr="00F507D3">
        <w:rPr>
          <w:rFonts w:ascii="Palatino Linotype" w:eastAsia="Palatino Linotype" w:hAnsi="Palatino Linotype" w:cs="Palatino Linotype"/>
          <w:b/>
          <w:sz w:val="24"/>
          <w:szCs w:val="24"/>
          <w:u w:val="single"/>
        </w:rPr>
        <w:t>respecto al análisis del cambio de modalidad</w:t>
      </w:r>
      <w:r w:rsidRPr="00F507D3">
        <w:rPr>
          <w:rFonts w:ascii="Palatino Linotype" w:eastAsia="Palatino Linotype" w:hAnsi="Palatino Linotype" w:cs="Palatino Linotype"/>
          <w:sz w:val="24"/>
          <w:szCs w:val="24"/>
        </w:rPr>
        <w:t xml:space="preserve">, resulta importante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704C5DB2"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CB36096"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en los casos en que la entrega de la información que se encuentre a su disposición sobrepase las </w:t>
      </w:r>
      <w:r w:rsidRPr="00F507D3">
        <w:rPr>
          <w:rFonts w:ascii="Palatino Linotype" w:eastAsia="Palatino Linotype" w:hAnsi="Palatino Linotype" w:cs="Palatino Linotype"/>
          <w:sz w:val="24"/>
          <w:szCs w:val="24"/>
        </w:rPr>
        <w:lastRenderedPageBreak/>
        <w:t>capacidades técnicas, administrativas y humanas del Sujeto Obligado para cumplir con la solicitud, se podrá poner a disposición del solicitante la información en consulta directa.</w:t>
      </w:r>
    </w:p>
    <w:p w14:paraId="488D3C20"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D486519"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F507D3">
        <w:rPr>
          <w:rFonts w:ascii="Palatino Linotype" w:eastAsia="Palatino Linotype" w:hAnsi="Palatino Linotype" w:cs="Palatino Linotype"/>
          <w:sz w:val="24"/>
          <w:szCs w:val="24"/>
          <w:vertAlign w:val="superscript"/>
        </w:rPr>
        <w:t xml:space="preserve"> </w:t>
      </w:r>
      <w:r w:rsidRPr="00F507D3">
        <w:rPr>
          <w:rFonts w:ascii="Palatino Linotype" w:eastAsia="Palatino Linotype" w:hAnsi="Palatino Linotype" w:cs="Palatino Linotype"/>
          <w:sz w:val="24"/>
          <w:szCs w:val="24"/>
          <w:vertAlign w:val="superscript"/>
        </w:rPr>
        <w:footnoteReference w:id="3"/>
      </w:r>
      <w:r w:rsidRPr="00F507D3">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D5B693F"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06E13E6D"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“FUNDAMENTACIÓN Y MOTIVACIÓN DE LOS ACTOS ADMINISTRATIVOS</w:t>
      </w:r>
      <w:r w:rsidRPr="00F507D3">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w:t>
      </w:r>
      <w:r w:rsidRPr="00F507D3">
        <w:rPr>
          <w:rFonts w:ascii="Palatino Linotype" w:eastAsia="Palatino Linotype" w:hAnsi="Palatino Linotype" w:cs="Palatino Linotype"/>
          <w:i/>
        </w:rPr>
        <w:lastRenderedPageBreak/>
        <w:t xml:space="preserve">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F507D3">
        <w:rPr>
          <w:rFonts w:ascii="Palatino Linotype" w:eastAsia="Palatino Linotype" w:hAnsi="Palatino Linotype" w:cs="Palatino Linotype"/>
          <w:i/>
        </w:rPr>
        <w:t>subincisos</w:t>
      </w:r>
      <w:proofErr w:type="spellEnd"/>
      <w:r w:rsidRPr="00F507D3">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0A249958" w14:textId="77777777" w:rsidR="00185F49" w:rsidRPr="00F507D3" w:rsidRDefault="00185F49">
      <w:pPr>
        <w:spacing w:after="0" w:line="360" w:lineRule="auto"/>
        <w:ind w:left="851" w:right="851"/>
        <w:jc w:val="both"/>
        <w:rPr>
          <w:rFonts w:ascii="Palatino Linotype" w:eastAsia="Palatino Linotype" w:hAnsi="Palatino Linotype" w:cs="Palatino Linotype"/>
          <w:i/>
          <w:sz w:val="24"/>
          <w:szCs w:val="24"/>
        </w:rPr>
      </w:pPr>
    </w:p>
    <w:p w14:paraId="391B6BDB"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6C0594CF"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2D2ACAC0"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 xml:space="preserve"> “Artículo 160.</w:t>
      </w:r>
      <w:r w:rsidRPr="00F507D3">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DB103D6"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lastRenderedPageBreak/>
        <w:t>Artículo 164.</w:t>
      </w:r>
      <w:r w:rsidRPr="00F507D3">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F507D3">
        <w:rPr>
          <w:rFonts w:ascii="Palatino Linotype" w:eastAsia="Palatino Linotype" w:hAnsi="Palatino Linotype" w:cs="Palatino Linotype"/>
          <w:i/>
          <w:u w:val="single"/>
        </w:rPr>
        <w:t>el sujeto obligado deberá ofrecer otra u otras modalidades de entrega.</w:t>
      </w:r>
      <w:r w:rsidRPr="00F507D3">
        <w:rPr>
          <w:rFonts w:ascii="Palatino Linotype" w:eastAsia="Palatino Linotype" w:hAnsi="Palatino Linotype" w:cs="Palatino Linotype"/>
          <w:i/>
        </w:rPr>
        <w:t xml:space="preserve"> En cualquier caso, se deberá fundar y motivar la necesidad de ofrecer otras modalidades.” (Énfasis añadido)</w:t>
      </w:r>
    </w:p>
    <w:p w14:paraId="6AED0BA5" w14:textId="77777777" w:rsidR="00185F49" w:rsidRPr="00F507D3" w:rsidRDefault="00185F49">
      <w:pPr>
        <w:spacing w:after="0" w:line="276" w:lineRule="auto"/>
        <w:ind w:left="851" w:right="851"/>
        <w:jc w:val="both"/>
        <w:rPr>
          <w:rFonts w:ascii="Palatino Linotype" w:eastAsia="Palatino Linotype" w:hAnsi="Palatino Linotype" w:cs="Palatino Linotype"/>
          <w:sz w:val="24"/>
          <w:szCs w:val="24"/>
        </w:rPr>
      </w:pPr>
    </w:p>
    <w:p w14:paraId="22E4B028"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A46A1B5"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2B678EA"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Así, cuando se justifique el impedimento, </w:t>
      </w:r>
      <w:r w:rsidRPr="00F507D3">
        <w:rPr>
          <w:rFonts w:ascii="Palatino Linotype" w:eastAsia="Palatino Linotype" w:hAnsi="Palatino Linotype" w:cs="Palatino Linotype"/>
          <w:b/>
          <w:sz w:val="24"/>
          <w:szCs w:val="24"/>
        </w:rPr>
        <w:t>los Sujetos Obligados deberán ofrecer al particular otras modalidades de entrega que permita la información</w:t>
      </w:r>
      <w:r w:rsidRPr="00F507D3">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6D4992E1"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A94B4D4" w14:textId="77777777" w:rsidR="00185F49" w:rsidRPr="00F507D3" w:rsidRDefault="00862F4A">
      <w:pPr>
        <w:spacing w:after="0" w:line="276" w:lineRule="auto"/>
        <w:ind w:left="851" w:right="902"/>
        <w:jc w:val="both"/>
        <w:rPr>
          <w:rFonts w:ascii="Palatino Linotype" w:eastAsia="Palatino Linotype" w:hAnsi="Palatino Linotype" w:cs="Palatino Linotype"/>
          <w:b/>
          <w:i/>
          <w:u w:val="single"/>
        </w:rPr>
      </w:pPr>
      <w:r w:rsidRPr="00F507D3">
        <w:rPr>
          <w:rFonts w:ascii="Palatino Linotype" w:eastAsia="Palatino Linotype" w:hAnsi="Palatino Linotype" w:cs="Palatino Linotype"/>
          <w:b/>
          <w:i/>
        </w:rPr>
        <w:t>“Modalidad de entrega. Procedencia de proporcionar la información solicitada en una diversa a la elegida por el solicitante.</w:t>
      </w:r>
      <w:r w:rsidRPr="00F507D3">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w:t>
      </w:r>
      <w:r w:rsidRPr="00F507D3">
        <w:rPr>
          <w:rFonts w:ascii="Palatino Linotype" w:eastAsia="Palatino Linotype" w:hAnsi="Palatino Linotype" w:cs="Palatino Linotype"/>
          <w:i/>
        </w:rPr>
        <w:lastRenderedPageBreak/>
        <w:t xml:space="preserve">particular la disposición de la información </w:t>
      </w:r>
      <w:r w:rsidRPr="00F507D3">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75EA02DA" w14:textId="77777777" w:rsidR="00185F49" w:rsidRPr="00F507D3" w:rsidRDefault="00185F49">
      <w:pPr>
        <w:spacing w:after="0" w:line="276" w:lineRule="auto"/>
        <w:ind w:left="851" w:right="902"/>
        <w:jc w:val="both"/>
        <w:rPr>
          <w:rFonts w:ascii="Palatino Linotype" w:eastAsia="Palatino Linotype" w:hAnsi="Palatino Linotype" w:cs="Palatino Linotype"/>
          <w:b/>
          <w:i/>
          <w:sz w:val="24"/>
          <w:szCs w:val="24"/>
          <w:u w:val="single"/>
        </w:rPr>
      </w:pPr>
    </w:p>
    <w:p w14:paraId="2D7C5D3B" w14:textId="77777777" w:rsidR="00185F49" w:rsidRPr="00F507D3" w:rsidRDefault="00862F4A">
      <w:pPr>
        <w:spacing w:after="0" w:line="360" w:lineRule="auto"/>
        <w:jc w:val="both"/>
        <w:rPr>
          <w:rFonts w:ascii="Palatino Linotype" w:eastAsia="Palatino Linotype" w:hAnsi="Palatino Linotype" w:cs="Palatino Linotype"/>
          <w:b/>
          <w:sz w:val="24"/>
          <w:szCs w:val="24"/>
        </w:rPr>
      </w:pPr>
      <w:r w:rsidRPr="00F507D3">
        <w:rPr>
          <w:rFonts w:ascii="Palatino Linotype" w:eastAsia="Palatino Linotype" w:hAnsi="Palatino Linotype" w:cs="Palatino Linotype"/>
          <w:sz w:val="24"/>
          <w:szCs w:val="24"/>
        </w:rPr>
        <w:t>Del citado criterio, se desprende que cuando</w:t>
      </w:r>
      <w:r w:rsidRPr="00F507D3">
        <w:rPr>
          <w:rFonts w:ascii="Palatino Linotype" w:eastAsia="Palatino Linotype" w:hAnsi="Palatino Linotype" w:cs="Palatino Linotype"/>
          <w:b/>
          <w:sz w:val="24"/>
          <w:szCs w:val="24"/>
        </w:rPr>
        <w:t xml:space="preserve"> la información no pueda entregarse o enviarse en la modalidad elegida, </w:t>
      </w:r>
      <w:r w:rsidRPr="00F507D3">
        <w:rPr>
          <w:rFonts w:ascii="Palatino Linotype" w:eastAsia="Palatino Linotype" w:hAnsi="Palatino Linotype" w:cs="Palatino Linotype"/>
          <w:sz w:val="24"/>
          <w:szCs w:val="24"/>
        </w:rPr>
        <w:t xml:space="preserve">para que la obligación de acceso a la información se tenga por cumplida, </w:t>
      </w:r>
      <w:r w:rsidRPr="00F507D3">
        <w:rPr>
          <w:rFonts w:ascii="Palatino Linotype" w:eastAsia="Palatino Linotype" w:hAnsi="Palatino Linotype" w:cs="Palatino Linotype"/>
          <w:b/>
          <w:sz w:val="24"/>
          <w:szCs w:val="24"/>
        </w:rPr>
        <w:t>el Sujeto Obligado deberá ofrecer otra u otras modalidades de entrega.</w:t>
      </w:r>
      <w:r w:rsidRPr="00F507D3">
        <w:rPr>
          <w:rFonts w:ascii="Palatino Linotype" w:eastAsia="Palatino Linotype" w:hAnsi="Palatino Linotype" w:cs="Palatino Linotype"/>
          <w:sz w:val="24"/>
          <w:szCs w:val="24"/>
        </w:rPr>
        <w:t xml:space="preserve"> En cualquier caso, </w:t>
      </w:r>
      <w:r w:rsidRPr="00F507D3">
        <w:rPr>
          <w:rFonts w:ascii="Palatino Linotype" w:eastAsia="Palatino Linotype" w:hAnsi="Palatino Linotype" w:cs="Palatino Linotype"/>
          <w:b/>
          <w:sz w:val="24"/>
          <w:szCs w:val="24"/>
        </w:rPr>
        <w:t>se deberá fundar y motivar la necesidad de ofrecer otras modalidades</w:t>
      </w:r>
      <w:r w:rsidRPr="00F507D3">
        <w:rPr>
          <w:rFonts w:ascii="Palatino Linotype" w:eastAsia="Palatino Linotype" w:hAnsi="Palatino Linotype" w:cs="Palatino Linotype"/>
          <w:sz w:val="24"/>
          <w:szCs w:val="24"/>
        </w:rPr>
        <w:t xml:space="preserve"> que lo permitan, </w:t>
      </w:r>
      <w:r w:rsidRPr="00F507D3">
        <w:rPr>
          <w:rFonts w:ascii="Palatino Linotype" w:eastAsia="Palatino Linotype" w:hAnsi="Palatino Linotype" w:cs="Palatino Linotype"/>
          <w:b/>
          <w:sz w:val="24"/>
          <w:szCs w:val="24"/>
        </w:rPr>
        <w:t>procurando reducir los costos de entrega.</w:t>
      </w:r>
    </w:p>
    <w:p w14:paraId="171179FA" w14:textId="77777777" w:rsidR="00185F49" w:rsidRPr="00F507D3" w:rsidRDefault="00185F49">
      <w:pPr>
        <w:spacing w:after="0" w:line="360" w:lineRule="auto"/>
        <w:jc w:val="both"/>
        <w:rPr>
          <w:rFonts w:ascii="Palatino Linotype" w:eastAsia="Palatino Linotype" w:hAnsi="Palatino Linotype" w:cs="Palatino Linotype"/>
          <w:b/>
          <w:sz w:val="24"/>
          <w:szCs w:val="24"/>
        </w:rPr>
      </w:pPr>
    </w:p>
    <w:p w14:paraId="1481219F" w14:textId="77777777" w:rsidR="00185F49" w:rsidRPr="00F507D3" w:rsidRDefault="00862F4A">
      <w:pPr>
        <w:widowControl w:val="0"/>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8F39446"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38C0E27" w14:textId="77777777" w:rsidR="00185F49" w:rsidRPr="00F507D3" w:rsidRDefault="00862F4A">
      <w:pPr>
        <w:numPr>
          <w:ilvl w:val="0"/>
          <w:numId w:val="3"/>
        </w:num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Las razones por las cuales la información implicaba un análisis, estudio o procesamiento de datos;</w:t>
      </w:r>
    </w:p>
    <w:p w14:paraId="5F07EE5E" w14:textId="77777777" w:rsidR="00185F49" w:rsidRPr="00F507D3" w:rsidRDefault="00185F49">
      <w:pPr>
        <w:spacing w:after="0" w:line="360" w:lineRule="auto"/>
        <w:ind w:left="720"/>
        <w:jc w:val="both"/>
        <w:rPr>
          <w:rFonts w:ascii="Palatino Linotype" w:eastAsia="Palatino Linotype" w:hAnsi="Palatino Linotype" w:cs="Palatino Linotype"/>
          <w:sz w:val="24"/>
          <w:szCs w:val="24"/>
        </w:rPr>
      </w:pPr>
    </w:p>
    <w:p w14:paraId="4E508442" w14:textId="77777777" w:rsidR="00185F49" w:rsidRPr="00F507D3" w:rsidRDefault="00862F4A">
      <w:pPr>
        <w:numPr>
          <w:ilvl w:val="0"/>
          <w:numId w:val="3"/>
        </w:numPr>
        <w:spacing w:after="0" w:line="360" w:lineRule="auto"/>
        <w:ind w:left="567" w:right="901" w:hanging="14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suficiente, y</w:t>
      </w:r>
    </w:p>
    <w:p w14:paraId="01EEB857" w14:textId="77777777" w:rsidR="00185F49" w:rsidRPr="00F507D3" w:rsidRDefault="00185F49">
      <w:pPr>
        <w:spacing w:after="0" w:line="360" w:lineRule="auto"/>
        <w:ind w:left="567" w:right="901" w:hanging="141"/>
        <w:jc w:val="both"/>
        <w:rPr>
          <w:rFonts w:ascii="Palatino Linotype" w:eastAsia="Palatino Linotype" w:hAnsi="Palatino Linotype" w:cs="Palatino Linotype"/>
          <w:sz w:val="24"/>
          <w:szCs w:val="24"/>
        </w:rPr>
      </w:pPr>
    </w:p>
    <w:p w14:paraId="3E228559" w14:textId="77777777" w:rsidR="00185F49" w:rsidRPr="00F507D3" w:rsidRDefault="00862F4A">
      <w:pPr>
        <w:numPr>
          <w:ilvl w:val="0"/>
          <w:numId w:val="3"/>
        </w:numPr>
        <w:spacing w:after="0" w:line="360" w:lineRule="auto"/>
        <w:ind w:left="567" w:right="901" w:hanging="14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La cantidad de recursos humanos y materiales con los que cuenta el Sujeto Obligado son insuficientes.</w:t>
      </w:r>
    </w:p>
    <w:p w14:paraId="4D627376" w14:textId="77777777" w:rsidR="00185F49" w:rsidRPr="00F507D3" w:rsidRDefault="00185F49">
      <w:pPr>
        <w:spacing w:after="0" w:line="360" w:lineRule="auto"/>
        <w:ind w:right="901"/>
        <w:jc w:val="both"/>
        <w:rPr>
          <w:rFonts w:ascii="Palatino Linotype" w:eastAsia="Palatino Linotype" w:hAnsi="Palatino Linotype" w:cs="Palatino Linotype"/>
          <w:sz w:val="24"/>
          <w:szCs w:val="24"/>
        </w:rPr>
      </w:pPr>
    </w:p>
    <w:p w14:paraId="54F45553"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Ahora bien, entrando en materia, debe resaltarse que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realiza el cambio de modalidad para la entrega de la información mediante Consulta Directa, copias simples o certificadas además de que se podrá hacer entrega sin costo alguno de la información si la persona proporciona los medios electrónicos o correo electrónico, además refiere que la información estará a disposición en el plazo establecido en el artículo 166 de la Ley de Transparencia Local para consulta de la información que da atención a la solicitud. </w:t>
      </w:r>
    </w:p>
    <w:p w14:paraId="3C7A3ABA"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82BC8CA" w14:textId="77777777" w:rsidR="00185F49" w:rsidRPr="00F507D3" w:rsidRDefault="00862F4A">
      <w:pPr>
        <w:spacing w:after="240" w:line="360" w:lineRule="auto"/>
        <w:ind w:right="-28"/>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Expuesto lo anterior, conviene esquematizar los argumentos expuestos con anterioridad para efecto de determinar si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cumplió con los elementos necesarios para el cambio de modalidad:</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7577"/>
      </w:tblGrid>
      <w:tr w:rsidR="00F507D3" w:rsidRPr="00F507D3" w14:paraId="460E458E" w14:textId="77777777">
        <w:tc>
          <w:tcPr>
            <w:tcW w:w="1251" w:type="dxa"/>
            <w:shd w:val="clear" w:color="auto" w:fill="E7E6E6"/>
          </w:tcPr>
          <w:p w14:paraId="02C2B159" w14:textId="77777777" w:rsidR="00185F49" w:rsidRPr="00F507D3" w:rsidRDefault="00862F4A">
            <w:pPr>
              <w:jc w:val="center"/>
              <w:rPr>
                <w:rFonts w:ascii="Palatino Linotype" w:eastAsia="Palatino Linotype" w:hAnsi="Palatino Linotype" w:cs="Palatino Linotype"/>
                <w:b/>
                <w:sz w:val="18"/>
                <w:szCs w:val="18"/>
              </w:rPr>
            </w:pPr>
            <w:r w:rsidRPr="00F507D3">
              <w:rPr>
                <w:rFonts w:ascii="Palatino Linotype" w:eastAsia="Palatino Linotype" w:hAnsi="Palatino Linotype" w:cs="Palatino Linotype"/>
                <w:b/>
                <w:sz w:val="18"/>
                <w:szCs w:val="18"/>
              </w:rPr>
              <w:t>Elementos del cambio de modalidad</w:t>
            </w:r>
          </w:p>
        </w:tc>
        <w:tc>
          <w:tcPr>
            <w:tcW w:w="7577" w:type="dxa"/>
            <w:shd w:val="clear" w:color="auto" w:fill="E7E6E6"/>
          </w:tcPr>
          <w:p w14:paraId="021A4D25" w14:textId="77777777" w:rsidR="00185F49" w:rsidRPr="00F507D3" w:rsidRDefault="00862F4A">
            <w:pPr>
              <w:jc w:val="center"/>
              <w:rPr>
                <w:rFonts w:ascii="Palatino Linotype" w:eastAsia="Palatino Linotype" w:hAnsi="Palatino Linotype" w:cs="Palatino Linotype"/>
                <w:b/>
                <w:sz w:val="18"/>
                <w:szCs w:val="18"/>
              </w:rPr>
            </w:pPr>
            <w:r w:rsidRPr="00F507D3">
              <w:rPr>
                <w:rFonts w:ascii="Palatino Linotype" w:eastAsia="Palatino Linotype" w:hAnsi="Palatino Linotype" w:cs="Palatino Linotype"/>
                <w:b/>
                <w:sz w:val="18"/>
                <w:szCs w:val="18"/>
              </w:rPr>
              <w:t>Contenido</w:t>
            </w:r>
          </w:p>
        </w:tc>
      </w:tr>
      <w:tr w:rsidR="00F507D3" w:rsidRPr="00F507D3" w14:paraId="7AA1FBEE" w14:textId="77777777">
        <w:tc>
          <w:tcPr>
            <w:tcW w:w="1251" w:type="dxa"/>
          </w:tcPr>
          <w:p w14:paraId="2C8F4381" w14:textId="77777777" w:rsidR="00185F49" w:rsidRPr="00F507D3" w:rsidRDefault="00862F4A">
            <w:pPr>
              <w:jc w:val="center"/>
              <w:rPr>
                <w:rFonts w:ascii="Palatino Linotype" w:eastAsia="Palatino Linotype" w:hAnsi="Palatino Linotype" w:cs="Palatino Linotype"/>
                <w:sz w:val="18"/>
                <w:szCs w:val="18"/>
              </w:rPr>
            </w:pPr>
            <w:r w:rsidRPr="00F507D3">
              <w:rPr>
                <w:rFonts w:ascii="Palatino Linotype" w:eastAsia="Palatino Linotype" w:hAnsi="Palatino Linotype" w:cs="Palatino Linotype"/>
                <w:sz w:val="18"/>
                <w:szCs w:val="18"/>
              </w:rPr>
              <w:t>Número de folio de la solicitud</w:t>
            </w:r>
          </w:p>
        </w:tc>
        <w:tc>
          <w:tcPr>
            <w:tcW w:w="7577" w:type="dxa"/>
          </w:tcPr>
          <w:p w14:paraId="0F1D85C8" w14:textId="77777777" w:rsidR="00185F49" w:rsidRPr="00F507D3" w:rsidRDefault="00862F4A">
            <w:pPr>
              <w:jc w:val="center"/>
              <w:rPr>
                <w:rFonts w:ascii="Palatino Linotype" w:eastAsia="Palatino Linotype" w:hAnsi="Palatino Linotype" w:cs="Palatino Linotype"/>
                <w:sz w:val="18"/>
                <w:szCs w:val="18"/>
              </w:rPr>
            </w:pPr>
            <w:r w:rsidRPr="00F507D3">
              <w:rPr>
                <w:noProof/>
              </w:rPr>
              <w:drawing>
                <wp:inline distT="0" distB="0" distL="0" distR="0" wp14:anchorId="57DD1DE0" wp14:editId="58D00718">
                  <wp:extent cx="1971950" cy="228632"/>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71950" cy="228632"/>
                          </a:xfrm>
                          <a:prstGeom prst="rect">
                            <a:avLst/>
                          </a:prstGeom>
                          <a:ln/>
                        </pic:spPr>
                      </pic:pic>
                    </a:graphicData>
                  </a:graphic>
                </wp:inline>
              </w:drawing>
            </w:r>
          </w:p>
        </w:tc>
      </w:tr>
      <w:tr w:rsidR="00F507D3" w:rsidRPr="00F507D3" w14:paraId="4F6079C3" w14:textId="77777777">
        <w:tc>
          <w:tcPr>
            <w:tcW w:w="1251" w:type="dxa"/>
          </w:tcPr>
          <w:p w14:paraId="334AD518" w14:textId="77777777" w:rsidR="00185F49" w:rsidRPr="00F507D3" w:rsidRDefault="00862F4A">
            <w:pPr>
              <w:jc w:val="center"/>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18"/>
                <w:szCs w:val="18"/>
              </w:rPr>
              <w:t>Referencia al peso de la información.</w:t>
            </w:r>
          </w:p>
        </w:tc>
        <w:tc>
          <w:tcPr>
            <w:tcW w:w="7577" w:type="dxa"/>
          </w:tcPr>
          <w:p w14:paraId="58DDC878" w14:textId="77777777" w:rsidR="00185F49" w:rsidRPr="00F507D3" w:rsidRDefault="00862F4A">
            <w:pPr>
              <w:spacing w:line="360" w:lineRule="auto"/>
              <w:jc w:val="center"/>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drawing>
                <wp:inline distT="0" distB="0" distL="0" distR="0" wp14:anchorId="3FAD1310" wp14:editId="6DC12381">
                  <wp:extent cx="1228896" cy="30484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8896" cy="304843"/>
                          </a:xfrm>
                          <a:prstGeom prst="rect">
                            <a:avLst/>
                          </a:prstGeom>
                          <a:ln/>
                        </pic:spPr>
                      </pic:pic>
                    </a:graphicData>
                  </a:graphic>
                </wp:inline>
              </w:drawing>
            </w:r>
          </w:p>
        </w:tc>
      </w:tr>
      <w:tr w:rsidR="00F507D3" w:rsidRPr="00F507D3" w14:paraId="4929263D" w14:textId="77777777">
        <w:tc>
          <w:tcPr>
            <w:tcW w:w="1251" w:type="dxa"/>
          </w:tcPr>
          <w:p w14:paraId="432C0355" w14:textId="77777777" w:rsidR="00185F49" w:rsidRPr="00F507D3" w:rsidRDefault="00862F4A">
            <w:pPr>
              <w:jc w:val="center"/>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18"/>
                <w:szCs w:val="18"/>
              </w:rPr>
              <w:t xml:space="preserve">Referencia a otras modalidades de entrega </w:t>
            </w:r>
            <w:r w:rsidRPr="00F507D3">
              <w:rPr>
                <w:rFonts w:ascii="Palatino Linotype" w:eastAsia="Palatino Linotype" w:hAnsi="Palatino Linotype" w:cs="Palatino Linotype"/>
                <w:sz w:val="18"/>
                <w:szCs w:val="18"/>
              </w:rPr>
              <w:lastRenderedPageBreak/>
              <w:t>de la información.</w:t>
            </w:r>
          </w:p>
        </w:tc>
        <w:tc>
          <w:tcPr>
            <w:tcW w:w="7577" w:type="dxa"/>
          </w:tcPr>
          <w:p w14:paraId="0A88B763" w14:textId="77777777" w:rsidR="00185F49" w:rsidRPr="00F507D3" w:rsidRDefault="00862F4A">
            <w:pPr>
              <w:spacing w:line="360" w:lineRule="auto"/>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Además de la consulta directa se señala que:</w:t>
            </w:r>
          </w:p>
          <w:p w14:paraId="39F00CD5" w14:textId="77777777" w:rsidR="00185F49" w:rsidRPr="00F507D3" w:rsidRDefault="00862F4A">
            <w:pPr>
              <w:spacing w:line="360" w:lineRule="auto"/>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lastRenderedPageBreak/>
              <w:drawing>
                <wp:inline distT="0" distB="0" distL="0" distR="0" wp14:anchorId="257BEBC6" wp14:editId="1E10D197">
                  <wp:extent cx="4674235" cy="419100"/>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674235" cy="419100"/>
                          </a:xfrm>
                          <a:prstGeom prst="rect">
                            <a:avLst/>
                          </a:prstGeom>
                          <a:ln/>
                        </pic:spPr>
                      </pic:pic>
                    </a:graphicData>
                  </a:graphic>
                </wp:inline>
              </w:drawing>
            </w:r>
          </w:p>
        </w:tc>
      </w:tr>
      <w:tr w:rsidR="00F507D3" w:rsidRPr="00F507D3" w14:paraId="265E5324" w14:textId="77777777">
        <w:tc>
          <w:tcPr>
            <w:tcW w:w="1251" w:type="dxa"/>
          </w:tcPr>
          <w:p w14:paraId="4AACCA5A" w14:textId="77777777" w:rsidR="00185F49" w:rsidRPr="00F507D3" w:rsidRDefault="00862F4A">
            <w:pPr>
              <w:jc w:val="center"/>
              <w:rPr>
                <w:rFonts w:ascii="Palatino Linotype" w:eastAsia="Palatino Linotype" w:hAnsi="Palatino Linotype" w:cs="Palatino Linotype"/>
                <w:sz w:val="18"/>
                <w:szCs w:val="18"/>
              </w:rPr>
            </w:pPr>
            <w:r w:rsidRPr="00F507D3">
              <w:rPr>
                <w:rFonts w:ascii="Palatino Linotype" w:eastAsia="Palatino Linotype" w:hAnsi="Palatino Linotype" w:cs="Palatino Linotype"/>
                <w:sz w:val="18"/>
                <w:szCs w:val="18"/>
              </w:rPr>
              <w:lastRenderedPageBreak/>
              <w:t>Referencia que la información se pone a disposición por 60 días</w:t>
            </w:r>
          </w:p>
        </w:tc>
        <w:tc>
          <w:tcPr>
            <w:tcW w:w="7577" w:type="dxa"/>
          </w:tcPr>
          <w:p w14:paraId="61DBB084" w14:textId="77777777" w:rsidR="00185F49" w:rsidRPr="00F507D3" w:rsidRDefault="00862F4A">
            <w:pPr>
              <w:spacing w:line="360" w:lineRule="auto"/>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drawing>
                <wp:inline distT="0" distB="0" distL="0" distR="0" wp14:anchorId="06454C59" wp14:editId="2B8EB88B">
                  <wp:extent cx="4674235" cy="393065"/>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674235" cy="393065"/>
                          </a:xfrm>
                          <a:prstGeom prst="rect">
                            <a:avLst/>
                          </a:prstGeom>
                          <a:ln/>
                        </pic:spPr>
                      </pic:pic>
                    </a:graphicData>
                  </a:graphic>
                </wp:inline>
              </w:drawing>
            </w:r>
          </w:p>
          <w:p w14:paraId="440F9F48" w14:textId="77777777" w:rsidR="00185F49" w:rsidRPr="00F507D3" w:rsidRDefault="00862F4A">
            <w:pPr>
              <w:spacing w:line="360" w:lineRule="auto"/>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drawing>
                <wp:inline distT="0" distB="0" distL="0" distR="0" wp14:anchorId="1D4A678B" wp14:editId="4A72F811">
                  <wp:extent cx="4674235" cy="40005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674235" cy="400050"/>
                          </a:xfrm>
                          <a:prstGeom prst="rect">
                            <a:avLst/>
                          </a:prstGeom>
                          <a:ln/>
                        </pic:spPr>
                      </pic:pic>
                    </a:graphicData>
                  </a:graphic>
                </wp:inline>
              </w:drawing>
            </w:r>
          </w:p>
        </w:tc>
      </w:tr>
      <w:tr w:rsidR="00185F49" w:rsidRPr="00F507D3" w14:paraId="44AA70D9" w14:textId="77777777">
        <w:tc>
          <w:tcPr>
            <w:tcW w:w="1251" w:type="dxa"/>
          </w:tcPr>
          <w:p w14:paraId="0BA85895" w14:textId="77777777" w:rsidR="00185F49" w:rsidRPr="00F507D3" w:rsidRDefault="00862F4A">
            <w:pPr>
              <w:jc w:val="center"/>
              <w:rPr>
                <w:rFonts w:ascii="Palatino Linotype" w:eastAsia="Palatino Linotype" w:hAnsi="Palatino Linotype" w:cs="Palatino Linotype"/>
                <w:sz w:val="18"/>
                <w:szCs w:val="18"/>
              </w:rPr>
            </w:pPr>
            <w:r w:rsidRPr="00F507D3">
              <w:rPr>
                <w:rFonts w:ascii="Palatino Linotype" w:eastAsia="Palatino Linotype" w:hAnsi="Palatino Linotype" w:cs="Palatino Linotype"/>
                <w:sz w:val="18"/>
                <w:szCs w:val="18"/>
              </w:rPr>
              <w:t>Registro  de su incidencia ante informática</w:t>
            </w:r>
          </w:p>
        </w:tc>
        <w:tc>
          <w:tcPr>
            <w:tcW w:w="7577" w:type="dxa"/>
          </w:tcPr>
          <w:p w14:paraId="545B1110" w14:textId="1FBB5C34" w:rsidR="00185F49" w:rsidRPr="00F507D3" w:rsidRDefault="00862F4A">
            <w:pPr>
              <w:spacing w:line="360" w:lineRule="auto"/>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No cuenta con incidencia</w:t>
            </w:r>
            <w:r w:rsidR="00A30A46" w:rsidRPr="00F507D3">
              <w:rPr>
                <w:rFonts w:ascii="Palatino Linotype" w:eastAsia="Palatino Linotype" w:hAnsi="Palatino Linotype" w:cs="Palatino Linotype"/>
                <w:sz w:val="24"/>
                <w:szCs w:val="24"/>
              </w:rPr>
              <w:t xml:space="preserve">. </w:t>
            </w:r>
          </w:p>
        </w:tc>
      </w:tr>
    </w:tbl>
    <w:p w14:paraId="59B80D19" w14:textId="77777777" w:rsidR="00185F49" w:rsidRPr="00F507D3" w:rsidRDefault="00185F49"/>
    <w:p w14:paraId="04DB50E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Por lo anterior, en primera instancia, se puede observar que el cambio de modalidad propuesto por </w:t>
      </w:r>
      <w:r w:rsidRPr="00F507D3">
        <w:rPr>
          <w:rFonts w:ascii="Palatino Linotype" w:eastAsia="Palatino Linotype" w:hAnsi="Palatino Linotype" w:cs="Palatino Linotype"/>
          <w:b/>
          <w:sz w:val="24"/>
          <w:szCs w:val="24"/>
        </w:rPr>
        <w:t xml:space="preserve">EL SUJETO OBLIGADO </w:t>
      </w:r>
      <w:r w:rsidRPr="00F507D3">
        <w:rPr>
          <w:rFonts w:ascii="Palatino Linotype" w:eastAsia="Palatino Linotype" w:hAnsi="Palatino Linotype" w:cs="Palatino Linotype"/>
          <w:sz w:val="24"/>
          <w:szCs w:val="24"/>
        </w:rPr>
        <w:t xml:space="preserve">cumple parcialmente con las formalidades establecidas por los ordenamientos en materia de transparencia, tomando en consideración que se hizo del conocimiento de </w:t>
      </w:r>
      <w:r w:rsidRPr="00F507D3">
        <w:rPr>
          <w:rFonts w:ascii="Palatino Linotype" w:eastAsia="Palatino Linotype" w:hAnsi="Palatino Linotype" w:cs="Palatino Linotype"/>
          <w:b/>
          <w:sz w:val="24"/>
          <w:szCs w:val="24"/>
        </w:rPr>
        <w:t>LA PARTE RECURRENTE</w:t>
      </w:r>
      <w:r w:rsidRPr="00F507D3">
        <w:rPr>
          <w:rFonts w:ascii="Palatino Linotype" w:eastAsia="Palatino Linotype" w:hAnsi="Palatino Linotype" w:cs="Palatino Linotype"/>
          <w:sz w:val="24"/>
          <w:szCs w:val="24"/>
        </w:rPr>
        <w:t xml:space="preserve"> que no sólo pone a disposición la información en Consulta Directa para conocer de la información de su interés, sino también se informó que podía obtenerla mediante copias simples o certificadas además de que se podrá hacer entrega sin costo alguno si proporcionan el dispositivo electrónico para el almacenamiento de la información, sin embargo, si bien refiere que pone a disposición del particular la información en el plazo establecido por el segundo párrafo del artículo 166 de la Ley de la Materia, esta solo lo hace los días jueves del mes de febrero del dos mil veinticinco y así sucesivamente. </w:t>
      </w:r>
    </w:p>
    <w:p w14:paraId="6CBA5E37"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4BD50B4"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Además, la Dirección de Informática de este Instituto, establece que no tiene un registro en la bitácora de incidencia como a continuación se muestra:</w:t>
      </w:r>
    </w:p>
    <w:p w14:paraId="2DCDD272"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drawing>
          <wp:inline distT="0" distB="0" distL="0" distR="0" wp14:anchorId="37A38356" wp14:editId="16F247F2">
            <wp:extent cx="5612130" cy="1261110"/>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612130" cy="1261110"/>
                    </a:xfrm>
                    <a:prstGeom prst="rect">
                      <a:avLst/>
                    </a:prstGeom>
                    <a:ln/>
                  </pic:spPr>
                </pic:pic>
              </a:graphicData>
            </a:graphic>
          </wp:inline>
        </w:drawing>
      </w:r>
    </w:p>
    <w:p w14:paraId="4C0F3D13" w14:textId="3FEEFED5" w:rsidR="00185F49" w:rsidRPr="00F507D3" w:rsidRDefault="00185F49">
      <w:pPr>
        <w:spacing w:after="0" w:line="360" w:lineRule="auto"/>
        <w:jc w:val="both"/>
        <w:rPr>
          <w:rFonts w:ascii="Palatino Linotype" w:eastAsia="Palatino Linotype" w:hAnsi="Palatino Linotype" w:cs="Palatino Linotype"/>
          <w:sz w:val="24"/>
          <w:szCs w:val="24"/>
        </w:rPr>
      </w:pPr>
    </w:p>
    <w:p w14:paraId="4EB3139C" w14:textId="5B1B6AE4" w:rsidR="0019050E" w:rsidRPr="00F507D3" w:rsidRDefault="00A30A46">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Asimismo, no remitió el acuerdo de comité que valide el cambio de modalidad, por lo que no cumplió con las formalidades necesarias para validarlo. </w:t>
      </w:r>
    </w:p>
    <w:p w14:paraId="787BC985" w14:textId="77777777" w:rsidR="0019050E" w:rsidRPr="00F507D3" w:rsidRDefault="0019050E">
      <w:pPr>
        <w:spacing w:after="0" w:line="360" w:lineRule="auto"/>
        <w:jc w:val="both"/>
        <w:rPr>
          <w:rFonts w:ascii="Palatino Linotype" w:eastAsia="Palatino Linotype" w:hAnsi="Palatino Linotype" w:cs="Palatino Linotype"/>
          <w:sz w:val="24"/>
          <w:szCs w:val="24"/>
        </w:rPr>
      </w:pPr>
    </w:p>
    <w:p w14:paraId="527C432E" w14:textId="77777777" w:rsidR="003224B1" w:rsidRPr="00F507D3" w:rsidRDefault="003224B1">
      <w:pPr>
        <w:spacing w:after="0" w:line="360" w:lineRule="auto"/>
        <w:jc w:val="both"/>
        <w:rPr>
          <w:rFonts w:ascii="Palatino Linotype" w:eastAsia="Palatino Linotype" w:hAnsi="Palatino Linotype" w:cs="Palatino Linotype"/>
          <w:b/>
          <w:sz w:val="24"/>
          <w:szCs w:val="24"/>
        </w:rPr>
      </w:pPr>
      <w:r w:rsidRPr="00F507D3">
        <w:rPr>
          <w:rFonts w:ascii="Palatino Linotype" w:eastAsia="Palatino Linotype" w:hAnsi="Palatino Linotype" w:cs="Palatino Linotype"/>
          <w:sz w:val="24"/>
          <w:szCs w:val="24"/>
        </w:rPr>
        <w:t xml:space="preserve">De lo anterior, se concluye que, respecto al </w:t>
      </w:r>
      <w:r w:rsidRPr="00F507D3">
        <w:rPr>
          <w:rFonts w:ascii="Palatino Linotype" w:eastAsia="Palatino Linotype" w:hAnsi="Palatino Linotype" w:cs="Palatino Linotype"/>
          <w:b/>
          <w:sz w:val="24"/>
          <w:szCs w:val="24"/>
        </w:rPr>
        <w:t>cambio de modalidad</w:t>
      </w:r>
      <w:r w:rsidRPr="00F507D3">
        <w:rPr>
          <w:rFonts w:ascii="Palatino Linotype" w:eastAsia="Palatino Linotype" w:hAnsi="Palatino Linotype" w:cs="Palatino Linotype"/>
          <w:sz w:val="24"/>
          <w:szCs w:val="24"/>
        </w:rPr>
        <w:t xml:space="preserve">, este </w:t>
      </w:r>
      <w:r w:rsidRPr="00F507D3">
        <w:rPr>
          <w:rFonts w:ascii="Palatino Linotype" w:eastAsia="Palatino Linotype" w:hAnsi="Palatino Linotype" w:cs="Palatino Linotype"/>
          <w:b/>
          <w:sz w:val="24"/>
          <w:szCs w:val="24"/>
        </w:rPr>
        <w:t xml:space="preserve">no resulta procedente. </w:t>
      </w:r>
    </w:p>
    <w:p w14:paraId="304263A1" w14:textId="77777777" w:rsidR="003224B1" w:rsidRPr="00F507D3" w:rsidRDefault="003224B1">
      <w:pPr>
        <w:spacing w:after="0" w:line="360" w:lineRule="auto"/>
        <w:jc w:val="both"/>
        <w:rPr>
          <w:rFonts w:ascii="Palatino Linotype" w:eastAsia="Palatino Linotype" w:hAnsi="Palatino Linotype" w:cs="Palatino Linotype"/>
          <w:sz w:val="24"/>
          <w:szCs w:val="24"/>
        </w:rPr>
      </w:pPr>
    </w:p>
    <w:p w14:paraId="03851E54" w14:textId="6E88399C" w:rsidR="003224B1" w:rsidRPr="00F507D3" w:rsidRDefault="003224B1">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Ahora bien, si bien es cierto, queda desestimado el cambio de modalidad de entrega de la información, también lo es que, resulta indispensable realizar un análisis respecto de la naturaleza de la información solicitada con la finalidad de determinar la procedencia de su entrega. </w:t>
      </w:r>
    </w:p>
    <w:p w14:paraId="612BF431" w14:textId="77CCA954" w:rsidR="003224B1" w:rsidRPr="00F507D3" w:rsidRDefault="003224B1">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br/>
        <w:t>En ese sentido, es menester señalar que en el desahogo del requerimiento de información por parte del Sujeto Obligado se obtuvo lo siguiente:</w:t>
      </w:r>
    </w:p>
    <w:p w14:paraId="018901CB" w14:textId="77777777" w:rsidR="003224B1" w:rsidRPr="00F507D3" w:rsidRDefault="003224B1">
      <w:pPr>
        <w:spacing w:after="0" w:line="360" w:lineRule="auto"/>
        <w:jc w:val="both"/>
        <w:rPr>
          <w:rFonts w:ascii="Palatino Linotype" w:eastAsia="Palatino Linotype" w:hAnsi="Palatino Linotype" w:cs="Palatino Linotype"/>
          <w:sz w:val="24"/>
          <w:szCs w:val="24"/>
        </w:rPr>
      </w:pPr>
    </w:p>
    <w:p w14:paraId="6E43EAEB" w14:textId="3D0D9C1A" w:rsidR="003224B1" w:rsidRPr="00F507D3" w:rsidRDefault="003224B1" w:rsidP="003224B1">
      <w:pPr>
        <w:pStyle w:val="Prrafodelista"/>
        <w:numPr>
          <w:ilvl w:val="0"/>
          <w:numId w:val="4"/>
        </w:num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El Sujeto Obligado al dieciséis de diciembre de dos mil veinticuatro, </w:t>
      </w:r>
      <w:r w:rsidRPr="00F507D3">
        <w:rPr>
          <w:rFonts w:ascii="Palatino Linotype" w:eastAsia="Palatino Linotype" w:hAnsi="Palatino Linotype" w:cs="Palatino Linotype"/>
          <w:b/>
          <w:sz w:val="24"/>
          <w:szCs w:val="24"/>
          <w:u w:val="single"/>
        </w:rPr>
        <w:t xml:space="preserve">contaba con un total de 379 denuncias. </w:t>
      </w:r>
    </w:p>
    <w:p w14:paraId="4E2A6224" w14:textId="1B16C18F" w:rsidR="003224B1" w:rsidRPr="00F507D3" w:rsidRDefault="003224B1" w:rsidP="003224B1">
      <w:pPr>
        <w:pStyle w:val="Prrafodelista"/>
        <w:numPr>
          <w:ilvl w:val="0"/>
          <w:numId w:val="4"/>
        </w:num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u w:val="single"/>
        </w:rPr>
        <w:lastRenderedPageBreak/>
        <w:t>Las 379 denuncias</w:t>
      </w:r>
      <w:r w:rsidRPr="00F507D3">
        <w:rPr>
          <w:rFonts w:ascii="Palatino Linotype" w:eastAsia="Palatino Linotype" w:hAnsi="Palatino Linotype" w:cs="Palatino Linotype"/>
          <w:sz w:val="24"/>
          <w:szCs w:val="24"/>
        </w:rPr>
        <w:t xml:space="preserve"> al dieciséis de diciembre de dos mil veinticuatro, se </w:t>
      </w:r>
      <w:r w:rsidRPr="00F507D3">
        <w:rPr>
          <w:rFonts w:ascii="Palatino Linotype" w:eastAsia="Palatino Linotype" w:hAnsi="Palatino Linotype" w:cs="Palatino Linotype"/>
          <w:b/>
          <w:sz w:val="24"/>
          <w:szCs w:val="24"/>
          <w:u w:val="single"/>
        </w:rPr>
        <w:t>encontraban en trámite.</w:t>
      </w:r>
      <w:r w:rsidRPr="00F507D3">
        <w:rPr>
          <w:rFonts w:ascii="Palatino Linotype" w:eastAsia="Palatino Linotype" w:hAnsi="Palatino Linotype" w:cs="Palatino Linotype"/>
          <w:sz w:val="24"/>
          <w:szCs w:val="24"/>
        </w:rPr>
        <w:t xml:space="preserve"> </w:t>
      </w:r>
    </w:p>
    <w:p w14:paraId="530C57E6" w14:textId="5CAE7712" w:rsidR="003224B1" w:rsidRPr="00F507D3" w:rsidRDefault="003224B1" w:rsidP="003224B1">
      <w:pPr>
        <w:pStyle w:val="Prrafodelista"/>
        <w:numPr>
          <w:ilvl w:val="0"/>
          <w:numId w:val="4"/>
        </w:num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Ninguna denuncia encuadraba en alguna excepción prevista en el artículo 142 de la Ley de Transparencia de la Entidad.</w:t>
      </w:r>
    </w:p>
    <w:p w14:paraId="2C1AC595" w14:textId="77777777" w:rsidR="003224B1" w:rsidRPr="00F507D3" w:rsidRDefault="003224B1" w:rsidP="003224B1">
      <w:pPr>
        <w:spacing w:after="0" w:line="360" w:lineRule="auto"/>
        <w:jc w:val="both"/>
        <w:rPr>
          <w:rFonts w:ascii="Palatino Linotype" w:eastAsia="Palatino Linotype" w:hAnsi="Palatino Linotype" w:cs="Palatino Linotype"/>
          <w:sz w:val="24"/>
          <w:szCs w:val="24"/>
        </w:rPr>
      </w:pPr>
    </w:p>
    <w:p w14:paraId="7DC25D39" w14:textId="64E17D88" w:rsidR="008F33A8" w:rsidRPr="00F507D3" w:rsidRDefault="008F33A8" w:rsidP="003224B1">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Siendo que en primera instancia da por colmado el número y estatus de las denuncias y quejas requerida</w:t>
      </w:r>
    </w:p>
    <w:p w14:paraId="58DD3BAC" w14:textId="77777777" w:rsidR="008F33A8" w:rsidRPr="00F507D3" w:rsidRDefault="008F33A8" w:rsidP="00865B28">
      <w:pPr>
        <w:spacing w:after="0" w:line="360" w:lineRule="auto"/>
        <w:jc w:val="both"/>
        <w:rPr>
          <w:rFonts w:ascii="Palatino Linotype" w:eastAsia="Palatino Linotype" w:hAnsi="Palatino Linotype" w:cs="Palatino Linotype"/>
          <w:sz w:val="24"/>
          <w:szCs w:val="24"/>
        </w:rPr>
      </w:pPr>
    </w:p>
    <w:p w14:paraId="1616A216" w14:textId="69EC64D8" w:rsidR="003224B1" w:rsidRPr="00F507D3" w:rsidRDefault="008F33A8" w:rsidP="00865B28">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Siendo que en otro punto </w:t>
      </w:r>
      <w:r w:rsidR="003224B1" w:rsidRPr="00F507D3">
        <w:rPr>
          <w:rFonts w:ascii="Palatino Linotype" w:eastAsia="Palatino Linotype" w:hAnsi="Palatino Linotype" w:cs="Palatino Linotype"/>
          <w:sz w:val="24"/>
          <w:szCs w:val="24"/>
        </w:rPr>
        <w:t xml:space="preserve">se procede a determinar si </w:t>
      </w:r>
      <w:r w:rsidR="00865B28" w:rsidRPr="00F507D3">
        <w:rPr>
          <w:rFonts w:ascii="Palatino Linotype" w:eastAsia="Palatino Linotype" w:hAnsi="Palatino Linotype" w:cs="Palatino Linotype"/>
          <w:sz w:val="24"/>
          <w:szCs w:val="24"/>
        </w:rPr>
        <w:t>esta información encuadra en algún supuesto de clasificación, al tenor de lo siguiente:</w:t>
      </w:r>
    </w:p>
    <w:p w14:paraId="1B7FE11E" w14:textId="77777777" w:rsidR="003224B1" w:rsidRPr="00F507D3" w:rsidRDefault="003224B1" w:rsidP="00865B28">
      <w:pPr>
        <w:spacing w:after="0" w:line="360" w:lineRule="auto"/>
        <w:jc w:val="both"/>
        <w:rPr>
          <w:rFonts w:ascii="Palatino Linotype" w:eastAsia="Palatino Linotype" w:hAnsi="Palatino Linotype" w:cs="Palatino Linotype"/>
          <w:sz w:val="28"/>
          <w:szCs w:val="24"/>
        </w:rPr>
      </w:pPr>
    </w:p>
    <w:p w14:paraId="133E379C" w14:textId="77777777" w:rsidR="00865B28" w:rsidRPr="00F507D3" w:rsidRDefault="00865B28" w:rsidP="00865B28">
      <w:pPr>
        <w:pStyle w:val="Sinespaciado"/>
        <w:numPr>
          <w:ilvl w:val="0"/>
          <w:numId w:val="5"/>
        </w:numPr>
        <w:spacing w:line="360" w:lineRule="auto"/>
        <w:jc w:val="both"/>
        <w:rPr>
          <w:rFonts w:ascii="Palatino Linotype" w:eastAsia="MS Mincho" w:hAnsi="Palatino Linotype" w:cs="Arial"/>
          <w:szCs w:val="22"/>
        </w:rPr>
      </w:pPr>
      <w:r w:rsidRPr="00F507D3">
        <w:rPr>
          <w:rFonts w:ascii="Palatino Linotype" w:eastAsia="MS Mincho" w:hAnsi="Palatino Linotype" w:cs="Arial"/>
          <w:b/>
          <w:szCs w:val="22"/>
        </w:rPr>
        <w:t xml:space="preserve">Del análisis de la clasificación de la información, relacionada con procedimientos de responsabilidad administrativa en trámite y sus excepciones. </w:t>
      </w:r>
    </w:p>
    <w:p w14:paraId="54E82015" w14:textId="77777777" w:rsidR="00865B28" w:rsidRPr="00F507D3" w:rsidRDefault="00865B28" w:rsidP="00865B28">
      <w:pPr>
        <w:pStyle w:val="Sinespaciado"/>
        <w:spacing w:line="360" w:lineRule="auto"/>
        <w:ind w:left="720"/>
        <w:jc w:val="both"/>
        <w:rPr>
          <w:rFonts w:ascii="Palatino Linotype" w:eastAsia="MS Mincho" w:hAnsi="Palatino Linotype" w:cs="Arial"/>
          <w:szCs w:val="22"/>
        </w:rPr>
      </w:pPr>
    </w:p>
    <w:p w14:paraId="32DCD1A5" w14:textId="084E721C" w:rsidR="00865B28" w:rsidRPr="00F507D3" w:rsidRDefault="00865B28" w:rsidP="00865B28">
      <w:pPr>
        <w:pStyle w:val="Sinespaciado"/>
        <w:spacing w:line="360" w:lineRule="auto"/>
        <w:jc w:val="both"/>
        <w:rPr>
          <w:rFonts w:ascii="Palatino Linotype" w:eastAsia="Calibri" w:hAnsi="Palatino Linotype" w:cs="Tahoma"/>
          <w:iCs/>
          <w:szCs w:val="22"/>
          <w:lang w:eastAsia="es-ES_tradnl"/>
        </w:rPr>
      </w:pPr>
      <w:r w:rsidRPr="00F507D3">
        <w:rPr>
          <w:rFonts w:ascii="Palatino Linotype" w:eastAsia="Calibri" w:hAnsi="Palatino Linotype" w:cs="Tahoma"/>
          <w:iCs/>
          <w:szCs w:val="22"/>
          <w:lang w:eastAsia="es-ES_tradnl"/>
        </w:rPr>
        <w:t>Conforme a lo anterior, es de mencionar que el artículo 140, fracción VI de la Ley de Transparencia y Acceso a la Información Pública del Estado de México y Municipios, correlativo al IX de la Ley General de Transparencia y Acceso a la Información Pública y encuadrado al Vigésimo Octavo de los Lineamientos Generales de Clasificación y Desclasificación de la Información, que se citan a continuación:</w:t>
      </w:r>
    </w:p>
    <w:p w14:paraId="447C551E" w14:textId="77777777" w:rsidR="00865B28" w:rsidRPr="00F507D3" w:rsidRDefault="00865B28" w:rsidP="00865B28">
      <w:pPr>
        <w:pStyle w:val="Sinespaciado"/>
        <w:spacing w:line="360" w:lineRule="auto"/>
        <w:jc w:val="both"/>
        <w:rPr>
          <w:rFonts w:ascii="Palatino Linotype" w:eastAsia="Calibri" w:hAnsi="Palatino Linotype" w:cs="Tahoma"/>
          <w:iCs/>
          <w:sz w:val="22"/>
          <w:szCs w:val="22"/>
          <w:lang w:eastAsia="es-ES_tradnl"/>
        </w:rPr>
      </w:pPr>
    </w:p>
    <w:p w14:paraId="61D35C0D" w14:textId="137A7F21" w:rsidR="00F330A7" w:rsidRPr="00F507D3" w:rsidRDefault="00F330A7" w:rsidP="00A30A46">
      <w:pPr>
        <w:pStyle w:val="Sinespaciado"/>
        <w:spacing w:line="276" w:lineRule="auto"/>
        <w:ind w:left="851" w:right="900"/>
        <w:contextualSpacing/>
        <w:jc w:val="center"/>
        <w:rPr>
          <w:rFonts w:ascii="Palatino Linotype" w:eastAsia="Calibri" w:hAnsi="Palatino Linotype" w:cs="Tahoma"/>
          <w:b/>
          <w:i/>
          <w:iCs/>
          <w:sz w:val="22"/>
          <w:szCs w:val="22"/>
          <w:lang w:eastAsia="es-ES_tradnl"/>
        </w:rPr>
      </w:pPr>
      <w:r w:rsidRPr="00F507D3">
        <w:rPr>
          <w:rFonts w:ascii="Palatino Linotype" w:eastAsia="Calibri" w:hAnsi="Palatino Linotype" w:cs="Tahoma"/>
          <w:b/>
          <w:i/>
          <w:iCs/>
          <w:sz w:val="22"/>
          <w:szCs w:val="22"/>
          <w:lang w:eastAsia="es-ES_tradnl"/>
        </w:rPr>
        <w:t>Ley de Transparencia y Acceso a la Información Pública del Estado de México y Municipios.</w:t>
      </w:r>
    </w:p>
    <w:p w14:paraId="20C9310E" w14:textId="77777777"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p>
    <w:p w14:paraId="31227DB3" w14:textId="237332C1"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b/>
          <w:i/>
          <w:sz w:val="22"/>
          <w:szCs w:val="22"/>
        </w:rPr>
        <w:lastRenderedPageBreak/>
        <w:t>Artículo 140.</w:t>
      </w:r>
      <w:r w:rsidRPr="00F507D3">
        <w:rPr>
          <w:rFonts w:ascii="Palatino Linotype" w:hAnsi="Palatino Linotype"/>
          <w:i/>
          <w:sz w:val="22"/>
          <w:szCs w:val="22"/>
        </w:rPr>
        <w:t xml:space="preserve"> El acceso a la información pública será restringido excepcionalmente, cuando por razones de interés público, ésta sea clasificada como reservada, conforme a los criterios siguientes:</w:t>
      </w:r>
    </w:p>
    <w:p w14:paraId="156ECDDD" w14:textId="0B5E5F78"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w:t>
      </w:r>
    </w:p>
    <w:p w14:paraId="7D39D068" w14:textId="37A12F42"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D9EC341" w14:textId="597D746D"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w:t>
      </w:r>
    </w:p>
    <w:p w14:paraId="3E8130CC" w14:textId="77777777"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p>
    <w:p w14:paraId="79592AB0" w14:textId="5D6BC2EB" w:rsidR="00F330A7" w:rsidRPr="00F507D3" w:rsidRDefault="00F330A7" w:rsidP="00A30A46">
      <w:pPr>
        <w:pStyle w:val="Sinespaciado"/>
        <w:spacing w:line="276" w:lineRule="auto"/>
        <w:ind w:left="851" w:right="900"/>
        <w:contextualSpacing/>
        <w:jc w:val="center"/>
        <w:rPr>
          <w:rFonts w:ascii="Palatino Linotype" w:eastAsia="Calibri" w:hAnsi="Palatino Linotype" w:cs="Tahoma"/>
          <w:b/>
          <w:i/>
          <w:iCs/>
          <w:sz w:val="22"/>
          <w:szCs w:val="22"/>
          <w:lang w:eastAsia="es-ES_tradnl"/>
        </w:rPr>
      </w:pPr>
      <w:r w:rsidRPr="00F507D3">
        <w:rPr>
          <w:rFonts w:ascii="Palatino Linotype" w:eastAsia="Calibri" w:hAnsi="Palatino Linotype" w:cs="Tahoma"/>
          <w:b/>
          <w:i/>
          <w:iCs/>
          <w:sz w:val="22"/>
          <w:szCs w:val="22"/>
          <w:lang w:eastAsia="es-ES_tradnl"/>
        </w:rPr>
        <w:t>Ley General de Transparencia y Acceso a la Información Pública</w:t>
      </w:r>
    </w:p>
    <w:p w14:paraId="5753C43C" w14:textId="77777777"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p>
    <w:p w14:paraId="439C24A9" w14:textId="68480B17"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r w:rsidRPr="00F507D3">
        <w:rPr>
          <w:rFonts w:ascii="Palatino Linotype" w:hAnsi="Palatino Linotype"/>
          <w:i/>
          <w:sz w:val="22"/>
          <w:szCs w:val="22"/>
        </w:rPr>
        <w:t>Artículo 113. Como información reservada podrá clasificarse aquella cuya publicación:</w:t>
      </w:r>
    </w:p>
    <w:p w14:paraId="3CE860B3" w14:textId="128BB623"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r w:rsidRPr="00F507D3">
        <w:rPr>
          <w:rFonts w:ascii="Palatino Linotype" w:eastAsia="Calibri" w:hAnsi="Palatino Linotype" w:cs="Tahoma"/>
          <w:i/>
          <w:iCs/>
          <w:sz w:val="22"/>
          <w:szCs w:val="22"/>
          <w:lang w:eastAsia="es-ES_tradnl"/>
        </w:rPr>
        <w:t>…</w:t>
      </w:r>
    </w:p>
    <w:p w14:paraId="0A21987A" w14:textId="45E33166"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IX. Obstruya los procedimientos para fincar responsabilidad a los Servidores Públicos, en tanto no se haya dictado la resolución administrativa;</w:t>
      </w:r>
    </w:p>
    <w:p w14:paraId="10758064" w14:textId="03907136"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w:t>
      </w:r>
    </w:p>
    <w:p w14:paraId="37EAEEEC" w14:textId="77777777" w:rsidR="00F330A7"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p>
    <w:p w14:paraId="3262361F" w14:textId="6CC78D28" w:rsidR="00F330A7" w:rsidRPr="00F507D3" w:rsidRDefault="00F330A7" w:rsidP="00A30A46">
      <w:pPr>
        <w:pStyle w:val="Sinespaciado"/>
        <w:spacing w:line="276" w:lineRule="auto"/>
        <w:ind w:left="851" w:right="900"/>
        <w:contextualSpacing/>
        <w:jc w:val="center"/>
        <w:rPr>
          <w:rFonts w:ascii="Palatino Linotype" w:eastAsia="Calibri" w:hAnsi="Palatino Linotype" w:cs="Tahoma"/>
          <w:b/>
          <w:i/>
          <w:iCs/>
          <w:sz w:val="22"/>
          <w:szCs w:val="22"/>
          <w:lang w:eastAsia="es-ES_tradnl"/>
        </w:rPr>
      </w:pPr>
      <w:r w:rsidRPr="00F507D3">
        <w:rPr>
          <w:rFonts w:ascii="Palatino Linotype" w:eastAsia="Calibri" w:hAnsi="Palatino Linotype" w:cs="Tahoma"/>
          <w:b/>
          <w:i/>
          <w:iCs/>
          <w:sz w:val="22"/>
          <w:szCs w:val="22"/>
          <w:lang w:eastAsia="es-ES_tradnl"/>
        </w:rPr>
        <w:t>Lineamientos Generales de Clasificación y Desclasificación de la Información, que se citan a continuación:</w:t>
      </w:r>
    </w:p>
    <w:p w14:paraId="70DA3B88" w14:textId="77777777" w:rsidR="00865B28" w:rsidRPr="00F507D3" w:rsidRDefault="00865B28"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p>
    <w:p w14:paraId="4ADC978B" w14:textId="77777777"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b/>
          <w:i/>
          <w:sz w:val="22"/>
          <w:szCs w:val="22"/>
        </w:rPr>
        <w:t>Vigésimo octavo.</w:t>
      </w:r>
      <w:r w:rsidRPr="00F507D3">
        <w:rPr>
          <w:rFonts w:ascii="Palatino Linotype" w:hAnsi="Palatino Linotype"/>
          <w:i/>
          <w:sz w:val="22"/>
          <w:szCs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5FE8AA1F" w14:textId="77777777"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p>
    <w:p w14:paraId="2F7CD23A" w14:textId="77777777"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lastRenderedPageBreak/>
        <w:t xml:space="preserve">I. La existencia de un procedimiento de responsabilidad administrativa en trámite; </w:t>
      </w:r>
    </w:p>
    <w:p w14:paraId="440DC070" w14:textId="6299C399"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 xml:space="preserve">II. Que la información se refiera a actuaciones, diligencias y constancias propias del procedimiento de responsabilidad; y </w:t>
      </w:r>
    </w:p>
    <w:p w14:paraId="2EDE6E6A" w14:textId="5E9C5BDB" w:rsidR="00F330A7" w:rsidRPr="00F507D3" w:rsidRDefault="00F330A7" w:rsidP="00A30A46">
      <w:pPr>
        <w:pStyle w:val="Sinespaciado"/>
        <w:spacing w:line="276" w:lineRule="auto"/>
        <w:ind w:left="851" w:right="900"/>
        <w:contextualSpacing/>
        <w:jc w:val="both"/>
        <w:rPr>
          <w:rFonts w:ascii="Palatino Linotype" w:hAnsi="Palatino Linotype"/>
          <w:i/>
          <w:sz w:val="22"/>
          <w:szCs w:val="22"/>
        </w:rPr>
      </w:pPr>
      <w:r w:rsidRPr="00F507D3">
        <w:rPr>
          <w:rFonts w:ascii="Palatino Linotype" w:hAnsi="Palatino Linotype"/>
          <w:i/>
          <w:sz w:val="22"/>
          <w:szCs w:val="22"/>
        </w:rPr>
        <w:t>III. Que con su difusión se pueda llegar a interrumpir o menoscabar la actuación de las autoridades administrativas que impida u obstaculice su determinación en el procedimiento de responsabilidad.</w:t>
      </w:r>
    </w:p>
    <w:p w14:paraId="6E731FCB" w14:textId="6268BC05" w:rsidR="00865B28" w:rsidRPr="00F507D3" w:rsidRDefault="00F330A7" w:rsidP="00A30A46">
      <w:pPr>
        <w:pStyle w:val="Sinespaciado"/>
        <w:spacing w:line="276" w:lineRule="auto"/>
        <w:ind w:left="851" w:right="900"/>
        <w:contextualSpacing/>
        <w:jc w:val="both"/>
        <w:rPr>
          <w:rFonts w:ascii="Palatino Linotype" w:eastAsia="Calibri" w:hAnsi="Palatino Linotype" w:cs="Tahoma"/>
          <w:i/>
          <w:iCs/>
          <w:sz w:val="22"/>
          <w:szCs w:val="22"/>
          <w:lang w:eastAsia="es-ES_tradnl"/>
        </w:rPr>
      </w:pPr>
      <w:r w:rsidRPr="00F507D3">
        <w:rPr>
          <w:rFonts w:ascii="Palatino Linotype" w:hAnsi="Palatino Linotype"/>
          <w:i/>
          <w:sz w:val="22"/>
          <w:szCs w:val="22"/>
        </w:rPr>
        <w:t>…</w:t>
      </w:r>
    </w:p>
    <w:p w14:paraId="15A12924" w14:textId="77777777" w:rsidR="00A30A46" w:rsidRPr="00F507D3" w:rsidRDefault="00A30A46" w:rsidP="00F330A7">
      <w:pPr>
        <w:pStyle w:val="Sinespaciado"/>
        <w:spacing w:line="360" w:lineRule="auto"/>
        <w:jc w:val="both"/>
        <w:rPr>
          <w:rFonts w:ascii="Palatino Linotype" w:eastAsia="Calibri" w:hAnsi="Palatino Linotype" w:cs="Tahoma"/>
          <w:iCs/>
          <w:sz w:val="22"/>
          <w:szCs w:val="22"/>
          <w:lang w:eastAsia="es-ES_tradnl"/>
        </w:rPr>
      </w:pPr>
    </w:p>
    <w:p w14:paraId="7A2FB401" w14:textId="13E1D442" w:rsidR="00865B28" w:rsidRPr="00F507D3" w:rsidRDefault="00F330A7" w:rsidP="00A30A46">
      <w:pPr>
        <w:pStyle w:val="Sinespaciado"/>
        <w:spacing w:line="360" w:lineRule="auto"/>
        <w:contextualSpacing/>
        <w:jc w:val="both"/>
        <w:rPr>
          <w:rFonts w:ascii="Palatino Linotype" w:eastAsia="Calibri" w:hAnsi="Palatino Linotype" w:cs="Tahoma"/>
          <w:iCs/>
          <w:szCs w:val="22"/>
          <w:lang w:eastAsia="es-ES_tradnl"/>
        </w:rPr>
      </w:pPr>
      <w:r w:rsidRPr="00F507D3">
        <w:rPr>
          <w:rFonts w:ascii="Palatino Linotype" w:eastAsia="Calibri" w:hAnsi="Palatino Linotype" w:cs="Tahoma"/>
          <w:iCs/>
          <w:szCs w:val="22"/>
          <w:lang w:eastAsia="es-ES_tradnl"/>
        </w:rPr>
        <w:t xml:space="preserve">Establecen que </w:t>
      </w:r>
      <w:r w:rsidR="00865B28" w:rsidRPr="00F507D3">
        <w:rPr>
          <w:rFonts w:ascii="Palatino Linotype" w:hAnsi="Palatino Linotype" w:cs="Tahoma"/>
          <w:szCs w:val="22"/>
          <w:lang w:val="es-ES"/>
        </w:rPr>
        <w:t xml:space="preserve">aquella información que afecte o vulnere la conducción de procedimientos de </w:t>
      </w:r>
      <w:r w:rsidR="00865B28" w:rsidRPr="00F507D3">
        <w:rPr>
          <w:rFonts w:ascii="Palatino Linotype" w:hAnsi="Palatino Linotype" w:cs="Tahoma"/>
          <w:b/>
          <w:szCs w:val="22"/>
          <w:lang w:val="es-ES"/>
        </w:rPr>
        <w:t>responsabilidades administrativas</w:t>
      </w:r>
      <w:r w:rsidR="00865B28" w:rsidRPr="00F507D3">
        <w:rPr>
          <w:rFonts w:ascii="Palatino Linotype" w:hAnsi="Palatino Linotype" w:cs="Tahoma"/>
          <w:szCs w:val="22"/>
          <w:lang w:val="es-ES"/>
        </w:rPr>
        <w:t xml:space="preserve">, en tanto no hayan quedado firmes, </w:t>
      </w:r>
      <w:r w:rsidR="00865B28" w:rsidRPr="00F507D3">
        <w:rPr>
          <w:rFonts w:ascii="Palatino Linotype" w:hAnsi="Palatino Linotype" w:cs="Tahoma"/>
          <w:bCs/>
          <w:szCs w:val="22"/>
          <w:lang w:val="es-ES"/>
        </w:rPr>
        <w:t>será reservada.</w:t>
      </w:r>
      <w:r w:rsidR="00865B28" w:rsidRPr="00F507D3">
        <w:rPr>
          <w:rFonts w:ascii="Palatino Linotype" w:hAnsi="Palatino Linotype" w:cs="Tahoma"/>
          <w:b/>
          <w:bCs/>
          <w:szCs w:val="22"/>
          <w:u w:val="single"/>
          <w:lang w:val="es-ES"/>
        </w:rPr>
        <w:t xml:space="preserve"> </w:t>
      </w:r>
    </w:p>
    <w:p w14:paraId="13198FD0" w14:textId="77777777" w:rsidR="00865B28" w:rsidRPr="00F507D3" w:rsidRDefault="00865B28" w:rsidP="00A30A46">
      <w:pPr>
        <w:pStyle w:val="Sinespaciado"/>
        <w:spacing w:line="360" w:lineRule="auto"/>
        <w:contextualSpacing/>
        <w:jc w:val="both"/>
        <w:rPr>
          <w:rFonts w:ascii="Palatino Linotype" w:eastAsia="Calibri" w:hAnsi="Palatino Linotype" w:cs="Tahoma"/>
          <w:iCs/>
          <w:szCs w:val="22"/>
          <w:lang w:eastAsia="es-ES_tradnl"/>
        </w:rPr>
      </w:pPr>
    </w:p>
    <w:p w14:paraId="56AEE55E" w14:textId="77777777" w:rsidR="00865B28" w:rsidRPr="00F507D3" w:rsidRDefault="00865B28" w:rsidP="00A30A46">
      <w:pPr>
        <w:pStyle w:val="Sinespaciado"/>
        <w:spacing w:line="360" w:lineRule="auto"/>
        <w:contextualSpacing/>
        <w:jc w:val="both"/>
        <w:rPr>
          <w:rFonts w:ascii="Palatino Linotype" w:eastAsia="Calibri" w:hAnsi="Palatino Linotype" w:cs="Tahoma"/>
          <w:iCs/>
          <w:szCs w:val="22"/>
          <w:lang w:eastAsia="es-ES_tradnl"/>
        </w:rPr>
      </w:pPr>
      <w:r w:rsidRPr="00F507D3">
        <w:rPr>
          <w:rFonts w:ascii="Palatino Linotype" w:eastAsia="Calibri" w:hAnsi="Palatino Linotype" w:cs="Tahoma"/>
          <w:iCs/>
          <w:szCs w:val="22"/>
          <w:lang w:eastAsia="es-ES_tradnl"/>
        </w:rPr>
        <w:t xml:space="preserve">Por lo cual, la causal de reserva prevé que la información podrá clasificarse como reservada en el caso de que obstruya los procedimientos para fincar responsabilidades a los servidores públicos, es decir, esta pretende proteger la información vinculada a dichos procedimientos, situación por la que se realiza el siguiente análisis. </w:t>
      </w:r>
    </w:p>
    <w:p w14:paraId="0EA239F1" w14:textId="77777777" w:rsidR="00865B28" w:rsidRPr="00F507D3" w:rsidRDefault="00865B28" w:rsidP="00A30A46">
      <w:pPr>
        <w:pStyle w:val="Sinespaciado"/>
        <w:spacing w:line="360" w:lineRule="auto"/>
        <w:contextualSpacing/>
        <w:jc w:val="both"/>
        <w:rPr>
          <w:rFonts w:ascii="Palatino Linotype" w:eastAsia="Calibri" w:hAnsi="Palatino Linotype" w:cs="Tahoma"/>
          <w:iCs/>
          <w:szCs w:val="22"/>
          <w:lang w:eastAsia="es-ES_tradnl"/>
        </w:rPr>
      </w:pPr>
    </w:p>
    <w:p w14:paraId="00959085" w14:textId="2C2F5DCC" w:rsidR="00865B28" w:rsidRPr="00F507D3" w:rsidRDefault="00713623" w:rsidP="00A30A46">
      <w:pPr>
        <w:spacing w:after="0" w:line="360" w:lineRule="auto"/>
        <w:contextualSpacing/>
        <w:jc w:val="both"/>
        <w:rPr>
          <w:rFonts w:ascii="Palatino Linotype" w:hAnsi="Palatino Linotype" w:cs="Tahoma"/>
          <w:iCs/>
          <w:sz w:val="24"/>
          <w:lang w:eastAsia="es-ES_tradnl"/>
        </w:rPr>
      </w:pPr>
      <w:r w:rsidRPr="00F507D3">
        <w:rPr>
          <w:rFonts w:ascii="Palatino Linotype" w:hAnsi="Palatino Linotype" w:cs="Tahoma"/>
          <w:b/>
          <w:iCs/>
          <w:sz w:val="24"/>
          <w:lang w:eastAsia="es-ES_tradnl"/>
        </w:rPr>
        <w:t xml:space="preserve">I. </w:t>
      </w:r>
      <w:r w:rsidR="00865B28" w:rsidRPr="00F507D3">
        <w:rPr>
          <w:rFonts w:ascii="Palatino Linotype" w:hAnsi="Palatino Linotype" w:cs="Tahoma"/>
          <w:b/>
          <w:iCs/>
          <w:sz w:val="24"/>
          <w:lang w:eastAsia="es-ES_tradnl"/>
        </w:rPr>
        <w:t xml:space="preserve">De la existencia de un procedimiento de responsabilidad por faltas </w:t>
      </w:r>
      <w:r w:rsidR="00865B28" w:rsidRPr="00F507D3">
        <w:rPr>
          <w:rFonts w:ascii="Palatino Linotype" w:eastAsia="Palatino Linotype" w:hAnsi="Palatino Linotype" w:cs="Palatino Linotype"/>
          <w:b/>
          <w:sz w:val="24"/>
        </w:rPr>
        <w:t xml:space="preserve">no graves en trámite o concluidos sin importar si fue absolutorio o condenatorio.  </w:t>
      </w:r>
    </w:p>
    <w:p w14:paraId="37ACDC81" w14:textId="77777777" w:rsidR="00865B28" w:rsidRPr="00F507D3" w:rsidRDefault="00865B28" w:rsidP="00A30A46">
      <w:pPr>
        <w:spacing w:after="0" w:line="360" w:lineRule="auto"/>
        <w:contextualSpacing/>
        <w:jc w:val="both"/>
        <w:rPr>
          <w:rFonts w:ascii="Palatino Linotype" w:eastAsia="Palatino Linotype" w:hAnsi="Palatino Linotype" w:cs="Palatino Linotype"/>
          <w:sz w:val="24"/>
        </w:rPr>
      </w:pPr>
    </w:p>
    <w:p w14:paraId="07FEE87E" w14:textId="2B0666F5" w:rsidR="00AF7EEA" w:rsidRPr="00F507D3" w:rsidRDefault="00F330A7" w:rsidP="00A30A46">
      <w:pPr>
        <w:spacing w:after="0" w:line="360" w:lineRule="auto"/>
        <w:contextualSpacing/>
        <w:jc w:val="both"/>
        <w:rPr>
          <w:rFonts w:ascii="Palatino Linotype" w:eastAsia="Palatino Linotype" w:hAnsi="Palatino Linotype" w:cs="Palatino Linotype"/>
          <w:sz w:val="24"/>
        </w:rPr>
      </w:pPr>
      <w:r w:rsidRPr="00F507D3">
        <w:rPr>
          <w:rFonts w:ascii="Palatino Linotype" w:eastAsia="Palatino Linotype" w:hAnsi="Palatino Linotype" w:cs="Palatino Linotype"/>
          <w:sz w:val="24"/>
        </w:rPr>
        <w:t>En lo que respecta a la primera hipótesis, se tiene que el Sujeto Obligado a través del desahogo de su requerimiento de información precisó que existían 379 denuncia</w:t>
      </w:r>
      <w:r w:rsidR="00AF7EEA" w:rsidRPr="00F507D3">
        <w:rPr>
          <w:rFonts w:ascii="Palatino Linotype" w:eastAsia="Palatino Linotype" w:hAnsi="Palatino Linotype" w:cs="Palatino Linotype"/>
          <w:sz w:val="24"/>
        </w:rPr>
        <w:t>s que se encontraban en trámite, situación que permite confirmar la existencia de un procedimiento de responsabilidad administrativa en trámite.</w:t>
      </w:r>
    </w:p>
    <w:p w14:paraId="2FA8963A" w14:textId="77777777" w:rsidR="00AF7EEA" w:rsidRPr="00F507D3" w:rsidRDefault="00AF7EEA" w:rsidP="00A30A46">
      <w:pPr>
        <w:spacing w:after="0" w:line="360" w:lineRule="auto"/>
        <w:contextualSpacing/>
        <w:jc w:val="both"/>
        <w:rPr>
          <w:rFonts w:ascii="Palatino Linotype" w:eastAsia="Palatino Linotype" w:hAnsi="Palatino Linotype" w:cs="Palatino Linotype"/>
          <w:sz w:val="24"/>
        </w:rPr>
      </w:pPr>
    </w:p>
    <w:p w14:paraId="0D4EDC17" w14:textId="43D41FAA" w:rsidR="00AF7EEA" w:rsidRPr="00F507D3" w:rsidRDefault="00AF7EEA" w:rsidP="00A30A46">
      <w:pPr>
        <w:spacing w:after="0" w:line="360" w:lineRule="auto"/>
        <w:contextualSpacing/>
        <w:jc w:val="both"/>
        <w:rPr>
          <w:rFonts w:ascii="Palatino Linotype" w:eastAsia="Palatino Linotype" w:hAnsi="Palatino Linotype" w:cs="Palatino Linotype"/>
          <w:b/>
          <w:sz w:val="24"/>
        </w:rPr>
      </w:pPr>
      <w:r w:rsidRPr="00F507D3">
        <w:rPr>
          <w:rFonts w:ascii="Palatino Linotype" w:eastAsia="Palatino Linotype" w:hAnsi="Palatino Linotype" w:cs="Palatino Linotype"/>
          <w:b/>
          <w:sz w:val="24"/>
        </w:rPr>
        <w:t xml:space="preserve">Por lo que se actualiza la primera hipótesis normativa. </w:t>
      </w:r>
    </w:p>
    <w:p w14:paraId="65FA0664" w14:textId="77777777" w:rsidR="00AF7EEA" w:rsidRPr="00F507D3" w:rsidRDefault="00AF7EEA" w:rsidP="00A30A46">
      <w:pPr>
        <w:spacing w:after="0" w:line="360" w:lineRule="auto"/>
        <w:contextualSpacing/>
        <w:jc w:val="both"/>
        <w:rPr>
          <w:rFonts w:ascii="Palatino Linotype" w:eastAsia="Palatino Linotype" w:hAnsi="Palatino Linotype" w:cs="Palatino Linotype"/>
          <w:sz w:val="24"/>
        </w:rPr>
      </w:pPr>
    </w:p>
    <w:p w14:paraId="356B84F2" w14:textId="44F317DC" w:rsidR="00AF7EEA" w:rsidRPr="00F507D3" w:rsidRDefault="00AF7EEA" w:rsidP="00A30A46">
      <w:pPr>
        <w:spacing w:after="0" w:line="360" w:lineRule="auto"/>
        <w:contextualSpacing/>
        <w:jc w:val="both"/>
        <w:rPr>
          <w:rFonts w:ascii="Palatino Linotype" w:eastAsia="Palatino Linotype" w:hAnsi="Palatino Linotype" w:cs="Palatino Linotype"/>
          <w:b/>
          <w:sz w:val="24"/>
        </w:rPr>
      </w:pPr>
      <w:r w:rsidRPr="00F507D3">
        <w:rPr>
          <w:rFonts w:ascii="Palatino Linotype" w:eastAsia="Palatino Linotype" w:hAnsi="Palatino Linotype" w:cs="Palatino Linotype"/>
          <w:b/>
          <w:sz w:val="24"/>
        </w:rPr>
        <w:t xml:space="preserve">II. Que la información se refiera a actuaciones, diligencias y constancias propias del procedimiento de responsabilidad. </w:t>
      </w:r>
    </w:p>
    <w:p w14:paraId="52C30E26" w14:textId="77777777" w:rsidR="00AF7EEA" w:rsidRPr="00F507D3" w:rsidRDefault="00AF7EEA" w:rsidP="00A30A46">
      <w:pPr>
        <w:spacing w:after="0" w:line="360" w:lineRule="auto"/>
        <w:contextualSpacing/>
        <w:jc w:val="both"/>
        <w:rPr>
          <w:rFonts w:ascii="Palatino Linotype" w:eastAsia="Palatino Linotype" w:hAnsi="Palatino Linotype" w:cs="Palatino Linotype"/>
          <w:sz w:val="24"/>
        </w:rPr>
      </w:pPr>
    </w:p>
    <w:p w14:paraId="4D9B7121" w14:textId="3B00D578" w:rsidR="00252602" w:rsidRPr="00F507D3" w:rsidRDefault="00713623" w:rsidP="00A30A46">
      <w:pPr>
        <w:spacing w:after="0" w:line="360" w:lineRule="auto"/>
        <w:contextualSpacing/>
        <w:jc w:val="both"/>
        <w:rPr>
          <w:rFonts w:ascii="Palatino Linotype" w:eastAsia="Palatino Linotype" w:hAnsi="Palatino Linotype" w:cs="Palatino Linotype"/>
          <w:sz w:val="24"/>
        </w:rPr>
      </w:pPr>
      <w:r w:rsidRPr="00F507D3">
        <w:rPr>
          <w:rFonts w:ascii="Palatino Linotype" w:eastAsia="Palatino Linotype" w:hAnsi="Palatino Linotype" w:cs="Palatino Linotype"/>
          <w:sz w:val="24"/>
        </w:rPr>
        <w:t xml:space="preserve">En lo que respecta a esta hipótesis normativa, es de destacar que la información solicitada se encuentra contenida en los expedientes conformados con motivo de las denuncias, situación por la que se colige que, las documentales solicitadas son constancias propias de procedimientos de responsabilidad que se encuentran en trámite. </w:t>
      </w:r>
    </w:p>
    <w:p w14:paraId="0E3D3E45" w14:textId="77777777" w:rsidR="00A30A46" w:rsidRPr="00F507D3" w:rsidRDefault="00A30A46" w:rsidP="00A30A46">
      <w:pPr>
        <w:spacing w:after="0" w:line="360" w:lineRule="auto"/>
        <w:contextualSpacing/>
        <w:jc w:val="both"/>
        <w:rPr>
          <w:rFonts w:ascii="Palatino Linotype" w:eastAsia="Palatino Linotype" w:hAnsi="Palatino Linotype" w:cs="Palatino Linotype"/>
          <w:sz w:val="24"/>
        </w:rPr>
      </w:pPr>
    </w:p>
    <w:p w14:paraId="187FA930" w14:textId="0715EA5A" w:rsidR="00252602" w:rsidRPr="00F507D3" w:rsidRDefault="00252602" w:rsidP="00A30A46">
      <w:pPr>
        <w:spacing w:line="360" w:lineRule="auto"/>
        <w:contextualSpacing/>
        <w:jc w:val="both"/>
        <w:rPr>
          <w:rFonts w:ascii="Palatino Linotype" w:hAnsi="Palatino Linotype" w:cs="Tahoma"/>
          <w:bCs/>
          <w:iCs/>
          <w:sz w:val="24"/>
        </w:rPr>
      </w:pPr>
      <w:r w:rsidRPr="00F507D3">
        <w:rPr>
          <w:rFonts w:ascii="Palatino Linotype" w:hAnsi="Palatino Linotype" w:cs="Tahoma"/>
          <w:bCs/>
          <w:sz w:val="24"/>
        </w:rPr>
        <w:t xml:space="preserve">Asimismo, es de destacar que el artículo 32 del Código de Procedimientos Administrativos del Estado de México </w:t>
      </w:r>
      <w:r w:rsidRPr="00F507D3">
        <w:rPr>
          <w:rFonts w:ascii="Palatino Linotype" w:hAnsi="Palatino Linotype" w:cs="Tahoma"/>
          <w:bCs/>
          <w:iCs/>
          <w:sz w:val="24"/>
        </w:rPr>
        <w:t>que establece lo siguiente:</w:t>
      </w:r>
    </w:p>
    <w:p w14:paraId="748A439E" w14:textId="77777777" w:rsidR="00252602" w:rsidRPr="00F507D3" w:rsidRDefault="00252602" w:rsidP="00A30A46">
      <w:pPr>
        <w:spacing w:after="0" w:line="360" w:lineRule="auto"/>
        <w:contextualSpacing/>
        <w:jc w:val="both"/>
        <w:rPr>
          <w:rFonts w:ascii="Palatino Linotype" w:hAnsi="Palatino Linotype" w:cs="Tahoma"/>
          <w:bCs/>
          <w:iCs/>
          <w:sz w:val="24"/>
        </w:rPr>
      </w:pPr>
    </w:p>
    <w:p w14:paraId="7750F28A" w14:textId="77777777" w:rsidR="00252602" w:rsidRPr="00F507D3" w:rsidRDefault="00252602" w:rsidP="00A30A46">
      <w:pPr>
        <w:pStyle w:val="Prrafodelista"/>
        <w:numPr>
          <w:ilvl w:val="0"/>
          <w:numId w:val="14"/>
        </w:numPr>
        <w:spacing w:after="0" w:line="360" w:lineRule="auto"/>
        <w:ind w:right="616"/>
        <w:jc w:val="both"/>
        <w:rPr>
          <w:rFonts w:ascii="Palatino Linotype" w:hAnsi="Palatino Linotype" w:cs="Tahoma"/>
          <w:bCs/>
          <w:sz w:val="24"/>
        </w:rPr>
      </w:pPr>
      <w:r w:rsidRPr="00F507D3">
        <w:rPr>
          <w:rFonts w:ascii="Palatino Linotype" w:hAnsi="Palatino Linotype" w:cs="Tahoma"/>
          <w:sz w:val="24"/>
        </w:rPr>
        <w:t>El procedimiento terminará por: desistimiento; convenio entre los particulares y las autoridades administrativas;</w:t>
      </w:r>
      <w:r w:rsidRPr="00F507D3">
        <w:rPr>
          <w:rFonts w:ascii="Palatino Linotype" w:hAnsi="Palatino Linotype" w:cs="Tahoma"/>
          <w:bCs/>
          <w:sz w:val="24"/>
        </w:rPr>
        <w:t xml:space="preserve"> resolución expresa del mismo; resolución afirmativa ficta que se configure y; resolución negativa ficta. </w:t>
      </w:r>
    </w:p>
    <w:p w14:paraId="777598EE" w14:textId="77777777" w:rsidR="00252602" w:rsidRPr="00F507D3" w:rsidRDefault="00252602" w:rsidP="00A30A46">
      <w:pPr>
        <w:pStyle w:val="Prrafodelista"/>
        <w:spacing w:after="0" w:line="360" w:lineRule="auto"/>
        <w:ind w:left="780"/>
        <w:jc w:val="both"/>
        <w:rPr>
          <w:rFonts w:ascii="Palatino Linotype" w:hAnsi="Palatino Linotype" w:cs="Tahoma"/>
          <w:bCs/>
          <w:sz w:val="24"/>
        </w:rPr>
      </w:pPr>
    </w:p>
    <w:p w14:paraId="644CFF2F" w14:textId="78E69699" w:rsidR="00252602" w:rsidRPr="00F507D3" w:rsidRDefault="00252602" w:rsidP="00A30A46">
      <w:pPr>
        <w:spacing w:line="360" w:lineRule="auto"/>
        <w:contextualSpacing/>
        <w:jc w:val="both"/>
        <w:rPr>
          <w:rFonts w:ascii="Palatino Linotype" w:hAnsi="Palatino Linotype" w:cs="Tahoma"/>
          <w:iCs/>
          <w:sz w:val="24"/>
          <w:lang w:eastAsia="es-ES_tradnl"/>
        </w:rPr>
      </w:pPr>
      <w:r w:rsidRPr="00F507D3">
        <w:rPr>
          <w:rFonts w:ascii="Palatino Linotype" w:hAnsi="Palatino Linotype" w:cs="Tahoma"/>
          <w:sz w:val="24"/>
        </w:rPr>
        <w:t xml:space="preserve">Conforme a lo anterior, se logra observar que la decisión que da fin al procedimiento corresponde a </w:t>
      </w:r>
      <w:r w:rsidRPr="00F507D3">
        <w:rPr>
          <w:rFonts w:ascii="Palatino Linotype" w:hAnsi="Palatino Linotype" w:cs="Tahoma"/>
          <w:bCs/>
          <w:sz w:val="24"/>
        </w:rPr>
        <w:t xml:space="preserve">actuaciones, diligencias o constancias que obran en el expediente respectivo y que forma parte del procedimiento administrativo, pues es a través de </w:t>
      </w:r>
      <w:r w:rsidRPr="00F507D3">
        <w:rPr>
          <w:rFonts w:ascii="Palatino Linotype" w:hAnsi="Palatino Linotype" w:cs="Tahoma"/>
          <w:bCs/>
          <w:sz w:val="24"/>
        </w:rPr>
        <w:lastRenderedPageBreak/>
        <w:t xml:space="preserve">esta es como se decide si existe o no una posible infracción; por lo que, se considera </w:t>
      </w:r>
      <w:r w:rsidRPr="00F507D3">
        <w:rPr>
          <w:rFonts w:ascii="Palatino Linotype" w:hAnsi="Palatino Linotype" w:cs="Tahoma"/>
          <w:iCs/>
          <w:sz w:val="24"/>
          <w:lang w:eastAsia="es-ES_tradnl"/>
        </w:rPr>
        <w:t xml:space="preserve">que se actualiza el </w:t>
      </w:r>
      <w:r w:rsidRPr="00F507D3">
        <w:rPr>
          <w:rFonts w:ascii="Palatino Linotype" w:hAnsi="Palatino Linotype" w:cs="Tahoma"/>
          <w:b/>
          <w:iCs/>
          <w:sz w:val="24"/>
          <w:lang w:eastAsia="es-ES_tradnl"/>
        </w:rPr>
        <w:t>segundo elemento de la causal de clasificación.</w:t>
      </w:r>
    </w:p>
    <w:p w14:paraId="5F4FEE8E" w14:textId="77777777" w:rsidR="00252602" w:rsidRPr="00F507D3" w:rsidRDefault="00252602" w:rsidP="00A30A46">
      <w:pPr>
        <w:spacing w:after="0" w:line="360" w:lineRule="auto"/>
        <w:contextualSpacing/>
        <w:jc w:val="both"/>
        <w:rPr>
          <w:rFonts w:ascii="Palatino Linotype" w:eastAsia="Palatino Linotype" w:hAnsi="Palatino Linotype" w:cs="Palatino Linotype"/>
          <w:sz w:val="24"/>
        </w:rPr>
      </w:pPr>
    </w:p>
    <w:p w14:paraId="134CC3AE" w14:textId="02FB97EC" w:rsidR="00713623" w:rsidRPr="00F507D3" w:rsidRDefault="00713623" w:rsidP="00A30A46">
      <w:pPr>
        <w:spacing w:after="0" w:line="360" w:lineRule="auto"/>
        <w:contextualSpacing/>
        <w:jc w:val="both"/>
        <w:rPr>
          <w:rFonts w:ascii="Palatino Linotype" w:hAnsi="Palatino Linotype"/>
          <w:b/>
          <w:sz w:val="24"/>
        </w:rPr>
      </w:pPr>
      <w:r w:rsidRPr="00F507D3">
        <w:rPr>
          <w:rFonts w:ascii="Palatino Linotype" w:hAnsi="Palatino Linotype"/>
          <w:b/>
          <w:sz w:val="24"/>
        </w:rPr>
        <w:t>III. Que con su difusión se pueda llegar a interrumpir o menoscabar la actuación de las autoridades administrativas que impida u obstaculice su determinación en el procedimiento de responsabilidad.</w:t>
      </w:r>
    </w:p>
    <w:p w14:paraId="08FFE492" w14:textId="77777777" w:rsidR="00713623" w:rsidRPr="00F507D3" w:rsidRDefault="00713623" w:rsidP="00A30A46">
      <w:pPr>
        <w:spacing w:after="0" w:line="360" w:lineRule="auto"/>
        <w:contextualSpacing/>
        <w:jc w:val="both"/>
        <w:rPr>
          <w:rFonts w:ascii="Palatino Linotype" w:hAnsi="Palatino Linotype"/>
          <w:sz w:val="24"/>
        </w:rPr>
      </w:pPr>
    </w:p>
    <w:p w14:paraId="5BF0727B" w14:textId="30793621" w:rsidR="00713623" w:rsidRPr="00F507D3" w:rsidRDefault="00713623" w:rsidP="00A30A46">
      <w:pPr>
        <w:spacing w:after="0" w:line="360" w:lineRule="auto"/>
        <w:contextualSpacing/>
        <w:jc w:val="both"/>
        <w:rPr>
          <w:rFonts w:ascii="Palatino Linotype" w:eastAsia="Palatino Linotype" w:hAnsi="Palatino Linotype" w:cs="Palatino Linotype"/>
          <w:sz w:val="24"/>
        </w:rPr>
      </w:pPr>
      <w:r w:rsidRPr="00F507D3">
        <w:rPr>
          <w:rFonts w:ascii="Palatino Linotype" w:hAnsi="Palatino Linotype"/>
          <w:sz w:val="24"/>
        </w:rPr>
        <w:t xml:space="preserve">Finalmente, en lo que respecta a esta hipótesis normativa, se advierte que la difusión de la información contenida en expedientes administrativos que se encuentran en trámite puede obstaculizar la determinación del procedimiento de responsabilidad, esto es porque, </w:t>
      </w:r>
      <w:r w:rsidR="00252602" w:rsidRPr="00F507D3">
        <w:rPr>
          <w:rFonts w:ascii="Palatino Linotype" w:hAnsi="Palatino Linotype"/>
          <w:sz w:val="24"/>
        </w:rPr>
        <w:t xml:space="preserve">aún la autoridad no ha llegado a una determinación </w:t>
      </w:r>
      <w:r w:rsidR="0084258B" w:rsidRPr="00F507D3">
        <w:rPr>
          <w:rFonts w:ascii="Palatino Linotype" w:hAnsi="Palatino Linotype"/>
          <w:sz w:val="24"/>
        </w:rPr>
        <w:t xml:space="preserve">respecto </w:t>
      </w:r>
      <w:r w:rsidR="00252602" w:rsidRPr="00F507D3">
        <w:rPr>
          <w:rFonts w:ascii="Palatino Linotype" w:hAnsi="Palatino Linotype"/>
          <w:sz w:val="24"/>
        </w:rPr>
        <w:t xml:space="preserve">de responsabilidad </w:t>
      </w:r>
      <w:r w:rsidR="0084258B" w:rsidRPr="00F507D3">
        <w:rPr>
          <w:rFonts w:ascii="Palatino Linotype" w:hAnsi="Palatino Linotype"/>
          <w:sz w:val="24"/>
        </w:rPr>
        <w:t xml:space="preserve">del servidor público </w:t>
      </w:r>
      <w:r w:rsidR="00252602" w:rsidRPr="00F507D3">
        <w:rPr>
          <w:rFonts w:ascii="Palatino Linotype" w:hAnsi="Palatino Linotype"/>
          <w:sz w:val="24"/>
        </w:rPr>
        <w:t xml:space="preserve">y, por ende, entregar información </w:t>
      </w:r>
      <w:r w:rsidR="0084258B" w:rsidRPr="00F507D3">
        <w:rPr>
          <w:rFonts w:ascii="Palatino Linotype" w:hAnsi="Palatino Linotype"/>
          <w:sz w:val="24"/>
        </w:rPr>
        <w:t xml:space="preserve">que obra en un expediente puede dar pie a manipulación de pruebas, filtrar información, divulgación prematura de documentos y a una serie de actuaciones que podrían transgredir el curso de la investigación en proceso. </w:t>
      </w:r>
    </w:p>
    <w:p w14:paraId="08475594" w14:textId="77777777" w:rsidR="00865B28" w:rsidRPr="00F507D3" w:rsidRDefault="00865B28" w:rsidP="00A30A46">
      <w:pPr>
        <w:spacing w:after="0" w:line="360" w:lineRule="auto"/>
        <w:contextualSpacing/>
        <w:jc w:val="both"/>
        <w:rPr>
          <w:rFonts w:ascii="Palatino Linotype" w:eastAsia="Palatino Linotype" w:hAnsi="Palatino Linotype" w:cs="Palatino Linotype"/>
          <w:b/>
          <w:sz w:val="24"/>
        </w:rPr>
      </w:pPr>
    </w:p>
    <w:p w14:paraId="696E44AB" w14:textId="1631E3AA" w:rsidR="008E4CD6" w:rsidRPr="00F507D3" w:rsidRDefault="008E4CD6" w:rsidP="00A30A46">
      <w:pPr>
        <w:spacing w:after="0" w:line="360" w:lineRule="auto"/>
        <w:contextualSpacing/>
        <w:jc w:val="both"/>
        <w:rPr>
          <w:rFonts w:ascii="Palatino Linotype" w:eastAsia="Palatino Linotype" w:hAnsi="Palatino Linotype" w:cs="Palatino Linotype"/>
          <w:b/>
          <w:sz w:val="24"/>
        </w:rPr>
      </w:pPr>
      <w:r w:rsidRPr="00F507D3">
        <w:rPr>
          <w:rFonts w:ascii="Palatino Linotype" w:eastAsia="Palatino Linotype" w:hAnsi="Palatino Linotype" w:cs="Palatino Linotype"/>
          <w:b/>
          <w:sz w:val="24"/>
        </w:rPr>
        <w:t xml:space="preserve">Por lo que, se actualiza la última hipótesis normativa. </w:t>
      </w:r>
    </w:p>
    <w:p w14:paraId="12F7A5A9" w14:textId="77777777" w:rsidR="008E4CD6" w:rsidRPr="00F507D3" w:rsidRDefault="008E4CD6" w:rsidP="00A30A46">
      <w:pPr>
        <w:spacing w:after="0" w:line="360" w:lineRule="auto"/>
        <w:contextualSpacing/>
        <w:jc w:val="both"/>
        <w:rPr>
          <w:rFonts w:ascii="Palatino Linotype" w:eastAsia="Palatino Linotype" w:hAnsi="Palatino Linotype" w:cs="Palatino Linotype"/>
          <w:sz w:val="24"/>
        </w:rPr>
      </w:pPr>
    </w:p>
    <w:p w14:paraId="33AAC803" w14:textId="77777777" w:rsidR="00865B28" w:rsidRPr="00F507D3" w:rsidRDefault="00865B28" w:rsidP="00A30A46">
      <w:pPr>
        <w:spacing w:after="0" w:line="360" w:lineRule="auto"/>
        <w:contextualSpacing/>
        <w:jc w:val="both"/>
        <w:rPr>
          <w:rFonts w:ascii="Palatino Linotype" w:eastAsia="Palatino Linotype" w:hAnsi="Palatino Linotype" w:cs="Palatino Linotype"/>
          <w:sz w:val="24"/>
        </w:rPr>
      </w:pPr>
      <w:r w:rsidRPr="00F507D3">
        <w:rPr>
          <w:rFonts w:ascii="Palatino Linotype" w:eastAsia="Palatino Linotype" w:hAnsi="Palatino Linotype" w:cs="Palatino Linotype"/>
          <w:sz w:val="24"/>
        </w:rPr>
        <w:t>Por otra parte, se considera de suma importancia mencionar que la Ley de Transparencia vigente en el Estado de México establece:</w:t>
      </w:r>
    </w:p>
    <w:p w14:paraId="39C7EC3D" w14:textId="77777777" w:rsidR="00865B28" w:rsidRPr="00F507D3" w:rsidRDefault="00865B28" w:rsidP="00A30A46">
      <w:pPr>
        <w:spacing w:after="0" w:line="360" w:lineRule="auto"/>
        <w:contextualSpacing/>
        <w:jc w:val="both"/>
        <w:rPr>
          <w:rFonts w:ascii="Palatino Linotype" w:eastAsia="Palatino Linotype" w:hAnsi="Palatino Linotype" w:cs="Palatino Linotype"/>
          <w:sz w:val="24"/>
        </w:rPr>
      </w:pPr>
    </w:p>
    <w:p w14:paraId="45BEAF22" w14:textId="77777777" w:rsidR="00865B28" w:rsidRPr="00F507D3" w:rsidRDefault="00865B28" w:rsidP="00A30A46">
      <w:pPr>
        <w:spacing w:after="0" w:line="276" w:lineRule="auto"/>
        <w:ind w:left="567" w:right="618"/>
        <w:contextualSpacing/>
        <w:jc w:val="both"/>
        <w:rPr>
          <w:rFonts w:ascii="Palatino Linotype" w:eastAsia="Palatino Linotype" w:hAnsi="Palatino Linotype" w:cs="Palatino Linotype"/>
          <w:i/>
        </w:rPr>
      </w:pPr>
      <w:r w:rsidRPr="00F507D3">
        <w:rPr>
          <w:rFonts w:ascii="Palatino Linotype" w:eastAsia="Palatino Linotype" w:hAnsi="Palatino Linotype" w:cs="Palatino Linotype"/>
          <w:b/>
          <w:i/>
        </w:rPr>
        <w:t>Artículo 142.</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Bajo ninguna circunstancia podrá invocarse el carácter de reservado cuando</w:t>
      </w:r>
      <w:r w:rsidRPr="00F507D3">
        <w:rPr>
          <w:rFonts w:ascii="Palatino Linotype" w:eastAsia="Palatino Linotype" w:hAnsi="Palatino Linotype" w:cs="Palatino Linotype"/>
          <w:i/>
        </w:rPr>
        <w:t>:</w:t>
      </w:r>
    </w:p>
    <w:p w14:paraId="3F51966D" w14:textId="77777777" w:rsidR="00865B28" w:rsidRPr="00F507D3" w:rsidRDefault="00865B28" w:rsidP="00A30A46">
      <w:pPr>
        <w:spacing w:after="0" w:line="276" w:lineRule="auto"/>
        <w:ind w:left="567" w:right="618"/>
        <w:contextualSpacing/>
        <w:jc w:val="both"/>
        <w:rPr>
          <w:rFonts w:ascii="Palatino Linotype" w:eastAsia="Palatino Linotype" w:hAnsi="Palatino Linotype" w:cs="Palatino Linotype"/>
          <w:i/>
        </w:rPr>
      </w:pPr>
      <w:r w:rsidRPr="00F507D3">
        <w:rPr>
          <w:rFonts w:ascii="Palatino Linotype" w:eastAsia="Palatino Linotype" w:hAnsi="Palatino Linotype" w:cs="Palatino Linotype"/>
          <w:b/>
          <w:i/>
        </w:rPr>
        <w:lastRenderedPageBreak/>
        <w:t>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violaciones graves de derechos humanos</w:t>
      </w:r>
      <w:r w:rsidRPr="00F507D3">
        <w:rPr>
          <w:rFonts w:ascii="Palatino Linotype" w:eastAsia="Palatino Linotype" w:hAnsi="Palatino Linotype" w:cs="Palatino Linotype"/>
          <w:i/>
        </w:rPr>
        <w:t>, calificada así por autoridad competente;</w:t>
      </w:r>
    </w:p>
    <w:p w14:paraId="38049CBA" w14:textId="77777777" w:rsidR="00865B28" w:rsidRPr="00F507D3" w:rsidRDefault="00865B28" w:rsidP="00A30A46">
      <w:pPr>
        <w:spacing w:after="0" w:line="276" w:lineRule="auto"/>
        <w:ind w:left="567" w:right="618"/>
        <w:contextualSpacing/>
        <w:jc w:val="both"/>
        <w:rPr>
          <w:rFonts w:ascii="Palatino Linotype" w:eastAsia="Palatino Linotype" w:hAnsi="Palatino Linotype" w:cs="Palatino Linotype"/>
          <w:i/>
        </w:rPr>
      </w:pPr>
      <w:r w:rsidRPr="00F507D3">
        <w:rPr>
          <w:rFonts w:ascii="Palatino Linotype" w:eastAsia="Palatino Linotype" w:hAnsi="Palatino Linotype" w:cs="Palatino Linotype"/>
          <w:b/>
          <w:i/>
        </w:rPr>
        <w:t>II.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la investigación de posibles violaciones graves de derechos humanos</w:t>
      </w:r>
      <w:r w:rsidRPr="00F507D3">
        <w:rPr>
          <w:rFonts w:ascii="Palatino Linotype" w:eastAsia="Palatino Linotype" w:hAnsi="Palatino Linotype" w:cs="Palatino Linotype"/>
          <w:i/>
        </w:rPr>
        <w:t xml:space="preserve"> aun cuando no exista pronunciamiento previo de autoridad competente, cuando se determine, a partir de criterios cuantitativos y cualitativos la trascendencia social de las violaciones;</w:t>
      </w:r>
    </w:p>
    <w:p w14:paraId="23FD7033" w14:textId="77777777" w:rsidR="00865B28" w:rsidRPr="00F507D3" w:rsidRDefault="00865B28" w:rsidP="00A30A46">
      <w:pPr>
        <w:spacing w:after="0" w:line="276" w:lineRule="auto"/>
        <w:ind w:left="567" w:right="618"/>
        <w:contextualSpacing/>
        <w:jc w:val="both"/>
        <w:rPr>
          <w:rFonts w:ascii="Palatino Linotype" w:eastAsia="Palatino Linotype" w:hAnsi="Palatino Linotype" w:cs="Palatino Linotype"/>
          <w:i/>
        </w:rPr>
      </w:pPr>
      <w:r w:rsidRPr="00F507D3">
        <w:rPr>
          <w:rFonts w:ascii="Palatino Linotype" w:eastAsia="Palatino Linotype" w:hAnsi="Palatino Linotype" w:cs="Palatino Linotype"/>
          <w:b/>
          <w:i/>
        </w:rPr>
        <w:t>III.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delitos de lesa humanidad</w:t>
      </w:r>
      <w:r w:rsidRPr="00F507D3">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4CC62C31" w14:textId="77777777" w:rsidR="00865B28" w:rsidRPr="00F507D3" w:rsidRDefault="00865B28" w:rsidP="00A30A46">
      <w:pPr>
        <w:spacing w:after="0" w:line="276" w:lineRule="auto"/>
        <w:ind w:left="567" w:right="618"/>
        <w:contextualSpacing/>
        <w:jc w:val="both"/>
        <w:rPr>
          <w:rFonts w:ascii="Palatino Linotype" w:eastAsia="Palatino Linotype" w:hAnsi="Palatino Linotype" w:cs="Palatino Linotype"/>
          <w:i/>
        </w:rPr>
      </w:pPr>
      <w:r w:rsidRPr="00F507D3">
        <w:rPr>
          <w:rFonts w:ascii="Palatino Linotype" w:eastAsia="Palatino Linotype" w:hAnsi="Palatino Linotype" w:cs="Palatino Linotype"/>
          <w:b/>
          <w:i/>
        </w:rPr>
        <w:t>IV</w:t>
      </w:r>
      <w:r w:rsidRPr="00F507D3">
        <w:rPr>
          <w:rFonts w:ascii="Palatino Linotype" w:eastAsia="Palatino Linotype" w:hAnsi="Palatino Linotype" w:cs="Palatino Linotype"/>
          <w:b/>
          <w:i/>
          <w:u w:val="single"/>
        </w:rPr>
        <w:t>. Se trate de información relacionada con actos de corrupción</w:t>
      </w:r>
      <w:r w:rsidRPr="00F507D3">
        <w:rPr>
          <w:rFonts w:ascii="Palatino Linotype" w:eastAsia="Palatino Linotype" w:hAnsi="Palatino Linotype" w:cs="Palatino Linotype"/>
          <w:i/>
        </w:rPr>
        <w:t xml:space="preserve"> de conformidad con las disposiciones jurídicas aplicables.</w:t>
      </w:r>
    </w:p>
    <w:p w14:paraId="6A1A7D8E" w14:textId="77777777" w:rsidR="00865B28" w:rsidRPr="00F507D3" w:rsidRDefault="00865B28" w:rsidP="00A30A46">
      <w:pPr>
        <w:spacing w:after="0" w:line="360" w:lineRule="auto"/>
        <w:ind w:left="851" w:right="851"/>
        <w:contextualSpacing/>
        <w:jc w:val="both"/>
        <w:rPr>
          <w:rFonts w:ascii="Palatino Linotype" w:eastAsia="Palatino Linotype" w:hAnsi="Palatino Linotype" w:cs="Palatino Linotype"/>
          <w:i/>
          <w:sz w:val="24"/>
        </w:rPr>
      </w:pPr>
    </w:p>
    <w:p w14:paraId="02DD365F" w14:textId="25E799AE" w:rsidR="008E4CD6" w:rsidRPr="00F507D3" w:rsidRDefault="00865B28" w:rsidP="00A30A46">
      <w:pPr>
        <w:spacing w:after="0" w:line="360" w:lineRule="auto"/>
        <w:contextualSpacing/>
        <w:jc w:val="both"/>
        <w:rPr>
          <w:rFonts w:ascii="Palatino Linotype" w:eastAsia="Palatino Linotype" w:hAnsi="Palatino Linotype" w:cs="Palatino Linotype"/>
          <w:sz w:val="24"/>
        </w:rPr>
      </w:pPr>
      <w:r w:rsidRPr="00F507D3">
        <w:rPr>
          <w:rFonts w:ascii="Palatino Linotype" w:eastAsia="Palatino Linotype" w:hAnsi="Palatino Linotype" w:cs="Palatino Linotype"/>
          <w:sz w:val="24"/>
        </w:rPr>
        <w:t>Del artículo en estudio, se aprecia claramente en qué supuestos no se puede invocar el car</w:t>
      </w:r>
      <w:r w:rsidR="0084258B" w:rsidRPr="00F507D3">
        <w:rPr>
          <w:rFonts w:ascii="Palatino Linotype" w:eastAsia="Palatino Linotype" w:hAnsi="Palatino Linotype" w:cs="Palatino Linotype"/>
          <w:sz w:val="24"/>
        </w:rPr>
        <w:t xml:space="preserve">ácter de reservada, sin embargo, </w:t>
      </w:r>
      <w:r w:rsidRPr="00F507D3">
        <w:rPr>
          <w:rFonts w:ascii="Palatino Linotype" w:eastAsia="Palatino Linotype" w:hAnsi="Palatino Linotype" w:cs="Palatino Linotype"/>
          <w:sz w:val="24"/>
        </w:rPr>
        <w:t xml:space="preserve">en el presente asunto </w:t>
      </w:r>
      <w:r w:rsidR="008E4CD6" w:rsidRPr="00F507D3">
        <w:rPr>
          <w:rFonts w:ascii="Palatino Linotype" w:eastAsia="Palatino Linotype" w:hAnsi="Palatino Linotype" w:cs="Palatino Linotype"/>
          <w:sz w:val="24"/>
        </w:rPr>
        <w:t xml:space="preserve">mediante el desahogo del requerimiento de información adicional, </w:t>
      </w:r>
      <w:r w:rsidR="00A30A46" w:rsidRPr="00F507D3">
        <w:rPr>
          <w:rFonts w:ascii="Palatino Linotype" w:eastAsia="Palatino Linotype" w:hAnsi="Palatino Linotype" w:cs="Palatino Linotype"/>
          <w:b/>
          <w:sz w:val="24"/>
        </w:rPr>
        <w:t>EL SUJETO OBLIGADO</w:t>
      </w:r>
      <w:r w:rsidR="00A30A46" w:rsidRPr="00F507D3">
        <w:rPr>
          <w:rFonts w:ascii="Palatino Linotype" w:eastAsia="Palatino Linotype" w:hAnsi="Palatino Linotype" w:cs="Palatino Linotype"/>
          <w:sz w:val="24"/>
        </w:rPr>
        <w:t xml:space="preserve"> </w:t>
      </w:r>
      <w:r w:rsidR="008E4CD6" w:rsidRPr="00F507D3">
        <w:rPr>
          <w:rFonts w:ascii="Palatino Linotype" w:eastAsia="Palatino Linotype" w:hAnsi="Palatino Linotype" w:cs="Palatino Linotype"/>
          <w:sz w:val="24"/>
        </w:rPr>
        <w:t>informó que ninguna de las 379 denuncias se encuentra contemplada en algún supuesto establecido en el artículo 142 de la Ley de Transparencia de la Entidad.</w:t>
      </w:r>
    </w:p>
    <w:p w14:paraId="41E6D2EB" w14:textId="77777777" w:rsidR="008E4CD6" w:rsidRPr="00F507D3" w:rsidRDefault="008E4CD6" w:rsidP="00A30A46">
      <w:pPr>
        <w:spacing w:after="0" w:line="360" w:lineRule="auto"/>
        <w:contextualSpacing/>
        <w:jc w:val="both"/>
        <w:rPr>
          <w:rFonts w:ascii="Palatino Linotype" w:eastAsia="Palatino Linotype" w:hAnsi="Palatino Linotype" w:cs="Palatino Linotype"/>
          <w:sz w:val="24"/>
        </w:rPr>
      </w:pPr>
    </w:p>
    <w:p w14:paraId="001466E1" w14:textId="1829F214" w:rsidR="008E4CD6" w:rsidRPr="00F507D3" w:rsidRDefault="008E4CD6" w:rsidP="00A30A46">
      <w:pPr>
        <w:spacing w:after="0" w:line="360" w:lineRule="auto"/>
        <w:contextualSpacing/>
        <w:jc w:val="both"/>
        <w:rPr>
          <w:rFonts w:ascii="Palatino Linotype" w:eastAsia="Palatino Linotype" w:hAnsi="Palatino Linotype" w:cs="Palatino Linotype"/>
          <w:b/>
          <w:sz w:val="24"/>
        </w:rPr>
      </w:pPr>
      <w:r w:rsidRPr="00F507D3">
        <w:rPr>
          <w:rFonts w:ascii="Palatino Linotype" w:eastAsia="Palatino Linotype" w:hAnsi="Palatino Linotype" w:cs="Palatino Linotype"/>
          <w:sz w:val="24"/>
        </w:rPr>
        <w:t xml:space="preserve">Por lo anterior, se considera que, al actualizarse todas y cada una de las hipótesis normativas contenidas en los Lineamientos Generales de Clasificación y Desclasificación de la Información y, debido a que los expedientes en trámite no se encuentran bajo algún supuesto del artículo 142 y, resulta procedente la </w:t>
      </w:r>
      <w:r w:rsidRPr="00F507D3">
        <w:rPr>
          <w:rFonts w:ascii="Palatino Linotype" w:eastAsia="Palatino Linotype" w:hAnsi="Palatino Linotype" w:cs="Palatino Linotype"/>
          <w:b/>
          <w:sz w:val="24"/>
        </w:rPr>
        <w:t>reserva de la información solicitada en términos de la fracción VI del artículo 140 de la Ley de Transparencia y Acceso a la Información Pública del Estado de México y Municipios.</w:t>
      </w:r>
    </w:p>
    <w:p w14:paraId="4F3665A0" w14:textId="6684649A" w:rsidR="008E4CD6" w:rsidRPr="00F507D3" w:rsidRDefault="008E4CD6" w:rsidP="00865B28">
      <w:pPr>
        <w:spacing w:after="0" w:line="360" w:lineRule="auto"/>
        <w:jc w:val="both"/>
        <w:rPr>
          <w:rFonts w:ascii="Palatino Linotype" w:eastAsia="Palatino Linotype" w:hAnsi="Palatino Linotype" w:cs="Palatino Linotype"/>
        </w:rPr>
      </w:pPr>
    </w:p>
    <w:p w14:paraId="0159DBE5" w14:textId="61C2F90C" w:rsidR="00185F49" w:rsidRPr="00F507D3" w:rsidRDefault="00404156">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 xml:space="preserve">Por otra parte, no se omite mencionar que el particular solicitó información de la Dirección de </w:t>
      </w:r>
      <w:r w:rsidR="00A30A46" w:rsidRPr="00F507D3">
        <w:rPr>
          <w:rFonts w:ascii="Palatino Linotype" w:eastAsia="Palatino Linotype" w:hAnsi="Palatino Linotype" w:cs="Palatino Linotype"/>
          <w:sz w:val="24"/>
          <w:szCs w:val="24"/>
        </w:rPr>
        <w:t>Responsabilidades</w:t>
      </w:r>
      <w:r w:rsidRPr="00F507D3">
        <w:rPr>
          <w:rFonts w:ascii="Palatino Linotype" w:eastAsia="Palatino Linotype" w:hAnsi="Palatino Linotype" w:cs="Palatino Linotype"/>
          <w:sz w:val="24"/>
          <w:szCs w:val="24"/>
        </w:rPr>
        <w:t xml:space="preserve"> </w:t>
      </w:r>
      <w:r w:rsidR="00862F4A" w:rsidRPr="00F507D3">
        <w:rPr>
          <w:rFonts w:ascii="Palatino Linotype" w:eastAsia="Palatino Linotype" w:hAnsi="Palatino Linotype" w:cs="Palatino Linotype"/>
          <w:sz w:val="24"/>
          <w:szCs w:val="24"/>
        </w:rPr>
        <w:t xml:space="preserve">por lo cual, es importante establecer la estructura orgánica del </w:t>
      </w:r>
      <w:r w:rsidR="00862F4A" w:rsidRPr="00F507D3">
        <w:rPr>
          <w:rFonts w:ascii="Palatino Linotype" w:eastAsia="Palatino Linotype" w:hAnsi="Palatino Linotype" w:cs="Palatino Linotype"/>
          <w:b/>
          <w:sz w:val="24"/>
          <w:szCs w:val="24"/>
        </w:rPr>
        <w:t>SUJETO OBLIGADO</w:t>
      </w:r>
      <w:r w:rsidR="00862F4A" w:rsidRPr="00F507D3">
        <w:rPr>
          <w:rFonts w:ascii="Palatino Linotype" w:eastAsia="Palatino Linotype" w:hAnsi="Palatino Linotype" w:cs="Palatino Linotype"/>
          <w:sz w:val="24"/>
          <w:szCs w:val="24"/>
        </w:rPr>
        <w:t>, siendo lo siguiente:</w:t>
      </w:r>
    </w:p>
    <w:p w14:paraId="40FAB9B3" w14:textId="1C3897F3"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noProof/>
          <w:sz w:val="24"/>
          <w:szCs w:val="24"/>
        </w:rPr>
        <w:drawing>
          <wp:inline distT="0" distB="0" distL="0" distR="0" wp14:anchorId="4D9D8729" wp14:editId="2F571D11">
            <wp:extent cx="5612130" cy="4994275"/>
            <wp:effectExtent l="0" t="0" r="0" b="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612130" cy="4994275"/>
                    </a:xfrm>
                    <a:prstGeom prst="rect">
                      <a:avLst/>
                    </a:prstGeom>
                    <a:ln/>
                  </pic:spPr>
                </pic:pic>
              </a:graphicData>
            </a:graphic>
          </wp:inline>
        </w:drawing>
      </w:r>
    </w:p>
    <w:p w14:paraId="6DB2E383"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Aclarado lo anterior, cobra relevancia citar las funciones de la Dirección de Investigación y Supervisión:</w:t>
      </w:r>
    </w:p>
    <w:p w14:paraId="34D1A010" w14:textId="77777777" w:rsidR="00185F49" w:rsidRPr="00F507D3" w:rsidRDefault="00185F49">
      <w:pPr>
        <w:spacing w:after="0" w:line="276" w:lineRule="auto"/>
        <w:ind w:right="902"/>
        <w:jc w:val="both"/>
        <w:rPr>
          <w:rFonts w:ascii="Palatino Linotype" w:eastAsia="Palatino Linotype" w:hAnsi="Palatino Linotype" w:cs="Palatino Linotype"/>
          <w:i/>
        </w:rPr>
      </w:pPr>
    </w:p>
    <w:p w14:paraId="68F64FC4" w14:textId="77777777" w:rsidR="00185F49" w:rsidRPr="00F507D3" w:rsidRDefault="00185F49">
      <w:pPr>
        <w:spacing w:after="0" w:line="276" w:lineRule="auto"/>
        <w:ind w:right="902"/>
        <w:jc w:val="both"/>
        <w:rPr>
          <w:rFonts w:ascii="Palatino Linotype" w:eastAsia="Palatino Linotype" w:hAnsi="Palatino Linotype" w:cs="Palatino Linotype"/>
          <w:i/>
        </w:rPr>
      </w:pPr>
    </w:p>
    <w:p w14:paraId="4C5EF6C2" w14:textId="77777777" w:rsidR="00185F49" w:rsidRPr="00F507D3" w:rsidRDefault="00862F4A">
      <w:pPr>
        <w:spacing w:after="0" w:line="276" w:lineRule="auto"/>
        <w:ind w:left="851" w:right="90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lastRenderedPageBreak/>
        <w:t>MANUAL GENERAL DE ORGANIZACIÓN DE LA UNIDAD DE ASUNTOS INTERNOS</w:t>
      </w:r>
    </w:p>
    <w:p w14:paraId="722D412C"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206C0301040000L DIRECCIÓN DE INVESTIGACIÓN Y SUPERVISIÓN</w:t>
      </w:r>
    </w:p>
    <w:p w14:paraId="4D2A26E0" w14:textId="77777777" w:rsidR="00185F49" w:rsidRPr="00F507D3" w:rsidRDefault="00185F49">
      <w:pPr>
        <w:spacing w:after="0" w:line="276" w:lineRule="auto"/>
        <w:ind w:left="851" w:right="902"/>
        <w:jc w:val="both"/>
        <w:rPr>
          <w:rFonts w:ascii="Palatino Linotype" w:eastAsia="Palatino Linotype" w:hAnsi="Palatino Linotype" w:cs="Palatino Linotype"/>
          <w:i/>
        </w:rPr>
      </w:pPr>
    </w:p>
    <w:p w14:paraId="65223CCF"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FUNCIONES:</w:t>
      </w:r>
    </w:p>
    <w:p w14:paraId="6D83BE71"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 − Supervisar que las quejas y las denuncias incluso anónimas, presentadas en contra de integrantes de la Secretaría de Seguridad, se registren en el sistema informático correspondiente.</w:t>
      </w:r>
    </w:p>
    <w:p w14:paraId="722DEECE"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Conocer de quejas y denuncias, incluso anónimas, con motivo de faltas administrativas o infracciones disciplinarias cometidas por integrantes de la Secretaría de Seguridad, preservando, en su caso, la reserva de las actuaciones.</w:t>
      </w:r>
    </w:p>
    <w:p w14:paraId="672F5B7B" w14:textId="77777777" w:rsidR="00185F49" w:rsidRPr="00F507D3" w:rsidRDefault="00862F4A">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Instruir y supervisar la integración en tiempo y forma de los expedientes de investigación.</w:t>
      </w:r>
    </w:p>
    <w:p w14:paraId="4192DAB9" w14:textId="77777777" w:rsidR="00A30A46" w:rsidRPr="00F507D3" w:rsidRDefault="00A30A46" w:rsidP="00A30A46">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29F7F6A5" w14:textId="50D84EC4" w:rsidR="00A30A46" w:rsidRPr="00F507D3" w:rsidRDefault="00A30A46" w:rsidP="00A30A46">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Dictar la remisión de los expedientes de investigación a la Dirección de Responsabilidades en Asuntos Internos, para los efectos legales que procedan.</w:t>
      </w:r>
    </w:p>
    <w:p w14:paraId="223CE7CB" w14:textId="77777777" w:rsidR="00A30A46" w:rsidRPr="00F507D3" w:rsidRDefault="00A30A46" w:rsidP="00A30A46">
      <w:pPr>
        <w:spacing w:after="0" w:line="276" w:lineRule="auto"/>
        <w:ind w:left="851" w:right="902"/>
        <w:jc w:val="both"/>
        <w:rPr>
          <w:rFonts w:ascii="Palatino Linotype" w:eastAsia="Palatino Linotype" w:hAnsi="Palatino Linotype" w:cs="Palatino Linotype"/>
          <w:i/>
        </w:rPr>
      </w:pPr>
    </w:p>
    <w:p w14:paraId="15950B46" w14:textId="0E982BA6" w:rsidR="00A30A46" w:rsidRPr="00F507D3" w:rsidRDefault="00A30A46" w:rsidP="00A30A46">
      <w:pPr>
        <w:spacing w:after="0" w:line="276" w:lineRule="auto"/>
        <w:ind w:left="851" w:right="90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206C0301050000L DIRECCIÓN DE RESPONSABILIDADES EN ASUNTOS INTERNOS</w:t>
      </w:r>
    </w:p>
    <w:p w14:paraId="7ECF3087" w14:textId="77777777" w:rsidR="00A30A46" w:rsidRPr="00F507D3" w:rsidRDefault="00A30A46" w:rsidP="00A30A46">
      <w:pPr>
        <w:spacing w:after="0" w:line="276" w:lineRule="auto"/>
        <w:ind w:left="851" w:right="902"/>
        <w:jc w:val="both"/>
        <w:rPr>
          <w:rFonts w:ascii="Palatino Linotype" w:eastAsia="Palatino Linotype" w:hAnsi="Palatino Linotype" w:cs="Palatino Linotype"/>
          <w:i/>
        </w:rPr>
      </w:pPr>
    </w:p>
    <w:p w14:paraId="767B6089" w14:textId="77777777" w:rsidR="00A30A46" w:rsidRPr="00F507D3" w:rsidRDefault="00A30A46" w:rsidP="00A30A46">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FUNCIONES:</w:t>
      </w:r>
    </w:p>
    <w:p w14:paraId="763350D1" w14:textId="77777777" w:rsidR="00A30A46" w:rsidRPr="00F507D3" w:rsidRDefault="00A30A46" w:rsidP="00A30A46">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Instruir la revisión y el registro de los expedientes de investigación remitidos por la Dirección de Investigación y Supervisión.</w:t>
      </w:r>
    </w:p>
    <w:p w14:paraId="6D85B835" w14:textId="29B0553E" w:rsidR="00A30A46" w:rsidRPr="00F507D3" w:rsidRDefault="00A30A46" w:rsidP="00A30A46">
      <w:pPr>
        <w:spacing w:after="0" w:line="276" w:lineRule="auto"/>
        <w:ind w:left="851" w:right="902"/>
        <w:jc w:val="both"/>
        <w:rPr>
          <w:rFonts w:ascii="Palatino Linotype" w:eastAsia="Palatino Linotype" w:hAnsi="Palatino Linotype" w:cs="Palatino Linotype"/>
          <w:i/>
        </w:rPr>
      </w:pPr>
      <w:r w:rsidRPr="00F507D3">
        <w:rPr>
          <w:rFonts w:ascii="Palatino Linotype" w:eastAsia="Palatino Linotype" w:hAnsi="Palatino Linotype" w:cs="Palatino Linotype"/>
          <w:i/>
        </w:rPr>
        <w:t>− Supervisar que los expedientes de investigación cumplan con los requisitos previamente establecidos.</w:t>
      </w:r>
    </w:p>
    <w:p w14:paraId="463A509D" w14:textId="77777777" w:rsidR="00404156" w:rsidRPr="00F507D3" w:rsidRDefault="00404156">
      <w:pPr>
        <w:spacing w:after="0" w:line="360" w:lineRule="auto"/>
        <w:jc w:val="both"/>
        <w:rPr>
          <w:rFonts w:ascii="Palatino Linotype" w:eastAsia="Palatino Linotype" w:hAnsi="Palatino Linotype" w:cs="Palatino Linotype"/>
          <w:sz w:val="24"/>
          <w:szCs w:val="24"/>
        </w:rPr>
      </w:pPr>
    </w:p>
    <w:p w14:paraId="7BE72631" w14:textId="4DC29B4D"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De acuerdo a lo anterior la</w:t>
      </w:r>
      <w:r w:rsidRPr="00F507D3">
        <w:t xml:space="preserve"> </w:t>
      </w:r>
      <w:r w:rsidRPr="00F507D3">
        <w:rPr>
          <w:rFonts w:ascii="Palatino Linotype" w:eastAsia="Palatino Linotype" w:hAnsi="Palatino Linotype" w:cs="Palatino Linotype"/>
          <w:sz w:val="24"/>
          <w:szCs w:val="24"/>
        </w:rPr>
        <w:t xml:space="preserve">Dirección de Investigación y Supervisión, es el área responsable de supervisar las quejas y las denuncias incluso anónimas, con motivo de faltas administrativas o infracciones disciplinarias presentadas en contra de integrantes de la Secretaría de Seguridad, registrándolas en el sistema informático correspondiente, por lo que instruye y supervisa la integración en tiempo y forma </w:t>
      </w:r>
      <w:r w:rsidRPr="00F507D3">
        <w:rPr>
          <w:rFonts w:ascii="Palatino Linotype" w:eastAsia="Palatino Linotype" w:hAnsi="Palatino Linotype" w:cs="Palatino Linotype"/>
          <w:sz w:val="24"/>
          <w:szCs w:val="24"/>
        </w:rPr>
        <w:lastRenderedPageBreak/>
        <w:t xml:space="preserve">de los expedientes de investigación, </w:t>
      </w:r>
      <w:r w:rsidR="00A30A46" w:rsidRPr="00F507D3">
        <w:rPr>
          <w:rFonts w:ascii="Palatino Linotype" w:eastAsia="Palatino Linotype" w:hAnsi="Palatino Linotype" w:cs="Palatino Linotype"/>
          <w:sz w:val="24"/>
          <w:szCs w:val="24"/>
        </w:rPr>
        <w:t xml:space="preserve">por lo que es la responsable de dictar la remisión de los expedientes de investigación a la Dirección de Responsabilidades en Asuntos Internos, </w:t>
      </w:r>
      <w:r w:rsidR="00C20E16" w:rsidRPr="00F507D3">
        <w:rPr>
          <w:rFonts w:ascii="Palatino Linotype" w:eastAsia="Palatino Linotype" w:hAnsi="Palatino Linotype" w:cs="Palatino Linotype"/>
          <w:sz w:val="24"/>
          <w:szCs w:val="24"/>
        </w:rPr>
        <w:t>misma que instruye la revisión y el registro de los expedientes de investigación remitidos por la Dirección de Investigación y Supervisión, vigilando que cumplan con los requisitos, por lo que de acuerdo a las funciones y al requerimiento adicional de información, se concluye que las quejas y denuncias se encuentran en proceso, por lo cual</w:t>
      </w:r>
      <w:r w:rsidRPr="00F507D3">
        <w:rPr>
          <w:rFonts w:ascii="Palatino Linotype" w:eastAsia="Palatino Linotype" w:hAnsi="Palatino Linotype" w:cs="Palatino Linotype"/>
          <w:sz w:val="24"/>
          <w:szCs w:val="24"/>
        </w:rPr>
        <w:t xml:space="preserve"> </w:t>
      </w:r>
      <w:r w:rsidR="00C20E16" w:rsidRPr="00F507D3">
        <w:rPr>
          <w:rFonts w:ascii="Palatino Linotype" w:eastAsia="Palatino Linotype" w:hAnsi="Palatino Linotype" w:cs="Palatino Linotype"/>
          <w:sz w:val="24"/>
          <w:szCs w:val="24"/>
        </w:rPr>
        <w:t xml:space="preserve">se establece que se pronuncia el </w:t>
      </w:r>
      <w:r w:rsidRPr="00F507D3">
        <w:rPr>
          <w:rFonts w:ascii="Palatino Linotype" w:eastAsia="Palatino Linotype" w:hAnsi="Palatino Linotype" w:cs="Palatino Linotype"/>
          <w:sz w:val="24"/>
          <w:szCs w:val="24"/>
        </w:rPr>
        <w:t>área competente en atender la solicitud de información.</w:t>
      </w:r>
    </w:p>
    <w:p w14:paraId="4229FEF9" w14:textId="77777777" w:rsidR="008E4CD6" w:rsidRPr="00F507D3" w:rsidRDefault="008E4CD6">
      <w:pPr>
        <w:spacing w:after="0" w:line="360" w:lineRule="auto"/>
        <w:jc w:val="both"/>
        <w:rPr>
          <w:rFonts w:ascii="Palatino Linotype" w:eastAsia="Palatino Linotype" w:hAnsi="Palatino Linotype" w:cs="Palatino Linotype"/>
          <w:sz w:val="24"/>
          <w:szCs w:val="24"/>
        </w:rPr>
      </w:pPr>
    </w:p>
    <w:p w14:paraId="3CC46BE0"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ende, se determina que la respuesta y el requerimiento de información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66B3888"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6A64902C" w14:textId="77777777" w:rsidR="00185F49" w:rsidRPr="00F507D3" w:rsidRDefault="00862F4A">
      <w:pPr>
        <w:pBdr>
          <w:top w:val="nil"/>
          <w:left w:val="nil"/>
          <w:bottom w:val="nil"/>
          <w:right w:val="nil"/>
          <w:between w:val="nil"/>
        </w:pBdr>
        <w:spacing w:after="0" w:line="276" w:lineRule="auto"/>
        <w:ind w:left="862" w:right="862"/>
        <w:jc w:val="both"/>
        <w:rPr>
          <w:sz w:val="24"/>
          <w:szCs w:val="24"/>
        </w:rPr>
      </w:pPr>
      <w:r w:rsidRPr="00F507D3">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EFBCEDD" w14:textId="77777777" w:rsidR="00185F49" w:rsidRPr="00F507D3" w:rsidRDefault="00185F49">
      <w:pPr>
        <w:spacing w:after="0" w:line="360" w:lineRule="auto"/>
        <w:rPr>
          <w:rFonts w:ascii="Palatino Linotype" w:eastAsia="Palatino Linotype" w:hAnsi="Palatino Linotype" w:cs="Palatino Linotype"/>
          <w:sz w:val="24"/>
          <w:szCs w:val="24"/>
        </w:rPr>
      </w:pPr>
    </w:p>
    <w:p w14:paraId="46E17B84" w14:textId="3DCCC29F" w:rsidR="00185F49" w:rsidRPr="00F507D3" w:rsidRDefault="00862F4A" w:rsidP="00C20E16">
      <w:pPr>
        <w:pBdr>
          <w:top w:val="nil"/>
          <w:left w:val="nil"/>
          <w:bottom w:val="nil"/>
          <w:right w:val="nil"/>
          <w:between w:val="nil"/>
        </w:pBdr>
        <w:shd w:val="clear" w:color="auto" w:fill="FFFFFF"/>
        <w:spacing w:after="0" w:line="360" w:lineRule="auto"/>
        <w:jc w:val="both"/>
        <w:rPr>
          <w:sz w:val="24"/>
          <w:szCs w:val="24"/>
        </w:rPr>
      </w:pPr>
      <w:r w:rsidRPr="00F507D3">
        <w:rPr>
          <w:rFonts w:ascii="Palatino Linotype" w:eastAsia="Palatino Linotype" w:hAnsi="Palatino Linotype" w:cs="Palatino Linotype"/>
          <w:sz w:val="24"/>
          <w:szCs w:val="24"/>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534C6000" w14:textId="77777777" w:rsidR="00185F49" w:rsidRPr="00F507D3" w:rsidRDefault="00862F4A">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“Artículo 162. Las unidades de transparencia deberán garantizar que las solicitudes </w:t>
      </w:r>
      <w:r w:rsidRPr="00F507D3">
        <w:rPr>
          <w:rFonts w:ascii="Palatino Linotype" w:eastAsia="Palatino Linotype" w:hAnsi="Palatino Linotype" w:cs="Palatino Linotype"/>
          <w:b/>
          <w:i/>
        </w:rPr>
        <w:t xml:space="preserve">se turnen a todas las Áreas competentes </w:t>
      </w:r>
      <w:r w:rsidRPr="00F507D3">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340BD32A" w14:textId="77777777" w:rsidR="00185F49" w:rsidRPr="00F507D3" w:rsidRDefault="00185F49">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44B0D311"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consiguiente, se tiene que el procedimiento de búsqueda de la información se ejecutó conforme a derecho.</w:t>
      </w:r>
    </w:p>
    <w:p w14:paraId="4E9E00BA"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5EC76DCD" w14:textId="1F96F85A" w:rsidR="00C20E16" w:rsidRPr="00F507D3" w:rsidRDefault="00162FBB">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otra parte, es de reiterar que si bien el particular solicitó</w:t>
      </w:r>
      <w:r w:rsidR="008F33A8" w:rsidRPr="00F507D3">
        <w:rPr>
          <w:rFonts w:ascii="Palatino Linotype" w:eastAsia="Palatino Linotype" w:hAnsi="Palatino Linotype" w:cs="Palatino Linotype"/>
          <w:sz w:val="24"/>
          <w:szCs w:val="24"/>
        </w:rPr>
        <w:t xml:space="preserve"> el medio por el cual fueron recibidas, oficios emitidos, las acciones, acuerdos de cierre, remisión, análisis y toda la documentación de los expedientes de las denuncias y quejas. </w:t>
      </w:r>
    </w:p>
    <w:p w14:paraId="6E789FBA" w14:textId="77777777" w:rsidR="00162FBB" w:rsidRPr="00F507D3" w:rsidRDefault="00162FBB">
      <w:pPr>
        <w:spacing w:after="0" w:line="360" w:lineRule="auto"/>
        <w:ind w:right="51"/>
        <w:jc w:val="both"/>
        <w:rPr>
          <w:rFonts w:ascii="Palatino Linotype" w:eastAsia="Palatino Linotype" w:hAnsi="Palatino Linotype" w:cs="Palatino Linotype"/>
          <w:sz w:val="24"/>
          <w:szCs w:val="24"/>
        </w:rPr>
      </w:pPr>
    </w:p>
    <w:p w14:paraId="5F55885E" w14:textId="04355254" w:rsidR="00162FBB" w:rsidRPr="00F507D3" w:rsidRDefault="00162FBB" w:rsidP="00C20E16">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Dicha información obra en la integración de los propios expedientes, los cuales </w:t>
      </w:r>
      <w:r w:rsidR="00862F4A" w:rsidRPr="00F507D3">
        <w:rPr>
          <w:rFonts w:ascii="Palatino Linotype" w:eastAsia="Palatino Linotype" w:hAnsi="Palatino Linotype" w:cs="Palatino Linotype"/>
          <w:sz w:val="24"/>
          <w:szCs w:val="24"/>
        </w:rPr>
        <w:t xml:space="preserve"> </w:t>
      </w:r>
      <w:r w:rsidR="00862F4A" w:rsidRPr="00F507D3">
        <w:rPr>
          <w:rFonts w:ascii="Palatino Linotype" w:eastAsia="Palatino Linotype" w:hAnsi="Palatino Linotype" w:cs="Palatino Linotype"/>
          <w:b/>
          <w:sz w:val="24"/>
          <w:szCs w:val="24"/>
        </w:rPr>
        <w:t xml:space="preserve">EL SUJETO OBLIGADO </w:t>
      </w:r>
      <w:r w:rsidR="00862F4A" w:rsidRPr="00F507D3">
        <w:rPr>
          <w:rFonts w:ascii="Palatino Linotype" w:eastAsia="Palatino Linotype" w:hAnsi="Palatino Linotype" w:cs="Palatino Linotype"/>
          <w:sz w:val="24"/>
          <w:szCs w:val="24"/>
        </w:rPr>
        <w:t xml:space="preserve">al atender el requerimiento adicional de información señala </w:t>
      </w:r>
      <w:r w:rsidRPr="00F507D3">
        <w:rPr>
          <w:rFonts w:ascii="Palatino Linotype" w:eastAsia="Palatino Linotype" w:hAnsi="Palatino Linotype" w:cs="Palatino Linotype"/>
          <w:sz w:val="24"/>
          <w:szCs w:val="24"/>
        </w:rPr>
        <w:t xml:space="preserve">que se encuentra en etapa de investigación, esto es, al momento de presentar la solicitud de información se encuentran </w:t>
      </w:r>
      <w:r w:rsidR="00862F4A" w:rsidRPr="00F507D3">
        <w:rPr>
          <w:rFonts w:ascii="Palatino Linotype" w:eastAsia="Palatino Linotype" w:hAnsi="Palatino Linotype" w:cs="Palatino Linotype"/>
          <w:sz w:val="24"/>
          <w:szCs w:val="24"/>
        </w:rPr>
        <w:t>en trámite,</w:t>
      </w:r>
      <w:r w:rsidR="00862F4A" w:rsidRPr="00F507D3">
        <w:rPr>
          <w:rFonts w:ascii="Palatino Linotype" w:eastAsia="Palatino Linotype" w:hAnsi="Palatino Linotype" w:cs="Palatino Linotype"/>
          <w:b/>
          <w:sz w:val="24"/>
          <w:szCs w:val="24"/>
        </w:rPr>
        <w:t xml:space="preserve"> </w:t>
      </w:r>
      <w:r w:rsidRPr="00F507D3">
        <w:rPr>
          <w:rFonts w:ascii="Palatino Linotype" w:eastAsia="Palatino Linotype" w:hAnsi="Palatino Linotype" w:cs="Palatino Linotype"/>
          <w:b/>
          <w:sz w:val="24"/>
          <w:szCs w:val="24"/>
        </w:rPr>
        <w:t xml:space="preserve">por lo que este Instituto ha determinado que por el estatus en el que se encuentra dicha información, </w:t>
      </w:r>
      <w:r w:rsidRPr="00F507D3">
        <w:rPr>
          <w:rFonts w:ascii="Palatino Linotype" w:eastAsia="Palatino Linotype" w:hAnsi="Palatino Linotype" w:cs="Palatino Linotype"/>
          <w:sz w:val="24"/>
          <w:szCs w:val="24"/>
        </w:rPr>
        <w:t xml:space="preserve">actualiza la causal de reserva de información prevista en </w:t>
      </w:r>
      <w:r w:rsidR="00C20E16" w:rsidRPr="00F507D3">
        <w:rPr>
          <w:rFonts w:ascii="Palatino Linotype" w:eastAsia="Palatino Linotype" w:hAnsi="Palatino Linotype" w:cs="Palatino Linotype"/>
          <w:sz w:val="24"/>
          <w:szCs w:val="24"/>
        </w:rPr>
        <w:t xml:space="preserve">la fracción VI del artículo 140 de la Ley de Transparencia y Acceso a la Información Pública del Estado de México y Municipios, por ser parte de procesos administrativos, en donde se </w:t>
      </w:r>
      <w:r w:rsidR="00C20E16" w:rsidRPr="00F507D3">
        <w:rPr>
          <w:rFonts w:ascii="Palatino Linotype" w:eastAsia="Palatino Linotype" w:hAnsi="Palatino Linotype" w:cs="Palatino Linotype"/>
          <w:sz w:val="24"/>
          <w:szCs w:val="24"/>
        </w:rPr>
        <w:lastRenderedPageBreak/>
        <w:t xml:space="preserve">vinculados con quejas, denuncias, inconformidades de responsabilidades administrativas. </w:t>
      </w:r>
    </w:p>
    <w:p w14:paraId="6BBD4E4E" w14:textId="77777777" w:rsidR="00162FBB" w:rsidRPr="00F507D3" w:rsidRDefault="00162FBB">
      <w:pPr>
        <w:spacing w:after="0" w:line="360" w:lineRule="auto"/>
        <w:ind w:right="51"/>
        <w:jc w:val="both"/>
        <w:rPr>
          <w:rFonts w:ascii="Palatino Linotype" w:eastAsia="Palatino Linotype" w:hAnsi="Palatino Linotype" w:cs="Palatino Linotype"/>
          <w:sz w:val="24"/>
          <w:szCs w:val="24"/>
        </w:rPr>
      </w:pPr>
    </w:p>
    <w:p w14:paraId="22AFF57A" w14:textId="77777777" w:rsidR="00162FBB" w:rsidRPr="00F507D3" w:rsidRDefault="00162FBB">
      <w:pPr>
        <w:spacing w:after="0" w:line="360" w:lineRule="auto"/>
        <w:ind w:right="51"/>
        <w:jc w:val="both"/>
        <w:rPr>
          <w:rFonts w:ascii="Palatino Linotype" w:eastAsia="Palatino Linotype" w:hAnsi="Palatino Linotype" w:cs="Palatino Linotype"/>
          <w:sz w:val="24"/>
          <w:szCs w:val="24"/>
        </w:rPr>
      </w:pPr>
    </w:p>
    <w:p w14:paraId="2741654D" w14:textId="4BED37A4" w:rsidR="00185F49" w:rsidRPr="00F507D3" w:rsidRDefault="00162FBB">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Aunado a lo anterior, </w:t>
      </w:r>
      <w:r w:rsidR="00862F4A" w:rsidRPr="00F507D3">
        <w:rPr>
          <w:rFonts w:ascii="Palatino Linotype" w:eastAsia="Palatino Linotype" w:hAnsi="Palatino Linotype" w:cs="Palatino Linotype"/>
          <w:sz w:val="24"/>
          <w:szCs w:val="24"/>
        </w:rPr>
        <w:t>de revelarse la información se atenta contra el principio de presunción de inocencia que debe seguirse en la administración de la justicia, conforme a lo que enseguida se razona.</w:t>
      </w:r>
    </w:p>
    <w:p w14:paraId="12D7F5F2" w14:textId="77777777" w:rsidR="00185F49" w:rsidRPr="00F507D3" w:rsidRDefault="00185F49">
      <w:pPr>
        <w:spacing w:after="0" w:line="360" w:lineRule="auto"/>
        <w:ind w:right="51"/>
        <w:jc w:val="both"/>
        <w:rPr>
          <w:rFonts w:ascii="Palatino Linotype" w:eastAsia="Palatino Linotype" w:hAnsi="Palatino Linotype" w:cs="Palatino Linotype"/>
          <w:sz w:val="24"/>
          <w:szCs w:val="24"/>
        </w:rPr>
      </w:pPr>
    </w:p>
    <w:p w14:paraId="0202F685" w14:textId="77777777" w:rsidR="00185F49" w:rsidRPr="00F507D3" w:rsidRDefault="00862F4A">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F507D3">
        <w:rPr>
          <w:rFonts w:ascii="Palatino Linotype" w:eastAsia="Palatino Linotype" w:hAnsi="Palatino Linotype" w:cs="Palatino Linotype"/>
          <w:sz w:val="24"/>
          <w:szCs w:val="24"/>
          <w:vertAlign w:val="superscript"/>
        </w:rPr>
        <w:footnoteReference w:id="4"/>
      </w:r>
      <w:r w:rsidRPr="00F507D3">
        <w:rPr>
          <w:rFonts w:ascii="Palatino Linotype" w:eastAsia="Palatino Linotype" w:hAnsi="Palatino Linotype" w:cs="Palatino Linotype"/>
          <w:sz w:val="24"/>
          <w:szCs w:val="24"/>
        </w:rPr>
        <w:t>.</w:t>
      </w:r>
    </w:p>
    <w:p w14:paraId="46B8093C" w14:textId="77777777" w:rsidR="00185F49" w:rsidRPr="00F507D3" w:rsidRDefault="00185F49">
      <w:pPr>
        <w:spacing w:line="360" w:lineRule="auto"/>
        <w:ind w:right="49"/>
        <w:jc w:val="both"/>
        <w:rPr>
          <w:rFonts w:ascii="Palatino Linotype" w:eastAsia="Palatino Linotype" w:hAnsi="Palatino Linotype" w:cs="Palatino Linotype"/>
          <w:sz w:val="24"/>
          <w:szCs w:val="24"/>
        </w:rPr>
      </w:pPr>
    </w:p>
    <w:p w14:paraId="1D471021"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i/>
        </w:rPr>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4A42777D" w14:textId="77777777" w:rsidR="00185F49" w:rsidRPr="00F507D3" w:rsidRDefault="00185F49">
      <w:pPr>
        <w:spacing w:after="0" w:line="276" w:lineRule="auto"/>
        <w:ind w:left="851" w:right="851"/>
        <w:jc w:val="both"/>
        <w:rPr>
          <w:rFonts w:ascii="Palatino Linotype" w:eastAsia="Palatino Linotype" w:hAnsi="Palatino Linotype" w:cs="Palatino Linotype"/>
          <w:i/>
        </w:rPr>
      </w:pPr>
    </w:p>
    <w:p w14:paraId="72EEC468"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i/>
        </w:rPr>
        <w:t>ii.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4CF1CD5B" w14:textId="77777777" w:rsidR="00185F49" w:rsidRPr="00F507D3" w:rsidRDefault="00185F49">
      <w:pPr>
        <w:spacing w:after="0" w:line="276" w:lineRule="auto"/>
        <w:ind w:left="851" w:right="851"/>
        <w:jc w:val="both"/>
        <w:rPr>
          <w:rFonts w:ascii="Palatino Linotype" w:eastAsia="Palatino Linotype" w:hAnsi="Palatino Linotype" w:cs="Palatino Linotype"/>
          <w:i/>
        </w:rPr>
      </w:pPr>
    </w:p>
    <w:p w14:paraId="735FF465" w14:textId="77777777" w:rsidR="00185F49" w:rsidRPr="00F507D3" w:rsidRDefault="00862F4A">
      <w:pPr>
        <w:spacing w:after="0" w:line="276" w:lineRule="auto"/>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i/>
        </w:rPr>
        <w:lastRenderedPageBreak/>
        <w:t>iii.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14:paraId="432FCCD0"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1BD126CD"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Se sigue que, el principio de presunción de inocencia tiene tres significados garantistas que en forma breve pueden enunciarse de la siguiente forma:</w:t>
      </w:r>
    </w:p>
    <w:p w14:paraId="41CA34C7"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055799E0" w14:textId="47D403ED"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Primero. Como una regla probatoria, que impone la carga de la prueba para quien acusa y, por ende, la absolución en caso de duda.</w:t>
      </w:r>
    </w:p>
    <w:p w14:paraId="2BA76C19" w14:textId="77777777" w:rsidR="00162FBB" w:rsidRPr="00F507D3" w:rsidRDefault="00162FBB" w:rsidP="00C20E16">
      <w:pPr>
        <w:spacing w:after="0" w:line="360" w:lineRule="auto"/>
        <w:contextualSpacing/>
        <w:jc w:val="both"/>
        <w:rPr>
          <w:rFonts w:ascii="Palatino Linotype" w:eastAsia="Palatino Linotype" w:hAnsi="Palatino Linotype" w:cs="Palatino Linotype"/>
          <w:sz w:val="24"/>
          <w:szCs w:val="24"/>
        </w:rPr>
      </w:pPr>
    </w:p>
    <w:p w14:paraId="0CB6E937"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Segundo. Como una regla de tratamiento del acusado, que excluye o restringe al máximo la limitación de sus derechos fundamentales, sobre todo los que inciden en su libertad personal, con motivo del proceso que se instaura en su contra.</w:t>
      </w:r>
    </w:p>
    <w:p w14:paraId="601D975B"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6A44569F"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Tercero. Como una regla de juicio, que ordena a los jueces la absolución de los inculpados cuando durante el proceso no se aportaron pruebas de cargo suficientes.</w:t>
      </w:r>
    </w:p>
    <w:p w14:paraId="5ABC066C"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7A4F5651" w14:textId="6011602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En vista de lo anterior, este Instituto estima que en el derecho disciplinario que se sigue ante </w:t>
      </w:r>
      <w:r w:rsidR="00C20E16" w:rsidRPr="00F507D3">
        <w:rPr>
          <w:rFonts w:ascii="Palatino Linotype" w:eastAsia="Palatino Linotype" w:hAnsi="Palatino Linotype" w:cs="Palatino Linotype"/>
          <w:b/>
          <w:sz w:val="24"/>
          <w:szCs w:val="24"/>
        </w:rPr>
        <w:t xml:space="preserve">EL SUJETO OBLIGADO </w:t>
      </w:r>
      <w:r w:rsidRPr="00F507D3">
        <w:rPr>
          <w:rFonts w:ascii="Palatino Linotype" w:eastAsia="Palatino Linotype" w:hAnsi="Palatino Linotype" w:cs="Palatino Linotype"/>
          <w:sz w:val="24"/>
          <w:szCs w:val="24"/>
        </w:rPr>
        <w:t>a los servidores públicos en los casos que se presenta una denuncia, es aplicable la regla garantista de presunción de inocencia.</w:t>
      </w:r>
    </w:p>
    <w:p w14:paraId="50AF4FA5"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708F4E45"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Así, todo servidor público en su carácter de -presunto infractor- tiene el derecho, como regla de tratamiento en el proceso, a que se le trate en carácter de inocente hasta que no se emita una resolución firme.</w:t>
      </w:r>
    </w:p>
    <w:p w14:paraId="44BAAB65"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484E251F"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78F2F185" w14:textId="77777777" w:rsidR="00185F49" w:rsidRPr="00F507D3" w:rsidRDefault="00185F49" w:rsidP="00C20E16">
      <w:pPr>
        <w:spacing w:after="0" w:line="360" w:lineRule="auto"/>
        <w:contextualSpacing/>
        <w:jc w:val="both"/>
        <w:rPr>
          <w:rFonts w:ascii="Palatino Linotype" w:eastAsia="Palatino Linotype" w:hAnsi="Palatino Linotype" w:cs="Palatino Linotype"/>
          <w:sz w:val="24"/>
          <w:szCs w:val="24"/>
        </w:rPr>
      </w:pPr>
    </w:p>
    <w:p w14:paraId="1B2884AA" w14:textId="77777777" w:rsidR="00185F49" w:rsidRPr="00F507D3" w:rsidRDefault="00862F4A" w:rsidP="00C20E16">
      <w:pPr>
        <w:spacing w:after="0" w:line="360" w:lineRule="auto"/>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Con más detenimiento, la primera premisa es que de revelarse la información de las personas a quienes se les ha iniciado un procedimiento administrativo y se encuentra pendiente de resolución rompería la regla de tratamiento y de juicio que debe seguirse en la administración de justicia</w:t>
      </w:r>
      <w:r w:rsidRPr="00F507D3">
        <w:rPr>
          <w:rFonts w:ascii="Palatino Linotype" w:eastAsia="Palatino Linotype" w:hAnsi="Palatino Linotype" w:cs="Palatino Linotype"/>
          <w:i/>
          <w:sz w:val="24"/>
          <w:szCs w:val="24"/>
          <w:vertAlign w:val="superscript"/>
        </w:rPr>
        <w:footnoteReference w:id="5"/>
      </w:r>
      <w:r w:rsidRPr="00F507D3">
        <w:rPr>
          <w:rFonts w:ascii="Palatino Linotype" w:eastAsia="Palatino Linotype" w:hAnsi="Palatino Linotype" w:cs="Palatino Linotype"/>
          <w:sz w:val="24"/>
          <w:szCs w:val="24"/>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debiendo llevar a cabo el procedimiento establecido en el Considerando siguiente, a fin poner a disposición de la parte recurrente el Acta del Comité de Transparencia que se elabore para tal efecto, debiendo elaborar la prueba de daño correspondiente. </w:t>
      </w:r>
    </w:p>
    <w:p w14:paraId="7C761F48" w14:textId="77777777" w:rsidR="00185F49" w:rsidRPr="00F507D3" w:rsidRDefault="00185F49" w:rsidP="00C20E16">
      <w:pPr>
        <w:spacing w:line="360" w:lineRule="auto"/>
        <w:contextualSpacing/>
        <w:jc w:val="both"/>
        <w:rPr>
          <w:rFonts w:ascii="Palatino Linotype" w:eastAsia="Palatino Linotype" w:hAnsi="Palatino Linotype" w:cs="Palatino Linotype"/>
        </w:rPr>
      </w:pPr>
    </w:p>
    <w:p w14:paraId="5A9B0FD4" w14:textId="77777777" w:rsidR="00185F49" w:rsidRPr="00F507D3" w:rsidRDefault="00862F4A" w:rsidP="00C20E16">
      <w:pPr>
        <w:spacing w:after="0" w:line="360" w:lineRule="auto"/>
        <w:ind w:right="49"/>
        <w:contextualSpacing/>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Del artículo 140, fracción VI de la Ley en la materia,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9BB2FD4"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D269C7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Dichos argumentos, que se formulan por este Organismo Garante se construyen a partir de la correlación que otros derechos tienen con el acceso a la información tratándose de información sobre procesos y procedimientos que siguen en forma de juicio, los cuales de la óptica de interdependencia de los derechos humanos no pueden ser desconocidos, en el ámbito de la competencia de este Instituto.</w:t>
      </w:r>
    </w:p>
    <w:p w14:paraId="7D4EB516"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4F85FE0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Resulta necesario tomar en cuenta el derecho al buen nombre y a la intimidad porque se considera que, hasta en tanto no exista una resolución firme, la publicación de la información solicitada afectaría la reputación de personas.</w:t>
      </w:r>
    </w:p>
    <w:p w14:paraId="62706308"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0C942518"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2A5FAE83" w14:textId="77777777" w:rsidR="00185F49" w:rsidRPr="00F507D3" w:rsidRDefault="00185F49">
      <w:pPr>
        <w:spacing w:line="360" w:lineRule="auto"/>
        <w:jc w:val="both"/>
        <w:rPr>
          <w:rFonts w:ascii="Palatino Linotype" w:eastAsia="Palatino Linotype" w:hAnsi="Palatino Linotype" w:cs="Palatino Linotype"/>
        </w:rPr>
      </w:pPr>
    </w:p>
    <w:p w14:paraId="33B6922F"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 xml:space="preserve">Así las cosas, es de importante relevancia hacer del conocimiento del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 xml:space="preserve"> que la información relativa a los expedientes que no han causado estado;  es decir, que el principio de definitividad no se haya actualizado, por aún existir instancias para su revisión o impugnación, dicha información reviste el carácter de información reservada y en este caso, </w:t>
      </w:r>
      <w:r w:rsidRPr="00F507D3">
        <w:rPr>
          <w:rFonts w:ascii="Palatino Linotype" w:eastAsia="Palatino Linotype" w:hAnsi="Palatino Linotype" w:cs="Palatino Linotype"/>
          <w:b/>
          <w:sz w:val="24"/>
          <w:szCs w:val="24"/>
        </w:rPr>
        <w:t>se deberá emitir un acuerdo que clasifique como reservados los expedientes que se encuentran en trámite.</w:t>
      </w:r>
      <w:r w:rsidRPr="00F507D3">
        <w:rPr>
          <w:rFonts w:ascii="Palatino Linotype" w:eastAsia="Palatino Linotype" w:hAnsi="Palatino Linotype" w:cs="Palatino Linotype"/>
          <w:sz w:val="24"/>
          <w:szCs w:val="24"/>
        </w:rPr>
        <w:t xml:space="preserve"> </w:t>
      </w:r>
    </w:p>
    <w:p w14:paraId="37A395D6"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Lo anterior es así, para dar seguridad jurídica al solicitante que por alguna excepción establecida en ley no es posible acceder temporalmente a la información referida anteriormente, para así no dejar en estado de indefensión y exista certeza jurídica de lo expuesto por el Sujeto Obligado. </w:t>
      </w:r>
    </w:p>
    <w:p w14:paraId="19B7FE33" w14:textId="77777777" w:rsidR="00185F49" w:rsidRPr="00F507D3" w:rsidRDefault="00185F49">
      <w:pPr>
        <w:spacing w:line="360" w:lineRule="auto"/>
        <w:ind w:right="49"/>
        <w:jc w:val="both"/>
        <w:rPr>
          <w:rFonts w:ascii="Palatino Linotype" w:eastAsia="Palatino Linotype" w:hAnsi="Palatino Linotype" w:cs="Palatino Linotype"/>
        </w:rPr>
      </w:pPr>
    </w:p>
    <w:p w14:paraId="429F9AA2"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“Artículo 3. Para los efectos de la presente Ley se entenderá por:</w:t>
      </w:r>
    </w:p>
    <w:p w14:paraId="7FFC03DA"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022CBB95"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b/>
          <w:i/>
        </w:rPr>
        <w:t xml:space="preserve">XXIV. Información reservada: </w:t>
      </w:r>
      <w:r w:rsidRPr="00F507D3">
        <w:rPr>
          <w:rFonts w:ascii="Palatino Linotype" w:eastAsia="Palatino Linotype" w:hAnsi="Palatino Linotype" w:cs="Palatino Linotype"/>
          <w:i/>
        </w:rPr>
        <w:t>La clasificada con este carácter de manera temporal por las disposiciones de esta Ley, cuya divulgación puede causar daño en términos de lo establecido por esta Ley;</w:t>
      </w:r>
    </w:p>
    <w:p w14:paraId="09250080"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Artículo 122. </w:t>
      </w:r>
      <w:r w:rsidRPr="00F507D3">
        <w:rPr>
          <w:rFonts w:ascii="Palatino Linotype" w:eastAsia="Palatino Linotype" w:hAnsi="Palatino Linotype" w:cs="Palatino Linotype"/>
          <w:b/>
          <w:i/>
        </w:rPr>
        <w:t xml:space="preserve">La clasificación es el proceso mediante el cual el Sujeto Obligado determina que la información en su poder </w:t>
      </w:r>
      <w:proofErr w:type="spellStart"/>
      <w:r w:rsidRPr="00F507D3">
        <w:rPr>
          <w:rFonts w:ascii="Palatino Linotype" w:eastAsia="Palatino Linotype" w:hAnsi="Palatino Linotype" w:cs="Palatino Linotype"/>
          <w:b/>
          <w:i/>
        </w:rPr>
        <w:t>actualiza</w:t>
      </w:r>
      <w:proofErr w:type="spellEnd"/>
      <w:r w:rsidRPr="00F507D3">
        <w:rPr>
          <w:rFonts w:ascii="Palatino Linotype" w:eastAsia="Palatino Linotype" w:hAnsi="Palatino Linotype" w:cs="Palatino Linotype"/>
          <w:b/>
          <w:i/>
        </w:rPr>
        <w:t xml:space="preserve"> alguno de los supuestos de reserva</w:t>
      </w:r>
      <w:r w:rsidRPr="00F507D3">
        <w:rPr>
          <w:rFonts w:ascii="Palatino Linotype" w:eastAsia="Palatino Linotype" w:hAnsi="Palatino Linotype" w:cs="Palatino Linotype"/>
          <w:i/>
        </w:rPr>
        <w:t xml:space="preserve"> o confidencialidad, de conformidad con lo dispuesto en el presente título.</w:t>
      </w:r>
    </w:p>
    <w:p w14:paraId="6B90D8E9"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2EDE4C23"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211B9BD4"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1E0FA673" w14:textId="3999B122" w:rsidR="00185F49" w:rsidRPr="00F507D3" w:rsidRDefault="00862F4A" w:rsidP="008F33A8">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59714F76"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b/>
          <w:i/>
        </w:rPr>
        <w:lastRenderedPageBreak/>
        <w:t xml:space="preserve">Artículo 125. La información clasificada como reservada, de acuerdo a lo establecido en esta Ley podrá permanecer con tal carácter hasta por un periodo de cinco años, </w:t>
      </w:r>
      <w:r w:rsidRPr="00F507D3">
        <w:rPr>
          <w:rFonts w:ascii="Palatino Linotype" w:eastAsia="Palatino Linotype" w:hAnsi="Palatino Linotype" w:cs="Palatino Linotype"/>
          <w:i/>
        </w:rPr>
        <w:t>contados a partir de su clasificación, salvo que antes del cumplimiento del periodo de restricción, dejaran de existir los motivos de su reserva.</w:t>
      </w:r>
    </w:p>
    <w:p w14:paraId="6B0238DB"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4F4C2557"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37415725"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60B8E66E"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306CE872"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5D1E3920"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w:t>
      </w:r>
    </w:p>
    <w:p w14:paraId="6B82670D"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 xml:space="preserve">Artículo 128. En los casos en que se niegue el acceso a la información, por actualizarse alguno de los supuestos de clasificación, el Comité de Transparencia deberá confirmar, modificar o revocar la decisión. </w:t>
      </w:r>
    </w:p>
    <w:p w14:paraId="04B8432E" w14:textId="77777777" w:rsidR="00185F49" w:rsidRPr="00F507D3" w:rsidRDefault="00185F49">
      <w:pPr>
        <w:spacing w:after="0" w:line="276" w:lineRule="auto"/>
        <w:ind w:left="851" w:right="822"/>
        <w:jc w:val="both"/>
        <w:rPr>
          <w:rFonts w:ascii="Palatino Linotype" w:eastAsia="Palatino Linotype" w:hAnsi="Palatino Linotype" w:cs="Palatino Linotype"/>
          <w:b/>
          <w:i/>
        </w:rPr>
      </w:pPr>
    </w:p>
    <w:p w14:paraId="2BF5ED17"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i/>
        </w:rPr>
        <w:t xml:space="preserve">Para motivar la clasificación de la información y la ampliación del plazo de reserva, </w:t>
      </w:r>
      <w:r w:rsidRPr="00F507D3">
        <w:rPr>
          <w:rFonts w:ascii="Palatino Linotype" w:eastAsia="Palatino Linotype" w:hAnsi="Palatino Linotype" w:cs="Palatino Linotype"/>
          <w:b/>
          <w:i/>
        </w:rPr>
        <w:t xml:space="preserve">se deberán señalar las razones, motivos o circunstancias especiales que llevaron al Sujeto Obligado a concluir que el caso particular se ajusta al supuesto previsto por la norma legal invocada como fundamento. </w:t>
      </w:r>
      <w:r w:rsidRPr="00F507D3">
        <w:rPr>
          <w:rFonts w:ascii="Palatino Linotype" w:eastAsia="Palatino Linotype" w:hAnsi="Palatino Linotype" w:cs="Palatino Linotype"/>
          <w:b/>
          <w:i/>
        </w:rPr>
        <w:lastRenderedPageBreak/>
        <w:t>Además, el Sujeto Obligado deberá, en todo momento, aplicar una prueba de daño.</w:t>
      </w:r>
    </w:p>
    <w:p w14:paraId="149559BC"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Tratándose de aquélla información que actualice los supuestos de clasificación, deberá señalarse el plazo al que estará sujeto la reserva.</w:t>
      </w:r>
    </w:p>
    <w:p w14:paraId="40A0349F"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5D0FA1DC"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i/>
        </w:rPr>
        <w:t xml:space="preserve">Artículo 129. </w:t>
      </w:r>
      <w:r w:rsidRPr="00F507D3">
        <w:rPr>
          <w:rFonts w:ascii="Palatino Linotype" w:eastAsia="Palatino Linotype" w:hAnsi="Palatino Linotype" w:cs="Palatino Linotype"/>
          <w:b/>
          <w:i/>
        </w:rPr>
        <w:t>En la aplicación de la prueba de daño, el Sujeto Obligado deberá precisar las razones objetivas por las que la apertura de la información generaría una afectación, justificando que:</w:t>
      </w:r>
    </w:p>
    <w:p w14:paraId="3BC1568E" w14:textId="77777777" w:rsidR="00185F49" w:rsidRPr="00F507D3" w:rsidRDefault="00185F49">
      <w:pPr>
        <w:spacing w:after="0" w:line="276" w:lineRule="auto"/>
        <w:ind w:left="851" w:right="822"/>
        <w:jc w:val="both"/>
        <w:rPr>
          <w:rFonts w:ascii="Palatino Linotype" w:eastAsia="Palatino Linotype" w:hAnsi="Palatino Linotype" w:cs="Palatino Linotype"/>
          <w:b/>
          <w:i/>
          <w:u w:val="single"/>
        </w:rPr>
      </w:pPr>
    </w:p>
    <w:p w14:paraId="03225311"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I. La divulgación de la información representa un riesgo real, demostrable e identificable del perjuicio significativo al interés público o a la seguridad pública;</w:t>
      </w:r>
    </w:p>
    <w:p w14:paraId="56D95F9B"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II. El riesgo de perjuicio que supondría la divulgación supera el interés público general de que se difunda; y</w:t>
      </w:r>
    </w:p>
    <w:p w14:paraId="6C35B27F"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III. La limitación se adecua al principio de proporcionalidad y representa el medio menos restrictivo disponible representa el medio menos restrictivo disponible para evitar el perjuicio.</w:t>
      </w:r>
    </w:p>
    <w:p w14:paraId="630DA646"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b/>
          <w:i/>
          <w:u w:val="single"/>
        </w:rPr>
        <w:t>Artículo 130. Los sujetos obligados deberán aplicar, de manera restrictiva y limitada, las excepciones al derecho de acceso a la información y sólo podrán invocarlas cuando acrediten su procedencia</w:t>
      </w:r>
      <w:r w:rsidRPr="00F507D3">
        <w:rPr>
          <w:rFonts w:ascii="Palatino Linotype" w:eastAsia="Palatino Linotype" w:hAnsi="Palatino Linotype" w:cs="Palatino Linotype"/>
          <w:i/>
        </w:rPr>
        <w:t>, sin ampliar las excepciones o supuestos de reserva o confidencialidad previstos en la Ley General y la presente Ley, aduciendo analogía o mayoría de razón.</w:t>
      </w:r>
    </w:p>
    <w:p w14:paraId="1DB0BA40" w14:textId="77777777" w:rsidR="00185F49" w:rsidRPr="00F507D3" w:rsidRDefault="00185F49">
      <w:pPr>
        <w:spacing w:after="0" w:line="276" w:lineRule="auto"/>
        <w:ind w:left="851" w:right="822"/>
        <w:jc w:val="both"/>
        <w:rPr>
          <w:rFonts w:ascii="Palatino Linotype" w:eastAsia="Palatino Linotype" w:hAnsi="Palatino Linotype" w:cs="Palatino Linotype"/>
          <w:b/>
          <w:i/>
        </w:rPr>
      </w:pPr>
    </w:p>
    <w:p w14:paraId="1FE5F587" w14:textId="77777777" w:rsidR="00185F49" w:rsidRPr="00F507D3" w:rsidRDefault="00862F4A">
      <w:pPr>
        <w:spacing w:after="0" w:line="276" w:lineRule="auto"/>
        <w:ind w:left="851"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rPr>
        <w:t>Artículo 140. El acceso a la información pública será restringido excepcionalmente, cuando por razones de interés público, ésta sea clasificada como reservada, conforme a los criterios siguientes:</w:t>
      </w:r>
    </w:p>
    <w:p w14:paraId="5409126F"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7B1516B8"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b/>
          <w:i/>
        </w:rPr>
        <w:t>VI.</w:t>
      </w:r>
      <w:r w:rsidRPr="00F507D3">
        <w:rPr>
          <w:rFonts w:ascii="Palatino Linotype" w:eastAsia="Palatino Linotype" w:hAnsi="Palatino Linotype" w:cs="Palatino Linotype"/>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w:t>
      </w:r>
      <w:r w:rsidRPr="00F507D3">
        <w:rPr>
          <w:rFonts w:ascii="Palatino Linotype" w:eastAsia="Palatino Linotype" w:hAnsi="Palatino Linotype" w:cs="Palatino Linotype"/>
          <w:i/>
        </w:rPr>
        <w:lastRenderedPageBreak/>
        <w:t>querellante o testigo, así como sus familias, en los términos de las disposiciones jurídicas aplicables…”</w:t>
      </w:r>
    </w:p>
    <w:p w14:paraId="73158E59" w14:textId="77777777" w:rsidR="00185F49" w:rsidRPr="00F507D3" w:rsidRDefault="00185F49">
      <w:pPr>
        <w:spacing w:after="0" w:line="360" w:lineRule="auto"/>
        <w:ind w:right="49"/>
        <w:jc w:val="both"/>
        <w:rPr>
          <w:rFonts w:ascii="Palatino Linotype" w:eastAsia="Palatino Linotype" w:hAnsi="Palatino Linotype" w:cs="Palatino Linotype"/>
          <w:i/>
          <w:sz w:val="24"/>
          <w:szCs w:val="24"/>
        </w:rPr>
      </w:pPr>
    </w:p>
    <w:p w14:paraId="1D02CFC4"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De la interpretación sistemática de los artículos citados, se advierte que de actualizarse este supuesto,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deberá realizar la debida reserva de la información por poseer expedientes que a la fecha de la solicitud se encuentren en trámite, siguiendo los requisitos expuestos: </w:t>
      </w:r>
    </w:p>
    <w:p w14:paraId="0FE9472E"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035C734D"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“La divulgación de la información representa un riesgo real, demostrable e identificable del perjuicio significativo al interés público o a la seguridad pública;</w:t>
      </w:r>
    </w:p>
    <w:p w14:paraId="0CBFFE4F"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El riesgo de perjuicio que supondría la divulgación supera el interés público general de que se difunda; y</w:t>
      </w:r>
    </w:p>
    <w:p w14:paraId="3C8BCC0E"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La limitación se adecua al principio de proporcionalidad y representa el medio menos restrictivo disponible representa el medio menos restrictivo disponible para evitar el perjuicio.”</w:t>
      </w:r>
    </w:p>
    <w:p w14:paraId="5A200722"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19BE7939"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3B3D3954" w14:textId="77777777" w:rsidR="00185F49" w:rsidRPr="00F507D3" w:rsidRDefault="00862F4A">
      <w:pPr>
        <w:spacing w:after="0" w:line="276" w:lineRule="auto"/>
        <w:ind w:left="567" w:right="822"/>
        <w:jc w:val="both"/>
        <w:rPr>
          <w:rFonts w:ascii="Palatino Linotype" w:eastAsia="Palatino Linotype" w:hAnsi="Palatino Linotype" w:cs="Palatino Linotype"/>
          <w:b/>
          <w:i/>
        </w:rPr>
      </w:pPr>
      <w:r w:rsidRPr="00F507D3">
        <w:rPr>
          <w:rFonts w:ascii="Palatino Linotype" w:eastAsia="Palatino Linotype" w:hAnsi="Palatino Linotype" w:cs="Palatino Linotype"/>
          <w:b/>
          <w:i/>
          <w:sz w:val="24"/>
          <w:szCs w:val="24"/>
        </w:rPr>
        <w:t>“</w:t>
      </w:r>
      <w:r w:rsidRPr="00F507D3">
        <w:rPr>
          <w:rFonts w:ascii="Palatino Linotype" w:eastAsia="Palatino Linotype" w:hAnsi="Palatino Linotype" w:cs="Palatino Linotype"/>
          <w:b/>
          <w:i/>
        </w:rPr>
        <w:t>FUNDAMENTACIÓN Y MOTIVACIÓN. EL ASPECTO FORMAL DE LA GARANTÍA Y SU FINALIDAD SE TRADUCEN EN EXPLICAR, JUSTIFICAR, POSIBILITAR LA DEFENSA Y COMUNICAR LA DECISIÓN.</w:t>
      </w:r>
    </w:p>
    <w:p w14:paraId="36CD1924" w14:textId="77777777" w:rsidR="00185F49" w:rsidRPr="00F507D3" w:rsidRDefault="00862F4A">
      <w:pPr>
        <w:spacing w:after="0" w:line="276" w:lineRule="auto"/>
        <w:ind w:left="567"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El contenido formal de la garantía de legalidad prevista en el artículo </w:t>
      </w:r>
      <w:hyperlink r:id="rId17">
        <w:r w:rsidRPr="00F507D3">
          <w:rPr>
            <w:rFonts w:ascii="Palatino Linotype" w:eastAsia="Palatino Linotype" w:hAnsi="Palatino Linotype" w:cs="Palatino Linotype"/>
            <w:i/>
            <w:u w:val="single"/>
          </w:rPr>
          <w:t>16 constitucional</w:t>
        </w:r>
      </w:hyperlink>
      <w:r w:rsidRPr="00F507D3">
        <w:rPr>
          <w:rFonts w:ascii="Palatino Linotype" w:eastAsia="Palatino Linotype" w:hAnsi="Palatino Linotype" w:cs="Palatino Linotype"/>
          <w:i/>
        </w:rPr>
        <w:t xml:space="preserve"> relativa a la fundamentación y motivación tiene como propósito primordial y ratio que el justiciable conozca el "para qué" de la conducta de la autoridad, lo que se traduce en darle a conocer en detalle y de manera completa la </w:t>
      </w:r>
      <w:r w:rsidRPr="00F507D3">
        <w:rPr>
          <w:rFonts w:ascii="Palatino Linotype" w:eastAsia="Palatino Linotype" w:hAnsi="Palatino Linotype" w:cs="Palatino Linotype"/>
          <w:i/>
        </w:rPr>
        <w:lastRenderedPageBreak/>
        <w:t>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54A5ACF" w14:textId="77777777" w:rsidR="00185F49" w:rsidRPr="00F507D3" w:rsidRDefault="00185F49">
      <w:pPr>
        <w:spacing w:after="0" w:line="360" w:lineRule="auto"/>
        <w:ind w:right="49"/>
        <w:jc w:val="both"/>
        <w:rPr>
          <w:rFonts w:ascii="Palatino Linotype" w:eastAsia="Palatino Linotype" w:hAnsi="Palatino Linotype" w:cs="Palatino Linotype"/>
          <w:i/>
          <w:sz w:val="24"/>
          <w:szCs w:val="24"/>
        </w:rPr>
      </w:pPr>
    </w:p>
    <w:p w14:paraId="408AA425" w14:textId="77777777" w:rsidR="00185F49" w:rsidRPr="00F507D3" w:rsidRDefault="00862F4A">
      <w:pPr>
        <w:spacing w:after="0" w:line="360" w:lineRule="auto"/>
        <w:ind w:right="49"/>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Debiendo argumentar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w:t>
      </w:r>
    </w:p>
    <w:p w14:paraId="21C7FD7B" w14:textId="77777777" w:rsidR="00185F49" w:rsidRPr="00F507D3" w:rsidRDefault="00185F49">
      <w:pPr>
        <w:spacing w:after="0" w:line="360" w:lineRule="auto"/>
        <w:ind w:right="49"/>
        <w:jc w:val="both"/>
        <w:rPr>
          <w:rFonts w:ascii="Palatino Linotype" w:eastAsia="Palatino Linotype" w:hAnsi="Palatino Linotype" w:cs="Palatino Linotype"/>
          <w:sz w:val="24"/>
          <w:szCs w:val="24"/>
        </w:rPr>
      </w:pPr>
    </w:p>
    <w:p w14:paraId="10540997" w14:textId="77777777" w:rsidR="00185F49" w:rsidRPr="00F507D3" w:rsidRDefault="00862F4A">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Por lo cual, la causal de reserva prevé que la información podrá clasificarse como reservada en el caso de que obstruya los procedimientos para fincar responsabilidad </w:t>
      </w:r>
      <w:r w:rsidRPr="00F507D3">
        <w:rPr>
          <w:rFonts w:ascii="Palatino Linotype" w:eastAsia="Palatino Linotype" w:hAnsi="Palatino Linotype" w:cs="Palatino Linotype"/>
          <w:sz w:val="24"/>
          <w:szCs w:val="24"/>
        </w:rPr>
        <w:lastRenderedPageBreak/>
        <w:t>a los servidores públicos, pretende proteger la información vinculada a dichos procedimientos.</w:t>
      </w:r>
    </w:p>
    <w:p w14:paraId="03009849" w14:textId="77777777" w:rsidR="00185F49" w:rsidRPr="00F507D3" w:rsidRDefault="00185F49">
      <w:pPr>
        <w:spacing w:after="0" w:line="360" w:lineRule="auto"/>
        <w:ind w:right="51"/>
        <w:jc w:val="both"/>
        <w:rPr>
          <w:rFonts w:ascii="Palatino Linotype" w:eastAsia="Palatino Linotype" w:hAnsi="Palatino Linotype" w:cs="Palatino Linotype"/>
          <w:sz w:val="24"/>
          <w:szCs w:val="24"/>
        </w:rPr>
      </w:pPr>
    </w:p>
    <w:p w14:paraId="2A11E726" w14:textId="23203605" w:rsidR="00185F49" w:rsidRPr="00F507D3" w:rsidRDefault="00862F4A">
      <w:pPr>
        <w:spacing w:after="0" w:line="360" w:lineRule="auto"/>
        <w:ind w:right="51"/>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su parte, en los Lineamientos Generales en Materia de Clasificación y Desclasificación de la Información, así como para la elaboración de versiones públicas, se establece lo siguiente:</w:t>
      </w:r>
    </w:p>
    <w:p w14:paraId="0BDD566E"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w:t>
      </w:r>
    </w:p>
    <w:p w14:paraId="45496139"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b/>
          <w:i/>
        </w:rPr>
        <w:t>Vigésimo octavo.</w:t>
      </w:r>
      <w:r w:rsidRPr="00F507D3">
        <w:rPr>
          <w:rFonts w:ascii="Palatino Linotype" w:eastAsia="Palatino Linotype" w:hAnsi="Palatino Linotype" w:cs="Palatino Linotype"/>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2B23A871" w14:textId="77777777" w:rsidR="00185F49" w:rsidRPr="00F507D3" w:rsidRDefault="00185F49">
      <w:pPr>
        <w:spacing w:after="0" w:line="276" w:lineRule="auto"/>
        <w:ind w:left="851" w:right="822"/>
        <w:jc w:val="both"/>
        <w:rPr>
          <w:rFonts w:ascii="Palatino Linotype" w:eastAsia="Palatino Linotype" w:hAnsi="Palatino Linotype" w:cs="Palatino Linotype"/>
          <w:i/>
        </w:rPr>
      </w:pPr>
    </w:p>
    <w:p w14:paraId="1201BDA3"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I. La existencia de un procedimiento de responsabilidad administrativa en trámite, y</w:t>
      </w:r>
    </w:p>
    <w:p w14:paraId="67D4CDBC" w14:textId="77777777" w:rsidR="00185F49" w:rsidRPr="00F507D3" w:rsidRDefault="00862F4A">
      <w:pPr>
        <w:spacing w:after="0" w:line="276" w:lineRule="auto"/>
        <w:ind w:left="851" w:right="822"/>
        <w:jc w:val="both"/>
        <w:rPr>
          <w:rFonts w:ascii="Palatino Linotype" w:eastAsia="Palatino Linotype" w:hAnsi="Palatino Linotype" w:cs="Palatino Linotype"/>
          <w:i/>
        </w:rPr>
      </w:pPr>
      <w:r w:rsidRPr="00F507D3">
        <w:rPr>
          <w:rFonts w:ascii="Palatino Linotype" w:eastAsia="Palatino Linotype" w:hAnsi="Palatino Linotype" w:cs="Palatino Linotype"/>
          <w:i/>
        </w:rPr>
        <w:t xml:space="preserve">II. Que la información se refiera a actuaciones, diligencias y constancias propias del procedimiento de responsabilidad…” </w:t>
      </w:r>
    </w:p>
    <w:p w14:paraId="69E595FD" w14:textId="77777777" w:rsidR="00185F49" w:rsidRPr="00F507D3" w:rsidRDefault="00185F49">
      <w:pPr>
        <w:spacing w:line="360" w:lineRule="auto"/>
        <w:ind w:right="49"/>
        <w:jc w:val="both"/>
        <w:rPr>
          <w:rFonts w:ascii="Palatino Linotype" w:eastAsia="Palatino Linotype" w:hAnsi="Palatino Linotype" w:cs="Palatino Linotype"/>
          <w:i/>
          <w:sz w:val="24"/>
          <w:szCs w:val="24"/>
        </w:rPr>
      </w:pPr>
    </w:p>
    <w:p w14:paraId="27B7EBF2"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De lo anterior, se advierte que para que se actualice la causal de reserva que se analiza se debe acreditar i) la existencia de un procedimiento de responsabilidad administrativa en trámite, y ii) que la información se refiera a actuaciones, diligencias y constancias propias del procedimiento de responsabilidad.</w:t>
      </w:r>
    </w:p>
    <w:p w14:paraId="55E35F01"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0EC09D21"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Respecto al plazo de reserva, el artículo 125 de la Ley de la materia, establece que la información clasificada como reservada según el artículo 140 de la Ley Federal de Transparencia y Acceso a la Información Pública, podrá permanecer con tal carácter </w:t>
      </w:r>
      <w:r w:rsidRPr="00F507D3">
        <w:rPr>
          <w:rFonts w:ascii="Palatino Linotype" w:eastAsia="Palatino Linotype" w:hAnsi="Palatino Linotype" w:cs="Palatino Linotype"/>
          <w:sz w:val="24"/>
          <w:szCs w:val="24"/>
        </w:rPr>
        <w:lastRenderedPageBreak/>
        <w:t>hasta por un periodo de cinco años; por lo que deberá determinar el periodo de reserva, de manera fundada y motivada.</w:t>
      </w:r>
    </w:p>
    <w:p w14:paraId="0E58C6D2"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7ED012DE"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Por otra parte, se considera de suma importancia mencionar que la Ley de Transparencia vigente en el Estado de México establece:</w:t>
      </w:r>
    </w:p>
    <w:p w14:paraId="0F70D1C7" w14:textId="77777777" w:rsidR="00185F49" w:rsidRPr="00F507D3" w:rsidRDefault="00185F49">
      <w:pPr>
        <w:spacing w:line="360" w:lineRule="auto"/>
        <w:jc w:val="both"/>
        <w:rPr>
          <w:rFonts w:ascii="Palatino Linotype" w:eastAsia="Palatino Linotype" w:hAnsi="Palatino Linotype" w:cs="Palatino Linotype"/>
        </w:rPr>
      </w:pPr>
    </w:p>
    <w:p w14:paraId="762C6DF8" w14:textId="77777777" w:rsidR="00185F49" w:rsidRPr="00F507D3" w:rsidRDefault="00862F4A">
      <w:pPr>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Artículo 142.</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Bajo ninguna circunstancia podrá invocarse el carácter de reservado cuando</w:t>
      </w:r>
      <w:r w:rsidRPr="00F507D3">
        <w:rPr>
          <w:rFonts w:ascii="Palatino Linotype" w:eastAsia="Palatino Linotype" w:hAnsi="Palatino Linotype" w:cs="Palatino Linotype"/>
          <w:i/>
        </w:rPr>
        <w:t>:</w:t>
      </w:r>
    </w:p>
    <w:p w14:paraId="2183C984" w14:textId="77777777" w:rsidR="00185F49" w:rsidRPr="00F507D3" w:rsidRDefault="00862F4A">
      <w:pPr>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violaciones graves de derechos humanos</w:t>
      </w:r>
      <w:r w:rsidRPr="00F507D3">
        <w:rPr>
          <w:rFonts w:ascii="Palatino Linotype" w:eastAsia="Palatino Linotype" w:hAnsi="Palatino Linotype" w:cs="Palatino Linotype"/>
          <w:i/>
        </w:rPr>
        <w:t>, calificada así por autoridad competente;</w:t>
      </w:r>
    </w:p>
    <w:p w14:paraId="57D6A1B2" w14:textId="77777777" w:rsidR="00185F49" w:rsidRPr="00F507D3" w:rsidRDefault="00862F4A">
      <w:pPr>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II.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la investigación de posibles violaciones graves de derechos humanos</w:t>
      </w:r>
      <w:r w:rsidRPr="00F507D3">
        <w:rPr>
          <w:rFonts w:ascii="Palatino Linotype" w:eastAsia="Palatino Linotype" w:hAnsi="Palatino Linotype" w:cs="Palatino Linotype"/>
          <w:i/>
        </w:rPr>
        <w:t xml:space="preserve"> aun cuando no exista pronunciamiento previo de autoridad competente, cuando se determine, a partir de criterios cuantitativos y cualitativos la trascendencia social de las violaciones;</w:t>
      </w:r>
    </w:p>
    <w:p w14:paraId="60061436" w14:textId="77777777" w:rsidR="00185F49" w:rsidRPr="00F507D3" w:rsidRDefault="00862F4A">
      <w:pPr>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III.</w:t>
      </w:r>
      <w:r w:rsidRPr="00F507D3">
        <w:rPr>
          <w:rFonts w:ascii="Palatino Linotype" w:eastAsia="Palatino Linotype" w:hAnsi="Palatino Linotype" w:cs="Palatino Linotype"/>
          <w:i/>
        </w:rPr>
        <w:t xml:space="preserve"> </w:t>
      </w:r>
      <w:r w:rsidRPr="00F507D3">
        <w:rPr>
          <w:rFonts w:ascii="Palatino Linotype" w:eastAsia="Palatino Linotype" w:hAnsi="Palatino Linotype" w:cs="Palatino Linotype"/>
          <w:b/>
          <w:i/>
          <w:u w:val="single"/>
        </w:rPr>
        <w:t>Se trate de delitos de lesa humanidad</w:t>
      </w:r>
      <w:r w:rsidRPr="00F507D3">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644240B2" w14:textId="77777777" w:rsidR="00185F49" w:rsidRPr="00F507D3" w:rsidRDefault="00862F4A">
      <w:pPr>
        <w:ind w:left="851" w:right="851"/>
        <w:jc w:val="both"/>
        <w:rPr>
          <w:rFonts w:ascii="Palatino Linotype" w:eastAsia="Palatino Linotype" w:hAnsi="Palatino Linotype" w:cs="Palatino Linotype"/>
          <w:i/>
        </w:rPr>
      </w:pPr>
      <w:r w:rsidRPr="00F507D3">
        <w:rPr>
          <w:rFonts w:ascii="Palatino Linotype" w:eastAsia="Palatino Linotype" w:hAnsi="Palatino Linotype" w:cs="Palatino Linotype"/>
          <w:b/>
          <w:i/>
        </w:rPr>
        <w:t>IV</w:t>
      </w:r>
      <w:r w:rsidRPr="00F507D3">
        <w:rPr>
          <w:rFonts w:ascii="Palatino Linotype" w:eastAsia="Palatino Linotype" w:hAnsi="Palatino Linotype" w:cs="Palatino Linotype"/>
          <w:b/>
          <w:i/>
          <w:u w:val="single"/>
        </w:rPr>
        <w:t>. Se trate de información relacionada con actos de corrupción</w:t>
      </w:r>
      <w:r w:rsidRPr="00F507D3">
        <w:rPr>
          <w:rFonts w:ascii="Palatino Linotype" w:eastAsia="Palatino Linotype" w:hAnsi="Palatino Linotype" w:cs="Palatino Linotype"/>
          <w:i/>
        </w:rPr>
        <w:t xml:space="preserve"> de conformidad con las disposiciones jurídicas aplicables. (Énfasis añadido)</w:t>
      </w:r>
    </w:p>
    <w:p w14:paraId="5CB8C7C7" w14:textId="77777777" w:rsidR="00185F49" w:rsidRPr="00F507D3" w:rsidRDefault="00185F49">
      <w:pPr>
        <w:ind w:left="851" w:right="851"/>
        <w:jc w:val="both"/>
        <w:rPr>
          <w:rFonts w:ascii="Palatino Linotype" w:eastAsia="Palatino Linotype" w:hAnsi="Palatino Linotype" w:cs="Palatino Linotype"/>
          <w:i/>
        </w:rPr>
      </w:pPr>
    </w:p>
    <w:p w14:paraId="37D4F256"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 xml:space="preserve">Del artículo en estudio, se aprecia claramente en qué supuestos no se puede invocar el carácter de reservada, no obstante, es de recordar que en el requerimiento adicional de información, </w:t>
      </w:r>
      <w:r w:rsidRPr="00F507D3">
        <w:rPr>
          <w:rFonts w:ascii="Palatino Linotype" w:eastAsia="Palatino Linotype" w:hAnsi="Palatino Linotype" w:cs="Palatino Linotype"/>
          <w:b/>
          <w:sz w:val="24"/>
          <w:szCs w:val="24"/>
        </w:rPr>
        <w:t>EL SUJETO OBLIGADO</w:t>
      </w:r>
      <w:r w:rsidRPr="00F507D3">
        <w:rPr>
          <w:rFonts w:ascii="Palatino Linotype" w:eastAsia="Palatino Linotype" w:hAnsi="Palatino Linotype" w:cs="Palatino Linotype"/>
          <w:sz w:val="24"/>
          <w:szCs w:val="24"/>
        </w:rPr>
        <w:t xml:space="preserve">, señalo que las denuncias no actualice alguno de los supuestos contemplados en el artículo 142 de la Ley de Transparencia y Acceso a la Información del Estado de México y Municipios. </w:t>
      </w:r>
    </w:p>
    <w:p w14:paraId="61423791"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De ahí que, resulta procedente la reserva, de los documentales que integran las denuncias presentas del 01 de septiembre al 15 de diciembre de 2024 en la Dirección de Investigación y Supervisión, en términos del artículo 140, fracción VI, de la Ley de Transparencia y Acceso a la Información Pública del Estado de México y Municipios, de los procedimientos por responsabilidades administrativas en trámite.</w:t>
      </w:r>
    </w:p>
    <w:p w14:paraId="445A925D"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1ADC7B5"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62D3675C"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33110E2" w14:textId="77777777" w:rsidR="00185F49" w:rsidRPr="00F507D3" w:rsidRDefault="00862F4A">
      <w:pPr>
        <w:spacing w:after="0" w:line="360" w:lineRule="auto"/>
        <w:ind w:right="-93"/>
        <w:jc w:val="center"/>
        <w:rPr>
          <w:rFonts w:ascii="Palatino Linotype" w:eastAsia="Palatino Linotype" w:hAnsi="Palatino Linotype" w:cs="Palatino Linotype"/>
          <w:b/>
          <w:sz w:val="24"/>
          <w:szCs w:val="24"/>
        </w:rPr>
      </w:pPr>
      <w:r w:rsidRPr="00F507D3">
        <w:rPr>
          <w:rFonts w:ascii="Palatino Linotype" w:eastAsia="Palatino Linotype" w:hAnsi="Palatino Linotype" w:cs="Palatino Linotype"/>
          <w:b/>
          <w:sz w:val="24"/>
          <w:szCs w:val="24"/>
        </w:rPr>
        <w:t>R E S U E L V E:</w:t>
      </w:r>
    </w:p>
    <w:p w14:paraId="6C618D7C" w14:textId="77777777" w:rsidR="00185F49" w:rsidRPr="00F507D3" w:rsidRDefault="00185F49">
      <w:pPr>
        <w:spacing w:after="0" w:line="360" w:lineRule="auto"/>
        <w:ind w:right="-93"/>
        <w:jc w:val="center"/>
        <w:rPr>
          <w:rFonts w:ascii="Palatino Linotype" w:eastAsia="Palatino Linotype" w:hAnsi="Palatino Linotype" w:cs="Palatino Linotype"/>
          <w:b/>
          <w:sz w:val="24"/>
          <w:szCs w:val="24"/>
        </w:rPr>
      </w:pPr>
    </w:p>
    <w:p w14:paraId="757DB0A6" w14:textId="77777777" w:rsidR="00185F49" w:rsidRPr="00F507D3" w:rsidRDefault="00862F4A">
      <w:pPr>
        <w:spacing w:after="0" w:line="360" w:lineRule="auto"/>
        <w:jc w:val="both"/>
        <w:rPr>
          <w:rFonts w:ascii="Palatino Linotype" w:eastAsia="Palatino Linotype" w:hAnsi="Palatino Linotype" w:cs="Palatino Linotype"/>
          <w:b/>
          <w:sz w:val="24"/>
          <w:szCs w:val="24"/>
        </w:rPr>
      </w:pPr>
      <w:r w:rsidRPr="00F507D3">
        <w:rPr>
          <w:rFonts w:ascii="Palatino Linotype" w:eastAsia="Palatino Linotype" w:hAnsi="Palatino Linotype" w:cs="Palatino Linotype"/>
          <w:b/>
          <w:sz w:val="24"/>
          <w:szCs w:val="24"/>
        </w:rPr>
        <w:t xml:space="preserve">PRIMERO. </w:t>
      </w:r>
      <w:r w:rsidRPr="00F507D3">
        <w:rPr>
          <w:rFonts w:ascii="Palatino Linotype" w:eastAsia="Palatino Linotype" w:hAnsi="Palatino Linotype" w:cs="Palatino Linotype"/>
          <w:sz w:val="24"/>
          <w:szCs w:val="24"/>
        </w:rPr>
        <w:t xml:space="preserve">Resultan fundados los motivos de inconformidad hechos valer por </w:t>
      </w:r>
      <w:r w:rsidRPr="00F507D3">
        <w:rPr>
          <w:rFonts w:ascii="Palatino Linotype" w:eastAsia="Palatino Linotype" w:hAnsi="Palatino Linotype" w:cs="Palatino Linotype"/>
          <w:b/>
          <w:sz w:val="24"/>
          <w:szCs w:val="24"/>
        </w:rPr>
        <w:t>LA PARTE RECURRENTE</w:t>
      </w:r>
      <w:r w:rsidRPr="00F507D3">
        <w:rPr>
          <w:rFonts w:ascii="Palatino Linotype" w:eastAsia="Palatino Linotype" w:hAnsi="Palatino Linotype" w:cs="Palatino Linotype"/>
          <w:sz w:val="24"/>
          <w:szCs w:val="24"/>
        </w:rPr>
        <w:t xml:space="preserve"> en el Recurso de Revisión </w:t>
      </w:r>
      <w:r w:rsidRPr="00F507D3">
        <w:rPr>
          <w:rFonts w:ascii="Palatino Linotype" w:eastAsia="Palatino Linotype" w:hAnsi="Palatino Linotype" w:cs="Palatino Linotype"/>
          <w:b/>
          <w:sz w:val="24"/>
          <w:szCs w:val="24"/>
        </w:rPr>
        <w:t xml:space="preserve">00709/INFOEM/IP/RR/2025, </w:t>
      </w:r>
      <w:r w:rsidRPr="00F507D3">
        <w:rPr>
          <w:rFonts w:ascii="Palatino Linotype" w:eastAsia="Palatino Linotype" w:hAnsi="Palatino Linotype" w:cs="Palatino Linotype"/>
          <w:sz w:val="24"/>
          <w:szCs w:val="24"/>
        </w:rPr>
        <w:t xml:space="preserve">por lo que, en términos del considerando </w:t>
      </w:r>
      <w:r w:rsidRPr="00F507D3">
        <w:rPr>
          <w:rFonts w:ascii="Palatino Linotype" w:eastAsia="Palatino Linotype" w:hAnsi="Palatino Linotype" w:cs="Palatino Linotype"/>
          <w:b/>
          <w:sz w:val="24"/>
          <w:szCs w:val="24"/>
        </w:rPr>
        <w:t xml:space="preserve">Cuarto </w:t>
      </w:r>
      <w:r w:rsidRPr="00F507D3">
        <w:rPr>
          <w:rFonts w:ascii="Palatino Linotype" w:eastAsia="Palatino Linotype" w:hAnsi="Palatino Linotype" w:cs="Palatino Linotype"/>
          <w:sz w:val="24"/>
          <w:szCs w:val="24"/>
        </w:rPr>
        <w:t xml:space="preserve">de esta resolución, se </w:t>
      </w:r>
      <w:r w:rsidRPr="00F507D3">
        <w:rPr>
          <w:rFonts w:ascii="Palatino Linotype" w:eastAsia="Palatino Linotype" w:hAnsi="Palatino Linotype" w:cs="Palatino Linotype"/>
          <w:b/>
          <w:sz w:val="24"/>
          <w:szCs w:val="24"/>
        </w:rPr>
        <w:t xml:space="preserve">REVOCA </w:t>
      </w:r>
      <w:r w:rsidRPr="00F507D3">
        <w:rPr>
          <w:rFonts w:ascii="Palatino Linotype" w:eastAsia="Palatino Linotype" w:hAnsi="Palatino Linotype" w:cs="Palatino Linotype"/>
          <w:sz w:val="24"/>
          <w:szCs w:val="24"/>
        </w:rPr>
        <w:t xml:space="preserve">la respuesta emitida por </w:t>
      </w:r>
      <w:r w:rsidRPr="00F507D3">
        <w:rPr>
          <w:rFonts w:ascii="Palatino Linotype" w:eastAsia="Palatino Linotype" w:hAnsi="Palatino Linotype" w:cs="Palatino Linotype"/>
          <w:b/>
          <w:sz w:val="24"/>
          <w:szCs w:val="24"/>
        </w:rPr>
        <w:t>EL</w:t>
      </w:r>
      <w:r w:rsidRPr="00F507D3">
        <w:rPr>
          <w:rFonts w:ascii="Palatino Linotype" w:eastAsia="Palatino Linotype" w:hAnsi="Palatino Linotype" w:cs="Palatino Linotype"/>
          <w:sz w:val="24"/>
          <w:szCs w:val="24"/>
        </w:rPr>
        <w:t xml:space="preserve">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w:t>
      </w:r>
    </w:p>
    <w:p w14:paraId="71EED201"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131F40F3" w14:textId="00DFEDF9" w:rsidR="00185F49" w:rsidRPr="00F507D3" w:rsidRDefault="00862F4A" w:rsidP="00321C84">
      <w:pPr>
        <w:spacing w:after="0" w:line="360" w:lineRule="auto"/>
        <w:jc w:val="both"/>
        <w:rPr>
          <w:rFonts w:ascii="Palatino Linotype" w:eastAsia="Palatino Linotype" w:hAnsi="Palatino Linotype" w:cs="Palatino Linotype"/>
          <w:sz w:val="24"/>
          <w:szCs w:val="24"/>
        </w:rPr>
      </w:pPr>
      <w:bookmarkStart w:id="0" w:name="_heading=h.kelgs2428oa6" w:colFirst="0" w:colLast="0"/>
      <w:bookmarkEnd w:id="0"/>
      <w:r w:rsidRPr="00F507D3">
        <w:rPr>
          <w:rFonts w:ascii="Palatino Linotype" w:eastAsia="Palatino Linotype" w:hAnsi="Palatino Linotype" w:cs="Palatino Linotype"/>
          <w:b/>
          <w:sz w:val="24"/>
          <w:szCs w:val="24"/>
        </w:rPr>
        <w:t xml:space="preserve">SEGUNDO. </w:t>
      </w:r>
      <w:r w:rsidRPr="00F507D3">
        <w:rPr>
          <w:rFonts w:ascii="Palatino Linotype" w:eastAsia="Palatino Linotype" w:hAnsi="Palatino Linotype" w:cs="Palatino Linotype"/>
          <w:sz w:val="24"/>
          <w:szCs w:val="24"/>
        </w:rPr>
        <w:t>Se</w:t>
      </w:r>
      <w:r w:rsidRPr="00F507D3">
        <w:rPr>
          <w:rFonts w:ascii="Palatino Linotype" w:eastAsia="Palatino Linotype" w:hAnsi="Palatino Linotype" w:cs="Palatino Linotype"/>
          <w:b/>
          <w:sz w:val="24"/>
          <w:szCs w:val="24"/>
        </w:rPr>
        <w:t xml:space="preserve"> ORDENA </w:t>
      </w:r>
      <w:r w:rsidRPr="00F507D3">
        <w:rPr>
          <w:rFonts w:ascii="Palatino Linotype" w:eastAsia="Palatino Linotype" w:hAnsi="Palatino Linotype" w:cs="Palatino Linotype"/>
          <w:sz w:val="24"/>
          <w:szCs w:val="24"/>
        </w:rPr>
        <w:t xml:space="preserve">al </w:t>
      </w:r>
      <w:r w:rsidRPr="00F507D3">
        <w:rPr>
          <w:rFonts w:ascii="Palatino Linotype" w:eastAsia="Palatino Linotype" w:hAnsi="Palatino Linotype" w:cs="Palatino Linotype"/>
          <w:b/>
          <w:sz w:val="24"/>
          <w:szCs w:val="24"/>
        </w:rPr>
        <w:t>SUJETO OBLIGADO</w:t>
      </w:r>
      <w:r w:rsidRPr="00F507D3">
        <w:rPr>
          <w:rFonts w:ascii="Palatino Linotype" w:eastAsia="Palatino Linotype" w:hAnsi="Palatino Linotype" w:cs="Palatino Linotype"/>
          <w:sz w:val="24"/>
          <w:szCs w:val="24"/>
        </w:rPr>
        <w:t xml:space="preserve"> en términos de los Considerandos </w:t>
      </w:r>
      <w:r w:rsidRPr="00F507D3">
        <w:rPr>
          <w:rFonts w:ascii="Palatino Linotype" w:eastAsia="Palatino Linotype" w:hAnsi="Palatino Linotype" w:cs="Palatino Linotype"/>
          <w:b/>
          <w:sz w:val="24"/>
          <w:szCs w:val="24"/>
        </w:rPr>
        <w:t xml:space="preserve">Cuarto y Quinto </w:t>
      </w:r>
      <w:r w:rsidRPr="00F507D3">
        <w:rPr>
          <w:rFonts w:ascii="Palatino Linotype" w:eastAsia="Palatino Linotype" w:hAnsi="Palatino Linotype" w:cs="Palatino Linotype"/>
          <w:sz w:val="24"/>
          <w:szCs w:val="24"/>
        </w:rPr>
        <w:t xml:space="preserve">de esta resolución, haga entrega, vía </w:t>
      </w:r>
      <w:r w:rsidRPr="00F507D3">
        <w:rPr>
          <w:rFonts w:ascii="Palatino Linotype" w:eastAsia="Palatino Linotype" w:hAnsi="Palatino Linotype" w:cs="Palatino Linotype"/>
          <w:b/>
          <w:sz w:val="24"/>
          <w:szCs w:val="24"/>
        </w:rPr>
        <w:t>SAIMEX</w:t>
      </w:r>
      <w:r w:rsidRPr="00F507D3">
        <w:rPr>
          <w:rFonts w:ascii="Palatino Linotype" w:eastAsia="Palatino Linotype" w:hAnsi="Palatino Linotype" w:cs="Palatino Linotype"/>
          <w:sz w:val="24"/>
          <w:szCs w:val="24"/>
        </w:rPr>
        <w:t>, de ser el caso en versión pública, de lo siguiente:</w:t>
      </w:r>
    </w:p>
    <w:p w14:paraId="310B7282" w14:textId="77777777" w:rsidR="00185F49" w:rsidRPr="00F507D3" w:rsidRDefault="00862F4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lastRenderedPageBreak/>
        <w:t>Acuerdo del Comité de Transparencia en el que se clasifique como información reservada los documentales que integran las denuncias presentadas ante</w:t>
      </w:r>
      <w:r w:rsidRPr="00F507D3">
        <w:rPr>
          <w:rFonts w:ascii="Palatino Linotype" w:eastAsia="Palatino Linotype" w:hAnsi="Palatino Linotype" w:cs="Palatino Linotype"/>
          <w:b/>
          <w:sz w:val="24"/>
          <w:szCs w:val="24"/>
        </w:rPr>
        <w:t xml:space="preserve"> EL SUJETO OBLIGADO </w:t>
      </w:r>
      <w:r w:rsidRPr="00F507D3">
        <w:rPr>
          <w:rFonts w:ascii="Palatino Linotype" w:eastAsia="Palatino Linotype" w:hAnsi="Palatino Linotype" w:cs="Palatino Linotype"/>
          <w:sz w:val="24"/>
          <w:szCs w:val="24"/>
        </w:rPr>
        <w:t>del 01 de septiembre al 15 de diciembre de 2024 de conformidad con los artículos 128, 129, 135 y 140 fracción VI, de la Ley de Transparencia y Acceso a la Información Pública del Estado de México y Municipios</w:t>
      </w:r>
    </w:p>
    <w:p w14:paraId="1F34C2F7" w14:textId="77777777" w:rsidR="00185F49" w:rsidRPr="00F507D3" w:rsidRDefault="00185F4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6283A1F" w14:textId="77777777" w:rsidR="00185F49" w:rsidRPr="00F507D3" w:rsidRDefault="00862F4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TERCERO.</w:t>
      </w:r>
      <w:r w:rsidRPr="00F507D3">
        <w:rPr>
          <w:rFonts w:ascii="Palatino Linotype" w:eastAsia="Palatino Linotype" w:hAnsi="Palatino Linotype" w:cs="Palatino Linotype"/>
          <w:sz w:val="24"/>
          <w:szCs w:val="24"/>
        </w:rPr>
        <w:t xml:space="preserve">  Notifíquese 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4AA08A"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19FD897B"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t>CUARTO.</w:t>
      </w:r>
      <w:r w:rsidRPr="00F507D3">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8FE1C4"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60D4EAE0" w14:textId="77777777" w:rsidR="00185F49" w:rsidRPr="00F507D3" w:rsidRDefault="00862F4A">
      <w:pPr>
        <w:spacing w:after="0" w:line="360" w:lineRule="auto"/>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b/>
          <w:sz w:val="24"/>
          <w:szCs w:val="24"/>
        </w:rPr>
        <w:lastRenderedPageBreak/>
        <w:t>QUINTO.</w:t>
      </w:r>
      <w:r w:rsidRPr="00F507D3">
        <w:rPr>
          <w:rFonts w:ascii="Palatino Linotype" w:eastAsia="Palatino Linotype" w:hAnsi="Palatino Linotype" w:cs="Palatino Linotype"/>
          <w:sz w:val="24"/>
          <w:szCs w:val="24"/>
        </w:rPr>
        <w:t xml:space="preserve"> Notifíquese vía SAIMEX, a la parte Recurrente la presente resolución, así como, que de conformidad con lo establecido en los artículos 159 y 160 de la Ley General de Transparencia y Acceso a la Información Pública, y en el artículo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634388F0" w14:textId="77777777" w:rsidR="00185F49" w:rsidRPr="00F507D3" w:rsidRDefault="00185F49">
      <w:pPr>
        <w:spacing w:after="0" w:line="360" w:lineRule="auto"/>
        <w:jc w:val="both"/>
        <w:rPr>
          <w:rFonts w:ascii="Palatino Linotype" w:eastAsia="Palatino Linotype" w:hAnsi="Palatino Linotype" w:cs="Palatino Linotype"/>
          <w:sz w:val="24"/>
          <w:szCs w:val="24"/>
        </w:rPr>
      </w:pPr>
    </w:p>
    <w:p w14:paraId="30E938CE" w14:textId="7910497B" w:rsidR="00185F49" w:rsidRPr="00F507D3" w:rsidRDefault="00862F4A">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507D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21C84" w:rsidRPr="00F507D3">
        <w:rPr>
          <w:rFonts w:ascii="Palatino Linotype" w:eastAsia="Palatino Linotype" w:hAnsi="Palatino Linotype" w:cs="Palatino Linotype"/>
          <w:sz w:val="24"/>
          <w:szCs w:val="24"/>
        </w:rPr>
        <w:t xml:space="preserve"> (EMITIENDO VOTO PARTICULAR)</w:t>
      </w:r>
      <w:r w:rsidRPr="00F507D3">
        <w:rPr>
          <w:rFonts w:ascii="Palatino Linotype" w:eastAsia="Palatino Linotype" w:hAnsi="Palatino Linotype" w:cs="Palatino Linotype"/>
          <w:sz w:val="24"/>
          <w:szCs w:val="24"/>
        </w:rPr>
        <w:t xml:space="preserve"> Y GUADALUPE RAMÍREZ PEÑA; EN LA NOVENA SESIÓN ORDINARIA CELEBRADA EL DOCE DE MARZO DE DOS MIL VEINTICINCO, ANTE EL SECRETARIO TÉCNICO DEL PLENO ALEXIS TAPIA RAMÍREZ.</w:t>
      </w:r>
    </w:p>
    <w:p w14:paraId="7E34F399" w14:textId="77777777" w:rsidR="00185F49" w:rsidRPr="00F507D3" w:rsidRDefault="00185F49">
      <w:pPr>
        <w:spacing w:after="0" w:line="360" w:lineRule="auto"/>
        <w:jc w:val="both"/>
        <w:rPr>
          <w:rFonts w:ascii="Palatino Linotype" w:eastAsia="Palatino Linotype" w:hAnsi="Palatino Linotype" w:cs="Palatino Linotype"/>
          <w:sz w:val="28"/>
          <w:szCs w:val="28"/>
        </w:rPr>
      </w:pPr>
    </w:p>
    <w:p w14:paraId="507240B3" w14:textId="77777777" w:rsidR="00185F49" w:rsidRPr="00F507D3" w:rsidRDefault="00185F49">
      <w:pPr>
        <w:spacing w:after="0" w:line="360" w:lineRule="auto"/>
        <w:jc w:val="both"/>
        <w:rPr>
          <w:rFonts w:ascii="Palatino Linotype" w:eastAsia="Palatino Linotype" w:hAnsi="Palatino Linotype" w:cs="Palatino Linotype"/>
          <w:sz w:val="28"/>
          <w:szCs w:val="28"/>
        </w:rPr>
      </w:pPr>
    </w:p>
    <w:p w14:paraId="4A28E047" w14:textId="77777777" w:rsidR="00185F49" w:rsidRPr="00F507D3" w:rsidRDefault="00185F49">
      <w:pPr>
        <w:spacing w:after="0" w:line="360" w:lineRule="auto"/>
        <w:jc w:val="both"/>
        <w:rPr>
          <w:rFonts w:ascii="Palatino Linotype" w:eastAsia="Palatino Linotype" w:hAnsi="Palatino Linotype" w:cs="Palatino Linotype"/>
          <w:sz w:val="28"/>
          <w:szCs w:val="28"/>
        </w:rPr>
      </w:pPr>
    </w:p>
    <w:p w14:paraId="29B9075B" w14:textId="77777777" w:rsidR="00321C84" w:rsidRPr="00F507D3" w:rsidRDefault="00321C84">
      <w:pPr>
        <w:spacing w:after="0" w:line="360" w:lineRule="auto"/>
        <w:jc w:val="both"/>
        <w:rPr>
          <w:rFonts w:ascii="Palatino Linotype" w:eastAsia="Palatino Linotype" w:hAnsi="Palatino Linotype" w:cs="Palatino Linotype"/>
          <w:sz w:val="28"/>
          <w:szCs w:val="28"/>
        </w:rPr>
      </w:pPr>
    </w:p>
    <w:p w14:paraId="3A5BF3BE" w14:textId="77777777" w:rsidR="00321C84" w:rsidRPr="00F507D3" w:rsidRDefault="00321C84">
      <w:pPr>
        <w:spacing w:after="0" w:line="360" w:lineRule="auto"/>
        <w:jc w:val="both"/>
        <w:rPr>
          <w:rFonts w:ascii="Palatino Linotype" w:eastAsia="Palatino Linotype" w:hAnsi="Palatino Linotype" w:cs="Palatino Linotype"/>
          <w:sz w:val="28"/>
          <w:szCs w:val="28"/>
        </w:rPr>
      </w:pPr>
    </w:p>
    <w:p w14:paraId="1D30E80D" w14:textId="77777777" w:rsidR="00185F49" w:rsidRPr="00F507D3" w:rsidRDefault="00185F49">
      <w:pPr>
        <w:spacing w:after="0" w:line="360" w:lineRule="auto"/>
        <w:jc w:val="both"/>
        <w:rPr>
          <w:rFonts w:ascii="Palatino Linotype" w:eastAsia="Palatino Linotype" w:hAnsi="Palatino Linotype" w:cs="Palatino Linotype"/>
          <w:sz w:val="40"/>
          <w:szCs w:val="40"/>
        </w:rPr>
      </w:pPr>
    </w:p>
    <w:sectPr w:rsidR="00185F49" w:rsidRPr="00F507D3">
      <w:headerReference w:type="default" r:id="rId18"/>
      <w:footerReference w:type="default" r:id="rId19"/>
      <w:headerReference w:type="first" r:id="rId20"/>
      <w:footerReference w:type="first" r:id="rId2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9F74" w14:textId="77777777" w:rsidR="00391A66" w:rsidRDefault="00391A66">
      <w:pPr>
        <w:spacing w:after="0" w:line="240" w:lineRule="auto"/>
      </w:pPr>
      <w:r>
        <w:separator/>
      </w:r>
    </w:p>
  </w:endnote>
  <w:endnote w:type="continuationSeparator" w:id="0">
    <w:p w14:paraId="4D7F76B9" w14:textId="77777777" w:rsidR="00391A66" w:rsidRDefault="0039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D7C" w14:textId="77777777" w:rsidR="00A30A46" w:rsidRDefault="00A30A46">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35906">
      <w:rPr>
        <w:rFonts w:ascii="Arial" w:eastAsia="Arial" w:hAnsi="Arial" w:cs="Arial"/>
        <w:b/>
        <w:noProof/>
        <w:color w:val="000000"/>
        <w:sz w:val="20"/>
        <w:szCs w:val="20"/>
      </w:rPr>
      <w:t>53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35906">
      <w:rPr>
        <w:rFonts w:ascii="Arial" w:eastAsia="Arial" w:hAnsi="Arial" w:cs="Arial"/>
        <w:b/>
        <w:noProof/>
        <w:color w:val="000000"/>
        <w:sz w:val="20"/>
        <w:szCs w:val="20"/>
      </w:rPr>
      <w:t>54</w:t>
    </w:r>
    <w:r>
      <w:rPr>
        <w:rFonts w:ascii="Arial" w:eastAsia="Arial" w:hAnsi="Arial" w:cs="Arial"/>
        <w:b/>
        <w:color w:val="000000"/>
        <w:sz w:val="20"/>
        <w:szCs w:val="20"/>
      </w:rPr>
      <w:fldChar w:fldCharType="end"/>
    </w:r>
  </w:p>
  <w:p w14:paraId="7C368B8F" w14:textId="77777777" w:rsidR="00A30A46" w:rsidRDefault="00A30A4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8E37" w14:textId="77777777" w:rsidR="00A30A46" w:rsidRDefault="00A30A46">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3590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35906">
      <w:rPr>
        <w:rFonts w:ascii="Arial" w:eastAsia="Arial" w:hAnsi="Arial" w:cs="Arial"/>
        <w:b/>
        <w:noProof/>
        <w:color w:val="000000"/>
        <w:sz w:val="20"/>
        <w:szCs w:val="20"/>
      </w:rPr>
      <w:t>54</w:t>
    </w:r>
    <w:r>
      <w:rPr>
        <w:rFonts w:ascii="Arial" w:eastAsia="Arial" w:hAnsi="Arial" w:cs="Arial"/>
        <w:b/>
        <w:color w:val="000000"/>
        <w:sz w:val="20"/>
        <w:szCs w:val="20"/>
      </w:rPr>
      <w:fldChar w:fldCharType="end"/>
    </w:r>
  </w:p>
  <w:p w14:paraId="0DF4A967" w14:textId="77777777" w:rsidR="00A30A46" w:rsidRDefault="00A30A46">
    <w:pPr>
      <w:pBdr>
        <w:top w:val="nil"/>
        <w:left w:val="nil"/>
        <w:bottom w:val="nil"/>
        <w:right w:val="nil"/>
        <w:between w:val="nil"/>
      </w:pBdr>
      <w:tabs>
        <w:tab w:val="center" w:pos="4419"/>
        <w:tab w:val="right" w:pos="8838"/>
      </w:tabs>
      <w:spacing w:after="0" w:line="240" w:lineRule="auto"/>
      <w:rPr>
        <w:color w:val="000000"/>
      </w:rPr>
    </w:pPr>
  </w:p>
  <w:p w14:paraId="7E138A96" w14:textId="77777777" w:rsidR="00A30A46" w:rsidRDefault="00A30A4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4A4A" w14:textId="77777777" w:rsidR="00391A66" w:rsidRDefault="00391A66">
      <w:pPr>
        <w:spacing w:after="0" w:line="240" w:lineRule="auto"/>
      </w:pPr>
      <w:r>
        <w:separator/>
      </w:r>
    </w:p>
  </w:footnote>
  <w:footnote w:type="continuationSeparator" w:id="0">
    <w:p w14:paraId="4D519F27" w14:textId="77777777" w:rsidR="00391A66" w:rsidRDefault="00391A66">
      <w:pPr>
        <w:spacing w:after="0" w:line="240" w:lineRule="auto"/>
      </w:pPr>
      <w:r>
        <w:continuationSeparator/>
      </w:r>
    </w:p>
  </w:footnote>
  <w:footnote w:id="1">
    <w:p w14:paraId="76FAD53C" w14:textId="77777777" w:rsidR="00A30A46" w:rsidRDefault="00A30A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FD3447A" w14:textId="77777777" w:rsidR="00A30A46" w:rsidRDefault="00A30A4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6F6C287" w14:textId="77777777" w:rsidR="00A30A46" w:rsidRDefault="00A30A46">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 w:id="4">
    <w:p w14:paraId="33919673" w14:textId="77777777" w:rsidR="00A30A46" w:rsidRDefault="00A30A4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páginas 71 y 72 de la contradicción de tesis 200/2013, específicamente los epígrafes 84, 85 y 87. </w:t>
      </w:r>
    </w:p>
  </w:footnote>
  <w:footnote w:id="5">
    <w:p w14:paraId="734598B5" w14:textId="77777777" w:rsidR="00A30A46" w:rsidRDefault="00A30A4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F3BD" w14:textId="77777777" w:rsidR="00A30A46" w:rsidRDefault="00A30A4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0"/>
        <w:szCs w:val="20"/>
      </w:rPr>
    </w:pPr>
  </w:p>
  <w:tbl>
    <w:tblPr>
      <w:tblStyle w:val="a1"/>
      <w:tblW w:w="10273" w:type="dxa"/>
      <w:tblInd w:w="-1281" w:type="dxa"/>
      <w:tblLayout w:type="fixed"/>
      <w:tblLook w:val="0400" w:firstRow="0" w:lastRow="0" w:firstColumn="0" w:lastColumn="0" w:noHBand="0" w:noVBand="1"/>
    </w:tblPr>
    <w:tblGrid>
      <w:gridCol w:w="5716"/>
      <w:gridCol w:w="4557"/>
    </w:tblGrid>
    <w:tr w:rsidR="00A30A46" w14:paraId="4C7BB32B" w14:textId="77777777">
      <w:trPr>
        <w:trHeight w:val="246"/>
      </w:trPr>
      <w:tc>
        <w:tcPr>
          <w:tcW w:w="5716" w:type="dxa"/>
        </w:tcPr>
        <w:p w14:paraId="6040536E" w14:textId="77777777" w:rsidR="00A30A46" w:rsidRDefault="00A30A4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1ECD7E87" w14:textId="77777777" w:rsidR="00A30A46" w:rsidRDefault="00A30A4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00709/INFOEM/IP/RR/2025.</w:t>
          </w:r>
        </w:p>
      </w:tc>
    </w:tr>
    <w:tr w:rsidR="00A30A46" w14:paraId="43E1068C" w14:textId="77777777">
      <w:trPr>
        <w:trHeight w:val="212"/>
      </w:trPr>
      <w:tc>
        <w:tcPr>
          <w:tcW w:w="5716" w:type="dxa"/>
        </w:tcPr>
        <w:p w14:paraId="40956651" w14:textId="77777777" w:rsidR="00A30A46" w:rsidRDefault="00A30A4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E830845" w14:textId="77777777" w:rsidR="00A30A46" w:rsidRDefault="00A30A46">
          <w:pPr>
            <w:spacing w:after="120"/>
            <w:ind w:left="-486" w:right="214" w:firstLine="567"/>
            <w:jc w:val="right"/>
            <w:rPr>
              <w:rFonts w:ascii="Palatino Linotype" w:eastAsia="Palatino Linotype" w:hAnsi="Palatino Linotype" w:cs="Palatino Linotype"/>
              <w:sz w:val="24"/>
              <w:szCs w:val="24"/>
            </w:rPr>
          </w:pPr>
        </w:p>
      </w:tc>
    </w:tr>
    <w:tr w:rsidR="00A30A46" w14:paraId="44373674" w14:textId="77777777">
      <w:trPr>
        <w:trHeight w:val="264"/>
      </w:trPr>
      <w:tc>
        <w:tcPr>
          <w:tcW w:w="5716" w:type="dxa"/>
        </w:tcPr>
        <w:p w14:paraId="2AC50DA4" w14:textId="77777777" w:rsidR="00A30A46" w:rsidRDefault="00A30A4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4A90BD1" w14:textId="77777777" w:rsidR="00A30A46" w:rsidRDefault="00A30A4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Unidad de Asuntos Internos.</w:t>
          </w:r>
        </w:p>
      </w:tc>
    </w:tr>
    <w:tr w:rsidR="00A30A46" w14:paraId="36B71110" w14:textId="77777777">
      <w:trPr>
        <w:trHeight w:val="373"/>
      </w:trPr>
      <w:tc>
        <w:tcPr>
          <w:tcW w:w="5716" w:type="dxa"/>
        </w:tcPr>
        <w:p w14:paraId="1530DEB4" w14:textId="77777777" w:rsidR="00A30A46" w:rsidRDefault="00A30A4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EDC5BB6" w14:textId="77777777" w:rsidR="00A30A46" w:rsidRDefault="00A30A4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8165247" w14:textId="77777777" w:rsidR="00A30A46" w:rsidRDefault="00A30A4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339D21D" wp14:editId="1C3E80B9">
          <wp:simplePos x="0" y="0"/>
          <wp:positionH relativeFrom="column">
            <wp:posOffset>-683893</wp:posOffset>
          </wp:positionH>
          <wp:positionV relativeFrom="paragraph">
            <wp:posOffset>-1340484</wp:posOffset>
          </wp:positionV>
          <wp:extent cx="7353300" cy="8658225"/>
          <wp:effectExtent l="0" t="0" r="0" b="0"/>
          <wp:wrapNone/>
          <wp:docPr id="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9A70" w14:textId="77777777" w:rsidR="00A30A46" w:rsidRDefault="00A30A46">
    <w:pPr>
      <w:widowControl w:val="0"/>
      <w:pBdr>
        <w:top w:val="nil"/>
        <w:left w:val="nil"/>
        <w:bottom w:val="nil"/>
        <w:right w:val="nil"/>
        <w:between w:val="nil"/>
      </w:pBdr>
      <w:spacing w:after="0" w:line="276" w:lineRule="auto"/>
      <w:rPr>
        <w:color w:val="000000"/>
      </w:rPr>
    </w:pPr>
  </w:p>
  <w:tbl>
    <w:tblPr>
      <w:tblStyle w:val="a2"/>
      <w:tblW w:w="10273" w:type="dxa"/>
      <w:tblInd w:w="-1281" w:type="dxa"/>
      <w:tblLayout w:type="fixed"/>
      <w:tblLook w:val="0400" w:firstRow="0" w:lastRow="0" w:firstColumn="0" w:lastColumn="0" w:noHBand="0" w:noVBand="1"/>
    </w:tblPr>
    <w:tblGrid>
      <w:gridCol w:w="5716"/>
      <w:gridCol w:w="4557"/>
    </w:tblGrid>
    <w:tr w:rsidR="00A30A46" w14:paraId="578B4B85" w14:textId="77777777">
      <w:trPr>
        <w:trHeight w:val="246"/>
      </w:trPr>
      <w:tc>
        <w:tcPr>
          <w:tcW w:w="5716" w:type="dxa"/>
        </w:tcPr>
        <w:p w14:paraId="1BD26E64" w14:textId="77777777" w:rsidR="00A30A46" w:rsidRDefault="00A30A4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72E1B28A" w14:textId="77777777" w:rsidR="00A30A46" w:rsidRDefault="00A30A4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00709/INFOEM/IP/RR/2025.</w:t>
          </w:r>
        </w:p>
      </w:tc>
    </w:tr>
    <w:tr w:rsidR="00A30A46" w14:paraId="0BD1929C" w14:textId="77777777">
      <w:trPr>
        <w:trHeight w:val="212"/>
      </w:trPr>
      <w:tc>
        <w:tcPr>
          <w:tcW w:w="5716" w:type="dxa"/>
        </w:tcPr>
        <w:p w14:paraId="15DD2308" w14:textId="77777777" w:rsidR="00A30A46" w:rsidRDefault="00A30A4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F95AB18" w14:textId="7CFA1BB6" w:rsidR="00A30A46" w:rsidRDefault="00DB0D6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XXXXXXXXXX XXX XXXXXX</w:t>
          </w:r>
          <w:r w:rsidR="00A30A46">
            <w:rPr>
              <w:rFonts w:ascii="Palatino Linotype" w:eastAsia="Palatino Linotype" w:hAnsi="Palatino Linotype" w:cs="Palatino Linotype"/>
              <w:sz w:val="24"/>
              <w:szCs w:val="24"/>
            </w:rPr>
            <w:t>.</w:t>
          </w:r>
        </w:p>
      </w:tc>
    </w:tr>
    <w:tr w:rsidR="00A30A46" w14:paraId="26062E3C" w14:textId="77777777">
      <w:trPr>
        <w:trHeight w:val="264"/>
      </w:trPr>
      <w:tc>
        <w:tcPr>
          <w:tcW w:w="5716" w:type="dxa"/>
        </w:tcPr>
        <w:p w14:paraId="01F22AD1" w14:textId="77777777" w:rsidR="00A30A46" w:rsidRDefault="00A30A4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261339F" w14:textId="77777777" w:rsidR="00A30A46" w:rsidRDefault="00A30A4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Unidad de Asuntos Internos.</w:t>
          </w:r>
        </w:p>
      </w:tc>
    </w:tr>
    <w:tr w:rsidR="00A30A46" w14:paraId="266CEDCF" w14:textId="77777777">
      <w:trPr>
        <w:trHeight w:val="373"/>
      </w:trPr>
      <w:tc>
        <w:tcPr>
          <w:tcW w:w="5716" w:type="dxa"/>
        </w:tcPr>
        <w:p w14:paraId="56288B9D" w14:textId="77777777" w:rsidR="00A30A46" w:rsidRDefault="00A30A4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C80DB60" w14:textId="77777777" w:rsidR="00A30A46" w:rsidRDefault="00A30A4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BEBE276" w14:textId="77777777" w:rsidR="00A30A46" w:rsidRDefault="00A30A4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4DCF90C" wp14:editId="4C4B11E8">
          <wp:simplePos x="0" y="0"/>
          <wp:positionH relativeFrom="column">
            <wp:posOffset>-1080134</wp:posOffset>
          </wp:positionH>
          <wp:positionV relativeFrom="paragraph">
            <wp:posOffset>-1330959</wp:posOffset>
          </wp:positionV>
          <wp:extent cx="7353300" cy="8658225"/>
          <wp:effectExtent l="0" t="0" r="0" b="0"/>
          <wp:wrapNone/>
          <wp:docPr id="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B27"/>
    <w:multiLevelType w:val="multilevel"/>
    <w:tmpl w:val="F37C61FC"/>
    <w:lvl w:ilvl="0">
      <w:start w:val="446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E6907"/>
    <w:multiLevelType w:val="hybridMultilevel"/>
    <w:tmpl w:val="F140B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C1654"/>
    <w:multiLevelType w:val="multilevel"/>
    <w:tmpl w:val="A6A6C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267494"/>
    <w:multiLevelType w:val="hybridMultilevel"/>
    <w:tmpl w:val="04F21598"/>
    <w:lvl w:ilvl="0" w:tplc="658C162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1E4B03"/>
    <w:multiLevelType w:val="multilevel"/>
    <w:tmpl w:val="7E5C2582"/>
    <w:lvl w:ilvl="0">
      <w:start w:val="1"/>
      <w:numFmt w:val="bullet"/>
      <w:lvlText w:val="●"/>
      <w:lvlJc w:val="left"/>
      <w:pPr>
        <w:ind w:left="644" w:hanging="360"/>
      </w:pPr>
      <w:rPr>
        <w:rFonts w:ascii="Palatino Linotype" w:eastAsia="Noto Sans Symbols" w:hAnsi="Palatino Linotype" w:cs="Noto Sans Symbols" w:hint="default"/>
        <w:color w:val="000000"/>
        <w:sz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42F2701"/>
    <w:multiLevelType w:val="hybridMultilevel"/>
    <w:tmpl w:val="36B87C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99138DB"/>
    <w:multiLevelType w:val="hybridMultilevel"/>
    <w:tmpl w:val="E5A0A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56414B"/>
    <w:multiLevelType w:val="multilevel"/>
    <w:tmpl w:val="379CBF1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D90E22"/>
    <w:multiLevelType w:val="hybridMultilevel"/>
    <w:tmpl w:val="C8F27C16"/>
    <w:lvl w:ilvl="0" w:tplc="F7AE85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15BE"/>
    <w:multiLevelType w:val="hybridMultilevel"/>
    <w:tmpl w:val="8E06E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3"/>
  </w:num>
  <w:num w:numId="5">
    <w:abstractNumId w:val="8"/>
  </w:num>
  <w:num w:numId="6">
    <w:abstractNumId w:val="4"/>
  </w:num>
  <w:num w:numId="7">
    <w:abstractNumId w:val="13"/>
  </w:num>
  <w:num w:numId="8">
    <w:abstractNumId w:val="5"/>
  </w:num>
  <w:num w:numId="9">
    <w:abstractNumId w:val="9"/>
  </w:num>
  <w:num w:numId="10">
    <w:abstractNumId w:val="6"/>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49"/>
    <w:rsid w:val="000001E1"/>
    <w:rsid w:val="00162FBB"/>
    <w:rsid w:val="00185F49"/>
    <w:rsid w:val="0019050E"/>
    <w:rsid w:val="00252602"/>
    <w:rsid w:val="00321C84"/>
    <w:rsid w:val="003224B1"/>
    <w:rsid w:val="00391A66"/>
    <w:rsid w:val="00404156"/>
    <w:rsid w:val="00417AC9"/>
    <w:rsid w:val="00521F8C"/>
    <w:rsid w:val="00535906"/>
    <w:rsid w:val="00713623"/>
    <w:rsid w:val="0084258B"/>
    <w:rsid w:val="00862F4A"/>
    <w:rsid w:val="00865B28"/>
    <w:rsid w:val="008E4CD6"/>
    <w:rsid w:val="008F33A8"/>
    <w:rsid w:val="00A30A46"/>
    <w:rsid w:val="00AF7EEA"/>
    <w:rsid w:val="00C20E16"/>
    <w:rsid w:val="00CD7A70"/>
    <w:rsid w:val="00DB0D60"/>
    <w:rsid w:val="00F330A7"/>
    <w:rsid w:val="00F50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9B37"/>
  <w15:docId w15:val="{58AC430B-613C-4AF3-85E6-2258A6A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4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5AA"/>
  </w:style>
  <w:style w:type="paragraph" w:styleId="Piedepgina">
    <w:name w:val="footer"/>
    <w:basedOn w:val="Normal"/>
    <w:link w:val="PiedepginaCar"/>
    <w:uiPriority w:val="99"/>
    <w:unhideWhenUsed/>
    <w:rsid w:val="0007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5A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F1BD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04C"/>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65B2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65B2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tUdnXvnpNb/id87Mn1Lteqs5Q==">CgMxLjAyCGguZ2pkZ3hzMg5oLmtlbGdzMjQyOG9hNjIJaC4zMGowemxsOAByITFMWnh0WjF4UXhBUGxpbU1QVi1UVC1GUHVOUmZQT3Nuaw==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11541</Words>
  <Characters>63481</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2025-03-14T16:45:00Z</cp:lastPrinted>
  <dcterms:created xsi:type="dcterms:W3CDTF">2025-03-31T23:54:00Z</dcterms:created>
  <dcterms:modified xsi:type="dcterms:W3CDTF">2025-03-31T23:54:00Z</dcterms:modified>
</cp:coreProperties>
</file>