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34" w:rsidRPr="002E218A" w:rsidRDefault="001662BC">
      <w:pPr>
        <w:spacing w:line="360" w:lineRule="auto"/>
        <w:jc w:val="both"/>
        <w:rPr>
          <w:rFonts w:ascii="Palatino Linotype" w:eastAsia="Palatino Linotype" w:hAnsi="Palatino Linotype" w:cs="Palatino Linotype"/>
        </w:rPr>
      </w:pPr>
      <w:r w:rsidRPr="002E218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veintidós (22) de enero de dos mil veinticinco. </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spacing w:line="360" w:lineRule="auto"/>
        <w:jc w:val="both"/>
        <w:rPr>
          <w:rFonts w:ascii="Palatino Linotype" w:eastAsia="Palatino Linotype" w:hAnsi="Palatino Linotype" w:cs="Palatino Linotype"/>
          <w:b/>
        </w:rPr>
      </w:pPr>
      <w:r w:rsidRPr="002E218A">
        <w:rPr>
          <w:rFonts w:ascii="Palatino Linotype" w:eastAsia="Palatino Linotype" w:hAnsi="Palatino Linotype" w:cs="Palatino Linotype"/>
          <w:b/>
        </w:rPr>
        <w:t>VISTO</w:t>
      </w:r>
      <w:r w:rsidRPr="002E218A">
        <w:rPr>
          <w:rFonts w:ascii="Palatino Linotype" w:eastAsia="Palatino Linotype" w:hAnsi="Palatino Linotype" w:cs="Palatino Linotype"/>
        </w:rPr>
        <w:t xml:space="preserve"> el expediente electrónico formado con motivo del recurso de revisión </w:t>
      </w:r>
      <w:r w:rsidRPr="002E218A">
        <w:rPr>
          <w:rFonts w:ascii="Palatino Linotype" w:eastAsia="Palatino Linotype" w:hAnsi="Palatino Linotype" w:cs="Palatino Linotype"/>
          <w:b/>
        </w:rPr>
        <w:t xml:space="preserve">07578/INFOEM/IP/RR/2024, </w:t>
      </w:r>
      <w:r w:rsidRPr="002E218A">
        <w:rPr>
          <w:rFonts w:ascii="Palatino Linotype" w:eastAsia="Palatino Linotype" w:hAnsi="Palatino Linotype" w:cs="Palatino Linotype"/>
        </w:rPr>
        <w:t>promovido por</w:t>
      </w:r>
      <w:r w:rsidRPr="002E218A">
        <w:rPr>
          <w:rFonts w:ascii="Palatino Linotype" w:eastAsia="Palatino Linotype" w:hAnsi="Palatino Linotype" w:cs="Palatino Linotype"/>
          <w:b/>
        </w:rPr>
        <w:t xml:space="preserve"> un usuario que no proporcionó nombre alguno,</w:t>
      </w:r>
      <w:r w:rsidRPr="002E218A">
        <w:rPr>
          <w:rFonts w:ascii="Palatino Linotype" w:eastAsia="Palatino Linotype" w:hAnsi="Palatino Linotype" w:cs="Palatino Linotype"/>
        </w:rPr>
        <w:t xml:space="preserve"> a quien en lo sucesivo se identificará como </w:t>
      </w:r>
      <w:r w:rsidRPr="002E218A">
        <w:rPr>
          <w:rFonts w:ascii="Palatino Linotype" w:eastAsia="Palatino Linotype" w:hAnsi="Palatino Linotype" w:cs="Palatino Linotype"/>
          <w:b/>
        </w:rPr>
        <w:t>EL RECURRENTE</w:t>
      </w:r>
      <w:r w:rsidRPr="002E218A">
        <w:rPr>
          <w:rFonts w:ascii="Palatino Linotype" w:eastAsia="Palatino Linotype" w:hAnsi="Palatino Linotype" w:cs="Palatino Linotype"/>
        </w:rPr>
        <w:t xml:space="preserve">, en contra de la respuesta de la </w:t>
      </w:r>
      <w:r w:rsidRPr="002E218A">
        <w:rPr>
          <w:rFonts w:ascii="Palatino Linotype" w:eastAsia="Palatino Linotype" w:hAnsi="Palatino Linotype" w:cs="Palatino Linotype"/>
          <w:b/>
        </w:rPr>
        <w:t xml:space="preserve">Secretaría de Finanzas, </w:t>
      </w:r>
      <w:r w:rsidRPr="002E218A">
        <w:rPr>
          <w:rFonts w:ascii="Palatino Linotype" w:eastAsia="Palatino Linotype" w:hAnsi="Palatino Linotype" w:cs="Palatino Linotype"/>
        </w:rPr>
        <w:t>en adelante el</w:t>
      </w:r>
      <w:r w:rsidRPr="002E218A">
        <w:rPr>
          <w:rFonts w:ascii="Palatino Linotype" w:eastAsia="Palatino Linotype" w:hAnsi="Palatino Linotype" w:cs="Palatino Linotype"/>
          <w:b/>
        </w:rPr>
        <w:t xml:space="preserve"> SUJETO OBLIGADO</w:t>
      </w:r>
      <w:r w:rsidRPr="002E218A">
        <w:rPr>
          <w:rFonts w:ascii="Palatino Linotype" w:eastAsia="Palatino Linotype" w:hAnsi="Palatino Linotype" w:cs="Palatino Linotype"/>
        </w:rPr>
        <w:t>, por lo que se procede a dictar la presente resolución, con base en los siguientes:</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2E218A">
        <w:rPr>
          <w:rFonts w:ascii="Palatino Linotype" w:eastAsia="Palatino Linotype" w:hAnsi="Palatino Linotype" w:cs="Palatino Linotype"/>
          <w:b/>
        </w:rPr>
        <w:t xml:space="preserve">A N T E C E D E N T E S </w:t>
      </w:r>
    </w:p>
    <w:p w:rsidR="00266634" w:rsidRPr="002E218A" w:rsidRDefault="00266634">
      <w:pPr>
        <w:spacing w:line="360" w:lineRule="auto"/>
        <w:rPr>
          <w:rFonts w:ascii="Palatino Linotype" w:eastAsia="Palatino Linotype" w:hAnsi="Palatino Linotype" w:cs="Palatino Linotype"/>
        </w:rPr>
      </w:pPr>
    </w:p>
    <w:p w:rsidR="00266634" w:rsidRPr="002E218A" w:rsidRDefault="001662BC">
      <w:pPr>
        <w:numPr>
          <w:ilvl w:val="0"/>
          <w:numId w:val="2"/>
        </w:numPr>
        <w:spacing w:line="360" w:lineRule="auto"/>
        <w:ind w:left="0" w:firstLine="0"/>
        <w:jc w:val="both"/>
      </w:pPr>
      <w:r w:rsidRPr="002E218A">
        <w:rPr>
          <w:rFonts w:ascii="Palatino Linotype" w:eastAsia="Palatino Linotype" w:hAnsi="Palatino Linotype" w:cs="Palatino Linotype"/>
        </w:rPr>
        <w:t xml:space="preserve">El </w:t>
      </w:r>
      <w:r w:rsidRPr="002E218A">
        <w:rPr>
          <w:rFonts w:ascii="Palatino Linotype" w:eastAsia="Palatino Linotype" w:hAnsi="Palatino Linotype" w:cs="Palatino Linotype"/>
          <w:b/>
        </w:rPr>
        <w:t>siete de noviembre de dos mil veinticuatro</w:t>
      </w:r>
      <w:r w:rsidRPr="002E218A">
        <w:rPr>
          <w:rFonts w:ascii="Palatino Linotype" w:eastAsia="Palatino Linotype" w:hAnsi="Palatino Linotype" w:cs="Palatino Linotype"/>
        </w:rPr>
        <w:t xml:space="preserve">, </w:t>
      </w:r>
      <w:r w:rsidRPr="002E218A">
        <w:rPr>
          <w:rFonts w:ascii="Palatino Linotype" w:eastAsia="Palatino Linotype" w:hAnsi="Palatino Linotype" w:cs="Palatino Linotype"/>
          <w:b/>
        </w:rPr>
        <w:t>EL RECURRENTE,</w:t>
      </w:r>
      <w:r w:rsidRPr="002E218A">
        <w:rPr>
          <w:rFonts w:ascii="Palatino Linotype" w:eastAsia="Palatino Linotype" w:hAnsi="Palatino Linotype" w:cs="Palatino Linotype"/>
        </w:rPr>
        <w:t xml:space="preserve"> ante el </w:t>
      </w:r>
      <w:r w:rsidRPr="002E218A">
        <w:rPr>
          <w:rFonts w:ascii="Palatino Linotype" w:eastAsia="Palatino Linotype" w:hAnsi="Palatino Linotype" w:cs="Palatino Linotype"/>
          <w:b/>
        </w:rPr>
        <w:t>SUJETO OBLIGADO</w:t>
      </w:r>
      <w:r w:rsidRPr="002E218A">
        <w:rPr>
          <w:rFonts w:ascii="Palatino Linotype" w:eastAsia="Palatino Linotype" w:hAnsi="Palatino Linotype" w:cs="Palatino Linotype"/>
        </w:rPr>
        <w:t xml:space="preserve"> vía Sistema de Acceso a la Información Mexiquense (</w:t>
      </w:r>
      <w:r w:rsidRPr="002E218A">
        <w:rPr>
          <w:rFonts w:ascii="Palatino Linotype" w:eastAsia="Palatino Linotype" w:hAnsi="Palatino Linotype" w:cs="Palatino Linotype"/>
          <w:b/>
        </w:rPr>
        <w:t>SAIMEX)</w:t>
      </w:r>
      <w:r w:rsidRPr="002E218A">
        <w:rPr>
          <w:rFonts w:ascii="Palatino Linotype" w:eastAsia="Palatino Linotype" w:hAnsi="Palatino Linotype" w:cs="Palatino Linotype"/>
        </w:rPr>
        <w:t xml:space="preserve">, presentó una solicitud de información registrada con el número </w:t>
      </w:r>
      <w:r w:rsidRPr="002E218A">
        <w:rPr>
          <w:rFonts w:ascii="Palatino Linotype" w:eastAsia="Palatino Linotype" w:hAnsi="Palatino Linotype" w:cs="Palatino Linotype"/>
          <w:b/>
        </w:rPr>
        <w:t xml:space="preserve">00848/SF/IP/2024, </w:t>
      </w:r>
      <w:r w:rsidRPr="002E218A">
        <w:rPr>
          <w:rFonts w:ascii="Palatino Linotype" w:eastAsia="Palatino Linotype" w:hAnsi="Palatino Linotype" w:cs="Palatino Linotype"/>
        </w:rPr>
        <w:t>en la que se solicitó lo siguiente:</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tabs>
          <w:tab w:val="left" w:pos="8222"/>
        </w:tabs>
        <w:spacing w:line="360" w:lineRule="auto"/>
        <w:ind w:left="851" w:right="822"/>
        <w:jc w:val="both"/>
        <w:rPr>
          <w:rFonts w:ascii="Palatino Linotype" w:eastAsia="Palatino Linotype" w:hAnsi="Palatino Linotype" w:cs="Palatino Linotype"/>
          <w:i/>
          <w:color w:val="000000"/>
        </w:rPr>
      </w:pPr>
      <w:r w:rsidRPr="002E218A">
        <w:rPr>
          <w:rFonts w:ascii="Palatino Linotype" w:eastAsia="Palatino Linotype" w:hAnsi="Palatino Linotype" w:cs="Palatino Linotype"/>
          <w:i/>
          <w:color w:val="000000"/>
        </w:rPr>
        <w:t>“SOLICITO CUALQUIER SOPORTE DOCUMENTAL DE LA ELABORACION DE ESTUDIOS, INVESTIGACIONES Y ANÁLISIS ECONÓMICOS Y FINANCIEROS QUE INCIDAN EN LOS PROGRAMAS DE LA SECRETARÍA FINANZAS QUE HAYA REALIZADO EL JEFE DE LA UIPPE DE LA SECRETARÍA DE FINANZAS DEL MES DE ENERO A JUNIO DE 2024.” (Sic)</w:t>
      </w:r>
    </w:p>
    <w:p w:rsidR="00266634" w:rsidRPr="002E218A" w:rsidRDefault="00266634">
      <w:pPr>
        <w:spacing w:line="360" w:lineRule="auto"/>
        <w:ind w:right="567"/>
        <w:jc w:val="both"/>
        <w:rPr>
          <w:rFonts w:ascii="Palatino Linotype" w:eastAsia="Palatino Linotype" w:hAnsi="Palatino Linotype" w:cs="Palatino Linotype"/>
          <w:i/>
          <w:color w:val="000000"/>
        </w:rPr>
      </w:pPr>
    </w:p>
    <w:p w:rsidR="00266634" w:rsidRPr="002E218A" w:rsidRDefault="001662BC">
      <w:pPr>
        <w:numPr>
          <w:ilvl w:val="0"/>
          <w:numId w:val="2"/>
        </w:numPr>
        <w:spacing w:line="360" w:lineRule="auto"/>
        <w:ind w:left="0" w:firstLine="0"/>
        <w:jc w:val="both"/>
      </w:pPr>
      <w:r w:rsidRPr="002E218A">
        <w:rPr>
          <w:rFonts w:ascii="Palatino Linotype" w:eastAsia="Palatino Linotype" w:hAnsi="Palatino Linotype" w:cs="Palatino Linotype"/>
        </w:rPr>
        <w:lastRenderedPageBreak/>
        <w:t>Se eligió como modalidad de entrega a través de la plataforma digital Sistema de Acceso a la Información Mexiquense (SAIMEX).</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numPr>
          <w:ilvl w:val="0"/>
          <w:numId w:val="2"/>
        </w:numPr>
        <w:spacing w:line="360" w:lineRule="auto"/>
        <w:ind w:left="0" w:firstLine="0"/>
        <w:jc w:val="both"/>
      </w:pPr>
      <w:r w:rsidRPr="002E218A">
        <w:rPr>
          <w:rFonts w:ascii="Palatino Linotype" w:eastAsia="Palatino Linotype" w:hAnsi="Palatino Linotype" w:cs="Palatino Linotype"/>
        </w:rPr>
        <w:t xml:space="preserve">El </w:t>
      </w:r>
      <w:r w:rsidRPr="002E218A">
        <w:rPr>
          <w:rFonts w:ascii="Palatino Linotype" w:eastAsia="Palatino Linotype" w:hAnsi="Palatino Linotype" w:cs="Palatino Linotype"/>
          <w:b/>
        </w:rPr>
        <w:t>veintinueve de noviembre de dos mil veinticuatro,</w:t>
      </w:r>
      <w:r w:rsidRPr="002E218A">
        <w:rPr>
          <w:rFonts w:ascii="Palatino Linotype" w:eastAsia="Palatino Linotype" w:hAnsi="Palatino Linotype" w:cs="Palatino Linotype"/>
        </w:rPr>
        <w:t xml:space="preserve"> se realizó un requerimiento al servidor público habilitado.</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numPr>
          <w:ilvl w:val="0"/>
          <w:numId w:val="2"/>
        </w:numPr>
        <w:spacing w:line="360" w:lineRule="auto"/>
        <w:ind w:left="0" w:firstLine="0"/>
        <w:jc w:val="both"/>
      </w:pPr>
      <w:r w:rsidRPr="002E218A">
        <w:rPr>
          <w:rFonts w:ascii="Palatino Linotype" w:eastAsia="Palatino Linotype" w:hAnsi="Palatino Linotype" w:cs="Palatino Linotype"/>
        </w:rPr>
        <w:t xml:space="preserve">El </w:t>
      </w:r>
      <w:r w:rsidRPr="002E218A">
        <w:rPr>
          <w:rFonts w:ascii="Palatino Linotype" w:eastAsia="Palatino Linotype" w:hAnsi="Palatino Linotype" w:cs="Palatino Linotype"/>
          <w:b/>
        </w:rPr>
        <w:t>veintinueve de noviembre de dos mil veinticuatro</w:t>
      </w:r>
      <w:r w:rsidRPr="002E218A">
        <w:rPr>
          <w:rFonts w:ascii="Palatino Linotype" w:eastAsia="Palatino Linotype" w:hAnsi="Palatino Linotype" w:cs="Palatino Linotype"/>
        </w:rPr>
        <w:t xml:space="preserve">, el </w:t>
      </w:r>
      <w:r w:rsidRPr="002E218A">
        <w:rPr>
          <w:rFonts w:ascii="Palatino Linotype" w:eastAsia="Palatino Linotype" w:hAnsi="Palatino Linotype" w:cs="Palatino Linotype"/>
          <w:b/>
        </w:rPr>
        <w:t>SUJETO OBLIGADO</w:t>
      </w:r>
      <w:r w:rsidRPr="002E218A">
        <w:rPr>
          <w:rFonts w:ascii="Palatino Linotype" w:eastAsia="Palatino Linotype" w:hAnsi="Palatino Linotype" w:cs="Palatino Linotype"/>
          <w:b/>
          <w:i/>
        </w:rPr>
        <w:t xml:space="preserve"> </w:t>
      </w:r>
      <w:r w:rsidRPr="002E218A">
        <w:rPr>
          <w:rFonts w:ascii="Palatino Linotype" w:eastAsia="Palatino Linotype" w:hAnsi="Palatino Linotype" w:cs="Palatino Linotype"/>
        </w:rPr>
        <w:t>dio respuesta a la solicitud de información en los siguientes términos:</w:t>
      </w:r>
    </w:p>
    <w:p w:rsidR="00266634" w:rsidRPr="002E218A" w:rsidRDefault="00266634">
      <w:pPr>
        <w:spacing w:line="360" w:lineRule="auto"/>
        <w:jc w:val="both"/>
        <w:rPr>
          <w:rFonts w:ascii="Palatino Linotype" w:eastAsia="Palatino Linotype" w:hAnsi="Palatino Linotype" w:cs="Palatino Linotype"/>
          <w:sz w:val="22"/>
          <w:szCs w:val="22"/>
        </w:rPr>
      </w:pPr>
    </w:p>
    <w:tbl>
      <w:tblPr>
        <w:tblStyle w:val="a"/>
        <w:tblW w:w="7744" w:type="dxa"/>
        <w:jc w:val="center"/>
        <w:tblInd w:w="0" w:type="dxa"/>
        <w:tblLayout w:type="fixed"/>
        <w:tblLook w:val="0400" w:firstRow="0" w:lastRow="0" w:firstColumn="0" w:lastColumn="0" w:noHBand="0" w:noVBand="1"/>
      </w:tblPr>
      <w:tblGrid>
        <w:gridCol w:w="7744"/>
      </w:tblGrid>
      <w:tr w:rsidR="00266634" w:rsidRPr="002E218A">
        <w:trPr>
          <w:trHeight w:val="305"/>
          <w:jc w:val="center"/>
        </w:trPr>
        <w:tc>
          <w:tcPr>
            <w:tcW w:w="7744" w:type="dxa"/>
            <w:vAlign w:val="center"/>
          </w:tcPr>
          <w:p w:rsidR="00266634" w:rsidRPr="002E218A" w:rsidRDefault="001662BC">
            <w:pPr>
              <w:spacing w:line="360" w:lineRule="auto"/>
              <w:jc w:val="right"/>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t>Metepec, México a 29 de Noviembre de 2024</w:t>
            </w:r>
          </w:p>
        </w:tc>
      </w:tr>
      <w:tr w:rsidR="00266634" w:rsidRPr="002E218A">
        <w:trPr>
          <w:trHeight w:val="305"/>
          <w:jc w:val="center"/>
        </w:trPr>
        <w:tc>
          <w:tcPr>
            <w:tcW w:w="7744" w:type="dxa"/>
            <w:vAlign w:val="center"/>
          </w:tcPr>
          <w:p w:rsidR="00266634" w:rsidRPr="002E218A" w:rsidRDefault="001662BC">
            <w:pPr>
              <w:spacing w:line="360" w:lineRule="auto"/>
              <w:jc w:val="right"/>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t>Nombre del solicitante: C. Solicitante</w:t>
            </w:r>
          </w:p>
        </w:tc>
      </w:tr>
      <w:tr w:rsidR="00266634" w:rsidRPr="002E218A">
        <w:trPr>
          <w:trHeight w:val="305"/>
          <w:jc w:val="center"/>
        </w:trPr>
        <w:tc>
          <w:tcPr>
            <w:tcW w:w="7744" w:type="dxa"/>
            <w:vAlign w:val="center"/>
          </w:tcPr>
          <w:p w:rsidR="00266634" w:rsidRPr="002E218A" w:rsidRDefault="001662BC">
            <w:pPr>
              <w:spacing w:line="360" w:lineRule="auto"/>
              <w:jc w:val="right"/>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t>Folio de la solicitud: 00848/SF/IP/2024</w:t>
            </w:r>
          </w:p>
        </w:tc>
      </w:tr>
      <w:tr w:rsidR="00266634" w:rsidRPr="002E218A">
        <w:trPr>
          <w:trHeight w:val="458"/>
          <w:jc w:val="center"/>
        </w:trPr>
        <w:tc>
          <w:tcPr>
            <w:tcW w:w="7744" w:type="dxa"/>
            <w:vAlign w:val="center"/>
          </w:tcPr>
          <w:p w:rsidR="00266634" w:rsidRPr="002E218A" w:rsidRDefault="00266634">
            <w:pPr>
              <w:spacing w:line="360" w:lineRule="auto"/>
              <w:jc w:val="right"/>
              <w:rPr>
                <w:rFonts w:ascii="Palatino Linotype" w:eastAsia="Palatino Linotype" w:hAnsi="Palatino Linotype" w:cs="Palatino Linotype"/>
                <w:i/>
                <w:sz w:val="22"/>
                <w:szCs w:val="22"/>
              </w:rPr>
            </w:pPr>
          </w:p>
        </w:tc>
      </w:tr>
      <w:tr w:rsidR="00266634" w:rsidRPr="002E218A">
        <w:trPr>
          <w:trHeight w:val="152"/>
          <w:jc w:val="center"/>
        </w:trPr>
        <w:tc>
          <w:tcPr>
            <w:tcW w:w="7744" w:type="dxa"/>
            <w:vAlign w:val="center"/>
          </w:tcPr>
          <w:p w:rsidR="00266634" w:rsidRPr="002E218A" w:rsidRDefault="001662BC">
            <w:pPr>
              <w:spacing w:line="360" w:lineRule="auto"/>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266634" w:rsidRPr="002E218A">
        <w:trPr>
          <w:trHeight w:val="381"/>
          <w:jc w:val="center"/>
        </w:trPr>
        <w:tc>
          <w:tcPr>
            <w:tcW w:w="7744" w:type="dxa"/>
            <w:vAlign w:val="center"/>
          </w:tcPr>
          <w:p w:rsidR="00266634" w:rsidRPr="002E218A" w:rsidRDefault="00266634">
            <w:pPr>
              <w:spacing w:line="360" w:lineRule="auto"/>
              <w:jc w:val="both"/>
              <w:rPr>
                <w:rFonts w:ascii="Palatino Linotype" w:eastAsia="Palatino Linotype" w:hAnsi="Palatino Linotype" w:cs="Palatino Linotype"/>
                <w:i/>
                <w:sz w:val="22"/>
                <w:szCs w:val="22"/>
              </w:rPr>
            </w:pPr>
          </w:p>
        </w:tc>
      </w:tr>
      <w:tr w:rsidR="00266634" w:rsidRPr="002E218A">
        <w:trPr>
          <w:trHeight w:val="152"/>
          <w:jc w:val="center"/>
        </w:trPr>
        <w:tc>
          <w:tcPr>
            <w:tcW w:w="7744" w:type="dxa"/>
            <w:vAlign w:val="center"/>
          </w:tcPr>
          <w:p w:rsidR="00266634" w:rsidRPr="002E218A" w:rsidRDefault="001662BC">
            <w:pPr>
              <w:spacing w:line="360" w:lineRule="auto"/>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t>Sobre el particular, sírvase encontrar en archivo adjunto copia del oficio de notificación número 20700004S/UT-2481/2024, mediante el cual se detalla lo referente a su solicitud.</w:t>
            </w:r>
          </w:p>
        </w:tc>
      </w:tr>
      <w:tr w:rsidR="00266634" w:rsidRPr="002E218A">
        <w:trPr>
          <w:trHeight w:val="381"/>
          <w:jc w:val="center"/>
        </w:trPr>
        <w:tc>
          <w:tcPr>
            <w:tcW w:w="7744" w:type="dxa"/>
            <w:vAlign w:val="center"/>
          </w:tcPr>
          <w:p w:rsidR="00266634" w:rsidRPr="002E218A" w:rsidRDefault="00266634">
            <w:pPr>
              <w:spacing w:line="360" w:lineRule="auto"/>
              <w:rPr>
                <w:rFonts w:ascii="Palatino Linotype" w:eastAsia="Palatino Linotype" w:hAnsi="Palatino Linotype" w:cs="Palatino Linotype"/>
                <w:i/>
                <w:sz w:val="22"/>
                <w:szCs w:val="22"/>
              </w:rPr>
            </w:pPr>
          </w:p>
        </w:tc>
      </w:tr>
      <w:tr w:rsidR="00266634" w:rsidRPr="002E218A">
        <w:trPr>
          <w:trHeight w:val="152"/>
          <w:jc w:val="center"/>
        </w:trPr>
        <w:tc>
          <w:tcPr>
            <w:tcW w:w="7744" w:type="dxa"/>
            <w:vAlign w:val="center"/>
          </w:tcPr>
          <w:p w:rsidR="00266634" w:rsidRPr="002E218A" w:rsidRDefault="00266634">
            <w:pPr>
              <w:spacing w:line="360" w:lineRule="auto"/>
              <w:jc w:val="center"/>
              <w:rPr>
                <w:rFonts w:ascii="Palatino Linotype" w:eastAsia="Palatino Linotype" w:hAnsi="Palatino Linotype" w:cs="Palatino Linotype"/>
                <w:i/>
                <w:sz w:val="22"/>
                <w:szCs w:val="22"/>
              </w:rPr>
            </w:pPr>
          </w:p>
        </w:tc>
      </w:tr>
      <w:tr w:rsidR="00266634" w:rsidRPr="002E218A">
        <w:trPr>
          <w:trHeight w:val="152"/>
          <w:jc w:val="center"/>
        </w:trPr>
        <w:tc>
          <w:tcPr>
            <w:tcW w:w="7744" w:type="dxa"/>
            <w:vAlign w:val="center"/>
          </w:tcPr>
          <w:p w:rsidR="00266634" w:rsidRPr="002E218A" w:rsidRDefault="00266634">
            <w:pPr>
              <w:spacing w:line="360" w:lineRule="auto"/>
              <w:rPr>
                <w:rFonts w:ascii="Palatino Linotype" w:eastAsia="Palatino Linotype" w:hAnsi="Palatino Linotype" w:cs="Palatino Linotype"/>
                <w:i/>
                <w:sz w:val="22"/>
                <w:szCs w:val="22"/>
              </w:rPr>
            </w:pPr>
          </w:p>
        </w:tc>
      </w:tr>
      <w:tr w:rsidR="00266634" w:rsidRPr="002E218A">
        <w:trPr>
          <w:trHeight w:val="152"/>
          <w:jc w:val="center"/>
        </w:trPr>
        <w:tc>
          <w:tcPr>
            <w:tcW w:w="7744" w:type="dxa"/>
            <w:vAlign w:val="center"/>
          </w:tcPr>
          <w:p w:rsidR="00266634" w:rsidRPr="002E218A" w:rsidRDefault="001662BC">
            <w:pPr>
              <w:spacing w:line="360" w:lineRule="auto"/>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t>ATENTAMENTE</w:t>
            </w:r>
          </w:p>
          <w:p w:rsidR="00266634" w:rsidRPr="002E218A" w:rsidRDefault="00266634">
            <w:pPr>
              <w:spacing w:line="360" w:lineRule="auto"/>
              <w:rPr>
                <w:rFonts w:ascii="Palatino Linotype" w:eastAsia="Palatino Linotype" w:hAnsi="Palatino Linotype" w:cs="Palatino Linotype"/>
                <w:i/>
                <w:sz w:val="22"/>
                <w:szCs w:val="22"/>
              </w:rPr>
            </w:pPr>
          </w:p>
          <w:p w:rsidR="00266634" w:rsidRPr="002E218A" w:rsidRDefault="00266634">
            <w:pPr>
              <w:spacing w:line="360" w:lineRule="auto"/>
              <w:rPr>
                <w:rFonts w:ascii="Palatino Linotype" w:eastAsia="Palatino Linotype" w:hAnsi="Palatino Linotype" w:cs="Palatino Linotype"/>
                <w:i/>
                <w:sz w:val="22"/>
                <w:szCs w:val="22"/>
              </w:rPr>
            </w:pPr>
          </w:p>
        </w:tc>
      </w:tr>
      <w:tr w:rsidR="00266634" w:rsidRPr="002E218A">
        <w:trPr>
          <w:trHeight w:val="229"/>
          <w:jc w:val="center"/>
        </w:trPr>
        <w:tc>
          <w:tcPr>
            <w:tcW w:w="7744" w:type="dxa"/>
            <w:vAlign w:val="center"/>
          </w:tcPr>
          <w:p w:rsidR="00266634" w:rsidRPr="002E218A" w:rsidRDefault="00266634">
            <w:pPr>
              <w:spacing w:line="360" w:lineRule="auto"/>
              <w:rPr>
                <w:rFonts w:ascii="Palatino Linotype" w:eastAsia="Palatino Linotype" w:hAnsi="Palatino Linotype" w:cs="Palatino Linotype"/>
                <w:i/>
                <w:sz w:val="22"/>
                <w:szCs w:val="22"/>
              </w:rPr>
            </w:pPr>
          </w:p>
        </w:tc>
      </w:tr>
      <w:tr w:rsidR="00266634" w:rsidRPr="002E218A">
        <w:trPr>
          <w:trHeight w:val="152"/>
          <w:jc w:val="center"/>
        </w:trPr>
        <w:tc>
          <w:tcPr>
            <w:tcW w:w="7744" w:type="dxa"/>
            <w:vAlign w:val="center"/>
          </w:tcPr>
          <w:p w:rsidR="00266634" w:rsidRPr="002E218A" w:rsidRDefault="001662BC">
            <w:pPr>
              <w:spacing w:line="360" w:lineRule="auto"/>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lastRenderedPageBreak/>
              <w:t>M. en D. Mario Reyes Santos</w:t>
            </w:r>
          </w:p>
        </w:tc>
      </w:tr>
    </w:tbl>
    <w:p w:rsidR="00266634" w:rsidRPr="002E218A" w:rsidRDefault="00266634">
      <w:pPr>
        <w:spacing w:line="360" w:lineRule="auto"/>
        <w:ind w:right="567"/>
        <w:jc w:val="both"/>
        <w:rPr>
          <w:rFonts w:ascii="Palatino Linotype" w:eastAsia="Palatino Linotype" w:hAnsi="Palatino Linotype" w:cs="Palatino Linotype"/>
          <w:i/>
          <w:sz w:val="22"/>
          <w:szCs w:val="22"/>
        </w:rPr>
      </w:pPr>
    </w:p>
    <w:p w:rsidR="00266634" w:rsidRPr="002E218A" w:rsidRDefault="001662BC">
      <w:pPr>
        <w:spacing w:line="360" w:lineRule="auto"/>
        <w:ind w:right="567"/>
        <w:jc w:val="both"/>
        <w:rPr>
          <w:rFonts w:ascii="Palatino Linotype" w:eastAsia="Palatino Linotype" w:hAnsi="Palatino Linotype" w:cs="Palatino Linotype"/>
          <w:sz w:val="22"/>
          <w:szCs w:val="22"/>
        </w:rPr>
      </w:pPr>
      <w:r w:rsidRPr="002E218A">
        <w:rPr>
          <w:rFonts w:ascii="Palatino Linotype" w:eastAsia="Palatino Linotype" w:hAnsi="Palatino Linotype" w:cs="Palatino Linotype"/>
          <w:sz w:val="22"/>
          <w:szCs w:val="22"/>
        </w:rPr>
        <w:t>A la respuesta, el Sujeto Obligado adjuntó los archivos que, grosso modo, se describen enseguida:</w:t>
      </w:r>
    </w:p>
    <w:p w:rsidR="00266634" w:rsidRPr="002E218A" w:rsidRDefault="00266634">
      <w:pPr>
        <w:spacing w:line="360" w:lineRule="auto"/>
        <w:ind w:right="567"/>
        <w:jc w:val="both"/>
        <w:rPr>
          <w:rFonts w:ascii="Palatino Linotype" w:eastAsia="Palatino Linotype" w:hAnsi="Palatino Linotype" w:cs="Palatino Linotype"/>
          <w:sz w:val="22"/>
          <w:szCs w:val="22"/>
        </w:rPr>
      </w:pPr>
    </w:p>
    <w:p w:rsidR="00266634" w:rsidRPr="002E218A" w:rsidRDefault="00F97F5C">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2"/>
          <w:szCs w:val="22"/>
        </w:rPr>
      </w:pPr>
      <w:hyperlink r:id="rId8">
        <w:r w:rsidR="001662BC" w:rsidRPr="002E218A">
          <w:rPr>
            <w:rFonts w:ascii="Palatino Linotype" w:eastAsia="Palatino Linotype" w:hAnsi="Palatino Linotype" w:cs="Palatino Linotype"/>
            <w:b/>
            <w:color w:val="000000"/>
            <w:sz w:val="22"/>
            <w:szCs w:val="22"/>
            <w:u w:val="single"/>
          </w:rPr>
          <w:t>00848 UIPPE.pdf</w:t>
        </w:r>
      </w:hyperlink>
      <w:r w:rsidR="001662BC" w:rsidRPr="002E218A">
        <w:rPr>
          <w:rFonts w:ascii="Palatino Linotype" w:eastAsia="Palatino Linotype" w:hAnsi="Palatino Linotype" w:cs="Palatino Linotype"/>
          <w:color w:val="000000"/>
          <w:sz w:val="22"/>
          <w:szCs w:val="22"/>
        </w:rPr>
        <w:t>: documento de fecha catorce de noviembre de dos mil veinticuatro, suscrito por la servidora habilitada de la Unidad de Información, Planeación, Programación y Evaluación, en el que señaló que la información solicitada se encontraba en tres ligas electrónicas que adjuntó.</w:t>
      </w:r>
    </w:p>
    <w:p w:rsidR="00266634" w:rsidRPr="002E218A" w:rsidRDefault="00F97F5C">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2"/>
          <w:szCs w:val="22"/>
        </w:rPr>
      </w:pPr>
      <w:hyperlink r:id="rId9">
        <w:r w:rsidR="001662BC" w:rsidRPr="002E218A">
          <w:rPr>
            <w:rFonts w:ascii="Palatino Linotype" w:eastAsia="Palatino Linotype" w:hAnsi="Palatino Linotype" w:cs="Palatino Linotype"/>
            <w:b/>
            <w:color w:val="000000"/>
            <w:sz w:val="22"/>
            <w:szCs w:val="22"/>
            <w:u w:val="single"/>
          </w:rPr>
          <w:t>0848-2024 LIGAS.docx</w:t>
        </w:r>
      </w:hyperlink>
      <w:r w:rsidR="001662BC" w:rsidRPr="002E218A">
        <w:rPr>
          <w:rFonts w:ascii="Palatino Linotype" w:eastAsia="Palatino Linotype" w:hAnsi="Palatino Linotype" w:cs="Palatino Linotype"/>
          <w:color w:val="000000"/>
          <w:sz w:val="22"/>
          <w:szCs w:val="22"/>
        </w:rPr>
        <w:t>: documento en formato Word que contiene las siguientes ligas electrónicas, en datos abiertos:</w:t>
      </w:r>
    </w:p>
    <w:p w:rsidR="00266634" w:rsidRPr="002E218A" w:rsidRDefault="001662BC">
      <w:pPr>
        <w:spacing w:line="360" w:lineRule="auto"/>
        <w:ind w:left="709" w:right="822"/>
        <w:jc w:val="both"/>
        <w:rPr>
          <w:rFonts w:ascii="Palatino Linotype" w:eastAsia="Palatino Linotype" w:hAnsi="Palatino Linotype" w:cs="Palatino Linotype"/>
          <w:sz w:val="22"/>
          <w:szCs w:val="22"/>
        </w:rPr>
      </w:pPr>
      <w:r w:rsidRPr="002E218A">
        <w:rPr>
          <w:rFonts w:ascii="Palatino Linotype" w:eastAsia="Palatino Linotype" w:hAnsi="Palatino Linotype" w:cs="Palatino Linotype"/>
          <w:sz w:val="22"/>
          <w:szCs w:val="22"/>
        </w:rPr>
        <w:t>Cuenta Pública Ciudadana:</w:t>
      </w:r>
    </w:p>
    <w:p w:rsidR="00266634" w:rsidRPr="002E218A" w:rsidRDefault="00266634">
      <w:pPr>
        <w:spacing w:line="360" w:lineRule="auto"/>
        <w:ind w:left="709" w:right="822"/>
        <w:jc w:val="both"/>
        <w:rPr>
          <w:rFonts w:ascii="Palatino Linotype" w:eastAsia="Palatino Linotype" w:hAnsi="Palatino Linotype" w:cs="Palatino Linotype"/>
          <w:sz w:val="22"/>
          <w:szCs w:val="22"/>
        </w:rPr>
      </w:pPr>
    </w:p>
    <w:p w:rsidR="00266634" w:rsidRPr="002E218A" w:rsidRDefault="00F97F5C">
      <w:pPr>
        <w:spacing w:line="360" w:lineRule="auto"/>
        <w:ind w:left="709" w:right="822"/>
        <w:jc w:val="both"/>
        <w:rPr>
          <w:rFonts w:ascii="Palatino Linotype" w:eastAsia="Palatino Linotype" w:hAnsi="Palatino Linotype" w:cs="Palatino Linotype"/>
          <w:color w:val="000000"/>
          <w:sz w:val="22"/>
          <w:szCs w:val="22"/>
          <w:u w:val="single"/>
        </w:rPr>
      </w:pPr>
      <w:hyperlink r:id="rId10">
        <w:r w:rsidR="001662BC" w:rsidRPr="002E218A">
          <w:rPr>
            <w:rFonts w:ascii="Palatino Linotype" w:eastAsia="Palatino Linotype" w:hAnsi="Palatino Linotype" w:cs="Palatino Linotype"/>
            <w:color w:val="0563C1"/>
            <w:sz w:val="22"/>
            <w:szCs w:val="22"/>
            <w:u w:val="single"/>
          </w:rPr>
          <w:t>https://transparenciafiscal.edomex.gob.mx/pc</w:t>
        </w:r>
      </w:hyperlink>
      <w:r w:rsidR="001662BC" w:rsidRPr="002E218A">
        <w:rPr>
          <w:rFonts w:ascii="Palatino Linotype" w:eastAsia="Palatino Linotype" w:hAnsi="Palatino Linotype" w:cs="Palatino Linotype"/>
          <w:color w:val="000000"/>
          <w:sz w:val="22"/>
          <w:szCs w:val="22"/>
          <w:u w:val="single"/>
        </w:rPr>
        <w:t xml:space="preserve"> </w:t>
      </w:r>
    </w:p>
    <w:p w:rsidR="00266634" w:rsidRPr="002E218A" w:rsidRDefault="00266634">
      <w:pPr>
        <w:spacing w:line="360" w:lineRule="auto"/>
        <w:ind w:left="709" w:right="822"/>
        <w:jc w:val="both"/>
        <w:rPr>
          <w:rFonts w:ascii="Palatino Linotype" w:eastAsia="Palatino Linotype" w:hAnsi="Palatino Linotype" w:cs="Palatino Linotype"/>
          <w:sz w:val="22"/>
          <w:szCs w:val="22"/>
        </w:rPr>
      </w:pPr>
    </w:p>
    <w:p w:rsidR="00266634" w:rsidRPr="002E218A" w:rsidRDefault="001662BC">
      <w:pPr>
        <w:spacing w:line="360" w:lineRule="auto"/>
        <w:ind w:left="709" w:right="822"/>
        <w:jc w:val="both"/>
        <w:rPr>
          <w:rFonts w:ascii="Palatino Linotype" w:eastAsia="Palatino Linotype" w:hAnsi="Palatino Linotype" w:cs="Palatino Linotype"/>
          <w:sz w:val="22"/>
          <w:szCs w:val="22"/>
        </w:rPr>
      </w:pPr>
      <w:r w:rsidRPr="002E218A">
        <w:rPr>
          <w:rFonts w:ascii="Palatino Linotype" w:eastAsia="Palatino Linotype" w:hAnsi="Palatino Linotype" w:cs="Palatino Linotype"/>
          <w:sz w:val="22"/>
          <w:szCs w:val="22"/>
        </w:rPr>
        <w:t>Presupuesto Ciudadano:</w:t>
      </w:r>
    </w:p>
    <w:p w:rsidR="00266634" w:rsidRPr="002E218A" w:rsidRDefault="00266634">
      <w:pPr>
        <w:spacing w:line="360" w:lineRule="auto"/>
        <w:ind w:left="709" w:right="822"/>
        <w:jc w:val="both"/>
        <w:rPr>
          <w:rFonts w:ascii="Palatino Linotype" w:eastAsia="Palatino Linotype" w:hAnsi="Palatino Linotype" w:cs="Palatino Linotype"/>
          <w:sz w:val="22"/>
          <w:szCs w:val="22"/>
        </w:rPr>
      </w:pPr>
    </w:p>
    <w:p w:rsidR="00266634" w:rsidRPr="002E218A" w:rsidRDefault="00F97F5C">
      <w:pPr>
        <w:spacing w:line="360" w:lineRule="auto"/>
        <w:ind w:left="709" w:right="822"/>
        <w:jc w:val="both"/>
        <w:rPr>
          <w:rFonts w:ascii="Palatino Linotype" w:eastAsia="Palatino Linotype" w:hAnsi="Palatino Linotype" w:cs="Palatino Linotype"/>
          <w:sz w:val="22"/>
          <w:szCs w:val="22"/>
        </w:rPr>
      </w:pPr>
      <w:hyperlink r:id="rId11">
        <w:r w:rsidR="001662BC" w:rsidRPr="002E218A">
          <w:rPr>
            <w:rFonts w:ascii="Palatino Linotype" w:eastAsia="Palatino Linotype" w:hAnsi="Palatino Linotype" w:cs="Palatino Linotype"/>
            <w:color w:val="000000"/>
            <w:sz w:val="22"/>
            <w:szCs w:val="22"/>
            <w:u w:val="single"/>
          </w:rPr>
          <w:t>https://transparenciafiscal.edomex.gob.mx/pc</w:t>
        </w:r>
      </w:hyperlink>
      <w:r w:rsidR="001662BC" w:rsidRPr="002E218A">
        <w:rPr>
          <w:rFonts w:ascii="Palatino Linotype" w:eastAsia="Palatino Linotype" w:hAnsi="Palatino Linotype" w:cs="Palatino Linotype"/>
          <w:color w:val="000000"/>
          <w:sz w:val="22"/>
          <w:szCs w:val="22"/>
          <w:u w:val="single"/>
        </w:rPr>
        <w:t xml:space="preserve">   </w:t>
      </w:r>
    </w:p>
    <w:p w:rsidR="00266634" w:rsidRPr="002E218A" w:rsidRDefault="00266634">
      <w:pPr>
        <w:spacing w:line="360" w:lineRule="auto"/>
        <w:ind w:left="709" w:right="822"/>
        <w:jc w:val="both"/>
        <w:rPr>
          <w:rFonts w:ascii="Palatino Linotype" w:eastAsia="Palatino Linotype" w:hAnsi="Palatino Linotype" w:cs="Palatino Linotype"/>
          <w:sz w:val="22"/>
          <w:szCs w:val="22"/>
        </w:rPr>
      </w:pPr>
    </w:p>
    <w:p w:rsidR="00266634" w:rsidRPr="002E218A" w:rsidRDefault="001662BC">
      <w:pPr>
        <w:spacing w:line="360" w:lineRule="auto"/>
        <w:ind w:left="709" w:right="822"/>
        <w:jc w:val="both"/>
        <w:rPr>
          <w:rFonts w:ascii="Palatino Linotype" w:eastAsia="Palatino Linotype" w:hAnsi="Palatino Linotype" w:cs="Palatino Linotype"/>
          <w:sz w:val="22"/>
          <w:szCs w:val="22"/>
        </w:rPr>
      </w:pPr>
      <w:r w:rsidRPr="002E218A">
        <w:rPr>
          <w:rFonts w:ascii="Palatino Linotype" w:eastAsia="Palatino Linotype" w:hAnsi="Palatino Linotype" w:cs="Palatino Linotype"/>
          <w:sz w:val="22"/>
          <w:szCs w:val="22"/>
        </w:rPr>
        <w:t>Evolución Reciente de la Economía:</w:t>
      </w:r>
    </w:p>
    <w:p w:rsidR="00266634" w:rsidRPr="002E218A" w:rsidRDefault="00266634">
      <w:pPr>
        <w:spacing w:line="360" w:lineRule="auto"/>
        <w:ind w:left="709" w:right="822"/>
        <w:jc w:val="both"/>
        <w:rPr>
          <w:rFonts w:ascii="Palatino Linotype" w:eastAsia="Palatino Linotype" w:hAnsi="Palatino Linotype" w:cs="Palatino Linotype"/>
          <w:sz w:val="22"/>
          <w:szCs w:val="22"/>
        </w:rPr>
      </w:pPr>
    </w:p>
    <w:p w:rsidR="00266634" w:rsidRPr="002E218A" w:rsidRDefault="00F97F5C">
      <w:pPr>
        <w:spacing w:line="360" w:lineRule="auto"/>
        <w:ind w:left="709" w:right="822"/>
        <w:jc w:val="both"/>
        <w:rPr>
          <w:rFonts w:ascii="Palatino Linotype" w:eastAsia="Palatino Linotype" w:hAnsi="Palatino Linotype" w:cs="Palatino Linotype"/>
          <w:color w:val="000000"/>
          <w:sz w:val="22"/>
          <w:szCs w:val="22"/>
          <w:u w:val="single"/>
        </w:rPr>
      </w:pPr>
      <w:hyperlink r:id="rId12">
        <w:r w:rsidR="001662BC" w:rsidRPr="002E218A">
          <w:rPr>
            <w:rFonts w:ascii="Palatino Linotype" w:eastAsia="Palatino Linotype" w:hAnsi="Palatino Linotype" w:cs="Palatino Linotype"/>
            <w:color w:val="0563C1"/>
            <w:sz w:val="22"/>
            <w:szCs w:val="22"/>
            <w:u w:val="single"/>
          </w:rPr>
          <w:t>https://transparenciafiscal.edomex.gob.mx/evol-economia-2024</w:t>
        </w:r>
      </w:hyperlink>
      <w:r w:rsidR="001662BC" w:rsidRPr="002E218A">
        <w:rPr>
          <w:rFonts w:ascii="Palatino Linotype" w:eastAsia="Palatino Linotype" w:hAnsi="Palatino Linotype" w:cs="Palatino Linotype"/>
          <w:color w:val="000000"/>
          <w:sz w:val="22"/>
          <w:szCs w:val="22"/>
          <w:u w:val="single"/>
        </w:rPr>
        <w:t xml:space="preserve"> </w:t>
      </w:r>
    </w:p>
    <w:p w:rsidR="00266634" w:rsidRPr="002E218A" w:rsidRDefault="00266634">
      <w:pPr>
        <w:spacing w:line="360" w:lineRule="auto"/>
        <w:ind w:right="567"/>
        <w:jc w:val="both"/>
        <w:rPr>
          <w:rFonts w:ascii="Palatino Linotype" w:eastAsia="Palatino Linotype" w:hAnsi="Palatino Linotype" w:cs="Palatino Linotype"/>
          <w:b/>
          <w:sz w:val="22"/>
          <w:szCs w:val="22"/>
        </w:rPr>
      </w:pPr>
    </w:p>
    <w:p w:rsidR="00266634" w:rsidRPr="002E218A" w:rsidRDefault="00F97F5C">
      <w:pPr>
        <w:numPr>
          <w:ilvl w:val="0"/>
          <w:numId w:val="3"/>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sz w:val="22"/>
          <w:szCs w:val="22"/>
        </w:rPr>
      </w:pPr>
      <w:hyperlink r:id="rId13">
        <w:r w:rsidR="001662BC" w:rsidRPr="002E218A">
          <w:rPr>
            <w:rFonts w:ascii="Palatino Linotype" w:eastAsia="Palatino Linotype" w:hAnsi="Palatino Linotype" w:cs="Palatino Linotype"/>
            <w:b/>
            <w:color w:val="000000"/>
            <w:sz w:val="22"/>
            <w:szCs w:val="22"/>
            <w:u w:val="single"/>
          </w:rPr>
          <w:t>848 solicitante.pdf</w:t>
        </w:r>
      </w:hyperlink>
      <w:r w:rsidR="001662BC" w:rsidRPr="002E218A">
        <w:rPr>
          <w:rFonts w:ascii="Palatino Linotype" w:eastAsia="Palatino Linotype" w:hAnsi="Palatino Linotype" w:cs="Palatino Linotype"/>
          <w:color w:val="000000"/>
          <w:sz w:val="22"/>
          <w:szCs w:val="22"/>
        </w:rPr>
        <w:t xml:space="preserve">: oficio número 20700004S/UT-2481/2024 de fecha veintiocho de noviembre de dos mil veinticuatro, suscrito por el Jefe de la UIPPE y Titular de la Unidad de Transparencia, en el que señaló que se adjunta los archivos de respuesta. </w:t>
      </w:r>
    </w:p>
    <w:p w:rsidR="00266634" w:rsidRPr="002E218A" w:rsidRDefault="001662BC">
      <w:pPr>
        <w:numPr>
          <w:ilvl w:val="0"/>
          <w:numId w:val="2"/>
        </w:numPr>
        <w:spacing w:line="360" w:lineRule="auto"/>
        <w:ind w:left="0" w:firstLine="0"/>
        <w:jc w:val="both"/>
      </w:pPr>
      <w:bookmarkStart w:id="1" w:name="_heading=h.30j0zll" w:colFirst="0" w:colLast="0"/>
      <w:bookmarkEnd w:id="1"/>
      <w:r w:rsidRPr="002E218A">
        <w:rPr>
          <w:rFonts w:ascii="Palatino Linotype" w:eastAsia="Palatino Linotype" w:hAnsi="Palatino Linotype" w:cs="Palatino Linotype"/>
        </w:rPr>
        <w:lastRenderedPageBreak/>
        <w:t xml:space="preserve">El </w:t>
      </w:r>
      <w:r w:rsidRPr="002E218A">
        <w:rPr>
          <w:rFonts w:ascii="Palatino Linotype" w:eastAsia="Palatino Linotype" w:hAnsi="Palatino Linotype" w:cs="Palatino Linotype"/>
          <w:b/>
        </w:rPr>
        <w:t>diez de diciembre de dos mil veinticuatro,</w:t>
      </w:r>
      <w:r w:rsidRPr="002E218A">
        <w:rPr>
          <w:rFonts w:ascii="Palatino Linotype" w:eastAsia="Palatino Linotype" w:hAnsi="Palatino Linotype" w:cs="Palatino Linotype"/>
        </w:rPr>
        <w:t xml:space="preserve"> </w:t>
      </w:r>
      <w:r w:rsidRPr="002E218A">
        <w:rPr>
          <w:rFonts w:ascii="Palatino Linotype" w:eastAsia="Palatino Linotype" w:hAnsi="Palatino Linotype" w:cs="Palatino Linotype"/>
          <w:b/>
        </w:rPr>
        <w:t>EL RECURRENTE</w:t>
      </w:r>
      <w:r w:rsidRPr="002E218A">
        <w:rPr>
          <w:rFonts w:ascii="Palatino Linotype" w:eastAsia="Palatino Linotype" w:hAnsi="Palatino Linotype" w:cs="Palatino Linotype"/>
        </w:rPr>
        <w:t xml:space="preserve"> interpuso el recurso de revisión, en contra de la respuesta, señalando como:</w:t>
      </w:r>
    </w:p>
    <w:p w:rsidR="00266634" w:rsidRPr="002E218A" w:rsidRDefault="001662BC">
      <w:pPr>
        <w:numPr>
          <w:ilvl w:val="0"/>
          <w:numId w:val="1"/>
        </w:numPr>
        <w:spacing w:line="360" w:lineRule="auto"/>
        <w:ind w:right="822"/>
        <w:jc w:val="both"/>
        <w:rPr>
          <w:rFonts w:ascii="Palatino Linotype" w:eastAsia="Palatino Linotype" w:hAnsi="Palatino Linotype" w:cs="Palatino Linotype"/>
          <w:sz w:val="22"/>
          <w:szCs w:val="22"/>
        </w:rPr>
      </w:pPr>
      <w:r w:rsidRPr="002E218A">
        <w:rPr>
          <w:rFonts w:ascii="Palatino Linotype" w:eastAsia="Palatino Linotype" w:hAnsi="Palatino Linotype" w:cs="Palatino Linotype"/>
          <w:b/>
          <w:sz w:val="22"/>
          <w:szCs w:val="22"/>
        </w:rPr>
        <w:t>Acto impugnado</w:t>
      </w:r>
      <w:r w:rsidRPr="002E218A">
        <w:rPr>
          <w:rFonts w:ascii="Palatino Linotype" w:eastAsia="Palatino Linotype" w:hAnsi="Palatino Linotype" w:cs="Palatino Linotype"/>
          <w:b/>
          <w:i/>
          <w:sz w:val="22"/>
          <w:szCs w:val="22"/>
        </w:rPr>
        <w:t>:</w:t>
      </w:r>
      <w:r w:rsidRPr="002E218A">
        <w:rPr>
          <w:rFonts w:ascii="Palatino Linotype" w:eastAsia="Palatino Linotype" w:hAnsi="Palatino Linotype" w:cs="Palatino Linotype"/>
          <w:i/>
          <w:color w:val="000000"/>
          <w:sz w:val="22"/>
          <w:szCs w:val="22"/>
        </w:rPr>
        <w:t xml:space="preserve"> “SE SOLICTA ELSOPORTE DOCUMENTAL. NO LAS LIGAS” (Sic)</w:t>
      </w:r>
    </w:p>
    <w:p w:rsidR="00266634" w:rsidRPr="002E218A" w:rsidRDefault="001662BC">
      <w:pPr>
        <w:numPr>
          <w:ilvl w:val="0"/>
          <w:numId w:val="1"/>
        </w:numPr>
        <w:spacing w:line="360" w:lineRule="auto"/>
        <w:ind w:right="822"/>
        <w:jc w:val="both"/>
        <w:rPr>
          <w:rFonts w:ascii="Palatino Linotype" w:eastAsia="Palatino Linotype" w:hAnsi="Palatino Linotype" w:cs="Palatino Linotype"/>
          <w:sz w:val="22"/>
          <w:szCs w:val="22"/>
        </w:rPr>
      </w:pPr>
      <w:r w:rsidRPr="002E218A">
        <w:rPr>
          <w:rFonts w:ascii="Palatino Linotype" w:eastAsia="Palatino Linotype" w:hAnsi="Palatino Linotype" w:cs="Palatino Linotype"/>
          <w:b/>
          <w:sz w:val="22"/>
          <w:szCs w:val="22"/>
        </w:rPr>
        <w:t>Razones o Motivos de inconformidad:</w:t>
      </w:r>
      <w:r w:rsidRPr="002E218A">
        <w:rPr>
          <w:rFonts w:ascii="Palatino Linotype" w:eastAsia="Palatino Linotype" w:hAnsi="Palatino Linotype" w:cs="Palatino Linotype"/>
          <w:b/>
          <w:color w:val="2E75B5"/>
          <w:sz w:val="22"/>
          <w:szCs w:val="22"/>
        </w:rPr>
        <w:t xml:space="preserve"> </w:t>
      </w:r>
      <w:r w:rsidRPr="002E218A">
        <w:rPr>
          <w:rFonts w:ascii="Palatino Linotype" w:eastAsia="Palatino Linotype" w:hAnsi="Palatino Linotype" w:cs="Palatino Linotype"/>
          <w:i/>
          <w:sz w:val="22"/>
          <w:szCs w:val="22"/>
        </w:rPr>
        <w:t>“</w:t>
      </w:r>
      <w:r w:rsidRPr="002E218A">
        <w:rPr>
          <w:rFonts w:ascii="Palatino Linotype" w:eastAsia="Palatino Linotype" w:hAnsi="Palatino Linotype" w:cs="Palatino Linotype"/>
          <w:i/>
          <w:color w:val="000000"/>
          <w:sz w:val="22"/>
          <w:szCs w:val="22"/>
        </w:rPr>
        <w:t>NO ENTIENDO PORQUE LA SERVIDORA PUBLICA HABILITADA DE LA UIPPE, SE EMPEÑA EN CONTESTAR CON LIGAS, A CASO TAMBIEN ES COMPLICE PARA OCULTAR LA INFORMACION O LA OBLIGAN A DAR RESPUESTAS INCOHERENTES, PONIENDO EN TELA DE JUICIO SU CAPACIDAD.” (Sic).</w:t>
      </w:r>
    </w:p>
    <w:p w:rsidR="00266634" w:rsidRPr="002E218A" w:rsidRDefault="001662BC">
      <w:pPr>
        <w:tabs>
          <w:tab w:val="left" w:pos="6197"/>
        </w:tabs>
        <w:spacing w:line="360" w:lineRule="auto"/>
        <w:jc w:val="both"/>
        <w:rPr>
          <w:rFonts w:ascii="Palatino Linotype" w:eastAsia="Palatino Linotype" w:hAnsi="Palatino Linotype" w:cs="Palatino Linotype"/>
        </w:rPr>
      </w:pPr>
      <w:r w:rsidRPr="002E218A">
        <w:rPr>
          <w:rFonts w:ascii="Palatino Linotype" w:eastAsia="Palatino Linotype" w:hAnsi="Palatino Linotype" w:cs="Palatino Linotype"/>
        </w:rPr>
        <w:tab/>
      </w:r>
    </w:p>
    <w:p w:rsidR="00266634" w:rsidRPr="002E218A" w:rsidRDefault="001662BC">
      <w:pPr>
        <w:numPr>
          <w:ilvl w:val="0"/>
          <w:numId w:val="2"/>
        </w:numPr>
        <w:spacing w:line="360" w:lineRule="auto"/>
        <w:ind w:left="0" w:firstLine="0"/>
        <w:jc w:val="both"/>
      </w:pPr>
      <w:r w:rsidRPr="002E218A">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2E218A">
        <w:rPr>
          <w:rFonts w:ascii="Palatino Linotype" w:eastAsia="Palatino Linotype" w:hAnsi="Palatino Linotype" w:cs="Palatino Linotype"/>
          <w:b/>
        </w:rPr>
        <w:t xml:space="preserve">Ley de Transparencia y Acceso a la Información Pública del Estado de México y Municipios </w:t>
      </w:r>
      <w:r w:rsidRPr="002E218A">
        <w:rPr>
          <w:rFonts w:ascii="Palatino Linotype" w:eastAsia="Palatino Linotype" w:hAnsi="Palatino Linotype" w:cs="Palatino Linotype"/>
        </w:rPr>
        <w:t xml:space="preserve">se turna a la </w:t>
      </w:r>
      <w:r w:rsidRPr="002E218A">
        <w:rPr>
          <w:rFonts w:ascii="Palatino Linotype" w:eastAsia="Palatino Linotype" w:hAnsi="Palatino Linotype" w:cs="Palatino Linotype"/>
          <w:b/>
        </w:rPr>
        <w:t xml:space="preserve">Comisionada María del Rosario Mejía Ayala, </w:t>
      </w:r>
      <w:r w:rsidRPr="002E218A">
        <w:rPr>
          <w:rFonts w:ascii="Palatino Linotype" w:eastAsia="Palatino Linotype" w:hAnsi="Palatino Linotype" w:cs="Palatino Linotype"/>
        </w:rPr>
        <w:t xml:space="preserve">para su análisis. </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numPr>
          <w:ilvl w:val="0"/>
          <w:numId w:val="2"/>
        </w:numPr>
        <w:spacing w:line="360" w:lineRule="auto"/>
        <w:ind w:left="0" w:firstLine="0"/>
        <w:jc w:val="both"/>
        <w:rPr>
          <w:color w:val="000000"/>
        </w:rPr>
      </w:pPr>
      <w:r w:rsidRPr="002E218A">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sidRPr="002E218A">
        <w:rPr>
          <w:rFonts w:ascii="Palatino Linotype" w:eastAsia="Palatino Linotype" w:hAnsi="Palatino Linotype" w:cs="Palatino Linotype"/>
          <w:b/>
        </w:rPr>
        <w:t>trece de diciembre de dos mil veinticuatro</w:t>
      </w:r>
      <w:r w:rsidRPr="002E218A">
        <w:rPr>
          <w:rFonts w:ascii="Palatino Linotype" w:eastAsia="Palatino Linotype" w:hAnsi="Palatino Linotype" w:cs="Palatino Linotype"/>
        </w:rPr>
        <w:t xml:space="preserve">, puso a disposición de las partes el expediente electrónico vía </w:t>
      </w:r>
      <w:r w:rsidRPr="002E218A">
        <w:rPr>
          <w:rFonts w:ascii="Palatino Linotype" w:eastAsia="Palatino Linotype" w:hAnsi="Palatino Linotype" w:cs="Palatino Linotype"/>
          <w:b/>
        </w:rPr>
        <w:t xml:space="preserve">SAIMEX </w:t>
      </w:r>
      <w:r w:rsidRPr="002E218A">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2E218A">
        <w:rPr>
          <w:rFonts w:ascii="Palatino Linotype" w:eastAsia="Palatino Linotype" w:hAnsi="Palatino Linotype" w:cs="Palatino Linotype"/>
          <w:b/>
        </w:rPr>
        <w:t>SUJETO OBLIGADO</w:t>
      </w:r>
      <w:r w:rsidRPr="002E218A">
        <w:rPr>
          <w:rFonts w:ascii="Palatino Linotype" w:eastAsia="Palatino Linotype" w:hAnsi="Palatino Linotype" w:cs="Palatino Linotype"/>
        </w:rPr>
        <w:t xml:space="preserve"> presentará el informe justificado procedente. </w:t>
      </w:r>
    </w:p>
    <w:p w:rsidR="00266634" w:rsidRPr="002E218A" w:rsidRDefault="00266634">
      <w:pPr>
        <w:spacing w:line="360" w:lineRule="auto"/>
        <w:jc w:val="both"/>
        <w:rPr>
          <w:rFonts w:ascii="Palatino Linotype" w:eastAsia="Palatino Linotype" w:hAnsi="Palatino Linotype" w:cs="Palatino Linotype"/>
          <w:i/>
          <w:color w:val="000000"/>
        </w:rPr>
      </w:pPr>
    </w:p>
    <w:p w:rsidR="00266634" w:rsidRPr="002E218A" w:rsidRDefault="001662BC">
      <w:pPr>
        <w:numPr>
          <w:ilvl w:val="0"/>
          <w:numId w:val="2"/>
        </w:numPr>
        <w:spacing w:line="360" w:lineRule="auto"/>
        <w:ind w:left="0" w:firstLine="0"/>
        <w:jc w:val="both"/>
        <w:rPr>
          <w:rFonts w:ascii="Palatino Linotype" w:eastAsia="Palatino Linotype" w:hAnsi="Palatino Linotype" w:cs="Palatino Linotype"/>
          <w:b/>
        </w:rPr>
      </w:pPr>
      <w:r w:rsidRPr="002E218A">
        <w:rPr>
          <w:rFonts w:ascii="Palatino Linotype" w:eastAsia="Palatino Linotype" w:hAnsi="Palatino Linotype" w:cs="Palatino Linotype"/>
        </w:rPr>
        <w:t xml:space="preserve">De las constancias en el expediente electrónico SAIMEX, se advierte que el particular no realizó manifestaciones, no ofreció pruebas o alegatos que a su derecho conviniera; por su parte, el Sujeto Obligado remitió informe justificado el </w:t>
      </w:r>
      <w:r w:rsidRPr="002E218A">
        <w:rPr>
          <w:rFonts w:ascii="Palatino Linotype" w:eastAsia="Palatino Linotype" w:hAnsi="Palatino Linotype" w:cs="Palatino Linotype"/>
          <w:b/>
        </w:rPr>
        <w:t xml:space="preserve">diecinueve de diciembre de dos mil </w:t>
      </w:r>
      <w:r w:rsidRPr="002E218A">
        <w:rPr>
          <w:rFonts w:ascii="Palatino Linotype" w:eastAsia="Palatino Linotype" w:hAnsi="Palatino Linotype" w:cs="Palatino Linotype"/>
          <w:b/>
        </w:rPr>
        <w:lastRenderedPageBreak/>
        <w:t>veinticuatro</w:t>
      </w:r>
      <w:r w:rsidRPr="002E218A">
        <w:rPr>
          <w:rFonts w:ascii="Palatino Linotype" w:eastAsia="Palatino Linotype" w:hAnsi="Palatino Linotype" w:cs="Palatino Linotype"/>
        </w:rPr>
        <w:t xml:space="preserve">, mismo que fue puesto a la vista del particular el </w:t>
      </w:r>
      <w:r w:rsidRPr="002E218A">
        <w:rPr>
          <w:rFonts w:ascii="Palatino Linotype" w:eastAsia="Palatino Linotype" w:hAnsi="Palatino Linotype" w:cs="Palatino Linotype"/>
          <w:b/>
        </w:rPr>
        <w:t>dieciséis de enero de dos mil veinticinco</w:t>
      </w:r>
      <w:r w:rsidRPr="002E218A">
        <w:rPr>
          <w:rFonts w:ascii="Palatino Linotype" w:eastAsia="Palatino Linotype" w:hAnsi="Palatino Linotype" w:cs="Palatino Linotype"/>
        </w:rPr>
        <w:t>, a través de los archivos que se describen enseguida:</w:t>
      </w:r>
    </w:p>
    <w:p w:rsidR="00266634" w:rsidRPr="002E218A" w:rsidRDefault="00F97F5C">
      <w:pPr>
        <w:numPr>
          <w:ilvl w:val="0"/>
          <w:numId w:val="4"/>
        </w:numPr>
        <w:pBdr>
          <w:top w:val="nil"/>
          <w:left w:val="nil"/>
          <w:bottom w:val="nil"/>
          <w:right w:val="nil"/>
          <w:between w:val="nil"/>
        </w:pBdr>
        <w:spacing w:line="360" w:lineRule="auto"/>
        <w:ind w:right="541"/>
        <w:jc w:val="both"/>
        <w:rPr>
          <w:rFonts w:ascii="Palatino Linotype" w:eastAsia="Palatino Linotype" w:hAnsi="Palatino Linotype" w:cs="Palatino Linotype"/>
          <w:b/>
          <w:color w:val="000000"/>
          <w:sz w:val="22"/>
          <w:szCs w:val="22"/>
        </w:rPr>
      </w:pPr>
      <w:hyperlink r:id="rId14">
        <w:r w:rsidR="001662BC" w:rsidRPr="002E218A">
          <w:rPr>
            <w:rFonts w:ascii="Palatino Linotype" w:eastAsia="Palatino Linotype" w:hAnsi="Palatino Linotype" w:cs="Palatino Linotype"/>
            <w:b/>
            <w:color w:val="0563C1"/>
            <w:sz w:val="22"/>
            <w:szCs w:val="22"/>
            <w:u w:val="single"/>
          </w:rPr>
          <w:t>RR 7578-2024 INFORME JUSTIFICADO.pdf</w:t>
        </w:r>
      </w:hyperlink>
      <w:r w:rsidR="001662BC" w:rsidRPr="002E218A">
        <w:rPr>
          <w:rFonts w:ascii="Palatino Linotype" w:eastAsia="Palatino Linotype" w:hAnsi="Palatino Linotype" w:cs="Palatino Linotype"/>
          <w:b/>
          <w:color w:val="000000"/>
          <w:sz w:val="22"/>
          <w:szCs w:val="22"/>
          <w:u w:val="single"/>
        </w:rPr>
        <w:t xml:space="preserve">: </w:t>
      </w:r>
      <w:r w:rsidR="001662BC" w:rsidRPr="002E218A">
        <w:rPr>
          <w:rFonts w:ascii="Palatino Linotype" w:eastAsia="Palatino Linotype" w:hAnsi="Palatino Linotype" w:cs="Palatino Linotype"/>
          <w:color w:val="000000"/>
          <w:sz w:val="22"/>
          <w:szCs w:val="22"/>
        </w:rPr>
        <w:t xml:space="preserve">informe justificado suscrito por la Directora de Información en el que, de forma medular, ratificó su respuesta. </w:t>
      </w:r>
    </w:p>
    <w:p w:rsidR="00266634" w:rsidRPr="002E218A" w:rsidRDefault="00F97F5C">
      <w:pPr>
        <w:numPr>
          <w:ilvl w:val="0"/>
          <w:numId w:val="4"/>
        </w:numPr>
        <w:pBdr>
          <w:top w:val="nil"/>
          <w:left w:val="nil"/>
          <w:bottom w:val="nil"/>
          <w:right w:val="nil"/>
          <w:between w:val="nil"/>
        </w:pBdr>
        <w:spacing w:line="360" w:lineRule="auto"/>
        <w:ind w:right="541"/>
        <w:jc w:val="both"/>
        <w:rPr>
          <w:rFonts w:ascii="Palatino Linotype" w:eastAsia="Palatino Linotype" w:hAnsi="Palatino Linotype" w:cs="Palatino Linotype"/>
          <w:color w:val="000000"/>
          <w:sz w:val="22"/>
          <w:szCs w:val="22"/>
        </w:rPr>
      </w:pPr>
      <w:hyperlink r:id="rId15">
        <w:r w:rsidR="001662BC" w:rsidRPr="002E218A">
          <w:rPr>
            <w:rFonts w:ascii="Palatino Linotype" w:eastAsia="Palatino Linotype" w:hAnsi="Palatino Linotype" w:cs="Palatino Linotype"/>
            <w:b/>
            <w:color w:val="0563C1"/>
            <w:sz w:val="22"/>
            <w:szCs w:val="22"/>
            <w:u w:val="single"/>
          </w:rPr>
          <w:t>RR 7578-2024 UIPPE.pdf</w:t>
        </w:r>
      </w:hyperlink>
      <w:r w:rsidR="001662BC" w:rsidRPr="002E218A">
        <w:rPr>
          <w:rFonts w:ascii="Palatino Linotype" w:eastAsia="Palatino Linotype" w:hAnsi="Palatino Linotype" w:cs="Palatino Linotype"/>
          <w:color w:val="000000"/>
          <w:sz w:val="22"/>
          <w:szCs w:val="22"/>
        </w:rPr>
        <w:t xml:space="preserve">: documento suscrito por la Servidora Pública Habilitada de la Unidad de Información, Planeación Programación y Evaluación, de fecha diecinueve de noviembre de dos mil veinticuatro, en el que, de forma medular, ratificó su respuesta. </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numPr>
          <w:ilvl w:val="0"/>
          <w:numId w:val="2"/>
        </w:numPr>
        <w:pBdr>
          <w:top w:val="nil"/>
          <w:left w:val="nil"/>
          <w:bottom w:val="nil"/>
          <w:right w:val="nil"/>
          <w:between w:val="nil"/>
        </w:pBdr>
        <w:spacing w:line="360" w:lineRule="auto"/>
        <w:ind w:left="0" w:right="113" w:firstLine="0"/>
        <w:jc w:val="both"/>
        <w:rPr>
          <w:color w:val="000000"/>
        </w:rPr>
      </w:pPr>
      <w:r w:rsidRPr="002E218A">
        <w:rPr>
          <w:rFonts w:ascii="Palatino Linotype" w:eastAsia="Palatino Linotype" w:hAnsi="Palatino Linotype" w:cs="Palatino Linotype"/>
          <w:color w:val="000000"/>
        </w:rPr>
        <w:t xml:space="preserve">El </w:t>
      </w:r>
      <w:r w:rsidRPr="002E218A">
        <w:rPr>
          <w:rFonts w:ascii="Palatino Linotype" w:eastAsia="Palatino Linotype" w:hAnsi="Palatino Linotype" w:cs="Palatino Linotype"/>
          <w:b/>
          <w:color w:val="000000"/>
        </w:rPr>
        <w:t>veintidós de enero de dos mil veinticinco</w:t>
      </w:r>
      <w:r w:rsidRPr="002E218A">
        <w:rPr>
          <w:rFonts w:ascii="Palatino Linotype" w:eastAsia="Palatino Linotype" w:hAnsi="Palatino Linotype" w:cs="Palatino Linotype"/>
          <w:color w:val="000000"/>
        </w:rPr>
        <w:t xml:space="preserve">, se notificó el acuerdo a través </w:t>
      </w:r>
      <w:r w:rsidRPr="002E218A">
        <w:rPr>
          <w:rFonts w:ascii="Palatino Linotype" w:eastAsia="Palatino Linotype" w:hAnsi="Palatino Linotype" w:cs="Palatino Linotype"/>
        </w:rPr>
        <w:t>del cual</w:t>
      </w:r>
      <w:r w:rsidRPr="002E218A">
        <w:rPr>
          <w:rFonts w:ascii="Palatino Linotype" w:eastAsia="Palatino Linotype" w:hAnsi="Palatino Linotype" w:cs="Palatino Linotype"/>
          <w:color w:val="000000"/>
        </w:rPr>
        <w:t xml:space="preserve"> se decretó el cierre de instrucción. </w:t>
      </w:r>
    </w:p>
    <w:p w:rsidR="00266634" w:rsidRPr="002E218A" w:rsidRDefault="00266634">
      <w:pPr>
        <w:spacing w:line="360" w:lineRule="auto"/>
        <w:jc w:val="both"/>
        <w:rPr>
          <w:rFonts w:ascii="Palatino Linotype" w:eastAsia="Palatino Linotype" w:hAnsi="Palatino Linotype" w:cs="Palatino Linotype"/>
          <w:b/>
          <w:u w:val="single"/>
        </w:rPr>
      </w:pPr>
    </w:p>
    <w:p w:rsidR="00266634" w:rsidRPr="002E218A" w:rsidRDefault="001662BC">
      <w:pPr>
        <w:keepNext/>
        <w:keepLines/>
        <w:spacing w:line="360" w:lineRule="auto"/>
        <w:jc w:val="center"/>
        <w:rPr>
          <w:rFonts w:ascii="Palatino Linotype" w:eastAsia="Palatino Linotype" w:hAnsi="Palatino Linotype" w:cs="Palatino Linotype"/>
        </w:rPr>
      </w:pPr>
      <w:bookmarkStart w:id="2" w:name="_heading=h.1fob9te" w:colFirst="0" w:colLast="0"/>
      <w:bookmarkEnd w:id="2"/>
      <w:r w:rsidRPr="002E218A">
        <w:rPr>
          <w:rFonts w:ascii="Palatino Linotype" w:eastAsia="Palatino Linotype" w:hAnsi="Palatino Linotype" w:cs="Palatino Linotype"/>
          <w:b/>
        </w:rPr>
        <w:t xml:space="preserve">C O N S I D E R A N D O </w:t>
      </w:r>
    </w:p>
    <w:p w:rsidR="00266634" w:rsidRPr="002E218A" w:rsidRDefault="00266634">
      <w:pPr>
        <w:spacing w:line="360" w:lineRule="auto"/>
        <w:rPr>
          <w:rFonts w:ascii="Palatino Linotype" w:eastAsia="Palatino Linotype" w:hAnsi="Palatino Linotype" w:cs="Palatino Linotype"/>
        </w:rPr>
      </w:pPr>
    </w:p>
    <w:p w:rsidR="00266634" w:rsidRPr="002E218A" w:rsidRDefault="001662BC">
      <w:pPr>
        <w:keepNext/>
        <w:keepLines/>
        <w:spacing w:line="360" w:lineRule="auto"/>
        <w:rPr>
          <w:rFonts w:ascii="Palatino Linotype" w:eastAsia="Palatino Linotype" w:hAnsi="Palatino Linotype" w:cs="Palatino Linotype"/>
          <w:b/>
        </w:rPr>
      </w:pPr>
      <w:bookmarkStart w:id="3" w:name="_heading=h.3znysh7" w:colFirst="0" w:colLast="0"/>
      <w:bookmarkEnd w:id="3"/>
      <w:r w:rsidRPr="002E218A">
        <w:rPr>
          <w:rFonts w:ascii="Palatino Linotype" w:eastAsia="Palatino Linotype" w:hAnsi="Palatino Linotype" w:cs="Palatino Linotype"/>
          <w:b/>
        </w:rPr>
        <w:t>PRIMERO. De la competencia</w:t>
      </w:r>
    </w:p>
    <w:p w:rsidR="00266634" w:rsidRPr="002E218A" w:rsidRDefault="001662BC">
      <w:pPr>
        <w:numPr>
          <w:ilvl w:val="0"/>
          <w:numId w:val="2"/>
        </w:numPr>
        <w:spacing w:line="360" w:lineRule="auto"/>
        <w:ind w:left="0" w:firstLine="0"/>
        <w:jc w:val="both"/>
      </w:pPr>
      <w:r w:rsidRPr="002E218A">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keepNext/>
        <w:keepLines/>
        <w:spacing w:line="360" w:lineRule="auto"/>
        <w:rPr>
          <w:rFonts w:ascii="Palatino Linotype" w:eastAsia="Palatino Linotype" w:hAnsi="Palatino Linotype" w:cs="Palatino Linotype"/>
          <w:b/>
        </w:rPr>
      </w:pPr>
      <w:bookmarkStart w:id="4" w:name="_heading=h.2et92p0" w:colFirst="0" w:colLast="0"/>
      <w:bookmarkEnd w:id="4"/>
      <w:r w:rsidRPr="002E218A">
        <w:rPr>
          <w:rFonts w:ascii="Palatino Linotype" w:eastAsia="Palatino Linotype" w:hAnsi="Palatino Linotype" w:cs="Palatino Linotype"/>
          <w:b/>
        </w:rPr>
        <w:lastRenderedPageBreak/>
        <w:t>SEGUNDO. De la oportunidad y procedencia.</w:t>
      </w:r>
    </w:p>
    <w:p w:rsidR="00266634" w:rsidRPr="002E218A" w:rsidRDefault="001662BC">
      <w:pPr>
        <w:numPr>
          <w:ilvl w:val="0"/>
          <w:numId w:val="2"/>
        </w:numPr>
        <w:spacing w:line="360" w:lineRule="auto"/>
        <w:ind w:left="0" w:right="49" w:firstLine="0"/>
        <w:jc w:val="both"/>
      </w:pPr>
      <w:r w:rsidRPr="002E218A">
        <w:rPr>
          <w:rFonts w:ascii="Palatino Linotype" w:eastAsia="Palatino Linotype" w:hAnsi="Palatino Linotype" w:cs="Palatino Linotype"/>
        </w:rPr>
        <w:t xml:space="preserve">El medio de impugnación fue presentado a través del </w:t>
      </w:r>
      <w:r w:rsidRPr="002E218A">
        <w:rPr>
          <w:rFonts w:ascii="Palatino Linotype" w:eastAsia="Palatino Linotype" w:hAnsi="Palatino Linotype" w:cs="Palatino Linotype"/>
          <w:b/>
        </w:rPr>
        <w:t>SAIMEX,</w:t>
      </w:r>
      <w:r w:rsidRPr="002E218A">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2E218A">
        <w:rPr>
          <w:rFonts w:ascii="Palatino Linotype" w:eastAsia="Palatino Linotype" w:hAnsi="Palatino Linotype" w:cs="Palatino Linotype"/>
          <w:b/>
        </w:rPr>
        <w:t>SUJETO OBLIGADO</w:t>
      </w:r>
      <w:r w:rsidRPr="002E218A">
        <w:rPr>
          <w:rFonts w:ascii="Palatino Linotype" w:eastAsia="Palatino Linotype" w:hAnsi="Palatino Linotype" w:cs="Palatino Linotype"/>
        </w:rPr>
        <w:t xml:space="preserve"> entregó respuesta a la solicitud el día </w:t>
      </w:r>
      <w:r w:rsidRPr="002E218A">
        <w:rPr>
          <w:rFonts w:ascii="Palatino Linotype" w:eastAsia="Palatino Linotype" w:hAnsi="Palatino Linotype" w:cs="Palatino Linotype"/>
          <w:b/>
        </w:rPr>
        <w:t>veintinueve de noviembre de dos mil veinticuatro</w:t>
      </w:r>
      <w:r w:rsidRPr="002E218A">
        <w:rPr>
          <w:rFonts w:ascii="Palatino Linotype" w:eastAsia="Palatino Linotype" w:hAnsi="Palatino Linotype" w:cs="Palatino Linotype"/>
        </w:rPr>
        <w:t xml:space="preserve">, de tal forma que el plazo para interponer el recurso de revisión transcurrió del </w:t>
      </w:r>
      <w:r w:rsidRPr="002E218A">
        <w:rPr>
          <w:rFonts w:ascii="Palatino Linotype" w:eastAsia="Palatino Linotype" w:hAnsi="Palatino Linotype" w:cs="Palatino Linotype"/>
          <w:b/>
        </w:rPr>
        <w:t>dos al veinte de diciembre de dos mil veinticuatro</w:t>
      </w:r>
      <w:r w:rsidRPr="002E218A">
        <w:rPr>
          <w:rFonts w:ascii="Palatino Linotype" w:eastAsia="Palatino Linotype" w:hAnsi="Palatino Linotype" w:cs="Palatino Linotype"/>
        </w:rPr>
        <w:t xml:space="preserve">; en consecuencia, presentó su inconformidad el día </w:t>
      </w:r>
      <w:r w:rsidRPr="002E218A">
        <w:rPr>
          <w:rFonts w:ascii="Palatino Linotype" w:eastAsia="Palatino Linotype" w:hAnsi="Palatino Linotype" w:cs="Palatino Linotype"/>
          <w:b/>
        </w:rPr>
        <w:t>diez de diciembre de dos mil veinticuatro</w:t>
      </w:r>
      <w:r w:rsidRPr="002E218A">
        <w:rPr>
          <w:rFonts w:ascii="Palatino Linotype" w:eastAsia="Palatino Linotype" w:hAnsi="Palatino Linotype" w:cs="Palatino Linotype"/>
        </w:rPr>
        <w:t xml:space="preserve">, por lo que se encuentra dentro de los márgenes temporales previstos en el artículo 178 de la </w:t>
      </w:r>
      <w:r w:rsidRPr="002E218A">
        <w:rPr>
          <w:rFonts w:ascii="Palatino Linotype" w:eastAsia="Palatino Linotype" w:hAnsi="Palatino Linotype" w:cs="Palatino Linotype"/>
          <w:b/>
        </w:rPr>
        <w:t xml:space="preserve">Ley de Transparencia y Acceso a la Información Pública del Estado de México y Municipios </w:t>
      </w:r>
      <w:r w:rsidRPr="002E218A">
        <w:rPr>
          <w:rFonts w:ascii="Palatino Linotype" w:eastAsia="Palatino Linotype" w:hAnsi="Palatino Linotype" w:cs="Palatino Linotype"/>
        </w:rPr>
        <w:t>vigente.</w:t>
      </w:r>
    </w:p>
    <w:p w:rsidR="00266634" w:rsidRPr="002E218A" w:rsidRDefault="00266634">
      <w:pPr>
        <w:spacing w:line="360" w:lineRule="auto"/>
        <w:ind w:right="49"/>
        <w:jc w:val="both"/>
        <w:rPr>
          <w:rFonts w:ascii="Palatino Linotype" w:eastAsia="Palatino Linotype" w:hAnsi="Palatino Linotype" w:cs="Palatino Linotype"/>
        </w:rPr>
      </w:pPr>
    </w:p>
    <w:p w:rsidR="00266634" w:rsidRPr="002E218A" w:rsidRDefault="001662BC">
      <w:pPr>
        <w:numPr>
          <w:ilvl w:val="0"/>
          <w:numId w:val="2"/>
        </w:numPr>
        <w:spacing w:line="360" w:lineRule="auto"/>
        <w:ind w:left="0" w:right="49" w:firstLine="0"/>
        <w:jc w:val="both"/>
      </w:pPr>
      <w:bookmarkStart w:id="5" w:name="_heading=h.tyjcwt" w:colFirst="0" w:colLast="0"/>
      <w:bookmarkEnd w:id="5"/>
      <w:r w:rsidRPr="002E218A">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66634" w:rsidRPr="002E218A" w:rsidRDefault="00266634">
      <w:pPr>
        <w:spacing w:line="360" w:lineRule="auto"/>
        <w:ind w:right="49"/>
        <w:jc w:val="both"/>
        <w:rPr>
          <w:rFonts w:ascii="Palatino Linotype" w:eastAsia="Palatino Linotype" w:hAnsi="Palatino Linotype" w:cs="Palatino Linotype"/>
        </w:rPr>
      </w:pPr>
      <w:bookmarkStart w:id="6" w:name="_heading=h.3dy6vkm" w:colFirst="0" w:colLast="0"/>
      <w:bookmarkEnd w:id="6"/>
    </w:p>
    <w:p w:rsidR="00266634" w:rsidRPr="002E218A" w:rsidRDefault="001662BC">
      <w:pPr>
        <w:spacing w:line="360" w:lineRule="auto"/>
        <w:ind w:right="49"/>
        <w:jc w:val="both"/>
        <w:rPr>
          <w:rFonts w:ascii="Palatino Linotype" w:eastAsia="Palatino Linotype" w:hAnsi="Palatino Linotype" w:cs="Palatino Linotype"/>
          <w:b/>
        </w:rPr>
      </w:pPr>
      <w:r w:rsidRPr="002E218A">
        <w:rPr>
          <w:rFonts w:ascii="Palatino Linotype" w:eastAsia="Palatino Linotype" w:hAnsi="Palatino Linotype" w:cs="Palatino Linotype"/>
          <w:b/>
        </w:rPr>
        <w:t>TERCERO. Planteamiento de la Litis.</w:t>
      </w:r>
    </w:p>
    <w:p w:rsidR="00266634" w:rsidRPr="002E218A" w:rsidRDefault="001662BC">
      <w:pPr>
        <w:numPr>
          <w:ilvl w:val="0"/>
          <w:numId w:val="2"/>
        </w:numPr>
        <w:spacing w:line="360" w:lineRule="auto"/>
        <w:ind w:left="0" w:right="49" w:firstLine="0"/>
        <w:jc w:val="both"/>
      </w:pPr>
      <w:r w:rsidRPr="002E218A">
        <w:rPr>
          <w:rFonts w:ascii="Palatino Linotype" w:eastAsia="Palatino Linotype" w:hAnsi="Palatino Linotype" w:cs="Palatino Linotype"/>
        </w:rPr>
        <w:t xml:space="preserve">El particular solicitó el soporte documental de la elaboración de estudios, investigaciones y análisis económicos y financieros que indican en los programas de la Secretaría de Finanzas que haya realizado el Jefe de la UIPPE de la Secretaría de Finanzas del mes de enero a junio de 2024. </w:t>
      </w:r>
    </w:p>
    <w:p w:rsidR="00266634" w:rsidRPr="002E218A" w:rsidRDefault="00266634">
      <w:pPr>
        <w:spacing w:line="360" w:lineRule="auto"/>
        <w:ind w:right="49"/>
        <w:jc w:val="both"/>
        <w:rPr>
          <w:rFonts w:ascii="Palatino Linotype" w:eastAsia="Palatino Linotype" w:hAnsi="Palatino Linotype" w:cs="Palatino Linotype"/>
          <w:i/>
        </w:rPr>
      </w:pPr>
    </w:p>
    <w:p w:rsidR="00266634" w:rsidRPr="002E218A" w:rsidRDefault="001662BC">
      <w:pPr>
        <w:numPr>
          <w:ilvl w:val="0"/>
          <w:numId w:val="2"/>
        </w:numPr>
        <w:spacing w:line="360" w:lineRule="auto"/>
        <w:ind w:left="0" w:right="49" w:firstLine="0"/>
        <w:jc w:val="both"/>
      </w:pPr>
      <w:r w:rsidRPr="002E218A">
        <w:rPr>
          <w:rFonts w:ascii="Palatino Linotype" w:eastAsia="Palatino Linotype" w:hAnsi="Palatino Linotype" w:cs="Palatino Linotype"/>
        </w:rPr>
        <w:t xml:space="preserve">En respuesta, el Sujeto Obligado a través de la servidora pública habilitada de la UIPPE, señaló que la información podía ser consultada en tres ligas electrónicas que adjuntó.  </w:t>
      </w:r>
      <w:r w:rsidRPr="002E218A">
        <w:rPr>
          <w:rFonts w:ascii="Palatino Linotype" w:eastAsia="Palatino Linotype" w:hAnsi="Palatino Linotype" w:cs="Palatino Linotype"/>
        </w:rPr>
        <w:lastRenderedPageBreak/>
        <w:t xml:space="preserve">Derivado de ello, el hoy Recurrente interpuso recurso de revisión mediante el cual manifestó, de forma medular, su inconformidad por la contestación a través de ligas electrónicas. </w:t>
      </w:r>
    </w:p>
    <w:p w:rsidR="00266634" w:rsidRPr="002E218A" w:rsidRDefault="00266634">
      <w:pPr>
        <w:spacing w:line="360" w:lineRule="auto"/>
        <w:ind w:right="49"/>
        <w:jc w:val="both"/>
        <w:rPr>
          <w:rFonts w:ascii="Palatino Linotype" w:eastAsia="Palatino Linotype" w:hAnsi="Palatino Linotype" w:cs="Palatino Linotype"/>
        </w:rPr>
      </w:pPr>
    </w:p>
    <w:p w:rsidR="00266634" w:rsidRPr="002E218A" w:rsidRDefault="001662BC">
      <w:pPr>
        <w:numPr>
          <w:ilvl w:val="0"/>
          <w:numId w:val="2"/>
        </w:numPr>
        <w:spacing w:line="360" w:lineRule="auto"/>
        <w:ind w:left="0" w:right="49" w:firstLine="0"/>
        <w:jc w:val="both"/>
      </w:pPr>
      <w:r w:rsidRPr="002E218A">
        <w:rPr>
          <w:rFonts w:ascii="Palatino Linotype" w:eastAsia="Palatino Linotype" w:hAnsi="Palatino Linotype" w:cs="Palatino Linotype"/>
        </w:rPr>
        <w:t>En consecuencia, la Litis a resolver en este recurso, se circunscribe a determinar si la respuesta colma con lo solicitado o si se actualiza las causales de procedencia previstas en el artículo 179, fracción VIII de la Ley de Transparencia y Acceso a la Información Pública del Estado de México y Municipios; que establece la notificación, entrega o puesta a disposición de información en una modalidad o formato distinto al solicitado.</w:t>
      </w:r>
    </w:p>
    <w:p w:rsidR="00266634" w:rsidRPr="002E218A" w:rsidRDefault="00266634">
      <w:pPr>
        <w:spacing w:line="360" w:lineRule="auto"/>
        <w:ind w:right="49"/>
        <w:jc w:val="both"/>
        <w:rPr>
          <w:rFonts w:ascii="Palatino Linotype" w:eastAsia="Palatino Linotype" w:hAnsi="Palatino Linotype" w:cs="Palatino Linotype"/>
          <w:b/>
        </w:rPr>
      </w:pPr>
      <w:bookmarkStart w:id="7" w:name="_heading=h.1t3h5sf" w:colFirst="0" w:colLast="0"/>
      <w:bookmarkEnd w:id="7"/>
    </w:p>
    <w:p w:rsidR="00266634" w:rsidRPr="002E218A" w:rsidRDefault="001662BC">
      <w:pPr>
        <w:keepNext/>
        <w:keepLines/>
        <w:spacing w:line="360" w:lineRule="auto"/>
        <w:ind w:right="48"/>
        <w:rPr>
          <w:rFonts w:ascii="Palatino Linotype" w:eastAsia="Palatino Linotype" w:hAnsi="Palatino Linotype" w:cs="Palatino Linotype"/>
          <w:b/>
        </w:rPr>
      </w:pPr>
      <w:bookmarkStart w:id="8" w:name="_heading=h.4d34og8" w:colFirst="0" w:colLast="0"/>
      <w:bookmarkEnd w:id="8"/>
      <w:r w:rsidRPr="002E218A">
        <w:rPr>
          <w:rFonts w:ascii="Palatino Linotype" w:eastAsia="Palatino Linotype" w:hAnsi="Palatino Linotype" w:cs="Palatino Linotype"/>
          <w:b/>
        </w:rPr>
        <w:t>CUARTO. Del estudio y resolución del recurso de revisión.</w:t>
      </w:r>
    </w:p>
    <w:p w:rsidR="00266634" w:rsidRPr="002E218A" w:rsidRDefault="001662BC">
      <w:pPr>
        <w:numPr>
          <w:ilvl w:val="0"/>
          <w:numId w:val="2"/>
        </w:numPr>
        <w:spacing w:line="360" w:lineRule="auto"/>
        <w:ind w:left="0" w:right="49" w:firstLine="0"/>
        <w:jc w:val="both"/>
      </w:pPr>
      <w:r w:rsidRPr="002E218A">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rsidR="00266634" w:rsidRPr="002E218A" w:rsidRDefault="00266634">
      <w:pPr>
        <w:spacing w:line="360" w:lineRule="auto"/>
        <w:ind w:right="49"/>
        <w:jc w:val="both"/>
        <w:rPr>
          <w:rFonts w:ascii="Palatino Linotype" w:eastAsia="Palatino Linotype" w:hAnsi="Palatino Linotype" w:cs="Palatino Linotype"/>
        </w:rPr>
      </w:pPr>
    </w:p>
    <w:p w:rsidR="00266634" w:rsidRPr="002E218A" w:rsidRDefault="001662BC">
      <w:pPr>
        <w:numPr>
          <w:ilvl w:val="0"/>
          <w:numId w:val="2"/>
        </w:numPr>
        <w:spacing w:line="360" w:lineRule="auto"/>
        <w:ind w:left="0" w:right="49" w:firstLine="0"/>
        <w:jc w:val="both"/>
      </w:pPr>
      <w:r w:rsidRPr="002E218A">
        <w:rPr>
          <w:rFonts w:ascii="Palatino Linotype" w:eastAsia="Palatino Linotype" w:hAnsi="Palatino Linotype" w:cs="Palatino Linotype"/>
        </w:rPr>
        <w:t>En este caso, el particular solicitó el soporte documental de la elaboración de estudios, investigaciones y análisis económicos y financieros que indican en los programas de la Secretaría de Finanzas que haya realizado el Jefe de la UIPPE de la Secretaría de Finanzas del mes de enero a junio de 2024.</w:t>
      </w:r>
    </w:p>
    <w:p w:rsidR="00266634" w:rsidRPr="002E218A" w:rsidRDefault="00266634">
      <w:pPr>
        <w:spacing w:line="360" w:lineRule="auto"/>
        <w:ind w:right="49"/>
        <w:jc w:val="both"/>
        <w:rPr>
          <w:rFonts w:ascii="Palatino Linotype" w:eastAsia="Palatino Linotype" w:hAnsi="Palatino Linotype" w:cs="Palatino Linotype"/>
          <w:i/>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En este contexto,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2E218A">
        <w:rPr>
          <w:rFonts w:ascii="Palatino Linotype" w:eastAsia="Palatino Linotype" w:hAnsi="Palatino Linotype" w:cs="Palatino Linotype"/>
          <w:i/>
          <w:color w:val="000000"/>
        </w:rPr>
        <w:t xml:space="preserve">en el ámbito de sus atribuciones, de promover, respetar, </w:t>
      </w:r>
      <w:r w:rsidRPr="002E218A">
        <w:rPr>
          <w:rFonts w:ascii="Palatino Linotype" w:eastAsia="Palatino Linotype" w:hAnsi="Palatino Linotype" w:cs="Palatino Linotype"/>
          <w:i/>
          <w:color w:val="000000"/>
        </w:rPr>
        <w:lastRenderedPageBreak/>
        <w:t xml:space="preserve">proteger y </w:t>
      </w:r>
      <w:r w:rsidRPr="002E218A">
        <w:rPr>
          <w:rFonts w:ascii="Palatino Linotype" w:eastAsia="Palatino Linotype" w:hAnsi="Palatino Linotype" w:cs="Palatino Linotype"/>
          <w:b/>
          <w:i/>
          <w:color w:val="000000"/>
        </w:rPr>
        <w:t>garantizar</w:t>
      </w:r>
      <w:r w:rsidRPr="002E218A">
        <w:rPr>
          <w:rFonts w:ascii="Palatino Linotype" w:eastAsia="Palatino Linotype" w:hAnsi="Palatino Linotype" w:cs="Palatino Linotype"/>
          <w:i/>
          <w:color w:val="000000"/>
        </w:rPr>
        <w:t xml:space="preserve"> los derechos humanos. </w:t>
      </w:r>
      <w:r w:rsidRPr="002E218A">
        <w:rPr>
          <w:rFonts w:ascii="Palatino Linotype" w:eastAsia="Palatino Linotype" w:hAnsi="Palatino Linotype" w:cs="Palatino Linotype"/>
          <w:b/>
          <w:i/>
          <w:color w:val="000000"/>
        </w:rPr>
        <w:t>En cuanto al derecho de acceso a la información, la Ley de Transparencia y Acceso a la Información Pública del Estado de México y Municipios prevé establece que e</w:t>
      </w:r>
      <w:r w:rsidRPr="002E218A">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sidRPr="002E218A">
        <w:rPr>
          <w:rFonts w:ascii="Palatino Linotype" w:eastAsia="Palatino Linotype" w:hAnsi="Palatino Linotype" w:cs="Palatino Linotype"/>
          <w:i/>
          <w:color w:val="000000"/>
          <w:vertAlign w:val="superscript"/>
        </w:rPr>
        <w:footnoteReference w:id="1"/>
      </w:r>
      <w:r w:rsidRPr="002E218A">
        <w:rPr>
          <w:rFonts w:ascii="Palatino Linotype" w:eastAsia="Palatino Linotype" w:hAnsi="Palatino Linotype" w:cs="Palatino Linotype"/>
          <w:i/>
          <w:color w:val="000000"/>
        </w:rPr>
        <w:t xml:space="preserve">, </w:t>
      </w:r>
      <w:r w:rsidRPr="002E218A">
        <w:rPr>
          <w:rFonts w:ascii="Palatino Linotype" w:eastAsia="Palatino Linotype" w:hAnsi="Palatino Linotype" w:cs="Palatino Linotype"/>
          <w:color w:val="000000"/>
        </w:rPr>
        <w:t>asimismo establece</w:t>
      </w:r>
      <w:r w:rsidRPr="002E218A">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266634" w:rsidRPr="002E218A" w:rsidRDefault="0026663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sidRPr="002E218A">
        <w:rPr>
          <w:rFonts w:ascii="Palatino Linotype" w:eastAsia="Palatino Linotype" w:hAnsi="Palatino Linotype" w:cs="Palatino Linotype"/>
        </w:rPr>
        <w:t>administran</w:t>
      </w:r>
      <w:r w:rsidRPr="002E218A">
        <w:rPr>
          <w:rFonts w:ascii="Palatino Linotype" w:eastAsia="Palatino Linotype" w:hAnsi="Palatino Linotype" w:cs="Palatino Linotype"/>
          <w:color w:val="000000"/>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266634" w:rsidRPr="002E218A" w:rsidRDefault="0026663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Es así que, su obligación es </w:t>
      </w:r>
      <w:r w:rsidRPr="002E218A">
        <w:rPr>
          <w:rFonts w:ascii="Palatino Linotype" w:eastAsia="Palatino Linotype" w:hAnsi="Palatino Linotype" w:cs="Palatino Linotype"/>
          <w:i/>
          <w:color w:val="000000"/>
        </w:rPr>
        <w:t>realizar, con efectividad, los trámites internos necesarios para la atención de las solicitudes de información</w:t>
      </w:r>
      <w:r w:rsidRPr="002E218A">
        <w:rPr>
          <w:rFonts w:ascii="Palatino Linotype" w:eastAsia="Palatino Linotype" w:hAnsi="Palatino Linotype" w:cs="Palatino Linotype"/>
          <w:color w:val="000000"/>
          <w:vertAlign w:val="superscript"/>
        </w:rPr>
        <w:footnoteReference w:id="2"/>
      </w:r>
      <w:r w:rsidRPr="002E218A">
        <w:rPr>
          <w:rFonts w:ascii="Palatino Linotype" w:eastAsia="Palatino Linotype" w:hAnsi="Palatino Linotype" w:cs="Palatino Linotype"/>
          <w:color w:val="000000"/>
        </w:rPr>
        <w:t>, es decir, deben otorgar respuestas concisas, contundentes y sobre todo que den la certeza de los actos que realizan.</w:t>
      </w:r>
    </w:p>
    <w:p w:rsidR="00266634" w:rsidRPr="002E218A" w:rsidRDefault="0026663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lastRenderedPageBreak/>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 xml:space="preserve">Artículo 50. </w:t>
      </w:r>
      <w:r w:rsidRPr="002E218A">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266634" w:rsidRPr="002E218A" w:rsidRDefault="00266634">
      <w:pPr>
        <w:spacing w:line="360" w:lineRule="auto"/>
        <w:ind w:left="567" w:right="616"/>
        <w:jc w:val="both"/>
        <w:rPr>
          <w:rFonts w:ascii="Palatino Linotype" w:eastAsia="Palatino Linotype" w:hAnsi="Palatino Linotype" w:cs="Palatino Linotype"/>
          <w:i/>
          <w:sz w:val="22"/>
          <w:szCs w:val="22"/>
        </w:rPr>
      </w:pP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 xml:space="preserve">Artículo 53. </w:t>
      </w:r>
      <w:r w:rsidRPr="002E218A">
        <w:rPr>
          <w:rFonts w:ascii="Palatino Linotype" w:eastAsia="Palatino Linotype" w:hAnsi="Palatino Linotype" w:cs="Palatino Linotype"/>
          <w:i/>
          <w:sz w:val="22"/>
          <w:szCs w:val="22"/>
        </w:rPr>
        <w:t>Las Unidades de Transparencia tendrán las siguientes funciones:</w:t>
      </w: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t>(…)</w:t>
      </w: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II.</w:t>
      </w:r>
      <w:r w:rsidRPr="002E218A">
        <w:rPr>
          <w:rFonts w:ascii="Palatino Linotype" w:eastAsia="Palatino Linotype" w:hAnsi="Palatino Linotype" w:cs="Palatino Linotype"/>
          <w:i/>
          <w:sz w:val="22"/>
          <w:szCs w:val="22"/>
        </w:rPr>
        <w:t xml:space="preserve"> Recibir, tramitar y dar respuesta a las solicitudes de acceso a la información;</w:t>
      </w: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t>(…)</w:t>
      </w: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IV.</w:t>
      </w:r>
      <w:r w:rsidRPr="002E218A">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V.</w:t>
      </w:r>
      <w:r w:rsidRPr="002E218A">
        <w:rPr>
          <w:rFonts w:ascii="Palatino Linotype" w:eastAsia="Palatino Linotype" w:hAnsi="Palatino Linotype" w:cs="Palatino Linotype"/>
          <w:i/>
          <w:sz w:val="22"/>
          <w:szCs w:val="22"/>
        </w:rPr>
        <w:t xml:space="preserve"> Entregar, en su caso, a los particulares la información solicitada;</w:t>
      </w: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t>(…)</w:t>
      </w:r>
    </w:p>
    <w:p w:rsidR="00266634" w:rsidRPr="002E218A" w:rsidRDefault="00266634">
      <w:pPr>
        <w:spacing w:line="360" w:lineRule="auto"/>
        <w:ind w:left="567" w:right="616"/>
        <w:jc w:val="both"/>
        <w:rPr>
          <w:rFonts w:ascii="Palatino Linotype" w:eastAsia="Palatino Linotype" w:hAnsi="Palatino Linotype" w:cs="Palatino Linotype"/>
          <w:i/>
          <w:sz w:val="22"/>
          <w:szCs w:val="22"/>
        </w:rPr>
      </w:pP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 xml:space="preserve">Artículo 58. </w:t>
      </w:r>
      <w:r w:rsidRPr="002E218A">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266634" w:rsidRPr="002E218A" w:rsidRDefault="00266634">
      <w:pPr>
        <w:spacing w:line="360" w:lineRule="auto"/>
        <w:ind w:left="567" w:right="616"/>
        <w:jc w:val="both"/>
        <w:rPr>
          <w:rFonts w:ascii="Palatino Linotype" w:eastAsia="Palatino Linotype" w:hAnsi="Palatino Linotype" w:cs="Palatino Linotype"/>
          <w:i/>
          <w:sz w:val="22"/>
          <w:szCs w:val="22"/>
        </w:rPr>
      </w:pP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 xml:space="preserve">Artículo 59. </w:t>
      </w:r>
      <w:r w:rsidRPr="002E218A">
        <w:rPr>
          <w:rFonts w:ascii="Palatino Linotype" w:eastAsia="Palatino Linotype" w:hAnsi="Palatino Linotype" w:cs="Palatino Linotype"/>
          <w:i/>
          <w:sz w:val="22"/>
          <w:szCs w:val="22"/>
        </w:rPr>
        <w:t>Los servidores públicos habilitados tendrán las funciones siguientes:</w:t>
      </w:r>
    </w:p>
    <w:p w:rsidR="00266634" w:rsidRPr="002E218A" w:rsidRDefault="00266634">
      <w:pPr>
        <w:spacing w:line="360" w:lineRule="auto"/>
        <w:ind w:left="567" w:right="616"/>
        <w:jc w:val="both"/>
        <w:rPr>
          <w:rFonts w:ascii="Palatino Linotype" w:eastAsia="Palatino Linotype" w:hAnsi="Palatino Linotype" w:cs="Palatino Linotype"/>
          <w:i/>
          <w:sz w:val="22"/>
          <w:szCs w:val="22"/>
        </w:rPr>
      </w:pP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I.</w:t>
      </w:r>
      <w:r w:rsidRPr="002E218A">
        <w:rPr>
          <w:rFonts w:ascii="Palatino Linotype" w:eastAsia="Palatino Linotype" w:hAnsi="Palatino Linotype" w:cs="Palatino Linotype"/>
          <w:i/>
          <w:sz w:val="22"/>
          <w:szCs w:val="22"/>
        </w:rPr>
        <w:t xml:space="preserve"> Localizar la información que le solicite la Unidad de Transparencia;</w:t>
      </w: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II.</w:t>
      </w:r>
      <w:r w:rsidRPr="002E218A">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i/>
          <w:sz w:val="22"/>
          <w:szCs w:val="22"/>
        </w:rPr>
        <w:t>(...)</w:t>
      </w:r>
    </w:p>
    <w:p w:rsidR="00266634" w:rsidRPr="002E218A" w:rsidRDefault="00266634">
      <w:pPr>
        <w:spacing w:line="360" w:lineRule="auto"/>
        <w:ind w:left="567" w:right="616"/>
        <w:jc w:val="both"/>
        <w:rPr>
          <w:rFonts w:ascii="Palatino Linotype" w:eastAsia="Palatino Linotype" w:hAnsi="Palatino Linotype" w:cs="Palatino Linotype"/>
          <w:i/>
          <w:sz w:val="22"/>
          <w:szCs w:val="22"/>
        </w:rPr>
      </w:pPr>
    </w:p>
    <w:p w:rsidR="00266634" w:rsidRPr="002E218A" w:rsidRDefault="001662BC">
      <w:pPr>
        <w:spacing w:line="360" w:lineRule="auto"/>
        <w:ind w:left="567" w:right="616"/>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 xml:space="preserve">Artículo 162. </w:t>
      </w:r>
      <w:r w:rsidRPr="002E218A">
        <w:rPr>
          <w:rFonts w:ascii="Palatino Linotype" w:eastAsia="Palatino Linotype" w:hAnsi="Palatino Linotype" w:cs="Palatino Linotype"/>
          <w:i/>
          <w:sz w:val="22"/>
          <w:szCs w:val="22"/>
        </w:rPr>
        <w:t xml:space="preserve">Las unidades de transparencia deberán garantizar que las solicitudes se turnen a todas las Áreas competentes que cuenten con la información o deban tenerla de acuerdo a sus </w:t>
      </w:r>
      <w:r w:rsidRPr="002E218A">
        <w:rPr>
          <w:rFonts w:ascii="Palatino Linotype" w:eastAsia="Palatino Linotype" w:hAnsi="Palatino Linotype" w:cs="Palatino Linotype"/>
          <w:i/>
          <w:sz w:val="22"/>
          <w:szCs w:val="22"/>
        </w:rPr>
        <w:lastRenderedPageBreak/>
        <w:t>facultades, competencias y funciones, con el objeto de que realicen una búsqueda exhaustiva y razonable de la información solicitada.</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w:t>
      </w:r>
      <w:r w:rsidRPr="002E218A">
        <w:rPr>
          <w:rFonts w:ascii="Palatino Linotype" w:eastAsia="Palatino Linotype" w:hAnsi="Palatino Linotype" w:cs="Palatino Linotype"/>
        </w:rPr>
        <w:t>auxiliarán</w:t>
      </w:r>
      <w:r w:rsidRPr="002E218A">
        <w:rPr>
          <w:rFonts w:ascii="Palatino Linotype" w:eastAsia="Palatino Linotype" w:hAnsi="Palatino Linotype" w:cs="Palatino Linotype"/>
          <w:color w:val="000000"/>
        </w:rPr>
        <w:t xml:space="preserve">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266634" w:rsidRPr="002E218A" w:rsidRDefault="0026663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266634" w:rsidRPr="002E218A" w:rsidRDefault="00266634">
      <w:pPr>
        <w:pBdr>
          <w:top w:val="nil"/>
          <w:left w:val="nil"/>
          <w:bottom w:val="nil"/>
          <w:right w:val="nil"/>
          <w:between w:val="nil"/>
        </w:pBdr>
        <w:spacing w:line="360" w:lineRule="auto"/>
        <w:ind w:left="644"/>
        <w:jc w:val="both"/>
        <w:rPr>
          <w:rFonts w:ascii="Palatino Linotype" w:eastAsia="Palatino Linotype" w:hAnsi="Palatino Linotype" w:cs="Palatino Linotype"/>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En el caso que se resuelve, quien da respuesta a la solicitud de información, es la Servidora Pública Habilitada de la Unidad de Información, Planeación, Programación y Evaluación, quien de acuerdo al Manual General de Organización de la Secretaría de Finanzas, tiene entre sus funciones elaborar estudios investigaciones y análisis económicos y financieros que </w:t>
      </w:r>
      <w:r w:rsidRPr="002E218A">
        <w:rPr>
          <w:rFonts w:ascii="Palatino Linotype" w:eastAsia="Palatino Linotype" w:hAnsi="Palatino Linotype" w:cs="Palatino Linotype"/>
        </w:rPr>
        <w:t>inciden</w:t>
      </w:r>
      <w:r w:rsidRPr="002E218A">
        <w:rPr>
          <w:rFonts w:ascii="Palatino Linotype" w:eastAsia="Palatino Linotype" w:hAnsi="Palatino Linotype" w:cs="Palatino Linotype"/>
          <w:color w:val="000000"/>
        </w:rPr>
        <w:t xml:space="preserve"> en los programas de la Secretaría y sustenten la adecuada toma de </w:t>
      </w:r>
      <w:r w:rsidRPr="002E218A">
        <w:rPr>
          <w:rFonts w:ascii="Palatino Linotype" w:eastAsia="Palatino Linotype" w:hAnsi="Palatino Linotype" w:cs="Palatino Linotype"/>
          <w:color w:val="000000"/>
        </w:rPr>
        <w:lastRenderedPageBreak/>
        <w:t xml:space="preserve">decisiones de su titular, tal y como se aprecia, el área a la cual se </w:t>
      </w:r>
      <w:r w:rsidRPr="002E218A">
        <w:rPr>
          <w:rFonts w:ascii="Palatino Linotype" w:eastAsia="Palatino Linotype" w:hAnsi="Palatino Linotype" w:cs="Palatino Linotype"/>
        </w:rPr>
        <w:t>turna</w:t>
      </w:r>
      <w:r w:rsidRPr="002E218A">
        <w:rPr>
          <w:rFonts w:ascii="Palatino Linotype" w:eastAsia="Palatino Linotype" w:hAnsi="Palatino Linotype" w:cs="Palatino Linotype"/>
          <w:color w:val="000000"/>
        </w:rPr>
        <w:t xml:space="preserve"> la solicitud cuenta con atribuciones para generar, poseer y administrar la información solicitada.</w:t>
      </w:r>
    </w:p>
    <w:p w:rsidR="00266634" w:rsidRPr="002E218A" w:rsidRDefault="0026663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Por otro lado, es necesario referir que la Ley en la materia en términos generales, establece que como uno de los objetivos con el que cuenta es el de garantizar a toda persona el derecho de acceso a la información pública, mediante los procedimientos establecidos de forma </w:t>
      </w:r>
      <w:r w:rsidRPr="002E218A">
        <w:rPr>
          <w:rFonts w:ascii="Palatino Linotype" w:eastAsia="Palatino Linotype" w:hAnsi="Palatino Linotype" w:cs="Palatino Linotype"/>
          <w:b/>
          <w:color w:val="000000"/>
        </w:rPr>
        <w:t>sencilla</w:t>
      </w:r>
      <w:r w:rsidRPr="002E218A">
        <w:rPr>
          <w:rFonts w:ascii="Palatino Linotype" w:eastAsia="Palatino Linotype" w:hAnsi="Palatino Linotype" w:cs="Palatino Linotype"/>
          <w:color w:val="000000"/>
        </w:rPr>
        <w:t xml:space="preserve">, expeditos, </w:t>
      </w:r>
      <w:r w:rsidRPr="002E218A">
        <w:rPr>
          <w:rFonts w:ascii="Palatino Linotype" w:eastAsia="Palatino Linotype" w:hAnsi="Palatino Linotype" w:cs="Palatino Linotype"/>
          <w:b/>
          <w:color w:val="000000"/>
        </w:rPr>
        <w:t>oportunos</w:t>
      </w:r>
      <w:r w:rsidRPr="002E218A">
        <w:rPr>
          <w:rFonts w:ascii="Palatino Linotype" w:eastAsia="Palatino Linotype" w:hAnsi="Palatino Linotype" w:cs="Palatino Linotype"/>
          <w:color w:val="000000"/>
        </w:rPr>
        <w:t xml:space="preserve"> y gratuitos, y con ello contribuir a la mejora de procedimientos y mecanismos que permitan </w:t>
      </w:r>
      <w:r w:rsidRPr="002E218A">
        <w:rPr>
          <w:rFonts w:ascii="Palatino Linotype" w:eastAsia="Palatino Linotype" w:hAnsi="Palatino Linotype" w:cs="Palatino Linotype"/>
        </w:rPr>
        <w:t>transparentar</w:t>
      </w:r>
      <w:r w:rsidRPr="002E218A">
        <w:rPr>
          <w:rFonts w:ascii="Palatino Linotype" w:eastAsia="Palatino Linotype" w:hAnsi="Palatino Linotype" w:cs="Palatino Linotype"/>
          <w:color w:val="000000"/>
        </w:rPr>
        <w:t xml:space="preserve"> la gestión pública y mejora la toma decisiones, a través de la difusión de la información que obra en poder de los sujeto obligados.</w:t>
      </w:r>
    </w:p>
    <w:p w:rsidR="00266634" w:rsidRPr="002E218A" w:rsidRDefault="00266634">
      <w:pPr>
        <w:spacing w:line="360" w:lineRule="auto"/>
        <w:ind w:right="49"/>
        <w:jc w:val="both"/>
        <w:rPr>
          <w:rFonts w:ascii="Palatino Linotype" w:eastAsia="Palatino Linotype" w:hAnsi="Palatino Linotype" w:cs="Palatino Linotype"/>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w:t>
      </w:r>
      <w:r w:rsidRPr="002E218A">
        <w:rPr>
          <w:rFonts w:ascii="Palatino Linotype" w:eastAsia="Palatino Linotype" w:hAnsi="Palatino Linotype" w:cs="Palatino Linotype"/>
        </w:rPr>
        <w:t>que los</w:t>
      </w:r>
      <w:r w:rsidRPr="002E218A">
        <w:rPr>
          <w:rFonts w:ascii="Palatino Linotype" w:eastAsia="Palatino Linotype" w:hAnsi="Palatino Linotype" w:cs="Palatino Linotype"/>
          <w:color w:val="000000"/>
        </w:rPr>
        <w:t xml:space="preserve"> Sujetos Obligados proporcionen la información por el medio solicitado; no obstante, la Ley de Transparencia y Acceso</w:t>
      </w:r>
      <w:r w:rsidRPr="002E218A">
        <w:rPr>
          <w:rFonts w:ascii="Palatino Linotype" w:eastAsia="Palatino Linotype" w:hAnsi="Palatino Linotype" w:cs="Palatino Linotype"/>
          <w:b/>
          <w:color w:val="000000"/>
        </w:rPr>
        <w:t xml:space="preserve"> </w:t>
      </w:r>
      <w:r w:rsidRPr="002E218A">
        <w:rPr>
          <w:rFonts w:ascii="Palatino Linotype" w:eastAsia="Palatino Linotype" w:hAnsi="Palatino Linotype" w:cs="Palatino Linotype"/>
          <w:color w:val="000000"/>
        </w:rPr>
        <w:t>a la Información Pública del Estado de México y Municipios establece dos puntos importantes que impactan sobre la modalidad de entrega de la información.</w:t>
      </w:r>
    </w:p>
    <w:p w:rsidR="00266634" w:rsidRPr="002E218A" w:rsidRDefault="0026663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266634" w:rsidRPr="002E218A" w:rsidRDefault="001662BC">
      <w:pPr>
        <w:numPr>
          <w:ilvl w:val="0"/>
          <w:numId w:val="2"/>
        </w:numPr>
        <w:pBdr>
          <w:top w:val="nil"/>
          <w:left w:val="nil"/>
          <w:bottom w:val="nil"/>
          <w:right w:val="nil"/>
          <w:between w:val="nil"/>
        </w:pBdr>
        <w:tabs>
          <w:tab w:val="left" w:pos="851"/>
        </w:tabs>
        <w:spacing w:line="360" w:lineRule="auto"/>
        <w:ind w:left="0" w:right="49" w:firstLine="0"/>
        <w:jc w:val="both"/>
        <w:rPr>
          <w:color w:val="000000"/>
        </w:rPr>
      </w:pPr>
      <w:r w:rsidRPr="002E218A">
        <w:rPr>
          <w:rFonts w:ascii="Palatino Linotype" w:eastAsia="Palatino Linotype" w:hAnsi="Palatino Linotype" w:cs="Palatino Linotype"/>
          <w:color w:val="000000"/>
        </w:rPr>
        <w:t xml:space="preserve">El primer punto a analizar es que la ley en materia contempla </w:t>
      </w:r>
      <w:r w:rsidRPr="002E218A">
        <w:rPr>
          <w:rFonts w:ascii="Palatino Linotype" w:eastAsia="Palatino Linotype" w:hAnsi="Palatino Linotype" w:cs="Palatino Linotype"/>
          <w:b/>
          <w:color w:val="000000"/>
        </w:rPr>
        <w:t>información pública de oficio</w:t>
      </w:r>
      <w:r w:rsidRPr="002E218A">
        <w:rPr>
          <w:rFonts w:ascii="Palatino Linotype" w:eastAsia="Palatino Linotype" w:hAnsi="Palatino Linotype" w:cs="Palatino Linotype"/>
          <w:color w:val="000000"/>
        </w:rPr>
        <w:t xml:space="preserve"> que los Sujetos Obligados deben poner a disposición del público de manera permanente y actualizada de forma sencilla, precisa y entendible, en los respectivos medios electrónicos la información pública que generen, administren o posean.</w:t>
      </w:r>
    </w:p>
    <w:p w:rsidR="00266634" w:rsidRPr="002E218A" w:rsidRDefault="0026663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266634" w:rsidRPr="002E218A" w:rsidRDefault="001662BC">
      <w:pPr>
        <w:numPr>
          <w:ilvl w:val="0"/>
          <w:numId w:val="2"/>
        </w:numPr>
        <w:pBdr>
          <w:top w:val="nil"/>
          <w:left w:val="nil"/>
          <w:bottom w:val="nil"/>
          <w:right w:val="nil"/>
          <w:between w:val="nil"/>
        </w:pBdr>
        <w:tabs>
          <w:tab w:val="left" w:pos="851"/>
        </w:tabs>
        <w:spacing w:line="360" w:lineRule="auto"/>
        <w:ind w:left="0" w:right="49" w:firstLine="0"/>
        <w:jc w:val="both"/>
        <w:rPr>
          <w:color w:val="000000"/>
        </w:rPr>
      </w:pPr>
      <w:r w:rsidRPr="002E218A">
        <w:rPr>
          <w:rFonts w:ascii="Palatino Linotype" w:eastAsia="Palatino Linotype" w:hAnsi="Palatino Linotype" w:cs="Palatino Linotype"/>
          <w:color w:val="000000"/>
        </w:rPr>
        <w:lastRenderedPageBreak/>
        <w:t>El segundo punto a analizar y que guarda estricta relación con el punto anterior, se encuentra en el artículo 161 de la citada Ley de Transparencia Local:</w:t>
      </w:r>
    </w:p>
    <w:p w:rsidR="00266634" w:rsidRPr="002E218A" w:rsidRDefault="001662BC">
      <w:pPr>
        <w:spacing w:line="360" w:lineRule="auto"/>
        <w:ind w:left="567" w:right="567"/>
        <w:jc w:val="both"/>
        <w:rPr>
          <w:rFonts w:ascii="Palatino Linotype" w:eastAsia="Palatino Linotype" w:hAnsi="Palatino Linotype" w:cs="Palatino Linotype"/>
          <w:i/>
          <w:sz w:val="22"/>
          <w:szCs w:val="22"/>
        </w:rPr>
      </w:pPr>
      <w:r w:rsidRPr="002E218A">
        <w:rPr>
          <w:rFonts w:ascii="Palatino Linotype" w:eastAsia="Palatino Linotype" w:hAnsi="Palatino Linotype" w:cs="Palatino Linotype"/>
          <w:b/>
          <w:i/>
          <w:sz w:val="22"/>
          <w:szCs w:val="22"/>
        </w:rPr>
        <w:t>Artículo 161. Cuando la información requerida por el solicitante ya esté disponible</w:t>
      </w:r>
      <w:r w:rsidRPr="002E218A">
        <w:rPr>
          <w:rFonts w:ascii="Palatino Linotype" w:eastAsia="Palatino Linotype" w:hAnsi="Palatino Linotype" w:cs="Palatino Linotype"/>
          <w:i/>
          <w:sz w:val="22"/>
          <w:szCs w:val="22"/>
        </w:rPr>
        <w:t xml:space="preserve"> al público en medios impresos, tales como libros, compendios, trípticos, registros públicos, </w:t>
      </w:r>
      <w:r w:rsidRPr="002E218A">
        <w:rPr>
          <w:rFonts w:ascii="Palatino Linotype" w:eastAsia="Palatino Linotype" w:hAnsi="Palatino Linotype" w:cs="Palatino Linotype"/>
          <w:b/>
          <w:i/>
          <w:sz w:val="22"/>
          <w:szCs w:val="22"/>
        </w:rPr>
        <w:t xml:space="preserve">en formatos electrónicos disponibles en Internet </w:t>
      </w:r>
      <w:r w:rsidRPr="002E218A">
        <w:rPr>
          <w:rFonts w:ascii="Palatino Linotype" w:eastAsia="Palatino Linotype" w:hAnsi="Palatino Linotype" w:cs="Palatino Linotype"/>
          <w:i/>
          <w:sz w:val="22"/>
          <w:szCs w:val="22"/>
        </w:rPr>
        <w:t xml:space="preserve">o en cualquier otro medio, se le hará saber por el medio requerido por el solicitante la fuente, el lugar y la forma en que puede consultar, reproducir o adquirir dicha información </w:t>
      </w:r>
      <w:r w:rsidRPr="002E218A">
        <w:rPr>
          <w:rFonts w:ascii="Palatino Linotype" w:eastAsia="Palatino Linotype" w:hAnsi="Palatino Linotype" w:cs="Palatino Linotype"/>
          <w:b/>
          <w:i/>
          <w:sz w:val="22"/>
          <w:szCs w:val="22"/>
        </w:rPr>
        <w:t>en un plazo no mayor a cinco días hábiles</w:t>
      </w:r>
      <w:r w:rsidRPr="002E218A">
        <w:rPr>
          <w:rFonts w:ascii="Palatino Linotype" w:eastAsia="Palatino Linotype" w:hAnsi="Palatino Linotype" w:cs="Palatino Linotype"/>
          <w:i/>
          <w:sz w:val="22"/>
          <w:szCs w:val="22"/>
        </w:rPr>
        <w:t xml:space="preserve">. </w:t>
      </w:r>
      <w:r w:rsidRPr="002E218A">
        <w:rPr>
          <w:rFonts w:ascii="Palatino Linotype" w:eastAsia="Palatino Linotype" w:hAnsi="Palatino Linotype" w:cs="Palatino Linotype"/>
          <w:b/>
          <w:i/>
          <w:sz w:val="22"/>
          <w:szCs w:val="22"/>
        </w:rPr>
        <w:t>La fuente deberá ser precisa y concreta y no debe implicar que el solicitante realice una búsqueda en toda la información que se encuentre disponible</w:t>
      </w:r>
      <w:r w:rsidRPr="002E218A">
        <w:rPr>
          <w:rFonts w:ascii="Palatino Linotype" w:eastAsia="Palatino Linotype" w:hAnsi="Palatino Linotype" w:cs="Palatino Linotype"/>
          <w:i/>
          <w:sz w:val="22"/>
          <w:szCs w:val="22"/>
        </w:rPr>
        <w:t>.</w:t>
      </w:r>
    </w:p>
    <w:p w:rsidR="00266634" w:rsidRPr="002E218A" w:rsidRDefault="001662BC">
      <w:pPr>
        <w:numPr>
          <w:ilvl w:val="0"/>
          <w:numId w:val="2"/>
        </w:numPr>
        <w:pBdr>
          <w:top w:val="nil"/>
          <w:left w:val="nil"/>
          <w:bottom w:val="nil"/>
          <w:right w:val="nil"/>
          <w:between w:val="nil"/>
        </w:pBdr>
        <w:tabs>
          <w:tab w:val="left" w:pos="851"/>
        </w:tabs>
        <w:spacing w:before="240" w:line="360" w:lineRule="auto"/>
        <w:ind w:left="0" w:right="49" w:firstLine="0"/>
        <w:jc w:val="both"/>
        <w:rPr>
          <w:color w:val="000000"/>
        </w:rPr>
      </w:pPr>
      <w:r w:rsidRPr="002E218A">
        <w:rPr>
          <w:rFonts w:ascii="Palatino Linotype" w:eastAsia="Palatino Linotype" w:hAnsi="Palatino Linotype" w:cs="Palatino Linotype"/>
          <w:color w:val="000000"/>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266634" w:rsidRPr="002E218A" w:rsidRDefault="00266634">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rPr>
      </w:pPr>
    </w:p>
    <w:p w:rsidR="00266634" w:rsidRPr="002E218A" w:rsidRDefault="001662BC">
      <w:pPr>
        <w:numPr>
          <w:ilvl w:val="0"/>
          <w:numId w:val="2"/>
        </w:numPr>
        <w:pBdr>
          <w:top w:val="nil"/>
          <w:left w:val="nil"/>
          <w:bottom w:val="nil"/>
          <w:right w:val="nil"/>
          <w:between w:val="nil"/>
        </w:pBdr>
        <w:tabs>
          <w:tab w:val="left" w:pos="851"/>
        </w:tabs>
        <w:spacing w:line="360" w:lineRule="auto"/>
        <w:ind w:left="0" w:right="49" w:firstLine="0"/>
        <w:jc w:val="both"/>
        <w:rPr>
          <w:color w:val="000000"/>
        </w:rPr>
      </w:pPr>
      <w:r w:rsidRPr="002E218A">
        <w:rPr>
          <w:rFonts w:ascii="Palatino Linotype" w:eastAsia="Palatino Linotype" w:hAnsi="Palatino Linotype" w:cs="Palatino Linotype"/>
          <w:b/>
          <w:color w:val="000000"/>
        </w:rPr>
        <w:t>La orientación</w:t>
      </w:r>
      <w:r w:rsidRPr="002E218A">
        <w:rPr>
          <w:rFonts w:ascii="Palatino Linotype" w:eastAsia="Palatino Linotype" w:hAnsi="Palatino Linotype" w:cs="Palatino Linotype"/>
          <w:color w:val="000000"/>
        </w:rPr>
        <w:t xml:space="preserve"> que realicen los Sujetos Obligados a los sitios electrónicos para la consulta de la información </w:t>
      </w:r>
      <w:r w:rsidRPr="002E218A">
        <w:rPr>
          <w:rFonts w:ascii="Palatino Linotype" w:eastAsia="Palatino Linotype" w:hAnsi="Palatino Linotype" w:cs="Palatino Linotype"/>
          <w:b/>
          <w:color w:val="000000"/>
        </w:rPr>
        <w:t>debe cumplir con las características de tiempo y forma.</w:t>
      </w:r>
      <w:r w:rsidRPr="002E218A">
        <w:rPr>
          <w:rFonts w:ascii="Palatino Linotype" w:eastAsia="Palatino Linotype" w:hAnsi="Palatino Linotype" w:cs="Palatino Linotype"/>
          <w:i/>
          <w:color w:val="000000"/>
        </w:rPr>
        <w:t xml:space="preserve"> </w:t>
      </w:r>
      <w:r w:rsidRPr="002E218A">
        <w:rPr>
          <w:rFonts w:ascii="Palatino Linotype" w:eastAsia="Palatino Linotype" w:hAnsi="Palatino Linotype" w:cs="Palatino Linotype"/>
          <w:color w:val="000000"/>
        </w:rPr>
        <w:t>Ahora bien, la normatividad en materia establece que las direcciones electrónicas deben ser precisas, de tal modo que no implique que el Recurrente deba de realizar una búsqueda dentro de toda la información disponible.</w:t>
      </w:r>
    </w:p>
    <w:p w:rsidR="00266634" w:rsidRPr="002E218A" w:rsidRDefault="00266634">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rsidR="00266634" w:rsidRPr="002E218A" w:rsidRDefault="001662BC">
      <w:pPr>
        <w:numPr>
          <w:ilvl w:val="0"/>
          <w:numId w:val="2"/>
        </w:numPr>
        <w:pBdr>
          <w:top w:val="nil"/>
          <w:left w:val="nil"/>
          <w:bottom w:val="nil"/>
          <w:right w:val="nil"/>
          <w:between w:val="nil"/>
        </w:pBdr>
        <w:tabs>
          <w:tab w:val="left" w:pos="851"/>
        </w:tabs>
        <w:spacing w:line="360" w:lineRule="auto"/>
        <w:ind w:left="0" w:right="49" w:firstLine="0"/>
        <w:jc w:val="both"/>
        <w:rPr>
          <w:color w:val="000000"/>
        </w:rPr>
      </w:pPr>
      <w:r w:rsidRPr="002E218A">
        <w:rPr>
          <w:rFonts w:ascii="Palatino Linotype" w:eastAsia="Palatino Linotype" w:hAnsi="Palatino Linotype" w:cs="Palatino Linotype"/>
          <w:color w:val="000000"/>
        </w:rPr>
        <w:lastRenderedPageBreak/>
        <w:t>El Sujeto Obligado señaló que la información solicitada se encontraba en la siguientes ligas electrónicas que se señalan y que remiten a la información que se inserta a través de imágenes para su estudio:</w:t>
      </w:r>
    </w:p>
    <w:p w:rsidR="00266634" w:rsidRPr="002E218A" w:rsidRDefault="0026663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66634" w:rsidRPr="002E218A" w:rsidRDefault="001662BC">
      <w:pPr>
        <w:numPr>
          <w:ilvl w:val="0"/>
          <w:numId w:val="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rPr>
      </w:pPr>
      <w:r w:rsidRPr="002E218A">
        <w:rPr>
          <w:rFonts w:ascii="Palatino Linotype" w:eastAsia="Palatino Linotype" w:hAnsi="Palatino Linotype" w:cs="Palatino Linotype"/>
          <w:color w:val="000000"/>
        </w:rPr>
        <w:t xml:space="preserve">Cuenta Pública Ciudadana y Presupuesto Ciudadano: </w:t>
      </w:r>
      <w:hyperlink r:id="rId16">
        <w:r w:rsidRPr="002E218A">
          <w:rPr>
            <w:rFonts w:ascii="Palatino Linotype" w:eastAsia="Palatino Linotype" w:hAnsi="Palatino Linotype" w:cs="Palatino Linotype"/>
            <w:color w:val="0563C1"/>
            <w:u w:val="single"/>
          </w:rPr>
          <w:t>https://transparenciafiscal.edomex.gob.mx/pc</w:t>
        </w:r>
      </w:hyperlink>
      <w:r w:rsidRPr="002E218A">
        <w:rPr>
          <w:rFonts w:ascii="Palatino Linotype" w:eastAsia="Palatino Linotype" w:hAnsi="Palatino Linotype" w:cs="Palatino Linotype"/>
          <w:color w:val="000000"/>
          <w:u w:val="single"/>
        </w:rPr>
        <w:t xml:space="preserve"> </w:t>
      </w:r>
    </w:p>
    <w:p w:rsidR="00266634" w:rsidRPr="002E218A" w:rsidRDefault="00266634">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rPr>
      </w:pPr>
    </w:p>
    <w:p w:rsidR="00266634" w:rsidRPr="002E218A" w:rsidRDefault="001662BC">
      <w:pPr>
        <w:pBdr>
          <w:top w:val="nil"/>
          <w:left w:val="nil"/>
          <w:bottom w:val="nil"/>
          <w:right w:val="nil"/>
          <w:between w:val="nil"/>
        </w:pBdr>
        <w:spacing w:line="360" w:lineRule="auto"/>
        <w:ind w:left="851" w:right="822"/>
        <w:jc w:val="center"/>
        <w:rPr>
          <w:rFonts w:ascii="Palatino Linotype" w:eastAsia="Palatino Linotype" w:hAnsi="Palatino Linotype" w:cs="Palatino Linotype"/>
          <w:color w:val="000000"/>
        </w:rPr>
      </w:pPr>
      <w:r w:rsidRPr="002E218A">
        <w:rPr>
          <w:rFonts w:ascii="Palatino Linotype" w:eastAsia="Palatino Linotype" w:hAnsi="Palatino Linotype" w:cs="Palatino Linotype"/>
          <w:noProof/>
          <w:color w:val="000000"/>
        </w:rPr>
        <w:drawing>
          <wp:inline distT="0" distB="0" distL="0" distR="0">
            <wp:extent cx="4486261" cy="4536858"/>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4486261" cy="4536858"/>
                    </a:xfrm>
                    <a:prstGeom prst="rect">
                      <a:avLst/>
                    </a:prstGeom>
                    <a:ln/>
                  </pic:spPr>
                </pic:pic>
              </a:graphicData>
            </a:graphic>
          </wp:inline>
        </w:drawing>
      </w:r>
    </w:p>
    <w:p w:rsidR="00266634" w:rsidRPr="002E218A" w:rsidRDefault="001662BC">
      <w:pPr>
        <w:pBdr>
          <w:top w:val="nil"/>
          <w:left w:val="nil"/>
          <w:bottom w:val="nil"/>
          <w:right w:val="nil"/>
          <w:between w:val="nil"/>
        </w:pBdr>
        <w:spacing w:line="360" w:lineRule="auto"/>
        <w:ind w:left="851" w:right="822"/>
        <w:jc w:val="center"/>
        <w:rPr>
          <w:rFonts w:ascii="Palatino Linotype" w:eastAsia="Palatino Linotype" w:hAnsi="Palatino Linotype" w:cs="Palatino Linotype"/>
          <w:color w:val="000000"/>
        </w:rPr>
      </w:pPr>
      <w:r w:rsidRPr="002E218A">
        <w:rPr>
          <w:rFonts w:ascii="Palatino Linotype" w:eastAsia="Palatino Linotype" w:hAnsi="Palatino Linotype" w:cs="Palatino Linotype"/>
          <w:noProof/>
          <w:color w:val="000000"/>
        </w:rPr>
        <w:lastRenderedPageBreak/>
        <w:drawing>
          <wp:inline distT="0" distB="0" distL="0" distR="0">
            <wp:extent cx="4073818" cy="2982369"/>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4073818" cy="2982369"/>
                    </a:xfrm>
                    <a:prstGeom prst="rect">
                      <a:avLst/>
                    </a:prstGeom>
                    <a:ln/>
                  </pic:spPr>
                </pic:pic>
              </a:graphicData>
            </a:graphic>
          </wp:inline>
        </w:drawing>
      </w:r>
    </w:p>
    <w:p w:rsidR="00266634" w:rsidRPr="002E218A" w:rsidRDefault="001662BC">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rPr>
      </w:pPr>
      <w:r w:rsidRPr="002E218A">
        <w:rPr>
          <w:rFonts w:ascii="Palatino Linotype" w:eastAsia="Palatino Linotype" w:hAnsi="Palatino Linotype" w:cs="Palatino Linotype"/>
          <w:noProof/>
          <w:color w:val="000000"/>
        </w:rPr>
        <w:drawing>
          <wp:inline distT="0" distB="0" distL="0" distR="0">
            <wp:extent cx="2210108" cy="259116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210108" cy="2591162"/>
                    </a:xfrm>
                    <a:prstGeom prst="rect">
                      <a:avLst/>
                    </a:prstGeom>
                    <a:ln/>
                  </pic:spPr>
                </pic:pic>
              </a:graphicData>
            </a:graphic>
          </wp:inline>
        </w:drawing>
      </w:r>
    </w:p>
    <w:p w:rsidR="00266634" w:rsidRPr="002E218A" w:rsidRDefault="00266634">
      <w:pPr>
        <w:spacing w:line="360" w:lineRule="auto"/>
        <w:ind w:right="822"/>
        <w:jc w:val="both"/>
        <w:rPr>
          <w:rFonts w:ascii="Palatino Linotype" w:eastAsia="Palatino Linotype" w:hAnsi="Palatino Linotype" w:cs="Palatino Linotype"/>
          <w:color w:val="000000"/>
        </w:rPr>
      </w:pPr>
    </w:p>
    <w:p w:rsidR="00C2502A" w:rsidRPr="002E218A" w:rsidRDefault="00C2502A">
      <w:pPr>
        <w:spacing w:line="360" w:lineRule="auto"/>
        <w:ind w:right="822"/>
        <w:jc w:val="both"/>
        <w:rPr>
          <w:rFonts w:ascii="Palatino Linotype" w:eastAsia="Palatino Linotype" w:hAnsi="Palatino Linotype" w:cs="Palatino Linotype"/>
          <w:color w:val="000000"/>
        </w:rPr>
      </w:pPr>
    </w:p>
    <w:p w:rsidR="00C2502A" w:rsidRPr="002E218A" w:rsidRDefault="00C2502A">
      <w:pPr>
        <w:spacing w:line="360" w:lineRule="auto"/>
        <w:ind w:right="822"/>
        <w:jc w:val="both"/>
        <w:rPr>
          <w:rFonts w:ascii="Palatino Linotype" w:eastAsia="Palatino Linotype" w:hAnsi="Palatino Linotype" w:cs="Palatino Linotype"/>
          <w:color w:val="000000"/>
        </w:rPr>
      </w:pPr>
    </w:p>
    <w:p w:rsidR="00C2502A" w:rsidRPr="002E218A" w:rsidRDefault="00C2502A">
      <w:pPr>
        <w:spacing w:line="360" w:lineRule="auto"/>
        <w:ind w:right="822"/>
        <w:jc w:val="both"/>
        <w:rPr>
          <w:rFonts w:ascii="Palatino Linotype" w:eastAsia="Palatino Linotype" w:hAnsi="Palatino Linotype" w:cs="Palatino Linotype"/>
          <w:color w:val="000000"/>
        </w:rPr>
      </w:pPr>
    </w:p>
    <w:p w:rsidR="00C2502A" w:rsidRPr="002E218A" w:rsidRDefault="00C2502A">
      <w:pPr>
        <w:spacing w:line="360" w:lineRule="auto"/>
        <w:ind w:right="822"/>
        <w:jc w:val="both"/>
        <w:rPr>
          <w:rFonts w:ascii="Palatino Linotype" w:eastAsia="Palatino Linotype" w:hAnsi="Palatino Linotype" w:cs="Palatino Linotype"/>
          <w:color w:val="000000"/>
        </w:rPr>
      </w:pPr>
    </w:p>
    <w:p w:rsidR="00266634" w:rsidRPr="002E218A" w:rsidRDefault="001662BC" w:rsidP="00C2502A">
      <w:pPr>
        <w:numPr>
          <w:ilvl w:val="0"/>
          <w:numId w:val="5"/>
        </w:numPr>
        <w:pBdr>
          <w:top w:val="nil"/>
          <w:left w:val="nil"/>
          <w:bottom w:val="nil"/>
          <w:right w:val="nil"/>
          <w:between w:val="nil"/>
        </w:pBdr>
        <w:spacing w:line="360" w:lineRule="auto"/>
        <w:ind w:left="851" w:right="822" w:firstLine="0"/>
        <w:rPr>
          <w:rFonts w:ascii="Palatino Linotype" w:eastAsia="Palatino Linotype" w:hAnsi="Palatino Linotype" w:cs="Palatino Linotype"/>
          <w:color w:val="000000"/>
        </w:rPr>
      </w:pPr>
      <w:r w:rsidRPr="002E218A">
        <w:rPr>
          <w:rFonts w:ascii="Palatino Linotype" w:eastAsia="Palatino Linotype" w:hAnsi="Palatino Linotype" w:cs="Palatino Linotype"/>
          <w:color w:val="000000"/>
        </w:rPr>
        <w:lastRenderedPageBreak/>
        <w:t xml:space="preserve">Evolución Reciente de la Economía: </w:t>
      </w:r>
      <w:hyperlink r:id="rId20">
        <w:r w:rsidRPr="002E218A">
          <w:rPr>
            <w:rFonts w:ascii="Palatino Linotype" w:eastAsia="Palatino Linotype" w:hAnsi="Palatino Linotype" w:cs="Palatino Linotype"/>
            <w:color w:val="0563C1"/>
            <w:u w:val="single"/>
          </w:rPr>
          <w:t>https://transparenciafiscal.edomex.gob.mx/evol-economia-2024</w:t>
        </w:r>
      </w:hyperlink>
      <w:r w:rsidRPr="002E218A">
        <w:rPr>
          <w:rFonts w:ascii="Palatino Linotype" w:eastAsia="Palatino Linotype" w:hAnsi="Palatino Linotype" w:cs="Palatino Linotype"/>
          <w:color w:val="000000"/>
          <w:u w:val="single"/>
        </w:rPr>
        <w:t xml:space="preserve"> </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spacing w:line="360" w:lineRule="auto"/>
        <w:jc w:val="center"/>
        <w:rPr>
          <w:rFonts w:ascii="Palatino Linotype" w:eastAsia="Palatino Linotype" w:hAnsi="Palatino Linotype" w:cs="Palatino Linotype"/>
        </w:rPr>
      </w:pPr>
      <w:r w:rsidRPr="002E218A">
        <w:rPr>
          <w:rFonts w:ascii="Palatino Linotype" w:eastAsia="Palatino Linotype" w:hAnsi="Palatino Linotype" w:cs="Palatino Linotype"/>
          <w:noProof/>
        </w:rPr>
        <w:drawing>
          <wp:inline distT="0" distB="0" distL="0" distR="0">
            <wp:extent cx="4799364" cy="3770641"/>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4799364" cy="3770641"/>
                    </a:xfrm>
                    <a:prstGeom prst="rect">
                      <a:avLst/>
                    </a:prstGeom>
                    <a:ln/>
                  </pic:spPr>
                </pic:pic>
              </a:graphicData>
            </a:graphic>
          </wp:inline>
        </w:drawing>
      </w:r>
    </w:p>
    <w:p w:rsidR="00266634" w:rsidRPr="002E218A" w:rsidRDefault="00266634">
      <w:pPr>
        <w:spacing w:line="360" w:lineRule="auto"/>
        <w:jc w:val="center"/>
        <w:rPr>
          <w:rFonts w:ascii="Palatino Linotype" w:eastAsia="Palatino Linotype" w:hAnsi="Palatino Linotype" w:cs="Palatino Linotype"/>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Cabe señalar que las ligas electrónicas remiten de forma directa a las imágenes se insertaron, aunado a ello, se puede ingresar a cada de los archivos que se encuentran en la página, en ese sentido, se concluye que con la respuesta emitida por el Sujeto Obligado se puede dar por atendida la solicitud de información del particular, asimismo, es de señalar que, éste Órgano Garante no está facultado para pronunciarse sobre la veracidad de la información que los Sujetos Obligados ponen a disposición de los solicitantes; situación que se aleja de las atribuciones de este Instituto máxime que al momento que ponen a disposición </w:t>
      </w:r>
      <w:r w:rsidRPr="002E218A">
        <w:rPr>
          <w:rFonts w:ascii="Palatino Linotype" w:eastAsia="Palatino Linotype" w:hAnsi="Palatino Linotype" w:cs="Palatino Linotype"/>
          <w:color w:val="000000"/>
        </w:rPr>
        <w:lastRenderedPageBreak/>
        <w:t>ésta, la misma tiene el carácter oficial y se presume veraz, tan es así que la misma queda registrada en el Sistema de Acceso a la Información Mexiquense (SAIMEX).</w:t>
      </w: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Así mismo, la </w:t>
      </w:r>
      <w:r w:rsidRPr="002E218A">
        <w:rPr>
          <w:rFonts w:ascii="Palatino Linotype" w:eastAsia="Palatino Linotype" w:hAnsi="Palatino Linotype" w:cs="Palatino Linotype"/>
          <w:b/>
          <w:color w:val="000000"/>
        </w:rPr>
        <w:t>Ley de Transparencia y Acceso a la Información Pública del Estado de México y Municipios</w:t>
      </w:r>
      <w:r w:rsidRPr="002E218A">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266634" w:rsidRPr="002E218A" w:rsidRDefault="001662B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E218A">
        <w:rPr>
          <w:rFonts w:ascii="Palatino Linotype" w:eastAsia="Palatino Linotype" w:hAnsi="Palatino Linotype" w:cs="Palatino Linotype"/>
          <w:i/>
          <w:color w:val="000000"/>
          <w:sz w:val="22"/>
          <w:szCs w:val="22"/>
        </w:rPr>
        <w:t xml:space="preserve">“Artículo 4.- </w:t>
      </w:r>
    </w:p>
    <w:p w:rsidR="00266634" w:rsidRPr="002E218A" w:rsidRDefault="001662BC">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2E218A">
        <w:rPr>
          <w:rFonts w:ascii="Palatino Linotype" w:eastAsia="Palatino Linotype" w:hAnsi="Palatino Linotype" w:cs="Palatino Linotype"/>
          <w:i/>
          <w:color w:val="000000"/>
          <w:sz w:val="22"/>
          <w:szCs w:val="22"/>
        </w:rPr>
        <w:t>…</w:t>
      </w:r>
    </w:p>
    <w:p w:rsidR="00266634" w:rsidRPr="002E218A" w:rsidRDefault="001662BC">
      <w:pPr>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 w:val="22"/>
          <w:szCs w:val="22"/>
        </w:rPr>
      </w:pPr>
      <w:r w:rsidRPr="002E218A">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266634" w:rsidRPr="002E218A" w:rsidRDefault="00266634">
      <w:pPr>
        <w:pBdr>
          <w:top w:val="nil"/>
          <w:left w:val="nil"/>
          <w:bottom w:val="nil"/>
          <w:right w:val="nil"/>
          <w:between w:val="nil"/>
        </w:pBdr>
        <w:tabs>
          <w:tab w:val="left" w:pos="709"/>
        </w:tabs>
        <w:spacing w:line="360" w:lineRule="auto"/>
        <w:ind w:left="644" w:right="51"/>
        <w:jc w:val="both"/>
        <w:rPr>
          <w:rFonts w:ascii="Palatino Linotype" w:eastAsia="Palatino Linotype" w:hAnsi="Palatino Linotype" w:cs="Palatino Linotype"/>
          <w:color w:val="000000"/>
        </w:rPr>
      </w:pPr>
    </w:p>
    <w:p w:rsidR="00266634" w:rsidRPr="002E218A" w:rsidRDefault="001662BC">
      <w:pPr>
        <w:numPr>
          <w:ilvl w:val="0"/>
          <w:numId w:val="2"/>
        </w:numPr>
        <w:pBdr>
          <w:top w:val="nil"/>
          <w:left w:val="nil"/>
          <w:bottom w:val="nil"/>
          <w:right w:val="nil"/>
          <w:between w:val="nil"/>
        </w:pBdr>
        <w:tabs>
          <w:tab w:val="left" w:pos="709"/>
        </w:tabs>
        <w:spacing w:line="360" w:lineRule="auto"/>
        <w:ind w:left="0" w:right="51" w:firstLine="0"/>
        <w:jc w:val="both"/>
        <w:rPr>
          <w:color w:val="000000"/>
        </w:rPr>
      </w:pPr>
      <w:r w:rsidRPr="002E218A">
        <w:rPr>
          <w:rFonts w:ascii="Palatino Linotype" w:eastAsia="Palatino Linotype" w:hAnsi="Palatino Linotype" w:cs="Palatino Linotype"/>
          <w:color w:val="000000"/>
        </w:rPr>
        <w:t xml:space="preserve">Numerales que compelen al </w:t>
      </w:r>
      <w:r w:rsidRPr="002E218A">
        <w:rPr>
          <w:rFonts w:ascii="Palatino Linotype" w:eastAsia="Palatino Linotype" w:hAnsi="Palatino Linotype" w:cs="Palatino Linotype"/>
          <w:b/>
          <w:color w:val="000000"/>
        </w:rPr>
        <w:t>SUJETO OBLIGADO</w:t>
      </w:r>
      <w:r w:rsidRPr="002E218A">
        <w:rPr>
          <w:rFonts w:ascii="Palatino Linotype" w:eastAsia="Palatino Linotype" w:hAnsi="Palatino Linotype" w:cs="Palatino Linotype"/>
          <w:color w:val="000000"/>
        </w:rPr>
        <w:t xml:space="preserve"> a apegarse en todo momento a los criterios ya expuestos, </w:t>
      </w:r>
      <w:r w:rsidRPr="002E218A">
        <w:rPr>
          <w:rFonts w:ascii="Palatino Linotype" w:eastAsia="Palatino Linotype" w:hAnsi="Palatino Linotype" w:cs="Palatino Linotype"/>
        </w:rPr>
        <w:t>impidiendo</w:t>
      </w:r>
      <w:r w:rsidRPr="002E218A">
        <w:rPr>
          <w:rFonts w:ascii="Palatino Linotype" w:eastAsia="Palatino Linotype" w:hAnsi="Palatino Linotype" w:cs="Palatino Linotype"/>
          <w:color w:val="000000"/>
        </w:rPr>
        <w:t xml:space="preserve"> a este Órgano Colegiado cuestionar la veracidad de la información.</w:t>
      </w:r>
    </w:p>
    <w:p w:rsidR="00266634" w:rsidRPr="002E218A" w:rsidRDefault="00266634">
      <w:pPr>
        <w:pBdr>
          <w:top w:val="nil"/>
          <w:left w:val="nil"/>
          <w:bottom w:val="nil"/>
          <w:right w:val="nil"/>
          <w:between w:val="nil"/>
        </w:pBdr>
        <w:tabs>
          <w:tab w:val="left" w:pos="709"/>
        </w:tabs>
        <w:spacing w:line="360" w:lineRule="auto"/>
        <w:ind w:right="51"/>
        <w:jc w:val="both"/>
        <w:rPr>
          <w:rFonts w:ascii="Palatino Linotype" w:eastAsia="Palatino Linotype" w:hAnsi="Palatino Linotype" w:cs="Palatino Linotype"/>
          <w:color w:val="000000"/>
        </w:rPr>
      </w:pPr>
    </w:p>
    <w:p w:rsidR="00266634" w:rsidRPr="002E218A" w:rsidRDefault="001662BC">
      <w:pPr>
        <w:numPr>
          <w:ilvl w:val="0"/>
          <w:numId w:val="2"/>
        </w:numPr>
        <w:pBdr>
          <w:top w:val="nil"/>
          <w:left w:val="nil"/>
          <w:bottom w:val="nil"/>
          <w:right w:val="nil"/>
          <w:between w:val="nil"/>
        </w:pBdr>
        <w:tabs>
          <w:tab w:val="left" w:pos="709"/>
        </w:tabs>
        <w:spacing w:line="360" w:lineRule="auto"/>
        <w:ind w:left="0" w:right="51" w:firstLine="0"/>
        <w:jc w:val="both"/>
        <w:rPr>
          <w:color w:val="000000"/>
        </w:rPr>
      </w:pPr>
      <w:r w:rsidRPr="002E218A">
        <w:rPr>
          <w:rFonts w:ascii="Palatino Linotype" w:eastAsia="Palatino Linotype" w:hAnsi="Palatino Linotype" w:cs="Palatino Linotype"/>
          <w:color w:val="222222"/>
        </w:rPr>
        <w:t>Finalmente, respecto de las expresiones aludidas por </w:t>
      </w:r>
      <w:r w:rsidRPr="002E218A">
        <w:rPr>
          <w:rFonts w:ascii="Palatino Linotype" w:eastAsia="Palatino Linotype" w:hAnsi="Palatino Linotype" w:cs="Palatino Linotype"/>
          <w:b/>
          <w:color w:val="000000"/>
        </w:rPr>
        <w:t>EL</w:t>
      </w:r>
      <w:r w:rsidRPr="002E218A">
        <w:rPr>
          <w:rFonts w:ascii="Palatino Linotype" w:eastAsia="Palatino Linotype" w:hAnsi="Palatino Linotype" w:cs="Palatino Linotype"/>
          <w:b/>
          <w:color w:val="222222"/>
        </w:rPr>
        <w:t> RECURRENTE</w:t>
      </w:r>
      <w:r w:rsidRPr="002E218A">
        <w:rPr>
          <w:rFonts w:ascii="Palatino Linotype" w:eastAsia="Palatino Linotype" w:hAnsi="Palatino Linotype" w:cs="Palatino Linotype"/>
          <w:color w:val="222222"/>
        </w:rPr>
        <w:t> en las razones o motivos de inconformidad, consistentes en: </w:t>
      </w:r>
      <w:r w:rsidRPr="002E218A">
        <w:rPr>
          <w:rFonts w:ascii="Palatino Linotype" w:eastAsia="Palatino Linotype" w:hAnsi="Palatino Linotype" w:cs="Palatino Linotype"/>
          <w:i/>
          <w:color w:val="222222"/>
        </w:rPr>
        <w:t>“…ES COMPLICE PARA OCULTAR LA INFORMACION O LA OBLIGAN A DAR RESPUESTAS INCOHERENTES, PONIENDO EN TELA DE JUICIO SU CAPACIDAD.” (Sic), </w:t>
      </w:r>
      <w:r w:rsidRPr="002E218A">
        <w:rPr>
          <w:rFonts w:ascii="Palatino Linotype" w:eastAsia="Palatino Linotype" w:hAnsi="Palatino Linotype" w:cs="Palatino Linotype"/>
          <w:color w:val="222222"/>
        </w:rPr>
        <w:t>debe precisarse que se trata de manifestaciones unilaterales subjetivas del </w:t>
      </w:r>
      <w:r w:rsidRPr="002E218A">
        <w:rPr>
          <w:rFonts w:ascii="Palatino Linotype" w:eastAsia="Palatino Linotype" w:hAnsi="Palatino Linotype" w:cs="Palatino Linotype"/>
          <w:b/>
          <w:color w:val="222222"/>
        </w:rPr>
        <w:t>RECURRENTE</w:t>
      </w:r>
      <w:r w:rsidRPr="002E218A">
        <w:rPr>
          <w:rFonts w:ascii="Palatino Linotype" w:eastAsia="Palatino Linotype" w:hAnsi="Palatino Linotype" w:cs="Palatino Linotype"/>
          <w:color w:val="222222"/>
        </w:rPr>
        <w:t xml:space="preserve">, en ejercicio del derecho de libertad de expresión, las cuales resultan inatendibles, ya que este Instituto en términos del artículo 36 de la Ley de Transparencia y Acceso a la Información Pública del Estado de </w:t>
      </w:r>
      <w:r w:rsidRPr="002E218A">
        <w:rPr>
          <w:rFonts w:ascii="Palatino Linotype" w:eastAsia="Palatino Linotype" w:hAnsi="Palatino Linotype" w:cs="Palatino Linotype"/>
          <w:color w:val="222222"/>
        </w:rPr>
        <w:lastRenderedPageBreak/>
        <w:t>México y Municipios y de las demás disposiciones jurídicas aplicables, carece de facultades para pronunciarse sobre las mismas.</w:t>
      </w:r>
    </w:p>
    <w:p w:rsidR="00266634" w:rsidRPr="002E218A" w:rsidRDefault="00266634">
      <w:pPr>
        <w:pBdr>
          <w:top w:val="nil"/>
          <w:left w:val="nil"/>
          <w:bottom w:val="nil"/>
          <w:right w:val="nil"/>
          <w:between w:val="nil"/>
        </w:pBdr>
        <w:spacing w:line="360" w:lineRule="auto"/>
        <w:ind w:left="720"/>
        <w:rPr>
          <w:rFonts w:ascii="Palatino Linotype" w:eastAsia="Palatino Linotype" w:hAnsi="Palatino Linotype" w:cs="Palatino Linotype"/>
          <w:color w:val="222222"/>
        </w:rPr>
      </w:pPr>
    </w:p>
    <w:p w:rsidR="00266634" w:rsidRPr="002E218A" w:rsidRDefault="001662BC">
      <w:pPr>
        <w:numPr>
          <w:ilvl w:val="0"/>
          <w:numId w:val="2"/>
        </w:numPr>
        <w:pBdr>
          <w:top w:val="nil"/>
          <w:left w:val="nil"/>
          <w:bottom w:val="nil"/>
          <w:right w:val="nil"/>
          <w:between w:val="nil"/>
        </w:pBdr>
        <w:tabs>
          <w:tab w:val="left" w:pos="709"/>
        </w:tabs>
        <w:spacing w:line="360" w:lineRule="auto"/>
        <w:ind w:left="0" w:right="51" w:firstLine="0"/>
        <w:jc w:val="both"/>
        <w:rPr>
          <w:color w:val="000000"/>
        </w:rPr>
      </w:pPr>
      <w:r w:rsidRPr="002E218A">
        <w:rPr>
          <w:rFonts w:ascii="Palatino Linotype" w:eastAsia="Palatino Linotype" w:hAnsi="Palatino Linotype" w:cs="Palatino Linotype"/>
          <w:color w:val="222222"/>
        </w:rPr>
        <w:t xml:space="preserve">No obstante lo anterior, este Órgano Garante no es omisa en señalar que, el derecho constitucional del ejercicio de la libertad de expresión, no implica para los particulares el uso de frases y expresiones que sean </w:t>
      </w:r>
      <w:r w:rsidRPr="002E218A">
        <w:rPr>
          <w:rFonts w:ascii="Palatino Linotype" w:eastAsia="Palatino Linotype" w:hAnsi="Palatino Linotype" w:cs="Palatino Linotype"/>
          <w:b/>
          <w:color w:val="222222"/>
        </w:rPr>
        <w:t>ofensivas</w:t>
      </w:r>
      <w:r w:rsidRPr="002E218A">
        <w:rPr>
          <w:rFonts w:ascii="Palatino Linotype" w:eastAsia="Palatino Linotype" w:hAnsi="Palatino Linotype" w:cs="Palatino Linotype"/>
          <w:color w:val="222222"/>
        </w:rPr>
        <w:t>, según el contexto, o bien, </w:t>
      </w:r>
      <w:r w:rsidRPr="002E218A">
        <w:rPr>
          <w:rFonts w:ascii="Palatino Linotype" w:eastAsia="Palatino Linotype" w:hAnsi="Palatino Linotype" w:cs="Palatino Linotype"/>
          <w:b/>
          <w:color w:val="222222"/>
        </w:rPr>
        <w:t>impertinentes para expresar opiniones</w:t>
      </w:r>
      <w:r w:rsidRPr="002E218A">
        <w:rPr>
          <w:rFonts w:ascii="Palatino Linotype" w:eastAsia="Palatino Linotype" w:hAnsi="Palatino Linotype" w:cs="Palatino Linotype"/>
          <w:color w:val="222222"/>
        </w:rPr>
        <w:t> o informaciones, </w:t>
      </w:r>
      <w:r w:rsidRPr="002E218A">
        <w:rPr>
          <w:rFonts w:ascii="Palatino Linotype" w:eastAsia="Palatino Linotype" w:hAnsi="Palatino Linotype" w:cs="Palatino Linotype"/>
          <w:b/>
          <w:color w:val="222222"/>
        </w:rPr>
        <w:t>teniendo relación o no con lo manifestado</w:t>
      </w:r>
      <w:r w:rsidRPr="002E218A">
        <w:rPr>
          <w:rFonts w:ascii="Palatino Linotype" w:eastAsia="Palatino Linotype" w:hAnsi="Palatino Linotype" w:cs="Palatino Linotype"/>
          <w:color w:val="222222"/>
        </w:rPr>
        <w:t>, por lo que, insta a </w:t>
      </w:r>
      <w:r w:rsidRPr="002E218A">
        <w:rPr>
          <w:rFonts w:ascii="Palatino Linotype" w:eastAsia="Palatino Linotype" w:hAnsi="Palatino Linotype" w:cs="Palatino Linotype"/>
          <w:b/>
          <w:color w:val="222222"/>
        </w:rPr>
        <w:t>LA RECURRENTE</w:t>
      </w:r>
      <w:r w:rsidRPr="002E218A">
        <w:rPr>
          <w:rFonts w:ascii="Palatino Linotype" w:eastAsia="Palatino Linotype" w:hAnsi="Palatino Linotype" w:cs="Palatino Linotype"/>
          <w:color w:val="222222"/>
        </w:rPr>
        <w:t> para que se conduzca con respeto en sus expresiones. En apoyo a lo anterior, resulta aplicable por analogía la Jurisprudencia con número de registro 2003302, de la Décima Época, sustentada por la Primera Sala de la Suprema Corte de Justicia de la Nación, visible en la página 537, libro XIX, Tomo 1, de abril de 2013, del Semanario Judicial de la Federación y su Gaceta, la cual es del tenor literal siguiente:</w:t>
      </w:r>
    </w:p>
    <w:p w:rsidR="00266634" w:rsidRPr="002E218A" w:rsidRDefault="001662BC">
      <w:pPr>
        <w:pBdr>
          <w:top w:val="nil"/>
          <w:left w:val="nil"/>
          <w:bottom w:val="nil"/>
          <w:right w:val="nil"/>
          <w:between w:val="nil"/>
        </w:pBdr>
        <w:shd w:val="clear" w:color="auto" w:fill="FFFFFF"/>
        <w:spacing w:line="360" w:lineRule="auto"/>
        <w:ind w:left="644" w:right="709"/>
        <w:jc w:val="both"/>
        <w:rPr>
          <w:rFonts w:ascii="Palatino Linotype" w:eastAsia="Palatino Linotype" w:hAnsi="Palatino Linotype" w:cs="Palatino Linotype"/>
          <w:color w:val="222222"/>
          <w:sz w:val="22"/>
          <w:szCs w:val="22"/>
        </w:rPr>
      </w:pPr>
      <w:r w:rsidRPr="002E218A">
        <w:rPr>
          <w:rFonts w:ascii="Palatino Linotype" w:eastAsia="Palatino Linotype" w:hAnsi="Palatino Linotype" w:cs="Palatino Linotype"/>
          <w:i/>
          <w:color w:val="222222"/>
          <w:sz w:val="22"/>
          <w:szCs w:val="22"/>
        </w:rPr>
        <w:t>“</w:t>
      </w:r>
      <w:r w:rsidRPr="002E218A">
        <w:rPr>
          <w:rFonts w:ascii="Palatino Linotype" w:eastAsia="Palatino Linotype" w:hAnsi="Palatino Linotype" w:cs="Palatino Linotype"/>
          <w:b/>
          <w:i/>
          <w:color w:val="222222"/>
          <w:sz w:val="22"/>
          <w:szCs w:val="22"/>
        </w:rPr>
        <w:t>LIBERTAD DE EXPRESIÓN. </w:t>
      </w:r>
      <w:r w:rsidRPr="002E218A">
        <w:rPr>
          <w:rFonts w:ascii="Palatino Linotype" w:eastAsia="Palatino Linotype" w:hAnsi="Palatino Linotype" w:cs="Palatino Linotype"/>
          <w:b/>
          <w:i/>
          <w:color w:val="222222"/>
          <w:sz w:val="22"/>
          <w:szCs w:val="22"/>
          <w:u w:val="single"/>
        </w:rPr>
        <w:t>LA CONSTITUCIÓN NO RECONOCE EL DERECHO AL INSULTO</w:t>
      </w:r>
      <w:r w:rsidRPr="002E218A">
        <w:rPr>
          <w:rFonts w:ascii="Palatino Linotype" w:eastAsia="Palatino Linotype" w:hAnsi="Palatino Linotype" w:cs="Palatino Linotype"/>
          <w:i/>
          <w:color w:val="222222"/>
          <w:sz w:val="22"/>
          <w:szCs w:val="22"/>
        </w:rPr>
        <w:t>. </w:t>
      </w:r>
      <w:r w:rsidRPr="002E218A">
        <w:rPr>
          <w:rFonts w:ascii="Palatino Linotype" w:eastAsia="Palatino Linotype" w:hAnsi="Palatino Linotype" w:cs="Palatino Linotype"/>
          <w:b/>
          <w:i/>
          <w:color w:val="222222"/>
          <w:sz w:val="22"/>
          <w:szCs w:val="22"/>
          <w:u w:val="single"/>
        </w:rPr>
        <w:t>Si bien es cierto que</w:t>
      </w:r>
      <w:r w:rsidRPr="002E218A">
        <w:rPr>
          <w:rFonts w:ascii="Palatino Linotype" w:eastAsia="Palatino Linotype" w:hAnsi="Palatino Linotype" w:cs="Palatino Linotype"/>
          <w:i/>
          <w:color w:val="222222"/>
          <w:sz w:val="22"/>
          <w:szCs w:val="22"/>
        </w:rPr>
        <w:t> cualquier individuo que participe en un debate público de interés general debe abstenerse de exceder ciertos límites, como el respeto a la reputación y a los derechos de terceros, también lo es que </w:t>
      </w:r>
      <w:r w:rsidRPr="002E218A">
        <w:rPr>
          <w:rFonts w:ascii="Palatino Linotype" w:eastAsia="Palatino Linotype" w:hAnsi="Palatino Linotype" w:cs="Palatino Linotype"/>
          <w:b/>
          <w:i/>
          <w:color w:val="222222"/>
          <w:sz w:val="22"/>
          <w:szCs w:val="22"/>
          <w:u w:val="single"/>
        </w:rPr>
        <w:t>está permitido recurrir a cierta dosis de exageración, incluso de provocación</w:t>
      </w:r>
      <w:r w:rsidRPr="002E218A">
        <w:rPr>
          <w:rFonts w:ascii="Palatino Linotype" w:eastAsia="Palatino Linotype" w:hAnsi="Palatino Linotype" w:cs="Palatino Linotype"/>
          <w:i/>
          <w:color w:val="222222"/>
          <w:sz w:val="22"/>
          <w:szCs w:val="22"/>
        </w:rPr>
        <w:t>, es decir, puede ser un tanto desmedido en sus declaraciones, </w:t>
      </w:r>
      <w:r w:rsidRPr="002E218A">
        <w:rPr>
          <w:rFonts w:ascii="Palatino Linotype" w:eastAsia="Palatino Linotype" w:hAnsi="Palatino Linotype" w:cs="Palatino Linotype"/>
          <w:b/>
          <w:i/>
          <w:color w:val="222222"/>
          <w:sz w:val="22"/>
          <w:szCs w:val="22"/>
          <w:u w:val="single"/>
        </w:rPr>
        <w:t>y es precisamente en las expresiones que puedan ofender, chocar, perturbar, molestar, inquietar o disgustar donde la libertad de expresión resulta más valiosa</w:t>
      </w:r>
      <w:r w:rsidRPr="002E218A">
        <w:rPr>
          <w:rFonts w:ascii="Palatino Linotype" w:eastAsia="Palatino Linotype" w:hAnsi="Palatino Linotype" w:cs="Palatino Linotype"/>
          <w:i/>
          <w:color w:val="222222"/>
          <w:sz w:val="22"/>
          <w:szCs w:val="22"/>
        </w:rPr>
        <w:t>. Así pues, no todas las críticas que supuestamente agravien a una persona, grupo, o incluso a la sociedad o al Estado pueden ser descalificadas y objeto de responsabilidad legal, aunque el uso de la libertad de expresión para criticar o atacar mediante el empleo de términos excesivamente fuertes y sin articular una opinión, puede conllevar una sanción que no resultaría violatoria de la libertad de expresión. </w:t>
      </w:r>
      <w:r w:rsidRPr="002E218A">
        <w:rPr>
          <w:rFonts w:ascii="Palatino Linotype" w:eastAsia="Palatino Linotype" w:hAnsi="Palatino Linotype" w:cs="Palatino Linotype"/>
          <w:b/>
          <w:i/>
          <w:color w:val="222222"/>
          <w:sz w:val="22"/>
          <w:szCs w:val="22"/>
          <w:u w:val="single"/>
        </w:rPr>
        <w:t>En este sentido, es importante enfatizar que la Constitución </w:t>
      </w:r>
      <w:r w:rsidRPr="002E218A">
        <w:rPr>
          <w:rFonts w:ascii="Palatino Linotype" w:eastAsia="Palatino Linotype" w:hAnsi="Palatino Linotype" w:cs="Palatino Linotype"/>
          <w:i/>
          <w:color w:val="222222"/>
          <w:sz w:val="22"/>
          <w:szCs w:val="22"/>
        </w:rPr>
        <w:t>Política de los Estados Unidos Mexicanos </w:t>
      </w:r>
      <w:r w:rsidRPr="002E218A">
        <w:rPr>
          <w:rFonts w:ascii="Palatino Linotype" w:eastAsia="Palatino Linotype" w:hAnsi="Palatino Linotype" w:cs="Palatino Linotype"/>
          <w:b/>
          <w:i/>
          <w:color w:val="222222"/>
          <w:sz w:val="22"/>
          <w:szCs w:val="22"/>
          <w:u w:val="single"/>
        </w:rPr>
        <w:t>no reconoce un derecho al insulto</w:t>
      </w:r>
      <w:r w:rsidRPr="002E218A">
        <w:rPr>
          <w:rFonts w:ascii="Palatino Linotype" w:eastAsia="Palatino Linotype" w:hAnsi="Palatino Linotype" w:cs="Palatino Linotype"/>
          <w:i/>
          <w:color w:val="222222"/>
          <w:sz w:val="22"/>
          <w:szCs w:val="22"/>
        </w:rPr>
        <w:t xml:space="preserve"> o a la injuria gratuita, sin embargo, tampoco veda expresiones inusuales, alternativas, indecentes, </w:t>
      </w:r>
      <w:r w:rsidRPr="002E218A">
        <w:rPr>
          <w:rFonts w:ascii="Palatino Linotype" w:eastAsia="Palatino Linotype" w:hAnsi="Palatino Linotype" w:cs="Palatino Linotype"/>
          <w:i/>
          <w:color w:val="222222"/>
          <w:sz w:val="22"/>
          <w:szCs w:val="22"/>
        </w:rPr>
        <w:lastRenderedPageBreak/>
        <w:t>escandalosas, excéntricas o simplemente contrarias a las creencias y posturas mayoritarias, aun cuando se expresen acompañadas de expresiones no verbales, sino simbólicas. </w:t>
      </w:r>
      <w:r w:rsidRPr="002E218A">
        <w:rPr>
          <w:rFonts w:ascii="Palatino Linotype" w:eastAsia="Palatino Linotype" w:hAnsi="Palatino Linotype" w:cs="Palatino Linotype"/>
          <w:b/>
          <w:i/>
          <w:color w:val="222222"/>
          <w:sz w:val="22"/>
          <w:szCs w:val="22"/>
          <w:u w:val="single"/>
        </w:rPr>
        <w:t>Consecuentemente, el derecho al honor prevalece cuando la libertad de expresión utiliza frases y expresiones que están excluidas de protección constitucional</w:t>
      </w:r>
      <w:r w:rsidRPr="002E218A">
        <w:rPr>
          <w:rFonts w:ascii="Palatino Linotype" w:eastAsia="Palatino Linotype" w:hAnsi="Palatino Linotype" w:cs="Palatino Linotype"/>
          <w:i/>
          <w:color w:val="222222"/>
          <w:sz w:val="22"/>
          <w:szCs w:val="22"/>
        </w:rPr>
        <w:t>, es decir, </w:t>
      </w:r>
      <w:r w:rsidRPr="002E218A">
        <w:rPr>
          <w:rFonts w:ascii="Palatino Linotype" w:eastAsia="Palatino Linotype" w:hAnsi="Palatino Linotype" w:cs="Palatino Linotype"/>
          <w:b/>
          <w:i/>
          <w:color w:val="222222"/>
          <w:sz w:val="22"/>
          <w:szCs w:val="22"/>
          <w:u w:val="single"/>
        </w:rPr>
        <w:t>cuando sean absolutamente vejatorias</w:t>
      </w:r>
      <w:r w:rsidRPr="002E218A">
        <w:rPr>
          <w:rFonts w:ascii="Palatino Linotype" w:eastAsia="Palatino Linotype" w:hAnsi="Palatino Linotype" w:cs="Palatino Linotype"/>
          <w:i/>
          <w:color w:val="222222"/>
          <w:sz w:val="22"/>
          <w:szCs w:val="22"/>
        </w:rPr>
        <w:t>, entendiendo como tales las que sean: </w:t>
      </w:r>
      <w:r w:rsidRPr="002E218A">
        <w:rPr>
          <w:rFonts w:ascii="Palatino Linotype" w:eastAsia="Palatino Linotype" w:hAnsi="Palatino Linotype" w:cs="Palatino Linotype"/>
          <w:b/>
          <w:i/>
          <w:color w:val="222222"/>
          <w:sz w:val="22"/>
          <w:szCs w:val="22"/>
          <w:u w:val="single"/>
        </w:rPr>
        <w:t>a) ofensivas u oprobiosas, según el contexto; y, b) impertinentes para expresar opiniones o informaciones, según tengan o no relación con lo manifestado</w:t>
      </w:r>
      <w:r w:rsidRPr="002E218A">
        <w:rPr>
          <w:rFonts w:ascii="Palatino Linotype" w:eastAsia="Palatino Linotype" w:hAnsi="Palatino Linotype" w:cs="Palatino Linotype"/>
          <w:i/>
          <w:color w:val="222222"/>
          <w:sz w:val="22"/>
          <w:szCs w:val="22"/>
        </w:rPr>
        <w:t>. Respecto del citado contexto, su importancia estriba en que la situación política o social de un Estado y las circunstancias concurrentes a la publicación de la nota pueden disminuir la significación ofensiva y aumentar el grado de tolerancia.</w:t>
      </w:r>
    </w:p>
    <w:p w:rsidR="00266634" w:rsidRPr="002E218A" w:rsidRDefault="001662BC">
      <w:pPr>
        <w:pBdr>
          <w:top w:val="nil"/>
          <w:left w:val="nil"/>
          <w:bottom w:val="nil"/>
          <w:right w:val="nil"/>
          <w:between w:val="nil"/>
        </w:pBdr>
        <w:shd w:val="clear" w:color="auto" w:fill="FFFFFF"/>
        <w:spacing w:line="360" w:lineRule="auto"/>
        <w:ind w:left="644" w:right="709"/>
        <w:jc w:val="both"/>
        <w:rPr>
          <w:rFonts w:ascii="Palatino Linotype" w:eastAsia="Palatino Linotype" w:hAnsi="Palatino Linotype" w:cs="Palatino Linotype"/>
          <w:color w:val="222222"/>
          <w:sz w:val="22"/>
          <w:szCs w:val="22"/>
        </w:rPr>
      </w:pPr>
      <w:r w:rsidRPr="002E218A">
        <w:rPr>
          <w:rFonts w:ascii="Palatino Linotype" w:eastAsia="Palatino Linotype" w:hAnsi="Palatino Linotype" w:cs="Palatino Linotype"/>
          <w:i/>
          <w:color w:val="222222"/>
          <w:sz w:val="22"/>
          <w:szCs w:val="22"/>
        </w:rPr>
        <w:t>Amparo directo 28/2010. Demos, Desarrollo de Medios, S.A. de C.V. 23 de noviembre de 2011. Mayoría de cuatro votos. Disidente: Guillermo I. Ortiz Mayagoitia, quien reservó su derecho a formular voto particular; José Ramón Cossío Díaz reservó su derecho a formular voto concurrente. Ponente: Arturo Zaldívar Lelo de Larrea. Secretario: Javier Mijangos y González.</w:t>
      </w:r>
    </w:p>
    <w:p w:rsidR="00266634" w:rsidRPr="002E218A" w:rsidRDefault="001662BC">
      <w:pPr>
        <w:pBdr>
          <w:top w:val="nil"/>
          <w:left w:val="nil"/>
          <w:bottom w:val="nil"/>
          <w:right w:val="nil"/>
          <w:between w:val="nil"/>
        </w:pBdr>
        <w:shd w:val="clear" w:color="auto" w:fill="FFFFFF"/>
        <w:spacing w:line="360" w:lineRule="auto"/>
        <w:ind w:left="644" w:right="709"/>
        <w:jc w:val="both"/>
        <w:rPr>
          <w:rFonts w:ascii="Palatino Linotype" w:eastAsia="Palatino Linotype" w:hAnsi="Palatino Linotype" w:cs="Palatino Linotype"/>
          <w:color w:val="222222"/>
          <w:sz w:val="22"/>
          <w:szCs w:val="22"/>
        </w:rPr>
      </w:pPr>
      <w:r w:rsidRPr="002E218A">
        <w:rPr>
          <w:rFonts w:ascii="Palatino Linotype" w:eastAsia="Palatino Linotype" w:hAnsi="Palatino Linotype" w:cs="Palatino Linotype"/>
          <w:i/>
          <w:color w:val="222222"/>
          <w:sz w:val="22"/>
          <w:szCs w:val="22"/>
        </w:rPr>
        <w:t>Amparo directo 25/2010. Eduardo Rey Huchim May. 28 de marzo de 2012. Unanimidad de cuatro votos. Ausente: Guillermo I. Ortiz Mayagoitia. Ponente: Olga Sánchez Cordero de García Villegas. Secretaria: Rosalía Argumosa López.</w:t>
      </w:r>
    </w:p>
    <w:p w:rsidR="00266634" w:rsidRPr="002E218A" w:rsidRDefault="001662BC">
      <w:pPr>
        <w:pBdr>
          <w:top w:val="nil"/>
          <w:left w:val="nil"/>
          <w:bottom w:val="nil"/>
          <w:right w:val="nil"/>
          <w:between w:val="nil"/>
        </w:pBdr>
        <w:shd w:val="clear" w:color="auto" w:fill="FFFFFF"/>
        <w:spacing w:line="360" w:lineRule="auto"/>
        <w:ind w:left="644" w:right="709"/>
        <w:jc w:val="both"/>
        <w:rPr>
          <w:rFonts w:ascii="Palatino Linotype" w:eastAsia="Palatino Linotype" w:hAnsi="Palatino Linotype" w:cs="Palatino Linotype"/>
          <w:color w:val="222222"/>
          <w:sz w:val="22"/>
          <w:szCs w:val="22"/>
        </w:rPr>
      </w:pPr>
      <w:r w:rsidRPr="002E218A">
        <w:rPr>
          <w:rFonts w:ascii="Palatino Linotype" w:eastAsia="Palatino Linotype" w:hAnsi="Palatino Linotype" w:cs="Palatino Linotype"/>
          <w:i/>
          <w:color w:val="222222"/>
          <w:sz w:val="22"/>
          <w:szCs w:val="22"/>
        </w:rPr>
        <w:t>Amparo directo 26/2010. Rubén Lara León. 28 de marzo de 2012. Unanimidad de cuatro votos. Ausente: Guillermo I. Ortiz Mayagoitia. Ponente: Olga Sánchez Cordero de García Villegas. Secretario: Francisco Octavio Escudero Contreras.</w:t>
      </w:r>
    </w:p>
    <w:p w:rsidR="00266634" w:rsidRPr="002E218A" w:rsidRDefault="001662BC">
      <w:pPr>
        <w:pBdr>
          <w:top w:val="nil"/>
          <w:left w:val="nil"/>
          <w:bottom w:val="nil"/>
          <w:right w:val="nil"/>
          <w:between w:val="nil"/>
        </w:pBdr>
        <w:shd w:val="clear" w:color="auto" w:fill="FFFFFF"/>
        <w:spacing w:line="360" w:lineRule="auto"/>
        <w:ind w:left="644" w:right="709"/>
        <w:jc w:val="both"/>
        <w:rPr>
          <w:rFonts w:ascii="Palatino Linotype" w:eastAsia="Palatino Linotype" w:hAnsi="Palatino Linotype" w:cs="Palatino Linotype"/>
          <w:color w:val="222222"/>
          <w:sz w:val="22"/>
          <w:szCs w:val="22"/>
        </w:rPr>
      </w:pPr>
      <w:r w:rsidRPr="002E218A">
        <w:rPr>
          <w:rFonts w:ascii="Palatino Linotype" w:eastAsia="Palatino Linotype" w:hAnsi="Palatino Linotype" w:cs="Palatino Linotype"/>
          <w:i/>
          <w:color w:val="222222"/>
          <w:sz w:val="22"/>
          <w:szCs w:val="22"/>
        </w:rPr>
        <w:t>Amparo directo 8/2012. Arrendadora Ocean Mexicana, S.A. de C.V. y otros. 4 de julio de 2012. Mayoría de cuatro votos. Disidente: Guillermo I. Ortiz Mayagoitia; José Ramón Cossío Díaz reservó su derecho para formular voto concurrente; Olga Sánchez Cordero de García Villegas también reservó su derecho a formular voto concurrente por lo que respecta al apartado XI. Ponente: Arturo Zaldívar Lelo de Larrea. Secretario: Javier Mijangos y González.</w:t>
      </w:r>
    </w:p>
    <w:p w:rsidR="00266634" w:rsidRPr="002E218A" w:rsidRDefault="001662BC">
      <w:pPr>
        <w:pBdr>
          <w:top w:val="nil"/>
          <w:left w:val="nil"/>
          <w:bottom w:val="nil"/>
          <w:right w:val="nil"/>
          <w:between w:val="nil"/>
        </w:pBdr>
        <w:shd w:val="clear" w:color="auto" w:fill="FFFFFF"/>
        <w:spacing w:line="360" w:lineRule="auto"/>
        <w:ind w:left="644" w:right="709"/>
        <w:jc w:val="both"/>
        <w:rPr>
          <w:rFonts w:ascii="Palatino Linotype" w:eastAsia="Palatino Linotype" w:hAnsi="Palatino Linotype" w:cs="Palatino Linotype"/>
          <w:color w:val="222222"/>
          <w:sz w:val="22"/>
          <w:szCs w:val="22"/>
        </w:rPr>
      </w:pPr>
      <w:r w:rsidRPr="002E218A">
        <w:rPr>
          <w:rFonts w:ascii="Palatino Linotype" w:eastAsia="Palatino Linotype" w:hAnsi="Palatino Linotype" w:cs="Palatino Linotype"/>
          <w:i/>
          <w:color w:val="222222"/>
          <w:sz w:val="22"/>
          <w:szCs w:val="22"/>
        </w:rPr>
        <w:t xml:space="preserve">Amparo directo 16/2012. Federico Humberto Ruiz Lomelí. 11 de julio de 2012. Cinco votos; José Ramón Cossío Díaz, Olga Sánchez Cordero de García Villegas y Arturo Zaldívar Lelo de Larrea </w:t>
      </w:r>
      <w:r w:rsidRPr="002E218A">
        <w:rPr>
          <w:rFonts w:ascii="Palatino Linotype" w:eastAsia="Palatino Linotype" w:hAnsi="Palatino Linotype" w:cs="Palatino Linotype"/>
          <w:i/>
          <w:color w:val="222222"/>
          <w:sz w:val="22"/>
          <w:szCs w:val="22"/>
        </w:rPr>
        <w:lastRenderedPageBreak/>
        <w:t>reservaron su derecho a formular voto concurrente. Ponente: Jorge Mario Pardo Rebolledo. Secretaria: Rosa María Rojas Vértiz Contreras.</w:t>
      </w:r>
    </w:p>
    <w:p w:rsidR="00266634" w:rsidRPr="002E218A" w:rsidRDefault="001662BC">
      <w:pPr>
        <w:pBdr>
          <w:top w:val="nil"/>
          <w:left w:val="nil"/>
          <w:bottom w:val="nil"/>
          <w:right w:val="nil"/>
          <w:between w:val="nil"/>
        </w:pBdr>
        <w:shd w:val="clear" w:color="auto" w:fill="FFFFFF"/>
        <w:spacing w:line="360" w:lineRule="auto"/>
        <w:ind w:left="644" w:right="709"/>
        <w:jc w:val="both"/>
        <w:rPr>
          <w:rFonts w:ascii="Palatino Linotype" w:eastAsia="Palatino Linotype" w:hAnsi="Palatino Linotype" w:cs="Palatino Linotype"/>
          <w:color w:val="222222"/>
          <w:sz w:val="22"/>
          <w:szCs w:val="22"/>
        </w:rPr>
      </w:pPr>
      <w:r w:rsidRPr="002E218A">
        <w:rPr>
          <w:rFonts w:ascii="Palatino Linotype" w:eastAsia="Palatino Linotype" w:hAnsi="Palatino Linotype" w:cs="Palatino Linotype"/>
          <w:i/>
          <w:color w:val="222222"/>
          <w:sz w:val="22"/>
          <w:szCs w:val="22"/>
        </w:rPr>
        <w:t>Tesis de jurisprudencia 31/2013 (10a.). Aprobada por la Primera Sala de este Alto Tribunal, en sesión privada de veintisiete de febrero de dos mil trece.”</w:t>
      </w:r>
    </w:p>
    <w:p w:rsidR="00266634" w:rsidRPr="002E218A" w:rsidRDefault="001662BC">
      <w:pPr>
        <w:pBdr>
          <w:top w:val="nil"/>
          <w:left w:val="nil"/>
          <w:bottom w:val="nil"/>
          <w:right w:val="nil"/>
          <w:between w:val="nil"/>
        </w:pBdr>
        <w:shd w:val="clear" w:color="auto" w:fill="FFFFFF"/>
        <w:spacing w:after="120" w:line="360" w:lineRule="auto"/>
        <w:ind w:left="644" w:right="709"/>
        <w:jc w:val="both"/>
        <w:rPr>
          <w:rFonts w:ascii="Palatino Linotype" w:eastAsia="Palatino Linotype" w:hAnsi="Palatino Linotype" w:cs="Palatino Linotype"/>
          <w:color w:val="222222"/>
          <w:sz w:val="22"/>
          <w:szCs w:val="22"/>
        </w:rPr>
      </w:pPr>
      <w:r w:rsidRPr="002E218A">
        <w:rPr>
          <w:rFonts w:ascii="Palatino Linotype" w:eastAsia="Palatino Linotype" w:hAnsi="Palatino Linotype" w:cs="Palatino Linotype"/>
          <w:color w:val="222222"/>
          <w:sz w:val="22"/>
          <w:szCs w:val="22"/>
        </w:rPr>
        <w:t>(Énfasis añadido)</w:t>
      </w:r>
    </w:p>
    <w:p w:rsidR="00266634" w:rsidRPr="002E218A" w:rsidRDefault="00266634">
      <w:pPr>
        <w:spacing w:line="360" w:lineRule="auto"/>
        <w:rPr>
          <w:rFonts w:ascii="Palatino Linotype" w:eastAsia="Palatino Linotype" w:hAnsi="Palatino Linotype" w:cs="Palatino Linotype"/>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Atento a todo lo anteriormente señalado, resultan infundadas las razones o motivos de inconformidad hechos valer por el </w:t>
      </w:r>
      <w:r w:rsidRPr="002E218A">
        <w:rPr>
          <w:rFonts w:ascii="Palatino Linotype" w:eastAsia="Palatino Linotype" w:hAnsi="Palatino Linotype" w:cs="Palatino Linotype"/>
          <w:b/>
          <w:color w:val="000000"/>
        </w:rPr>
        <w:t>RECURRENTE, y</w:t>
      </w:r>
      <w:r w:rsidRPr="002E218A">
        <w:rPr>
          <w:rFonts w:ascii="Palatino Linotype" w:eastAsia="Palatino Linotype" w:hAnsi="Palatino Linotype" w:cs="Palatino Linotype"/>
          <w:color w:val="000000"/>
        </w:rPr>
        <w:t xml:space="preserve"> en términos del artículo 186 fracción II este Pleno determina procedente </w:t>
      </w:r>
      <w:r w:rsidRPr="002E218A">
        <w:rPr>
          <w:rFonts w:ascii="Palatino Linotype" w:eastAsia="Palatino Linotype" w:hAnsi="Palatino Linotype" w:cs="Palatino Linotype"/>
          <w:b/>
          <w:color w:val="000000"/>
        </w:rPr>
        <w:t>CONFIRMAR</w:t>
      </w:r>
      <w:r w:rsidRPr="002E218A">
        <w:rPr>
          <w:rFonts w:ascii="Palatino Linotype" w:eastAsia="Palatino Linotype" w:hAnsi="Palatino Linotype" w:cs="Palatino Linotype"/>
          <w:color w:val="000000"/>
        </w:rPr>
        <w:t xml:space="preserve"> la respuesta del presente recurso de revisión, toda vez que no hubo afectación al derecho de acceso a la información pública establecido constitucionalmente a favor del particular.</w:t>
      </w:r>
    </w:p>
    <w:p w:rsidR="00266634" w:rsidRPr="002E218A" w:rsidRDefault="00266634">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66634" w:rsidRPr="002E218A" w:rsidRDefault="001662BC">
      <w:pPr>
        <w:numPr>
          <w:ilvl w:val="0"/>
          <w:numId w:val="2"/>
        </w:numPr>
        <w:pBdr>
          <w:top w:val="nil"/>
          <w:left w:val="nil"/>
          <w:bottom w:val="nil"/>
          <w:right w:val="nil"/>
          <w:between w:val="nil"/>
        </w:pBdr>
        <w:spacing w:line="360" w:lineRule="auto"/>
        <w:ind w:left="0" w:firstLine="0"/>
        <w:jc w:val="both"/>
        <w:rPr>
          <w:color w:val="000000"/>
        </w:rPr>
      </w:pPr>
      <w:r w:rsidRPr="002E218A">
        <w:rPr>
          <w:rFonts w:ascii="Palatino Linotype" w:eastAsia="Palatino Linotype" w:hAnsi="Palatino Linotype" w:cs="Palatino Linotype"/>
          <w:color w:val="000000"/>
        </w:rPr>
        <w:t xml:space="preserve">Por lo anteriormente expuesto y fundado, este </w:t>
      </w:r>
      <w:r w:rsidRPr="002E218A">
        <w:rPr>
          <w:rFonts w:ascii="Palatino Linotype" w:eastAsia="Palatino Linotype" w:hAnsi="Palatino Linotype" w:cs="Palatino Linotype"/>
          <w:b/>
          <w:color w:val="000000"/>
        </w:rPr>
        <w:t>ÓRGANO GARANTE</w:t>
      </w:r>
      <w:r w:rsidRPr="002E218A">
        <w:rPr>
          <w:rFonts w:ascii="Palatino Linotype" w:eastAsia="Palatino Linotype" w:hAnsi="Palatino Linotype" w:cs="Palatino Linotype"/>
          <w:color w:val="000000"/>
        </w:rPr>
        <w:t xml:space="preserve"> emite los siguientes:</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keepNext/>
        <w:keepLines/>
        <w:spacing w:line="360" w:lineRule="auto"/>
        <w:jc w:val="center"/>
        <w:rPr>
          <w:rFonts w:ascii="Palatino Linotype" w:eastAsia="Palatino Linotype" w:hAnsi="Palatino Linotype" w:cs="Palatino Linotype"/>
          <w:b/>
          <w:color w:val="000000"/>
        </w:rPr>
      </w:pPr>
      <w:bookmarkStart w:id="9" w:name="_heading=h.2s8eyo1" w:colFirst="0" w:colLast="0"/>
      <w:bookmarkEnd w:id="9"/>
      <w:r w:rsidRPr="002E218A">
        <w:rPr>
          <w:rFonts w:ascii="Palatino Linotype" w:eastAsia="Palatino Linotype" w:hAnsi="Palatino Linotype" w:cs="Palatino Linotype"/>
          <w:b/>
          <w:color w:val="000000"/>
        </w:rPr>
        <w:t>R E S O L U T I V O S</w:t>
      </w:r>
    </w:p>
    <w:p w:rsidR="00266634" w:rsidRPr="002E218A" w:rsidRDefault="00266634">
      <w:pPr>
        <w:keepNext/>
        <w:keepLines/>
        <w:spacing w:line="360" w:lineRule="auto"/>
        <w:jc w:val="center"/>
        <w:rPr>
          <w:rFonts w:ascii="Palatino Linotype" w:eastAsia="Palatino Linotype" w:hAnsi="Palatino Linotype" w:cs="Palatino Linotype"/>
          <w:b/>
          <w:color w:val="000000"/>
        </w:rPr>
      </w:pPr>
    </w:p>
    <w:p w:rsidR="00266634" w:rsidRPr="002E218A" w:rsidRDefault="001662BC">
      <w:pPr>
        <w:spacing w:line="360" w:lineRule="auto"/>
        <w:jc w:val="both"/>
        <w:rPr>
          <w:rFonts w:ascii="Palatino Linotype" w:eastAsia="Palatino Linotype" w:hAnsi="Palatino Linotype" w:cs="Palatino Linotype"/>
        </w:rPr>
      </w:pPr>
      <w:r w:rsidRPr="002E218A">
        <w:rPr>
          <w:rFonts w:ascii="Palatino Linotype" w:eastAsia="Palatino Linotype" w:hAnsi="Palatino Linotype" w:cs="Palatino Linotype"/>
          <w:b/>
        </w:rPr>
        <w:t xml:space="preserve">PRIMERO. </w:t>
      </w:r>
      <w:r w:rsidRPr="002E218A">
        <w:rPr>
          <w:rFonts w:ascii="Palatino Linotype" w:eastAsia="Palatino Linotype" w:hAnsi="Palatino Linotype" w:cs="Palatino Linotype"/>
        </w:rPr>
        <w:t>Resultan infundadas las</w:t>
      </w:r>
      <w:r w:rsidRPr="002E218A">
        <w:rPr>
          <w:rFonts w:ascii="Palatino Linotype" w:eastAsia="Palatino Linotype" w:hAnsi="Palatino Linotype" w:cs="Palatino Linotype"/>
          <w:b/>
        </w:rPr>
        <w:t xml:space="preserve"> </w:t>
      </w:r>
      <w:r w:rsidRPr="002E218A">
        <w:rPr>
          <w:rFonts w:ascii="Palatino Linotype" w:eastAsia="Palatino Linotype" w:hAnsi="Palatino Linotype" w:cs="Palatino Linotype"/>
        </w:rPr>
        <w:t xml:space="preserve">razones o motivos de inconformidad hechos valer en el recurso de revisión </w:t>
      </w:r>
      <w:r w:rsidRPr="002E218A">
        <w:rPr>
          <w:rFonts w:ascii="Palatino Linotype" w:eastAsia="Palatino Linotype" w:hAnsi="Palatino Linotype" w:cs="Palatino Linotype"/>
          <w:b/>
        </w:rPr>
        <w:t xml:space="preserve">07578/INFOEM/IP/RR/2024, </w:t>
      </w:r>
      <w:r w:rsidRPr="002E218A">
        <w:rPr>
          <w:rFonts w:ascii="Palatino Linotype" w:eastAsia="Palatino Linotype" w:hAnsi="Palatino Linotype" w:cs="Palatino Linotype"/>
        </w:rPr>
        <w:t xml:space="preserve">en términos del </w:t>
      </w:r>
      <w:r w:rsidRPr="002E218A">
        <w:rPr>
          <w:rFonts w:ascii="Palatino Linotype" w:eastAsia="Palatino Linotype" w:hAnsi="Palatino Linotype" w:cs="Palatino Linotype"/>
          <w:b/>
        </w:rPr>
        <w:t>Considerando</w:t>
      </w:r>
      <w:r w:rsidRPr="002E218A">
        <w:rPr>
          <w:rFonts w:ascii="Palatino Linotype" w:eastAsia="Palatino Linotype" w:hAnsi="Palatino Linotype" w:cs="Palatino Linotype"/>
        </w:rPr>
        <w:t xml:space="preserve"> </w:t>
      </w:r>
      <w:r w:rsidRPr="002E218A">
        <w:rPr>
          <w:rFonts w:ascii="Palatino Linotype" w:eastAsia="Palatino Linotype" w:hAnsi="Palatino Linotype" w:cs="Palatino Linotype"/>
          <w:b/>
        </w:rPr>
        <w:t>CUARTO</w:t>
      </w:r>
      <w:r w:rsidRPr="002E218A">
        <w:rPr>
          <w:rFonts w:ascii="Palatino Linotype" w:eastAsia="Palatino Linotype" w:hAnsi="Palatino Linotype" w:cs="Palatino Linotype"/>
        </w:rPr>
        <w:t xml:space="preserve"> de la presente resolución.</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spacing w:line="360" w:lineRule="auto"/>
        <w:jc w:val="both"/>
        <w:rPr>
          <w:rFonts w:ascii="Palatino Linotype" w:eastAsia="Palatino Linotype" w:hAnsi="Palatino Linotype" w:cs="Palatino Linotype"/>
        </w:rPr>
      </w:pPr>
      <w:r w:rsidRPr="002E218A">
        <w:rPr>
          <w:rFonts w:ascii="Palatino Linotype" w:eastAsia="Palatino Linotype" w:hAnsi="Palatino Linotype" w:cs="Palatino Linotype"/>
          <w:b/>
        </w:rPr>
        <w:t>SEGUNDO.</w:t>
      </w:r>
      <w:r w:rsidRPr="002E218A">
        <w:rPr>
          <w:rFonts w:ascii="Palatino Linotype" w:eastAsia="Palatino Linotype" w:hAnsi="Palatino Linotype" w:cs="Palatino Linotype"/>
          <w:b/>
          <w:color w:val="2E75B5"/>
        </w:rPr>
        <w:t xml:space="preserve"> </w:t>
      </w:r>
      <w:r w:rsidRPr="002E218A">
        <w:rPr>
          <w:rFonts w:ascii="Palatino Linotype" w:eastAsia="Palatino Linotype" w:hAnsi="Palatino Linotype" w:cs="Palatino Linotype"/>
        </w:rPr>
        <w:t>Se</w:t>
      </w:r>
      <w:r w:rsidRPr="002E218A">
        <w:rPr>
          <w:rFonts w:ascii="Palatino Linotype" w:eastAsia="Palatino Linotype" w:hAnsi="Palatino Linotype" w:cs="Palatino Linotype"/>
          <w:b/>
        </w:rPr>
        <w:t xml:space="preserve"> CONFIRMA </w:t>
      </w:r>
      <w:r w:rsidRPr="002E218A">
        <w:rPr>
          <w:rFonts w:ascii="Palatino Linotype" w:eastAsia="Palatino Linotype" w:hAnsi="Palatino Linotype" w:cs="Palatino Linotype"/>
        </w:rPr>
        <w:t xml:space="preserve">la respuesta emitida por la </w:t>
      </w:r>
      <w:r w:rsidRPr="002E218A">
        <w:rPr>
          <w:rFonts w:ascii="Palatino Linotype" w:eastAsia="Palatino Linotype" w:hAnsi="Palatino Linotype" w:cs="Palatino Linotype"/>
          <w:b/>
        </w:rPr>
        <w:t xml:space="preserve">Secretaría de Finanzas </w:t>
      </w:r>
      <w:r w:rsidRPr="002E218A">
        <w:rPr>
          <w:rFonts w:ascii="Palatino Linotype" w:eastAsia="Palatino Linotype" w:hAnsi="Palatino Linotype" w:cs="Palatino Linotype"/>
        </w:rPr>
        <w:t xml:space="preserve">a la solicitud </w:t>
      </w:r>
      <w:r w:rsidRPr="002E218A">
        <w:rPr>
          <w:rFonts w:ascii="Palatino Linotype" w:eastAsia="Palatino Linotype" w:hAnsi="Palatino Linotype" w:cs="Palatino Linotype"/>
          <w:b/>
        </w:rPr>
        <w:t>00848/SF/IP/2024.</w:t>
      </w:r>
      <w:r w:rsidRPr="002E218A">
        <w:rPr>
          <w:rFonts w:ascii="Palatino Linotype" w:eastAsia="Palatino Linotype" w:hAnsi="Palatino Linotype" w:cs="Palatino Linotype"/>
        </w:rPr>
        <w:t xml:space="preserve"> </w:t>
      </w:r>
    </w:p>
    <w:p w:rsidR="00266634" w:rsidRPr="002E218A" w:rsidRDefault="00266634">
      <w:pPr>
        <w:spacing w:line="360" w:lineRule="auto"/>
        <w:jc w:val="both"/>
        <w:rPr>
          <w:rFonts w:ascii="Palatino Linotype" w:eastAsia="Palatino Linotype" w:hAnsi="Palatino Linotype" w:cs="Palatino Linotype"/>
        </w:rPr>
      </w:pPr>
    </w:p>
    <w:p w:rsidR="00266634" w:rsidRPr="002E218A" w:rsidRDefault="001662BC">
      <w:pPr>
        <w:tabs>
          <w:tab w:val="left" w:pos="8080"/>
        </w:tabs>
        <w:spacing w:line="360" w:lineRule="auto"/>
        <w:ind w:right="49"/>
        <w:jc w:val="both"/>
        <w:rPr>
          <w:rFonts w:ascii="Palatino Linotype" w:eastAsia="Palatino Linotype" w:hAnsi="Palatino Linotype" w:cs="Palatino Linotype"/>
          <w:b/>
        </w:rPr>
      </w:pPr>
      <w:r w:rsidRPr="002E218A">
        <w:rPr>
          <w:rFonts w:ascii="Palatino Linotype" w:eastAsia="Palatino Linotype" w:hAnsi="Palatino Linotype" w:cs="Palatino Linotype"/>
          <w:b/>
        </w:rPr>
        <w:lastRenderedPageBreak/>
        <w:t xml:space="preserve">TERCERO. REMÍTASE, </w:t>
      </w:r>
      <w:r w:rsidRPr="002E218A">
        <w:rPr>
          <w:rFonts w:ascii="Palatino Linotype" w:eastAsia="Palatino Linotype" w:hAnsi="Palatino Linotype" w:cs="Palatino Linotype"/>
        </w:rPr>
        <w:t xml:space="preserve">vía Sistema de Acceso a la Información Mexiquense (SAIMEX), la presente resolución al Titular de la Unidad de Transparencia del </w:t>
      </w:r>
      <w:r w:rsidRPr="002E218A">
        <w:rPr>
          <w:rFonts w:ascii="Palatino Linotype" w:eastAsia="Palatino Linotype" w:hAnsi="Palatino Linotype" w:cs="Palatino Linotype"/>
          <w:b/>
        </w:rPr>
        <w:t>SUJETO OBLIGADO.</w:t>
      </w:r>
    </w:p>
    <w:p w:rsidR="00266634" w:rsidRPr="002E218A" w:rsidRDefault="00266634">
      <w:pPr>
        <w:tabs>
          <w:tab w:val="left" w:pos="8080"/>
        </w:tabs>
        <w:spacing w:line="360" w:lineRule="auto"/>
        <w:ind w:right="49"/>
        <w:jc w:val="both"/>
        <w:rPr>
          <w:rFonts w:ascii="Palatino Linotype" w:eastAsia="Palatino Linotype" w:hAnsi="Palatino Linotype" w:cs="Palatino Linotype"/>
          <w:b/>
        </w:rPr>
      </w:pPr>
    </w:p>
    <w:p w:rsidR="00266634" w:rsidRPr="002E218A" w:rsidRDefault="001662BC">
      <w:pPr>
        <w:shd w:val="clear" w:color="auto" w:fill="FFFFFF"/>
        <w:spacing w:line="360" w:lineRule="auto"/>
        <w:jc w:val="both"/>
        <w:rPr>
          <w:rFonts w:ascii="Palatino Linotype" w:eastAsia="Palatino Linotype" w:hAnsi="Palatino Linotype" w:cs="Palatino Linotype"/>
        </w:rPr>
      </w:pPr>
      <w:r w:rsidRPr="002E218A">
        <w:rPr>
          <w:rFonts w:ascii="Palatino Linotype" w:eastAsia="Palatino Linotype" w:hAnsi="Palatino Linotype" w:cs="Palatino Linotype"/>
          <w:b/>
        </w:rPr>
        <w:t xml:space="preserve">CUARTO. Notifíquese al RECURRENTE </w:t>
      </w:r>
      <w:r w:rsidRPr="002E218A">
        <w:rPr>
          <w:rFonts w:ascii="Palatino Linotype" w:eastAsia="Palatino Linotype" w:hAnsi="Palatino Linotype" w:cs="Palatino Linotype"/>
        </w:rPr>
        <w:t>la presente resolución vía SAIMEX.</w:t>
      </w:r>
    </w:p>
    <w:p w:rsidR="00266634" w:rsidRPr="002E218A" w:rsidRDefault="00266634">
      <w:pPr>
        <w:shd w:val="clear" w:color="auto" w:fill="FFFFFF"/>
        <w:spacing w:line="360" w:lineRule="auto"/>
        <w:jc w:val="both"/>
        <w:rPr>
          <w:rFonts w:ascii="Palatino Linotype" w:eastAsia="Palatino Linotype" w:hAnsi="Palatino Linotype" w:cs="Palatino Linotype"/>
        </w:rPr>
      </w:pPr>
    </w:p>
    <w:p w:rsidR="00266634" w:rsidRPr="002E218A" w:rsidRDefault="001662BC">
      <w:pPr>
        <w:spacing w:before="240" w:after="240" w:line="360" w:lineRule="auto"/>
        <w:jc w:val="both"/>
        <w:rPr>
          <w:rFonts w:ascii="Palatino Linotype" w:eastAsia="Palatino Linotype" w:hAnsi="Palatino Linotype" w:cs="Palatino Linotype"/>
        </w:rPr>
      </w:pPr>
      <w:r w:rsidRPr="002E218A">
        <w:rPr>
          <w:rFonts w:ascii="Palatino Linotype" w:eastAsia="Palatino Linotype" w:hAnsi="Palatino Linotype" w:cs="Palatino Linotype"/>
          <w:b/>
        </w:rPr>
        <w:t>QUINTO.</w:t>
      </w:r>
      <w:r w:rsidRPr="002E218A">
        <w:rPr>
          <w:rFonts w:ascii="Palatino Linotype" w:eastAsia="Palatino Linotype" w:hAnsi="Palatino Linotype" w:cs="Palatino Linotype"/>
        </w:rPr>
        <w:t xml:space="preserve"> Se hace del conocimiento del </w:t>
      </w:r>
      <w:r w:rsidRPr="002E218A">
        <w:rPr>
          <w:rFonts w:ascii="Palatino Linotype" w:eastAsia="Palatino Linotype" w:hAnsi="Palatino Linotype" w:cs="Palatino Linotype"/>
          <w:b/>
        </w:rPr>
        <w:t xml:space="preserve">RECURRENTE </w:t>
      </w:r>
      <w:r w:rsidRPr="002E218A">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EF3134" w:rsidRPr="002E218A" w:rsidRDefault="00EF3134">
      <w:pPr>
        <w:spacing w:before="240" w:after="240" w:line="360" w:lineRule="auto"/>
        <w:jc w:val="both"/>
        <w:rPr>
          <w:rFonts w:ascii="Palatino Linotype" w:eastAsia="Palatino Linotype" w:hAnsi="Palatino Linotype" w:cs="Palatino Linotype"/>
        </w:rPr>
      </w:pPr>
    </w:p>
    <w:p w:rsidR="00EF3134" w:rsidRPr="003C7186" w:rsidRDefault="00EF3134" w:rsidP="00EF3134">
      <w:pPr>
        <w:spacing w:line="360" w:lineRule="auto"/>
        <w:ind w:left="-142" w:right="-234" w:firstLine="1"/>
        <w:jc w:val="both"/>
        <w:rPr>
          <w:rFonts w:ascii="Palatino Linotype" w:hAnsi="Palatino Linotype"/>
        </w:rPr>
      </w:pPr>
      <w:r w:rsidRPr="002E218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10" w:name="_GoBack"/>
      <w:bookmarkEnd w:id="10"/>
      <w:r w:rsidRPr="003C7186">
        <w:rPr>
          <w:rFonts w:ascii="Palatino Linotype" w:hAnsi="Palatino Linotype"/>
        </w:rPr>
        <w:t xml:space="preserve"> </w:t>
      </w: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ind w:right="49"/>
        <w:jc w:val="both"/>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p w:rsidR="00266634" w:rsidRDefault="00266634">
      <w:pPr>
        <w:spacing w:line="360" w:lineRule="auto"/>
        <w:rPr>
          <w:rFonts w:ascii="Palatino Linotype" w:eastAsia="Palatino Linotype" w:hAnsi="Palatino Linotype" w:cs="Palatino Linotype"/>
        </w:rPr>
      </w:pPr>
    </w:p>
    <w:sectPr w:rsidR="00266634" w:rsidSect="00BA3469">
      <w:headerReference w:type="even" r:id="rId22"/>
      <w:headerReference w:type="default" r:id="rId23"/>
      <w:footerReference w:type="default" r:id="rId24"/>
      <w:headerReference w:type="first" r:id="rId25"/>
      <w:footerReference w:type="first" r:id="rId26"/>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F5C" w:rsidRDefault="00F97F5C">
      <w:r>
        <w:separator/>
      </w:r>
    </w:p>
  </w:endnote>
  <w:endnote w:type="continuationSeparator" w:id="0">
    <w:p w:rsidR="00F97F5C" w:rsidRDefault="00F9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34" w:rsidRDefault="001662B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E218A">
      <w:rPr>
        <w:b/>
        <w:noProof/>
        <w:color w:val="000000"/>
      </w:rPr>
      <w:t>11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E218A">
      <w:rPr>
        <w:b/>
        <w:noProof/>
        <w:color w:val="000000"/>
      </w:rPr>
      <w:t>21</w:t>
    </w:r>
    <w:r>
      <w:rPr>
        <w:b/>
        <w:color w:val="000000"/>
      </w:rPr>
      <w:fldChar w:fldCharType="end"/>
    </w:r>
  </w:p>
  <w:p w:rsidR="00266634" w:rsidRDefault="0026663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34" w:rsidRDefault="001662B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E218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E218A">
      <w:rPr>
        <w:b/>
        <w:noProof/>
        <w:color w:val="000000"/>
      </w:rPr>
      <w:t>21</w:t>
    </w:r>
    <w:r>
      <w:rPr>
        <w:b/>
        <w:color w:val="000000"/>
      </w:rPr>
      <w:fldChar w:fldCharType="end"/>
    </w:r>
  </w:p>
  <w:p w:rsidR="00266634" w:rsidRDefault="0026663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F5C" w:rsidRDefault="00F97F5C">
      <w:r>
        <w:separator/>
      </w:r>
    </w:p>
  </w:footnote>
  <w:footnote w:type="continuationSeparator" w:id="0">
    <w:p w:rsidR="00F97F5C" w:rsidRDefault="00F97F5C">
      <w:r>
        <w:continuationSeparator/>
      </w:r>
    </w:p>
  </w:footnote>
  <w:footnote w:id="1">
    <w:p w:rsidR="00266634" w:rsidRDefault="001662B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266634" w:rsidRDefault="001662B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rsidR="00266634" w:rsidRDefault="001662B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34" w:rsidRDefault="00F97F5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9604" w:type="dxa"/>
      <w:tblInd w:w="0" w:type="dxa"/>
      <w:tblLayout w:type="fixed"/>
      <w:tblLook w:val="0400" w:firstRow="0" w:lastRow="0" w:firstColumn="0" w:lastColumn="0" w:noHBand="0" w:noVBand="1"/>
    </w:tblPr>
    <w:tblGrid>
      <w:gridCol w:w="2364"/>
      <w:gridCol w:w="7240"/>
    </w:tblGrid>
    <w:tr w:rsidR="00266634" w:rsidTr="00BA3469">
      <w:trPr>
        <w:trHeight w:val="1450"/>
      </w:trPr>
      <w:tc>
        <w:tcPr>
          <w:tcW w:w="2364" w:type="dxa"/>
          <w:shd w:val="clear" w:color="auto" w:fill="auto"/>
        </w:tcPr>
        <w:p w:rsidR="00266634" w:rsidRDefault="00266634">
          <w:pPr>
            <w:tabs>
              <w:tab w:val="right" w:pos="4273"/>
            </w:tabs>
            <w:rPr>
              <w:rFonts w:ascii="Garamond" w:eastAsia="Garamond" w:hAnsi="Garamond" w:cs="Garamond"/>
              <w:sz w:val="16"/>
              <w:szCs w:val="16"/>
            </w:rPr>
          </w:pPr>
        </w:p>
      </w:tc>
      <w:tc>
        <w:tcPr>
          <w:tcW w:w="7240" w:type="dxa"/>
          <w:shd w:val="clear" w:color="auto" w:fill="auto"/>
        </w:tcPr>
        <w:tbl>
          <w:tblPr>
            <w:tblStyle w:val="a1"/>
            <w:tblW w:w="6710" w:type="dxa"/>
            <w:tblInd w:w="1215" w:type="dxa"/>
            <w:tblLayout w:type="fixed"/>
            <w:tblLook w:val="0400" w:firstRow="0" w:lastRow="0" w:firstColumn="0" w:lastColumn="0" w:noHBand="0" w:noVBand="1"/>
          </w:tblPr>
          <w:tblGrid>
            <w:gridCol w:w="2685"/>
            <w:gridCol w:w="4025"/>
          </w:tblGrid>
          <w:tr w:rsidR="00266634" w:rsidTr="00BA3469">
            <w:trPr>
              <w:trHeight w:val="147"/>
            </w:trPr>
            <w:tc>
              <w:tcPr>
                <w:tcW w:w="2685" w:type="dxa"/>
                <w:shd w:val="clear" w:color="auto" w:fill="auto"/>
              </w:tcPr>
              <w:p w:rsidR="00266634" w:rsidRDefault="001662B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25" w:type="dxa"/>
                <w:shd w:val="clear" w:color="auto" w:fill="auto"/>
              </w:tcPr>
              <w:p w:rsidR="00266634" w:rsidRDefault="001662BC" w:rsidP="00BA3469">
                <w:pPr>
                  <w:tabs>
                    <w:tab w:val="right" w:pos="8838"/>
                  </w:tabs>
                  <w:ind w:left="-49"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07578/INFOEM/IP/RR/2024</w:t>
                </w:r>
              </w:p>
            </w:tc>
          </w:tr>
          <w:tr w:rsidR="00266634" w:rsidTr="00BA3469">
            <w:trPr>
              <w:trHeight w:val="292"/>
            </w:trPr>
            <w:tc>
              <w:tcPr>
                <w:tcW w:w="2685" w:type="dxa"/>
                <w:shd w:val="clear" w:color="auto" w:fill="auto"/>
              </w:tcPr>
              <w:p w:rsidR="00266634" w:rsidRDefault="001662B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25" w:type="dxa"/>
                <w:shd w:val="clear" w:color="auto" w:fill="auto"/>
              </w:tcPr>
              <w:p w:rsidR="00266634" w:rsidRDefault="001662BC">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r>
          <w:tr w:rsidR="00266634" w:rsidTr="00BA3469">
            <w:trPr>
              <w:trHeight w:val="292"/>
            </w:trPr>
            <w:tc>
              <w:tcPr>
                <w:tcW w:w="2685" w:type="dxa"/>
                <w:shd w:val="clear" w:color="auto" w:fill="auto"/>
              </w:tcPr>
              <w:p w:rsidR="00266634" w:rsidRDefault="001662B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25" w:type="dxa"/>
                <w:shd w:val="clear" w:color="auto" w:fill="auto"/>
              </w:tcPr>
              <w:p w:rsidR="00266634" w:rsidRDefault="001662BC">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266634" w:rsidRDefault="00266634">
                <w:pPr>
                  <w:tabs>
                    <w:tab w:val="right" w:pos="8838"/>
                  </w:tabs>
                  <w:ind w:left="-108" w:right="171"/>
                  <w:jc w:val="both"/>
                  <w:rPr>
                    <w:rFonts w:ascii="Palatino Linotype" w:eastAsia="Palatino Linotype" w:hAnsi="Palatino Linotype" w:cs="Palatino Linotype"/>
                    <w:b/>
                    <w:sz w:val="22"/>
                    <w:szCs w:val="22"/>
                  </w:rPr>
                </w:pPr>
              </w:p>
            </w:tc>
          </w:tr>
        </w:tbl>
        <w:p w:rsidR="00266634" w:rsidRDefault="00266634">
          <w:pPr>
            <w:tabs>
              <w:tab w:val="right" w:pos="8838"/>
            </w:tabs>
            <w:ind w:left="-28"/>
            <w:jc w:val="both"/>
            <w:rPr>
              <w:rFonts w:ascii="Arial" w:eastAsia="Arial" w:hAnsi="Arial" w:cs="Arial"/>
              <w:b/>
              <w:sz w:val="22"/>
              <w:szCs w:val="22"/>
            </w:rPr>
          </w:pPr>
        </w:p>
      </w:tc>
    </w:tr>
  </w:tbl>
  <w:p w:rsidR="00266634" w:rsidRDefault="00F97F5C">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168" w:type="dxa"/>
      <w:tblInd w:w="0" w:type="dxa"/>
      <w:tblLayout w:type="fixed"/>
      <w:tblLook w:val="0400" w:firstRow="0" w:lastRow="0" w:firstColumn="0" w:lastColumn="0" w:noHBand="0" w:noVBand="1"/>
    </w:tblPr>
    <w:tblGrid>
      <w:gridCol w:w="2542"/>
      <w:gridCol w:w="7626"/>
    </w:tblGrid>
    <w:tr w:rsidR="00266634" w:rsidTr="00BA3469">
      <w:trPr>
        <w:trHeight w:val="1410"/>
      </w:trPr>
      <w:tc>
        <w:tcPr>
          <w:tcW w:w="2542" w:type="dxa"/>
          <w:shd w:val="clear" w:color="auto" w:fill="auto"/>
        </w:tcPr>
        <w:p w:rsidR="00266634" w:rsidRDefault="00266634">
          <w:pPr>
            <w:tabs>
              <w:tab w:val="right" w:pos="4273"/>
            </w:tabs>
            <w:rPr>
              <w:rFonts w:ascii="Garamond" w:eastAsia="Garamond" w:hAnsi="Garamond" w:cs="Garamond"/>
              <w:sz w:val="22"/>
              <w:szCs w:val="22"/>
            </w:rPr>
          </w:pPr>
        </w:p>
      </w:tc>
      <w:tc>
        <w:tcPr>
          <w:tcW w:w="7626" w:type="dxa"/>
          <w:shd w:val="clear" w:color="auto" w:fill="auto"/>
        </w:tcPr>
        <w:tbl>
          <w:tblPr>
            <w:tblStyle w:val="a3"/>
            <w:tblW w:w="7466" w:type="dxa"/>
            <w:tblInd w:w="1315" w:type="dxa"/>
            <w:tblLayout w:type="fixed"/>
            <w:tblLook w:val="0400" w:firstRow="0" w:lastRow="0" w:firstColumn="0" w:lastColumn="0" w:noHBand="0" w:noVBand="1"/>
          </w:tblPr>
          <w:tblGrid>
            <w:gridCol w:w="2739"/>
            <w:gridCol w:w="4727"/>
          </w:tblGrid>
          <w:tr w:rsidR="00266634" w:rsidTr="00BA3469">
            <w:trPr>
              <w:trHeight w:val="141"/>
            </w:trPr>
            <w:tc>
              <w:tcPr>
                <w:tcW w:w="2739" w:type="dxa"/>
                <w:shd w:val="clear" w:color="auto" w:fill="auto"/>
              </w:tcPr>
              <w:p w:rsidR="00266634" w:rsidRDefault="001662BC">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727" w:type="dxa"/>
                <w:shd w:val="clear" w:color="auto" w:fill="auto"/>
              </w:tcPr>
              <w:p w:rsidR="00266634" w:rsidRDefault="001662B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07578/INFOEM/IP/RR/2024</w:t>
                </w:r>
                <w:r>
                  <w:rPr>
                    <w:rFonts w:ascii="Palatino Linotype" w:eastAsia="Palatino Linotype" w:hAnsi="Palatino Linotype" w:cs="Palatino Linotype"/>
                    <w:b/>
                    <w:sz w:val="22"/>
                    <w:szCs w:val="22"/>
                  </w:rPr>
                  <w:t xml:space="preserve"> </w:t>
                </w:r>
              </w:p>
            </w:tc>
          </w:tr>
          <w:tr w:rsidR="00266634" w:rsidTr="00BA3469">
            <w:trPr>
              <w:trHeight w:val="141"/>
            </w:trPr>
            <w:tc>
              <w:tcPr>
                <w:tcW w:w="2739" w:type="dxa"/>
                <w:shd w:val="clear" w:color="auto" w:fill="auto"/>
              </w:tcPr>
              <w:p w:rsidR="00266634" w:rsidRDefault="001662B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727" w:type="dxa"/>
                <w:shd w:val="clear" w:color="auto" w:fill="auto"/>
              </w:tcPr>
              <w:p w:rsidR="00266634" w:rsidRDefault="00266634">
                <w:pPr>
                  <w:tabs>
                    <w:tab w:val="left" w:pos="3122"/>
                    <w:tab w:val="right" w:pos="8838"/>
                  </w:tabs>
                  <w:ind w:left="-74" w:right="-105"/>
                  <w:jc w:val="both"/>
                  <w:rPr>
                    <w:rFonts w:ascii="Palatino Linotype" w:eastAsia="Palatino Linotype" w:hAnsi="Palatino Linotype" w:cs="Palatino Linotype"/>
                    <w:sz w:val="22"/>
                    <w:szCs w:val="22"/>
                  </w:rPr>
                </w:pPr>
              </w:p>
            </w:tc>
          </w:tr>
          <w:tr w:rsidR="00266634" w:rsidTr="00BA3469">
            <w:trPr>
              <w:trHeight w:val="278"/>
            </w:trPr>
            <w:tc>
              <w:tcPr>
                <w:tcW w:w="2739" w:type="dxa"/>
                <w:shd w:val="clear" w:color="auto" w:fill="auto"/>
              </w:tcPr>
              <w:p w:rsidR="00266634" w:rsidRDefault="001662B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727" w:type="dxa"/>
                <w:shd w:val="clear" w:color="auto" w:fill="auto"/>
              </w:tcPr>
              <w:p w:rsidR="00266634" w:rsidRDefault="001662BC">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r>
          <w:tr w:rsidR="00266634" w:rsidTr="00BA3469">
            <w:trPr>
              <w:trHeight w:val="278"/>
            </w:trPr>
            <w:tc>
              <w:tcPr>
                <w:tcW w:w="2739" w:type="dxa"/>
                <w:shd w:val="clear" w:color="auto" w:fill="auto"/>
              </w:tcPr>
              <w:p w:rsidR="00266634" w:rsidRDefault="001662B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727" w:type="dxa"/>
                <w:shd w:val="clear" w:color="auto" w:fill="auto"/>
              </w:tcPr>
              <w:p w:rsidR="00266634" w:rsidRDefault="001662B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266634" w:rsidRDefault="00266634">
                <w:pPr>
                  <w:tabs>
                    <w:tab w:val="right" w:pos="8838"/>
                  </w:tabs>
                  <w:ind w:left="-74" w:right="-105"/>
                  <w:jc w:val="both"/>
                  <w:rPr>
                    <w:rFonts w:ascii="Palatino Linotype" w:eastAsia="Palatino Linotype" w:hAnsi="Palatino Linotype" w:cs="Palatino Linotype"/>
                    <w:b/>
                    <w:sz w:val="22"/>
                    <w:szCs w:val="22"/>
                  </w:rPr>
                </w:pPr>
              </w:p>
            </w:tc>
          </w:tr>
        </w:tbl>
        <w:p w:rsidR="00266634" w:rsidRDefault="00266634">
          <w:pPr>
            <w:tabs>
              <w:tab w:val="right" w:pos="8838"/>
            </w:tabs>
            <w:ind w:left="-28"/>
            <w:jc w:val="both"/>
            <w:rPr>
              <w:rFonts w:ascii="Arial" w:eastAsia="Arial" w:hAnsi="Arial" w:cs="Arial"/>
              <w:b/>
              <w:sz w:val="22"/>
              <w:szCs w:val="22"/>
            </w:rPr>
          </w:pPr>
        </w:p>
      </w:tc>
    </w:tr>
  </w:tbl>
  <w:p w:rsidR="00266634" w:rsidRDefault="00F97F5C">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80352"/>
    <w:multiLevelType w:val="multilevel"/>
    <w:tmpl w:val="060E91B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3338363F"/>
    <w:multiLevelType w:val="multilevel"/>
    <w:tmpl w:val="A7D2A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2840A9"/>
    <w:multiLevelType w:val="multilevel"/>
    <w:tmpl w:val="B5DC5E1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BC17EB"/>
    <w:multiLevelType w:val="multilevel"/>
    <w:tmpl w:val="92900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E63F40"/>
    <w:multiLevelType w:val="multilevel"/>
    <w:tmpl w:val="6CB4B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34"/>
    <w:rsid w:val="001662BC"/>
    <w:rsid w:val="00266634"/>
    <w:rsid w:val="002E218A"/>
    <w:rsid w:val="00BA3469"/>
    <w:rsid w:val="00C2502A"/>
    <w:rsid w:val="00CE0894"/>
    <w:rsid w:val="00EF3134"/>
    <w:rsid w:val="00F97F5C"/>
    <w:rsid w:val="00FE3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4C42C6F-F70D-42BC-AA49-56E76AB8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8DF"/>
  </w:style>
  <w:style w:type="paragraph" w:styleId="Ttulo1">
    <w:name w:val="heading 1"/>
    <w:basedOn w:val="Normal"/>
    <w:next w:val="Normal"/>
    <w:link w:val="Ttulo1Car"/>
    <w:uiPriority w:val="9"/>
    <w:qFormat/>
    <w:rsid w:val="000548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548DF"/>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0548DF"/>
    <w:pPr>
      <w:tabs>
        <w:tab w:val="center" w:pos="4419"/>
        <w:tab w:val="right" w:pos="8838"/>
      </w:tabs>
    </w:pPr>
  </w:style>
  <w:style w:type="character" w:customStyle="1" w:styleId="EncabezadoCar">
    <w:name w:val="Encabezado Car"/>
    <w:basedOn w:val="Fuentedeprrafopredeter"/>
    <w:link w:val="Encabezado"/>
    <w:uiPriority w:val="99"/>
    <w:rsid w:val="000548D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0548DF"/>
    <w:pPr>
      <w:tabs>
        <w:tab w:val="center" w:pos="4419"/>
        <w:tab w:val="right" w:pos="8838"/>
      </w:tabs>
    </w:pPr>
  </w:style>
  <w:style w:type="character" w:customStyle="1" w:styleId="PiedepginaCar">
    <w:name w:val="Pie de página Car"/>
    <w:basedOn w:val="Fuentedeprrafopredeter"/>
    <w:link w:val="Piedepgina"/>
    <w:uiPriority w:val="99"/>
    <w:rsid w:val="000548D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548DF"/>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0548DF"/>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0548D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548DF"/>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0548DF"/>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548DF"/>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0548DF"/>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F4094F"/>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imex.org.mx/saimex/solicitud/downloadAttach/2299018.page" TargetMode="External"/><Relationship Id="rId13" Type="http://schemas.openxmlformats.org/officeDocument/2006/relationships/hyperlink" Target="https://www.saimex.org.mx/saimex/solicitud/downloadAttach/2299021.page"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transparenciafiscal.edomex.gob.mx/evol-economia-2024" TargetMode="Externa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ransparenciafiscal.edomex.gob.mx/pc" TargetMode="External"/><Relationship Id="rId20" Type="http://schemas.openxmlformats.org/officeDocument/2006/relationships/hyperlink" Target="https://transparenciafiscal.edomex.gob.mx/evol-economia-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parenciafiscal.edomex.gob.mx/p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imex.org.mx/saimex/solicitud/downloadAttach/2316784.page"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transparenciafiscal.edomex.gob.mx/pc"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saimex.org.mx/saimex/solicitud/downloadAttach/2299019.page" TargetMode="External"/><Relationship Id="rId14" Type="http://schemas.openxmlformats.org/officeDocument/2006/relationships/hyperlink" Target="https://www.saimex.org.mx/saimex/solicitud/downloadAttach/2316783.page"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2SVDPv7r9+gBHy8VNGhV/unTQ==">CgMxLjAyCGguZ2pkZ3hzMgloLjMwajB6bGwyCWguMWZvYjl0ZTIJaC4zem55c2g3MgloLjJldDkycDAyCGgudHlqY3d0MgloLjNkeTZ2a20yCWguMXQzaDVzZjIJaC40ZDM0b2c4MgloLjJzOGV5bzE4AHIhMWZBUkxiVmE1aE5ndDBlN3FXREJIWkNwUlJkT3pGUjFf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4340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4</cp:revision>
  <dcterms:created xsi:type="dcterms:W3CDTF">2025-01-21T17:02:00Z</dcterms:created>
  <dcterms:modified xsi:type="dcterms:W3CDTF">2025-02-10T23:53:00Z</dcterms:modified>
</cp:coreProperties>
</file>