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326" w:rsidRPr="006D6809" w:rsidRDefault="00173EC0" w:rsidP="006D6809">
      <w:pPr>
        <w:keepNext/>
        <w:keepLines/>
        <w:pBdr>
          <w:top w:val="nil"/>
          <w:left w:val="nil"/>
          <w:bottom w:val="nil"/>
          <w:right w:val="nil"/>
          <w:between w:val="nil"/>
        </w:pBdr>
        <w:spacing w:before="240" w:line="259" w:lineRule="auto"/>
        <w:jc w:val="left"/>
        <w:rPr>
          <w:rFonts w:ascii="Calibri" w:eastAsia="Calibri" w:hAnsi="Calibri" w:cs="Calibri"/>
        </w:rPr>
      </w:pPr>
      <w:r w:rsidRPr="006D6809">
        <w:rPr>
          <w:rFonts w:ascii="Calibri" w:eastAsia="Calibri" w:hAnsi="Calibri" w:cs="Calibri"/>
        </w:rPr>
        <w:t>Contenido</w:t>
      </w:r>
    </w:p>
    <w:sdt>
      <w:sdtPr>
        <w:id w:val="-54625392"/>
        <w:docPartObj>
          <w:docPartGallery w:val="Table of Contents"/>
          <w:docPartUnique/>
        </w:docPartObj>
      </w:sdtPr>
      <w:sdtContent>
        <w:p w:rsidR="00676326" w:rsidRPr="006D6809" w:rsidRDefault="00173EC0" w:rsidP="006D6809">
          <w:pPr>
            <w:pBdr>
              <w:top w:val="nil"/>
              <w:left w:val="nil"/>
              <w:bottom w:val="nil"/>
              <w:right w:val="nil"/>
              <w:between w:val="nil"/>
            </w:pBdr>
            <w:tabs>
              <w:tab w:val="right" w:pos="9034"/>
            </w:tabs>
            <w:spacing w:after="100"/>
            <w:rPr>
              <w:rFonts w:ascii="Cambria" w:eastAsia="Cambria" w:hAnsi="Cambria" w:cs="Cambria"/>
            </w:rPr>
          </w:pPr>
          <w:r w:rsidRPr="006D6809">
            <w:fldChar w:fldCharType="begin"/>
          </w:r>
          <w:r w:rsidRPr="006D6809">
            <w:instrText xml:space="preserve"> TOC \h \u \z \t "Heading 1,1,Heading 2,2,Heading 3,3,"</w:instrText>
          </w:r>
          <w:r w:rsidRPr="006D6809">
            <w:fldChar w:fldCharType="separate"/>
          </w:r>
          <w:hyperlink w:anchor="_heading=h.6ke6pegv65ys">
            <w:r w:rsidRPr="006D6809">
              <w:t>ANTECEDENTES</w:t>
            </w:r>
            <w:r w:rsidRPr="006D6809">
              <w:tab/>
              <w:t>1</w:t>
            </w:r>
          </w:hyperlink>
        </w:p>
        <w:p w:rsidR="00676326" w:rsidRPr="006D6809" w:rsidRDefault="00415D1E" w:rsidP="006D6809">
          <w:pPr>
            <w:pBdr>
              <w:top w:val="nil"/>
              <w:left w:val="nil"/>
              <w:bottom w:val="nil"/>
              <w:right w:val="nil"/>
              <w:between w:val="nil"/>
            </w:pBdr>
            <w:tabs>
              <w:tab w:val="right" w:pos="9034"/>
            </w:tabs>
            <w:spacing w:after="100"/>
            <w:ind w:left="220"/>
            <w:rPr>
              <w:rFonts w:ascii="Cambria" w:eastAsia="Cambria" w:hAnsi="Cambria" w:cs="Cambria"/>
            </w:rPr>
          </w:pPr>
          <w:hyperlink w:anchor="_heading=h.rs87dae1i0ye">
            <w:r w:rsidR="00173EC0" w:rsidRPr="006D6809">
              <w:t>DE LA SOLICITUD DE INFORMACIÓN</w:t>
            </w:r>
            <w:r w:rsidR="00173EC0" w:rsidRPr="006D6809">
              <w:tab/>
              <w:t>1</w:t>
            </w:r>
          </w:hyperlink>
        </w:p>
        <w:p w:rsidR="00676326" w:rsidRPr="006D6809" w:rsidRDefault="00415D1E" w:rsidP="006D6809">
          <w:pPr>
            <w:pBdr>
              <w:top w:val="nil"/>
              <w:left w:val="nil"/>
              <w:bottom w:val="nil"/>
              <w:right w:val="nil"/>
              <w:between w:val="nil"/>
            </w:pBdr>
            <w:tabs>
              <w:tab w:val="right" w:pos="9034"/>
            </w:tabs>
            <w:spacing w:after="100"/>
            <w:ind w:left="440"/>
            <w:rPr>
              <w:rFonts w:ascii="Cambria" w:eastAsia="Cambria" w:hAnsi="Cambria" w:cs="Cambria"/>
            </w:rPr>
          </w:pPr>
          <w:hyperlink w:anchor="_heading=h.itsevd4d45sa">
            <w:r w:rsidR="00173EC0" w:rsidRPr="006D6809">
              <w:t>a) Solicitud de información</w:t>
            </w:r>
            <w:r w:rsidR="00173EC0" w:rsidRPr="006D6809">
              <w:tab/>
              <w:t>1</w:t>
            </w:r>
          </w:hyperlink>
        </w:p>
        <w:p w:rsidR="00676326" w:rsidRPr="006D6809" w:rsidRDefault="00415D1E" w:rsidP="006D6809">
          <w:pPr>
            <w:pBdr>
              <w:top w:val="nil"/>
              <w:left w:val="nil"/>
              <w:bottom w:val="nil"/>
              <w:right w:val="nil"/>
              <w:between w:val="nil"/>
            </w:pBdr>
            <w:tabs>
              <w:tab w:val="right" w:pos="9034"/>
            </w:tabs>
            <w:spacing w:after="100"/>
            <w:ind w:left="440"/>
            <w:rPr>
              <w:rFonts w:ascii="Cambria" w:eastAsia="Cambria" w:hAnsi="Cambria" w:cs="Cambria"/>
            </w:rPr>
          </w:pPr>
          <w:hyperlink w:anchor="_heading=h.ikehaguil5yl">
            <w:r w:rsidR="00173EC0" w:rsidRPr="006D6809">
              <w:t>b) Turno de la solicitud de información</w:t>
            </w:r>
            <w:r w:rsidR="00173EC0" w:rsidRPr="006D6809">
              <w:tab/>
              <w:t>2</w:t>
            </w:r>
          </w:hyperlink>
        </w:p>
        <w:p w:rsidR="00676326" w:rsidRPr="006D6809" w:rsidRDefault="00415D1E" w:rsidP="006D6809">
          <w:pPr>
            <w:pBdr>
              <w:top w:val="nil"/>
              <w:left w:val="nil"/>
              <w:bottom w:val="nil"/>
              <w:right w:val="nil"/>
              <w:between w:val="nil"/>
            </w:pBdr>
            <w:tabs>
              <w:tab w:val="right" w:pos="9034"/>
            </w:tabs>
            <w:spacing w:after="100"/>
            <w:ind w:left="440"/>
            <w:rPr>
              <w:rFonts w:ascii="Cambria" w:eastAsia="Cambria" w:hAnsi="Cambria" w:cs="Cambria"/>
            </w:rPr>
          </w:pPr>
          <w:hyperlink w:anchor="_heading=h.sl67vlejy66">
            <w:r w:rsidR="00173EC0" w:rsidRPr="006D6809">
              <w:t>c) Respuesta del Sujeto Obligado</w:t>
            </w:r>
            <w:r w:rsidR="00173EC0" w:rsidRPr="006D6809">
              <w:tab/>
              <w:t>2</w:t>
            </w:r>
          </w:hyperlink>
        </w:p>
        <w:p w:rsidR="00676326" w:rsidRPr="006D6809" w:rsidRDefault="00415D1E" w:rsidP="006D6809">
          <w:pPr>
            <w:pBdr>
              <w:top w:val="nil"/>
              <w:left w:val="nil"/>
              <w:bottom w:val="nil"/>
              <w:right w:val="nil"/>
              <w:between w:val="nil"/>
            </w:pBdr>
            <w:tabs>
              <w:tab w:val="right" w:pos="9034"/>
            </w:tabs>
            <w:spacing w:after="100"/>
            <w:ind w:left="220"/>
            <w:rPr>
              <w:rFonts w:ascii="Cambria" w:eastAsia="Cambria" w:hAnsi="Cambria" w:cs="Cambria"/>
            </w:rPr>
          </w:pPr>
          <w:hyperlink w:anchor="_heading=h.ybjf52dmbrk9">
            <w:r w:rsidR="00173EC0" w:rsidRPr="006D6809">
              <w:t>DEL RECURSO DE REVISIÓN</w:t>
            </w:r>
            <w:r w:rsidR="00173EC0" w:rsidRPr="006D6809">
              <w:tab/>
              <w:t>3</w:t>
            </w:r>
          </w:hyperlink>
        </w:p>
        <w:p w:rsidR="00676326" w:rsidRPr="006D6809" w:rsidRDefault="00415D1E" w:rsidP="006D6809">
          <w:pPr>
            <w:pBdr>
              <w:top w:val="nil"/>
              <w:left w:val="nil"/>
              <w:bottom w:val="nil"/>
              <w:right w:val="nil"/>
              <w:between w:val="nil"/>
            </w:pBdr>
            <w:tabs>
              <w:tab w:val="right" w:pos="9034"/>
            </w:tabs>
            <w:spacing w:after="100"/>
            <w:ind w:left="440"/>
            <w:rPr>
              <w:rFonts w:ascii="Cambria" w:eastAsia="Cambria" w:hAnsi="Cambria" w:cs="Cambria"/>
            </w:rPr>
          </w:pPr>
          <w:hyperlink w:anchor="_heading=h.9zd1eyr80n7p">
            <w:r w:rsidR="00173EC0" w:rsidRPr="006D6809">
              <w:t>a) Interposición del Recurso de Revisión</w:t>
            </w:r>
            <w:r w:rsidR="00173EC0" w:rsidRPr="006D6809">
              <w:tab/>
              <w:t>3</w:t>
            </w:r>
          </w:hyperlink>
        </w:p>
        <w:p w:rsidR="00676326" w:rsidRPr="006D6809" w:rsidRDefault="00415D1E" w:rsidP="006D6809">
          <w:pPr>
            <w:pBdr>
              <w:top w:val="nil"/>
              <w:left w:val="nil"/>
              <w:bottom w:val="nil"/>
              <w:right w:val="nil"/>
              <w:between w:val="nil"/>
            </w:pBdr>
            <w:tabs>
              <w:tab w:val="right" w:pos="9034"/>
            </w:tabs>
            <w:spacing w:after="100"/>
            <w:ind w:left="440"/>
            <w:rPr>
              <w:rFonts w:ascii="Cambria" w:eastAsia="Cambria" w:hAnsi="Cambria" w:cs="Cambria"/>
            </w:rPr>
          </w:pPr>
          <w:hyperlink w:anchor="_heading=h.6r1x7epxknb7">
            <w:r w:rsidR="00173EC0" w:rsidRPr="006D6809">
              <w:t>b) Turno del Recurso de Revisión</w:t>
            </w:r>
            <w:r w:rsidR="00173EC0" w:rsidRPr="006D6809">
              <w:tab/>
              <w:t>3</w:t>
            </w:r>
          </w:hyperlink>
        </w:p>
        <w:p w:rsidR="00676326" w:rsidRPr="006D6809" w:rsidRDefault="00415D1E" w:rsidP="006D6809">
          <w:pPr>
            <w:pBdr>
              <w:top w:val="nil"/>
              <w:left w:val="nil"/>
              <w:bottom w:val="nil"/>
              <w:right w:val="nil"/>
              <w:between w:val="nil"/>
            </w:pBdr>
            <w:tabs>
              <w:tab w:val="right" w:pos="9034"/>
            </w:tabs>
            <w:spacing w:after="100"/>
            <w:ind w:left="440"/>
            <w:rPr>
              <w:rFonts w:ascii="Cambria" w:eastAsia="Cambria" w:hAnsi="Cambria" w:cs="Cambria"/>
            </w:rPr>
          </w:pPr>
          <w:hyperlink w:anchor="_heading=h.eg0rioofd3we">
            <w:r w:rsidR="00173EC0" w:rsidRPr="006D6809">
              <w:t>c) Admisión del Recurso de Revisión</w:t>
            </w:r>
            <w:r w:rsidR="00173EC0" w:rsidRPr="006D6809">
              <w:tab/>
              <w:t>4</w:t>
            </w:r>
          </w:hyperlink>
        </w:p>
        <w:p w:rsidR="00676326" w:rsidRPr="006D6809" w:rsidRDefault="00415D1E" w:rsidP="006D6809">
          <w:pPr>
            <w:pBdr>
              <w:top w:val="nil"/>
              <w:left w:val="nil"/>
              <w:bottom w:val="nil"/>
              <w:right w:val="nil"/>
              <w:between w:val="nil"/>
            </w:pBdr>
            <w:tabs>
              <w:tab w:val="right" w:pos="9034"/>
            </w:tabs>
            <w:spacing w:after="100"/>
            <w:ind w:left="440"/>
            <w:rPr>
              <w:rFonts w:ascii="Cambria" w:eastAsia="Cambria" w:hAnsi="Cambria" w:cs="Cambria"/>
            </w:rPr>
          </w:pPr>
          <w:hyperlink w:anchor="_heading=h.aw30qmjq5rzg">
            <w:r w:rsidR="00173EC0" w:rsidRPr="006D6809">
              <w:t>d) Informe Justificado del Sujeto Obligado</w:t>
            </w:r>
            <w:r w:rsidR="00173EC0" w:rsidRPr="006D6809">
              <w:tab/>
              <w:t>4</w:t>
            </w:r>
          </w:hyperlink>
        </w:p>
        <w:p w:rsidR="00676326" w:rsidRPr="006D6809" w:rsidRDefault="00415D1E" w:rsidP="006D6809">
          <w:pPr>
            <w:pBdr>
              <w:top w:val="nil"/>
              <w:left w:val="nil"/>
              <w:bottom w:val="nil"/>
              <w:right w:val="nil"/>
              <w:between w:val="nil"/>
            </w:pBdr>
            <w:tabs>
              <w:tab w:val="right" w:pos="9034"/>
            </w:tabs>
            <w:spacing w:after="100"/>
            <w:ind w:left="440"/>
            <w:rPr>
              <w:rFonts w:ascii="Cambria" w:eastAsia="Cambria" w:hAnsi="Cambria" w:cs="Cambria"/>
            </w:rPr>
          </w:pPr>
          <w:hyperlink w:anchor="_heading=h.dqnvqixo7o4g">
            <w:r w:rsidR="00173EC0" w:rsidRPr="006D6809">
              <w:t>e) Manifestaciones de la Parte Recurrente</w:t>
            </w:r>
            <w:r w:rsidR="00173EC0" w:rsidRPr="006D6809">
              <w:tab/>
              <w:t>5</w:t>
            </w:r>
          </w:hyperlink>
        </w:p>
        <w:p w:rsidR="00676326" w:rsidRPr="006D6809" w:rsidRDefault="00415D1E" w:rsidP="006D6809">
          <w:pPr>
            <w:pBdr>
              <w:top w:val="nil"/>
              <w:left w:val="nil"/>
              <w:bottom w:val="nil"/>
              <w:right w:val="nil"/>
              <w:between w:val="nil"/>
            </w:pBdr>
            <w:tabs>
              <w:tab w:val="right" w:pos="9034"/>
            </w:tabs>
            <w:spacing w:after="100"/>
            <w:ind w:left="440"/>
            <w:rPr>
              <w:rFonts w:ascii="Cambria" w:eastAsia="Cambria" w:hAnsi="Cambria" w:cs="Cambria"/>
            </w:rPr>
          </w:pPr>
          <w:hyperlink w:anchor="_heading=h.ngtpvpto84cs">
            <w:r w:rsidR="00173EC0" w:rsidRPr="006D6809">
              <w:t>f) Cierre de instrucción</w:t>
            </w:r>
            <w:r w:rsidR="00173EC0" w:rsidRPr="006D6809">
              <w:tab/>
              <w:t>5</w:t>
            </w:r>
          </w:hyperlink>
        </w:p>
        <w:p w:rsidR="00676326" w:rsidRPr="006D6809" w:rsidRDefault="00415D1E" w:rsidP="006D6809">
          <w:pPr>
            <w:pBdr>
              <w:top w:val="nil"/>
              <w:left w:val="nil"/>
              <w:bottom w:val="nil"/>
              <w:right w:val="nil"/>
              <w:between w:val="nil"/>
            </w:pBdr>
            <w:tabs>
              <w:tab w:val="right" w:pos="9034"/>
            </w:tabs>
            <w:spacing w:after="100"/>
            <w:rPr>
              <w:rFonts w:ascii="Cambria" w:eastAsia="Cambria" w:hAnsi="Cambria" w:cs="Cambria"/>
            </w:rPr>
          </w:pPr>
          <w:hyperlink w:anchor="_heading=h.53v0hy4syb35">
            <w:r w:rsidR="00173EC0" w:rsidRPr="006D6809">
              <w:t>CONSIDERANDOS</w:t>
            </w:r>
            <w:r w:rsidR="00173EC0" w:rsidRPr="006D6809">
              <w:tab/>
              <w:t>6</w:t>
            </w:r>
          </w:hyperlink>
        </w:p>
        <w:p w:rsidR="00676326" w:rsidRPr="006D6809" w:rsidRDefault="00415D1E" w:rsidP="006D6809">
          <w:pPr>
            <w:pBdr>
              <w:top w:val="nil"/>
              <w:left w:val="nil"/>
              <w:bottom w:val="nil"/>
              <w:right w:val="nil"/>
              <w:between w:val="nil"/>
            </w:pBdr>
            <w:tabs>
              <w:tab w:val="right" w:pos="9034"/>
            </w:tabs>
            <w:spacing w:after="100"/>
            <w:ind w:left="220"/>
            <w:rPr>
              <w:rFonts w:ascii="Cambria" w:eastAsia="Cambria" w:hAnsi="Cambria" w:cs="Cambria"/>
            </w:rPr>
          </w:pPr>
          <w:hyperlink w:anchor="_heading=h.eoxncm6jxud2">
            <w:r w:rsidR="00173EC0" w:rsidRPr="006D6809">
              <w:t>PRIMERO. Procedibilidad</w:t>
            </w:r>
            <w:r w:rsidR="00173EC0" w:rsidRPr="006D6809">
              <w:tab/>
              <w:t>6</w:t>
            </w:r>
          </w:hyperlink>
        </w:p>
        <w:p w:rsidR="00676326" w:rsidRPr="006D6809" w:rsidRDefault="00415D1E" w:rsidP="006D6809">
          <w:pPr>
            <w:pBdr>
              <w:top w:val="nil"/>
              <w:left w:val="nil"/>
              <w:bottom w:val="nil"/>
              <w:right w:val="nil"/>
              <w:between w:val="nil"/>
            </w:pBdr>
            <w:tabs>
              <w:tab w:val="right" w:pos="9034"/>
            </w:tabs>
            <w:spacing w:after="100"/>
            <w:ind w:left="440"/>
            <w:rPr>
              <w:rFonts w:ascii="Cambria" w:eastAsia="Cambria" w:hAnsi="Cambria" w:cs="Cambria"/>
            </w:rPr>
          </w:pPr>
          <w:hyperlink w:anchor="_heading=h.xahcexmjytov">
            <w:r w:rsidR="00173EC0" w:rsidRPr="006D6809">
              <w:t>a) Competencia del Instituto</w:t>
            </w:r>
            <w:r w:rsidR="00173EC0" w:rsidRPr="006D6809">
              <w:tab/>
              <w:t>6</w:t>
            </w:r>
          </w:hyperlink>
        </w:p>
        <w:p w:rsidR="00676326" w:rsidRPr="006D6809" w:rsidRDefault="00415D1E" w:rsidP="006D6809">
          <w:pPr>
            <w:pBdr>
              <w:top w:val="nil"/>
              <w:left w:val="nil"/>
              <w:bottom w:val="nil"/>
              <w:right w:val="nil"/>
              <w:between w:val="nil"/>
            </w:pBdr>
            <w:tabs>
              <w:tab w:val="right" w:pos="9034"/>
            </w:tabs>
            <w:spacing w:after="100"/>
            <w:ind w:left="440"/>
            <w:rPr>
              <w:rFonts w:ascii="Cambria" w:eastAsia="Cambria" w:hAnsi="Cambria" w:cs="Cambria"/>
            </w:rPr>
          </w:pPr>
          <w:hyperlink w:anchor="_heading=h.mvoiujwxpul6">
            <w:r w:rsidR="00173EC0" w:rsidRPr="006D6809">
              <w:t>b) Legitimidad de la parte recurrente</w:t>
            </w:r>
            <w:r w:rsidR="00173EC0" w:rsidRPr="006D6809">
              <w:tab/>
              <w:t>6</w:t>
            </w:r>
          </w:hyperlink>
        </w:p>
        <w:p w:rsidR="00676326" w:rsidRPr="006D6809" w:rsidRDefault="00415D1E" w:rsidP="006D6809">
          <w:pPr>
            <w:pBdr>
              <w:top w:val="nil"/>
              <w:left w:val="nil"/>
              <w:bottom w:val="nil"/>
              <w:right w:val="nil"/>
              <w:between w:val="nil"/>
            </w:pBdr>
            <w:tabs>
              <w:tab w:val="right" w:pos="9034"/>
            </w:tabs>
            <w:spacing w:after="100"/>
            <w:ind w:left="440"/>
            <w:rPr>
              <w:rFonts w:ascii="Cambria" w:eastAsia="Cambria" w:hAnsi="Cambria" w:cs="Cambria"/>
            </w:rPr>
          </w:pPr>
          <w:hyperlink w:anchor="_heading=h.66zrtjc73hjr">
            <w:r w:rsidR="00173EC0" w:rsidRPr="006D6809">
              <w:t>c) Plazo para interponer el recurso</w:t>
            </w:r>
            <w:r w:rsidR="00173EC0" w:rsidRPr="006D6809">
              <w:tab/>
              <w:t>6</w:t>
            </w:r>
          </w:hyperlink>
        </w:p>
        <w:p w:rsidR="00676326" w:rsidRPr="006D6809" w:rsidRDefault="00415D1E" w:rsidP="006D6809">
          <w:pPr>
            <w:pBdr>
              <w:top w:val="nil"/>
              <w:left w:val="nil"/>
              <w:bottom w:val="nil"/>
              <w:right w:val="nil"/>
              <w:between w:val="nil"/>
            </w:pBdr>
            <w:tabs>
              <w:tab w:val="right" w:pos="9034"/>
            </w:tabs>
            <w:spacing w:after="100"/>
            <w:ind w:left="440"/>
            <w:rPr>
              <w:rFonts w:ascii="Cambria" w:eastAsia="Cambria" w:hAnsi="Cambria" w:cs="Cambria"/>
            </w:rPr>
          </w:pPr>
          <w:hyperlink w:anchor="_heading=h.kban0o6bagvw">
            <w:r w:rsidR="00173EC0" w:rsidRPr="006D6809">
              <w:t>d) Causal de Procedencia</w:t>
            </w:r>
            <w:r w:rsidR="00173EC0" w:rsidRPr="006D6809">
              <w:tab/>
              <w:t>7</w:t>
            </w:r>
          </w:hyperlink>
        </w:p>
        <w:p w:rsidR="00676326" w:rsidRPr="006D6809" w:rsidRDefault="00415D1E" w:rsidP="006D6809">
          <w:pPr>
            <w:pBdr>
              <w:top w:val="nil"/>
              <w:left w:val="nil"/>
              <w:bottom w:val="nil"/>
              <w:right w:val="nil"/>
              <w:between w:val="nil"/>
            </w:pBdr>
            <w:tabs>
              <w:tab w:val="right" w:pos="9034"/>
            </w:tabs>
            <w:spacing w:after="100"/>
            <w:ind w:left="440"/>
            <w:rPr>
              <w:rFonts w:ascii="Cambria" w:eastAsia="Cambria" w:hAnsi="Cambria" w:cs="Cambria"/>
            </w:rPr>
          </w:pPr>
          <w:hyperlink w:anchor="_heading=h.jacy97417yne">
            <w:r w:rsidR="00173EC0" w:rsidRPr="006D6809">
              <w:t>e) Requisitos formales para la interposición del recurso</w:t>
            </w:r>
            <w:r w:rsidR="00173EC0" w:rsidRPr="006D6809">
              <w:tab/>
              <w:t>7</w:t>
            </w:r>
          </w:hyperlink>
        </w:p>
        <w:p w:rsidR="00676326" w:rsidRPr="006D6809" w:rsidRDefault="00415D1E" w:rsidP="006D6809">
          <w:pPr>
            <w:pBdr>
              <w:top w:val="nil"/>
              <w:left w:val="nil"/>
              <w:bottom w:val="nil"/>
              <w:right w:val="nil"/>
              <w:between w:val="nil"/>
            </w:pBdr>
            <w:tabs>
              <w:tab w:val="right" w:pos="9034"/>
            </w:tabs>
            <w:spacing w:after="100"/>
            <w:ind w:left="220"/>
            <w:rPr>
              <w:rFonts w:ascii="Cambria" w:eastAsia="Cambria" w:hAnsi="Cambria" w:cs="Cambria"/>
            </w:rPr>
          </w:pPr>
          <w:hyperlink w:anchor="_heading=h.mxoc9a0zpcd">
            <w:r w:rsidR="00173EC0" w:rsidRPr="006D6809">
              <w:t>SEGUNDO. Estudio de Fondo</w:t>
            </w:r>
            <w:r w:rsidR="00173EC0" w:rsidRPr="006D6809">
              <w:tab/>
              <w:t>8</w:t>
            </w:r>
          </w:hyperlink>
        </w:p>
        <w:p w:rsidR="00676326" w:rsidRPr="006D6809" w:rsidRDefault="00415D1E" w:rsidP="006D6809">
          <w:pPr>
            <w:pBdr>
              <w:top w:val="nil"/>
              <w:left w:val="nil"/>
              <w:bottom w:val="nil"/>
              <w:right w:val="nil"/>
              <w:between w:val="nil"/>
            </w:pBdr>
            <w:tabs>
              <w:tab w:val="right" w:pos="9034"/>
            </w:tabs>
            <w:spacing w:after="100"/>
            <w:ind w:left="440"/>
            <w:rPr>
              <w:rFonts w:ascii="Cambria" w:eastAsia="Cambria" w:hAnsi="Cambria" w:cs="Cambria"/>
            </w:rPr>
          </w:pPr>
          <w:hyperlink w:anchor="_heading=h.s385dvcls2b">
            <w:r w:rsidR="00173EC0" w:rsidRPr="006D6809">
              <w:t>a) Mandato de transparencia y responsabilidad del Sujeto Obligado</w:t>
            </w:r>
            <w:r w:rsidR="00173EC0" w:rsidRPr="006D6809">
              <w:tab/>
              <w:t>8</w:t>
            </w:r>
          </w:hyperlink>
        </w:p>
        <w:p w:rsidR="00676326" w:rsidRPr="006D6809" w:rsidRDefault="00415D1E" w:rsidP="006D6809">
          <w:pPr>
            <w:pBdr>
              <w:top w:val="nil"/>
              <w:left w:val="nil"/>
              <w:bottom w:val="nil"/>
              <w:right w:val="nil"/>
              <w:between w:val="nil"/>
            </w:pBdr>
            <w:tabs>
              <w:tab w:val="right" w:pos="9034"/>
            </w:tabs>
            <w:spacing w:after="100"/>
            <w:ind w:left="440"/>
            <w:rPr>
              <w:rFonts w:ascii="Cambria" w:eastAsia="Cambria" w:hAnsi="Cambria" w:cs="Cambria"/>
            </w:rPr>
          </w:pPr>
          <w:hyperlink w:anchor="_heading=h.qw1goxqgiehu">
            <w:r w:rsidR="00173EC0" w:rsidRPr="006D6809">
              <w:t>b) Controversia a resolver</w:t>
            </w:r>
            <w:r w:rsidR="00173EC0" w:rsidRPr="006D6809">
              <w:tab/>
              <w:t>10</w:t>
            </w:r>
          </w:hyperlink>
        </w:p>
        <w:p w:rsidR="00676326" w:rsidRPr="006D6809" w:rsidRDefault="00415D1E" w:rsidP="006D6809">
          <w:pPr>
            <w:pBdr>
              <w:top w:val="nil"/>
              <w:left w:val="nil"/>
              <w:bottom w:val="nil"/>
              <w:right w:val="nil"/>
              <w:between w:val="nil"/>
            </w:pBdr>
            <w:tabs>
              <w:tab w:val="right" w:pos="9034"/>
            </w:tabs>
            <w:spacing w:after="100"/>
            <w:ind w:left="440"/>
            <w:rPr>
              <w:rFonts w:ascii="Cambria" w:eastAsia="Cambria" w:hAnsi="Cambria" w:cs="Cambria"/>
            </w:rPr>
          </w:pPr>
          <w:hyperlink w:anchor="_heading=h.e1nafeltl89t">
            <w:r w:rsidR="00173EC0" w:rsidRPr="006D6809">
              <w:t>c) Estudio de la controversia</w:t>
            </w:r>
            <w:r w:rsidR="00173EC0" w:rsidRPr="006D6809">
              <w:tab/>
              <w:t>11</w:t>
            </w:r>
          </w:hyperlink>
        </w:p>
        <w:p w:rsidR="00676326" w:rsidRPr="006D6809" w:rsidRDefault="00415D1E" w:rsidP="006D6809">
          <w:pPr>
            <w:pBdr>
              <w:top w:val="nil"/>
              <w:left w:val="nil"/>
              <w:bottom w:val="nil"/>
              <w:right w:val="nil"/>
              <w:between w:val="nil"/>
            </w:pBdr>
            <w:tabs>
              <w:tab w:val="right" w:pos="9034"/>
            </w:tabs>
            <w:spacing w:after="100"/>
            <w:ind w:left="440"/>
            <w:rPr>
              <w:rFonts w:ascii="Cambria" w:eastAsia="Cambria" w:hAnsi="Cambria" w:cs="Cambria"/>
            </w:rPr>
          </w:pPr>
          <w:hyperlink w:anchor="_heading=h.z4tpss8jc8l0">
            <w:r w:rsidR="00173EC0" w:rsidRPr="006D6809">
              <w:t>d) Versión pública</w:t>
            </w:r>
            <w:r w:rsidR="00173EC0" w:rsidRPr="006D6809">
              <w:tab/>
              <w:t>20</w:t>
            </w:r>
          </w:hyperlink>
        </w:p>
        <w:p w:rsidR="00676326" w:rsidRPr="006D6809" w:rsidRDefault="00415D1E" w:rsidP="006D6809">
          <w:pPr>
            <w:pBdr>
              <w:top w:val="nil"/>
              <w:left w:val="nil"/>
              <w:bottom w:val="nil"/>
              <w:right w:val="nil"/>
              <w:between w:val="nil"/>
            </w:pBdr>
            <w:tabs>
              <w:tab w:val="right" w:pos="9034"/>
            </w:tabs>
            <w:spacing w:after="100"/>
            <w:ind w:left="440"/>
            <w:rPr>
              <w:rFonts w:ascii="Cambria" w:eastAsia="Cambria" w:hAnsi="Cambria" w:cs="Cambria"/>
            </w:rPr>
          </w:pPr>
          <w:hyperlink w:anchor="_heading=h.quu0822adux9">
            <w:r w:rsidR="00173EC0" w:rsidRPr="006D6809">
              <w:t>e) Conclusión</w:t>
            </w:r>
            <w:r w:rsidR="00173EC0" w:rsidRPr="006D6809">
              <w:tab/>
              <w:t>46</w:t>
            </w:r>
          </w:hyperlink>
        </w:p>
        <w:p w:rsidR="00676326" w:rsidRPr="006D6809" w:rsidRDefault="00415D1E" w:rsidP="006D6809">
          <w:pPr>
            <w:pBdr>
              <w:top w:val="nil"/>
              <w:left w:val="nil"/>
              <w:bottom w:val="nil"/>
              <w:right w:val="nil"/>
              <w:between w:val="nil"/>
            </w:pBdr>
            <w:tabs>
              <w:tab w:val="right" w:pos="9034"/>
            </w:tabs>
            <w:spacing w:after="100"/>
            <w:rPr>
              <w:rFonts w:ascii="Cambria" w:eastAsia="Cambria" w:hAnsi="Cambria" w:cs="Cambria"/>
            </w:rPr>
          </w:pPr>
          <w:hyperlink w:anchor="_heading=h.6pi7l4qrgh7k">
            <w:r w:rsidR="00173EC0" w:rsidRPr="006D6809">
              <w:t>RESUELVE</w:t>
            </w:r>
            <w:r w:rsidR="00173EC0" w:rsidRPr="006D6809">
              <w:tab/>
              <w:t>47</w:t>
            </w:r>
          </w:hyperlink>
        </w:p>
        <w:p w:rsidR="00676326" w:rsidRPr="006D6809" w:rsidRDefault="00173EC0" w:rsidP="006D6809">
          <w:r w:rsidRPr="006D6809">
            <w:fldChar w:fldCharType="end"/>
          </w:r>
        </w:p>
      </w:sdtContent>
    </w:sdt>
    <w:p w:rsidR="00676326" w:rsidRPr="006D6809" w:rsidRDefault="00676326" w:rsidP="006D6809">
      <w:pPr>
        <w:pBdr>
          <w:top w:val="nil"/>
          <w:left w:val="nil"/>
          <w:bottom w:val="nil"/>
          <w:right w:val="nil"/>
          <w:between w:val="nil"/>
        </w:pBdr>
        <w:tabs>
          <w:tab w:val="right" w:pos="9034"/>
        </w:tabs>
        <w:spacing w:after="100"/>
        <w:rPr>
          <w:b/>
        </w:rPr>
        <w:sectPr w:rsidR="00676326" w:rsidRPr="006D6809">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rsidR="00676326" w:rsidRPr="006D6809" w:rsidRDefault="00173EC0" w:rsidP="006D6809">
      <w:pPr>
        <w:rPr>
          <w:b/>
        </w:rPr>
      </w:pPr>
      <w:r w:rsidRPr="006D6809">
        <w:lastRenderedPageBreak/>
        <w:t>Resolución del Pleno del Instituto de Transparencia, Acceso a la Información Pública y Protección de Datos Personales del Estado de México y Municipios, con domicilio en Metepec, Estado de México, de</w:t>
      </w:r>
      <w:r w:rsidR="006D6809">
        <w:t>l</w:t>
      </w:r>
      <w:r w:rsidRPr="006D6809">
        <w:t xml:space="preserve"> </w:t>
      </w:r>
      <w:r w:rsidRPr="006D6809">
        <w:rPr>
          <w:b/>
        </w:rPr>
        <w:t>veintitrés de abril de dos mil veinticinco.</w:t>
      </w:r>
    </w:p>
    <w:p w:rsidR="00676326" w:rsidRPr="006D6809" w:rsidRDefault="00676326" w:rsidP="006D6809"/>
    <w:p w:rsidR="00676326" w:rsidRPr="006D6809" w:rsidRDefault="00173EC0" w:rsidP="006D6809">
      <w:r w:rsidRPr="006D6809">
        <w:rPr>
          <w:b/>
        </w:rPr>
        <w:t xml:space="preserve">VISTO </w:t>
      </w:r>
      <w:r w:rsidRPr="006D6809">
        <w:t xml:space="preserve">el expediente formado con motivo del Recurso de Revisión </w:t>
      </w:r>
      <w:r w:rsidRPr="006D6809">
        <w:rPr>
          <w:b/>
        </w:rPr>
        <w:t xml:space="preserve">02257/INFOEM/IP/RR/2025 </w:t>
      </w:r>
      <w:r w:rsidRPr="006D6809">
        <w:t xml:space="preserve">interpuesto por </w:t>
      </w:r>
      <w:r w:rsidR="00415D1E">
        <w:rPr>
          <w:b/>
        </w:rPr>
        <w:t>XXXXXXX XXXXXX</w:t>
      </w:r>
      <w:r w:rsidRPr="006D6809">
        <w:t xml:space="preserve">, a quien en lo subsecuente se le denominará </w:t>
      </w:r>
      <w:r w:rsidRPr="006D6809">
        <w:rPr>
          <w:b/>
        </w:rPr>
        <w:t>LA PARTE RECURRENTE</w:t>
      </w:r>
      <w:r w:rsidRPr="006D6809">
        <w:t xml:space="preserve">, en contra de la respuesta emitida por el </w:t>
      </w:r>
      <w:r w:rsidRPr="006D6809">
        <w:rPr>
          <w:b/>
        </w:rPr>
        <w:t xml:space="preserve">Ayuntamiento de </w:t>
      </w:r>
      <w:proofErr w:type="spellStart"/>
      <w:r w:rsidRPr="006D6809">
        <w:rPr>
          <w:b/>
        </w:rPr>
        <w:t>Ozumba</w:t>
      </w:r>
      <w:proofErr w:type="spellEnd"/>
      <w:r w:rsidRPr="006D6809">
        <w:t xml:space="preserve">, en adelante </w:t>
      </w:r>
      <w:r w:rsidRPr="006D6809">
        <w:rPr>
          <w:b/>
        </w:rPr>
        <w:t>EL SUJETO OBLIGADO</w:t>
      </w:r>
      <w:r w:rsidRPr="006D6809">
        <w:t>, se emite la presente Resolución con base en los Antecedentes y Considerandos que se exponen a continuación:</w:t>
      </w:r>
    </w:p>
    <w:p w:rsidR="00676326" w:rsidRPr="006D6809" w:rsidRDefault="00676326" w:rsidP="006D6809"/>
    <w:p w:rsidR="00676326" w:rsidRPr="006D6809" w:rsidRDefault="00173EC0" w:rsidP="006D6809">
      <w:pPr>
        <w:pStyle w:val="Ttulo1"/>
      </w:pPr>
      <w:bookmarkStart w:id="2" w:name="_heading=h.6ke6pegv65ys" w:colFirst="0" w:colLast="0"/>
      <w:bookmarkEnd w:id="2"/>
      <w:r w:rsidRPr="006D6809">
        <w:t>ANTECEDENTES</w:t>
      </w:r>
    </w:p>
    <w:p w:rsidR="00676326" w:rsidRPr="006D6809" w:rsidRDefault="00676326" w:rsidP="006D6809"/>
    <w:p w:rsidR="00676326" w:rsidRPr="006D6809" w:rsidRDefault="00173EC0" w:rsidP="006D6809">
      <w:pPr>
        <w:pStyle w:val="Ttulo2"/>
      </w:pPr>
      <w:bookmarkStart w:id="3" w:name="_heading=h.rs87dae1i0ye" w:colFirst="0" w:colLast="0"/>
      <w:bookmarkEnd w:id="3"/>
      <w:r w:rsidRPr="006D6809">
        <w:t>DE LA SOLICITUD DE INFORMACIÓN</w:t>
      </w:r>
    </w:p>
    <w:p w:rsidR="00676326" w:rsidRPr="006D6809" w:rsidRDefault="00173EC0" w:rsidP="006D6809">
      <w:pPr>
        <w:pStyle w:val="Ttulo3"/>
      </w:pPr>
      <w:bookmarkStart w:id="4" w:name="_heading=h.itsevd4d45sa" w:colFirst="0" w:colLast="0"/>
      <w:bookmarkEnd w:id="4"/>
      <w:r w:rsidRPr="006D6809">
        <w:t>a) Solicitud de información</w:t>
      </w:r>
    </w:p>
    <w:p w:rsidR="00676326" w:rsidRPr="006D6809" w:rsidRDefault="00173EC0" w:rsidP="006D6809">
      <w:pPr>
        <w:pBdr>
          <w:top w:val="nil"/>
          <w:left w:val="nil"/>
          <w:bottom w:val="nil"/>
          <w:right w:val="nil"/>
          <w:between w:val="nil"/>
        </w:pBdr>
        <w:tabs>
          <w:tab w:val="left" w:pos="0"/>
        </w:tabs>
      </w:pPr>
      <w:r w:rsidRPr="006D6809">
        <w:t xml:space="preserve">El </w:t>
      </w:r>
      <w:r w:rsidRPr="006D6809">
        <w:rPr>
          <w:b/>
        </w:rPr>
        <w:t>dos de diciembre de dos mil veinticuatro,</w:t>
      </w:r>
      <w:r w:rsidRPr="006D6809">
        <w:t xml:space="preserve"> </w:t>
      </w:r>
      <w:r w:rsidRPr="006D6809">
        <w:rPr>
          <w:b/>
        </w:rPr>
        <w:t>LA PARTE RECURRENTE</w:t>
      </w:r>
      <w:r w:rsidRPr="006D6809">
        <w:t xml:space="preserve"> presentó una solicitud de acceso a la información pública ante el </w:t>
      </w:r>
      <w:r w:rsidRPr="006D6809">
        <w:rPr>
          <w:b/>
        </w:rPr>
        <w:t>SUJETO OBLIGADO</w:t>
      </w:r>
      <w:r w:rsidRPr="006D6809">
        <w:t>, a través del Sistema de Acceso a la Información Mexiquense (</w:t>
      </w:r>
      <w:r w:rsidRPr="006D6809">
        <w:rPr>
          <w:b/>
        </w:rPr>
        <w:t>SAIMEX</w:t>
      </w:r>
      <w:r w:rsidRPr="006D6809">
        <w:t>). Dicha solicitud quedó registrada con el número de folio</w:t>
      </w:r>
      <w:r w:rsidRPr="006D6809">
        <w:rPr>
          <w:b/>
        </w:rPr>
        <w:t xml:space="preserve"> 00071/OZUMBA/IP/2024 </w:t>
      </w:r>
      <w:r w:rsidRPr="006D6809">
        <w:t>y en ella se requirió la siguiente información:</w:t>
      </w:r>
    </w:p>
    <w:p w:rsidR="00676326" w:rsidRPr="006D6809" w:rsidRDefault="00676326" w:rsidP="006D6809">
      <w:pPr>
        <w:tabs>
          <w:tab w:val="left" w:pos="4667"/>
        </w:tabs>
        <w:ind w:right="567"/>
        <w:rPr>
          <w:i/>
        </w:rPr>
      </w:pPr>
    </w:p>
    <w:p w:rsidR="00676326" w:rsidRPr="006D6809" w:rsidRDefault="00173EC0" w:rsidP="006D6809">
      <w:pPr>
        <w:pStyle w:val="Puesto"/>
        <w:ind w:firstLine="0"/>
        <w:rPr>
          <w:color w:val="auto"/>
        </w:rPr>
      </w:pPr>
      <w:bookmarkStart w:id="5" w:name="_heading=h.3znysh7" w:colFirst="0" w:colLast="0"/>
      <w:bookmarkEnd w:id="5"/>
      <w:r w:rsidRPr="006D6809">
        <w:rPr>
          <w:color w:val="auto"/>
        </w:rPr>
        <w:t>“Con Fundamento en el artículo 6° Constitucional, solicito lo siguiente: 1.- Nomina vigente del H. Ayuntamiento, que contenga nombre de los servidores públicos, áreas de adscripción, fecha de ingreso, antigüedad en el cargo actual, sueldo y prestaciones, y tipo de personal, es decir, si es de base, confianza o por honorarios. “ Sic</w:t>
      </w:r>
    </w:p>
    <w:p w:rsidR="00676326" w:rsidRPr="006D6809" w:rsidRDefault="00676326" w:rsidP="006D6809"/>
    <w:p w:rsidR="00676326" w:rsidRPr="006D6809" w:rsidRDefault="00173EC0" w:rsidP="006D6809">
      <w:pPr>
        <w:tabs>
          <w:tab w:val="left" w:pos="4667"/>
        </w:tabs>
        <w:ind w:right="567"/>
        <w:rPr>
          <w:i/>
        </w:rPr>
      </w:pPr>
      <w:r w:rsidRPr="006D6809">
        <w:rPr>
          <w:b/>
        </w:rPr>
        <w:t>Modalidad de entrega</w:t>
      </w:r>
      <w:r w:rsidRPr="006D6809">
        <w:t>: a través del</w:t>
      </w:r>
      <w:r w:rsidRPr="006D6809">
        <w:rPr>
          <w:i/>
        </w:rPr>
        <w:t xml:space="preserve"> </w:t>
      </w:r>
      <w:r w:rsidRPr="006D6809">
        <w:rPr>
          <w:b/>
          <w:i/>
        </w:rPr>
        <w:t>SAIMEX</w:t>
      </w:r>
      <w:r w:rsidRPr="006D6809">
        <w:rPr>
          <w:i/>
        </w:rPr>
        <w:t>.</w:t>
      </w:r>
    </w:p>
    <w:p w:rsidR="00676326" w:rsidRPr="006D6809" w:rsidRDefault="00173EC0" w:rsidP="006D6809">
      <w:pPr>
        <w:pStyle w:val="Ttulo3"/>
      </w:pPr>
      <w:bookmarkStart w:id="6" w:name="_heading=h.ikehaguil5yl" w:colFirst="0" w:colLast="0"/>
      <w:bookmarkEnd w:id="6"/>
      <w:r w:rsidRPr="006D6809">
        <w:lastRenderedPageBreak/>
        <w:t>b) Turno de la solicitud de información</w:t>
      </w:r>
    </w:p>
    <w:p w:rsidR="00676326" w:rsidRPr="006D6809" w:rsidRDefault="00173EC0" w:rsidP="006D6809">
      <w:r w:rsidRPr="006D6809">
        <w:t xml:space="preserve">En cumplimiento al artículo 162 de la Ley de Transparencia y Acceso a la Información Pública del Estado de México y Municipios, el </w:t>
      </w:r>
      <w:r w:rsidRPr="006D6809">
        <w:rPr>
          <w:b/>
        </w:rPr>
        <w:t>cinco de febrero de dos mil veinticinco</w:t>
      </w:r>
      <w:r w:rsidRPr="006D6809">
        <w:t xml:space="preserve">, el Titular de la Unidad de Transparencia del </w:t>
      </w:r>
      <w:r w:rsidRPr="006D6809">
        <w:rPr>
          <w:b/>
        </w:rPr>
        <w:t>SUJETO OBLIGADO</w:t>
      </w:r>
      <w:r w:rsidRPr="006D6809">
        <w:t xml:space="preserve"> turnó la solicitud de información al servidor público habilitado que estimó pertinente.</w:t>
      </w:r>
    </w:p>
    <w:p w:rsidR="00676326" w:rsidRPr="006D6809" w:rsidRDefault="00676326" w:rsidP="006D6809"/>
    <w:p w:rsidR="00676326" w:rsidRPr="006D6809" w:rsidRDefault="00173EC0" w:rsidP="006D6809">
      <w:pPr>
        <w:pStyle w:val="Ttulo3"/>
      </w:pPr>
      <w:bookmarkStart w:id="7" w:name="_heading=h.sl67vlejy66" w:colFirst="0" w:colLast="0"/>
      <w:bookmarkEnd w:id="7"/>
      <w:r w:rsidRPr="006D6809">
        <w:t>c) Respuesta del Sujeto Obligado</w:t>
      </w:r>
    </w:p>
    <w:p w:rsidR="00676326" w:rsidRPr="006D6809" w:rsidRDefault="00173EC0" w:rsidP="006D6809">
      <w:pPr>
        <w:pBdr>
          <w:top w:val="nil"/>
          <w:left w:val="nil"/>
          <w:bottom w:val="nil"/>
          <w:right w:val="nil"/>
          <w:between w:val="nil"/>
        </w:pBdr>
      </w:pPr>
      <w:r w:rsidRPr="006D6809">
        <w:t xml:space="preserve">El </w:t>
      </w:r>
      <w:r w:rsidRPr="006D6809">
        <w:rPr>
          <w:b/>
        </w:rPr>
        <w:t xml:space="preserve">diecinueve de febrero de dos mil veinticinco, </w:t>
      </w:r>
      <w:r w:rsidRPr="006D6809">
        <w:t xml:space="preserve">el Titular de la Unidad de Transparencia del </w:t>
      </w:r>
      <w:r w:rsidRPr="006D6809">
        <w:rPr>
          <w:b/>
        </w:rPr>
        <w:t>SUJETO OBLIGADO</w:t>
      </w:r>
      <w:r w:rsidRPr="006D6809">
        <w:t xml:space="preserve"> notificó a través del </w:t>
      </w:r>
      <w:r w:rsidRPr="006D6809">
        <w:rPr>
          <w:b/>
        </w:rPr>
        <w:t>SAIMEX</w:t>
      </w:r>
      <w:r w:rsidRPr="006D6809">
        <w:t xml:space="preserve"> la siguiente respuesta:</w:t>
      </w:r>
    </w:p>
    <w:p w:rsidR="00676326" w:rsidRPr="006D6809" w:rsidRDefault="00676326" w:rsidP="006D6809">
      <w:pPr>
        <w:pStyle w:val="Puesto"/>
        <w:ind w:left="0" w:firstLine="0"/>
        <w:rPr>
          <w:color w:val="auto"/>
        </w:rPr>
      </w:pPr>
    </w:p>
    <w:p w:rsidR="00676326" w:rsidRPr="006D6809" w:rsidRDefault="00173EC0" w:rsidP="006D6809">
      <w:pPr>
        <w:pStyle w:val="Puesto"/>
        <w:jc w:val="right"/>
        <w:rPr>
          <w:color w:val="auto"/>
        </w:rPr>
      </w:pPr>
      <w:r w:rsidRPr="006D6809">
        <w:rPr>
          <w:color w:val="auto"/>
        </w:rPr>
        <w:t>“Folio de la solicitud: 00071/OZUMBA/IP/2024</w:t>
      </w:r>
    </w:p>
    <w:p w:rsidR="00676326" w:rsidRPr="006D6809" w:rsidRDefault="00676326" w:rsidP="006D6809"/>
    <w:p w:rsidR="00676326" w:rsidRPr="006D6809" w:rsidRDefault="00173EC0" w:rsidP="006D6809">
      <w:pPr>
        <w:pStyle w:val="Puesto"/>
        <w:ind w:firstLine="0"/>
        <w:rPr>
          <w:color w:val="auto"/>
        </w:rPr>
      </w:pPr>
      <w:r w:rsidRPr="006D6809">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676326" w:rsidRPr="006D6809" w:rsidRDefault="00676326" w:rsidP="006D6809"/>
    <w:p w:rsidR="00676326" w:rsidRPr="006D6809" w:rsidRDefault="00173EC0" w:rsidP="006D6809">
      <w:pPr>
        <w:pStyle w:val="Puesto"/>
        <w:ind w:firstLine="0"/>
        <w:rPr>
          <w:color w:val="auto"/>
        </w:rPr>
      </w:pPr>
      <w:r w:rsidRPr="006D6809">
        <w:rPr>
          <w:color w:val="auto"/>
        </w:rPr>
        <w:t xml:space="preserve">Estimado solicitante reciba con el presente un cordial saludo, al mismo tiempo remito respuesta a su SI, por parte de SPH designado para atenderla el cual refiere lo siguiente “respuesta en formato </w:t>
      </w:r>
      <w:proofErr w:type="spellStart"/>
      <w:r w:rsidRPr="006D6809">
        <w:rPr>
          <w:color w:val="auto"/>
        </w:rPr>
        <w:t>pdf</w:t>
      </w:r>
      <w:proofErr w:type="spellEnd"/>
      <w:r w:rsidRPr="006D6809">
        <w:rPr>
          <w:color w:val="auto"/>
        </w:rPr>
        <w:t xml:space="preserve">”, denominado: </w:t>
      </w:r>
      <w:proofErr w:type="spellStart"/>
      <w:r w:rsidRPr="006D6809">
        <w:rPr>
          <w:color w:val="auto"/>
        </w:rPr>
        <w:t>tesoreo</w:t>
      </w:r>
      <w:proofErr w:type="spellEnd"/>
      <w:r w:rsidRPr="006D6809">
        <w:rPr>
          <w:color w:val="auto"/>
        </w:rPr>
        <w:t xml:space="preserve"> SIC</w:t>
      </w:r>
    </w:p>
    <w:p w:rsidR="00676326" w:rsidRPr="006D6809" w:rsidRDefault="00676326" w:rsidP="006D6809"/>
    <w:p w:rsidR="00676326" w:rsidRPr="006D6809" w:rsidRDefault="00173EC0" w:rsidP="006D6809">
      <w:pPr>
        <w:pStyle w:val="Puesto"/>
        <w:ind w:firstLine="0"/>
        <w:rPr>
          <w:color w:val="auto"/>
        </w:rPr>
      </w:pPr>
      <w:r w:rsidRPr="006D6809">
        <w:rPr>
          <w:color w:val="auto"/>
        </w:rPr>
        <w:t>ATENTAMENTE</w:t>
      </w:r>
    </w:p>
    <w:p w:rsidR="00676326" w:rsidRPr="006D6809" w:rsidRDefault="00173EC0" w:rsidP="006D6809">
      <w:pPr>
        <w:pStyle w:val="Puesto"/>
        <w:ind w:firstLine="0"/>
        <w:rPr>
          <w:color w:val="auto"/>
        </w:rPr>
      </w:pPr>
      <w:r w:rsidRPr="006D6809">
        <w:rPr>
          <w:color w:val="auto"/>
        </w:rPr>
        <w:t xml:space="preserve">C. THELMA VALENCIA </w:t>
      </w:r>
      <w:proofErr w:type="spellStart"/>
      <w:r w:rsidRPr="006D6809">
        <w:rPr>
          <w:color w:val="auto"/>
        </w:rPr>
        <w:t>VALENCIA</w:t>
      </w:r>
      <w:proofErr w:type="spellEnd"/>
      <w:r w:rsidRPr="006D6809">
        <w:rPr>
          <w:color w:val="auto"/>
        </w:rPr>
        <w:t>” (sic)</w:t>
      </w:r>
    </w:p>
    <w:p w:rsidR="00676326" w:rsidRPr="006D6809" w:rsidRDefault="00676326" w:rsidP="006D6809">
      <w:pPr>
        <w:ind w:right="-28"/>
      </w:pPr>
    </w:p>
    <w:p w:rsidR="00676326" w:rsidRPr="006D6809" w:rsidRDefault="00173EC0" w:rsidP="006D6809">
      <w:pPr>
        <w:ind w:right="-28"/>
      </w:pPr>
      <w:r w:rsidRPr="006D6809">
        <w:t xml:space="preserve">Asimismo, </w:t>
      </w:r>
      <w:r w:rsidRPr="006D6809">
        <w:rPr>
          <w:b/>
        </w:rPr>
        <w:t xml:space="preserve">EL SUJETO OBLIGADO </w:t>
      </w:r>
      <w:r w:rsidRPr="006D6809">
        <w:t>adjuntó a su respuesta los archivos electrónicos que se describen:</w:t>
      </w:r>
    </w:p>
    <w:p w:rsidR="00676326" w:rsidRPr="006D6809" w:rsidRDefault="00676326" w:rsidP="006D6809">
      <w:pPr>
        <w:ind w:right="-28"/>
      </w:pPr>
    </w:p>
    <w:p w:rsidR="00676326" w:rsidRPr="006D6809" w:rsidRDefault="00173EC0" w:rsidP="006D6809">
      <w:pPr>
        <w:numPr>
          <w:ilvl w:val="0"/>
          <w:numId w:val="5"/>
        </w:numPr>
        <w:tabs>
          <w:tab w:val="left" w:pos="5550"/>
        </w:tabs>
        <w:ind w:right="-28"/>
        <w:rPr>
          <w:b/>
          <w:i/>
        </w:rPr>
      </w:pPr>
      <w:r w:rsidRPr="006D6809">
        <w:rPr>
          <w:b/>
          <w:i/>
        </w:rPr>
        <w:t>tesorero .</w:t>
      </w:r>
      <w:proofErr w:type="spellStart"/>
      <w:r w:rsidRPr="006D6809">
        <w:rPr>
          <w:b/>
          <w:i/>
        </w:rPr>
        <w:t>pdf</w:t>
      </w:r>
      <w:proofErr w:type="spellEnd"/>
    </w:p>
    <w:p w:rsidR="00676326" w:rsidRPr="006D6809" w:rsidRDefault="00173EC0" w:rsidP="006D6809">
      <w:pPr>
        <w:tabs>
          <w:tab w:val="left" w:pos="5550"/>
        </w:tabs>
        <w:ind w:right="-28"/>
      </w:pPr>
      <w:r w:rsidRPr="006D6809">
        <w:t>Archivo constante de una página, en la que se advierte lo siguiente:</w:t>
      </w:r>
    </w:p>
    <w:p w:rsidR="00676326" w:rsidRPr="006D6809" w:rsidRDefault="00173EC0" w:rsidP="006D6809">
      <w:pPr>
        <w:tabs>
          <w:tab w:val="left" w:pos="5550"/>
        </w:tabs>
        <w:ind w:right="-28"/>
      </w:pPr>
      <w:r w:rsidRPr="006D6809">
        <w:lastRenderedPageBreak/>
        <w:t xml:space="preserve">Oficio número </w:t>
      </w:r>
      <w:r w:rsidRPr="006D6809">
        <w:rPr>
          <w:b/>
        </w:rPr>
        <w:t xml:space="preserve">TM/OZU/0163/2025, </w:t>
      </w:r>
      <w:r w:rsidRPr="006D6809">
        <w:t>de fecha 05 de febrero de 2025, suscrito por el Tesorero Municipal, dirigido a la Titular de la Unidad de Transparencia y Acceso a la Información Pública Municipal, en el que le informa de manera medular lo siguiente:</w:t>
      </w:r>
    </w:p>
    <w:p w:rsidR="00676326" w:rsidRPr="006D6809" w:rsidRDefault="00676326" w:rsidP="006D6809">
      <w:pPr>
        <w:tabs>
          <w:tab w:val="left" w:pos="5550"/>
        </w:tabs>
        <w:ind w:right="-28"/>
      </w:pPr>
    </w:p>
    <w:p w:rsidR="00676326" w:rsidRPr="006D6809" w:rsidRDefault="00173EC0" w:rsidP="006D6809">
      <w:pPr>
        <w:pStyle w:val="Puesto"/>
        <w:ind w:firstLine="0"/>
        <w:rPr>
          <w:color w:val="auto"/>
        </w:rPr>
      </w:pPr>
      <w:r w:rsidRPr="006D6809">
        <w:rPr>
          <w:color w:val="auto"/>
        </w:rPr>
        <w:t>“</w:t>
      </w:r>
      <w:r w:rsidRPr="006D6809">
        <w:rPr>
          <w:b/>
          <w:color w:val="auto"/>
        </w:rPr>
        <w:t>…</w:t>
      </w:r>
      <w:r w:rsidRPr="006D6809">
        <w:rPr>
          <w:color w:val="auto"/>
        </w:rPr>
        <w:t>aunado a que en esta Tesorería Municipal a mi digno cargo no se encuentra un reporte denominado la “NOMINA”. Por ello, le solicito de la manera más atenta tenga a bien especificar la información que solicita.” Sic.</w:t>
      </w:r>
    </w:p>
    <w:p w:rsidR="00676326" w:rsidRPr="006D6809" w:rsidRDefault="00173EC0" w:rsidP="006D6809">
      <w:pPr>
        <w:tabs>
          <w:tab w:val="left" w:pos="5550"/>
        </w:tabs>
        <w:ind w:right="-28"/>
        <w:rPr>
          <w:i/>
        </w:rPr>
      </w:pPr>
      <w:r w:rsidRPr="006D6809">
        <w:rPr>
          <w:i/>
        </w:rPr>
        <w:tab/>
      </w:r>
    </w:p>
    <w:p w:rsidR="00676326" w:rsidRPr="006D6809" w:rsidRDefault="00173EC0" w:rsidP="006D6809">
      <w:pPr>
        <w:pStyle w:val="Ttulo2"/>
        <w:jc w:val="left"/>
      </w:pPr>
      <w:bookmarkStart w:id="8" w:name="_heading=h.ybjf52dmbrk9" w:colFirst="0" w:colLast="0"/>
      <w:bookmarkEnd w:id="8"/>
      <w:r w:rsidRPr="006D6809">
        <w:t>DEL RECURSO DE REVISIÓN</w:t>
      </w:r>
    </w:p>
    <w:p w:rsidR="00676326" w:rsidRPr="006D6809" w:rsidRDefault="00173EC0" w:rsidP="006D6809">
      <w:pPr>
        <w:pStyle w:val="Ttulo3"/>
      </w:pPr>
      <w:bookmarkStart w:id="9" w:name="_heading=h.9zd1eyr80n7p" w:colFirst="0" w:colLast="0"/>
      <w:bookmarkEnd w:id="9"/>
      <w:r w:rsidRPr="006D6809">
        <w:t>a) Interposición del Recurso de Revisión</w:t>
      </w:r>
    </w:p>
    <w:p w:rsidR="00676326" w:rsidRPr="006D6809" w:rsidRDefault="00173EC0" w:rsidP="006D6809">
      <w:pPr>
        <w:ind w:right="-28"/>
      </w:pPr>
      <w:r w:rsidRPr="006D6809">
        <w:t xml:space="preserve">El </w:t>
      </w:r>
      <w:r w:rsidRPr="006D6809">
        <w:rPr>
          <w:b/>
        </w:rPr>
        <w:t>veintiocho de febrero de dos mil veinticinco,</w:t>
      </w:r>
      <w:r w:rsidRPr="006D6809">
        <w:t xml:space="preserve"> </w:t>
      </w:r>
      <w:r w:rsidRPr="006D6809">
        <w:rPr>
          <w:b/>
        </w:rPr>
        <w:t>LA PARTE RECURRENTE</w:t>
      </w:r>
      <w:r w:rsidRPr="006D6809">
        <w:t xml:space="preserve"> interpuso el recurso de revisión en contra de la respuesta emitida por el </w:t>
      </w:r>
      <w:r w:rsidRPr="006D6809">
        <w:rPr>
          <w:b/>
        </w:rPr>
        <w:t>SUJETO OBLIGADO</w:t>
      </w:r>
      <w:r w:rsidRPr="006D6809">
        <w:t xml:space="preserve">, mismo que fue registrado en el </w:t>
      </w:r>
      <w:r w:rsidRPr="006D6809">
        <w:rPr>
          <w:b/>
        </w:rPr>
        <w:t>SAIMEX</w:t>
      </w:r>
      <w:r w:rsidRPr="006D6809">
        <w:t xml:space="preserve"> con el número de expediente </w:t>
      </w:r>
      <w:r w:rsidRPr="006D6809">
        <w:rPr>
          <w:b/>
        </w:rPr>
        <w:t>02257/INFOEM/IP/RR/2025</w:t>
      </w:r>
      <w:r w:rsidRPr="006D6809">
        <w:t>, y en el cual manifestó lo siguiente:</w:t>
      </w:r>
    </w:p>
    <w:p w:rsidR="00676326" w:rsidRPr="006D6809" w:rsidRDefault="00676326" w:rsidP="006D6809">
      <w:pPr>
        <w:tabs>
          <w:tab w:val="left" w:pos="4667"/>
        </w:tabs>
        <w:ind w:right="539"/>
      </w:pPr>
    </w:p>
    <w:p w:rsidR="00676326" w:rsidRPr="006D6809" w:rsidRDefault="00173EC0" w:rsidP="006D6809">
      <w:pPr>
        <w:tabs>
          <w:tab w:val="left" w:pos="4667"/>
        </w:tabs>
        <w:ind w:left="567" w:right="539"/>
        <w:rPr>
          <w:b/>
        </w:rPr>
      </w:pPr>
      <w:r w:rsidRPr="006D6809">
        <w:rPr>
          <w:b/>
        </w:rPr>
        <w:t>ACTO IMPUGNADO</w:t>
      </w:r>
    </w:p>
    <w:p w:rsidR="00676326" w:rsidRPr="006D6809" w:rsidRDefault="00173EC0" w:rsidP="006D6809">
      <w:pPr>
        <w:pStyle w:val="Puesto"/>
        <w:ind w:firstLine="0"/>
        <w:rPr>
          <w:color w:val="auto"/>
        </w:rPr>
      </w:pPr>
      <w:r w:rsidRPr="006D6809">
        <w:rPr>
          <w:color w:val="auto"/>
        </w:rPr>
        <w:t>“Me niegan la información.” Sic</w:t>
      </w:r>
    </w:p>
    <w:p w:rsidR="00676326" w:rsidRPr="006D6809" w:rsidRDefault="00676326" w:rsidP="006D6809">
      <w:pPr>
        <w:tabs>
          <w:tab w:val="left" w:pos="4667"/>
        </w:tabs>
        <w:ind w:left="567" w:right="539"/>
        <w:rPr>
          <w:b/>
        </w:rPr>
      </w:pPr>
    </w:p>
    <w:p w:rsidR="00676326" w:rsidRPr="006D6809" w:rsidRDefault="00173EC0" w:rsidP="006D6809">
      <w:pPr>
        <w:tabs>
          <w:tab w:val="left" w:pos="4667"/>
        </w:tabs>
        <w:ind w:left="567" w:right="539"/>
        <w:rPr>
          <w:b/>
        </w:rPr>
      </w:pPr>
      <w:r w:rsidRPr="006D6809">
        <w:rPr>
          <w:b/>
        </w:rPr>
        <w:t>RAZONES O MOTIVOS DE LA INCONFORMIDAD</w:t>
      </w:r>
      <w:r w:rsidRPr="006D6809">
        <w:rPr>
          <w:b/>
        </w:rPr>
        <w:tab/>
      </w:r>
    </w:p>
    <w:p w:rsidR="00676326" w:rsidRPr="006D6809" w:rsidRDefault="00173EC0" w:rsidP="006D6809">
      <w:pPr>
        <w:pStyle w:val="Puesto"/>
        <w:ind w:firstLine="0"/>
        <w:rPr>
          <w:color w:val="auto"/>
        </w:rPr>
      </w:pPr>
      <w:r w:rsidRPr="006D6809">
        <w:rPr>
          <w:color w:val="auto"/>
        </w:rPr>
        <w:t>“Me niegan información que debe obrar en los archivos del H. Ayuntamiento, por ejemplo, en área de Administración y finanzas.” Sic</w:t>
      </w:r>
    </w:p>
    <w:p w:rsidR="00676326" w:rsidRPr="006D6809" w:rsidRDefault="00676326" w:rsidP="006D6809"/>
    <w:p w:rsidR="00676326" w:rsidRPr="006D6809" w:rsidRDefault="00173EC0" w:rsidP="006D6809">
      <w:pPr>
        <w:pStyle w:val="Ttulo3"/>
      </w:pPr>
      <w:bookmarkStart w:id="10" w:name="_heading=h.6r1x7epxknb7" w:colFirst="0" w:colLast="0"/>
      <w:bookmarkEnd w:id="10"/>
      <w:r w:rsidRPr="006D6809">
        <w:t>b) Turno del Recurso de Revisión</w:t>
      </w:r>
    </w:p>
    <w:p w:rsidR="00676326" w:rsidRPr="006D6809" w:rsidRDefault="00173EC0" w:rsidP="006D6809">
      <w:r w:rsidRPr="006D6809">
        <w:t>Con fundamento en el artículo 185, fracción I de la Ley de Transparencia y Acceso a la Información Pública del Estado de México y Municipios, el</w:t>
      </w:r>
      <w:r w:rsidRPr="006D6809">
        <w:rPr>
          <w:b/>
        </w:rPr>
        <w:t xml:space="preserve"> veintiocho de febrero de dos mil veinticinco,</w:t>
      </w:r>
      <w:r w:rsidRPr="006D6809">
        <w:t xml:space="preserve"> se turnó el recurso de revisión a través del </w:t>
      </w:r>
      <w:r w:rsidRPr="006D6809">
        <w:rPr>
          <w:b/>
        </w:rPr>
        <w:t>SAIMEX</w:t>
      </w:r>
      <w:r w:rsidRPr="006D6809">
        <w:t xml:space="preserve"> a la </w:t>
      </w:r>
      <w:r w:rsidRPr="006D6809">
        <w:rPr>
          <w:b/>
        </w:rPr>
        <w:t>Comisionada Sharon Cristina Morales Martínez</w:t>
      </w:r>
      <w:r w:rsidRPr="006D6809">
        <w:t xml:space="preserve">, a efecto de decretar su admisión o </w:t>
      </w:r>
      <w:proofErr w:type="spellStart"/>
      <w:r w:rsidRPr="006D6809">
        <w:t>desechamiento</w:t>
      </w:r>
      <w:proofErr w:type="spellEnd"/>
      <w:r w:rsidRPr="006D6809">
        <w:t xml:space="preserve">. </w:t>
      </w:r>
    </w:p>
    <w:p w:rsidR="00676326" w:rsidRPr="006D6809" w:rsidRDefault="00676326" w:rsidP="006D6809"/>
    <w:p w:rsidR="00676326" w:rsidRPr="006D6809" w:rsidRDefault="00173EC0" w:rsidP="006D6809">
      <w:pPr>
        <w:pStyle w:val="Ttulo3"/>
      </w:pPr>
      <w:bookmarkStart w:id="11" w:name="_heading=h.eg0rioofd3we" w:colFirst="0" w:colLast="0"/>
      <w:bookmarkEnd w:id="11"/>
      <w:r w:rsidRPr="006D6809">
        <w:t>c) Admisión del Recurso de Revisión</w:t>
      </w:r>
    </w:p>
    <w:p w:rsidR="00676326" w:rsidRPr="006D6809" w:rsidRDefault="00173EC0" w:rsidP="006D6809">
      <w:r w:rsidRPr="006D6809">
        <w:t xml:space="preserve">El </w:t>
      </w:r>
      <w:r w:rsidRPr="006D6809">
        <w:rPr>
          <w:b/>
        </w:rPr>
        <w:t>cinco de marzo de dos mil veinticinco,</w:t>
      </w:r>
      <w:r w:rsidRPr="006D6809">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676326" w:rsidRPr="006D6809" w:rsidRDefault="00676326" w:rsidP="006D6809"/>
    <w:p w:rsidR="00676326" w:rsidRPr="006D6809" w:rsidRDefault="00173EC0" w:rsidP="006D6809">
      <w:pPr>
        <w:pStyle w:val="Ttulo3"/>
      </w:pPr>
      <w:bookmarkStart w:id="12" w:name="_heading=h.aw30qmjq5rzg" w:colFirst="0" w:colLast="0"/>
      <w:bookmarkEnd w:id="12"/>
      <w:r w:rsidRPr="006D6809">
        <w:t>d) Informe Justificado del Sujeto Obligado</w:t>
      </w:r>
    </w:p>
    <w:p w:rsidR="00676326" w:rsidRPr="006D6809" w:rsidRDefault="00173EC0" w:rsidP="006D6809">
      <w:r w:rsidRPr="006D6809">
        <w:t xml:space="preserve">El </w:t>
      </w:r>
      <w:r w:rsidRPr="006D6809">
        <w:rPr>
          <w:b/>
        </w:rPr>
        <w:t>once, diecinueve y veintinueve de marzo de dos mil veinticinco EL SUJETO OBLIGADO</w:t>
      </w:r>
      <w:r w:rsidRPr="006D6809">
        <w:t xml:space="preserve"> rindió su informe justificado a través del </w:t>
      </w:r>
      <w:r w:rsidRPr="006D6809">
        <w:rPr>
          <w:b/>
        </w:rPr>
        <w:t>SAIMEX</w:t>
      </w:r>
      <w:r w:rsidRPr="006D6809">
        <w:t>, que contienen lo siguiente:</w:t>
      </w:r>
    </w:p>
    <w:p w:rsidR="00676326" w:rsidRPr="006D6809" w:rsidRDefault="00676326" w:rsidP="006D6809"/>
    <w:p w:rsidR="00676326" w:rsidRPr="006D6809" w:rsidRDefault="00173EC0" w:rsidP="006D6809">
      <w:pPr>
        <w:numPr>
          <w:ilvl w:val="0"/>
          <w:numId w:val="4"/>
        </w:numPr>
        <w:rPr>
          <w:b/>
          <w:i/>
        </w:rPr>
      </w:pPr>
      <w:r w:rsidRPr="006D6809">
        <w:rPr>
          <w:b/>
          <w:i/>
        </w:rPr>
        <w:t>revisión 00071.pdf</w:t>
      </w:r>
    </w:p>
    <w:p w:rsidR="00676326" w:rsidRPr="006D6809" w:rsidRDefault="00173EC0" w:rsidP="006D6809">
      <w:r w:rsidRPr="006D6809">
        <w:t>Archivo constante de una página, en la que se contiene el escrito sin número de oficio, suscrito por la Titular de la Unidad de Transparencia, en la que se pronuncia respecto del acto impugnado y de las razones o motivos de la inconformidad, precisando que envió la solicitud al servidor público habilitado, área que es el responsable en este caso a tesorería ya que administración y finanzas pertenecen directamente a el área en comento, y ante el acto impugnado se harán las gestiones necesarias para que en caso de contar con dicha información se haga entrega al solicitante.</w:t>
      </w:r>
    </w:p>
    <w:p w:rsidR="00676326" w:rsidRPr="006D6809" w:rsidRDefault="00676326" w:rsidP="006D6809">
      <w:pPr>
        <w:rPr>
          <w:b/>
        </w:rPr>
      </w:pPr>
    </w:p>
    <w:p w:rsidR="00676326" w:rsidRPr="006D6809" w:rsidRDefault="00173EC0" w:rsidP="006D6809">
      <w:pPr>
        <w:numPr>
          <w:ilvl w:val="0"/>
          <w:numId w:val="4"/>
        </w:numPr>
        <w:rPr>
          <w:b/>
          <w:i/>
        </w:rPr>
      </w:pPr>
      <w:r w:rsidRPr="006D6809">
        <w:rPr>
          <w:b/>
          <w:i/>
        </w:rPr>
        <w:t>manifestaciones 00071.pdf</w:t>
      </w:r>
    </w:p>
    <w:p w:rsidR="00676326" w:rsidRPr="006D6809" w:rsidRDefault="00173EC0" w:rsidP="006D6809">
      <w:r w:rsidRPr="006D6809">
        <w:t xml:space="preserve">Archivo constante de dos páginas, en las que se advierte el oficio número TM/OZU/301/2025, de fecha 10 de marzo de 2025, dirigido a la Titular de la Unidad de Transparencia y Acceso a la Información Pública, suscrito por el Tesorero Municipal, en el que le indica que, después de </w:t>
      </w:r>
      <w:r w:rsidRPr="006D6809">
        <w:lastRenderedPageBreak/>
        <w:t xml:space="preserve">una búsqueda minuciosa en los expedientes de esa Tesorería no localizó un reporte denominado “Nómina”.  </w:t>
      </w:r>
    </w:p>
    <w:p w:rsidR="00676326" w:rsidRPr="006D6809" w:rsidRDefault="00676326" w:rsidP="006D6809">
      <w:pPr>
        <w:rPr>
          <w:b/>
          <w:i/>
        </w:rPr>
      </w:pPr>
    </w:p>
    <w:p w:rsidR="00676326" w:rsidRPr="006D6809" w:rsidRDefault="00173EC0" w:rsidP="006D6809">
      <w:pPr>
        <w:numPr>
          <w:ilvl w:val="0"/>
          <w:numId w:val="4"/>
        </w:numPr>
        <w:rPr>
          <w:b/>
          <w:i/>
        </w:rPr>
      </w:pPr>
      <w:r w:rsidRPr="006D6809">
        <w:rPr>
          <w:b/>
          <w:i/>
        </w:rPr>
        <w:t>Nominas completa (1).pdf</w:t>
      </w:r>
    </w:p>
    <w:p w:rsidR="00676326" w:rsidRPr="006D6809" w:rsidRDefault="00173EC0" w:rsidP="006D6809">
      <w:r w:rsidRPr="006D6809">
        <w:t>Archivo constante de 217 páginas, en las que se contiene diversos recibos de nómina, testados.</w:t>
      </w:r>
    </w:p>
    <w:p w:rsidR="00676326" w:rsidRPr="006D6809" w:rsidRDefault="00676326" w:rsidP="006D6809"/>
    <w:p w:rsidR="00676326" w:rsidRPr="006D6809" w:rsidRDefault="00173EC0" w:rsidP="006D6809">
      <w:r w:rsidRPr="006D6809">
        <w:t xml:space="preserve">Esta información fue puesta a la vista de </w:t>
      </w:r>
      <w:r w:rsidRPr="006D6809">
        <w:rPr>
          <w:b/>
        </w:rPr>
        <w:t xml:space="preserve">LA PARTE RECURRENTE </w:t>
      </w:r>
      <w:r w:rsidRPr="006D6809">
        <w:t xml:space="preserve">el </w:t>
      </w:r>
      <w:r w:rsidRPr="006D6809">
        <w:rPr>
          <w:b/>
        </w:rPr>
        <w:t>uno de abril de dos mil veinticinco,</w:t>
      </w:r>
      <w:r w:rsidRPr="006D6809">
        <w:t xml:space="preserve"> para que, en un plazo de tres días hábiles, manifestara lo que a su derecho conviniera, de conformidad con lo establecido en el artículo 185, fracción III de la Ley de Transparencia y Acceso a la Información Pública del Estado de México y Municipios., con excepción de archivo denominado •</w:t>
      </w:r>
      <w:r w:rsidRPr="006D6809">
        <w:tab/>
        <w:t>Nóminas completa (1).</w:t>
      </w:r>
      <w:proofErr w:type="spellStart"/>
      <w:r w:rsidRPr="006D6809">
        <w:t>pdf</w:t>
      </w:r>
      <w:proofErr w:type="spellEnd"/>
      <w:r w:rsidRPr="006D6809">
        <w:t>, en virtud de contener datos personales visibles, como es el caso de descuentos de carácter personal.</w:t>
      </w:r>
    </w:p>
    <w:p w:rsidR="00676326" w:rsidRPr="006D6809" w:rsidRDefault="00676326" w:rsidP="006D6809"/>
    <w:p w:rsidR="00676326" w:rsidRPr="006D6809" w:rsidRDefault="00173EC0" w:rsidP="006D6809">
      <w:pPr>
        <w:pStyle w:val="Ttulo3"/>
      </w:pPr>
      <w:bookmarkStart w:id="13" w:name="_heading=h.dqnvqixo7o4g" w:colFirst="0" w:colLast="0"/>
      <w:bookmarkEnd w:id="13"/>
      <w:r w:rsidRPr="006D6809">
        <w:t>e) Manifestaciones de la Parte Recurrente</w:t>
      </w:r>
    </w:p>
    <w:p w:rsidR="00676326" w:rsidRPr="006D6809" w:rsidRDefault="00173EC0" w:rsidP="006D6809">
      <w:r w:rsidRPr="006D6809">
        <w:rPr>
          <w:b/>
        </w:rPr>
        <w:t xml:space="preserve">LA PARTE RECURRENTE </w:t>
      </w:r>
      <w:r w:rsidRPr="006D6809">
        <w:t>no realizó manifestación alguna dentro del término legalmente concedido para tal efecto, ni presentó pruebas o alegatos.</w:t>
      </w:r>
    </w:p>
    <w:p w:rsidR="00676326" w:rsidRPr="006D6809" w:rsidRDefault="00676326" w:rsidP="006D6809">
      <w:pPr>
        <w:pStyle w:val="Puesto"/>
        <w:ind w:firstLine="567"/>
        <w:jc w:val="right"/>
        <w:rPr>
          <w:color w:val="auto"/>
        </w:rPr>
      </w:pPr>
    </w:p>
    <w:p w:rsidR="00676326" w:rsidRPr="006D6809" w:rsidRDefault="00173EC0" w:rsidP="006D6809">
      <w:pPr>
        <w:pStyle w:val="Ttulo3"/>
      </w:pPr>
      <w:bookmarkStart w:id="14" w:name="_heading=h.ngtpvpto84cs" w:colFirst="0" w:colLast="0"/>
      <w:bookmarkEnd w:id="14"/>
      <w:r w:rsidRPr="006D6809">
        <w:t>f) Cierre de instrucción</w:t>
      </w:r>
    </w:p>
    <w:p w:rsidR="00676326" w:rsidRPr="006D6809" w:rsidRDefault="00173EC0" w:rsidP="006D6809">
      <w:r w:rsidRPr="006D6809">
        <w:t xml:space="preserve">Al no existir diligencias pendientes por desahogar, el </w:t>
      </w:r>
      <w:r w:rsidRPr="006D6809">
        <w:rPr>
          <w:b/>
        </w:rPr>
        <w:t>veintidós de abril de dos mil veinticinco,</w:t>
      </w:r>
      <w:r w:rsidRPr="006D6809">
        <w:t xml:space="preserve"> la </w:t>
      </w:r>
      <w:r w:rsidRPr="006D6809">
        <w:rPr>
          <w:b/>
        </w:rPr>
        <w:t xml:space="preserve">Comisionada Sharon Cristina Morales Martínez </w:t>
      </w:r>
      <w:r w:rsidRPr="006D6809">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676326" w:rsidRPr="006D6809" w:rsidRDefault="00676326" w:rsidP="006D6809"/>
    <w:p w:rsidR="00676326" w:rsidRPr="006D6809" w:rsidRDefault="00173EC0" w:rsidP="006D6809">
      <w:pPr>
        <w:pStyle w:val="Ttulo1"/>
      </w:pPr>
      <w:bookmarkStart w:id="15" w:name="_heading=h.53v0hy4syb35" w:colFirst="0" w:colLast="0"/>
      <w:bookmarkEnd w:id="15"/>
      <w:r w:rsidRPr="006D6809">
        <w:lastRenderedPageBreak/>
        <w:t>CONSIDERANDOS</w:t>
      </w:r>
    </w:p>
    <w:p w:rsidR="00676326" w:rsidRPr="006D6809" w:rsidRDefault="00676326" w:rsidP="006D6809"/>
    <w:p w:rsidR="00676326" w:rsidRPr="006D6809" w:rsidRDefault="00173EC0" w:rsidP="006D6809">
      <w:pPr>
        <w:pStyle w:val="Ttulo2"/>
      </w:pPr>
      <w:bookmarkStart w:id="16" w:name="_heading=h.eoxncm6jxud2" w:colFirst="0" w:colLast="0"/>
      <w:bookmarkEnd w:id="16"/>
      <w:r w:rsidRPr="006D6809">
        <w:t xml:space="preserve">PRIMERO. </w:t>
      </w:r>
      <w:proofErr w:type="spellStart"/>
      <w:r w:rsidRPr="006D6809">
        <w:t>Procedibilidad</w:t>
      </w:r>
      <w:proofErr w:type="spellEnd"/>
    </w:p>
    <w:p w:rsidR="00676326" w:rsidRPr="006D6809" w:rsidRDefault="00173EC0" w:rsidP="006D6809">
      <w:pPr>
        <w:pStyle w:val="Ttulo3"/>
      </w:pPr>
      <w:bookmarkStart w:id="17" w:name="_heading=h.xahcexmjytov" w:colFirst="0" w:colLast="0"/>
      <w:bookmarkEnd w:id="17"/>
      <w:r w:rsidRPr="006D6809">
        <w:t>a) Competencia del Instituto</w:t>
      </w:r>
    </w:p>
    <w:p w:rsidR="00676326" w:rsidRPr="006D6809" w:rsidRDefault="00173EC0" w:rsidP="006D6809">
      <w:r w:rsidRPr="006D6809">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676326" w:rsidRPr="006D6809" w:rsidRDefault="00676326" w:rsidP="006D6809"/>
    <w:p w:rsidR="00676326" w:rsidRPr="006D6809" w:rsidRDefault="00173EC0" w:rsidP="006D6809">
      <w:pPr>
        <w:pStyle w:val="Ttulo3"/>
      </w:pPr>
      <w:bookmarkStart w:id="18" w:name="_heading=h.mvoiujwxpul6" w:colFirst="0" w:colLast="0"/>
      <w:bookmarkEnd w:id="18"/>
      <w:r w:rsidRPr="006D6809">
        <w:t>b) Legitimidad de la parte recurrente</w:t>
      </w:r>
    </w:p>
    <w:p w:rsidR="00676326" w:rsidRPr="006D6809" w:rsidRDefault="00173EC0" w:rsidP="006D6809">
      <w:r w:rsidRPr="006D6809">
        <w:t>El recurso de revisión fue interpuesto por parte legítima, ya que se presentó por la misma persona que formuló la solicitud de acceso a la Información Pública,</w:t>
      </w:r>
      <w:r w:rsidRPr="006D6809">
        <w:rPr>
          <w:b/>
        </w:rPr>
        <w:t xml:space="preserve"> </w:t>
      </w:r>
      <w:r w:rsidRPr="006D6809">
        <w:t>debido a que los datos de acceso</w:t>
      </w:r>
      <w:r w:rsidRPr="006D6809">
        <w:rPr>
          <w:b/>
        </w:rPr>
        <w:t xml:space="preserve"> SAIMEX</w:t>
      </w:r>
      <w:r w:rsidRPr="006D6809">
        <w:t xml:space="preserve"> son personales e irrepetibles.</w:t>
      </w:r>
    </w:p>
    <w:p w:rsidR="00676326" w:rsidRPr="006D6809" w:rsidRDefault="00676326" w:rsidP="006D6809"/>
    <w:p w:rsidR="00676326" w:rsidRPr="006D6809" w:rsidRDefault="00173EC0" w:rsidP="006D6809">
      <w:pPr>
        <w:pStyle w:val="Ttulo3"/>
      </w:pPr>
      <w:bookmarkStart w:id="19" w:name="_heading=h.66zrtjc73hjr" w:colFirst="0" w:colLast="0"/>
      <w:bookmarkEnd w:id="19"/>
      <w:r w:rsidRPr="006D6809">
        <w:t>c) Plazo para interponer el recurso</w:t>
      </w:r>
    </w:p>
    <w:p w:rsidR="00676326" w:rsidRPr="006D6809" w:rsidRDefault="00173EC0" w:rsidP="006D6809">
      <w:r w:rsidRPr="006D6809">
        <w:rPr>
          <w:b/>
        </w:rPr>
        <w:t>EL SUJETO OBLIGADO</w:t>
      </w:r>
      <w:r w:rsidRPr="006D6809">
        <w:t xml:space="preserve"> notificó la respuesta a la solicitud de acceso a la Información Pública el </w:t>
      </w:r>
      <w:r w:rsidRPr="006D6809">
        <w:rPr>
          <w:b/>
        </w:rPr>
        <w:t>diecinueve de febrero de dos mil veinticinco,</w:t>
      </w:r>
      <w:r w:rsidRPr="006D6809">
        <w:t xml:space="preserve"> y el recurso que nos ocupa se tuvo por presentado el </w:t>
      </w:r>
      <w:r w:rsidRPr="006D6809">
        <w:rPr>
          <w:b/>
        </w:rPr>
        <w:t>veintiocho de febrero de dos mil veinticinco</w:t>
      </w:r>
      <w:r w:rsidRPr="006D6809">
        <w:t xml:space="preserve">; por lo tanto, éste se encuentra </w:t>
      </w:r>
      <w:r w:rsidRPr="006D6809">
        <w:lastRenderedPageBreak/>
        <w:t>dentro del margen temporal previsto en el artículo 178 de la Ley de Transparencia y Acceso a la Información Pública del Estado de México y Municipios.</w:t>
      </w:r>
    </w:p>
    <w:p w:rsidR="00676326" w:rsidRPr="006D6809" w:rsidRDefault="00676326" w:rsidP="006D6809"/>
    <w:p w:rsidR="00676326" w:rsidRPr="006D6809" w:rsidRDefault="00173EC0" w:rsidP="006D6809">
      <w:pPr>
        <w:pStyle w:val="Ttulo3"/>
      </w:pPr>
      <w:bookmarkStart w:id="20" w:name="_heading=h.kban0o6bagvw" w:colFirst="0" w:colLast="0"/>
      <w:bookmarkEnd w:id="20"/>
      <w:r w:rsidRPr="006D6809">
        <w:t>d) Causal de Procedencia</w:t>
      </w:r>
    </w:p>
    <w:p w:rsidR="00676326" w:rsidRPr="006D6809" w:rsidRDefault="00173EC0" w:rsidP="006D6809">
      <w:r w:rsidRPr="006D6809">
        <w:t>Resulta procedente la interposición del recurso de revisión, ya que se actualiza la causal de procedencia señalada en el artículo 179, fracción I de la Ley de Transparencia y Acceso a la Información Pública del Estado de México y Municipios.</w:t>
      </w:r>
    </w:p>
    <w:p w:rsidR="00676326" w:rsidRPr="006D6809" w:rsidRDefault="00676326" w:rsidP="006D6809"/>
    <w:p w:rsidR="00676326" w:rsidRPr="006D6809" w:rsidRDefault="00173EC0" w:rsidP="006D6809">
      <w:pPr>
        <w:pStyle w:val="Ttulo3"/>
      </w:pPr>
      <w:bookmarkStart w:id="21" w:name="_heading=h.jacy97417yne" w:colFirst="0" w:colLast="0"/>
      <w:bookmarkEnd w:id="21"/>
      <w:r w:rsidRPr="006D6809">
        <w:t>e) Requisitos formales para la interposición del recurso</w:t>
      </w:r>
    </w:p>
    <w:p w:rsidR="00676326" w:rsidRPr="006D6809" w:rsidRDefault="00173EC0" w:rsidP="006D6809">
      <w:r w:rsidRPr="006D6809">
        <w:rPr>
          <w:b/>
        </w:rPr>
        <w:t xml:space="preserve">LA PARTE RECURRENTE </w:t>
      </w:r>
      <w:r w:rsidRPr="006D6809">
        <w:t>acreditó todos y cada uno de los elementos formales exigidos por el artículo 180 de la misma normatividad.</w:t>
      </w:r>
    </w:p>
    <w:p w:rsidR="00676326" w:rsidRPr="006D6809" w:rsidRDefault="00676326" w:rsidP="006D6809"/>
    <w:p w:rsidR="00676326" w:rsidRPr="006D6809" w:rsidRDefault="00173EC0" w:rsidP="006D6809">
      <w:r w:rsidRPr="006D6809">
        <w:t xml:space="preserve">Sin embargo, es importante mencionar que, de la revisión de los expedientes electrónicos del </w:t>
      </w:r>
      <w:r w:rsidRPr="006D6809">
        <w:rPr>
          <w:b/>
        </w:rPr>
        <w:t>SAIMEX</w:t>
      </w:r>
      <w:r w:rsidRPr="006D6809">
        <w:t xml:space="preserve">, se observa que </w:t>
      </w:r>
      <w:r w:rsidRPr="006D6809">
        <w:rPr>
          <w:b/>
        </w:rPr>
        <w:t>LA PARTE RECURRENTE</w:t>
      </w:r>
      <w:r w:rsidRPr="006D6809">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6D6809">
        <w:rPr>
          <w:b/>
          <w:u w:val="single"/>
        </w:rPr>
        <w:t>el nombre no es un requisito indispensable</w:t>
      </w:r>
      <w:r w:rsidRPr="006D6809">
        <w:t xml:space="preserve"> para que las y los ciudadanos ejerzan el derecho de acceso a la información pública. </w:t>
      </w:r>
    </w:p>
    <w:p w:rsidR="00676326" w:rsidRPr="006D6809" w:rsidRDefault="00676326" w:rsidP="006D6809"/>
    <w:p w:rsidR="00676326" w:rsidRPr="006D6809" w:rsidRDefault="00173EC0" w:rsidP="006D6809">
      <w:r w:rsidRPr="006D6809">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w:t>
      </w:r>
      <w:r w:rsidRPr="006D6809">
        <w:lastRenderedPageBreak/>
        <w:t xml:space="preserve">indispensable que contenga algunos requisitos, entre ellos, el nombre de </w:t>
      </w:r>
      <w:r w:rsidRPr="006D6809">
        <w:rPr>
          <w:b/>
        </w:rPr>
        <w:t>LA PARTE RECURRENTE;</w:t>
      </w:r>
      <w:r w:rsidRPr="006D6809">
        <w:t xml:space="preserve"> por lo que, en el presente caso, al haber sido presentado el recurso de revisión vía </w:t>
      </w:r>
      <w:r w:rsidRPr="006D6809">
        <w:rPr>
          <w:b/>
        </w:rPr>
        <w:t>SAIMEX</w:t>
      </w:r>
      <w:r w:rsidRPr="006D6809">
        <w:t>, dicho requisito resulta innecesario.</w:t>
      </w:r>
    </w:p>
    <w:p w:rsidR="00676326" w:rsidRPr="006D6809" w:rsidRDefault="00676326" w:rsidP="006D6809"/>
    <w:p w:rsidR="00676326" w:rsidRPr="006D6809" w:rsidRDefault="00173EC0" w:rsidP="006D6809">
      <w:pPr>
        <w:pStyle w:val="Ttulo2"/>
      </w:pPr>
      <w:bookmarkStart w:id="22" w:name="_heading=h.mxoc9a0zpcd" w:colFirst="0" w:colLast="0"/>
      <w:bookmarkEnd w:id="22"/>
      <w:r w:rsidRPr="006D6809">
        <w:t>SEGUNDO. Estudio de Fondo</w:t>
      </w:r>
    </w:p>
    <w:p w:rsidR="00676326" w:rsidRPr="006D6809" w:rsidRDefault="00173EC0" w:rsidP="006D6809">
      <w:pPr>
        <w:pStyle w:val="Ttulo3"/>
      </w:pPr>
      <w:bookmarkStart w:id="23" w:name="_heading=h.s385dvcls2b" w:colFirst="0" w:colLast="0"/>
      <w:bookmarkEnd w:id="23"/>
      <w:r w:rsidRPr="006D6809">
        <w:t>a) Mandato de transparencia y responsabilidad del Sujeto Obligado</w:t>
      </w:r>
    </w:p>
    <w:p w:rsidR="00676326" w:rsidRPr="006D6809" w:rsidRDefault="00173EC0" w:rsidP="006D6809">
      <w:r w:rsidRPr="006D6809">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676326" w:rsidRPr="006D6809" w:rsidRDefault="00676326" w:rsidP="006D6809"/>
    <w:p w:rsidR="00676326" w:rsidRPr="006D6809" w:rsidRDefault="00173EC0" w:rsidP="006D6809">
      <w:pPr>
        <w:spacing w:line="240" w:lineRule="auto"/>
        <w:ind w:left="567" w:right="539"/>
        <w:rPr>
          <w:b/>
          <w:i/>
        </w:rPr>
      </w:pPr>
      <w:r w:rsidRPr="006D6809">
        <w:rPr>
          <w:b/>
          <w:i/>
        </w:rPr>
        <w:t>Constitución Política de los Estados Unidos Mexicanos</w:t>
      </w:r>
    </w:p>
    <w:p w:rsidR="00676326" w:rsidRPr="006D6809" w:rsidRDefault="00173EC0" w:rsidP="006D6809">
      <w:pPr>
        <w:spacing w:line="240" w:lineRule="auto"/>
        <w:ind w:left="567" w:right="539"/>
        <w:rPr>
          <w:b/>
          <w:i/>
        </w:rPr>
      </w:pPr>
      <w:r w:rsidRPr="006D6809">
        <w:rPr>
          <w:b/>
          <w:i/>
        </w:rPr>
        <w:t>“Artículo 6.</w:t>
      </w:r>
    </w:p>
    <w:p w:rsidR="00676326" w:rsidRPr="006D6809" w:rsidRDefault="00173EC0" w:rsidP="006D6809">
      <w:pPr>
        <w:spacing w:line="240" w:lineRule="auto"/>
        <w:ind w:left="567" w:right="539"/>
        <w:rPr>
          <w:i/>
        </w:rPr>
      </w:pPr>
      <w:r w:rsidRPr="006D6809">
        <w:rPr>
          <w:i/>
        </w:rPr>
        <w:t>(…)</w:t>
      </w:r>
    </w:p>
    <w:p w:rsidR="00676326" w:rsidRPr="006D6809" w:rsidRDefault="00173EC0" w:rsidP="006D6809">
      <w:pPr>
        <w:spacing w:line="240" w:lineRule="auto"/>
        <w:ind w:left="567" w:right="539"/>
        <w:rPr>
          <w:i/>
        </w:rPr>
      </w:pPr>
      <w:r w:rsidRPr="006D6809">
        <w:rPr>
          <w:i/>
        </w:rPr>
        <w:t>Para efectos de lo dispuesto en el presente artículo se observará lo siguiente:</w:t>
      </w:r>
    </w:p>
    <w:p w:rsidR="00676326" w:rsidRPr="006D6809" w:rsidRDefault="00173EC0" w:rsidP="006D6809">
      <w:pPr>
        <w:spacing w:line="240" w:lineRule="auto"/>
        <w:ind w:left="567" w:right="539"/>
        <w:rPr>
          <w:b/>
          <w:i/>
        </w:rPr>
      </w:pPr>
      <w:r w:rsidRPr="006D6809">
        <w:rPr>
          <w:b/>
          <w:i/>
        </w:rPr>
        <w:t>A</w:t>
      </w:r>
      <w:r w:rsidRPr="006D6809">
        <w:rPr>
          <w:i/>
        </w:rPr>
        <w:t xml:space="preserve">. </w:t>
      </w:r>
      <w:r w:rsidRPr="006D6809">
        <w:rPr>
          <w:b/>
          <w:i/>
        </w:rPr>
        <w:t>Para el ejercicio del derecho de acceso a la información</w:t>
      </w:r>
      <w:r w:rsidRPr="006D6809">
        <w:rPr>
          <w:i/>
        </w:rPr>
        <w:t xml:space="preserve">, la Federación y </w:t>
      </w:r>
      <w:r w:rsidRPr="006D6809">
        <w:rPr>
          <w:b/>
          <w:i/>
        </w:rPr>
        <w:t>las entidades federativas, en el ámbito de sus respectivas competencias, se regirán por los siguientes principios y bases:</w:t>
      </w:r>
    </w:p>
    <w:p w:rsidR="00676326" w:rsidRPr="006D6809" w:rsidRDefault="00173EC0" w:rsidP="006D6809">
      <w:pPr>
        <w:spacing w:line="240" w:lineRule="auto"/>
        <w:ind w:left="567" w:right="539"/>
        <w:rPr>
          <w:i/>
        </w:rPr>
      </w:pPr>
      <w:r w:rsidRPr="006D6809">
        <w:rPr>
          <w:b/>
          <w:i/>
        </w:rPr>
        <w:t xml:space="preserve">I. </w:t>
      </w:r>
      <w:r w:rsidRPr="006D6809">
        <w:rPr>
          <w:b/>
          <w:i/>
        </w:rPr>
        <w:tab/>
        <w:t>Toda la información en posesión de cualquier</w:t>
      </w:r>
      <w:r w:rsidRPr="006D6809">
        <w:rPr>
          <w:i/>
        </w:rPr>
        <w:t xml:space="preserve"> </w:t>
      </w:r>
      <w:r w:rsidRPr="006D6809">
        <w:rPr>
          <w:b/>
          <w:i/>
        </w:rPr>
        <w:t>autoridad</w:t>
      </w:r>
      <w:r w:rsidRPr="006D6809">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D6809">
        <w:rPr>
          <w:b/>
          <w:i/>
        </w:rPr>
        <w:t>municipal</w:t>
      </w:r>
      <w:r w:rsidRPr="006D6809">
        <w:rPr>
          <w:i/>
        </w:rPr>
        <w:t xml:space="preserve">, </w:t>
      </w:r>
      <w:r w:rsidRPr="006D6809">
        <w:rPr>
          <w:b/>
          <w:i/>
        </w:rPr>
        <w:t>es pública</w:t>
      </w:r>
      <w:r w:rsidRPr="006D6809">
        <w:rPr>
          <w:i/>
        </w:rPr>
        <w:t xml:space="preserve"> y sólo podrá ser reservada temporalmente por razones de interés público y seguridad nacional, en los términos que fijen las leyes. </w:t>
      </w:r>
      <w:r w:rsidRPr="006D6809">
        <w:rPr>
          <w:b/>
          <w:i/>
        </w:rPr>
        <w:t>En la interpretación de este derecho deberá prevalecer el principio de máxima publicidad. Los sujetos obligados deberán documentar todo acto que derive del ejercicio de sus facultades, competencias o funciones</w:t>
      </w:r>
      <w:r w:rsidRPr="006D6809">
        <w:rPr>
          <w:i/>
        </w:rPr>
        <w:t>, la ley determinará los supuestos específicos bajo los cuales procederá la declaración de inexistencia de la información.”</w:t>
      </w:r>
    </w:p>
    <w:p w:rsidR="00676326" w:rsidRPr="006D6809" w:rsidRDefault="00676326" w:rsidP="006D6809">
      <w:pPr>
        <w:spacing w:line="240" w:lineRule="auto"/>
        <w:ind w:left="567" w:right="539"/>
        <w:rPr>
          <w:b/>
          <w:i/>
        </w:rPr>
      </w:pPr>
    </w:p>
    <w:p w:rsidR="00676326" w:rsidRPr="006D6809" w:rsidRDefault="00173EC0" w:rsidP="006D6809">
      <w:pPr>
        <w:spacing w:line="240" w:lineRule="auto"/>
        <w:ind w:left="567" w:right="539"/>
        <w:rPr>
          <w:b/>
          <w:i/>
        </w:rPr>
      </w:pPr>
      <w:r w:rsidRPr="006D6809">
        <w:rPr>
          <w:b/>
          <w:i/>
        </w:rPr>
        <w:t>Constitución Política del Estado Libre y Soberano de México</w:t>
      </w:r>
    </w:p>
    <w:p w:rsidR="00676326" w:rsidRPr="006D6809" w:rsidRDefault="00173EC0" w:rsidP="006D6809">
      <w:pPr>
        <w:spacing w:line="240" w:lineRule="auto"/>
        <w:ind w:left="567" w:right="539"/>
        <w:rPr>
          <w:i/>
        </w:rPr>
      </w:pPr>
      <w:r w:rsidRPr="006D6809">
        <w:rPr>
          <w:b/>
          <w:i/>
        </w:rPr>
        <w:t>“Artículo 5</w:t>
      </w:r>
      <w:r w:rsidRPr="006D6809">
        <w:rPr>
          <w:i/>
        </w:rPr>
        <w:t xml:space="preserve">.- </w:t>
      </w:r>
    </w:p>
    <w:p w:rsidR="00676326" w:rsidRPr="006D6809" w:rsidRDefault="00173EC0" w:rsidP="006D6809">
      <w:pPr>
        <w:spacing w:line="240" w:lineRule="auto"/>
        <w:ind w:left="567" w:right="539"/>
        <w:rPr>
          <w:i/>
        </w:rPr>
      </w:pPr>
      <w:r w:rsidRPr="006D6809">
        <w:rPr>
          <w:i/>
        </w:rPr>
        <w:t>(…)</w:t>
      </w:r>
    </w:p>
    <w:p w:rsidR="00676326" w:rsidRPr="006D6809" w:rsidRDefault="00173EC0" w:rsidP="006D6809">
      <w:pPr>
        <w:spacing w:line="240" w:lineRule="auto"/>
        <w:ind w:left="567" w:right="539"/>
        <w:rPr>
          <w:i/>
        </w:rPr>
      </w:pPr>
      <w:r w:rsidRPr="006D6809">
        <w:rPr>
          <w:b/>
          <w:i/>
        </w:rPr>
        <w:lastRenderedPageBreak/>
        <w:t>El derecho a la información será garantizado por el Estado. La ley establecerá las previsiones que permitan asegurar la protección, el respeto y la difusión de este derecho</w:t>
      </w:r>
      <w:r w:rsidRPr="006D6809">
        <w:rPr>
          <w:i/>
        </w:rPr>
        <w:t>.</w:t>
      </w:r>
    </w:p>
    <w:p w:rsidR="00676326" w:rsidRPr="006D6809" w:rsidRDefault="00173EC0" w:rsidP="006D6809">
      <w:pPr>
        <w:spacing w:line="240" w:lineRule="auto"/>
        <w:ind w:left="567" w:right="539"/>
        <w:rPr>
          <w:i/>
        </w:rPr>
      </w:pPr>
      <w:r w:rsidRPr="006D6809">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676326" w:rsidRPr="006D6809" w:rsidRDefault="00173EC0" w:rsidP="006D6809">
      <w:pPr>
        <w:spacing w:line="240" w:lineRule="auto"/>
        <w:ind w:left="567" w:right="539"/>
        <w:rPr>
          <w:i/>
        </w:rPr>
      </w:pPr>
      <w:r w:rsidRPr="006D6809">
        <w:rPr>
          <w:b/>
          <w:i/>
        </w:rPr>
        <w:t>Este derecho se regirá por los principios y bases siguientes</w:t>
      </w:r>
      <w:r w:rsidRPr="006D6809">
        <w:rPr>
          <w:i/>
        </w:rPr>
        <w:t>:</w:t>
      </w:r>
    </w:p>
    <w:p w:rsidR="00676326" w:rsidRPr="006D6809" w:rsidRDefault="00173EC0" w:rsidP="006D6809">
      <w:pPr>
        <w:spacing w:line="240" w:lineRule="auto"/>
        <w:ind w:left="567" w:right="539"/>
        <w:rPr>
          <w:i/>
        </w:rPr>
      </w:pPr>
      <w:r w:rsidRPr="006D6809">
        <w:rPr>
          <w:b/>
          <w:i/>
        </w:rPr>
        <w:t>I. Toda la información en posesión de cualquier autoridad, entidad, órgano y organismos de los</w:t>
      </w:r>
      <w:r w:rsidRPr="006D6809">
        <w:rPr>
          <w:i/>
        </w:rPr>
        <w:t xml:space="preserve"> Poderes Ejecutivo, Legislativo y Judicial, órganos autónomos, partidos políticos, fideicomisos y fondos públicos estatales y </w:t>
      </w:r>
      <w:r w:rsidRPr="006D6809">
        <w:rPr>
          <w:b/>
          <w:i/>
        </w:rPr>
        <w:t>municipales</w:t>
      </w:r>
      <w:r w:rsidRPr="006D6809">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D6809">
        <w:rPr>
          <w:b/>
          <w:i/>
        </w:rPr>
        <w:t>es pública</w:t>
      </w:r>
      <w:r w:rsidRPr="006D6809">
        <w:rPr>
          <w:i/>
        </w:rPr>
        <w:t xml:space="preserve"> y sólo podrá ser reservada temporalmente por razones previstas en la Constitución Política de los Estados Unidos Mexicanos de interés público y seguridad, en los términos que fijen las leyes. </w:t>
      </w:r>
      <w:r w:rsidRPr="006D6809">
        <w:rPr>
          <w:b/>
          <w:i/>
        </w:rPr>
        <w:t>En la interpretación de este derecho deberá prevalecer el principio de máxima publicidad</w:t>
      </w:r>
      <w:r w:rsidRPr="006D6809">
        <w:rPr>
          <w:i/>
        </w:rPr>
        <w:t xml:space="preserve">. </w:t>
      </w:r>
      <w:r w:rsidRPr="006D6809">
        <w:rPr>
          <w:b/>
          <w:i/>
        </w:rPr>
        <w:t>Los sujetos obligados deberán documentar todo acto que derive del ejercicio de sus facultades, competencias o funciones</w:t>
      </w:r>
      <w:r w:rsidRPr="006D6809">
        <w:rPr>
          <w:i/>
        </w:rPr>
        <w:t>, la ley determinará los supuestos específicos bajo los cuales procederá la declaración de inexistencia de la información.”</w:t>
      </w:r>
    </w:p>
    <w:p w:rsidR="00676326" w:rsidRPr="006D6809" w:rsidRDefault="00676326" w:rsidP="006D6809">
      <w:pPr>
        <w:rPr>
          <w:b/>
          <w:i/>
        </w:rPr>
      </w:pPr>
    </w:p>
    <w:p w:rsidR="00676326" w:rsidRPr="006D6809" w:rsidRDefault="00173EC0" w:rsidP="006D6809">
      <w:pPr>
        <w:rPr>
          <w:i/>
        </w:rPr>
      </w:pPr>
      <w:r w:rsidRPr="006D6809">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6D6809">
        <w:rPr>
          <w:i/>
        </w:rPr>
        <w:t>por los principios de simplicidad, rapidez, gratuidad del procedimiento, auxilio y orientación a los particulares.</w:t>
      </w:r>
    </w:p>
    <w:p w:rsidR="00676326" w:rsidRPr="006D6809" w:rsidRDefault="00676326" w:rsidP="006D6809">
      <w:pPr>
        <w:rPr>
          <w:i/>
        </w:rPr>
      </w:pPr>
    </w:p>
    <w:p w:rsidR="00676326" w:rsidRPr="006D6809" w:rsidRDefault="00173EC0" w:rsidP="006D6809">
      <w:pPr>
        <w:rPr>
          <w:i/>
        </w:rPr>
      </w:pPr>
      <w:r w:rsidRPr="006D6809">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676326" w:rsidRPr="006D6809" w:rsidRDefault="00676326" w:rsidP="006D6809"/>
    <w:p w:rsidR="00676326" w:rsidRPr="006D6809" w:rsidRDefault="00173EC0" w:rsidP="006D6809">
      <w:r w:rsidRPr="006D6809">
        <w:t xml:space="preserve">Esto es, que los Sujetos Obligados deben atender las solicitudes de acceso a la información pública que se les sean realizadas, y proporcionar la información pública que obre en su poder, </w:t>
      </w:r>
      <w:r w:rsidRPr="006D6809">
        <w:lastRenderedPageBreak/>
        <w:t>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676326" w:rsidRPr="006D6809" w:rsidRDefault="00676326" w:rsidP="006D6809"/>
    <w:p w:rsidR="00676326" w:rsidRPr="006D6809" w:rsidRDefault="00173EC0" w:rsidP="006D6809">
      <w:r w:rsidRPr="006D6809">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676326" w:rsidRPr="006D6809" w:rsidRDefault="00676326" w:rsidP="006D6809"/>
    <w:p w:rsidR="00676326" w:rsidRPr="006D6809" w:rsidRDefault="00173EC0" w:rsidP="006D6809">
      <w:r w:rsidRPr="006D6809">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676326" w:rsidRPr="006D6809" w:rsidRDefault="00676326" w:rsidP="006D6809"/>
    <w:p w:rsidR="00676326" w:rsidRPr="006D6809" w:rsidRDefault="00173EC0" w:rsidP="006D6809">
      <w:pPr>
        <w:pStyle w:val="Ttulo3"/>
      </w:pPr>
      <w:bookmarkStart w:id="24" w:name="_heading=h.qw1goxqgiehu" w:colFirst="0" w:colLast="0"/>
      <w:bookmarkEnd w:id="24"/>
      <w:r w:rsidRPr="006D6809">
        <w:t>b) Controversia a resolver</w:t>
      </w:r>
    </w:p>
    <w:p w:rsidR="00676326" w:rsidRPr="006D6809" w:rsidRDefault="00173EC0" w:rsidP="006D6809">
      <w:r w:rsidRPr="006D6809">
        <w:t xml:space="preserve">Con el objeto de ilustrar la controversia planteada, resulta conveniente precisar que, una vez realizado el estudio de las constancias que integran el expediente en que se actúa, se desprende que </w:t>
      </w:r>
      <w:r w:rsidRPr="006D6809">
        <w:rPr>
          <w:b/>
        </w:rPr>
        <w:t>LA PARTE RECURRENTE</w:t>
      </w:r>
      <w:r w:rsidRPr="006D6809">
        <w:t xml:space="preserve"> solicitó la nómina vigente del H. Ayuntamiento, que contenga nombre de los servidores públicos, áreas de adscripción, fecha de ingreso, antigüedad en el cargo actual, sueldo y prestaciones, y tipo de personal, es decir, si es de base, confianza o por honorarios.</w:t>
      </w:r>
    </w:p>
    <w:p w:rsidR="00676326" w:rsidRPr="006D6809" w:rsidRDefault="00676326" w:rsidP="006D6809"/>
    <w:p w:rsidR="00676326" w:rsidRPr="006D6809" w:rsidRDefault="00173EC0" w:rsidP="006D6809">
      <w:pPr>
        <w:ind w:right="-28"/>
      </w:pPr>
      <w:r w:rsidRPr="006D6809">
        <w:t xml:space="preserve">En respuesta, </w:t>
      </w:r>
      <w:r w:rsidRPr="006D6809">
        <w:rPr>
          <w:b/>
        </w:rPr>
        <w:t>EL SUJETO OBLIGADO</w:t>
      </w:r>
      <w:r w:rsidRPr="006D6809">
        <w:t xml:space="preserve"> se pronunció a través del Servidor Público Habilitado de la Tesorería, manifestando que en esta Tesorería Municipal no se encuentra un reporte denominado la “NOMINA”. Por ello, le solicito de la manera más atenta tenga a bien especificar la información que solicita.</w:t>
      </w:r>
    </w:p>
    <w:p w:rsidR="00676326" w:rsidRPr="006D6809" w:rsidRDefault="00173EC0" w:rsidP="006D6809">
      <w:pPr>
        <w:ind w:right="-28"/>
      </w:pPr>
      <w:r w:rsidRPr="006D6809">
        <w:t xml:space="preserve"> </w:t>
      </w:r>
    </w:p>
    <w:p w:rsidR="00676326" w:rsidRPr="006D6809" w:rsidRDefault="00173EC0" w:rsidP="006D6809">
      <w:pPr>
        <w:tabs>
          <w:tab w:val="left" w:pos="4962"/>
        </w:tabs>
      </w:pPr>
      <w:r w:rsidRPr="006D6809">
        <w:t xml:space="preserve">Ahora bien, en la interposición del presente recurso </w:t>
      </w:r>
      <w:r w:rsidRPr="006D6809">
        <w:rPr>
          <w:b/>
        </w:rPr>
        <w:t>LA PARTE RECURRENTE</w:t>
      </w:r>
      <w:r w:rsidRPr="006D6809">
        <w:t xml:space="preserve"> se inconformó manifestando la negativa a la entrega de la información.</w:t>
      </w:r>
    </w:p>
    <w:p w:rsidR="00676326" w:rsidRPr="006D6809" w:rsidRDefault="00676326" w:rsidP="006D6809"/>
    <w:p w:rsidR="00676326" w:rsidRPr="006D6809" w:rsidRDefault="00173EC0" w:rsidP="006D6809">
      <w:pPr>
        <w:tabs>
          <w:tab w:val="left" w:pos="4962"/>
        </w:tabs>
      </w:pPr>
      <w:r w:rsidRPr="006D6809">
        <w:t xml:space="preserve">Abierta la etapa de instrucción, </w:t>
      </w:r>
      <w:r w:rsidRPr="006D6809">
        <w:rPr>
          <w:b/>
        </w:rPr>
        <w:t>EL SUJETO OBLIGADO</w:t>
      </w:r>
      <w:r w:rsidRPr="006D6809">
        <w:t xml:space="preserve"> rindió su Informe Justificado remitiendo diversos recibos de nómina testados; así como </w:t>
      </w:r>
      <w:r w:rsidRPr="006D6809">
        <w:rPr>
          <w:b/>
        </w:rPr>
        <w:t>LA PARTE</w:t>
      </w:r>
      <w:r w:rsidRPr="006D6809">
        <w:t xml:space="preserve"> </w:t>
      </w:r>
      <w:r w:rsidRPr="006D6809">
        <w:rPr>
          <w:b/>
        </w:rPr>
        <w:t xml:space="preserve">RECURRENTE </w:t>
      </w:r>
      <w:r w:rsidRPr="006D6809">
        <w:t xml:space="preserve">no realizó manifestación alguna. </w:t>
      </w:r>
    </w:p>
    <w:p w:rsidR="00676326" w:rsidRPr="006D6809" w:rsidRDefault="00676326" w:rsidP="006D6809"/>
    <w:p w:rsidR="00676326" w:rsidRPr="006D6809" w:rsidRDefault="00173EC0" w:rsidP="006D6809">
      <w:r w:rsidRPr="006D6809">
        <w:t xml:space="preserve">Bajo las premisas anteriores, se concluye que la controversia a dilucidar en el presente medio de impugnación será verificar si la información proporcionada en respuesta e informe justificado por </w:t>
      </w:r>
      <w:r w:rsidRPr="006D6809">
        <w:rPr>
          <w:b/>
        </w:rPr>
        <w:t xml:space="preserve">EL SUJETO OBLIGADO </w:t>
      </w:r>
      <w:r w:rsidRPr="006D6809">
        <w:t xml:space="preserve">es adecuada y suficiente para tener por satisfecho el derecho de acceso a la información pública de </w:t>
      </w:r>
      <w:r w:rsidRPr="006D6809">
        <w:rPr>
          <w:b/>
        </w:rPr>
        <w:t>LA PARTE RECURRENTE</w:t>
      </w:r>
      <w:r w:rsidRPr="006D6809">
        <w:t>, o en su caso, ordenar la entrega de la información que corresponda.</w:t>
      </w:r>
    </w:p>
    <w:p w:rsidR="00676326" w:rsidRPr="006D6809" w:rsidRDefault="00676326" w:rsidP="006D6809"/>
    <w:p w:rsidR="00676326" w:rsidRPr="006D6809" w:rsidRDefault="00173EC0" w:rsidP="006D6809">
      <w:pPr>
        <w:pStyle w:val="Ttulo3"/>
      </w:pPr>
      <w:bookmarkStart w:id="25" w:name="_heading=h.e1nafeltl89t" w:colFirst="0" w:colLast="0"/>
      <w:bookmarkEnd w:id="25"/>
      <w:r w:rsidRPr="006D6809">
        <w:t>c) Estudio de la controversia</w:t>
      </w:r>
    </w:p>
    <w:p w:rsidR="00676326" w:rsidRPr="006D6809" w:rsidRDefault="00173EC0" w:rsidP="006D6809">
      <w:r w:rsidRPr="006D6809">
        <w:t xml:space="preserve">Expuesto lo anterior, y considerando lo manifestado por </w:t>
      </w:r>
      <w:r w:rsidRPr="006D6809">
        <w:rPr>
          <w:b/>
        </w:rPr>
        <w:t xml:space="preserve">EL SUJETO OBLIGADO </w:t>
      </w:r>
      <w:r w:rsidRPr="006D6809">
        <w:t xml:space="preserve">tanto en respuesta como en informe justificado, respecto de la nómina solicitada, nos lleva a precisar que en nuestra legislación del Estado de México no existe como tal una definición de </w:t>
      </w:r>
      <w:r w:rsidRPr="006D6809">
        <w:rPr>
          <w:b/>
          <w:i/>
        </w:rPr>
        <w:t>“nómina”</w:t>
      </w:r>
      <w:r w:rsidRPr="006D6809">
        <w:t xml:space="preserve">; sin embargo, el “Glosario de Términos Usuales de Finanzas Públicas” del Centro de Estudios de las Finanzas Públicas de la Cámara de Diputados del H. Congreso de la Unión, el “Glosario de Términos Administrativos”, emitido por el Instituto Nacional de </w:t>
      </w:r>
      <w:r w:rsidRPr="006D6809">
        <w:lastRenderedPageBreak/>
        <w:t xml:space="preserve">Administración Pública, A.C. y el “Glosario de Términos para el Proceso de Planeación, Programación, </w:t>
      </w:r>
      <w:proofErr w:type="spellStart"/>
      <w:r w:rsidRPr="006D6809">
        <w:t>Presupuestación</w:t>
      </w:r>
      <w:proofErr w:type="spellEnd"/>
      <w:r w:rsidRPr="006D6809">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 honorarios y personal de lista de raya:</w:t>
      </w:r>
    </w:p>
    <w:p w:rsidR="00676326" w:rsidRPr="006D6809" w:rsidRDefault="00676326" w:rsidP="006D6809">
      <w:pPr>
        <w:tabs>
          <w:tab w:val="left" w:pos="4962"/>
        </w:tabs>
        <w:ind w:right="-28"/>
      </w:pPr>
    </w:p>
    <w:p w:rsidR="00676326" w:rsidRPr="006D6809" w:rsidRDefault="00173EC0" w:rsidP="006D6809">
      <w:pPr>
        <w:spacing w:line="276" w:lineRule="auto"/>
        <w:ind w:left="851" w:right="616"/>
        <w:rPr>
          <w:i/>
        </w:rPr>
      </w:pPr>
      <w:r w:rsidRPr="006D6809">
        <w:rPr>
          <w:i/>
        </w:rPr>
        <w:t>“</w:t>
      </w:r>
      <w:r w:rsidRPr="006D6809">
        <w:rPr>
          <w:b/>
          <w:i/>
        </w:rPr>
        <w:t xml:space="preserve">NÓMINA </w:t>
      </w:r>
      <w:r w:rsidRPr="006D6809">
        <w:rPr>
          <w:i/>
        </w:rPr>
        <w:t>Listado general de los trabajadores de una institución, en</w:t>
      </w:r>
      <w:r w:rsidRPr="006D6809">
        <w:rPr>
          <w:b/>
          <w:i/>
        </w:rPr>
        <w:t xml:space="preserve"> </w:t>
      </w:r>
      <w:r w:rsidRPr="006D6809">
        <w:rPr>
          <w:i/>
        </w:rPr>
        <w:t>el cual se asientan las percepciones brutas, deducciones y</w:t>
      </w:r>
      <w:r w:rsidRPr="006D6809">
        <w:rPr>
          <w:b/>
          <w:i/>
        </w:rPr>
        <w:t xml:space="preserve"> </w:t>
      </w:r>
      <w:r w:rsidRPr="006D6809">
        <w:rPr>
          <w:i/>
        </w:rPr>
        <w:t>alcance neto de las mismas; la nómina es utilizada para</w:t>
      </w:r>
      <w:r w:rsidRPr="006D6809">
        <w:rPr>
          <w:b/>
          <w:i/>
        </w:rPr>
        <w:t xml:space="preserve"> </w:t>
      </w:r>
      <w:r w:rsidRPr="006D6809">
        <w:rPr>
          <w:i/>
        </w:rPr>
        <w:t>efectuar los pagos periódicos (semanales, quincenales o</w:t>
      </w:r>
      <w:r w:rsidRPr="006D6809">
        <w:rPr>
          <w:b/>
          <w:i/>
        </w:rPr>
        <w:t xml:space="preserve"> </w:t>
      </w:r>
      <w:r w:rsidRPr="006D6809">
        <w:rPr>
          <w:i/>
        </w:rPr>
        <w:t>mensuales) a los trabajadores por concepto de sueldos y</w:t>
      </w:r>
      <w:r w:rsidRPr="006D6809">
        <w:rPr>
          <w:b/>
          <w:i/>
        </w:rPr>
        <w:t xml:space="preserve"> </w:t>
      </w:r>
      <w:r w:rsidRPr="006D6809">
        <w:rPr>
          <w:i/>
        </w:rPr>
        <w:t>salarios.”(Sic)</w:t>
      </w:r>
    </w:p>
    <w:p w:rsidR="00676326" w:rsidRPr="006D6809" w:rsidRDefault="00676326" w:rsidP="006D6809">
      <w:pPr>
        <w:ind w:right="-93"/>
      </w:pPr>
    </w:p>
    <w:p w:rsidR="00676326" w:rsidRPr="006D6809" w:rsidRDefault="00173EC0" w:rsidP="006D6809">
      <w:r w:rsidRPr="006D6809">
        <w:t>En ese orden de ideas, respecto a la nómina</w:t>
      </w:r>
      <w:r w:rsidRPr="006D6809">
        <w:rPr>
          <w:b/>
        </w:rPr>
        <w:t>, </w:t>
      </w:r>
      <w:r w:rsidRPr="006D6809">
        <w:t>el Glosario localizado en la página de Transparencia Presupuestaria de la Secretaría de Hacienda y Crédito Público (</w:t>
      </w:r>
      <w:hyperlink r:id="rId11">
        <w:r w:rsidRPr="006D6809">
          <w:rPr>
            <w:u w:val="single"/>
          </w:rPr>
          <w:t>http://www.transparenciapresupuestaria.gob.mx/es/PTP/Glosario</w:t>
        </w:r>
      </w:hyperlink>
      <w:r w:rsidRPr="006D6809">
        <w:t>) establece que </w:t>
      </w:r>
      <w:r w:rsidRPr="006D6809">
        <w:rPr>
          <w:b/>
        </w:rPr>
        <w:t>es el documento contable que contiene la relación de los trabajadores con las percepciones monetarias de cada uno; además, que también se refiere al recibo individual y justificativo que indica los sueldos de los trabajadores, incluyendo las prestaciones y deducciones correspondientes.</w:t>
      </w:r>
    </w:p>
    <w:p w:rsidR="00676326" w:rsidRPr="006D6809" w:rsidRDefault="00173EC0" w:rsidP="006D6809">
      <w:r w:rsidRPr="006D6809">
        <w:rPr>
          <w:b/>
        </w:rPr>
        <w:t> </w:t>
      </w:r>
    </w:p>
    <w:p w:rsidR="00676326" w:rsidRPr="006D6809" w:rsidRDefault="00173EC0" w:rsidP="006D6809">
      <w:r w:rsidRPr="006D6809">
        <w:t>De la misma manera, el Glosario de términos más usuales en la Administración Pública Federal, emitido por la Secretaría de Hacienda y Crédito Público (</w:t>
      </w:r>
      <w:hyperlink r:id="rId12">
        <w:r w:rsidRPr="006D6809">
          <w:rPr>
            <w:u w:val="single"/>
          </w:rPr>
          <w:t>http://www.apartados.hacienda.gob.mx/contabilidad/documentos/informe_cuenta/1998/cuenta_publica/Glosario/n.htm</w:t>
        </w:r>
      </w:hyperlink>
      <w:r w:rsidRPr="006D6809">
        <w:t>,), establece que la </w:t>
      </w:r>
      <w:r w:rsidRPr="006D6809">
        <w:rPr>
          <w:b/>
        </w:rPr>
        <w:t>nómina es un listado general de los trabajadores de una institución, en el cual se asientan las percepciones brutas, deducciones y alcance neto de las mismas.</w:t>
      </w:r>
    </w:p>
    <w:p w:rsidR="00676326" w:rsidRPr="006D6809" w:rsidRDefault="00173EC0" w:rsidP="006D6809">
      <w:r w:rsidRPr="006D6809">
        <w:t> </w:t>
      </w:r>
    </w:p>
    <w:p w:rsidR="00676326" w:rsidRPr="006D6809" w:rsidRDefault="00173EC0" w:rsidP="006D6809">
      <w:r w:rsidRPr="006D6809">
        <w:lastRenderedPageBreak/>
        <w:t>Conforme a lo anterior, se puede advertir que la nómina se puede referir a lo siguiente:</w:t>
      </w:r>
    </w:p>
    <w:p w:rsidR="00676326" w:rsidRPr="006D6809" w:rsidRDefault="00173EC0" w:rsidP="006D6809">
      <w:pPr>
        <w:ind w:left="567" w:right="850"/>
      </w:pPr>
      <w:r w:rsidRPr="006D6809">
        <w:t> </w:t>
      </w:r>
    </w:p>
    <w:p w:rsidR="00676326" w:rsidRPr="006D6809" w:rsidRDefault="00173EC0" w:rsidP="006D6809">
      <w:pPr>
        <w:ind w:left="567" w:right="850"/>
      </w:pPr>
      <w:r w:rsidRPr="006D6809">
        <w:t>a)      Relación de trabajadores con las percepciones monetarias de cada uno.</w:t>
      </w:r>
    </w:p>
    <w:p w:rsidR="00676326" w:rsidRPr="006D6809" w:rsidRDefault="00173EC0" w:rsidP="006D6809">
      <w:pPr>
        <w:ind w:left="567" w:right="850"/>
      </w:pPr>
      <w:r w:rsidRPr="006D6809">
        <w:t>b)      Recibo individual que contiene las prestaciones y deducciones de un trabajador.</w:t>
      </w:r>
    </w:p>
    <w:p w:rsidR="00676326" w:rsidRPr="006D6809" w:rsidRDefault="00173EC0" w:rsidP="006D6809">
      <w:pPr>
        <w:ind w:left="567" w:right="850"/>
      </w:pPr>
      <w:r w:rsidRPr="006D6809">
        <w:t>c)       Listado general de los servidores públicos de una institución o dependencia, en el cual se asientan las percepciones brutas, deducciones y alcance neto de las mismas.</w:t>
      </w:r>
    </w:p>
    <w:p w:rsidR="00676326" w:rsidRPr="006D6809" w:rsidRDefault="00173EC0" w:rsidP="006D6809">
      <w:r w:rsidRPr="006D6809">
        <w:rPr>
          <w:b/>
        </w:rPr>
        <w:t> </w:t>
      </w:r>
    </w:p>
    <w:p w:rsidR="00676326" w:rsidRPr="006D6809" w:rsidRDefault="00173EC0" w:rsidP="006D6809">
      <w:r w:rsidRPr="006D6809">
        <w:t xml:space="preserve">De lo precedente, se concluye que la nómina, </w:t>
      </w:r>
      <w:r w:rsidRPr="006D6809">
        <w:rPr>
          <w:u w:val="single"/>
        </w:rPr>
        <w:t>es el registro utilizado para efectuar los pagos a los trabajadores por concepto de sueldos y salarios</w:t>
      </w:r>
      <w:r w:rsidRPr="006D6809">
        <w:t xml:space="preserve">, el cual se compone por el conjunto de trabajadores en el que </w:t>
      </w:r>
      <w:r w:rsidRPr="006D6809">
        <w:rPr>
          <w:b/>
        </w:rPr>
        <w:t xml:space="preserve">se asientan las </w:t>
      </w:r>
      <w:r w:rsidRPr="006D6809">
        <w:rPr>
          <w:b/>
          <w:u w:val="single"/>
        </w:rPr>
        <w:t>percepciones brutas, deducciones y la cantidad neta a pagar</w:t>
      </w:r>
      <w:r w:rsidRPr="006D6809">
        <w:rPr>
          <w:u w:val="single"/>
        </w:rPr>
        <w:t>.</w:t>
      </w:r>
    </w:p>
    <w:p w:rsidR="00676326" w:rsidRPr="006D6809" w:rsidRDefault="00676326" w:rsidP="006D6809"/>
    <w:p w:rsidR="00676326" w:rsidRPr="006D6809" w:rsidRDefault="00173EC0" w:rsidP="006D6809">
      <w:pPr>
        <w:rPr>
          <w:b/>
        </w:rPr>
      </w:pPr>
      <w:r w:rsidRPr="006D6809">
        <w:t xml:space="preserve">Así, se logra advertir que la pretensión del hoy Recurrente es obtener </w:t>
      </w:r>
      <w:r w:rsidRPr="006D6809">
        <w:rPr>
          <w:b/>
        </w:rPr>
        <w:t>la nómina de los servidores públicos del Sujeto Obligado, correspondiente a la segunda quincena de dos mil veinticuatro.</w:t>
      </w:r>
    </w:p>
    <w:p w:rsidR="00676326" w:rsidRPr="006D6809" w:rsidRDefault="00676326" w:rsidP="006D6809">
      <w:pPr>
        <w:rPr>
          <w:b/>
        </w:rPr>
      </w:pPr>
    </w:p>
    <w:p w:rsidR="00676326" w:rsidRPr="006D6809" w:rsidRDefault="00173EC0" w:rsidP="006D6809">
      <w:r w:rsidRPr="006D6809">
        <w:t xml:space="preserve">Teniendo que en el caso en concreto vía informe justificado </w:t>
      </w:r>
      <w:r w:rsidRPr="006D6809">
        <w:rPr>
          <w:b/>
        </w:rPr>
        <w:t xml:space="preserve">EL SUJETO OBLIGADO </w:t>
      </w:r>
      <w:r w:rsidRPr="006D6809">
        <w:t>remitió la información consistente en diversos recibos de nómina de los servidores públicos testados, sin remitir el acta del Comité de Transparencia que avale las versiones públicas remitidas, así como tampoco la clasificación de la información; lo cual en el caso aplicable en el asunto que se resuelve, no corresponde a lo solicitado.</w:t>
      </w:r>
    </w:p>
    <w:p w:rsidR="00676326" w:rsidRPr="006D6809" w:rsidRDefault="00676326" w:rsidP="006D6809"/>
    <w:p w:rsidR="00676326" w:rsidRPr="006D6809" w:rsidRDefault="00173EC0" w:rsidP="006D6809">
      <w:r w:rsidRPr="006D6809">
        <w:t xml:space="preserve">En ese orden de ideas, el diverso 8°, fracciones XI y XIV, de la Ley de Fiscalización Superior del Estado de México, establece que el Órgano Superior de Fiscalización del Estado de México, </w:t>
      </w:r>
      <w:r w:rsidRPr="006D6809">
        <w:lastRenderedPageBreak/>
        <w:t>será el encargado de establecer los lineamientos necesarios para la elaboración de los informes trimestrales; además que verificará que dichos informes hayan sido presentados conforme a la normatividad aplicable.</w:t>
      </w:r>
    </w:p>
    <w:p w:rsidR="00676326" w:rsidRPr="006D6809" w:rsidRDefault="00676326" w:rsidP="006D6809"/>
    <w:p w:rsidR="00676326" w:rsidRPr="006D6809" w:rsidRDefault="00173EC0" w:rsidP="006D6809">
      <w:r w:rsidRPr="006D6809">
        <w:t xml:space="preserve">Al respecto, se encuentra la </w:t>
      </w:r>
      <w:r w:rsidRPr="006D6809">
        <w:rPr>
          <w:i/>
        </w:rPr>
        <w:t xml:space="preserve">conciliación de nómina, </w:t>
      </w:r>
      <w:r w:rsidRPr="006D6809">
        <w:t xml:space="preserve">que es parte de los informes trimestrales que </w:t>
      </w:r>
      <w:r w:rsidRPr="006D6809">
        <w:rPr>
          <w:b/>
        </w:rPr>
        <w:t xml:space="preserve">EL SUJETO OBLIGADO </w:t>
      </w:r>
      <w:r w:rsidRPr="006D6809">
        <w:t>se encuentra constreñido a entregar al Órgano Superior de Fiscalización del Estado de México, de conformidad con los Lineamientos para la integración, presentación y envío de los informes trimestrales municipales, del ejercicio 2024 y los Instructivos de llenado correspondientes, mismos que se encuentran disponibles en su sitio de internet</w:t>
      </w:r>
      <w:r w:rsidRPr="006D6809">
        <w:rPr>
          <w:vertAlign w:val="superscript"/>
        </w:rPr>
        <w:footnoteReference w:id="1"/>
      </w:r>
      <w:r w:rsidRPr="006D6809">
        <w:t>.</w:t>
      </w:r>
    </w:p>
    <w:p w:rsidR="00676326" w:rsidRPr="006D6809" w:rsidRDefault="00173EC0" w:rsidP="006D6809">
      <w:pPr>
        <w:spacing w:before="240" w:after="240"/>
      </w:pPr>
      <w:r w:rsidRPr="006D6809">
        <w:t xml:space="preserve">De manera que la información que generan los entes fiscalizables de carácter municipal con motivo de la nómina, se encuentra contenida en el Módulo 4 Información administrativa, </w:t>
      </w:r>
      <w:proofErr w:type="spellStart"/>
      <w:r w:rsidRPr="006D6809">
        <w:t>Submódulo</w:t>
      </w:r>
      <w:proofErr w:type="spellEnd"/>
      <w:r w:rsidRPr="006D6809">
        <w:t xml:space="preserve"> Nómina (Plataforma Digital), como se muestra a continuación:</w:t>
      </w:r>
    </w:p>
    <w:p w:rsidR="00676326" w:rsidRPr="006D6809" w:rsidRDefault="00173EC0" w:rsidP="006D6809">
      <w:pPr>
        <w:spacing w:before="240"/>
        <w:ind w:right="49"/>
        <w:jc w:val="center"/>
      </w:pPr>
      <w:r w:rsidRPr="006D6809">
        <w:rPr>
          <w:noProof/>
        </w:rPr>
        <w:drawing>
          <wp:inline distT="0" distB="0" distL="0" distR="0">
            <wp:extent cx="5065440" cy="2747349"/>
            <wp:effectExtent l="0" t="0" r="0" b="0"/>
            <wp:docPr id="214013184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5065440" cy="2747349"/>
                    </a:xfrm>
                    <a:prstGeom prst="rect">
                      <a:avLst/>
                    </a:prstGeom>
                    <a:ln/>
                  </pic:spPr>
                </pic:pic>
              </a:graphicData>
            </a:graphic>
          </wp:inline>
        </w:drawing>
      </w:r>
    </w:p>
    <w:p w:rsidR="00676326" w:rsidRPr="006D6809" w:rsidRDefault="00173EC0" w:rsidP="006D6809">
      <w:pPr>
        <w:spacing w:before="240"/>
        <w:ind w:right="49"/>
        <w:jc w:val="center"/>
      </w:pPr>
      <w:r w:rsidRPr="006D6809">
        <w:rPr>
          <w:noProof/>
        </w:rPr>
        <w:lastRenderedPageBreak/>
        <w:drawing>
          <wp:inline distT="0" distB="0" distL="0" distR="0">
            <wp:extent cx="5637287" cy="2200192"/>
            <wp:effectExtent l="0" t="0" r="0" b="0"/>
            <wp:docPr id="21401318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b="24051"/>
                    <a:stretch>
                      <a:fillRect/>
                    </a:stretch>
                  </pic:blipFill>
                  <pic:spPr>
                    <a:xfrm>
                      <a:off x="0" y="0"/>
                      <a:ext cx="5637287" cy="2200192"/>
                    </a:xfrm>
                    <a:prstGeom prst="rect">
                      <a:avLst/>
                    </a:prstGeom>
                    <a:ln/>
                  </pic:spPr>
                </pic:pic>
              </a:graphicData>
            </a:graphic>
          </wp:inline>
        </w:drawing>
      </w:r>
    </w:p>
    <w:p w:rsidR="00676326" w:rsidRPr="006D6809" w:rsidRDefault="00173EC0" w:rsidP="006D6809">
      <w:pPr>
        <w:spacing w:before="240"/>
        <w:ind w:right="49"/>
      </w:pPr>
      <w:r w:rsidRPr="006D6809">
        <w:t>La finalidad de la conciliación de nómina consiste en presentar el concentrado mensual, de manera quincenal, de las cifras derivadas de todas las erogaciones realizadas por concepto de remuneraciones al trabajo, registradas en la nómina; las cuales deben de coincidir con las contenidas en los registros contables, por concepto de remuneraciones al trabajo personal.</w:t>
      </w:r>
    </w:p>
    <w:p w:rsidR="00676326" w:rsidRPr="006D6809" w:rsidRDefault="00173EC0" w:rsidP="006D6809">
      <w:pPr>
        <w:spacing w:before="240"/>
        <w:ind w:right="49"/>
      </w:pPr>
      <w:r w:rsidRPr="006D6809">
        <w:t>La conciliación de nómina debe presentarse a través de los formatos XLSX y TXT, siendo el primero el siguiente:</w:t>
      </w:r>
    </w:p>
    <w:p w:rsidR="00676326" w:rsidRPr="006D6809" w:rsidRDefault="00173EC0" w:rsidP="006D6809">
      <w:pPr>
        <w:spacing w:before="240"/>
        <w:ind w:right="49"/>
      </w:pPr>
      <w:r w:rsidRPr="006D6809">
        <w:rPr>
          <w:noProof/>
        </w:rPr>
        <w:drawing>
          <wp:inline distT="0" distB="0" distL="0" distR="0">
            <wp:extent cx="5538486" cy="2394666"/>
            <wp:effectExtent l="0" t="0" r="0" b="0"/>
            <wp:docPr id="21401318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l="3981" r="1429"/>
                    <a:stretch>
                      <a:fillRect/>
                    </a:stretch>
                  </pic:blipFill>
                  <pic:spPr>
                    <a:xfrm>
                      <a:off x="0" y="0"/>
                      <a:ext cx="5538486" cy="2394666"/>
                    </a:xfrm>
                    <a:prstGeom prst="rect">
                      <a:avLst/>
                    </a:prstGeom>
                    <a:ln/>
                  </pic:spPr>
                </pic:pic>
              </a:graphicData>
            </a:graphic>
          </wp:inline>
        </w:drawing>
      </w:r>
    </w:p>
    <w:p w:rsidR="00676326" w:rsidRPr="006D6809" w:rsidRDefault="00173EC0" w:rsidP="006D6809">
      <w:pPr>
        <w:spacing w:before="240"/>
        <w:ind w:right="49"/>
      </w:pPr>
      <w:r w:rsidRPr="006D6809">
        <w:t>Para el llenado de dicho formato se deben observar las siguientes consideraciones:</w:t>
      </w:r>
    </w:p>
    <w:p w:rsidR="00676326" w:rsidRPr="006D6809" w:rsidRDefault="00173EC0" w:rsidP="006D6809">
      <w:pPr>
        <w:spacing w:before="240"/>
        <w:ind w:right="49"/>
      </w:pPr>
      <w:r w:rsidRPr="006D6809">
        <w:rPr>
          <w:noProof/>
        </w:rPr>
        <w:lastRenderedPageBreak/>
        <w:drawing>
          <wp:inline distT="0" distB="0" distL="0" distR="0">
            <wp:extent cx="5612130" cy="1638300"/>
            <wp:effectExtent l="0" t="0" r="0" b="0"/>
            <wp:docPr id="21401318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612130" cy="1638300"/>
                    </a:xfrm>
                    <a:prstGeom prst="rect">
                      <a:avLst/>
                    </a:prstGeom>
                    <a:ln/>
                  </pic:spPr>
                </pic:pic>
              </a:graphicData>
            </a:graphic>
          </wp:inline>
        </w:drawing>
      </w:r>
    </w:p>
    <w:p w:rsidR="00676326" w:rsidRPr="006D6809" w:rsidRDefault="00173EC0" w:rsidP="006D6809">
      <w:pPr>
        <w:spacing w:before="240"/>
        <w:ind w:right="49"/>
      </w:pPr>
      <w:r w:rsidRPr="006D6809">
        <w:rPr>
          <w:noProof/>
        </w:rPr>
        <w:drawing>
          <wp:inline distT="0" distB="0" distL="0" distR="0">
            <wp:extent cx="5612863" cy="4468314"/>
            <wp:effectExtent l="0" t="0" r="0" b="0"/>
            <wp:docPr id="21401318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b="51914"/>
                    <a:stretch>
                      <a:fillRect/>
                    </a:stretch>
                  </pic:blipFill>
                  <pic:spPr>
                    <a:xfrm>
                      <a:off x="0" y="0"/>
                      <a:ext cx="5612863" cy="4468314"/>
                    </a:xfrm>
                    <a:prstGeom prst="rect">
                      <a:avLst/>
                    </a:prstGeom>
                    <a:ln/>
                  </pic:spPr>
                </pic:pic>
              </a:graphicData>
            </a:graphic>
          </wp:inline>
        </w:drawing>
      </w:r>
      <w:r w:rsidRPr="006D6809">
        <w:rPr>
          <w:noProof/>
        </w:rPr>
        <mc:AlternateContent>
          <mc:Choice Requires="wps">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4330700</wp:posOffset>
                </wp:positionV>
                <wp:extent cx="5650230" cy="320634"/>
                <wp:effectExtent l="0" t="0" r="0" b="0"/>
                <wp:wrapNone/>
                <wp:docPr id="2140131842" name="Rectángulo 2140131842"/>
                <wp:cNvGraphicFramePr/>
                <a:graphic xmlns:a="http://schemas.openxmlformats.org/drawingml/2006/main">
                  <a:graphicData uri="http://schemas.microsoft.com/office/word/2010/wordprocessingShape">
                    <wps:wsp>
                      <wps:cNvSpPr/>
                      <wps:spPr>
                        <a:xfrm>
                          <a:off x="2539935" y="3638733"/>
                          <a:ext cx="5612130" cy="282534"/>
                        </a:xfrm>
                        <a:prstGeom prst="rect">
                          <a:avLst/>
                        </a:prstGeom>
                        <a:noFill/>
                        <a:ln w="38100" cap="flat" cmpd="sng">
                          <a:solidFill>
                            <a:srgbClr val="FF0000"/>
                          </a:solidFill>
                          <a:prstDash val="solid"/>
                          <a:round/>
                          <a:headEnd type="none" w="sm" len="sm"/>
                          <a:tailEnd type="none" w="sm" len="sm"/>
                        </a:ln>
                      </wps:spPr>
                      <wps:txbx>
                        <w:txbxContent>
                          <w:p w:rsidR="00415D1E" w:rsidRDefault="00415D1E">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id="Rectángulo 2140131842" o:spid="_x0000_s1026" style="position:absolute;left:0;text-align:left;margin-left:-1pt;margin-top:341pt;width:444.9pt;height:25.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" filled="f" strokecolor="red" strokeweight="3pt">
                <v:stroke startarrowwidth="narrow" startarrowlength="short" endarrowwidth="narrow" endarrowlength="short" joinstyle="round"/>
                <v:textbox inset="2.53958mm,2.53958mm,2.53958mm,2.53958mm">
                  <w:txbxContent>
                    <w:p w:rsidR="00415D1E" w:rsidRDefault="00415D1E">
                      <w:pPr>
                        <w:spacing w:line="240" w:lineRule="auto"/>
                        <w:jc w:val="left"/>
                        <w:textDirection w:val="btLr"/>
                      </w:pPr>
                    </w:p>
                  </w:txbxContent>
                </v:textbox>
              </v:rect>
            </w:pict>
          </mc:Fallback>
        </mc:AlternateContent>
      </w:r>
      <w:r w:rsidRPr="006D6809">
        <w:rPr>
          <w:noProof/>
        </w:rPr>
        <mc:AlternateContent>
          <mc:Choice Requires="wps">
            <w:drawing>
              <wp:anchor distT="0" distB="0" distL="114300" distR="114300" simplePos="0" relativeHeight="251659264" behindDoc="0" locked="0" layoutInCell="1" hidden="0" allowOverlap="1">
                <wp:simplePos x="0" y="0"/>
                <wp:positionH relativeFrom="column">
                  <wp:posOffset>-12699</wp:posOffset>
                </wp:positionH>
                <wp:positionV relativeFrom="paragraph">
                  <wp:posOffset>1181100</wp:posOffset>
                </wp:positionV>
                <wp:extent cx="5650230" cy="1057275"/>
                <wp:effectExtent l="0" t="0" r="0" b="0"/>
                <wp:wrapNone/>
                <wp:docPr id="2140131840" name="Rectángulo 2140131840"/>
                <wp:cNvGraphicFramePr/>
                <a:graphic xmlns:a="http://schemas.openxmlformats.org/drawingml/2006/main">
                  <a:graphicData uri="http://schemas.microsoft.com/office/word/2010/wordprocessingShape">
                    <wps:wsp>
                      <wps:cNvSpPr/>
                      <wps:spPr>
                        <a:xfrm>
                          <a:off x="2539935" y="3270413"/>
                          <a:ext cx="5612130" cy="1019175"/>
                        </a:xfrm>
                        <a:prstGeom prst="rect">
                          <a:avLst/>
                        </a:prstGeom>
                        <a:noFill/>
                        <a:ln w="38100" cap="flat" cmpd="sng">
                          <a:solidFill>
                            <a:srgbClr val="FF0000"/>
                          </a:solidFill>
                          <a:prstDash val="solid"/>
                          <a:round/>
                          <a:headEnd type="none" w="sm" len="sm"/>
                          <a:tailEnd type="none" w="sm" len="sm"/>
                        </a:ln>
                      </wps:spPr>
                      <wps:txbx>
                        <w:txbxContent>
                          <w:p w:rsidR="00415D1E" w:rsidRDefault="00415D1E">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id="Rectángulo 2140131840" o:spid="_x0000_s1027" style="position:absolute;left:0;text-align:left;margin-left:-1pt;margin-top:93pt;width:444.9pt;height:8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" filled="f" strokecolor="red" strokeweight="3pt">
                <v:stroke startarrowwidth="narrow" startarrowlength="short" endarrowwidth="narrow" endarrowlength="short" joinstyle="round"/>
                <v:textbox inset="2.53958mm,2.53958mm,2.53958mm,2.53958mm">
                  <w:txbxContent>
                    <w:p w:rsidR="00415D1E" w:rsidRDefault="00415D1E">
                      <w:pPr>
                        <w:spacing w:line="240" w:lineRule="auto"/>
                        <w:jc w:val="left"/>
                        <w:textDirection w:val="btLr"/>
                      </w:pPr>
                    </w:p>
                  </w:txbxContent>
                </v:textbox>
              </v:rect>
            </w:pict>
          </mc:Fallback>
        </mc:AlternateContent>
      </w:r>
    </w:p>
    <w:p w:rsidR="00676326" w:rsidRPr="006D6809" w:rsidRDefault="00173EC0" w:rsidP="006D6809">
      <w:pPr>
        <w:spacing w:before="240"/>
        <w:ind w:right="49"/>
      </w:pPr>
      <w:r w:rsidRPr="006D6809">
        <w:rPr>
          <w:noProof/>
        </w:rPr>
        <w:lastRenderedPageBreak/>
        <w:drawing>
          <wp:inline distT="0" distB="0" distL="0" distR="0">
            <wp:extent cx="5612130" cy="3687544"/>
            <wp:effectExtent l="0" t="0" r="0" b="0"/>
            <wp:docPr id="21401318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t="48910" b="126"/>
                    <a:stretch>
                      <a:fillRect/>
                    </a:stretch>
                  </pic:blipFill>
                  <pic:spPr>
                    <a:xfrm>
                      <a:off x="0" y="0"/>
                      <a:ext cx="5612130" cy="3687544"/>
                    </a:xfrm>
                    <a:prstGeom prst="rect">
                      <a:avLst/>
                    </a:prstGeom>
                    <a:ln/>
                  </pic:spPr>
                </pic:pic>
              </a:graphicData>
            </a:graphic>
          </wp:inline>
        </w:drawing>
      </w:r>
      <w:r w:rsidRPr="006D6809">
        <w:rPr>
          <w:noProof/>
        </w:rPr>
        <w:drawing>
          <wp:inline distT="0" distB="0" distL="0" distR="0">
            <wp:extent cx="5612130" cy="1405255"/>
            <wp:effectExtent l="0" t="0" r="0" b="0"/>
            <wp:docPr id="214013184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5612130" cy="1405255"/>
                    </a:xfrm>
                    <a:prstGeom prst="rect">
                      <a:avLst/>
                    </a:prstGeom>
                    <a:ln/>
                  </pic:spPr>
                </pic:pic>
              </a:graphicData>
            </a:graphic>
          </wp:inline>
        </w:drawing>
      </w:r>
      <w:r w:rsidRPr="006D6809">
        <w:rPr>
          <w:noProof/>
        </w:rPr>
        <mc:AlternateContent>
          <mc:Choice Requires="wps">
            <w:drawing>
              <wp:anchor distT="0" distB="0" distL="114300" distR="114300" simplePos="0" relativeHeight="251660288" behindDoc="0" locked="0" layoutInCell="1" hidden="0" allowOverlap="1">
                <wp:simplePos x="0" y="0"/>
                <wp:positionH relativeFrom="column">
                  <wp:posOffset>-12699</wp:posOffset>
                </wp:positionH>
                <wp:positionV relativeFrom="paragraph">
                  <wp:posOffset>-12699</wp:posOffset>
                </wp:positionV>
                <wp:extent cx="5650230" cy="275211"/>
                <wp:effectExtent l="0" t="0" r="0" b="0"/>
                <wp:wrapNone/>
                <wp:docPr id="2140131839" name="Rectángulo 2140131839"/>
                <wp:cNvGraphicFramePr/>
                <a:graphic xmlns:a="http://schemas.openxmlformats.org/drawingml/2006/main">
                  <a:graphicData uri="http://schemas.microsoft.com/office/word/2010/wordprocessingShape">
                    <wps:wsp>
                      <wps:cNvSpPr/>
                      <wps:spPr>
                        <a:xfrm>
                          <a:off x="2539935" y="3661445"/>
                          <a:ext cx="5612130" cy="237111"/>
                        </a:xfrm>
                        <a:prstGeom prst="rect">
                          <a:avLst/>
                        </a:prstGeom>
                        <a:noFill/>
                        <a:ln w="38100" cap="flat" cmpd="sng">
                          <a:solidFill>
                            <a:srgbClr val="FF0000"/>
                          </a:solidFill>
                          <a:prstDash val="solid"/>
                          <a:round/>
                          <a:headEnd type="none" w="sm" len="sm"/>
                          <a:tailEnd type="none" w="sm" len="sm"/>
                        </a:ln>
                      </wps:spPr>
                      <wps:txbx>
                        <w:txbxContent>
                          <w:p w:rsidR="00415D1E" w:rsidRDefault="00415D1E">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id="Rectángulo 2140131839" o:spid="_x0000_s1028" style="position:absolute;left:0;text-align:left;margin-left:-1pt;margin-top:-1pt;width:444.9pt;height:2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" filled="f" strokecolor="red" strokeweight="3pt">
                <v:stroke startarrowwidth="narrow" startarrowlength="short" endarrowwidth="narrow" endarrowlength="short" joinstyle="round"/>
                <v:textbox inset="2.53958mm,2.53958mm,2.53958mm,2.53958mm">
                  <w:txbxContent>
                    <w:p w:rsidR="00415D1E" w:rsidRDefault="00415D1E">
                      <w:pPr>
                        <w:spacing w:line="240" w:lineRule="auto"/>
                        <w:jc w:val="left"/>
                        <w:textDirection w:val="btLr"/>
                      </w:pPr>
                    </w:p>
                  </w:txbxContent>
                </v:textbox>
              </v:rect>
            </w:pict>
          </mc:Fallback>
        </mc:AlternateContent>
      </w:r>
      <w:r w:rsidRPr="006D6809">
        <w:rPr>
          <w:noProof/>
        </w:rPr>
        <mc:AlternateContent>
          <mc:Choice Requires="wps">
            <w:drawing>
              <wp:anchor distT="0" distB="0" distL="114300" distR="114300" simplePos="0" relativeHeight="251661312" behindDoc="0" locked="0" layoutInCell="1" hidden="0" allowOverlap="1">
                <wp:simplePos x="0" y="0"/>
                <wp:positionH relativeFrom="column">
                  <wp:posOffset>-12699</wp:posOffset>
                </wp:positionH>
                <wp:positionV relativeFrom="paragraph">
                  <wp:posOffset>215900</wp:posOffset>
                </wp:positionV>
                <wp:extent cx="5650230" cy="3248025"/>
                <wp:effectExtent l="0" t="0" r="0" b="0"/>
                <wp:wrapNone/>
                <wp:docPr id="2140131841" name="Rectángulo 2140131841"/>
                <wp:cNvGraphicFramePr/>
                <a:graphic xmlns:a="http://schemas.openxmlformats.org/drawingml/2006/main">
                  <a:graphicData uri="http://schemas.microsoft.com/office/word/2010/wordprocessingShape">
                    <wps:wsp>
                      <wps:cNvSpPr/>
                      <wps:spPr>
                        <a:xfrm>
                          <a:off x="2539935" y="2175038"/>
                          <a:ext cx="5612130" cy="3209925"/>
                        </a:xfrm>
                        <a:prstGeom prst="rect">
                          <a:avLst/>
                        </a:prstGeom>
                        <a:noFill/>
                        <a:ln w="38100" cap="flat" cmpd="sng">
                          <a:solidFill>
                            <a:srgbClr val="FF0000"/>
                          </a:solidFill>
                          <a:prstDash val="solid"/>
                          <a:round/>
                          <a:headEnd type="none" w="sm" len="sm"/>
                          <a:tailEnd type="none" w="sm" len="sm"/>
                        </a:ln>
                      </wps:spPr>
                      <wps:txbx>
                        <w:txbxContent>
                          <w:p w:rsidR="00415D1E" w:rsidRDefault="00415D1E">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id="Rectángulo 2140131841" o:spid="_x0000_s1029" style="position:absolute;left:0;text-align:left;margin-left:-1pt;margin-top:17pt;width:444.9pt;height:25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" filled="f" strokecolor="red" strokeweight="3pt">
                <v:stroke startarrowwidth="narrow" startarrowlength="short" endarrowwidth="narrow" endarrowlength="short" joinstyle="round"/>
                <v:textbox inset="2.53958mm,2.53958mm,2.53958mm,2.53958mm">
                  <w:txbxContent>
                    <w:p w:rsidR="00415D1E" w:rsidRDefault="00415D1E">
                      <w:pPr>
                        <w:spacing w:line="240" w:lineRule="auto"/>
                        <w:jc w:val="left"/>
                        <w:textDirection w:val="btLr"/>
                      </w:pPr>
                    </w:p>
                  </w:txbxContent>
                </v:textbox>
              </v:rect>
            </w:pict>
          </mc:Fallback>
        </mc:AlternateContent>
      </w:r>
    </w:p>
    <w:p w:rsidR="00676326" w:rsidRPr="006D6809" w:rsidRDefault="00676326" w:rsidP="006D6809">
      <w:pPr>
        <w:rPr>
          <w:b/>
        </w:rPr>
      </w:pPr>
    </w:p>
    <w:p w:rsidR="00676326" w:rsidRPr="006D6809" w:rsidRDefault="00173EC0" w:rsidP="006D6809">
      <w:r w:rsidRPr="006D6809">
        <w:t xml:space="preserve">Conforme a lo anterior, se logra vislumbrar que </w:t>
      </w:r>
      <w:r w:rsidRPr="006D6809">
        <w:rPr>
          <w:b/>
        </w:rPr>
        <w:t>EL SUJETO OBLIGADO</w:t>
      </w:r>
      <w:r w:rsidRPr="006D6809">
        <w:t xml:space="preserve"> tiene competencia para conocer de lo peticionado. </w:t>
      </w:r>
    </w:p>
    <w:p w:rsidR="00676326" w:rsidRPr="006D6809" w:rsidRDefault="00676326" w:rsidP="006D6809">
      <w:pPr>
        <w:rPr>
          <w:b/>
        </w:rPr>
      </w:pPr>
    </w:p>
    <w:p w:rsidR="00676326" w:rsidRPr="006D6809" w:rsidRDefault="00173EC0" w:rsidP="006D6809">
      <w:r w:rsidRPr="006D6809">
        <w:t xml:space="preserve">En el entendido que, el derecho de acceso a la información consiste en que la </w:t>
      </w:r>
      <w:r w:rsidRPr="006D6809">
        <w:rPr>
          <w:b/>
          <w:u w:val="single"/>
        </w:rPr>
        <w:t>información solicitada conste en un soporte documental</w:t>
      </w:r>
      <w:r w:rsidRPr="006D6809">
        <w:t xml:space="preserve"> en cualquiera de sus formas, a saber: expedientes, reportes, estudios, actas</w:t>
      </w:r>
      <w:r w:rsidRPr="006D6809">
        <w:rPr>
          <w:b/>
        </w:rPr>
        <w:t>,</w:t>
      </w:r>
      <w:r w:rsidRPr="006D6809">
        <w:t xml:space="preserve"> resoluciones, oficios, correspondencia, acuerdos, directivas, </w:t>
      </w:r>
      <w:r w:rsidRPr="006D6809">
        <w:lastRenderedPageBreak/>
        <w:t xml:space="preserve">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676326" w:rsidRPr="006D6809" w:rsidRDefault="00676326" w:rsidP="006D6809">
      <w:pPr>
        <w:rPr>
          <w:i/>
        </w:rPr>
      </w:pPr>
    </w:p>
    <w:p w:rsidR="00676326" w:rsidRPr="006D6809" w:rsidRDefault="00173EC0" w:rsidP="006D6809">
      <w:pPr>
        <w:pStyle w:val="Puesto"/>
        <w:ind w:firstLine="0"/>
        <w:rPr>
          <w:b/>
          <w:color w:val="auto"/>
        </w:rPr>
      </w:pPr>
      <w:r w:rsidRPr="006D6809">
        <w:rPr>
          <w:color w:val="auto"/>
        </w:rPr>
        <w:t>“</w:t>
      </w:r>
      <w:r w:rsidRPr="006D6809">
        <w:rPr>
          <w:b/>
          <w:color w:val="auto"/>
        </w:rPr>
        <w:t>Artículo 3. Para los efectos de la presente Ley se entenderá por:</w:t>
      </w:r>
    </w:p>
    <w:p w:rsidR="00676326" w:rsidRPr="006D6809" w:rsidRDefault="00173EC0" w:rsidP="006D6809">
      <w:pPr>
        <w:pStyle w:val="Puesto"/>
        <w:ind w:firstLine="0"/>
        <w:rPr>
          <w:b/>
          <w:color w:val="auto"/>
        </w:rPr>
      </w:pPr>
      <w:r w:rsidRPr="006D6809">
        <w:rPr>
          <w:b/>
          <w:color w:val="auto"/>
        </w:rPr>
        <w:t>…</w:t>
      </w:r>
    </w:p>
    <w:p w:rsidR="00676326" w:rsidRPr="006D6809" w:rsidRDefault="00173EC0" w:rsidP="006D6809">
      <w:pPr>
        <w:pStyle w:val="Puesto"/>
        <w:ind w:firstLine="0"/>
        <w:rPr>
          <w:color w:val="auto"/>
        </w:rPr>
      </w:pPr>
      <w:r w:rsidRPr="006D6809">
        <w:rPr>
          <w:b/>
          <w:color w:val="auto"/>
        </w:rPr>
        <w:t>XI. Documento:</w:t>
      </w:r>
      <w:r w:rsidRPr="006D6809">
        <w:rPr>
          <w:color w:val="auto"/>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676326" w:rsidRPr="006D6809" w:rsidRDefault="00676326" w:rsidP="006D6809">
      <w:pPr>
        <w:ind w:left="1134" w:right="901"/>
      </w:pPr>
    </w:p>
    <w:p w:rsidR="00676326" w:rsidRPr="006D6809" w:rsidRDefault="00173EC0" w:rsidP="006D6809">
      <w:r w:rsidRPr="006D6809">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676326" w:rsidRPr="006D6809" w:rsidRDefault="00676326" w:rsidP="006D6809">
      <w:pPr>
        <w:ind w:left="851" w:right="850"/>
      </w:pPr>
    </w:p>
    <w:p w:rsidR="00676326" w:rsidRPr="006D6809" w:rsidRDefault="00173EC0" w:rsidP="006D6809">
      <w:pPr>
        <w:pStyle w:val="Puesto"/>
        <w:ind w:firstLine="0"/>
        <w:rPr>
          <w:b/>
          <w:color w:val="auto"/>
        </w:rPr>
      </w:pPr>
      <w:r w:rsidRPr="006D6809">
        <w:rPr>
          <w:color w:val="auto"/>
        </w:rPr>
        <w:t>“</w:t>
      </w:r>
      <w:r w:rsidRPr="006D6809">
        <w:rPr>
          <w:b/>
          <w:color w:val="auto"/>
        </w:rPr>
        <w:t>CRITERIO 0002-11</w:t>
      </w:r>
    </w:p>
    <w:p w:rsidR="00676326" w:rsidRPr="006D6809" w:rsidRDefault="00173EC0" w:rsidP="006D6809">
      <w:pPr>
        <w:pStyle w:val="Puesto"/>
        <w:ind w:firstLine="0"/>
        <w:rPr>
          <w:color w:val="auto"/>
        </w:rPr>
      </w:pPr>
      <w:r w:rsidRPr="006D6809">
        <w:rPr>
          <w:b/>
          <w:color w:val="auto"/>
        </w:rPr>
        <w:t>INFORMACIÓN PÚBLICA, CONCEPTO DE, EN MATERIA DE TRANSPARENCIA. INTERPRETACIÓN SISTEMÁTICA DE LOS ARTÍCULOS 2°, FRACCIÓN V, XV, Y XVI, 3°, 4°, 11 Y 41</w:t>
      </w:r>
      <w:r w:rsidRPr="006D6809">
        <w:rPr>
          <w:color w:val="auto"/>
        </w:rPr>
        <w:t>.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676326" w:rsidRPr="006D6809" w:rsidRDefault="00173EC0" w:rsidP="006D6809">
      <w:pPr>
        <w:pStyle w:val="Puesto"/>
        <w:ind w:firstLine="0"/>
        <w:rPr>
          <w:color w:val="auto"/>
        </w:rPr>
      </w:pPr>
      <w:r w:rsidRPr="006D6809">
        <w:rPr>
          <w:color w:val="auto"/>
        </w:rPr>
        <w:lastRenderedPageBreak/>
        <w:t>En consecuencia el acceso a la información se refiere a que se cumplan cualquiera de los siguientes tres supuestos:</w:t>
      </w:r>
    </w:p>
    <w:p w:rsidR="00676326" w:rsidRPr="006D6809" w:rsidRDefault="00173EC0" w:rsidP="006D6809">
      <w:pPr>
        <w:pStyle w:val="Puesto"/>
        <w:ind w:firstLine="0"/>
        <w:rPr>
          <w:color w:val="auto"/>
        </w:rPr>
      </w:pPr>
      <w:r w:rsidRPr="006D6809">
        <w:rPr>
          <w:color w:val="auto"/>
        </w:rPr>
        <w:t>1) Que se trate de información registrada en cualquier soporte documental, que en ejercicio de las atribuciones conferidas, sea generada por los Sujetos Obligados;</w:t>
      </w:r>
    </w:p>
    <w:p w:rsidR="00676326" w:rsidRPr="006D6809" w:rsidRDefault="00173EC0" w:rsidP="006D6809">
      <w:pPr>
        <w:pStyle w:val="Puesto"/>
        <w:ind w:firstLine="0"/>
        <w:rPr>
          <w:color w:val="auto"/>
        </w:rPr>
      </w:pPr>
      <w:r w:rsidRPr="006D6809">
        <w:rPr>
          <w:color w:val="auto"/>
        </w:rPr>
        <w:t>2) Que se trate de información registrada en cualquier soporte documental, que en ejercicio de las atribuciones conferidas, sea administrada por los Sujetos Obligados, y</w:t>
      </w:r>
    </w:p>
    <w:p w:rsidR="00676326" w:rsidRPr="006D6809" w:rsidRDefault="00173EC0" w:rsidP="006D6809">
      <w:pPr>
        <w:pStyle w:val="Puesto"/>
        <w:ind w:firstLine="0"/>
        <w:rPr>
          <w:color w:val="auto"/>
        </w:rPr>
      </w:pPr>
      <w:r w:rsidRPr="006D6809">
        <w:rPr>
          <w:color w:val="auto"/>
        </w:rPr>
        <w:t>3) Que se trate de información registrada en cualquier soporte documental, que en ejercicio de las atribuciones conferidas, se encuentre en posesión de los Sujetos Obligados.” (Sic)</w:t>
      </w:r>
    </w:p>
    <w:p w:rsidR="00676326" w:rsidRPr="006D6809" w:rsidRDefault="00676326" w:rsidP="006D6809"/>
    <w:p w:rsidR="00676326" w:rsidRPr="006D6809" w:rsidRDefault="00173EC0" w:rsidP="006D6809">
      <w:r w:rsidRPr="006D6809">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6D6809">
        <w:rPr>
          <w:b/>
        </w:rPr>
        <w:t>EL SUJETO OBLIGADO</w:t>
      </w:r>
      <w:r w:rsidRPr="006D6809">
        <w:t xml:space="preserve"> la generó o porque como parte del ejercicio de sus funciones la recibió y por consiguiente, la administra y posee. </w:t>
      </w:r>
    </w:p>
    <w:p w:rsidR="00676326" w:rsidRPr="006D6809" w:rsidRDefault="00676326" w:rsidP="006D6809"/>
    <w:p w:rsidR="00676326" w:rsidRPr="006D6809" w:rsidRDefault="00173EC0" w:rsidP="006D6809">
      <w:r w:rsidRPr="006D6809">
        <w:t xml:space="preserve">Robustece lo anterior, el Criterio orientador 03/17 emitido por el entonces Instituto Nacional de Transparencia, Acceso a la Información y Protección de Datos Personales, el cual establece lo siguiente: </w:t>
      </w:r>
    </w:p>
    <w:p w:rsidR="00676326" w:rsidRPr="006D6809" w:rsidRDefault="00676326" w:rsidP="006D6809"/>
    <w:p w:rsidR="00676326" w:rsidRPr="006D6809" w:rsidRDefault="00173EC0" w:rsidP="006D6809">
      <w:pPr>
        <w:pStyle w:val="Puesto"/>
        <w:ind w:firstLine="0"/>
        <w:rPr>
          <w:color w:val="auto"/>
        </w:rPr>
      </w:pPr>
      <w:r w:rsidRPr="006D6809">
        <w:rPr>
          <w:color w:val="auto"/>
        </w:rPr>
        <w:t>“</w:t>
      </w:r>
      <w:r w:rsidRPr="006D6809">
        <w:rPr>
          <w:b/>
          <w:color w:val="auto"/>
        </w:rPr>
        <w:t xml:space="preserve">No existe obligación de elaborar documentos ad hoc para atender las solicitudes de acceso a la información. </w:t>
      </w:r>
      <w:r w:rsidRPr="006D6809">
        <w:rPr>
          <w:color w:val="auto"/>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rsidR="00676326" w:rsidRPr="006D6809" w:rsidRDefault="00676326" w:rsidP="006D6809"/>
    <w:p w:rsidR="00676326" w:rsidRPr="006D6809" w:rsidRDefault="00173EC0" w:rsidP="006D6809">
      <w:r w:rsidRPr="006D6809">
        <w:lastRenderedPageBreak/>
        <w:t xml:space="preserve">Por lo anterior, toda vez que la información enviada en respuesta y en informe justificado no colma a cabalidad con lo solicitado por </w:t>
      </w:r>
      <w:r w:rsidRPr="006D6809">
        <w:rPr>
          <w:b/>
        </w:rPr>
        <w:t>LA PARTE RECURRENTE</w:t>
      </w:r>
      <w:r w:rsidRPr="006D6809">
        <w:t xml:space="preserve">, este Organismo Garante determina ordenar la Conciliación de Nómina </w:t>
      </w:r>
      <w:r w:rsidR="004A20B3" w:rsidRPr="006D6809">
        <w:t xml:space="preserve">al ser el documento que contiene la información requerida por el particular, estos es, </w:t>
      </w:r>
      <w:r w:rsidRPr="006D6809">
        <w:t>el nombre de los servidores públicos, áreas de adscripción, fecha de ingreso, antigüedad en el cargo actual, sueldo y prestaciones, y tipo de personal, es decir, si es de base, confianza o por honorarios, en versión pública</w:t>
      </w:r>
      <w:r w:rsidR="004A20B3" w:rsidRPr="006D6809">
        <w:t xml:space="preserve">. </w:t>
      </w:r>
    </w:p>
    <w:p w:rsidR="004A20B3" w:rsidRPr="006D6809" w:rsidRDefault="004A20B3" w:rsidP="006D6809"/>
    <w:p w:rsidR="00676326" w:rsidRPr="006D6809" w:rsidRDefault="00173EC0" w:rsidP="006D6809">
      <w:r w:rsidRPr="006D6809">
        <w:t xml:space="preserve">Precisando que por cuanto hace al requerimiento de información relativo a la antigüedad en el cargo actual, y como se apuntó en las líneas que preceden </w:t>
      </w:r>
      <w:r w:rsidRPr="006D6809">
        <w:rPr>
          <w:b/>
        </w:rPr>
        <w:t xml:space="preserve">EL SUJETO OBLIGADO </w:t>
      </w:r>
      <w:r w:rsidRPr="006D6809">
        <w:t>cuenta con el deber de proporcionar la información en el estado en el que la genera y no así a la formulación de documentos ad hoc para atender los requerimientos de acceso a la información.</w:t>
      </w:r>
    </w:p>
    <w:p w:rsidR="00676326" w:rsidRPr="006D6809" w:rsidRDefault="00676326" w:rsidP="006D6809"/>
    <w:p w:rsidR="00676326" w:rsidRPr="006D6809" w:rsidRDefault="00173EC0" w:rsidP="006D6809">
      <w:pPr>
        <w:pStyle w:val="Ttulo3"/>
      </w:pPr>
      <w:bookmarkStart w:id="26" w:name="_heading=h.z4tpss8jc8l0" w:colFirst="0" w:colLast="0"/>
      <w:bookmarkEnd w:id="26"/>
      <w:r w:rsidRPr="006D6809">
        <w:t>d) Versión pública</w:t>
      </w:r>
    </w:p>
    <w:p w:rsidR="00676326" w:rsidRPr="006D6809" w:rsidRDefault="00173EC0" w:rsidP="006D6809">
      <w:r w:rsidRPr="006D6809">
        <w:t xml:space="preserve">Para el caso de que el o los documentos de los cuales se ordena su entrega contengan datos personales susceptibles de ser testados, deberán ser entregados en </w:t>
      </w:r>
      <w:r w:rsidRPr="006D6809">
        <w:rPr>
          <w:b/>
        </w:rPr>
        <w:t>versión pública</w:t>
      </w:r>
      <w:r w:rsidRPr="006D6809">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676326" w:rsidRPr="006D6809" w:rsidRDefault="00676326" w:rsidP="006D6809"/>
    <w:p w:rsidR="00676326" w:rsidRPr="006D6809" w:rsidRDefault="00173EC0" w:rsidP="006D6809">
      <w:r w:rsidRPr="006D6809">
        <w:lastRenderedPageBreak/>
        <w:t>A este respecto, los artículos 3, fracciones IX, XX, XXI y XLV; 51 y 52 de la Ley de Transparencia y Acceso a la Información Pública del Estado de México y Municipios establecen:</w:t>
      </w:r>
    </w:p>
    <w:p w:rsidR="00676326" w:rsidRPr="006D6809" w:rsidRDefault="00676326" w:rsidP="006D6809"/>
    <w:p w:rsidR="00676326" w:rsidRPr="006D6809" w:rsidRDefault="00173EC0" w:rsidP="006D6809">
      <w:pPr>
        <w:pStyle w:val="Puesto"/>
        <w:ind w:firstLine="567"/>
        <w:rPr>
          <w:color w:val="auto"/>
        </w:rPr>
      </w:pPr>
      <w:r w:rsidRPr="006D6809">
        <w:rPr>
          <w:b/>
          <w:color w:val="auto"/>
        </w:rPr>
        <w:t xml:space="preserve">“Artículo 3. </w:t>
      </w:r>
      <w:r w:rsidRPr="006D6809">
        <w:rPr>
          <w:color w:val="auto"/>
        </w:rPr>
        <w:t xml:space="preserve">Para los efectos de la presente Ley se entenderá por: </w:t>
      </w:r>
    </w:p>
    <w:p w:rsidR="00676326" w:rsidRPr="006D6809" w:rsidRDefault="00173EC0" w:rsidP="006D6809">
      <w:pPr>
        <w:pStyle w:val="Puesto"/>
        <w:ind w:firstLine="567"/>
        <w:rPr>
          <w:color w:val="auto"/>
        </w:rPr>
      </w:pPr>
      <w:r w:rsidRPr="006D6809">
        <w:rPr>
          <w:b/>
          <w:color w:val="auto"/>
        </w:rPr>
        <w:t>IX.</w:t>
      </w:r>
      <w:r w:rsidRPr="006D6809">
        <w:rPr>
          <w:color w:val="auto"/>
        </w:rPr>
        <w:t xml:space="preserve"> </w:t>
      </w:r>
      <w:r w:rsidRPr="006D6809">
        <w:rPr>
          <w:b/>
          <w:color w:val="auto"/>
        </w:rPr>
        <w:t xml:space="preserve">Datos personales: </w:t>
      </w:r>
      <w:r w:rsidRPr="006D6809">
        <w:rPr>
          <w:color w:val="auto"/>
        </w:rPr>
        <w:t xml:space="preserve">La información concerniente a una persona, identificada o identificable según lo dispuesto por la Ley de Protección de Datos Personales del Estado de México; </w:t>
      </w:r>
    </w:p>
    <w:p w:rsidR="00676326" w:rsidRPr="006D6809" w:rsidRDefault="00676326" w:rsidP="006D6809">
      <w:pPr>
        <w:pStyle w:val="Puesto"/>
        <w:ind w:firstLine="567"/>
        <w:rPr>
          <w:color w:val="auto"/>
        </w:rPr>
      </w:pPr>
    </w:p>
    <w:p w:rsidR="00676326" w:rsidRPr="006D6809" w:rsidRDefault="00173EC0" w:rsidP="006D6809">
      <w:pPr>
        <w:pStyle w:val="Puesto"/>
        <w:ind w:firstLine="567"/>
        <w:rPr>
          <w:color w:val="auto"/>
        </w:rPr>
      </w:pPr>
      <w:r w:rsidRPr="006D6809">
        <w:rPr>
          <w:b/>
          <w:color w:val="auto"/>
        </w:rPr>
        <w:t>XX.</w:t>
      </w:r>
      <w:r w:rsidRPr="006D6809">
        <w:rPr>
          <w:color w:val="auto"/>
        </w:rPr>
        <w:t xml:space="preserve"> </w:t>
      </w:r>
      <w:r w:rsidRPr="006D6809">
        <w:rPr>
          <w:b/>
          <w:color w:val="auto"/>
        </w:rPr>
        <w:t>Información clasificada:</w:t>
      </w:r>
      <w:r w:rsidRPr="006D6809">
        <w:rPr>
          <w:color w:val="auto"/>
        </w:rPr>
        <w:t xml:space="preserve"> Aquella considerada por la presente Ley como reservada o confidencial; </w:t>
      </w:r>
    </w:p>
    <w:p w:rsidR="00676326" w:rsidRPr="006D6809" w:rsidRDefault="00676326" w:rsidP="006D6809">
      <w:pPr>
        <w:pStyle w:val="Puesto"/>
        <w:ind w:firstLine="567"/>
        <w:rPr>
          <w:color w:val="auto"/>
        </w:rPr>
      </w:pPr>
    </w:p>
    <w:p w:rsidR="00676326" w:rsidRPr="006D6809" w:rsidRDefault="00173EC0" w:rsidP="006D6809">
      <w:pPr>
        <w:pStyle w:val="Puesto"/>
        <w:ind w:firstLine="567"/>
        <w:rPr>
          <w:color w:val="auto"/>
        </w:rPr>
      </w:pPr>
      <w:r w:rsidRPr="006D6809">
        <w:rPr>
          <w:b/>
          <w:color w:val="auto"/>
        </w:rPr>
        <w:t>XXI.</w:t>
      </w:r>
      <w:r w:rsidRPr="006D6809">
        <w:rPr>
          <w:color w:val="auto"/>
        </w:rPr>
        <w:t xml:space="preserve"> </w:t>
      </w:r>
      <w:r w:rsidRPr="006D6809">
        <w:rPr>
          <w:b/>
          <w:color w:val="auto"/>
        </w:rPr>
        <w:t>Información confidencial</w:t>
      </w:r>
      <w:r w:rsidRPr="006D6809">
        <w:rPr>
          <w:color w:val="auto"/>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676326" w:rsidRPr="006D6809" w:rsidRDefault="00676326" w:rsidP="006D6809">
      <w:pPr>
        <w:pStyle w:val="Puesto"/>
        <w:ind w:firstLine="567"/>
        <w:rPr>
          <w:color w:val="auto"/>
        </w:rPr>
      </w:pPr>
    </w:p>
    <w:p w:rsidR="00676326" w:rsidRPr="006D6809" w:rsidRDefault="00173EC0" w:rsidP="006D6809">
      <w:pPr>
        <w:pStyle w:val="Puesto"/>
        <w:ind w:firstLine="567"/>
        <w:rPr>
          <w:color w:val="auto"/>
        </w:rPr>
      </w:pPr>
      <w:r w:rsidRPr="006D6809">
        <w:rPr>
          <w:b/>
          <w:color w:val="auto"/>
        </w:rPr>
        <w:t>XLV. Versión pública:</w:t>
      </w:r>
      <w:r w:rsidRPr="006D6809">
        <w:rPr>
          <w:color w:val="auto"/>
        </w:rPr>
        <w:t xml:space="preserve"> Documento en el que se elimine, suprime o borra la información clasificada como reservada o confidencial para permitir su acceso. </w:t>
      </w:r>
    </w:p>
    <w:p w:rsidR="00676326" w:rsidRPr="006D6809" w:rsidRDefault="00676326" w:rsidP="006D6809">
      <w:pPr>
        <w:pStyle w:val="Puesto"/>
        <w:ind w:firstLine="567"/>
        <w:rPr>
          <w:color w:val="auto"/>
        </w:rPr>
      </w:pPr>
    </w:p>
    <w:p w:rsidR="00676326" w:rsidRPr="006D6809" w:rsidRDefault="00173EC0" w:rsidP="006D6809">
      <w:pPr>
        <w:pStyle w:val="Puesto"/>
        <w:ind w:firstLine="567"/>
        <w:rPr>
          <w:color w:val="auto"/>
        </w:rPr>
      </w:pPr>
      <w:r w:rsidRPr="006D6809">
        <w:rPr>
          <w:b/>
          <w:color w:val="auto"/>
        </w:rPr>
        <w:t>Artículo 51.</w:t>
      </w:r>
      <w:r w:rsidRPr="006D6809">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6D6809">
        <w:rPr>
          <w:b/>
          <w:color w:val="auto"/>
        </w:rPr>
        <w:t xml:space="preserve">y tendrá la responsabilidad de verificar en cada caso que la misma no sea confidencial o reservada. </w:t>
      </w:r>
      <w:r w:rsidRPr="006D6809">
        <w:rPr>
          <w:color w:val="auto"/>
        </w:rPr>
        <w:t>Dicha Unidad contará con las facultades internas necesarias para gestionar la atención a las solicitudes de información en los términos de la Ley General y la presente Ley.</w:t>
      </w:r>
    </w:p>
    <w:p w:rsidR="00676326" w:rsidRPr="006D6809" w:rsidRDefault="00676326" w:rsidP="006D6809">
      <w:pPr>
        <w:pStyle w:val="Puesto"/>
        <w:ind w:firstLine="567"/>
        <w:rPr>
          <w:color w:val="auto"/>
        </w:rPr>
      </w:pPr>
    </w:p>
    <w:p w:rsidR="00676326" w:rsidRPr="006D6809" w:rsidRDefault="00173EC0" w:rsidP="006D6809">
      <w:pPr>
        <w:pStyle w:val="Puesto"/>
        <w:ind w:firstLine="567"/>
        <w:rPr>
          <w:color w:val="auto"/>
        </w:rPr>
      </w:pPr>
      <w:r w:rsidRPr="006D6809">
        <w:rPr>
          <w:b/>
          <w:color w:val="auto"/>
        </w:rPr>
        <w:t>Artículo 52.</w:t>
      </w:r>
      <w:r w:rsidRPr="006D6809">
        <w:rPr>
          <w:color w:val="auto"/>
        </w:rPr>
        <w:t xml:space="preserve"> Las solicitudes de acceso a la información y las respuestas que se les dé, incluyendo, en su caso, </w:t>
      </w:r>
      <w:r w:rsidRPr="006D6809">
        <w:rPr>
          <w:color w:val="auto"/>
          <w:u w:val="single"/>
        </w:rPr>
        <w:t>la información entregada, así como las resoluciones a los recursos que en su caso se promuevan serán públicas, y de ser el caso que contenga datos personales que deban ser protegidos se podrá dar su acceso en su versión pública</w:t>
      </w:r>
      <w:r w:rsidRPr="006D6809">
        <w:rPr>
          <w:color w:val="auto"/>
        </w:rPr>
        <w:t>, siempre y cuando la resolución de referencia se someta a un proceso de disociación, es decir, no haga identificable al titular de tales datos personales.” (Énfasis añadido)</w:t>
      </w:r>
    </w:p>
    <w:p w:rsidR="00676326" w:rsidRPr="006D6809" w:rsidRDefault="00676326" w:rsidP="006D6809"/>
    <w:p w:rsidR="00676326" w:rsidRPr="006D6809" w:rsidRDefault="00173EC0" w:rsidP="006D6809">
      <w:r w:rsidRPr="006D6809">
        <w:t xml:space="preserve">Así, los datos personales que obren en poder de los Sujetos Obligados deben estar protegidos, adoptando las medidas de seguridad administrativas, físicas y técnicas necesarias para </w:t>
      </w:r>
      <w:r w:rsidRPr="006D6809">
        <w:lastRenderedPageBreak/>
        <w:t xml:space="preserve">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rsidR="00676326" w:rsidRPr="006D6809" w:rsidRDefault="00676326" w:rsidP="006D6809"/>
    <w:p w:rsidR="00676326" w:rsidRPr="006D6809" w:rsidRDefault="00173EC0" w:rsidP="006D6809">
      <w:pPr>
        <w:pStyle w:val="Puesto"/>
        <w:ind w:firstLine="567"/>
        <w:rPr>
          <w:color w:val="auto"/>
        </w:rPr>
      </w:pPr>
      <w:r w:rsidRPr="006D6809">
        <w:rPr>
          <w:b/>
          <w:color w:val="auto"/>
        </w:rPr>
        <w:t>“Artículo 22.</w:t>
      </w:r>
      <w:r w:rsidRPr="006D6809">
        <w:rPr>
          <w:color w:val="auto"/>
        </w:rPr>
        <w:t xml:space="preserve"> Todo tratamiento de datos personales que efectúe el responsable deberá estar justificado por finalidades concretas, lícitas, explícitas y legítimas, relacionadas con las atribuciones que la normatividad aplicable les confiera. </w:t>
      </w:r>
    </w:p>
    <w:p w:rsidR="00676326" w:rsidRPr="006D6809" w:rsidRDefault="00676326" w:rsidP="006D6809"/>
    <w:p w:rsidR="00676326" w:rsidRPr="006D6809" w:rsidRDefault="00173EC0" w:rsidP="006D6809">
      <w:pPr>
        <w:pStyle w:val="Puesto"/>
        <w:ind w:firstLine="567"/>
        <w:rPr>
          <w:color w:val="auto"/>
        </w:rPr>
      </w:pPr>
      <w:r w:rsidRPr="006D6809">
        <w:rPr>
          <w:b/>
          <w:color w:val="auto"/>
        </w:rPr>
        <w:t>Artículo 38.</w:t>
      </w:r>
      <w:r w:rsidRPr="006D6809">
        <w:rPr>
          <w:color w:val="auto"/>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D6809">
        <w:rPr>
          <w:b/>
          <w:color w:val="auto"/>
        </w:rPr>
        <w:t>”</w:t>
      </w:r>
      <w:r w:rsidRPr="006D6809">
        <w:rPr>
          <w:color w:val="auto"/>
        </w:rPr>
        <w:t xml:space="preserve"> </w:t>
      </w:r>
    </w:p>
    <w:p w:rsidR="00676326" w:rsidRPr="006D6809" w:rsidRDefault="00676326" w:rsidP="006D6809">
      <w:pPr>
        <w:rPr>
          <w:i/>
        </w:rPr>
      </w:pPr>
    </w:p>
    <w:p w:rsidR="00676326" w:rsidRPr="006D6809" w:rsidRDefault="00173EC0" w:rsidP="006D6809">
      <w:r w:rsidRPr="006D6809">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676326" w:rsidRPr="006D6809" w:rsidRDefault="00676326" w:rsidP="006D6809"/>
    <w:p w:rsidR="00676326" w:rsidRPr="006D6809" w:rsidRDefault="00173EC0" w:rsidP="006D6809">
      <w:r w:rsidRPr="006D6809">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6D6809">
        <w:lastRenderedPageBreak/>
        <w:t xml:space="preserve">información confidencial que debe ser protegida por </w:t>
      </w:r>
      <w:r w:rsidRPr="006D6809">
        <w:rPr>
          <w:b/>
        </w:rPr>
        <w:t>EL SUJETO OBLIGADO,</w:t>
      </w:r>
      <w:r w:rsidRPr="006D6809">
        <w:t xml:space="preserve"> por lo que, todo dato personal susceptible de clasificación debe ser protegido.</w:t>
      </w:r>
    </w:p>
    <w:p w:rsidR="00676326" w:rsidRPr="006D6809" w:rsidRDefault="00676326" w:rsidP="006D6809"/>
    <w:p w:rsidR="00676326" w:rsidRPr="006D6809" w:rsidRDefault="00173EC0" w:rsidP="006D6809">
      <w:r w:rsidRPr="006D6809">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rsidR="00676326" w:rsidRPr="006D6809" w:rsidRDefault="00676326" w:rsidP="006D6809"/>
    <w:p w:rsidR="00676326" w:rsidRPr="006D6809" w:rsidRDefault="00173EC0" w:rsidP="006D6809">
      <w:r w:rsidRPr="006D6809">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676326" w:rsidRPr="006D6809" w:rsidRDefault="00676326" w:rsidP="006D6809"/>
    <w:p w:rsidR="00676326" w:rsidRPr="006D6809" w:rsidRDefault="00173EC0" w:rsidP="006D6809">
      <w:pPr>
        <w:pStyle w:val="Puesto"/>
        <w:ind w:firstLine="567"/>
        <w:rPr>
          <w:b/>
          <w:color w:val="auto"/>
        </w:rPr>
      </w:pPr>
      <w:r w:rsidRPr="006D6809">
        <w:rPr>
          <w:b/>
          <w:color w:val="auto"/>
        </w:rPr>
        <w:t>Ley de Transparencia y Acceso a la Información Pública del Estado de México y Municipios</w:t>
      </w:r>
    </w:p>
    <w:p w:rsidR="00676326" w:rsidRPr="006D6809" w:rsidRDefault="00676326" w:rsidP="006D6809"/>
    <w:p w:rsidR="00676326" w:rsidRPr="006D6809" w:rsidRDefault="00173EC0" w:rsidP="006D6809">
      <w:pPr>
        <w:pStyle w:val="Puesto"/>
        <w:ind w:firstLine="567"/>
        <w:rPr>
          <w:color w:val="auto"/>
        </w:rPr>
      </w:pPr>
      <w:r w:rsidRPr="006D6809">
        <w:rPr>
          <w:b/>
          <w:color w:val="auto"/>
        </w:rPr>
        <w:t xml:space="preserve">“Artículo 49. </w:t>
      </w:r>
      <w:r w:rsidRPr="006D6809">
        <w:rPr>
          <w:color w:val="auto"/>
        </w:rPr>
        <w:t>Los Comités de Transparencia tendrán las siguientes atribuciones:</w:t>
      </w:r>
    </w:p>
    <w:p w:rsidR="00676326" w:rsidRPr="006D6809" w:rsidRDefault="00173EC0" w:rsidP="006D6809">
      <w:pPr>
        <w:pStyle w:val="Puesto"/>
        <w:ind w:firstLine="567"/>
        <w:rPr>
          <w:color w:val="auto"/>
        </w:rPr>
      </w:pPr>
      <w:r w:rsidRPr="006D6809">
        <w:rPr>
          <w:b/>
          <w:color w:val="auto"/>
        </w:rPr>
        <w:t>VIII.</w:t>
      </w:r>
      <w:r w:rsidRPr="006D6809">
        <w:rPr>
          <w:color w:val="auto"/>
        </w:rPr>
        <w:t xml:space="preserve"> Aprobar, modificar o revocar la clasificación de la información;</w:t>
      </w:r>
    </w:p>
    <w:p w:rsidR="00676326" w:rsidRPr="006D6809" w:rsidRDefault="00676326" w:rsidP="006D6809">
      <w:pPr>
        <w:pStyle w:val="Puesto"/>
        <w:ind w:firstLine="567"/>
        <w:rPr>
          <w:color w:val="auto"/>
        </w:rPr>
      </w:pPr>
    </w:p>
    <w:p w:rsidR="00676326" w:rsidRPr="006D6809" w:rsidRDefault="00173EC0" w:rsidP="006D6809">
      <w:pPr>
        <w:pStyle w:val="Puesto"/>
        <w:ind w:firstLine="567"/>
        <w:rPr>
          <w:color w:val="auto"/>
        </w:rPr>
      </w:pPr>
      <w:r w:rsidRPr="006D6809">
        <w:rPr>
          <w:b/>
          <w:color w:val="auto"/>
        </w:rPr>
        <w:t>Artículo 132.</w:t>
      </w:r>
      <w:r w:rsidRPr="006D6809">
        <w:rPr>
          <w:color w:val="auto"/>
        </w:rPr>
        <w:t xml:space="preserve"> La clasificación de la información se llevará a cabo en el momento en que:</w:t>
      </w:r>
    </w:p>
    <w:p w:rsidR="00676326" w:rsidRPr="006D6809" w:rsidRDefault="00173EC0" w:rsidP="006D6809">
      <w:pPr>
        <w:pStyle w:val="Puesto"/>
        <w:ind w:firstLine="567"/>
        <w:rPr>
          <w:color w:val="auto"/>
        </w:rPr>
      </w:pPr>
      <w:r w:rsidRPr="006D6809">
        <w:rPr>
          <w:b/>
          <w:color w:val="auto"/>
        </w:rPr>
        <w:t>I.</w:t>
      </w:r>
      <w:r w:rsidRPr="006D6809">
        <w:rPr>
          <w:color w:val="auto"/>
        </w:rPr>
        <w:t xml:space="preserve"> Se reciba una solicitud de acceso a la información;</w:t>
      </w:r>
    </w:p>
    <w:p w:rsidR="00676326" w:rsidRPr="006D6809" w:rsidRDefault="00173EC0" w:rsidP="006D6809">
      <w:pPr>
        <w:pStyle w:val="Puesto"/>
        <w:ind w:firstLine="567"/>
        <w:rPr>
          <w:color w:val="auto"/>
        </w:rPr>
      </w:pPr>
      <w:r w:rsidRPr="006D6809">
        <w:rPr>
          <w:b/>
          <w:color w:val="auto"/>
        </w:rPr>
        <w:t>II.</w:t>
      </w:r>
      <w:r w:rsidRPr="006D6809">
        <w:rPr>
          <w:color w:val="auto"/>
        </w:rPr>
        <w:t xml:space="preserve"> Se determine mediante resolución de autoridad competente; o</w:t>
      </w:r>
    </w:p>
    <w:p w:rsidR="00676326" w:rsidRPr="006D6809" w:rsidRDefault="00173EC0" w:rsidP="006D6809">
      <w:pPr>
        <w:pStyle w:val="Puesto"/>
        <w:ind w:firstLine="567"/>
        <w:rPr>
          <w:b/>
          <w:color w:val="auto"/>
        </w:rPr>
      </w:pPr>
      <w:r w:rsidRPr="006D6809">
        <w:rPr>
          <w:b/>
          <w:color w:val="auto"/>
        </w:rPr>
        <w:t>III.</w:t>
      </w:r>
      <w:r w:rsidRPr="006D6809">
        <w:rPr>
          <w:color w:val="auto"/>
        </w:rPr>
        <w:t xml:space="preserve"> Se generen versiones públicas para dar cumplimiento a las obligaciones de transparencia previstas en esta Ley.</w:t>
      </w:r>
      <w:r w:rsidRPr="006D6809">
        <w:rPr>
          <w:b/>
          <w:color w:val="auto"/>
        </w:rPr>
        <w:t>”</w:t>
      </w:r>
    </w:p>
    <w:p w:rsidR="00676326" w:rsidRPr="006D6809" w:rsidRDefault="00676326" w:rsidP="006D6809">
      <w:pPr>
        <w:pStyle w:val="Puesto"/>
        <w:ind w:firstLine="567"/>
        <w:rPr>
          <w:color w:val="auto"/>
        </w:rPr>
      </w:pPr>
    </w:p>
    <w:p w:rsidR="00676326" w:rsidRPr="006D6809" w:rsidRDefault="00173EC0" w:rsidP="006D6809">
      <w:pPr>
        <w:pStyle w:val="Puesto"/>
        <w:ind w:firstLine="567"/>
        <w:rPr>
          <w:color w:val="auto"/>
        </w:rPr>
      </w:pPr>
      <w:r w:rsidRPr="006D6809">
        <w:rPr>
          <w:b/>
          <w:color w:val="auto"/>
        </w:rPr>
        <w:lastRenderedPageBreak/>
        <w:t>“Segundo. -</w:t>
      </w:r>
      <w:r w:rsidRPr="006D6809">
        <w:rPr>
          <w:color w:val="auto"/>
        </w:rPr>
        <w:t xml:space="preserve"> Para efectos de los presentes Lineamientos Generales, se entenderá por:</w:t>
      </w:r>
    </w:p>
    <w:p w:rsidR="00676326" w:rsidRPr="006D6809" w:rsidRDefault="00173EC0" w:rsidP="006D6809">
      <w:pPr>
        <w:pStyle w:val="Puesto"/>
        <w:ind w:firstLine="567"/>
        <w:rPr>
          <w:color w:val="auto"/>
        </w:rPr>
      </w:pPr>
      <w:r w:rsidRPr="006D6809">
        <w:rPr>
          <w:b/>
          <w:color w:val="auto"/>
        </w:rPr>
        <w:t>XVIII.</w:t>
      </w:r>
      <w:r w:rsidRPr="006D6809">
        <w:rPr>
          <w:color w:val="auto"/>
        </w:rPr>
        <w:t xml:space="preserve">  </w:t>
      </w:r>
      <w:r w:rsidRPr="006D6809">
        <w:rPr>
          <w:b/>
          <w:color w:val="auto"/>
        </w:rPr>
        <w:t>Versión pública:</w:t>
      </w:r>
      <w:r w:rsidRPr="006D6809">
        <w:rPr>
          <w:color w:val="auto"/>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676326" w:rsidRPr="006D6809" w:rsidRDefault="00676326" w:rsidP="006D6809">
      <w:pPr>
        <w:pStyle w:val="Puesto"/>
        <w:ind w:firstLine="567"/>
        <w:rPr>
          <w:color w:val="auto"/>
        </w:rPr>
      </w:pPr>
    </w:p>
    <w:p w:rsidR="00676326" w:rsidRPr="006D6809" w:rsidRDefault="00173EC0" w:rsidP="006D6809">
      <w:pPr>
        <w:pStyle w:val="Puesto"/>
        <w:ind w:firstLine="567"/>
        <w:rPr>
          <w:b/>
          <w:color w:val="auto"/>
        </w:rPr>
      </w:pPr>
      <w:r w:rsidRPr="006D6809">
        <w:rPr>
          <w:b/>
          <w:color w:val="auto"/>
        </w:rPr>
        <w:t>Lineamientos Generales en materia de Clasificación y Desclasificación de la Información</w:t>
      </w:r>
    </w:p>
    <w:p w:rsidR="00676326" w:rsidRPr="006D6809" w:rsidRDefault="00676326" w:rsidP="006D6809">
      <w:pPr>
        <w:pStyle w:val="Puesto"/>
        <w:ind w:firstLine="567"/>
        <w:rPr>
          <w:color w:val="auto"/>
        </w:rPr>
      </w:pPr>
    </w:p>
    <w:p w:rsidR="00676326" w:rsidRPr="006D6809" w:rsidRDefault="00173EC0" w:rsidP="006D6809">
      <w:pPr>
        <w:pStyle w:val="Puesto"/>
        <w:ind w:firstLine="567"/>
        <w:rPr>
          <w:color w:val="auto"/>
        </w:rPr>
      </w:pPr>
      <w:r w:rsidRPr="006D6809">
        <w:rPr>
          <w:b/>
          <w:color w:val="auto"/>
        </w:rPr>
        <w:t>Cuarto.</w:t>
      </w:r>
      <w:r w:rsidRPr="006D6809">
        <w:rPr>
          <w:color w:val="auto"/>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676326" w:rsidRPr="006D6809" w:rsidRDefault="00173EC0" w:rsidP="006D6809">
      <w:pPr>
        <w:pStyle w:val="Puesto"/>
        <w:ind w:firstLine="567"/>
        <w:rPr>
          <w:color w:val="auto"/>
        </w:rPr>
      </w:pPr>
      <w:r w:rsidRPr="006D6809">
        <w:rPr>
          <w:color w:val="auto"/>
        </w:rPr>
        <w:t>Los sujetos obligados deberán aplicar, de manera estricta, las excepciones al derecho de acceso a la información y sólo podrán invocarlas cuando acrediten su procedencia.</w:t>
      </w:r>
    </w:p>
    <w:p w:rsidR="00676326" w:rsidRPr="006D6809" w:rsidRDefault="00676326" w:rsidP="006D6809">
      <w:pPr>
        <w:pStyle w:val="Puesto"/>
        <w:ind w:firstLine="567"/>
        <w:rPr>
          <w:color w:val="auto"/>
        </w:rPr>
      </w:pPr>
    </w:p>
    <w:p w:rsidR="00676326" w:rsidRPr="006D6809" w:rsidRDefault="00173EC0" w:rsidP="006D6809">
      <w:pPr>
        <w:pStyle w:val="Puesto"/>
        <w:ind w:firstLine="567"/>
        <w:rPr>
          <w:color w:val="auto"/>
        </w:rPr>
      </w:pPr>
      <w:r w:rsidRPr="006D6809">
        <w:rPr>
          <w:b/>
          <w:color w:val="auto"/>
        </w:rPr>
        <w:t>Quinto.</w:t>
      </w:r>
      <w:r w:rsidRPr="006D6809">
        <w:rPr>
          <w:color w:val="auto"/>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676326" w:rsidRPr="006D6809" w:rsidRDefault="00676326" w:rsidP="006D6809">
      <w:pPr>
        <w:pStyle w:val="Puesto"/>
        <w:ind w:firstLine="567"/>
        <w:rPr>
          <w:color w:val="auto"/>
        </w:rPr>
      </w:pPr>
    </w:p>
    <w:p w:rsidR="00676326" w:rsidRPr="006D6809" w:rsidRDefault="00173EC0" w:rsidP="006D6809">
      <w:pPr>
        <w:pStyle w:val="Puesto"/>
        <w:ind w:firstLine="567"/>
        <w:rPr>
          <w:color w:val="auto"/>
        </w:rPr>
      </w:pPr>
      <w:r w:rsidRPr="006D6809">
        <w:rPr>
          <w:b/>
          <w:color w:val="auto"/>
        </w:rPr>
        <w:t>Sexto.</w:t>
      </w:r>
      <w:r w:rsidRPr="006D6809">
        <w:rPr>
          <w:color w:val="auto"/>
        </w:rPr>
        <w:t xml:space="preserve"> Se deroga.</w:t>
      </w:r>
    </w:p>
    <w:p w:rsidR="00676326" w:rsidRPr="006D6809" w:rsidRDefault="00676326" w:rsidP="006D6809">
      <w:pPr>
        <w:pStyle w:val="Puesto"/>
        <w:ind w:firstLine="567"/>
        <w:rPr>
          <w:color w:val="auto"/>
        </w:rPr>
      </w:pPr>
    </w:p>
    <w:p w:rsidR="00676326" w:rsidRPr="006D6809" w:rsidRDefault="00173EC0" w:rsidP="006D6809">
      <w:pPr>
        <w:pStyle w:val="Puesto"/>
        <w:ind w:firstLine="567"/>
        <w:rPr>
          <w:color w:val="auto"/>
        </w:rPr>
      </w:pPr>
      <w:r w:rsidRPr="006D6809">
        <w:rPr>
          <w:b/>
          <w:color w:val="auto"/>
        </w:rPr>
        <w:t>Séptimo.</w:t>
      </w:r>
      <w:r w:rsidRPr="006D6809">
        <w:rPr>
          <w:color w:val="auto"/>
        </w:rPr>
        <w:t xml:space="preserve"> La clasificación de la información se llevará a cabo en el momento en que:</w:t>
      </w:r>
    </w:p>
    <w:p w:rsidR="00676326" w:rsidRPr="006D6809" w:rsidRDefault="00173EC0" w:rsidP="006D6809">
      <w:pPr>
        <w:pStyle w:val="Puesto"/>
        <w:ind w:firstLine="567"/>
        <w:rPr>
          <w:color w:val="auto"/>
        </w:rPr>
      </w:pPr>
      <w:r w:rsidRPr="006D6809">
        <w:rPr>
          <w:b/>
          <w:color w:val="auto"/>
        </w:rPr>
        <w:t>I.</w:t>
      </w:r>
      <w:r w:rsidRPr="006D6809">
        <w:rPr>
          <w:color w:val="auto"/>
        </w:rPr>
        <w:t xml:space="preserve">        Se reciba una solicitud de acceso a la información;</w:t>
      </w:r>
    </w:p>
    <w:p w:rsidR="00676326" w:rsidRPr="006D6809" w:rsidRDefault="00173EC0" w:rsidP="006D6809">
      <w:pPr>
        <w:pStyle w:val="Puesto"/>
        <w:ind w:firstLine="567"/>
        <w:rPr>
          <w:color w:val="auto"/>
        </w:rPr>
      </w:pPr>
      <w:r w:rsidRPr="006D6809">
        <w:rPr>
          <w:b/>
          <w:color w:val="auto"/>
        </w:rPr>
        <w:t>II.</w:t>
      </w:r>
      <w:r w:rsidRPr="006D6809">
        <w:rPr>
          <w:color w:val="auto"/>
        </w:rPr>
        <w:t xml:space="preserve">       Se determine mediante resolución del Comité de Transparencia, el órgano garante competente, o en cumplimiento a una sentencia del Poder Judicial; o</w:t>
      </w:r>
    </w:p>
    <w:p w:rsidR="00676326" w:rsidRPr="006D6809" w:rsidRDefault="00173EC0" w:rsidP="006D6809">
      <w:pPr>
        <w:pStyle w:val="Puesto"/>
        <w:ind w:firstLine="567"/>
        <w:rPr>
          <w:color w:val="auto"/>
        </w:rPr>
      </w:pPr>
      <w:r w:rsidRPr="006D6809">
        <w:rPr>
          <w:b/>
          <w:color w:val="auto"/>
        </w:rPr>
        <w:t>III.</w:t>
      </w:r>
      <w:r w:rsidRPr="006D6809">
        <w:rPr>
          <w:color w:val="auto"/>
        </w:rPr>
        <w:t xml:space="preserve">      Se generen versiones públicas para dar cumplimiento a las obligaciones de transparencia previstas en la Ley General, la Ley Federal y las correspondientes de las entidades federativas.</w:t>
      </w:r>
    </w:p>
    <w:p w:rsidR="00676326" w:rsidRPr="006D6809" w:rsidRDefault="00173EC0" w:rsidP="006D6809">
      <w:pPr>
        <w:pStyle w:val="Puesto"/>
        <w:ind w:firstLine="567"/>
        <w:rPr>
          <w:color w:val="auto"/>
        </w:rPr>
      </w:pPr>
      <w:r w:rsidRPr="006D6809">
        <w:rPr>
          <w:color w:val="auto"/>
        </w:rPr>
        <w:t xml:space="preserve">Los titulares de las áreas deberán revisar la información requerida al momento de la recepción de una solicitud de acceso, para verificar, conforme a su naturaleza, si encuadra en una causal de reserva o de confidencialidad. </w:t>
      </w:r>
    </w:p>
    <w:p w:rsidR="00676326" w:rsidRPr="006D6809" w:rsidRDefault="00676326" w:rsidP="006D6809">
      <w:pPr>
        <w:pStyle w:val="Puesto"/>
        <w:ind w:firstLine="567"/>
        <w:rPr>
          <w:color w:val="auto"/>
        </w:rPr>
      </w:pPr>
    </w:p>
    <w:p w:rsidR="00676326" w:rsidRPr="006D6809" w:rsidRDefault="00173EC0" w:rsidP="006D6809">
      <w:pPr>
        <w:pStyle w:val="Puesto"/>
        <w:ind w:firstLine="567"/>
        <w:rPr>
          <w:color w:val="auto"/>
        </w:rPr>
      </w:pPr>
      <w:r w:rsidRPr="006D6809">
        <w:rPr>
          <w:b/>
          <w:color w:val="auto"/>
        </w:rPr>
        <w:lastRenderedPageBreak/>
        <w:t>Octavo.</w:t>
      </w:r>
      <w:r w:rsidRPr="006D6809">
        <w:rPr>
          <w:color w:val="auto"/>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676326" w:rsidRPr="006D6809" w:rsidRDefault="00173EC0" w:rsidP="006D6809">
      <w:pPr>
        <w:pStyle w:val="Puesto"/>
        <w:ind w:firstLine="567"/>
        <w:rPr>
          <w:color w:val="auto"/>
        </w:rPr>
      </w:pPr>
      <w:r w:rsidRPr="006D6809">
        <w:rPr>
          <w:color w:val="auto"/>
        </w:rPr>
        <w:t>Para motivar la clasificación se deberán señalar las razones o circunstancias especiales que lo llevaron a concluir que el caso particular se ajusta al supuesto previsto por la norma legal invocada como fundamento.</w:t>
      </w:r>
    </w:p>
    <w:p w:rsidR="00676326" w:rsidRPr="006D6809" w:rsidRDefault="00173EC0" w:rsidP="006D6809">
      <w:pPr>
        <w:pStyle w:val="Puesto"/>
        <w:ind w:firstLine="567"/>
        <w:rPr>
          <w:color w:val="auto"/>
        </w:rPr>
      </w:pPr>
      <w:r w:rsidRPr="006D6809">
        <w:rPr>
          <w:color w:val="auto"/>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676326" w:rsidRPr="006D6809" w:rsidRDefault="00676326" w:rsidP="006D6809">
      <w:pPr>
        <w:pStyle w:val="Puesto"/>
        <w:ind w:firstLine="567"/>
        <w:rPr>
          <w:color w:val="auto"/>
        </w:rPr>
      </w:pPr>
    </w:p>
    <w:p w:rsidR="00676326" w:rsidRPr="006D6809" w:rsidRDefault="00173EC0" w:rsidP="006D6809">
      <w:pPr>
        <w:pStyle w:val="Puesto"/>
        <w:ind w:firstLine="567"/>
        <w:rPr>
          <w:color w:val="auto"/>
        </w:rPr>
      </w:pPr>
      <w:r w:rsidRPr="006D6809">
        <w:rPr>
          <w:b/>
          <w:color w:val="auto"/>
        </w:rPr>
        <w:t>Noveno.</w:t>
      </w:r>
      <w:r w:rsidRPr="006D6809">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676326" w:rsidRPr="006D6809" w:rsidRDefault="00676326" w:rsidP="006D6809">
      <w:pPr>
        <w:pStyle w:val="Puesto"/>
        <w:ind w:firstLine="567"/>
        <w:rPr>
          <w:color w:val="auto"/>
        </w:rPr>
      </w:pPr>
    </w:p>
    <w:p w:rsidR="00676326" w:rsidRPr="006D6809" w:rsidRDefault="00173EC0" w:rsidP="006D6809">
      <w:pPr>
        <w:pStyle w:val="Puesto"/>
        <w:ind w:firstLine="567"/>
        <w:rPr>
          <w:color w:val="auto"/>
        </w:rPr>
      </w:pPr>
      <w:r w:rsidRPr="006D6809">
        <w:rPr>
          <w:b/>
          <w:color w:val="auto"/>
        </w:rPr>
        <w:t>Décimo.</w:t>
      </w:r>
      <w:r w:rsidRPr="006D6809">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rsidR="00676326" w:rsidRPr="006D6809" w:rsidRDefault="00173EC0" w:rsidP="006D6809">
      <w:pPr>
        <w:pStyle w:val="Puesto"/>
        <w:ind w:firstLine="567"/>
        <w:rPr>
          <w:color w:val="auto"/>
        </w:rPr>
      </w:pPr>
      <w:r w:rsidRPr="006D6809">
        <w:rPr>
          <w:color w:val="auto"/>
        </w:rPr>
        <w:t>En ausencia de los titulares de las áreas, la información será clasificada o desclasificada por la persona que lo supla, en términos de la normativa que rija la actuación del sujeto obligado.</w:t>
      </w:r>
    </w:p>
    <w:p w:rsidR="00676326" w:rsidRPr="006D6809" w:rsidRDefault="00173EC0" w:rsidP="006D6809">
      <w:pPr>
        <w:pStyle w:val="Puesto"/>
        <w:ind w:firstLine="567"/>
        <w:rPr>
          <w:b/>
          <w:color w:val="auto"/>
        </w:rPr>
      </w:pPr>
      <w:r w:rsidRPr="006D6809">
        <w:rPr>
          <w:b/>
          <w:color w:val="auto"/>
        </w:rPr>
        <w:t>Décimo primero.</w:t>
      </w:r>
      <w:r w:rsidRPr="006D6809">
        <w:rPr>
          <w:color w:val="auto"/>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D6809">
        <w:rPr>
          <w:b/>
          <w:color w:val="auto"/>
        </w:rPr>
        <w:t>”</w:t>
      </w:r>
    </w:p>
    <w:p w:rsidR="00676326" w:rsidRPr="006D6809" w:rsidRDefault="00676326" w:rsidP="006D6809"/>
    <w:p w:rsidR="00676326" w:rsidRPr="006D6809" w:rsidRDefault="00173EC0" w:rsidP="006D6809">
      <w:r w:rsidRPr="006D6809">
        <w:t xml:space="preserve">Consecuentemente, se destaca que la versión pública que elabore </w:t>
      </w:r>
      <w:r w:rsidRPr="006D6809">
        <w:rPr>
          <w:b/>
        </w:rPr>
        <w:t>EL SUJETO OBLIGADO</w:t>
      </w:r>
      <w:r w:rsidRPr="006D6809">
        <w:t xml:space="preserve"> debe cumplir con las formalidades exigidas en la Ley, por lo que para tal efecto emitirá el </w:t>
      </w:r>
      <w:r w:rsidRPr="006D6809">
        <w:rPr>
          <w:b/>
        </w:rPr>
        <w:t>Acuerdo del Comité de Transparencia</w:t>
      </w:r>
      <w:r w:rsidRPr="006D6809">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w:t>
      </w:r>
      <w:r w:rsidRPr="006D6809">
        <w:lastRenderedPageBreak/>
        <w:t>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rsidR="00676326" w:rsidRPr="006D6809" w:rsidRDefault="00676326" w:rsidP="006D6809"/>
    <w:p w:rsidR="00676326" w:rsidRPr="006D6809" w:rsidRDefault="00173EC0" w:rsidP="006D6809">
      <w:r w:rsidRPr="006D6809">
        <w:t>Es importante señalar que, para el caso en concreto, se deben tomar en consideración los siguientes criterios respecto a la información que debe ser, o no, clasificada como confidencial:</w:t>
      </w:r>
    </w:p>
    <w:p w:rsidR="00676326" w:rsidRPr="006D6809" w:rsidRDefault="00676326" w:rsidP="006D6809"/>
    <w:p w:rsidR="00676326" w:rsidRPr="006D6809" w:rsidRDefault="00173EC0" w:rsidP="006D6809">
      <w:pPr>
        <w:numPr>
          <w:ilvl w:val="0"/>
          <w:numId w:val="1"/>
        </w:numPr>
        <w:rPr>
          <w:b/>
        </w:rPr>
      </w:pPr>
      <w:r w:rsidRPr="006D6809">
        <w:rPr>
          <w:b/>
        </w:rPr>
        <w:t>Registro Federal de Contribuyentes (RFC)</w:t>
      </w:r>
    </w:p>
    <w:p w:rsidR="00676326" w:rsidRPr="006D6809" w:rsidRDefault="00676326" w:rsidP="006D6809"/>
    <w:p w:rsidR="00676326" w:rsidRPr="006D6809" w:rsidRDefault="00173EC0" w:rsidP="006D6809">
      <w:r w:rsidRPr="006D6809">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rsidR="00676326" w:rsidRPr="006D6809" w:rsidRDefault="00676326" w:rsidP="006D6809"/>
    <w:p w:rsidR="00676326" w:rsidRPr="006D6809" w:rsidRDefault="00173EC0" w:rsidP="006D6809">
      <w:r w:rsidRPr="006D6809">
        <w:t xml:space="preserve">De acuerdo a lo establecido en el artículo en comento, esta clave se compone de trece caracteres alfanuméricos, con datos obtenidos de los apellidos, nombre(s), fecha de nacimiento del titular, más una </w:t>
      </w:r>
      <w:proofErr w:type="spellStart"/>
      <w:r w:rsidRPr="006D6809">
        <w:t>homoclave</w:t>
      </w:r>
      <w:proofErr w:type="spellEnd"/>
      <w:r w:rsidRPr="006D6809">
        <w:t xml:space="preserve"> que establece el sistema automático del Servicio de Administración Tributaria.</w:t>
      </w:r>
    </w:p>
    <w:p w:rsidR="00676326" w:rsidRPr="006D6809" w:rsidRDefault="00676326" w:rsidP="006D6809"/>
    <w:p w:rsidR="00676326" w:rsidRPr="006D6809" w:rsidRDefault="00173EC0" w:rsidP="006D6809">
      <w:r w:rsidRPr="006D6809">
        <w:t xml:space="preserve">Ahora bien, la clave del Registro Federal de Contribuyentes, es el medio de control que tiene la Secretaría de Hacienda y Crédito Público, a través del Servicio de Administración </w:t>
      </w:r>
      <w:r w:rsidRPr="006D6809">
        <w:lastRenderedPageBreak/>
        <w:t>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676326" w:rsidRPr="006D6809" w:rsidRDefault="00676326" w:rsidP="006D6809"/>
    <w:p w:rsidR="00676326" w:rsidRPr="006D6809" w:rsidRDefault="00173EC0" w:rsidP="006D6809">
      <w:r w:rsidRPr="006D6809">
        <w:t xml:space="preserve">Así, el Registro Federal de Contribuyentes, es un dato personal, ya que hace a las personas físicas identificadas e identificables, además de que las relaciona como contribuyentes de las autoridades fiscales. Es de destacar que dicho dato únicamente sirve para efectos fiscales y pago de contribuciones, por lo que se trata de un dato relevante únicamente para las personas </w:t>
      </w:r>
      <w:proofErr w:type="gramStart"/>
      <w:r w:rsidRPr="006D6809">
        <w:t>involucradas</w:t>
      </w:r>
      <w:proofErr w:type="gramEnd"/>
      <w:r w:rsidRPr="006D6809">
        <w:t xml:space="preserve">, en el pago de estos, en el presente caso, del pago del Impuesto Sobre el Producto del Trabajo. </w:t>
      </w:r>
    </w:p>
    <w:p w:rsidR="00676326" w:rsidRPr="006D6809" w:rsidRDefault="00676326" w:rsidP="006D6809"/>
    <w:p w:rsidR="00676326" w:rsidRPr="006D6809" w:rsidRDefault="00173EC0" w:rsidP="006D6809">
      <w:r w:rsidRPr="006D6809">
        <w:t>Lo anterior, resulta congruente con el Criterio de Interpretación, de la Segunda Época, con número de registro SO/019/2017, emitido por el entonces Instituto Nacional de Transparencia, Acceso a la Información y Protección de Datos Personales, en el cual se señala lo siguiente:</w:t>
      </w:r>
    </w:p>
    <w:p w:rsidR="00676326" w:rsidRPr="006D6809" w:rsidRDefault="00676326" w:rsidP="006D6809"/>
    <w:p w:rsidR="00676326" w:rsidRPr="006D6809" w:rsidRDefault="00173EC0" w:rsidP="006D6809">
      <w:pPr>
        <w:pStyle w:val="Puesto"/>
        <w:ind w:firstLine="0"/>
        <w:rPr>
          <w:color w:val="auto"/>
        </w:rPr>
      </w:pPr>
      <w:r w:rsidRPr="006D6809">
        <w:rPr>
          <w:b/>
          <w:color w:val="auto"/>
        </w:rPr>
        <w:t>“Registro Federal de Contribuyentes (RFC) de personas físicas.</w:t>
      </w:r>
      <w:r w:rsidRPr="006D6809">
        <w:rPr>
          <w:color w:val="auto"/>
        </w:rPr>
        <w:t xml:space="preserve"> El RFC es una clave de carácter fiscal, única e irrepetible, que permite identificar al titular, su edad y fecha de nacimiento, por lo que es un dato personal de carácter confidencial.”</w:t>
      </w:r>
    </w:p>
    <w:p w:rsidR="00676326" w:rsidRPr="006D6809" w:rsidRDefault="00676326" w:rsidP="006D6809"/>
    <w:p w:rsidR="00676326" w:rsidRPr="006D6809" w:rsidRDefault="00173EC0" w:rsidP="006D6809">
      <w:r w:rsidRPr="006D6809">
        <w:t xml:space="preserve">De tal suerte, el Registro Federal de Contribuyentes de los servidores públicos no guarda relación con la transparencia de los recursos públicos, así como tampoco con el desempeño laboral que pueda tener una persona, por lo que </w:t>
      </w:r>
      <w:r w:rsidRPr="006D6809">
        <w:rPr>
          <w:b/>
          <w:u w:val="single"/>
        </w:rPr>
        <w:t>constituye un dato personal confidencial al actualizar el supuesto normativo del artículo 143, fracción I, de la Ley de Transparencia y Acceso a la Información Pública del Estado de México y Municipios</w:t>
      </w:r>
      <w:r w:rsidRPr="006D6809">
        <w:t xml:space="preserve">. </w:t>
      </w:r>
    </w:p>
    <w:p w:rsidR="00676326" w:rsidRPr="006D6809" w:rsidRDefault="00676326" w:rsidP="006D6809"/>
    <w:p w:rsidR="00676326" w:rsidRPr="006D6809" w:rsidRDefault="00173EC0" w:rsidP="006D6809">
      <w:pPr>
        <w:numPr>
          <w:ilvl w:val="0"/>
          <w:numId w:val="1"/>
        </w:numPr>
        <w:rPr>
          <w:b/>
        </w:rPr>
      </w:pPr>
      <w:r w:rsidRPr="006D6809">
        <w:rPr>
          <w:b/>
        </w:rPr>
        <w:t>Clave Única de Registro de Población (CURP)</w:t>
      </w:r>
    </w:p>
    <w:p w:rsidR="00676326" w:rsidRPr="006D6809" w:rsidRDefault="00676326" w:rsidP="006D6809"/>
    <w:p w:rsidR="00676326" w:rsidRPr="006D6809" w:rsidRDefault="00173EC0" w:rsidP="006D6809">
      <w:r w:rsidRPr="006D6809">
        <w:lastRenderedPageBreak/>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rsidR="00676326" w:rsidRPr="006D6809" w:rsidRDefault="00676326" w:rsidP="006D6809"/>
    <w:p w:rsidR="00676326" w:rsidRPr="006D6809" w:rsidRDefault="00173EC0" w:rsidP="006D6809">
      <w:r w:rsidRPr="006D6809">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676326" w:rsidRPr="006D6809" w:rsidRDefault="00676326" w:rsidP="006D6809"/>
    <w:p w:rsidR="00676326" w:rsidRPr="006D6809" w:rsidRDefault="00173EC0" w:rsidP="006D6809">
      <w:r w:rsidRPr="006D6809">
        <w:t xml:space="preserve">En ese orden de ideas, la Secretaría de Gobernación en las direcciones </w:t>
      </w:r>
      <w:hyperlink r:id="rId19">
        <w:r w:rsidRPr="006D6809">
          <w:rPr>
            <w:u w:val="single"/>
          </w:rPr>
          <w:t>https://consultas.curp.gob.mx/CurpSP/html/informacionecurpPS.html</w:t>
        </w:r>
      </w:hyperlink>
      <w:r w:rsidRPr="006D6809">
        <w:t xml:space="preserve"> y </w:t>
      </w:r>
      <w:hyperlink r:id="rId20">
        <w:r w:rsidRPr="006D6809">
          <w:rPr>
            <w:u w:val="single"/>
          </w:rPr>
          <w:t>https://www.gob.mx/segob/renapo/acciones-y-programas/clave-unica-de-registro-de-poblacion-curp-142226</w:t>
        </w:r>
      </w:hyperlink>
      <w:r w:rsidRPr="006D6809">
        <w:t xml:space="preserve">,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6D6809">
        <w:rPr>
          <w:b/>
        </w:rPr>
        <w:t>se generan a partir de los datos contenidos en el documento probatorio de la identidad</w:t>
      </w:r>
      <w:r w:rsidRPr="006D6809">
        <w:t xml:space="preserve"> </w:t>
      </w:r>
      <w:r w:rsidRPr="006D6809">
        <w:rPr>
          <w:b/>
        </w:rPr>
        <w:t xml:space="preserve">del interesado </w:t>
      </w:r>
      <w:r w:rsidRPr="006D6809">
        <w:t>(acta de nacimiento, carta de naturalización o documento migratorio) de la siguiente forma:</w:t>
      </w:r>
    </w:p>
    <w:p w:rsidR="00676326" w:rsidRPr="006D6809" w:rsidRDefault="00676326" w:rsidP="006D6809"/>
    <w:p w:rsidR="00676326" w:rsidRPr="006D6809" w:rsidRDefault="00173EC0" w:rsidP="006D6809">
      <w:pPr>
        <w:numPr>
          <w:ilvl w:val="0"/>
          <w:numId w:val="2"/>
        </w:numPr>
      </w:pPr>
      <w:r w:rsidRPr="006D6809">
        <w:t>El primero y segundo apellidos, así como al nombre de pila;</w:t>
      </w:r>
    </w:p>
    <w:p w:rsidR="00676326" w:rsidRPr="006D6809" w:rsidRDefault="00173EC0" w:rsidP="006D6809">
      <w:pPr>
        <w:numPr>
          <w:ilvl w:val="0"/>
          <w:numId w:val="2"/>
        </w:numPr>
      </w:pPr>
      <w:r w:rsidRPr="006D6809">
        <w:t>La fecha de nacimiento;</w:t>
      </w:r>
    </w:p>
    <w:p w:rsidR="00676326" w:rsidRPr="006D6809" w:rsidRDefault="00173EC0" w:rsidP="006D6809">
      <w:pPr>
        <w:numPr>
          <w:ilvl w:val="0"/>
          <w:numId w:val="2"/>
        </w:numPr>
      </w:pPr>
      <w:r w:rsidRPr="006D6809">
        <w:t>El sexo, y</w:t>
      </w:r>
    </w:p>
    <w:p w:rsidR="00676326" w:rsidRPr="006D6809" w:rsidRDefault="00173EC0" w:rsidP="006D6809">
      <w:pPr>
        <w:numPr>
          <w:ilvl w:val="0"/>
          <w:numId w:val="2"/>
        </w:numPr>
      </w:pPr>
      <w:r w:rsidRPr="006D6809">
        <w:t>La entidad federativa de nacimiento.</w:t>
      </w:r>
    </w:p>
    <w:p w:rsidR="00676326" w:rsidRPr="006D6809" w:rsidRDefault="00676326" w:rsidP="006D6809"/>
    <w:p w:rsidR="00676326" w:rsidRPr="006D6809" w:rsidRDefault="00173EC0" w:rsidP="006D6809">
      <w:r w:rsidRPr="006D6809">
        <w:t>Los dos últimos elementos de la Clave Única de Registro de Población evitan la duplicidad de la Clave y garantizan su correcta integración.</w:t>
      </w:r>
    </w:p>
    <w:p w:rsidR="00676326" w:rsidRPr="006D6809" w:rsidRDefault="00676326" w:rsidP="006D6809"/>
    <w:p w:rsidR="00676326" w:rsidRPr="006D6809" w:rsidRDefault="00173EC0" w:rsidP="006D6809">
      <w:r w:rsidRPr="006D6809">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676326" w:rsidRPr="006D6809" w:rsidRDefault="00676326" w:rsidP="006D6809"/>
    <w:p w:rsidR="00676326" w:rsidRPr="006D6809" w:rsidRDefault="00173EC0" w:rsidP="006D6809">
      <w:r w:rsidRPr="006D6809">
        <w:t>Situación que se robustece, con el Criterio de Interpretación, de la Segunda Época, con número de registro SO/018/2017, emitido por el entonces Instituto Nacional de Transparencia, Acceso a la Información y Protección de Datos Personales, que establece lo siguiente:</w:t>
      </w:r>
    </w:p>
    <w:p w:rsidR="00676326" w:rsidRPr="006D6809" w:rsidRDefault="00676326" w:rsidP="006D6809">
      <w:pPr>
        <w:ind w:left="567" w:right="567"/>
      </w:pPr>
    </w:p>
    <w:p w:rsidR="00676326" w:rsidRPr="006D6809" w:rsidRDefault="00173EC0" w:rsidP="006D6809">
      <w:pPr>
        <w:pStyle w:val="Puesto"/>
        <w:ind w:firstLine="0"/>
        <w:rPr>
          <w:color w:val="auto"/>
        </w:rPr>
      </w:pPr>
      <w:r w:rsidRPr="006D6809">
        <w:rPr>
          <w:b/>
          <w:color w:val="auto"/>
        </w:rPr>
        <w:t xml:space="preserve">“Clave Única de Registro de Población (CURP). </w:t>
      </w:r>
      <w:r w:rsidRPr="006D6809">
        <w:rPr>
          <w:color w:val="auto"/>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676326" w:rsidRPr="006D6809" w:rsidRDefault="00676326" w:rsidP="006D6809"/>
    <w:p w:rsidR="00676326" w:rsidRPr="006D6809" w:rsidRDefault="00173EC0" w:rsidP="006D6809">
      <w:pPr>
        <w:rPr>
          <w:b/>
        </w:rPr>
      </w:pPr>
      <w:r w:rsidRPr="006D6809">
        <w:t>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w:t>
      </w:r>
    </w:p>
    <w:p w:rsidR="00676326" w:rsidRPr="006D6809" w:rsidRDefault="00676326" w:rsidP="006D6809">
      <w:pPr>
        <w:tabs>
          <w:tab w:val="left" w:pos="3962"/>
        </w:tabs>
      </w:pPr>
    </w:p>
    <w:p w:rsidR="00676326" w:rsidRPr="006D6809" w:rsidRDefault="00173EC0" w:rsidP="006D6809">
      <w:pPr>
        <w:numPr>
          <w:ilvl w:val="0"/>
          <w:numId w:val="1"/>
        </w:numPr>
        <w:rPr>
          <w:b/>
        </w:rPr>
      </w:pPr>
      <w:bookmarkStart w:id="27" w:name="_heading=h.tsc491hqc7kj" w:colFirst="0" w:colLast="0"/>
      <w:bookmarkEnd w:id="27"/>
      <w:r w:rsidRPr="006D6809">
        <w:rPr>
          <w:b/>
        </w:rPr>
        <w:lastRenderedPageBreak/>
        <w:t>Número de seguridad social del Instituto de Seguridad Social del Estado de México y Municipios</w:t>
      </w:r>
    </w:p>
    <w:p w:rsidR="00676326" w:rsidRPr="006D6809" w:rsidRDefault="00676326" w:rsidP="006D6809">
      <w:pPr>
        <w:rPr>
          <w:b/>
        </w:rPr>
      </w:pPr>
    </w:p>
    <w:p w:rsidR="00676326" w:rsidRPr="006D6809" w:rsidRDefault="00173EC0" w:rsidP="006D6809">
      <w:r w:rsidRPr="006D6809">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rsidR="00676326" w:rsidRPr="006D6809" w:rsidRDefault="00676326" w:rsidP="006D6809"/>
    <w:p w:rsidR="00676326" w:rsidRPr="006D6809" w:rsidRDefault="00173EC0" w:rsidP="006D6809">
      <w:r w:rsidRPr="006D6809">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rsidR="00676326" w:rsidRPr="006D6809" w:rsidRDefault="00676326" w:rsidP="006D6809"/>
    <w:p w:rsidR="00676326" w:rsidRPr="006D6809" w:rsidRDefault="00173EC0" w:rsidP="006D6809">
      <w:r w:rsidRPr="006D6809">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rsidR="00676326" w:rsidRPr="006D6809" w:rsidRDefault="00676326" w:rsidP="006D6809"/>
    <w:p w:rsidR="00676326" w:rsidRPr="006D6809" w:rsidRDefault="00173EC0" w:rsidP="006D6809">
      <w:r w:rsidRPr="006D6809">
        <w:lastRenderedPageBreak/>
        <w:t xml:space="preserve">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 </w:t>
      </w:r>
    </w:p>
    <w:p w:rsidR="00676326" w:rsidRPr="006D6809" w:rsidRDefault="00676326" w:rsidP="006D6809">
      <w:pPr>
        <w:tabs>
          <w:tab w:val="left" w:pos="3962"/>
        </w:tabs>
      </w:pPr>
    </w:p>
    <w:p w:rsidR="00676326" w:rsidRPr="006D6809" w:rsidRDefault="00173EC0" w:rsidP="006D6809">
      <w:pPr>
        <w:numPr>
          <w:ilvl w:val="0"/>
          <w:numId w:val="1"/>
        </w:numPr>
        <w:rPr>
          <w:b/>
        </w:rPr>
      </w:pPr>
      <w:r w:rsidRPr="006D6809">
        <w:rPr>
          <w:b/>
        </w:rPr>
        <w:t xml:space="preserve">Deducciones (Préstamos, Otras deducciones y Total de deducciones). </w:t>
      </w:r>
    </w:p>
    <w:p w:rsidR="00676326" w:rsidRPr="006D6809" w:rsidRDefault="00173EC0" w:rsidP="006D6809">
      <w:pPr>
        <w:spacing w:before="240" w:after="240"/>
      </w:pPr>
      <w:r w:rsidRPr="006D6809">
        <w:t xml:space="preserve">Sobre las </w:t>
      </w:r>
      <w:r w:rsidRPr="006D6809">
        <w:rPr>
          <w:b/>
          <w:i/>
        </w:rPr>
        <w:t>deducciones</w:t>
      </w:r>
      <w:r w:rsidRPr="006D6809">
        <w:t>, para entender los límites y alcances de esta restricción, es oportuno recurrir al artículo 84 de la Ley del Trabajo de los Servidores Públicos del Estado y Municipios:</w:t>
      </w:r>
    </w:p>
    <w:p w:rsidR="00676326" w:rsidRPr="006D6809" w:rsidRDefault="00173EC0" w:rsidP="006D6809">
      <w:pPr>
        <w:pStyle w:val="Puesto"/>
        <w:ind w:firstLine="0"/>
        <w:rPr>
          <w:b/>
          <w:color w:val="auto"/>
        </w:rPr>
      </w:pPr>
      <w:bookmarkStart w:id="28" w:name="_heading=h.i9mk3ga8ug63" w:colFirst="0" w:colLast="0"/>
      <w:bookmarkEnd w:id="28"/>
      <w:r w:rsidRPr="006D6809">
        <w:rPr>
          <w:b/>
          <w:color w:val="auto"/>
        </w:rPr>
        <w:t xml:space="preserve">“ARTÍCULO 84. </w:t>
      </w:r>
      <w:r w:rsidRPr="006D6809">
        <w:rPr>
          <w:color w:val="auto"/>
        </w:rPr>
        <w:t>Sólo podrán hacerse retenciones, descuentos o deducciones al sueldo de los servidores públicos por concepto de:</w:t>
      </w:r>
    </w:p>
    <w:p w:rsidR="00676326" w:rsidRPr="006D6809" w:rsidRDefault="00173EC0" w:rsidP="006D6809">
      <w:pPr>
        <w:pStyle w:val="Puesto"/>
        <w:ind w:firstLine="0"/>
        <w:rPr>
          <w:color w:val="auto"/>
        </w:rPr>
      </w:pPr>
      <w:r w:rsidRPr="006D6809">
        <w:rPr>
          <w:b/>
          <w:color w:val="auto"/>
        </w:rPr>
        <w:t>I.</w:t>
      </w:r>
      <w:r w:rsidRPr="006D6809">
        <w:rPr>
          <w:color w:val="auto"/>
        </w:rPr>
        <w:t xml:space="preserve"> Gravámenes fiscales relacionados con el sueldo;</w:t>
      </w:r>
    </w:p>
    <w:p w:rsidR="00676326" w:rsidRPr="006D6809" w:rsidRDefault="00173EC0" w:rsidP="006D6809">
      <w:pPr>
        <w:pStyle w:val="Puesto"/>
        <w:ind w:firstLine="0"/>
        <w:rPr>
          <w:color w:val="auto"/>
        </w:rPr>
      </w:pPr>
      <w:r w:rsidRPr="006D6809">
        <w:rPr>
          <w:b/>
          <w:color w:val="auto"/>
        </w:rPr>
        <w:t>II.</w:t>
      </w:r>
      <w:r w:rsidRPr="006D6809">
        <w:rPr>
          <w:color w:val="auto"/>
        </w:rPr>
        <w:t xml:space="preserve"> Deudas contraídas con las instituciones públicas o dependencias por concepto de anticipos de sueldo, pagos hechos con exceso, errores o pérdidas debidamente comprobados;</w:t>
      </w:r>
    </w:p>
    <w:p w:rsidR="00676326" w:rsidRPr="006D6809" w:rsidRDefault="00173EC0" w:rsidP="006D6809">
      <w:pPr>
        <w:pStyle w:val="Puesto"/>
        <w:ind w:firstLine="0"/>
        <w:rPr>
          <w:color w:val="auto"/>
        </w:rPr>
      </w:pPr>
      <w:r w:rsidRPr="006D6809">
        <w:rPr>
          <w:b/>
          <w:color w:val="auto"/>
        </w:rPr>
        <w:t>III.</w:t>
      </w:r>
      <w:r w:rsidRPr="006D6809">
        <w:rPr>
          <w:color w:val="auto"/>
        </w:rPr>
        <w:t xml:space="preserve"> </w:t>
      </w:r>
      <w:r w:rsidRPr="006D6809">
        <w:rPr>
          <w:b/>
          <w:color w:val="auto"/>
        </w:rPr>
        <w:t>Cuotas sindicales</w:t>
      </w:r>
      <w:r w:rsidRPr="006D6809">
        <w:rPr>
          <w:color w:val="auto"/>
        </w:rPr>
        <w:t>;</w:t>
      </w:r>
    </w:p>
    <w:p w:rsidR="00676326" w:rsidRPr="006D6809" w:rsidRDefault="00173EC0" w:rsidP="006D6809">
      <w:pPr>
        <w:pStyle w:val="Puesto"/>
        <w:ind w:firstLine="0"/>
        <w:rPr>
          <w:color w:val="auto"/>
        </w:rPr>
      </w:pPr>
      <w:r w:rsidRPr="006D6809">
        <w:rPr>
          <w:b/>
          <w:color w:val="auto"/>
        </w:rPr>
        <w:t>IV.</w:t>
      </w:r>
      <w:r w:rsidRPr="006D6809">
        <w:rPr>
          <w:color w:val="auto"/>
        </w:rPr>
        <w:t xml:space="preserve"> Cuotas de aportación a fondos para la constitución de cooperativas y de cajas de ahorro, siempre que el servidor público hubiese manifestado previamente, de manera expresa, su conformidad;</w:t>
      </w:r>
    </w:p>
    <w:p w:rsidR="00676326" w:rsidRPr="006D6809" w:rsidRDefault="00173EC0" w:rsidP="006D6809">
      <w:pPr>
        <w:pStyle w:val="Puesto"/>
        <w:ind w:firstLine="0"/>
        <w:rPr>
          <w:color w:val="auto"/>
        </w:rPr>
      </w:pPr>
      <w:r w:rsidRPr="006D6809">
        <w:rPr>
          <w:b/>
          <w:color w:val="auto"/>
        </w:rPr>
        <w:t>V.</w:t>
      </w:r>
      <w:r w:rsidRPr="006D6809">
        <w:rPr>
          <w:color w:val="auto"/>
        </w:rPr>
        <w:t xml:space="preserve"> Descuentos ordenados por el Instituto de Seguridad Social del Estado de México y Municipios, con motivo de cuotas y obligaciones contraídas con éste por los servidores públicos;</w:t>
      </w:r>
    </w:p>
    <w:p w:rsidR="00676326" w:rsidRPr="006D6809" w:rsidRDefault="00173EC0" w:rsidP="006D6809">
      <w:pPr>
        <w:pStyle w:val="Puesto"/>
        <w:ind w:firstLine="0"/>
        <w:rPr>
          <w:color w:val="auto"/>
        </w:rPr>
      </w:pPr>
      <w:r w:rsidRPr="006D6809">
        <w:rPr>
          <w:b/>
          <w:color w:val="auto"/>
        </w:rPr>
        <w:t>VI.</w:t>
      </w:r>
      <w:r w:rsidRPr="006D6809">
        <w:rPr>
          <w:color w:val="auto"/>
        </w:rPr>
        <w:t xml:space="preserve"> Obligaciones a cargo del servidor público con las que haya consentido, derivadas de la adquisición o del uso de habitaciones consideradas como de interés social;</w:t>
      </w:r>
    </w:p>
    <w:p w:rsidR="00676326" w:rsidRPr="006D6809" w:rsidRDefault="00173EC0" w:rsidP="006D6809">
      <w:pPr>
        <w:pStyle w:val="Puesto"/>
        <w:ind w:firstLine="0"/>
        <w:rPr>
          <w:color w:val="auto"/>
        </w:rPr>
      </w:pPr>
      <w:r w:rsidRPr="006D6809">
        <w:rPr>
          <w:b/>
          <w:color w:val="auto"/>
        </w:rPr>
        <w:t>VII.</w:t>
      </w:r>
      <w:r w:rsidRPr="006D6809">
        <w:rPr>
          <w:color w:val="auto"/>
        </w:rPr>
        <w:t xml:space="preserve"> Faltas de puntualidad o de asistencia injustificadas;</w:t>
      </w:r>
    </w:p>
    <w:p w:rsidR="00676326" w:rsidRPr="006D6809" w:rsidRDefault="00173EC0" w:rsidP="006D6809">
      <w:pPr>
        <w:pStyle w:val="Puesto"/>
        <w:ind w:firstLine="0"/>
        <w:rPr>
          <w:color w:val="auto"/>
        </w:rPr>
      </w:pPr>
      <w:r w:rsidRPr="006D6809">
        <w:rPr>
          <w:b/>
          <w:color w:val="auto"/>
        </w:rPr>
        <w:t>VIII. Pensiones alimenticias ordenadas por la autoridad judicial;</w:t>
      </w:r>
      <w:r w:rsidRPr="006D6809">
        <w:rPr>
          <w:color w:val="auto"/>
        </w:rPr>
        <w:t xml:space="preserve"> o</w:t>
      </w:r>
    </w:p>
    <w:p w:rsidR="00676326" w:rsidRPr="006D6809" w:rsidRDefault="00173EC0" w:rsidP="006D6809">
      <w:pPr>
        <w:pStyle w:val="Puesto"/>
        <w:ind w:firstLine="0"/>
        <w:rPr>
          <w:b/>
          <w:color w:val="auto"/>
        </w:rPr>
      </w:pPr>
      <w:r w:rsidRPr="006D6809">
        <w:rPr>
          <w:b/>
          <w:color w:val="auto"/>
        </w:rPr>
        <w:t>IX. Cualquier otro convenido con instituciones de servicios y aceptado por el servidor público.</w:t>
      </w:r>
    </w:p>
    <w:p w:rsidR="00676326" w:rsidRPr="006D6809" w:rsidRDefault="00173EC0" w:rsidP="006D6809">
      <w:pPr>
        <w:pStyle w:val="Puesto"/>
        <w:ind w:firstLine="0"/>
        <w:rPr>
          <w:color w:val="auto"/>
        </w:rPr>
      </w:pPr>
      <w:r w:rsidRPr="006D6809">
        <w:rPr>
          <w:color w:val="auto"/>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w:t>
      </w:r>
      <w:r w:rsidRPr="006D6809">
        <w:rPr>
          <w:color w:val="auto"/>
        </w:rPr>
        <w:lastRenderedPageBreak/>
        <w:t xml:space="preserve">constitucional a una vivienda digna, o se refieran a lo establecido en la fracción VIII de este artículo, en que se ajustará a lo determinado por la autoridad judicial.” </w:t>
      </w:r>
    </w:p>
    <w:p w:rsidR="00676326" w:rsidRPr="006D6809" w:rsidRDefault="00676326" w:rsidP="006D6809"/>
    <w:p w:rsidR="00676326" w:rsidRPr="006D6809" w:rsidRDefault="00173EC0" w:rsidP="006D6809">
      <w:r w:rsidRPr="006D6809">
        <w:t>Conforme a lo anterior dichas deducciones, suelen ser obligatorias y dan cuenta, de que el Sujeto Obligado cumple con sus responsabilidades como patrón, relacionadas con la retención de parte del ingreso de sus trabajadores, para cubrir las deducciones genéricas y obligatorias.</w:t>
      </w:r>
    </w:p>
    <w:p w:rsidR="00676326" w:rsidRPr="006D6809" w:rsidRDefault="00676326" w:rsidP="006D6809"/>
    <w:p w:rsidR="00676326" w:rsidRPr="006D6809" w:rsidRDefault="00173EC0" w:rsidP="006D6809">
      <w:r w:rsidRPr="006D6809">
        <w:t>Cómo se logra observar, dichas deducciones, son las retenciones que realizan las dependencias y entidades, de manera obligatoria por estar establecidas en diversas leyes, como la Ley del Impuesto sobre la Renta y la Ley de Seguridad Social para los Servidores Públicos del Estado de México y Municipios (gravámenes fiscales), o bien, la Ley de Servidores Públicos del Estado de México y Municipios (descuentos por faltas o inasistencias).</w:t>
      </w:r>
    </w:p>
    <w:p w:rsidR="00676326" w:rsidRPr="006D6809" w:rsidRDefault="00676326" w:rsidP="006D6809"/>
    <w:p w:rsidR="00676326" w:rsidRPr="006D6809" w:rsidRDefault="00173EC0" w:rsidP="006D6809">
      <w:r w:rsidRPr="006D6809">
        <w:t xml:space="preserve">Por tal circunstancia y toda vez, que las deducciones por Ley, son de carácter obligatorio y ayuda a rendir cuentas, de que </w:t>
      </w:r>
      <w:r w:rsidRPr="006D6809">
        <w:rPr>
          <w:b/>
        </w:rPr>
        <w:t>EL SUJETO OBLIGADO</w:t>
      </w:r>
      <w:r w:rsidRPr="006D6809">
        <w:t xml:space="preserve"> cumple con sus funciones de patrón, al retener determinado monto del sueldo de los servidores públicos, es que se considera que son de naturaleza pública y, por lo tanto, no procede la clasificación, en términos del artículo 143, fracción I, de la Ley de Transparencia y Acceso a la Información Pública del Estado de México y Municipios.</w:t>
      </w:r>
    </w:p>
    <w:p w:rsidR="00676326" w:rsidRPr="006D6809" w:rsidRDefault="00676326" w:rsidP="006D6809"/>
    <w:p w:rsidR="00676326" w:rsidRPr="006D6809" w:rsidRDefault="00173EC0" w:rsidP="006D6809">
      <w:pPr>
        <w:pBdr>
          <w:top w:val="nil"/>
          <w:left w:val="nil"/>
          <w:bottom w:val="nil"/>
          <w:right w:val="nil"/>
          <w:between w:val="nil"/>
        </w:pBdr>
      </w:pPr>
      <w:r w:rsidRPr="006D6809">
        <w:t>Tal es el caso del</w:t>
      </w:r>
      <w:r w:rsidRPr="006D6809">
        <w:rPr>
          <w:b/>
        </w:rPr>
        <w:t xml:space="preserve"> Sistema De Capitalización Individual (SCI), </w:t>
      </w:r>
      <w:r w:rsidRPr="006D6809">
        <w:t>la cual está contemplada en los artículos 84 y 115 de la Ley de Seguridad Social para los Servidores Públicos del Estado de México y Municipios, al formar parte de uno de los sistemas que conforma el sistema mixto de pensiones, al corresponder específicamente a una reserva de ahorro en favor de los servidores públicos para su retiro, la cual señala:</w:t>
      </w:r>
    </w:p>
    <w:p w:rsidR="00676326" w:rsidRPr="006D6809" w:rsidRDefault="00676326" w:rsidP="006D6809">
      <w:pPr>
        <w:pBdr>
          <w:top w:val="nil"/>
          <w:left w:val="nil"/>
          <w:bottom w:val="nil"/>
          <w:right w:val="nil"/>
          <w:between w:val="nil"/>
        </w:pBdr>
      </w:pPr>
    </w:p>
    <w:p w:rsidR="00676326" w:rsidRPr="006D6809" w:rsidRDefault="00173EC0" w:rsidP="006D6809">
      <w:pPr>
        <w:pStyle w:val="Puesto"/>
        <w:ind w:firstLine="0"/>
        <w:rPr>
          <w:b/>
          <w:color w:val="auto"/>
        </w:rPr>
      </w:pPr>
      <w:r w:rsidRPr="006D6809">
        <w:rPr>
          <w:color w:val="auto"/>
        </w:rPr>
        <w:lastRenderedPageBreak/>
        <w:t>“</w:t>
      </w:r>
      <w:r w:rsidRPr="006D6809">
        <w:rPr>
          <w:b/>
          <w:color w:val="auto"/>
        </w:rPr>
        <w:t>ARTICULO 84.-</w:t>
      </w:r>
      <w:r w:rsidRPr="006D6809">
        <w:rPr>
          <w:color w:val="auto"/>
        </w:rPr>
        <w:t xml:space="preserve"> Las pensiones que otorga esta ley, se basan en un régimen mixto, siendo una parte de beneficios definidos denominado </w:t>
      </w:r>
      <w:r w:rsidRPr="006D6809">
        <w:rPr>
          <w:b/>
          <w:color w:val="auto"/>
        </w:rPr>
        <w:t>sistema solidario de reparto y otra de contribuciones definidas denominado sistema de capitalización individual.</w:t>
      </w:r>
    </w:p>
    <w:p w:rsidR="00676326" w:rsidRPr="006D6809" w:rsidRDefault="00676326" w:rsidP="006D6809">
      <w:pPr>
        <w:spacing w:line="276" w:lineRule="auto"/>
        <w:ind w:left="567" w:right="900"/>
        <w:rPr>
          <w:i/>
        </w:rPr>
      </w:pPr>
    </w:p>
    <w:p w:rsidR="00676326" w:rsidRPr="006D6809" w:rsidRDefault="00173EC0" w:rsidP="006D6809">
      <w:pPr>
        <w:pStyle w:val="Puesto"/>
        <w:ind w:firstLine="0"/>
        <w:rPr>
          <w:color w:val="auto"/>
        </w:rPr>
      </w:pPr>
      <w:r w:rsidRPr="006D6809">
        <w:rPr>
          <w:color w:val="auto"/>
        </w:rPr>
        <w:t>El monto total para el financiamiento de pensiones de cada servidor público, es equivalente al 16.77% de su sueldo sujeto a cotización, del cual el 13.52% se aplicará al fondo del sistema solidario de reparto y el 3.25% al sistema de capitalización individual.</w:t>
      </w:r>
    </w:p>
    <w:p w:rsidR="00676326" w:rsidRPr="006D6809" w:rsidRDefault="00676326" w:rsidP="006D6809"/>
    <w:p w:rsidR="00676326" w:rsidRPr="006D6809" w:rsidRDefault="00173EC0" w:rsidP="006D6809">
      <w:pPr>
        <w:pStyle w:val="Puesto"/>
        <w:ind w:firstLine="0"/>
        <w:rPr>
          <w:color w:val="auto"/>
        </w:rPr>
      </w:pPr>
      <w:r w:rsidRPr="006D6809">
        <w:rPr>
          <w:color w:val="auto"/>
        </w:rPr>
        <w:t xml:space="preserve"> </w:t>
      </w:r>
      <w:r w:rsidRPr="006D6809">
        <w:rPr>
          <w:b/>
          <w:color w:val="auto"/>
        </w:rPr>
        <w:t>ARTICULO 115.-</w:t>
      </w:r>
      <w:r w:rsidRPr="006D6809">
        <w:rPr>
          <w:color w:val="auto"/>
        </w:rPr>
        <w:t xml:space="preserve"> Por sistema de capitalización individual se entiende aquel régimen cuyo financiamiento es determinado y su beneficio variable, por lo que sus fondos se constituirán en una reserva, cuyo saldo será siempre igual a la suma de las partes alícuotas reconocidas a cada uno de los servidores públicos participantes en el sistema.”</w:t>
      </w:r>
    </w:p>
    <w:p w:rsidR="00676326" w:rsidRPr="006D6809" w:rsidRDefault="00676326" w:rsidP="006D6809"/>
    <w:p w:rsidR="00676326" w:rsidRPr="006D6809" w:rsidRDefault="00173EC0" w:rsidP="006D6809">
      <w:r w:rsidRPr="006D6809">
        <w:t>En esta misma disposición normativa, en los artículos 5 fracciones II, VII y VIII; 32, 34 y 35, dispone lo siguiente:</w:t>
      </w:r>
    </w:p>
    <w:p w:rsidR="00676326" w:rsidRPr="006D6809" w:rsidRDefault="00676326" w:rsidP="006D6809"/>
    <w:p w:rsidR="00676326" w:rsidRPr="006D6809" w:rsidRDefault="00173EC0" w:rsidP="006D6809">
      <w:pPr>
        <w:pStyle w:val="Puesto"/>
        <w:ind w:firstLine="0"/>
        <w:rPr>
          <w:color w:val="auto"/>
        </w:rPr>
      </w:pPr>
      <w:r w:rsidRPr="006D6809">
        <w:rPr>
          <w:color w:val="auto"/>
        </w:rPr>
        <w:t>“</w:t>
      </w:r>
      <w:r w:rsidRPr="006D6809">
        <w:rPr>
          <w:b/>
          <w:color w:val="auto"/>
        </w:rPr>
        <w:t>ARTÍCULO 5</w:t>
      </w:r>
      <w:r w:rsidRPr="006D6809">
        <w:rPr>
          <w:color w:val="auto"/>
        </w:rPr>
        <w:t>.- Para los efectos de esta ley se entiende por:</w:t>
      </w:r>
    </w:p>
    <w:p w:rsidR="00676326" w:rsidRPr="006D6809" w:rsidRDefault="00173EC0" w:rsidP="006D6809">
      <w:pPr>
        <w:pStyle w:val="Puesto"/>
        <w:ind w:firstLine="0"/>
        <w:rPr>
          <w:color w:val="auto"/>
        </w:rPr>
      </w:pPr>
      <w:r w:rsidRPr="006D6809">
        <w:rPr>
          <w:color w:val="auto"/>
        </w:rPr>
        <w:t>…</w:t>
      </w:r>
    </w:p>
    <w:p w:rsidR="00676326" w:rsidRPr="006D6809" w:rsidRDefault="00173EC0" w:rsidP="006D6809">
      <w:pPr>
        <w:pStyle w:val="Puesto"/>
        <w:ind w:firstLine="0"/>
        <w:rPr>
          <w:color w:val="auto"/>
        </w:rPr>
      </w:pPr>
      <w:r w:rsidRPr="006D6809">
        <w:rPr>
          <w:color w:val="auto"/>
        </w:rPr>
        <w:t>II. Institución pública, a los poderes públicos del estado, los ayuntamientos de los municipios y los tribunales administrativos, así como los organismos auxiliares y fideicomisos públicos de carácter estatal y municipal;</w:t>
      </w:r>
    </w:p>
    <w:p w:rsidR="00676326" w:rsidRPr="006D6809" w:rsidRDefault="00173EC0" w:rsidP="006D6809">
      <w:pPr>
        <w:pStyle w:val="Puesto"/>
        <w:ind w:firstLine="0"/>
        <w:rPr>
          <w:color w:val="auto"/>
        </w:rPr>
      </w:pPr>
      <w:r w:rsidRPr="006D6809">
        <w:rPr>
          <w:color w:val="auto"/>
        </w:rPr>
        <w:t>…</w:t>
      </w:r>
    </w:p>
    <w:p w:rsidR="00676326" w:rsidRPr="006D6809" w:rsidRDefault="00173EC0" w:rsidP="006D6809">
      <w:pPr>
        <w:pStyle w:val="Puesto"/>
        <w:ind w:firstLine="0"/>
        <w:rPr>
          <w:color w:val="auto"/>
        </w:rPr>
      </w:pPr>
      <w:r w:rsidRPr="006D6809">
        <w:rPr>
          <w:color w:val="auto"/>
        </w:rPr>
        <w:t xml:space="preserve">VII. Cuota, al monto que le corresponde cubrir al servidor público, equivalente a un porcentaje determinado de sus sueldo sujeto a cotización, así como el que debe cubrir el pensionado o pensionista y que recibe el Instituto para otorgar las prestaciones establecidas en la presente ley; </w:t>
      </w:r>
    </w:p>
    <w:p w:rsidR="00676326" w:rsidRPr="006D6809" w:rsidRDefault="00173EC0" w:rsidP="006D6809">
      <w:pPr>
        <w:pStyle w:val="Puesto"/>
        <w:ind w:firstLine="0"/>
        <w:rPr>
          <w:b/>
          <w:color w:val="auto"/>
        </w:rPr>
      </w:pPr>
      <w:r w:rsidRPr="006D6809">
        <w:rPr>
          <w:color w:val="auto"/>
        </w:rPr>
        <w:t xml:space="preserve">VIII. </w:t>
      </w:r>
      <w:r w:rsidRPr="006D6809">
        <w:rPr>
          <w:b/>
          <w:color w:val="auto"/>
        </w:rPr>
        <w:t>Aportación, al monto que le corresponde cubrir a las instituciones públicas como porcentaje del sueldo sujeto a cotización de cada servidor público;</w:t>
      </w:r>
    </w:p>
    <w:p w:rsidR="00676326" w:rsidRPr="006D6809" w:rsidRDefault="00173EC0" w:rsidP="006D6809">
      <w:pPr>
        <w:pStyle w:val="Puesto"/>
        <w:ind w:firstLine="0"/>
        <w:rPr>
          <w:color w:val="auto"/>
        </w:rPr>
      </w:pPr>
      <w:r w:rsidRPr="006D6809">
        <w:rPr>
          <w:color w:val="auto"/>
        </w:rPr>
        <w:t>…</w:t>
      </w:r>
    </w:p>
    <w:p w:rsidR="00676326" w:rsidRPr="006D6809" w:rsidRDefault="00676326" w:rsidP="006D6809">
      <w:pPr>
        <w:pStyle w:val="Puesto"/>
        <w:ind w:firstLine="0"/>
        <w:rPr>
          <w:color w:val="auto"/>
        </w:rPr>
      </w:pPr>
    </w:p>
    <w:p w:rsidR="00676326" w:rsidRPr="006D6809" w:rsidRDefault="00173EC0" w:rsidP="006D6809">
      <w:pPr>
        <w:pStyle w:val="Puesto"/>
        <w:ind w:firstLine="0"/>
        <w:rPr>
          <w:b/>
          <w:color w:val="auto"/>
        </w:rPr>
      </w:pPr>
      <w:r w:rsidRPr="006D6809">
        <w:rPr>
          <w:b/>
          <w:color w:val="auto"/>
        </w:rPr>
        <w:t>Artículo 32.-</w:t>
      </w:r>
      <w:r w:rsidRPr="006D6809">
        <w:rPr>
          <w:color w:val="auto"/>
        </w:rPr>
        <w:t xml:space="preserve"> </w:t>
      </w:r>
      <w:r w:rsidRPr="006D6809">
        <w:rPr>
          <w:b/>
          <w:color w:val="auto"/>
        </w:rPr>
        <w:t xml:space="preserve">Las cuotas obligatorias que deberán cubrir los servidores públicos al Instituto, serán las siguientes: </w:t>
      </w:r>
    </w:p>
    <w:p w:rsidR="00676326" w:rsidRPr="006D6809" w:rsidRDefault="00173EC0" w:rsidP="006D6809">
      <w:pPr>
        <w:pStyle w:val="Puesto"/>
        <w:ind w:firstLine="0"/>
        <w:rPr>
          <w:color w:val="auto"/>
        </w:rPr>
      </w:pPr>
      <w:r w:rsidRPr="006D6809">
        <w:rPr>
          <w:color w:val="auto"/>
        </w:rPr>
        <w:t xml:space="preserve">I. El 4.625% del sueldo sujeto a cotización, para cubrir las prestaciones de servicios de salud; </w:t>
      </w:r>
    </w:p>
    <w:p w:rsidR="00676326" w:rsidRPr="006D6809" w:rsidRDefault="00173EC0" w:rsidP="006D6809">
      <w:pPr>
        <w:pStyle w:val="Puesto"/>
        <w:ind w:firstLine="0"/>
        <w:rPr>
          <w:color w:val="auto"/>
        </w:rPr>
      </w:pPr>
      <w:r w:rsidRPr="006D6809">
        <w:rPr>
          <w:color w:val="auto"/>
        </w:rPr>
        <w:t xml:space="preserve">II. El 7.50% del sueldo sujeto a cotización, para cubrir el financiamiento de pensiones, de la siguiente manera: </w:t>
      </w:r>
    </w:p>
    <w:p w:rsidR="00676326" w:rsidRPr="006D6809" w:rsidRDefault="00173EC0" w:rsidP="006D6809">
      <w:pPr>
        <w:pStyle w:val="Puesto"/>
        <w:ind w:firstLine="0"/>
        <w:rPr>
          <w:color w:val="auto"/>
        </w:rPr>
      </w:pPr>
      <w:r w:rsidRPr="006D6809">
        <w:rPr>
          <w:color w:val="auto"/>
        </w:rPr>
        <w:lastRenderedPageBreak/>
        <w:t xml:space="preserve">a. 6.10% para el fondo del sistema solidario de reparto. </w:t>
      </w:r>
    </w:p>
    <w:p w:rsidR="00676326" w:rsidRPr="006D6809" w:rsidRDefault="00173EC0" w:rsidP="006D6809">
      <w:pPr>
        <w:pStyle w:val="Puesto"/>
        <w:ind w:firstLine="0"/>
        <w:rPr>
          <w:b/>
          <w:color w:val="auto"/>
          <w:u w:val="single"/>
        </w:rPr>
      </w:pPr>
      <w:r w:rsidRPr="006D6809">
        <w:rPr>
          <w:b/>
          <w:color w:val="auto"/>
          <w:u w:val="single"/>
        </w:rPr>
        <w:t xml:space="preserve">b. 1.40% para el sistema de capitalización individual. </w:t>
      </w:r>
    </w:p>
    <w:p w:rsidR="00676326" w:rsidRPr="006D6809" w:rsidRDefault="00173EC0" w:rsidP="006D6809">
      <w:pPr>
        <w:pStyle w:val="Puesto"/>
        <w:ind w:firstLine="0"/>
        <w:rPr>
          <w:color w:val="auto"/>
        </w:rPr>
      </w:pPr>
      <w:r w:rsidRPr="006D6809">
        <w:rPr>
          <w:color w:val="auto"/>
        </w:rPr>
        <w:t>III. Las que determine anualmente el Consejo Directivo para otras prestaciones, señaladas en el Título IV.</w:t>
      </w:r>
    </w:p>
    <w:p w:rsidR="00676326" w:rsidRPr="006D6809" w:rsidRDefault="00173EC0" w:rsidP="006D6809">
      <w:pPr>
        <w:pStyle w:val="Puesto"/>
        <w:ind w:firstLine="0"/>
        <w:rPr>
          <w:color w:val="auto"/>
        </w:rPr>
      </w:pPr>
      <w:r w:rsidRPr="006D6809">
        <w:rPr>
          <w:color w:val="auto"/>
        </w:rPr>
        <w:t>…</w:t>
      </w:r>
    </w:p>
    <w:p w:rsidR="00676326" w:rsidRPr="006D6809" w:rsidRDefault="00676326" w:rsidP="006D6809">
      <w:pPr>
        <w:pStyle w:val="Puesto"/>
        <w:ind w:firstLine="0"/>
        <w:rPr>
          <w:color w:val="auto"/>
        </w:rPr>
      </w:pPr>
    </w:p>
    <w:p w:rsidR="00676326" w:rsidRPr="006D6809" w:rsidRDefault="00173EC0" w:rsidP="006D6809">
      <w:pPr>
        <w:pStyle w:val="Puesto"/>
        <w:ind w:firstLine="0"/>
        <w:rPr>
          <w:color w:val="auto"/>
        </w:rPr>
      </w:pPr>
      <w:r w:rsidRPr="006D6809">
        <w:rPr>
          <w:b/>
          <w:color w:val="auto"/>
        </w:rPr>
        <w:t>Artículo 34.-</w:t>
      </w:r>
      <w:r w:rsidRPr="006D6809">
        <w:rPr>
          <w:color w:val="auto"/>
        </w:rPr>
        <w:t xml:space="preserve"> </w:t>
      </w:r>
      <w:r w:rsidRPr="006D6809">
        <w:rPr>
          <w:b/>
          <w:color w:val="auto"/>
        </w:rPr>
        <w:t>Las aportaciones que deberán cubrir obligatoriamente las instituciones públicas serán las siguientes</w:t>
      </w:r>
      <w:r w:rsidRPr="006D6809">
        <w:rPr>
          <w:color w:val="auto"/>
        </w:rPr>
        <w:t xml:space="preserve">: </w:t>
      </w:r>
    </w:p>
    <w:p w:rsidR="00676326" w:rsidRPr="006D6809" w:rsidRDefault="00173EC0" w:rsidP="006D6809">
      <w:pPr>
        <w:pStyle w:val="Puesto"/>
        <w:ind w:firstLine="0"/>
        <w:rPr>
          <w:color w:val="auto"/>
        </w:rPr>
      </w:pPr>
      <w:r w:rsidRPr="006D6809">
        <w:rPr>
          <w:color w:val="auto"/>
        </w:rPr>
        <w:t xml:space="preserve">I. El 10% del sueldo sujeto a cotización, para cubrir las prestaciones de servicios de salud; </w:t>
      </w:r>
    </w:p>
    <w:p w:rsidR="00676326" w:rsidRPr="006D6809" w:rsidRDefault="00173EC0" w:rsidP="006D6809">
      <w:pPr>
        <w:pStyle w:val="Puesto"/>
        <w:ind w:firstLine="0"/>
        <w:rPr>
          <w:color w:val="auto"/>
        </w:rPr>
      </w:pPr>
      <w:r w:rsidRPr="006D6809">
        <w:rPr>
          <w:color w:val="auto"/>
        </w:rPr>
        <w:t xml:space="preserve">II. El 9.27% del sueldo sujeto a cotización, para cubrir el financiamiento de pensiones, de la siguiente manera: </w:t>
      </w:r>
    </w:p>
    <w:p w:rsidR="00676326" w:rsidRPr="006D6809" w:rsidRDefault="00173EC0" w:rsidP="006D6809">
      <w:pPr>
        <w:pStyle w:val="Puesto"/>
        <w:ind w:firstLine="0"/>
        <w:rPr>
          <w:color w:val="auto"/>
        </w:rPr>
      </w:pPr>
      <w:r w:rsidRPr="006D6809">
        <w:rPr>
          <w:color w:val="auto"/>
        </w:rPr>
        <w:t xml:space="preserve">a. 7.42% para el fondo del sistema solidario de reparto. </w:t>
      </w:r>
    </w:p>
    <w:p w:rsidR="00676326" w:rsidRPr="006D6809" w:rsidRDefault="00173EC0" w:rsidP="006D6809">
      <w:pPr>
        <w:pStyle w:val="Puesto"/>
        <w:ind w:firstLine="0"/>
        <w:rPr>
          <w:b/>
          <w:color w:val="auto"/>
          <w:u w:val="single"/>
        </w:rPr>
      </w:pPr>
      <w:r w:rsidRPr="006D6809">
        <w:rPr>
          <w:color w:val="auto"/>
          <w:u w:val="single"/>
        </w:rPr>
        <w:t xml:space="preserve">b. </w:t>
      </w:r>
      <w:r w:rsidRPr="006D6809">
        <w:rPr>
          <w:b/>
          <w:color w:val="auto"/>
          <w:u w:val="single"/>
        </w:rPr>
        <w:t xml:space="preserve">1.85% para el sistema de capitalización individual. </w:t>
      </w:r>
    </w:p>
    <w:p w:rsidR="00676326" w:rsidRPr="006D6809" w:rsidRDefault="00173EC0" w:rsidP="006D6809">
      <w:pPr>
        <w:pStyle w:val="Puesto"/>
        <w:ind w:firstLine="0"/>
        <w:rPr>
          <w:color w:val="auto"/>
        </w:rPr>
      </w:pPr>
      <w:r w:rsidRPr="006D6809">
        <w:rPr>
          <w:color w:val="auto"/>
        </w:rPr>
        <w:t xml:space="preserve">III. Las que determine anualmente el Consejo Directivo para otras prestaciones, señaladas en el Título IV; </w:t>
      </w:r>
    </w:p>
    <w:p w:rsidR="00676326" w:rsidRPr="006D6809" w:rsidRDefault="00173EC0" w:rsidP="006D6809">
      <w:pPr>
        <w:pStyle w:val="Puesto"/>
        <w:ind w:firstLine="0"/>
        <w:rPr>
          <w:color w:val="auto"/>
        </w:rPr>
      </w:pPr>
      <w:r w:rsidRPr="006D6809">
        <w:rPr>
          <w:color w:val="auto"/>
        </w:rPr>
        <w:t xml:space="preserve">IV. El 0.875% para gastos de administración; </w:t>
      </w:r>
    </w:p>
    <w:p w:rsidR="00676326" w:rsidRPr="006D6809" w:rsidRDefault="00173EC0" w:rsidP="006D6809">
      <w:pPr>
        <w:pStyle w:val="Puesto"/>
        <w:ind w:firstLine="0"/>
        <w:rPr>
          <w:color w:val="auto"/>
        </w:rPr>
      </w:pPr>
      <w:r w:rsidRPr="006D6809">
        <w:rPr>
          <w:color w:val="auto"/>
        </w:rPr>
        <w:t>V. Las que se generen a cargo de las Instituciones públicas por concepto de riesgos de trabajo.</w:t>
      </w:r>
    </w:p>
    <w:p w:rsidR="00676326" w:rsidRPr="006D6809" w:rsidRDefault="00676326" w:rsidP="006D6809"/>
    <w:p w:rsidR="00676326" w:rsidRPr="006D6809" w:rsidRDefault="00173EC0" w:rsidP="006D6809">
      <w:r w:rsidRPr="006D6809">
        <w:t>Por lo antes señalado, las aportaciones ya están determinadas por un porcentaje en relación al sueldo del servidor público, las cuales son cubiertas obligatoriamente, tanto por los servidores públicos, como por las instituciones públicas, por lo que al considerar los porcentajes correspondientes al Sistema de Capitalización Individual (%1,40 de servidor público y %1.85 de la Institución pública), es fácilmente identificable al conocer el sueldo del servidor público, por tanto dichos conceptos deberán de ser públicos, aún y cuando se tratan de deducciones al sueldo del trabajador.</w:t>
      </w:r>
    </w:p>
    <w:p w:rsidR="00676326" w:rsidRPr="006D6809" w:rsidRDefault="00676326" w:rsidP="006D6809"/>
    <w:p w:rsidR="00676326" w:rsidRPr="006D6809" w:rsidRDefault="00173EC0" w:rsidP="006D6809">
      <w:pPr>
        <w:pBdr>
          <w:top w:val="nil"/>
          <w:left w:val="nil"/>
          <w:bottom w:val="nil"/>
          <w:right w:val="nil"/>
          <w:between w:val="nil"/>
        </w:pBdr>
        <w:rPr>
          <w:u w:val="single"/>
        </w:rPr>
      </w:pPr>
      <w:r w:rsidRPr="006D6809">
        <w:t xml:space="preserve">Es necesario precisar que existen deducciones que se generan con motivo de una decisión libre y voluntaria de los servidores públicos, como son: </w:t>
      </w:r>
      <w:r w:rsidRPr="006D6809">
        <w:rPr>
          <w:u w:val="single"/>
        </w:rPr>
        <w:t>créditos personales,</w:t>
      </w:r>
      <w:r w:rsidRPr="006D6809">
        <w:t xml:space="preserve"> </w:t>
      </w:r>
      <w:r w:rsidRPr="006D6809">
        <w:rPr>
          <w:u w:val="single"/>
        </w:rPr>
        <w:t xml:space="preserve">cuotas sindicales y fondo de resistencia del Sindicato Único de Trabajadores de los Poderes, Municipios e Institución Descentralizadas del Estado de México, seguro de vida, accidentes y enfermedades. </w:t>
      </w:r>
      <w:r w:rsidRPr="006D6809">
        <w:t xml:space="preserve">Asimismo, hay otras que se generan con motivo de una sentencia judicial, </w:t>
      </w:r>
      <w:r w:rsidRPr="006D6809">
        <w:lastRenderedPageBreak/>
        <w:t xml:space="preserve">como es la pensión alimenticia que periódicamente se retira de la cuenta de un empleado, a efecto de que sea entregado a un tercero.  </w:t>
      </w:r>
    </w:p>
    <w:p w:rsidR="00676326" w:rsidRPr="006D6809" w:rsidRDefault="00676326" w:rsidP="006D6809">
      <w:pPr>
        <w:pBdr>
          <w:top w:val="nil"/>
          <w:left w:val="nil"/>
          <w:bottom w:val="nil"/>
          <w:right w:val="nil"/>
          <w:between w:val="nil"/>
        </w:pBdr>
        <w:ind w:left="720"/>
      </w:pPr>
    </w:p>
    <w:p w:rsidR="00676326" w:rsidRPr="006D6809" w:rsidRDefault="00173EC0" w:rsidP="006D6809">
      <w:pPr>
        <w:pBdr>
          <w:top w:val="nil"/>
          <w:left w:val="nil"/>
          <w:bottom w:val="nil"/>
          <w:right w:val="nil"/>
          <w:between w:val="nil"/>
        </w:pBdr>
      </w:pPr>
      <w:r w:rsidRPr="006D6809">
        <w:t xml:space="preserve">En consecuencia, este tipo de deducciones son fruto de decisiones que impactan en el patrimonio de un servidor público con la finalidad de obtener un beneficio conforme a la decisión de un trabajador, </w:t>
      </w:r>
      <w:r w:rsidRPr="006D6809">
        <w:rPr>
          <w:b/>
        </w:rPr>
        <w:t xml:space="preserve">mismas que no implican la entrega de recursos con cargo al erario, y tampoco reflejan el ejercicio de una prestación; por el contrario, en dichos casos se trata del libre ejercicio del servidor público para disponer de un ingreso que forma parte de su patrimonio. </w:t>
      </w:r>
      <w:r w:rsidRPr="006D6809">
        <w:t xml:space="preserve"> Así, dichas deducciones reflejan el destino que un servidor público da a su patrimonio, lo que se aleja de la transparencia y rendición de cuentas, por tanto, se deben de clasificar como confidenciales.</w:t>
      </w:r>
    </w:p>
    <w:p w:rsidR="00676326" w:rsidRPr="006D6809" w:rsidRDefault="00676326" w:rsidP="006D6809"/>
    <w:p w:rsidR="00676326" w:rsidRPr="006D6809" w:rsidRDefault="00173EC0" w:rsidP="006D6809">
      <w:r w:rsidRPr="006D6809">
        <w:t xml:space="preserve">Derivado de lo anterior, la ley establece claramente cuáles son esos descuentos o gravámenes que directamente se relacionan con las obligaciones adquiridas como servidores públicos y aquéllos que </w:t>
      </w:r>
      <w:r w:rsidRPr="006D6809">
        <w:rPr>
          <w:b/>
        </w:rPr>
        <w:t>únicamente inciden en su vida privada</w:t>
      </w:r>
      <w:r w:rsidRPr="006D6809">
        <w:t>. De este modo, descuentos por pensiones alimenticias o créditos adquiridos con instituciones privadas o públicas pero que fueron contraídas en forma individual, son información que debe clasificarse como confidencial.</w:t>
      </w:r>
    </w:p>
    <w:p w:rsidR="00676326" w:rsidRPr="006D6809" w:rsidRDefault="00676326" w:rsidP="006D6809"/>
    <w:p w:rsidR="00676326" w:rsidRPr="006D6809" w:rsidRDefault="00173EC0" w:rsidP="006D6809">
      <w:pPr>
        <w:numPr>
          <w:ilvl w:val="0"/>
          <w:numId w:val="1"/>
        </w:numPr>
        <w:rPr>
          <w:b/>
        </w:rPr>
      </w:pPr>
      <w:r w:rsidRPr="006D6809">
        <w:rPr>
          <w:b/>
        </w:rPr>
        <w:t>Nombre de institución bancaria utilizada por el servidor público.</w:t>
      </w:r>
    </w:p>
    <w:p w:rsidR="00676326" w:rsidRPr="006D6809" w:rsidRDefault="00676326" w:rsidP="006D6809">
      <w:pPr>
        <w:ind w:left="720"/>
        <w:rPr>
          <w:b/>
        </w:rPr>
      </w:pPr>
    </w:p>
    <w:p w:rsidR="00676326" w:rsidRPr="006D6809" w:rsidRDefault="00173EC0" w:rsidP="006D6809">
      <w:r w:rsidRPr="006D6809">
        <w:t xml:space="preserve">En principio, es necesario señalar que conforme al artículo 2°, fracción IV de la Ley de Protección y Defensa al Usuario de Servicios Financieros, establece que una institución financiera, se le denomina a las sociedades controladoras, instituciones de crédito, sociedades financieras de objeto múltiple, sociedades de información crediticia, casas de bolsa, especialistas bursátiles, fondos de inversión, almacenes generales de depósito, uniones de </w:t>
      </w:r>
      <w:r w:rsidRPr="006D6809">
        <w:lastRenderedPageBreak/>
        <w:t>crédito, casas de cambio, instituciones de seguros, sociedades mutualistas de seguros, instituciones de fianzas, administradoras de fondos para el retiro, PENSIONISSSTE, empresas operadoras de la base de datos nacional del sistema de ahorro para el retiro, Instituto del Fondo Nacional para el Consumo de los Trabajadores, sociedades cooperativas de ahorro y préstamo, sociedades financieras populares, sociedades financieras comunitarias, y cualquiera otra sociedad que requiera de la autorización de la Secretaría de Hacienda y Crédito Público o de cualesquiera de las Comisiones Nacionales para constituirse y funcionar como tales y ofrecer un producto o servicio financiero a los usuarios. </w:t>
      </w:r>
    </w:p>
    <w:p w:rsidR="00676326" w:rsidRPr="006D6809" w:rsidRDefault="00676326" w:rsidP="006D6809"/>
    <w:p w:rsidR="00676326" w:rsidRPr="006D6809" w:rsidRDefault="00173EC0" w:rsidP="006D6809">
      <w:r w:rsidRPr="006D6809">
        <w:t xml:space="preserve">En ese orden de ideas, en el portal de la Comisión Nacional para la Protección y Defensa de los Usuarios de Servicios Financieros, en </w:t>
      </w:r>
      <w:hyperlink r:id="rId21">
        <w:r w:rsidRPr="006D6809">
          <w:t>https://www.condusef.gob.mx/Revista/index.php/usuario-inteligente/condusef-responde/777-la-condusef-te-puede-ayudar</w:t>
        </w:r>
      </w:hyperlink>
      <w:r w:rsidRPr="006D6809">
        <w:t>), se establece que los bancos son instituciones financieras; conforme a lo anterior, se puede advertir que las instituciones bancarias, son personas morales.</w:t>
      </w:r>
    </w:p>
    <w:p w:rsidR="00676326" w:rsidRPr="006D6809" w:rsidRDefault="00676326" w:rsidP="006D6809"/>
    <w:p w:rsidR="00676326" w:rsidRPr="006D6809" w:rsidRDefault="00173EC0" w:rsidP="006D6809">
      <w:r w:rsidRPr="006D6809">
        <w:t xml:space="preserve">Por lo tanto, se considera que la denominación o razón social de una persona moral, es pública, pues dichos datos se encuentran inscritos en el Registro Público del Comercio; lo anterior, se robustece con el hecho de que existe el Sistema de Registro de Prestadores de Servicios Financieros, a las trece horas, en la liga </w:t>
      </w:r>
      <w:hyperlink r:id="rId22">
        <w:r w:rsidRPr="006D6809">
          <w:rPr>
            <w:u w:val="single"/>
          </w:rPr>
          <w:t>https://webapps.condusef.gob.mx/SIPRES/jsp/pub/index.jsp</w:t>
        </w:r>
      </w:hyperlink>
      <w:r w:rsidRPr="006D6809">
        <w:t xml:space="preserve">  que es un registro de carácter público, cuyo objetivo principal, consiste en proporcionar información corporativa y general de las instituciones financieras; además, que permite conocer al público general, información de dichos entes, se muestra un ejemplo a continuación: </w:t>
      </w:r>
    </w:p>
    <w:p w:rsidR="00676326" w:rsidRPr="006D6809" w:rsidRDefault="00676326" w:rsidP="006D6809"/>
    <w:p w:rsidR="00676326" w:rsidRPr="006D6809" w:rsidRDefault="00173EC0" w:rsidP="006D6809">
      <w:pPr>
        <w:jc w:val="center"/>
      </w:pPr>
      <w:r w:rsidRPr="006D6809">
        <w:rPr>
          <w:noProof/>
        </w:rPr>
        <w:lastRenderedPageBreak/>
        <w:drawing>
          <wp:inline distT="0" distB="0" distL="0" distR="0">
            <wp:extent cx="5295900" cy="1295400"/>
            <wp:effectExtent l="0" t="0" r="0" b="0"/>
            <wp:docPr id="2140131851" name="image8.png" descr="Imagen que contiene Escala de tiem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8.png" descr="Imagen que contiene Escala de tiempo&#10;&#10;Descripción generada automáticamente"/>
                    <pic:cNvPicPr preferRelativeResize="0"/>
                  </pic:nvPicPr>
                  <pic:blipFill>
                    <a:blip r:embed="rId23"/>
                    <a:srcRect t="1" b="52956"/>
                    <a:stretch>
                      <a:fillRect/>
                    </a:stretch>
                  </pic:blipFill>
                  <pic:spPr>
                    <a:xfrm>
                      <a:off x="0" y="0"/>
                      <a:ext cx="5295900" cy="1295400"/>
                    </a:xfrm>
                    <a:prstGeom prst="rect">
                      <a:avLst/>
                    </a:prstGeom>
                    <a:ln/>
                  </pic:spPr>
                </pic:pic>
              </a:graphicData>
            </a:graphic>
          </wp:inline>
        </w:drawing>
      </w:r>
    </w:p>
    <w:p w:rsidR="00676326" w:rsidRPr="006D6809" w:rsidRDefault="00676326" w:rsidP="006D6809"/>
    <w:p w:rsidR="00676326" w:rsidRPr="006D6809" w:rsidRDefault="00173EC0" w:rsidP="006D6809">
      <w:pPr>
        <w:ind w:right="-28"/>
      </w:pPr>
      <w:r w:rsidRPr="006D6809">
        <w:t>Conforme a lo anterior, se logra vislumbrar que el nombre de las instituciones bancarias es de naturaleza pública.</w:t>
      </w:r>
    </w:p>
    <w:p w:rsidR="00676326" w:rsidRPr="006D6809" w:rsidRDefault="00676326" w:rsidP="006D6809">
      <w:pPr>
        <w:rPr>
          <w:b/>
        </w:rPr>
      </w:pPr>
    </w:p>
    <w:p w:rsidR="00676326" w:rsidRPr="006D6809" w:rsidRDefault="00173EC0" w:rsidP="006D6809">
      <w:pPr>
        <w:numPr>
          <w:ilvl w:val="0"/>
          <w:numId w:val="1"/>
        </w:numPr>
        <w:rPr>
          <w:b/>
        </w:rPr>
      </w:pPr>
      <w:r w:rsidRPr="006D6809">
        <w:rPr>
          <w:b/>
        </w:rPr>
        <w:t>Cuenta bancaria.</w:t>
      </w:r>
    </w:p>
    <w:p w:rsidR="00676326" w:rsidRPr="006D6809" w:rsidRDefault="00676326" w:rsidP="006D6809">
      <w:pPr>
        <w:rPr>
          <w:b/>
        </w:rPr>
      </w:pPr>
    </w:p>
    <w:p w:rsidR="00676326" w:rsidRPr="006D6809" w:rsidRDefault="00173EC0" w:rsidP="006D6809">
      <w:pPr>
        <w:ind w:right="-28"/>
      </w:pPr>
      <w:r w:rsidRPr="006D6809">
        <w:t>Al respecto, se estima que dicho dato se relaciona con hechos y actos de carácter económico, pues los mismos darían cuenta, de la relación que tiene una institución financiero con un servidor público, en su carácter de particular; además, que con dicha información se podría obtener los recursos enviados a las órdenes de cargo, pago de nómina o a las transferencias electrónicas de fondos interbancarios, entre otros movimientos que sean utilizados exclusivamente en la cuenta señalada por el cliente y por lo tanto, los datos bancarios corresponden a información que se encuentra relacionada con el patrimonio de la persona titular de la cuenta.</w:t>
      </w:r>
    </w:p>
    <w:p w:rsidR="00676326" w:rsidRPr="006D6809" w:rsidRDefault="00173EC0" w:rsidP="006D6809">
      <w:pPr>
        <w:ind w:right="-28"/>
      </w:pPr>
      <w:r w:rsidRPr="006D6809">
        <w:t> </w:t>
      </w:r>
    </w:p>
    <w:p w:rsidR="00676326" w:rsidRPr="006D6809" w:rsidRDefault="00173EC0" w:rsidP="006D6809">
      <w:pPr>
        <w:ind w:right="-28"/>
      </w:pPr>
      <w:r w:rsidRPr="006D6809">
        <w:t>A mayor abundamiento, resulta necesario traer a colación el Criterio SO/010/2017, emitido por el entonces Instituto Nacional de Transparencia, Acceso a la Información y Protección de Datos Personales, mismo que establece lo siguiente:</w:t>
      </w:r>
    </w:p>
    <w:p w:rsidR="00676326" w:rsidRPr="006D6809" w:rsidRDefault="00676326" w:rsidP="006D6809"/>
    <w:p w:rsidR="00676326" w:rsidRPr="006D6809" w:rsidRDefault="00173EC0" w:rsidP="006D6809">
      <w:pPr>
        <w:pStyle w:val="Puesto"/>
        <w:ind w:firstLine="0"/>
        <w:rPr>
          <w:color w:val="auto"/>
        </w:rPr>
      </w:pPr>
      <w:r w:rsidRPr="006D6809">
        <w:rPr>
          <w:color w:val="auto"/>
        </w:rPr>
        <w:t>“</w:t>
      </w:r>
      <w:r w:rsidRPr="006D6809">
        <w:rPr>
          <w:b/>
          <w:color w:val="auto"/>
        </w:rPr>
        <w:t>Cuentas bancarias y/o CLABE interbancaria de personas físicas y morales privadas.</w:t>
      </w:r>
      <w:r w:rsidRPr="006D6809">
        <w:rPr>
          <w:color w:val="auto"/>
        </w:rPr>
        <w:t xml:space="preserve"> El número de cuenta bancaria y/o CLABE interbancaria de particulares es información confidencial, al tratarse de un conjunto de caracteres numéricos utilizados por </w:t>
      </w:r>
      <w:r w:rsidRPr="006D6809">
        <w:rPr>
          <w:color w:val="auto"/>
        </w:rPr>
        <w:lastRenderedPageBreak/>
        <w:t>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rsidR="00676326" w:rsidRPr="006D6809" w:rsidRDefault="00676326" w:rsidP="006D6809"/>
    <w:p w:rsidR="00676326" w:rsidRPr="006D6809" w:rsidRDefault="00173EC0" w:rsidP="006D6809">
      <w:pPr>
        <w:ind w:right="113"/>
      </w:pPr>
      <w:r w:rsidRPr="006D6809">
        <w:t>Por lo cual, se puede colegir que dichos datos no guardan relación con el servicio público ni con los recursos públicos, pues sólo corresponde a información, que le atañe a la institución financiera y al cliente;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rsidR="00676326" w:rsidRPr="006D6809" w:rsidRDefault="00676326" w:rsidP="006D6809">
      <w:pPr>
        <w:rPr>
          <w:b/>
        </w:rPr>
      </w:pPr>
    </w:p>
    <w:p w:rsidR="00676326" w:rsidRPr="006D6809" w:rsidRDefault="00173EC0" w:rsidP="006D6809">
      <w:pPr>
        <w:spacing w:before="240" w:after="240"/>
      </w:pPr>
      <w:r w:rsidRPr="006D6809">
        <w:t xml:space="preserve">Respecto de los </w:t>
      </w:r>
      <w:r w:rsidRPr="006D6809">
        <w:rPr>
          <w:b/>
        </w:rPr>
        <w:t>números de cuentas bancari</w:t>
      </w:r>
      <w:r w:rsidRPr="006D6809">
        <w:t xml:space="preserve">as, </w:t>
      </w:r>
      <w:r w:rsidRPr="006D6809">
        <w:rPr>
          <w:b/>
        </w:rPr>
        <w:t>claves estandarizadas –interbancarias- (CLABES) y de tarjetas</w:t>
      </w:r>
      <w:r w:rsidRPr="006D6809">
        <w:t>, el Pleno de este Instituto ha determinado que esa información debe clasificarse como confidencial, y elaborar una versión pública en la que se teste la misma.</w:t>
      </w:r>
    </w:p>
    <w:p w:rsidR="00676326" w:rsidRPr="006D6809" w:rsidRDefault="00173EC0" w:rsidP="006D6809">
      <w:pPr>
        <w:spacing w:before="240" w:after="240"/>
      </w:pPr>
      <w:r w:rsidRPr="006D6809">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rsidR="00676326" w:rsidRPr="006D6809" w:rsidRDefault="00173EC0" w:rsidP="006D6809">
      <w:pPr>
        <w:spacing w:before="240" w:after="240"/>
      </w:pPr>
      <w:r w:rsidRPr="006D6809">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rsidR="00676326" w:rsidRPr="006D6809" w:rsidRDefault="00173EC0" w:rsidP="006D6809">
      <w:pPr>
        <w:pBdr>
          <w:top w:val="nil"/>
          <w:left w:val="nil"/>
          <w:bottom w:val="nil"/>
          <w:right w:val="nil"/>
          <w:between w:val="nil"/>
        </w:pBdr>
        <w:spacing w:before="240" w:after="240"/>
      </w:pPr>
      <w:r w:rsidRPr="006D6809">
        <w:lastRenderedPageBreak/>
        <w:t xml:space="preserve">En esa virtud, este Pleno determina que dicha información no puede ser del dominio público, toda vez que se podría dar un uso inadecuado a la misma o cometer algún ilícito o fraude como ya ha sido expuesto. </w:t>
      </w:r>
    </w:p>
    <w:p w:rsidR="00676326" w:rsidRPr="006D6809" w:rsidRDefault="00173EC0" w:rsidP="006D6809">
      <w:pPr>
        <w:spacing w:before="240" w:after="240"/>
      </w:pPr>
      <w:r w:rsidRPr="006D6809">
        <w:t>Lo anterior no es así tratándose de las cuentas bancarias o claves interbancarias de los Sujetos Obligados ya que su publicidad cede a la rendición de cuentas al transparentar la forma en que son administrados los recursos públicos.</w:t>
      </w:r>
    </w:p>
    <w:p w:rsidR="00676326" w:rsidRPr="006D6809" w:rsidRDefault="00173EC0" w:rsidP="006D6809">
      <w:pPr>
        <w:spacing w:before="240" w:after="240"/>
      </w:pPr>
      <w:r w:rsidRPr="006D6809">
        <w:t xml:space="preserve">Lo argumentado encuentra sustento en los Criterios </w:t>
      </w:r>
      <w:r w:rsidR="00803699" w:rsidRPr="006D6809">
        <w:t xml:space="preserve">orientadores </w:t>
      </w:r>
      <w:r w:rsidRPr="006D6809">
        <w:t>de interpretación con clave de control SO/010/2017 y SO/011/2017, emitidos por el entonces Instituto Nacional de Transparencia, Acceso a la Información y Protección de Datos Personales, INAI, que llevan por rubro y texto los siguientes:</w:t>
      </w:r>
    </w:p>
    <w:p w:rsidR="00676326" w:rsidRPr="006D6809" w:rsidRDefault="00173EC0" w:rsidP="006D6809">
      <w:pPr>
        <w:pStyle w:val="Puesto"/>
        <w:ind w:firstLine="0"/>
        <w:rPr>
          <w:color w:val="auto"/>
        </w:rPr>
      </w:pPr>
      <w:r w:rsidRPr="006D6809">
        <w:rPr>
          <w:color w:val="auto"/>
        </w:rPr>
        <w:t>“</w:t>
      </w:r>
      <w:r w:rsidRPr="006D6809">
        <w:rPr>
          <w:b/>
          <w:color w:val="auto"/>
        </w:rPr>
        <w:t>Cuentas bancarias y/o CLABE interbancaria de personas físicas y morales privadas.</w:t>
      </w:r>
      <w:r w:rsidRPr="006D6809">
        <w:rPr>
          <w:color w:val="auto"/>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rsidR="00676326" w:rsidRPr="006D6809" w:rsidRDefault="00676326" w:rsidP="006D6809"/>
    <w:p w:rsidR="00676326" w:rsidRPr="006D6809" w:rsidRDefault="00173EC0" w:rsidP="006D6809">
      <w:pPr>
        <w:pStyle w:val="Puesto"/>
        <w:ind w:firstLine="0"/>
        <w:rPr>
          <w:color w:val="auto"/>
        </w:rPr>
      </w:pPr>
      <w:r w:rsidRPr="006D6809">
        <w:rPr>
          <w:color w:val="auto"/>
        </w:rPr>
        <w:t>“Cuentas bancarias y/o CLABE interbancaria de sujetos obligados que reciben y/o transfieren recursos públicos, son información pública.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rsidR="00676326" w:rsidRPr="006D6809" w:rsidRDefault="00676326" w:rsidP="006D6809">
      <w:pPr>
        <w:spacing w:before="240" w:after="240"/>
      </w:pPr>
    </w:p>
    <w:p w:rsidR="00676326" w:rsidRPr="006D6809" w:rsidRDefault="00173EC0" w:rsidP="006D6809">
      <w:pPr>
        <w:numPr>
          <w:ilvl w:val="0"/>
          <w:numId w:val="1"/>
        </w:numPr>
        <w:rPr>
          <w:b/>
        </w:rPr>
      </w:pPr>
      <w:r w:rsidRPr="006D6809">
        <w:rPr>
          <w:b/>
        </w:rPr>
        <w:t xml:space="preserve">Número de empleado </w:t>
      </w:r>
    </w:p>
    <w:p w:rsidR="00676326" w:rsidRPr="006D6809" w:rsidRDefault="00676326" w:rsidP="006D6809">
      <w:pPr>
        <w:spacing w:before="240" w:after="240"/>
      </w:pPr>
    </w:p>
    <w:p w:rsidR="00676326" w:rsidRPr="006D6809" w:rsidRDefault="00173EC0" w:rsidP="006D6809">
      <w:pPr>
        <w:spacing w:before="240" w:after="240"/>
      </w:pPr>
      <w:r w:rsidRPr="006D6809">
        <w:lastRenderedPageBreak/>
        <w:t>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r w:rsidRPr="006D6809">
        <w:rPr>
          <w:vertAlign w:val="superscript"/>
        </w:rPr>
        <w:footnoteReference w:id="2"/>
      </w:r>
      <w:r w:rsidRPr="006D6809">
        <w:t>.</w:t>
      </w:r>
    </w:p>
    <w:p w:rsidR="00676326" w:rsidRPr="006D6809" w:rsidRDefault="00173EC0" w:rsidP="006D6809">
      <w:pPr>
        <w:spacing w:before="240" w:after="240"/>
      </w:pPr>
      <w:r w:rsidRPr="006D6809">
        <w:t xml:space="preserve">Bajo esos argumentos, se entendería que la información relativa al número de empleado constituye información confidencial al tratarse de un número de identificación personal a través del cual se puede consultar la situación laboral personal, empero el Pleno del entonces Instituto Nacional de Transparencia, Acceso a la Información, y Protección de Datos Personales, INAI  se ha pronunciado sobre su publicidad, a través del Criterio </w:t>
      </w:r>
      <w:r w:rsidR="00803699" w:rsidRPr="006D6809">
        <w:t xml:space="preserve">orientador </w:t>
      </w:r>
      <w:r w:rsidRPr="006D6809">
        <w:t>de interpretación con Clave de control SO/006/2019, que indica lo siguiente:</w:t>
      </w:r>
    </w:p>
    <w:p w:rsidR="00676326" w:rsidRPr="006D6809" w:rsidRDefault="00173EC0" w:rsidP="006D6809">
      <w:pPr>
        <w:pStyle w:val="Puesto"/>
        <w:ind w:firstLine="0"/>
        <w:rPr>
          <w:color w:val="auto"/>
        </w:rPr>
      </w:pPr>
      <w:r w:rsidRPr="006D6809">
        <w:rPr>
          <w:b/>
          <w:color w:val="auto"/>
        </w:rPr>
        <w:t xml:space="preserve">“Número de empleado. </w:t>
      </w:r>
      <w:r w:rsidRPr="006D6809">
        <w:rPr>
          <w:color w:val="auto"/>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rsidR="00676326" w:rsidRPr="006D6809" w:rsidRDefault="00173EC0" w:rsidP="006D6809">
      <w:pPr>
        <w:spacing w:before="240" w:after="240"/>
      </w:pPr>
      <w:r w:rsidRPr="006D6809">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w:t>
      </w:r>
      <w:r w:rsidRPr="006D6809">
        <w:rPr>
          <w:b/>
        </w:rPr>
        <w:t>Sujeto Obligado</w:t>
      </w:r>
      <w:r w:rsidRPr="006D6809">
        <w:t xml:space="preserve"> deberá acatar lo establecido y de ser procedente, entregará el número de empleado o equivalente de los servidores </w:t>
      </w:r>
      <w:r w:rsidRPr="006D6809">
        <w:lastRenderedPageBreak/>
        <w:t>públicos materia de la solicitud, o en su caso, los clasificará como información confidencial, a través del Acuerdo emitido por su Comité de Transparencia conforme a la Ley de la Materia.</w:t>
      </w:r>
    </w:p>
    <w:p w:rsidR="00676326" w:rsidRPr="006D6809" w:rsidRDefault="00173EC0" w:rsidP="006D6809">
      <w:r w:rsidRPr="006D6809">
        <w:t xml:space="preserve">Por otro lado, no escapa de la óptica de este Instituto que dentro de la información que se ordena se puede encontrar </w:t>
      </w:r>
      <w:r w:rsidRPr="006D6809">
        <w:rPr>
          <w:b/>
          <w:u w:val="single"/>
        </w:rPr>
        <w:t>información relativa a los elementos operativos del cuerpo de seguridad pública,</w:t>
      </w:r>
      <w:r w:rsidRPr="006D6809">
        <w:t xml:space="preserve"> los cuales es criterio del pleno de este Organismo que el nombre de estos servidores públicos encuadra en una excepción y por tanto debe ser objeto de un proceso de </w:t>
      </w:r>
      <w:r w:rsidRPr="006D6809">
        <w:rPr>
          <w:b/>
          <w:u w:val="single"/>
        </w:rPr>
        <w:t>reserva de la información</w:t>
      </w:r>
      <w:r w:rsidRPr="006D6809">
        <w:t>, para no hacer identificable al titular de tal dato personal.</w:t>
      </w:r>
    </w:p>
    <w:p w:rsidR="00676326" w:rsidRPr="006D6809" w:rsidRDefault="00676326" w:rsidP="006D6809">
      <w:pPr>
        <w:ind w:right="-93"/>
      </w:pPr>
    </w:p>
    <w:p w:rsidR="00676326" w:rsidRPr="006D6809" w:rsidRDefault="00173EC0" w:rsidP="006D6809">
      <w:r w:rsidRPr="006D6809">
        <w:t>Ello, conforme al propio concepto de versión pública contenido en el artículo 3, fracción XXIV, de la multicitada Ley se define como:</w:t>
      </w:r>
    </w:p>
    <w:p w:rsidR="00676326" w:rsidRPr="006D6809" w:rsidRDefault="00676326" w:rsidP="006D6809"/>
    <w:p w:rsidR="00676326" w:rsidRPr="006D6809" w:rsidRDefault="00173EC0" w:rsidP="006D6809">
      <w:pPr>
        <w:spacing w:line="240" w:lineRule="auto"/>
        <w:ind w:left="851" w:right="899"/>
        <w:rPr>
          <w:i/>
        </w:rPr>
      </w:pPr>
      <w:r w:rsidRPr="006D6809">
        <w:rPr>
          <w:i/>
        </w:rPr>
        <w:t>“</w:t>
      </w:r>
      <w:r w:rsidRPr="006D6809">
        <w:rPr>
          <w:b/>
          <w:i/>
        </w:rPr>
        <w:t>XXIV</w:t>
      </w:r>
      <w:r w:rsidRPr="006D6809">
        <w:rPr>
          <w:i/>
        </w:rPr>
        <w:t xml:space="preserve">. </w:t>
      </w:r>
      <w:r w:rsidRPr="006D6809">
        <w:rPr>
          <w:b/>
          <w:i/>
        </w:rPr>
        <w:t>Información reservada:</w:t>
      </w:r>
      <w:r w:rsidRPr="006D6809">
        <w:rPr>
          <w:i/>
        </w:rPr>
        <w:t xml:space="preserve"> La clasificada con este carácter de manera temporal por las disposiciones de esta Ley, cuya divulgación puede causar daño en términos de lo establecido por esta Ley;”</w:t>
      </w:r>
    </w:p>
    <w:p w:rsidR="00676326" w:rsidRPr="006D6809" w:rsidRDefault="00676326" w:rsidP="006D6809"/>
    <w:p w:rsidR="00676326" w:rsidRPr="006D6809" w:rsidRDefault="00173EC0" w:rsidP="006D6809">
      <w:r w:rsidRPr="006D6809">
        <w:t xml:space="preserve">No obstante que si bien, por regla general 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w:t>
      </w:r>
      <w:r w:rsidRPr="006D6809">
        <w:rPr>
          <w:b/>
        </w:rPr>
        <w:t>elementos de seguridad pública, la elaboración de versiones públicas pudiera variar, eliminando información adicional, siempre y cuando se demuestre que pueda poner en riesgo la vida e integridad física con motivo de las funciones de servidores públicos</w:t>
      </w:r>
      <w:r w:rsidRPr="006D6809">
        <w:t>.</w:t>
      </w:r>
    </w:p>
    <w:p w:rsidR="00676326" w:rsidRPr="006D6809" w:rsidRDefault="00676326" w:rsidP="006D6809"/>
    <w:p w:rsidR="00676326" w:rsidRPr="006D6809" w:rsidRDefault="00173EC0" w:rsidP="006D6809">
      <w:r w:rsidRPr="006D6809">
        <w:t xml:space="preserve">Esto es así, ya que el artículo 81, fracción III, de la Ley de Seguridad del Estado de México, establece lo siguiente: </w:t>
      </w:r>
    </w:p>
    <w:p w:rsidR="00676326" w:rsidRPr="006D6809" w:rsidRDefault="00676326" w:rsidP="006D6809"/>
    <w:p w:rsidR="00676326" w:rsidRPr="006D6809" w:rsidRDefault="00173EC0" w:rsidP="006D6809">
      <w:pPr>
        <w:pStyle w:val="Puesto"/>
        <w:ind w:firstLine="0"/>
        <w:rPr>
          <w:color w:val="auto"/>
        </w:rPr>
      </w:pPr>
      <w:r w:rsidRPr="006D6809">
        <w:rPr>
          <w:color w:val="auto"/>
        </w:rPr>
        <w:t>“</w:t>
      </w:r>
      <w:r w:rsidRPr="006D6809">
        <w:rPr>
          <w:b/>
          <w:color w:val="auto"/>
        </w:rPr>
        <w:t>Artículo 81.-</w:t>
      </w:r>
      <w:r w:rsidRPr="006D6809">
        <w:rPr>
          <w:color w:val="auto"/>
        </w:rPr>
        <w:t xml:space="preserve"> </w:t>
      </w:r>
      <w:r w:rsidRPr="006D6809">
        <w:rPr>
          <w:b/>
          <w:color w:val="auto"/>
        </w:rPr>
        <w:t>Toda información para la seguridad pública</w:t>
      </w:r>
      <w:r w:rsidRPr="006D6809">
        <w:rPr>
          <w:color w:val="auto"/>
        </w:rPr>
        <w:t xml:space="preserve"> generada o en poder de Instituciones de Seguridad Pública o de cualquier instancia del Sistema Estatal </w:t>
      </w:r>
      <w:r w:rsidRPr="006D6809">
        <w:rPr>
          <w:color w:val="auto"/>
          <w:u w:val="single"/>
        </w:rPr>
        <w:t>debe</w:t>
      </w:r>
      <w:r w:rsidRPr="006D6809">
        <w:rPr>
          <w:color w:val="auto"/>
        </w:rPr>
        <w:t xml:space="preserve"> registrarse, </w:t>
      </w:r>
      <w:r w:rsidRPr="006D6809">
        <w:rPr>
          <w:color w:val="auto"/>
          <w:u w:val="single"/>
        </w:rPr>
        <w:t>clasificarse</w:t>
      </w:r>
      <w:r w:rsidRPr="006D6809">
        <w:rPr>
          <w:color w:val="auto"/>
        </w:rPr>
        <w:t xml:space="preserve"> y tratarse de conformidad con las disposiciones aplicables. No obstante lo anterior, esta información se considerará reservada en los casos siguientes:</w:t>
      </w:r>
    </w:p>
    <w:p w:rsidR="00676326" w:rsidRPr="006D6809" w:rsidRDefault="00173EC0" w:rsidP="006D6809">
      <w:pPr>
        <w:pStyle w:val="Puesto"/>
        <w:ind w:firstLine="0"/>
        <w:rPr>
          <w:color w:val="auto"/>
        </w:rPr>
      </w:pPr>
      <w:r w:rsidRPr="006D6809">
        <w:rPr>
          <w:color w:val="auto"/>
        </w:rPr>
        <w:t>(…)</w:t>
      </w:r>
    </w:p>
    <w:p w:rsidR="00676326" w:rsidRPr="006D6809" w:rsidRDefault="00173EC0" w:rsidP="006D6809">
      <w:pPr>
        <w:pStyle w:val="Puesto"/>
        <w:ind w:firstLine="0"/>
        <w:rPr>
          <w:b/>
          <w:color w:val="auto"/>
        </w:rPr>
      </w:pPr>
      <w:r w:rsidRPr="006D6809">
        <w:rPr>
          <w:b/>
          <w:color w:val="auto"/>
        </w:rPr>
        <w:t>III</w:t>
      </w:r>
      <w:r w:rsidRPr="006D6809">
        <w:rPr>
          <w:color w:val="auto"/>
        </w:rPr>
        <w:t xml:space="preserve">. </w:t>
      </w:r>
      <w:r w:rsidRPr="006D6809">
        <w:rPr>
          <w:b/>
          <w:color w:val="auto"/>
        </w:rPr>
        <w:t>La relativa a servidores públicos miembros de las instituciones de seguridad pública, cuya revelación pueda poner en riesgo su vida e integridad física con motivo de sus funciones;”</w:t>
      </w:r>
    </w:p>
    <w:p w:rsidR="00676326" w:rsidRPr="006D6809" w:rsidRDefault="00676326" w:rsidP="006D6809"/>
    <w:p w:rsidR="00676326" w:rsidRPr="006D6809" w:rsidRDefault="00173EC0" w:rsidP="006D6809">
      <w:r w:rsidRPr="006D6809">
        <w:t xml:space="preserve">Por tanto, </w:t>
      </w:r>
      <w:r w:rsidRPr="006D6809">
        <w:rPr>
          <w:b/>
        </w:rPr>
        <w:t>EL SUJETO OBLIGADO</w:t>
      </w:r>
      <w:r w:rsidRPr="006D6809">
        <w:t xml:space="preserve"> deberá clasificar dicha información, justificando de manera fundada y motivada las circunstancias por las cuales se podría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rsidR="00676326" w:rsidRPr="006D6809" w:rsidRDefault="00676326" w:rsidP="006D6809"/>
    <w:p w:rsidR="00676326" w:rsidRPr="006D6809" w:rsidRDefault="00173EC0" w:rsidP="006D6809">
      <w:r w:rsidRPr="006D6809">
        <w:t>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rsidR="00676326" w:rsidRPr="006D6809" w:rsidRDefault="00676326" w:rsidP="006D6809"/>
    <w:p w:rsidR="00676326" w:rsidRPr="006D6809" w:rsidRDefault="00173EC0" w:rsidP="006D6809">
      <w:r w:rsidRPr="006D6809">
        <w:t xml:space="preserve">Es importante mencionar que la causal de reserva antes señalada, puede ubicarse en los supuestos previstos por los artículos 140, fracción IV, de la Ley de Transparencia y  Acceso a </w:t>
      </w:r>
      <w:r w:rsidRPr="006D6809">
        <w:lastRenderedPageBreak/>
        <w:t>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rsidR="00676326" w:rsidRPr="006D6809" w:rsidRDefault="00676326" w:rsidP="006D6809"/>
    <w:p w:rsidR="00676326" w:rsidRPr="006D6809" w:rsidRDefault="00173EC0" w:rsidP="006D6809">
      <w:r w:rsidRPr="006D6809">
        <w:t xml:space="preserve">Resulta alusivo por analogía el criterio </w:t>
      </w:r>
      <w:r w:rsidR="00803699" w:rsidRPr="006D6809">
        <w:t xml:space="preserve">orientador </w:t>
      </w:r>
      <w:r w:rsidRPr="006D6809">
        <w:t>06-09 emitido por el entonces Instituto Federal de Acceso a la Información (IFAI), ahora Instituto Nacional de Transparencia, Acceso a la Información y Protección de Datos Personales (INAI) que a la letra dice:</w:t>
      </w:r>
    </w:p>
    <w:p w:rsidR="00676326" w:rsidRPr="006D6809" w:rsidRDefault="00676326" w:rsidP="006D6809"/>
    <w:p w:rsidR="00676326" w:rsidRPr="006D6809" w:rsidRDefault="00173EC0" w:rsidP="006D6809">
      <w:pPr>
        <w:pStyle w:val="Puesto"/>
        <w:ind w:firstLine="0"/>
        <w:rPr>
          <w:color w:val="auto"/>
        </w:rPr>
      </w:pPr>
      <w:r w:rsidRPr="006D6809">
        <w:rPr>
          <w:color w:val="auto"/>
        </w:rPr>
        <w:t>“</w:t>
      </w:r>
      <w:r w:rsidRPr="006D6809">
        <w:rPr>
          <w:b/>
          <w:color w:val="auto"/>
        </w:rPr>
        <w:t>Nombres de servidores públicos dedicados a actividades en materia de seguridad, por excepción pueden considerarse información reservada</w:t>
      </w:r>
      <w:r w:rsidRPr="006D6809">
        <w:rPr>
          <w:color w:val="auto"/>
        </w:rPr>
        <w:t>.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rsidR="00676326" w:rsidRPr="006D6809" w:rsidRDefault="00676326" w:rsidP="006D6809">
      <w:pPr>
        <w:ind w:right="-93"/>
      </w:pPr>
    </w:p>
    <w:p w:rsidR="00676326" w:rsidRPr="006D6809" w:rsidRDefault="00173EC0" w:rsidP="006D6809">
      <w:pPr>
        <w:ind w:right="-93"/>
      </w:pPr>
      <w:r w:rsidRPr="006D6809">
        <w:t xml:space="preserve">De dicho criterio, se desprende que existen funciones a cargo de servidores públicos, tendientes a garantizar de manera directa la seguridad pública, a través de acciones preventivas y </w:t>
      </w:r>
      <w:r w:rsidRPr="006D6809">
        <w:lastRenderedPageBreak/>
        <w:t>correctivas, encaminadas a combatir a la delincuencia en sus diferentes manife</w:t>
      </w:r>
      <w:bookmarkStart w:id="29" w:name="_GoBack"/>
      <w:bookmarkEnd w:id="29"/>
      <w:r w:rsidRPr="006D6809">
        <w:t>staciones; por lo que, una forma en que la delincuencia puede llegar a poner en riesgo la seguridad del País, Estado y Municipio, anulando, impidiendo u obstaculizando la actuación de los servidores públicos que realizan funciones de carácter operativo.</w:t>
      </w:r>
    </w:p>
    <w:p w:rsidR="00676326" w:rsidRPr="006D6809" w:rsidRDefault="00676326" w:rsidP="006D6809">
      <w:pPr>
        <w:ind w:right="-93"/>
      </w:pPr>
    </w:p>
    <w:p w:rsidR="00676326" w:rsidRPr="006D6809" w:rsidRDefault="00173EC0" w:rsidP="006D6809">
      <w:pPr>
        <w:ind w:right="-93"/>
        <w:rPr>
          <w:b/>
          <w:u w:val="single"/>
        </w:rPr>
      </w:pPr>
      <w:r w:rsidRPr="006D6809">
        <w:t xml:space="preserve">En ese orden de ideas, </w:t>
      </w:r>
      <w:r w:rsidRPr="006D6809">
        <w:rPr>
          <w:b/>
          <w:u w:val="single"/>
        </w:rPr>
        <w:t>si bien por regla general los nombres de los trabajadores gubernamentales son información pública de oficio, existe una excepción relativa a aquellos que realicen actividades operativas en materia de seguridad, como es el caso de los elementos operativos y la policía municipal.</w:t>
      </w:r>
    </w:p>
    <w:p w:rsidR="00676326" w:rsidRPr="006D6809" w:rsidRDefault="00676326" w:rsidP="006D6809">
      <w:pPr>
        <w:ind w:right="-93"/>
      </w:pPr>
    </w:p>
    <w:p w:rsidR="00676326" w:rsidRPr="006D6809" w:rsidRDefault="00173EC0" w:rsidP="006D6809">
      <w:pPr>
        <w:ind w:right="-93"/>
      </w:pPr>
      <w:r w:rsidRPr="006D6809">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rsidR="00676326" w:rsidRPr="006D6809" w:rsidRDefault="00676326" w:rsidP="006D6809">
      <w:pPr>
        <w:ind w:right="-93"/>
      </w:pPr>
    </w:p>
    <w:p w:rsidR="00676326" w:rsidRPr="006D6809" w:rsidRDefault="00173EC0" w:rsidP="006D6809">
      <w:pPr>
        <w:ind w:right="-93"/>
      </w:pPr>
      <w:r w:rsidRPr="006D6809">
        <w:t>En ese contexto, el artículo 6, fracciones XI y XII de dicho ordenamiento jurídico, establece los siguientes conceptos:</w:t>
      </w:r>
    </w:p>
    <w:p w:rsidR="00676326" w:rsidRPr="006D6809" w:rsidRDefault="00676326" w:rsidP="006D6809">
      <w:pPr>
        <w:ind w:right="-93"/>
      </w:pPr>
    </w:p>
    <w:p w:rsidR="00676326" w:rsidRPr="006D6809" w:rsidRDefault="00173EC0" w:rsidP="006D6809">
      <w:pPr>
        <w:numPr>
          <w:ilvl w:val="0"/>
          <w:numId w:val="3"/>
        </w:numPr>
        <w:ind w:right="-93"/>
        <w:rPr>
          <w:b/>
        </w:rPr>
      </w:pPr>
      <w:r w:rsidRPr="006D6809">
        <w:rPr>
          <w:b/>
        </w:rPr>
        <w:t xml:space="preserve">Instituciones Policiales: </w:t>
      </w:r>
      <w:r w:rsidRPr="006D6809">
        <w:t xml:space="preserve">Son los cuerpos de policía, de vigilancia y custodia de los establecimientos penitenciarios, detención preventiva, centros de arraigo y en general, </w:t>
      </w:r>
      <w:r w:rsidRPr="006D6809">
        <w:rPr>
          <w:b/>
        </w:rPr>
        <w:t>todas las dependencias encargadas de la seguridad pública a nivel</w:t>
      </w:r>
      <w:r w:rsidRPr="006D6809">
        <w:t xml:space="preserve"> estatal y </w:t>
      </w:r>
      <w:r w:rsidRPr="006D6809">
        <w:rPr>
          <w:b/>
        </w:rPr>
        <w:t>municipal.</w:t>
      </w:r>
    </w:p>
    <w:p w:rsidR="00676326" w:rsidRPr="006D6809" w:rsidRDefault="00173EC0" w:rsidP="006D6809">
      <w:pPr>
        <w:numPr>
          <w:ilvl w:val="0"/>
          <w:numId w:val="3"/>
        </w:numPr>
        <w:ind w:right="-93"/>
        <w:rPr>
          <w:b/>
        </w:rPr>
      </w:pPr>
      <w:r w:rsidRPr="006D6809">
        <w:rPr>
          <w:b/>
        </w:rPr>
        <w:lastRenderedPageBreak/>
        <w:t xml:space="preserve">Instituciones de Seguridad Pública: </w:t>
      </w:r>
      <w:r w:rsidRPr="006D6809">
        <w:t xml:space="preserve">Instituciones Policiales, Procuración de Justicia, Sistema Penitenciario y </w:t>
      </w:r>
      <w:r w:rsidRPr="006D6809">
        <w:rPr>
          <w:b/>
        </w:rPr>
        <w:t xml:space="preserve">dependencias encargadas de la seguridad pública a nivel </w:t>
      </w:r>
      <w:r w:rsidRPr="006D6809">
        <w:t xml:space="preserve">estatal y </w:t>
      </w:r>
      <w:r w:rsidRPr="006D6809">
        <w:rPr>
          <w:b/>
        </w:rPr>
        <w:t>municipal.</w:t>
      </w:r>
    </w:p>
    <w:p w:rsidR="00676326" w:rsidRPr="006D6809" w:rsidRDefault="00676326" w:rsidP="006D6809">
      <w:pPr>
        <w:ind w:right="-93"/>
        <w:rPr>
          <w:b/>
        </w:rPr>
      </w:pPr>
    </w:p>
    <w:p w:rsidR="00676326" w:rsidRPr="006D6809" w:rsidRDefault="00173EC0" w:rsidP="006D6809">
      <w:pPr>
        <w:ind w:right="-93"/>
      </w:pPr>
      <w:r w:rsidRPr="006D6809">
        <w:t>Conforme a lo anterior, se puede deducir que el área Seguridad Pública tiene como atribución principal, la prevención de delitos y proteger a las personas, sus propiedades, posesiones y derechos</w:t>
      </w:r>
    </w:p>
    <w:p w:rsidR="00676326" w:rsidRPr="006D6809" w:rsidRDefault="00676326" w:rsidP="006D6809">
      <w:pPr>
        <w:ind w:right="-93"/>
      </w:pPr>
    </w:p>
    <w:p w:rsidR="00676326" w:rsidRPr="006D6809" w:rsidRDefault="00173EC0" w:rsidP="006D6809">
      <w:pPr>
        <w:ind w:right="-93"/>
      </w:pPr>
      <w:r w:rsidRPr="006D6809">
        <w:t xml:space="preserve">Además, el Instructivo de llenado del Formato “Personal de Seguridad Pública”, del Secretariado Ejecutivo del Sistema Nacional de Seguridad Pública (consultado el veinticinco de abril de dos mil veintidós, a las dieciséis horas, en la liga electrónica </w:t>
      </w:r>
      <w:hyperlink r:id="rId24">
        <w:r w:rsidRPr="006D6809">
          <w:rPr>
            <w:u w:val="single"/>
          </w:rPr>
          <w:t>http://secretariadoejecutivo.gob.mx/work/models/SecretariadoEjecutivo/Resource/328/1/images/instructivo_final_edo_fuerza(1).pdf</w:t>
        </w:r>
      </w:hyperlink>
      <w:r w:rsidRPr="006D6809">
        <w:t xml:space="preserve">), establece que los elementos operativos de seguridad pública, son aquellos que desempeñan funciones de campo (policiacas, especializadas o equivalentes y que no </w:t>
      </w:r>
      <w:r w:rsidRPr="006D6809">
        <w:rPr>
          <w:b/>
        </w:rPr>
        <w:t>desempeña funciones de mando</w:t>
      </w:r>
      <w:r w:rsidRPr="006D6809">
        <w:t xml:space="preserve">), entre los cuales, se encuentra </w:t>
      </w:r>
      <w:r w:rsidRPr="006D6809">
        <w:rPr>
          <w:b/>
        </w:rPr>
        <w:t>la Policía Municipal</w:t>
      </w:r>
      <w:r w:rsidRPr="006D6809">
        <w:t>.</w:t>
      </w:r>
    </w:p>
    <w:p w:rsidR="00676326" w:rsidRPr="006D6809" w:rsidRDefault="00676326" w:rsidP="006D6809">
      <w:pPr>
        <w:ind w:right="-93"/>
      </w:pPr>
    </w:p>
    <w:p w:rsidR="00676326" w:rsidRPr="006D6809" w:rsidRDefault="00173EC0" w:rsidP="006D6809">
      <w:pPr>
        <w:ind w:right="-93"/>
      </w:pPr>
      <w:r w:rsidRPr="006D6809">
        <w:t>Además,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w:t>
      </w:r>
    </w:p>
    <w:p w:rsidR="00676326" w:rsidRPr="006D6809" w:rsidRDefault="00676326" w:rsidP="006D6809">
      <w:pPr>
        <w:ind w:right="-93"/>
      </w:pPr>
    </w:p>
    <w:p w:rsidR="00676326" w:rsidRPr="006D6809" w:rsidRDefault="00173EC0" w:rsidP="006D6809">
      <w:pPr>
        <w:ind w:right="-93"/>
      </w:pPr>
      <w:r w:rsidRPr="006D6809">
        <w:t xml:space="preserve">Así, dar a conocer el nombre de las personas, vinculado con el hecho que son elementos operativos o policías municipales, los vuelve identificables y posiblemente reconocibles para grupos delictivos, puesto que pueden relacionarlos directamente con actividades u operativos </w:t>
      </w:r>
      <w:r w:rsidRPr="006D6809">
        <w:lastRenderedPageBreak/>
        <w:t>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rsidR="00676326" w:rsidRPr="006D6809" w:rsidRDefault="00676326" w:rsidP="006D6809">
      <w:pPr>
        <w:ind w:right="-93"/>
      </w:pPr>
    </w:p>
    <w:p w:rsidR="00676326" w:rsidRPr="006D6809" w:rsidRDefault="00173EC0" w:rsidP="006D6809">
      <w:pPr>
        <w:ind w:right="-91"/>
      </w:pPr>
      <w:r w:rsidRPr="006D6809">
        <w:t xml:space="preserve">Consecuentemente, se destaca que la versión pública que elabore </w:t>
      </w:r>
      <w:r w:rsidRPr="006D6809">
        <w:rPr>
          <w:b/>
        </w:rPr>
        <w:t>EL SUJETO OBLIGADO</w:t>
      </w:r>
      <w:r w:rsidRPr="006D6809">
        <w:t xml:space="preserve"> debe cumplir con las formalidades exigidas en la Ley, por lo que para tal efecto emitirá el </w:t>
      </w:r>
      <w:r w:rsidRPr="006D6809">
        <w:rPr>
          <w:b/>
        </w:rPr>
        <w:t>Acuerdo del Comité de Transparencia</w:t>
      </w:r>
      <w:r w:rsidRPr="006D6809">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rsidR="00676326" w:rsidRPr="006D6809" w:rsidRDefault="00676326" w:rsidP="006D6809">
      <w:pPr>
        <w:ind w:right="-312"/>
        <w:rPr>
          <w:b/>
          <w:i/>
        </w:rPr>
      </w:pPr>
    </w:p>
    <w:p w:rsidR="00676326" w:rsidRPr="006D6809" w:rsidRDefault="00173EC0" w:rsidP="006D6809">
      <w:pPr>
        <w:pStyle w:val="Ttulo3"/>
      </w:pPr>
      <w:bookmarkStart w:id="30" w:name="_heading=h.quu0822adux9" w:colFirst="0" w:colLast="0"/>
      <w:bookmarkEnd w:id="30"/>
      <w:r w:rsidRPr="006D6809">
        <w:t>e) Conclusión</w:t>
      </w:r>
    </w:p>
    <w:p w:rsidR="00676326" w:rsidRPr="006D6809" w:rsidRDefault="00173EC0" w:rsidP="006D6809">
      <w:pPr>
        <w:widowControl w:val="0"/>
        <w:tabs>
          <w:tab w:val="left" w:pos="1701"/>
          <w:tab w:val="left" w:pos="1843"/>
        </w:tabs>
      </w:pPr>
      <w:r w:rsidRPr="006D6809">
        <w:t xml:space="preserve">En conclusión y con base en lo anteriormente expuesto, este Instituto estima que las razones o motivos de inconformidad hechos valer por </w:t>
      </w:r>
      <w:r w:rsidRPr="006D6809">
        <w:rPr>
          <w:b/>
        </w:rPr>
        <w:t xml:space="preserve">LA PARTE RECURRENTE </w:t>
      </w:r>
      <w:r w:rsidRPr="006D6809">
        <w:t xml:space="preserve">devienen </w:t>
      </w:r>
      <w:r w:rsidRPr="006D6809">
        <w:rPr>
          <w:b/>
        </w:rPr>
        <w:t>fundadas</w:t>
      </w:r>
      <w:r w:rsidRPr="006D6809">
        <w:t xml:space="preserve"> y suficientes para </w:t>
      </w:r>
      <w:r w:rsidRPr="006D6809">
        <w:rPr>
          <w:b/>
        </w:rPr>
        <w:t xml:space="preserve">REVOCAR </w:t>
      </w:r>
      <w:r w:rsidRPr="006D6809">
        <w:t xml:space="preserve">la respuesta del </w:t>
      </w:r>
      <w:r w:rsidRPr="006D6809">
        <w:rPr>
          <w:b/>
        </w:rPr>
        <w:t>SUJETO OBLIGADO</w:t>
      </w:r>
      <w:r w:rsidRPr="006D6809">
        <w:t xml:space="preserve"> y ordenarle haga entrega de la información requerida, en la solicitud de información motivo del medio de impugnación </w:t>
      </w:r>
      <w:r w:rsidRPr="006D6809">
        <w:lastRenderedPageBreak/>
        <w:t>en estudio.</w:t>
      </w:r>
    </w:p>
    <w:p w:rsidR="00676326" w:rsidRPr="006D6809" w:rsidRDefault="00676326" w:rsidP="006D6809">
      <w:pPr>
        <w:widowControl w:val="0"/>
        <w:tabs>
          <w:tab w:val="left" w:pos="1701"/>
          <w:tab w:val="left" w:pos="1843"/>
        </w:tabs>
      </w:pPr>
    </w:p>
    <w:p w:rsidR="00676326" w:rsidRPr="006D6809" w:rsidRDefault="00173EC0" w:rsidP="006D6809">
      <w:pPr>
        <w:ind w:right="-93"/>
      </w:pPr>
      <w:bookmarkStart w:id="31" w:name="_heading=h.mtoh4k5t3ych" w:colFirst="0" w:colLast="0"/>
      <w:bookmarkEnd w:id="31"/>
      <w:r w:rsidRPr="006D6809">
        <w:t>Así, con fundamento en lo establecido en los artículos 55,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676326" w:rsidRPr="006D6809" w:rsidRDefault="00676326" w:rsidP="006D6809"/>
    <w:p w:rsidR="00676326" w:rsidRPr="006D6809" w:rsidRDefault="00173EC0" w:rsidP="006D6809">
      <w:pPr>
        <w:pStyle w:val="Ttulo1"/>
      </w:pPr>
      <w:bookmarkStart w:id="32" w:name="_heading=h.6pi7l4qrgh7k" w:colFirst="0" w:colLast="0"/>
      <w:bookmarkEnd w:id="32"/>
      <w:r w:rsidRPr="006D6809">
        <w:t>RESUELVE</w:t>
      </w:r>
    </w:p>
    <w:p w:rsidR="00676326" w:rsidRPr="006D6809" w:rsidRDefault="00676326" w:rsidP="006D6809">
      <w:pPr>
        <w:ind w:right="113"/>
        <w:rPr>
          <w:b/>
        </w:rPr>
      </w:pPr>
    </w:p>
    <w:p w:rsidR="00676326" w:rsidRPr="006D6809" w:rsidRDefault="00173EC0" w:rsidP="006D6809">
      <w:pPr>
        <w:widowControl w:val="0"/>
      </w:pPr>
      <w:r w:rsidRPr="006D6809">
        <w:rPr>
          <w:b/>
        </w:rPr>
        <w:t>PRIMERO.</w:t>
      </w:r>
      <w:r w:rsidRPr="006D6809">
        <w:t xml:space="preserve"> Se </w:t>
      </w:r>
      <w:r w:rsidRPr="006D6809">
        <w:rPr>
          <w:b/>
        </w:rPr>
        <w:t xml:space="preserve">REVOCA </w:t>
      </w:r>
      <w:r w:rsidRPr="006D6809">
        <w:t xml:space="preserve">la respuesta entregada por el </w:t>
      </w:r>
      <w:r w:rsidRPr="006D6809">
        <w:rPr>
          <w:b/>
        </w:rPr>
        <w:t>SUJETO OBLIGADO</w:t>
      </w:r>
      <w:r w:rsidRPr="006D6809">
        <w:t xml:space="preserve"> en la solicitud de información </w:t>
      </w:r>
      <w:r w:rsidRPr="006D6809">
        <w:rPr>
          <w:b/>
        </w:rPr>
        <w:t>00071/OZUMBA/IP/2024</w:t>
      </w:r>
      <w:r w:rsidRPr="006D6809">
        <w:t xml:space="preserve">, por resultar </w:t>
      </w:r>
      <w:r w:rsidRPr="006D6809">
        <w:rPr>
          <w:b/>
        </w:rPr>
        <w:t>FUNDADAS</w:t>
      </w:r>
      <w:r w:rsidRPr="006D6809">
        <w:t xml:space="preserve"> las razones o motivos de inconformidad hechos valer por </w:t>
      </w:r>
      <w:r w:rsidRPr="006D6809">
        <w:rPr>
          <w:b/>
        </w:rPr>
        <w:t>LA PARTE RECURRENTE</w:t>
      </w:r>
      <w:r w:rsidRPr="006D6809">
        <w:t xml:space="preserve"> en el Recurso de Revisión </w:t>
      </w:r>
      <w:r w:rsidRPr="006D6809">
        <w:rPr>
          <w:b/>
        </w:rPr>
        <w:t xml:space="preserve">02257/INFOEM/IP/RR/2025, </w:t>
      </w:r>
      <w:r w:rsidRPr="006D6809">
        <w:t xml:space="preserve">en términos del considerando </w:t>
      </w:r>
      <w:r w:rsidRPr="006D6809">
        <w:rPr>
          <w:b/>
        </w:rPr>
        <w:t>SEGUNDO</w:t>
      </w:r>
      <w:r w:rsidRPr="006D6809">
        <w:t xml:space="preserve"> de la presente Resolución.</w:t>
      </w:r>
    </w:p>
    <w:p w:rsidR="00676326" w:rsidRPr="006D6809" w:rsidRDefault="00676326" w:rsidP="006D6809">
      <w:pPr>
        <w:widowControl w:val="0"/>
      </w:pPr>
    </w:p>
    <w:p w:rsidR="00676326" w:rsidRPr="006D6809" w:rsidRDefault="00173EC0" w:rsidP="006D6809">
      <w:pPr>
        <w:ind w:right="-93"/>
      </w:pPr>
      <w:r w:rsidRPr="006D6809">
        <w:rPr>
          <w:b/>
        </w:rPr>
        <w:t>SEGUNDO.</w:t>
      </w:r>
      <w:r w:rsidRPr="006D6809">
        <w:t xml:space="preserve"> Se </w:t>
      </w:r>
      <w:r w:rsidRPr="006D6809">
        <w:rPr>
          <w:b/>
        </w:rPr>
        <w:t xml:space="preserve">ORDENA </w:t>
      </w:r>
      <w:r w:rsidRPr="006D6809">
        <w:t xml:space="preserve">al </w:t>
      </w:r>
      <w:r w:rsidRPr="006D6809">
        <w:rPr>
          <w:b/>
        </w:rPr>
        <w:t>SUJETO OBLIGADO</w:t>
      </w:r>
      <w:r w:rsidRPr="006D6809">
        <w:t xml:space="preserve">, a efecto de que, entregue en </w:t>
      </w:r>
      <w:r w:rsidRPr="006D6809">
        <w:rPr>
          <w:b/>
          <w:i/>
        </w:rPr>
        <w:t>versión pública</w:t>
      </w:r>
      <w:r w:rsidRPr="006D6809">
        <w:t xml:space="preserve">, a través del </w:t>
      </w:r>
      <w:r w:rsidRPr="006D6809">
        <w:rPr>
          <w:b/>
        </w:rPr>
        <w:t>SAIMEX</w:t>
      </w:r>
      <w:r w:rsidRPr="006D6809">
        <w:t>, lo siguiente:</w:t>
      </w:r>
    </w:p>
    <w:p w:rsidR="00676326" w:rsidRPr="006D6809" w:rsidRDefault="00676326" w:rsidP="006D6809">
      <w:pPr>
        <w:ind w:right="-93"/>
      </w:pPr>
    </w:p>
    <w:p w:rsidR="00676326" w:rsidRPr="006D6809" w:rsidRDefault="00632C3B" w:rsidP="006D6809">
      <w:pPr>
        <w:ind w:left="720" w:right="567"/>
        <w:rPr>
          <w:i/>
        </w:rPr>
      </w:pPr>
      <w:r w:rsidRPr="006D6809">
        <w:rPr>
          <w:i/>
        </w:rPr>
        <w:t xml:space="preserve">La conciliación de nómina </w:t>
      </w:r>
      <w:r w:rsidR="00173EC0" w:rsidRPr="006D6809">
        <w:rPr>
          <w:i/>
        </w:rPr>
        <w:t>correspondiente a la segunda quincena de noviembre de 2024.</w:t>
      </w:r>
    </w:p>
    <w:p w:rsidR="00676326" w:rsidRPr="006D6809" w:rsidRDefault="00676326" w:rsidP="006D6809">
      <w:pPr>
        <w:pStyle w:val="Puesto"/>
        <w:ind w:firstLine="0"/>
        <w:rPr>
          <w:color w:val="auto"/>
        </w:rPr>
      </w:pPr>
    </w:p>
    <w:p w:rsidR="00676326" w:rsidRPr="006D6809" w:rsidRDefault="00173EC0" w:rsidP="006D6809">
      <w:pPr>
        <w:ind w:right="-93"/>
      </w:pPr>
      <w:r w:rsidRPr="006D6809">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rsidR="00676326" w:rsidRPr="006D6809" w:rsidRDefault="00676326" w:rsidP="006D6809">
      <w:pPr>
        <w:widowControl w:val="0"/>
      </w:pPr>
    </w:p>
    <w:p w:rsidR="00676326" w:rsidRPr="006D6809" w:rsidRDefault="00173EC0" w:rsidP="006D6809">
      <w:r w:rsidRPr="006D6809">
        <w:rPr>
          <w:b/>
        </w:rPr>
        <w:lastRenderedPageBreak/>
        <w:t>TERCERO.</w:t>
      </w:r>
      <w:r w:rsidRPr="006D6809">
        <w:t xml:space="preserve"> </w:t>
      </w:r>
      <w:r w:rsidRPr="006D6809">
        <w:rPr>
          <w:b/>
        </w:rPr>
        <w:t xml:space="preserve">Notifíquese </w:t>
      </w:r>
      <w:r w:rsidRPr="006D6809">
        <w:t>vía Sistema de Acceso a la Información Mexiquense (</w:t>
      </w:r>
      <w:r w:rsidRPr="006D6809">
        <w:rPr>
          <w:b/>
        </w:rPr>
        <w:t>SAIMEX)</w:t>
      </w:r>
      <w:r w:rsidRPr="006D6809">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676326" w:rsidRPr="006D6809" w:rsidRDefault="00676326" w:rsidP="006D6809"/>
    <w:p w:rsidR="00676326" w:rsidRPr="006D6809" w:rsidRDefault="00173EC0" w:rsidP="006D6809">
      <w:r w:rsidRPr="006D6809">
        <w:rPr>
          <w:b/>
        </w:rPr>
        <w:t>CUARTO.</w:t>
      </w:r>
      <w:r w:rsidRPr="006D6809">
        <w:t xml:space="preserve"> Notifíquese a </w:t>
      </w:r>
      <w:r w:rsidRPr="006D6809">
        <w:rPr>
          <w:b/>
        </w:rPr>
        <w:t>LA PARTE RECURRENTE</w:t>
      </w:r>
      <w:r w:rsidRPr="006D6809">
        <w:t xml:space="preserve"> la presente resolución vía Sistema de Acceso a la Información Mexiquense (</w:t>
      </w:r>
      <w:r w:rsidRPr="006D6809">
        <w:rPr>
          <w:b/>
        </w:rPr>
        <w:t>SAIMEX</w:t>
      </w:r>
      <w:r w:rsidRPr="006D6809">
        <w:t>).</w:t>
      </w:r>
    </w:p>
    <w:p w:rsidR="00676326" w:rsidRPr="006D6809" w:rsidRDefault="00676326" w:rsidP="006D6809"/>
    <w:p w:rsidR="00676326" w:rsidRPr="006D6809" w:rsidRDefault="00173EC0" w:rsidP="006D6809">
      <w:r w:rsidRPr="006D6809">
        <w:rPr>
          <w:b/>
        </w:rPr>
        <w:t>QUINTO</w:t>
      </w:r>
      <w:r w:rsidRPr="006D6809">
        <w:t xml:space="preserve">. Hágase del conocimiento a </w:t>
      </w:r>
      <w:r w:rsidRPr="006D6809">
        <w:rPr>
          <w:b/>
        </w:rPr>
        <w:t>LA PARTE RECURRENTE</w:t>
      </w:r>
      <w:r w:rsidRPr="006D6809">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676326" w:rsidRPr="006D6809" w:rsidRDefault="00676326" w:rsidP="006D6809"/>
    <w:p w:rsidR="00676326" w:rsidRDefault="00173EC0" w:rsidP="006D6809">
      <w:r w:rsidRPr="006D6809">
        <w:rPr>
          <w:b/>
        </w:rPr>
        <w:t>SEXTO.</w:t>
      </w:r>
      <w:r w:rsidRPr="006D6809">
        <w:t xml:space="preserve"> De conformidad con el artículo 198 de la Ley de Transparencia y Acceso a la Información Pública del Estado de México y Municipios, el </w:t>
      </w:r>
      <w:r w:rsidRPr="006D6809">
        <w:rPr>
          <w:b/>
        </w:rPr>
        <w:t>SUJETO OBLIGADO</w:t>
      </w:r>
      <w:r w:rsidRPr="006D6809">
        <w:t xml:space="preserve"> podrá solicitar una ampliación de plazo de manera fundada y motivada, para el cumplimiento de la presente resolución.</w:t>
      </w:r>
    </w:p>
    <w:p w:rsidR="006D6809" w:rsidRPr="006D6809" w:rsidRDefault="006D6809" w:rsidP="006D6809"/>
    <w:p w:rsidR="00676326" w:rsidRPr="006D6809" w:rsidRDefault="00173EC0" w:rsidP="006D6809">
      <w:pPr>
        <w:spacing w:before="240"/>
      </w:pPr>
      <w:r w:rsidRPr="006D6809">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8B1315">
        <w:t xml:space="preserve"> EMITIENDO VOTO PARTICULAR</w:t>
      </w:r>
      <w:r w:rsidRPr="006D6809">
        <w:t xml:space="preserve"> Y GUADALUPE RAMÍREZ PEÑA</w:t>
      </w:r>
      <w:r w:rsidR="008B1315">
        <w:t xml:space="preserve"> EMITIENDO VOTO PARTICULAR</w:t>
      </w:r>
      <w:r w:rsidRPr="006D6809">
        <w:t xml:space="preserve">, EN LA DÉCIMA CUARTA SESIÓN ORDINARIA, CELEBRADA EL VEINTITRÉS DE ABRIL DE DOS MIL </w:t>
      </w:r>
      <w:r w:rsidR="006D6809">
        <w:t>VEINTICINCO</w:t>
      </w:r>
      <w:r w:rsidRPr="006D6809">
        <w:t>, ANTE EL SECRETARIO TÉCNICO DEL PLENO, ALEXIS TAPIA RAMÍREZ.</w:t>
      </w:r>
    </w:p>
    <w:p w:rsidR="00676326" w:rsidRPr="006D6809" w:rsidRDefault="00173EC0" w:rsidP="006D6809">
      <w:pPr>
        <w:ind w:right="-93"/>
      </w:pPr>
      <w:r w:rsidRPr="006D6809">
        <w:t>SCMM/AGZ/DEMF/PAG</w:t>
      </w:r>
    </w:p>
    <w:p w:rsidR="00676326" w:rsidRPr="006D6809" w:rsidRDefault="00676326" w:rsidP="006D6809">
      <w:pPr>
        <w:ind w:right="-93"/>
      </w:pPr>
    </w:p>
    <w:p w:rsidR="00676326" w:rsidRPr="006D6809" w:rsidRDefault="00676326" w:rsidP="006D6809">
      <w:pPr>
        <w:ind w:right="-93"/>
      </w:pPr>
    </w:p>
    <w:p w:rsidR="00676326" w:rsidRPr="006D6809" w:rsidRDefault="00676326" w:rsidP="006D6809">
      <w:pPr>
        <w:ind w:right="-93"/>
      </w:pPr>
    </w:p>
    <w:p w:rsidR="00676326" w:rsidRPr="006D6809" w:rsidRDefault="00676326" w:rsidP="006D6809">
      <w:pPr>
        <w:ind w:right="-93"/>
      </w:pPr>
    </w:p>
    <w:p w:rsidR="00676326" w:rsidRPr="006D6809" w:rsidRDefault="00676326" w:rsidP="006D6809">
      <w:pPr>
        <w:ind w:right="-93"/>
      </w:pPr>
    </w:p>
    <w:p w:rsidR="00676326" w:rsidRPr="006D6809" w:rsidRDefault="00676326" w:rsidP="006D6809">
      <w:pPr>
        <w:ind w:right="-93"/>
      </w:pPr>
    </w:p>
    <w:p w:rsidR="00676326" w:rsidRPr="006D6809" w:rsidRDefault="00676326" w:rsidP="006D6809">
      <w:pPr>
        <w:ind w:right="-93"/>
      </w:pPr>
    </w:p>
    <w:p w:rsidR="00676326" w:rsidRPr="006D6809" w:rsidRDefault="00676326" w:rsidP="006D6809">
      <w:pPr>
        <w:ind w:right="-93"/>
      </w:pPr>
    </w:p>
    <w:p w:rsidR="00676326" w:rsidRPr="006D6809" w:rsidRDefault="00676326" w:rsidP="006D6809">
      <w:pPr>
        <w:tabs>
          <w:tab w:val="center" w:pos="4568"/>
        </w:tabs>
        <w:ind w:right="-93"/>
      </w:pPr>
    </w:p>
    <w:p w:rsidR="00676326" w:rsidRPr="006D6809" w:rsidRDefault="00676326" w:rsidP="006D6809">
      <w:pPr>
        <w:tabs>
          <w:tab w:val="center" w:pos="4568"/>
        </w:tabs>
        <w:ind w:right="-93"/>
      </w:pPr>
    </w:p>
    <w:p w:rsidR="00676326" w:rsidRPr="006D6809" w:rsidRDefault="00676326" w:rsidP="006D6809">
      <w:pPr>
        <w:tabs>
          <w:tab w:val="center" w:pos="4568"/>
        </w:tabs>
        <w:ind w:right="-93"/>
      </w:pPr>
    </w:p>
    <w:p w:rsidR="00676326" w:rsidRPr="006D6809" w:rsidRDefault="00676326" w:rsidP="006D6809">
      <w:pPr>
        <w:tabs>
          <w:tab w:val="center" w:pos="4568"/>
        </w:tabs>
        <w:ind w:right="-93"/>
      </w:pPr>
    </w:p>
    <w:p w:rsidR="00676326" w:rsidRPr="006D6809" w:rsidRDefault="00676326" w:rsidP="006D6809">
      <w:pPr>
        <w:tabs>
          <w:tab w:val="center" w:pos="4568"/>
        </w:tabs>
        <w:ind w:right="-93"/>
      </w:pPr>
    </w:p>
    <w:p w:rsidR="00676326" w:rsidRPr="006D6809" w:rsidRDefault="00676326" w:rsidP="006D6809">
      <w:pPr>
        <w:tabs>
          <w:tab w:val="center" w:pos="4568"/>
        </w:tabs>
        <w:ind w:right="-93"/>
      </w:pPr>
    </w:p>
    <w:p w:rsidR="00676326" w:rsidRPr="006D6809" w:rsidRDefault="00676326" w:rsidP="006D6809">
      <w:pPr>
        <w:tabs>
          <w:tab w:val="center" w:pos="4568"/>
        </w:tabs>
        <w:ind w:right="-93"/>
      </w:pPr>
    </w:p>
    <w:p w:rsidR="00676326" w:rsidRPr="006D6809" w:rsidRDefault="00676326" w:rsidP="006D6809">
      <w:pPr>
        <w:tabs>
          <w:tab w:val="center" w:pos="4568"/>
        </w:tabs>
        <w:ind w:right="-93"/>
      </w:pPr>
    </w:p>
    <w:p w:rsidR="00676326" w:rsidRPr="006D6809" w:rsidRDefault="00676326" w:rsidP="006D6809">
      <w:pPr>
        <w:tabs>
          <w:tab w:val="center" w:pos="4568"/>
        </w:tabs>
        <w:ind w:right="-93"/>
      </w:pPr>
    </w:p>
    <w:p w:rsidR="00676326" w:rsidRPr="006D6809" w:rsidRDefault="00676326" w:rsidP="006D6809">
      <w:pPr>
        <w:tabs>
          <w:tab w:val="center" w:pos="4568"/>
        </w:tabs>
        <w:ind w:right="-93"/>
      </w:pPr>
    </w:p>
    <w:p w:rsidR="00676326" w:rsidRPr="006D6809" w:rsidRDefault="00676326" w:rsidP="006D6809">
      <w:pPr>
        <w:tabs>
          <w:tab w:val="center" w:pos="4568"/>
        </w:tabs>
        <w:ind w:right="-93"/>
      </w:pPr>
    </w:p>
    <w:p w:rsidR="00676326" w:rsidRPr="006D6809" w:rsidRDefault="00676326" w:rsidP="006D6809">
      <w:pPr>
        <w:tabs>
          <w:tab w:val="center" w:pos="4568"/>
        </w:tabs>
        <w:ind w:right="-93"/>
      </w:pPr>
    </w:p>
    <w:p w:rsidR="00676326" w:rsidRPr="006D6809" w:rsidRDefault="00676326" w:rsidP="006D6809">
      <w:pPr>
        <w:tabs>
          <w:tab w:val="center" w:pos="4568"/>
        </w:tabs>
        <w:ind w:right="-93"/>
      </w:pPr>
    </w:p>
    <w:p w:rsidR="00676326" w:rsidRPr="006D6809" w:rsidRDefault="00676326" w:rsidP="006D6809"/>
    <w:sectPr w:rsidR="00676326" w:rsidRPr="006D6809">
      <w:footerReference w:type="default" r:id="rId2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5AC" w:rsidRDefault="00AE65AC">
      <w:pPr>
        <w:spacing w:line="240" w:lineRule="auto"/>
      </w:pPr>
      <w:r>
        <w:separator/>
      </w:r>
    </w:p>
  </w:endnote>
  <w:endnote w:type="continuationSeparator" w:id="0">
    <w:p w:rsidR="00AE65AC" w:rsidRDefault="00AE6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1E" w:rsidRDefault="00415D1E">
    <w:pPr>
      <w:tabs>
        <w:tab w:val="center" w:pos="4550"/>
        <w:tab w:val="left" w:pos="5818"/>
      </w:tabs>
      <w:ind w:right="260"/>
      <w:jc w:val="right"/>
      <w:rPr>
        <w:color w:val="071320"/>
        <w:sz w:val="24"/>
        <w:szCs w:val="24"/>
      </w:rPr>
    </w:pPr>
  </w:p>
  <w:p w:rsidR="00415D1E" w:rsidRDefault="00415D1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1E" w:rsidRDefault="00415D1E">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F92F04">
      <w:rPr>
        <w:noProof/>
        <w:color w:val="0A1D30"/>
        <w:sz w:val="24"/>
        <w:szCs w:val="24"/>
      </w:rPr>
      <w:t>47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F92F04">
      <w:rPr>
        <w:noProof/>
        <w:color w:val="0A1D30"/>
        <w:sz w:val="24"/>
        <w:szCs w:val="24"/>
      </w:rPr>
      <w:t>52</w:t>
    </w:r>
    <w:r>
      <w:rPr>
        <w:color w:val="0A1D30"/>
        <w:sz w:val="24"/>
        <w:szCs w:val="24"/>
      </w:rPr>
      <w:fldChar w:fldCharType="end"/>
    </w:r>
  </w:p>
  <w:p w:rsidR="00415D1E" w:rsidRDefault="00415D1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5AC" w:rsidRDefault="00AE65AC">
      <w:pPr>
        <w:spacing w:line="240" w:lineRule="auto"/>
      </w:pPr>
      <w:r>
        <w:separator/>
      </w:r>
    </w:p>
  </w:footnote>
  <w:footnote w:type="continuationSeparator" w:id="0">
    <w:p w:rsidR="00AE65AC" w:rsidRDefault="00AE65AC">
      <w:pPr>
        <w:spacing w:line="240" w:lineRule="auto"/>
      </w:pPr>
      <w:r>
        <w:continuationSeparator/>
      </w:r>
    </w:p>
  </w:footnote>
  <w:footnote w:id="1">
    <w:p w:rsidR="00415D1E" w:rsidRDefault="00415D1E">
      <w:pPr>
        <w:pBdr>
          <w:top w:val="nil"/>
          <w:left w:val="nil"/>
          <w:bottom w:val="nil"/>
          <w:right w:val="nil"/>
          <w:between w:val="nil"/>
        </w:pBdr>
        <w:rPr>
          <w:color w:val="000000"/>
          <w:sz w:val="16"/>
          <w:szCs w:val="16"/>
        </w:rPr>
      </w:pPr>
      <w:r>
        <w:rPr>
          <w:vertAlign w:val="superscript"/>
        </w:rPr>
        <w:footnoteRef/>
      </w:r>
      <w:hyperlink r:id="rId1">
        <w:r>
          <w:rPr>
            <w:color w:val="0563C1"/>
            <w:sz w:val="16"/>
            <w:szCs w:val="16"/>
            <w:u w:val="single"/>
          </w:rPr>
          <w:t>https://www.osfem.gob.mx/assets/conocenos/marco_normativo/acuerdos/2024/acuerdo_04_anexodos.pdf</w:t>
        </w:r>
      </w:hyperlink>
    </w:p>
  </w:footnote>
  <w:footnote w:id="2">
    <w:p w:rsidR="00415D1E" w:rsidRDefault="00415D1E">
      <w:pPr>
        <w:pBdr>
          <w:top w:val="nil"/>
          <w:left w:val="nil"/>
          <w:bottom w:val="nil"/>
          <w:right w:val="nil"/>
          <w:between w:val="nil"/>
        </w:pBdr>
        <w:tabs>
          <w:tab w:val="right" w:pos="0"/>
        </w:tabs>
        <w:rPr>
          <w:color w:val="000000"/>
          <w:sz w:val="16"/>
          <w:szCs w:val="16"/>
        </w:rPr>
      </w:pPr>
      <w:r>
        <w:rPr>
          <w:vertAlign w:val="superscript"/>
        </w:rPr>
        <w:footnoteRef/>
      </w:r>
      <w:r>
        <w:rPr>
          <w:color w:val="000000"/>
          <w:sz w:val="16"/>
          <w:szCs w:val="16"/>
        </w:rPr>
        <w:t xml:space="preserve"> Resolución RRA2431/17 del entonces Instituto Nacional de Transparencia, Acceso a la Información Pública y Protección de Datos Personales.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1E" w:rsidRDefault="00415D1E">
    <w:pPr>
      <w:widowControl w:val="0"/>
      <w:pBdr>
        <w:top w:val="nil"/>
        <w:left w:val="nil"/>
        <w:bottom w:val="nil"/>
        <w:right w:val="nil"/>
        <w:between w:val="nil"/>
      </w:pBdr>
      <w:spacing w:line="276" w:lineRule="auto"/>
      <w:jc w:val="left"/>
      <w:rPr>
        <w:color w:val="000000"/>
        <w:sz w:val="16"/>
        <w:szCs w:val="16"/>
      </w:rPr>
    </w:pPr>
  </w:p>
  <w:tbl>
    <w:tblPr>
      <w:tblStyle w:val="a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415D1E">
      <w:trPr>
        <w:trHeight w:val="144"/>
        <w:jc w:val="right"/>
      </w:trPr>
      <w:tc>
        <w:tcPr>
          <w:tcW w:w="2727" w:type="dxa"/>
        </w:tcPr>
        <w:p w:rsidR="00415D1E" w:rsidRDefault="00415D1E">
          <w:pPr>
            <w:tabs>
              <w:tab w:val="right" w:pos="8838"/>
            </w:tabs>
            <w:ind w:left="-74" w:right="-105"/>
            <w:rPr>
              <w:b/>
            </w:rPr>
          </w:pPr>
          <w:r>
            <w:rPr>
              <w:b/>
            </w:rPr>
            <w:t>Recurso de Revisión:</w:t>
          </w:r>
        </w:p>
      </w:tc>
      <w:tc>
        <w:tcPr>
          <w:tcW w:w="3402" w:type="dxa"/>
        </w:tcPr>
        <w:p w:rsidR="00415D1E" w:rsidRDefault="00415D1E">
          <w:pPr>
            <w:tabs>
              <w:tab w:val="right" w:pos="8838"/>
            </w:tabs>
            <w:ind w:left="-74" w:right="-105"/>
          </w:pPr>
          <w:r>
            <w:t>02257/INFOEM/IP/RR/2025</w:t>
          </w:r>
        </w:p>
      </w:tc>
    </w:tr>
    <w:tr w:rsidR="00415D1E">
      <w:trPr>
        <w:trHeight w:val="283"/>
        <w:jc w:val="right"/>
      </w:trPr>
      <w:tc>
        <w:tcPr>
          <w:tcW w:w="2727" w:type="dxa"/>
        </w:tcPr>
        <w:p w:rsidR="00415D1E" w:rsidRDefault="00415D1E">
          <w:pPr>
            <w:tabs>
              <w:tab w:val="right" w:pos="8838"/>
            </w:tabs>
            <w:ind w:left="-74" w:right="-105"/>
            <w:rPr>
              <w:b/>
            </w:rPr>
          </w:pPr>
          <w:r>
            <w:rPr>
              <w:b/>
            </w:rPr>
            <w:t>Sujeto Obligado:</w:t>
          </w:r>
        </w:p>
      </w:tc>
      <w:tc>
        <w:tcPr>
          <w:tcW w:w="3402" w:type="dxa"/>
        </w:tcPr>
        <w:p w:rsidR="00415D1E" w:rsidRDefault="00415D1E">
          <w:pPr>
            <w:tabs>
              <w:tab w:val="left" w:pos="2834"/>
              <w:tab w:val="right" w:pos="8838"/>
            </w:tabs>
            <w:ind w:left="-108" w:right="-105"/>
          </w:pPr>
          <w:r>
            <w:t xml:space="preserve">Ayuntamiento de </w:t>
          </w:r>
          <w:proofErr w:type="spellStart"/>
          <w:r>
            <w:t>Ozumba</w:t>
          </w:r>
          <w:proofErr w:type="spellEnd"/>
        </w:p>
      </w:tc>
    </w:tr>
    <w:tr w:rsidR="00415D1E">
      <w:trPr>
        <w:trHeight w:val="283"/>
        <w:jc w:val="right"/>
      </w:trPr>
      <w:tc>
        <w:tcPr>
          <w:tcW w:w="2727" w:type="dxa"/>
        </w:tcPr>
        <w:p w:rsidR="00415D1E" w:rsidRDefault="00415D1E">
          <w:pPr>
            <w:tabs>
              <w:tab w:val="right" w:pos="8838"/>
            </w:tabs>
            <w:ind w:left="-74" w:right="-105"/>
            <w:rPr>
              <w:b/>
            </w:rPr>
          </w:pPr>
          <w:r>
            <w:rPr>
              <w:b/>
            </w:rPr>
            <w:t>Comisionada Ponente:</w:t>
          </w:r>
        </w:p>
      </w:tc>
      <w:tc>
        <w:tcPr>
          <w:tcW w:w="3402" w:type="dxa"/>
        </w:tcPr>
        <w:p w:rsidR="00415D1E" w:rsidRDefault="00415D1E">
          <w:pPr>
            <w:tabs>
              <w:tab w:val="right" w:pos="8838"/>
            </w:tabs>
            <w:ind w:left="-108" w:right="-105"/>
          </w:pPr>
          <w:r>
            <w:t>Sharon Cristina Morales Martínez</w:t>
          </w:r>
        </w:p>
      </w:tc>
    </w:tr>
  </w:tbl>
  <w:p w:rsidR="00415D1E" w:rsidRDefault="00415D1E">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simplePos x="0" y="0"/>
          <wp:positionH relativeFrom="margin">
            <wp:posOffset>-995039</wp:posOffset>
          </wp:positionH>
          <wp:positionV relativeFrom="margin">
            <wp:posOffset>-1782440</wp:posOffset>
          </wp:positionV>
          <wp:extent cx="8426450" cy="10972800"/>
          <wp:effectExtent l="0" t="0" r="0" b="0"/>
          <wp:wrapNone/>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1E" w:rsidRDefault="00415D1E">
    <w:pPr>
      <w:widowControl w:val="0"/>
      <w:pBdr>
        <w:top w:val="nil"/>
        <w:left w:val="nil"/>
        <w:bottom w:val="nil"/>
        <w:right w:val="nil"/>
        <w:between w:val="nil"/>
      </w:pBdr>
      <w:spacing w:line="276" w:lineRule="auto"/>
      <w:jc w:val="left"/>
      <w:rPr>
        <w:color w:val="000000"/>
        <w:sz w:val="14"/>
        <w:szCs w:val="14"/>
      </w:rPr>
    </w:pPr>
  </w:p>
  <w:tbl>
    <w:tblPr>
      <w:tblStyle w:val="ab"/>
      <w:tblW w:w="6660" w:type="dxa"/>
      <w:tblInd w:w="2552" w:type="dxa"/>
      <w:tblLayout w:type="fixed"/>
      <w:tblLook w:val="0400" w:firstRow="0" w:lastRow="0" w:firstColumn="0" w:lastColumn="0" w:noHBand="0" w:noVBand="1"/>
    </w:tblPr>
    <w:tblGrid>
      <w:gridCol w:w="283"/>
      <w:gridCol w:w="6377"/>
    </w:tblGrid>
    <w:tr w:rsidR="00415D1E">
      <w:trPr>
        <w:trHeight w:val="1435"/>
      </w:trPr>
      <w:tc>
        <w:tcPr>
          <w:tcW w:w="283" w:type="dxa"/>
          <w:shd w:val="clear" w:color="auto" w:fill="auto"/>
        </w:tcPr>
        <w:p w:rsidR="00415D1E" w:rsidRDefault="00415D1E">
          <w:pPr>
            <w:tabs>
              <w:tab w:val="right" w:pos="4273"/>
            </w:tabs>
            <w:rPr>
              <w:rFonts w:ascii="Garamond" w:eastAsia="Garamond" w:hAnsi="Garamond" w:cs="Garamond"/>
            </w:rPr>
          </w:pPr>
        </w:p>
      </w:tc>
      <w:tc>
        <w:tcPr>
          <w:tcW w:w="6377" w:type="dxa"/>
          <w:shd w:val="clear" w:color="auto" w:fill="auto"/>
        </w:tcPr>
        <w:p w:rsidR="00415D1E" w:rsidRDefault="00415D1E">
          <w:pPr>
            <w:widowControl w:val="0"/>
            <w:pBdr>
              <w:top w:val="nil"/>
              <w:left w:val="nil"/>
              <w:bottom w:val="nil"/>
              <w:right w:val="nil"/>
              <w:between w:val="nil"/>
            </w:pBdr>
            <w:spacing w:line="276" w:lineRule="auto"/>
            <w:jc w:val="left"/>
            <w:rPr>
              <w:rFonts w:ascii="Garamond" w:eastAsia="Garamond" w:hAnsi="Garamond" w:cs="Garamond"/>
            </w:rPr>
          </w:pPr>
        </w:p>
        <w:tbl>
          <w:tblPr>
            <w:tblStyle w:val="ac"/>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1"/>
            <w:gridCol w:w="3548"/>
            <w:gridCol w:w="3402"/>
          </w:tblGrid>
          <w:tr w:rsidR="00415D1E">
            <w:trPr>
              <w:trHeight w:val="144"/>
            </w:trPr>
            <w:tc>
              <w:tcPr>
                <w:tcW w:w="2581" w:type="dxa"/>
              </w:tcPr>
              <w:p w:rsidR="00415D1E" w:rsidRDefault="00415D1E">
                <w:pPr>
                  <w:tabs>
                    <w:tab w:val="right" w:pos="8838"/>
                  </w:tabs>
                  <w:ind w:left="-74" w:right="-108"/>
                  <w:rPr>
                    <w:b/>
                  </w:rPr>
                </w:pPr>
                <w:bookmarkStart w:id="0" w:name="_heading=h.2p2csry" w:colFirst="0" w:colLast="0"/>
                <w:bookmarkEnd w:id="0"/>
                <w:r>
                  <w:rPr>
                    <w:b/>
                  </w:rPr>
                  <w:t>Recurso de Revisión:</w:t>
                </w:r>
              </w:p>
            </w:tc>
            <w:tc>
              <w:tcPr>
                <w:tcW w:w="3548" w:type="dxa"/>
              </w:tcPr>
              <w:p w:rsidR="00415D1E" w:rsidRDefault="00415D1E">
                <w:pPr>
                  <w:tabs>
                    <w:tab w:val="left" w:pos="3122"/>
                    <w:tab w:val="right" w:pos="8838"/>
                  </w:tabs>
                  <w:ind w:left="-105" w:right="-108"/>
                </w:pPr>
                <w:r>
                  <w:t>02257/INFOEM/IP/RR/2025</w:t>
                </w:r>
              </w:p>
            </w:tc>
            <w:tc>
              <w:tcPr>
                <w:tcW w:w="3402" w:type="dxa"/>
              </w:tcPr>
              <w:p w:rsidR="00415D1E" w:rsidRDefault="00415D1E">
                <w:pPr>
                  <w:tabs>
                    <w:tab w:val="right" w:pos="8838"/>
                  </w:tabs>
                  <w:ind w:left="-74" w:right="-108"/>
                </w:pPr>
              </w:p>
            </w:tc>
          </w:tr>
          <w:tr w:rsidR="00415D1E">
            <w:trPr>
              <w:trHeight w:val="144"/>
            </w:trPr>
            <w:tc>
              <w:tcPr>
                <w:tcW w:w="2581" w:type="dxa"/>
              </w:tcPr>
              <w:p w:rsidR="00415D1E" w:rsidRDefault="00415D1E">
                <w:pPr>
                  <w:tabs>
                    <w:tab w:val="right" w:pos="8838"/>
                  </w:tabs>
                  <w:ind w:left="-74" w:right="-108"/>
                  <w:rPr>
                    <w:b/>
                  </w:rPr>
                </w:pPr>
                <w:bookmarkStart w:id="1" w:name="_heading=h.147n2zr" w:colFirst="0" w:colLast="0"/>
                <w:bookmarkEnd w:id="1"/>
                <w:r>
                  <w:rPr>
                    <w:b/>
                  </w:rPr>
                  <w:t>Recurrente:</w:t>
                </w:r>
              </w:p>
            </w:tc>
            <w:tc>
              <w:tcPr>
                <w:tcW w:w="3548" w:type="dxa"/>
              </w:tcPr>
              <w:p w:rsidR="00415D1E" w:rsidRDefault="00415D1E">
                <w:pPr>
                  <w:tabs>
                    <w:tab w:val="left" w:pos="2834"/>
                    <w:tab w:val="right" w:pos="8838"/>
                  </w:tabs>
                  <w:ind w:left="-108" w:right="-108"/>
                </w:pPr>
                <w:r>
                  <w:t>XXXXXXX XXXXXX</w:t>
                </w:r>
              </w:p>
            </w:tc>
            <w:tc>
              <w:tcPr>
                <w:tcW w:w="3402" w:type="dxa"/>
              </w:tcPr>
              <w:p w:rsidR="00415D1E" w:rsidRDefault="00415D1E">
                <w:pPr>
                  <w:tabs>
                    <w:tab w:val="left" w:pos="3122"/>
                    <w:tab w:val="right" w:pos="8838"/>
                  </w:tabs>
                  <w:ind w:left="-105" w:right="-108"/>
                </w:pPr>
              </w:p>
            </w:tc>
          </w:tr>
          <w:tr w:rsidR="00415D1E">
            <w:trPr>
              <w:trHeight w:val="283"/>
            </w:trPr>
            <w:tc>
              <w:tcPr>
                <w:tcW w:w="2581" w:type="dxa"/>
              </w:tcPr>
              <w:p w:rsidR="00415D1E" w:rsidRDefault="00415D1E">
                <w:pPr>
                  <w:tabs>
                    <w:tab w:val="right" w:pos="8838"/>
                  </w:tabs>
                  <w:ind w:left="-74" w:right="-108"/>
                  <w:rPr>
                    <w:b/>
                  </w:rPr>
                </w:pPr>
                <w:r>
                  <w:rPr>
                    <w:b/>
                  </w:rPr>
                  <w:t>Sujeto Obligado:</w:t>
                </w:r>
              </w:p>
            </w:tc>
            <w:tc>
              <w:tcPr>
                <w:tcW w:w="3548" w:type="dxa"/>
              </w:tcPr>
              <w:p w:rsidR="00415D1E" w:rsidRDefault="00415D1E">
                <w:pPr>
                  <w:tabs>
                    <w:tab w:val="left" w:pos="2834"/>
                    <w:tab w:val="right" w:pos="8838"/>
                  </w:tabs>
                  <w:ind w:left="-108" w:right="-108"/>
                </w:pPr>
                <w:r>
                  <w:t xml:space="preserve">Ayuntamiento de </w:t>
                </w:r>
                <w:proofErr w:type="spellStart"/>
                <w:r>
                  <w:t>Ozumba</w:t>
                </w:r>
                <w:proofErr w:type="spellEnd"/>
              </w:p>
            </w:tc>
            <w:tc>
              <w:tcPr>
                <w:tcW w:w="3402" w:type="dxa"/>
              </w:tcPr>
              <w:p w:rsidR="00415D1E" w:rsidRDefault="00415D1E">
                <w:pPr>
                  <w:tabs>
                    <w:tab w:val="left" w:pos="2834"/>
                    <w:tab w:val="right" w:pos="8838"/>
                  </w:tabs>
                  <w:ind w:left="-108" w:right="-108"/>
                </w:pPr>
              </w:p>
            </w:tc>
          </w:tr>
          <w:tr w:rsidR="00415D1E">
            <w:trPr>
              <w:trHeight w:val="283"/>
            </w:trPr>
            <w:tc>
              <w:tcPr>
                <w:tcW w:w="2581" w:type="dxa"/>
              </w:tcPr>
              <w:p w:rsidR="00415D1E" w:rsidRDefault="00415D1E">
                <w:pPr>
                  <w:tabs>
                    <w:tab w:val="right" w:pos="8838"/>
                  </w:tabs>
                  <w:ind w:left="-74" w:right="-108"/>
                  <w:rPr>
                    <w:b/>
                  </w:rPr>
                </w:pPr>
                <w:r>
                  <w:rPr>
                    <w:b/>
                  </w:rPr>
                  <w:t>Comisionada Ponente:</w:t>
                </w:r>
              </w:p>
            </w:tc>
            <w:tc>
              <w:tcPr>
                <w:tcW w:w="3548" w:type="dxa"/>
              </w:tcPr>
              <w:p w:rsidR="00415D1E" w:rsidRDefault="00415D1E">
                <w:pPr>
                  <w:tabs>
                    <w:tab w:val="right" w:pos="8838"/>
                  </w:tabs>
                  <w:ind w:left="-108" w:right="-108"/>
                </w:pPr>
                <w:r>
                  <w:t>Sharon Cristina Morales Martínez</w:t>
                </w:r>
              </w:p>
            </w:tc>
            <w:tc>
              <w:tcPr>
                <w:tcW w:w="3402" w:type="dxa"/>
              </w:tcPr>
              <w:p w:rsidR="00415D1E" w:rsidRDefault="00415D1E">
                <w:pPr>
                  <w:tabs>
                    <w:tab w:val="right" w:pos="8838"/>
                  </w:tabs>
                  <w:ind w:left="-108" w:right="-108"/>
                </w:pPr>
              </w:p>
            </w:tc>
          </w:tr>
        </w:tbl>
        <w:p w:rsidR="00415D1E" w:rsidRDefault="00415D1E">
          <w:pPr>
            <w:tabs>
              <w:tab w:val="right" w:pos="8838"/>
            </w:tabs>
            <w:ind w:left="-28"/>
            <w:rPr>
              <w:rFonts w:ascii="Arial" w:eastAsia="Arial" w:hAnsi="Arial" w:cs="Arial"/>
              <w:b/>
            </w:rPr>
          </w:pPr>
        </w:p>
      </w:tc>
    </w:tr>
  </w:tbl>
  <w:p w:rsidR="00415D1E" w:rsidRDefault="00415D1E">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02FC9"/>
    <w:multiLevelType w:val="multilevel"/>
    <w:tmpl w:val="F7D2DB9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D84736"/>
    <w:multiLevelType w:val="multilevel"/>
    <w:tmpl w:val="4D36A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38524D"/>
    <w:multiLevelType w:val="multilevel"/>
    <w:tmpl w:val="57F00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6795D13"/>
    <w:multiLevelType w:val="multilevel"/>
    <w:tmpl w:val="B46C0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B3E3AEF"/>
    <w:multiLevelType w:val="multilevel"/>
    <w:tmpl w:val="3BF47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26"/>
    <w:rsid w:val="00173EC0"/>
    <w:rsid w:val="00345647"/>
    <w:rsid w:val="00415D1E"/>
    <w:rsid w:val="004A20B3"/>
    <w:rsid w:val="00632C3B"/>
    <w:rsid w:val="00676326"/>
    <w:rsid w:val="006D6809"/>
    <w:rsid w:val="007A4DE5"/>
    <w:rsid w:val="00803699"/>
    <w:rsid w:val="008B1315"/>
    <w:rsid w:val="00AE65AC"/>
    <w:rsid w:val="00B1220B"/>
    <w:rsid w:val="00DA7168"/>
    <w:rsid w:val="00DF20C8"/>
    <w:rsid w:val="00F92F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9EE72CF-718D-4896-A02B-6E123357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jc w:val="center"/>
      <w:outlineLvl w:val="0"/>
    </w:pPr>
    <w:rPr>
      <w:b/>
    </w:rPr>
  </w:style>
  <w:style w:type="paragraph" w:styleId="Ttulo2">
    <w:name w:val="heading 2"/>
    <w:basedOn w:val="Normal"/>
    <w:next w:val="Normal"/>
    <w:uiPriority w:val="9"/>
    <w:unhideWhenUsed/>
    <w:qFormat/>
    <w:pPr>
      <w:keepNext/>
      <w:keepLines/>
      <w:outlineLvl w:val="1"/>
    </w:pPr>
    <w:rPr>
      <w:b/>
    </w:rPr>
  </w:style>
  <w:style w:type="paragraph" w:styleId="Ttulo3">
    <w:name w:val="heading 3"/>
    <w:basedOn w:val="Normal"/>
    <w:next w:val="Normal"/>
    <w:link w:val="Ttulo3Car"/>
    <w:uiPriority w:val="9"/>
    <w:unhideWhenUsed/>
    <w:qFormat/>
    <w:pPr>
      <w:keepNext/>
      <w:keepLines/>
      <w:spacing w:line="480" w:lineRule="auto"/>
      <w:jc w:val="left"/>
      <w:outlineLvl w:val="2"/>
    </w:pPr>
    <w:rPr>
      <w:b/>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rPr>
      <w:color w:val="595959"/>
      <w:sz w:val="28"/>
      <w:szCs w:val="28"/>
    </w:rPr>
  </w:style>
  <w:style w:type="table" w:customStyle="1" w:styleId="a">
    <w:basedOn w:val="TableNormal2"/>
    <w:pPr>
      <w:spacing w:line="240" w:lineRule="auto"/>
    </w:p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pPr>
      <w:spacing w:line="240" w:lineRule="auto"/>
    </w:pPr>
    <w:tblPr>
      <w:tblStyleRowBandSize w:val="1"/>
      <w:tblStyleColBandSize w:val="1"/>
      <w:tblCellMar>
        <w:left w:w="108" w:type="dxa"/>
        <w:right w:w="108"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31FF4"/>
    <w:pPr>
      <w:ind w:left="720"/>
      <w:contextualSpacing/>
    </w:pPr>
  </w:style>
  <w:style w:type="paragraph" w:styleId="Encabezado">
    <w:name w:val="header"/>
    <w:basedOn w:val="Normal"/>
    <w:link w:val="EncabezadoCar"/>
    <w:uiPriority w:val="99"/>
    <w:unhideWhenUsed/>
    <w:rsid w:val="00EC506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C5064"/>
  </w:style>
  <w:style w:type="paragraph" w:styleId="Piedepgina">
    <w:name w:val="footer"/>
    <w:basedOn w:val="Normal"/>
    <w:link w:val="PiedepginaCar"/>
    <w:uiPriority w:val="99"/>
    <w:unhideWhenUsed/>
    <w:rsid w:val="00EC506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C5064"/>
  </w:style>
  <w:style w:type="character" w:customStyle="1" w:styleId="PuestoCar">
    <w:name w:val="Puesto Car"/>
    <w:aliases w:val="Cita textual Car"/>
    <w:basedOn w:val="Fuentedeprrafopredeter"/>
    <w:link w:val="Puesto"/>
    <w:uiPriority w:val="10"/>
    <w:rsid w:val="008C2020"/>
    <w:rPr>
      <w:i/>
      <w:color w:val="000000"/>
    </w:rPr>
  </w:style>
  <w:style w:type="paragraph" w:styleId="Sinespaciado">
    <w:name w:val="No Spacing"/>
    <w:aliases w:val="Francesa,INAI"/>
    <w:link w:val="SinespaciadoCar"/>
    <w:uiPriority w:val="1"/>
    <w:qFormat/>
    <w:rsid w:val="001B4DC0"/>
    <w:pPr>
      <w:spacing w:line="240" w:lineRule="auto"/>
      <w:jc w:val="left"/>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1B4DC0"/>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B4DC0"/>
  </w:style>
  <w:style w:type="character" w:styleId="Hipervnculo">
    <w:name w:val="Hyperlink"/>
    <w:aliases w:val="Hipervínculo1,Hipervínculo11,Hipervínculo12,Hipervínculo13,Hipervínculo14,Hipervínculo15"/>
    <w:basedOn w:val="Fuentedeprrafopredeter"/>
    <w:uiPriority w:val="99"/>
    <w:unhideWhenUsed/>
    <w:qFormat/>
    <w:rsid w:val="008C4EC4"/>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4EC4"/>
    <w:pPr>
      <w:spacing w:line="240" w:lineRule="auto"/>
    </w:pPr>
    <w:rPr>
      <w:rFonts w:eastAsia="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4EC4"/>
    <w:rPr>
      <w:rFonts w:eastAsia="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C4EC4"/>
    <w:rPr>
      <w:vertAlign w:val="superscript"/>
    </w:rPr>
  </w:style>
  <w:style w:type="table" w:styleId="Tablaconcuadrcula">
    <w:name w:val="Table Grid"/>
    <w:basedOn w:val="Tablanormal"/>
    <w:uiPriority w:val="39"/>
    <w:rsid w:val="003A2A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805C5"/>
    <w:rPr>
      <w:color w:val="800080" w:themeColor="followedHyperlink"/>
      <w:u w:val="single"/>
    </w:rPr>
  </w:style>
  <w:style w:type="paragraph" w:styleId="TtulodeTDC">
    <w:name w:val="TOC Heading"/>
    <w:basedOn w:val="Ttulo1"/>
    <w:next w:val="Normal"/>
    <w:uiPriority w:val="39"/>
    <w:unhideWhenUsed/>
    <w:qFormat/>
    <w:rsid w:val="00C57FA0"/>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57FA0"/>
    <w:pPr>
      <w:spacing w:after="100"/>
    </w:pPr>
  </w:style>
  <w:style w:type="paragraph" w:styleId="TDC2">
    <w:name w:val="toc 2"/>
    <w:basedOn w:val="Normal"/>
    <w:next w:val="Normal"/>
    <w:autoRedefine/>
    <w:uiPriority w:val="39"/>
    <w:unhideWhenUsed/>
    <w:rsid w:val="00C57FA0"/>
    <w:pPr>
      <w:spacing w:after="100"/>
      <w:ind w:left="220"/>
    </w:pPr>
  </w:style>
  <w:style w:type="paragraph" w:styleId="TDC3">
    <w:name w:val="toc 3"/>
    <w:basedOn w:val="Normal"/>
    <w:next w:val="Normal"/>
    <w:autoRedefine/>
    <w:uiPriority w:val="39"/>
    <w:unhideWhenUsed/>
    <w:rsid w:val="00C57FA0"/>
    <w:pPr>
      <w:spacing w:after="100"/>
      <w:ind w:left="440"/>
    </w:p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pPr>
      <w:spacing w:line="240" w:lineRule="auto"/>
    </w:pPr>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pPr>
      <w:spacing w:line="240" w:lineRule="auto"/>
    </w:pPr>
    <w:tblPr>
      <w:tblStyleRowBandSize w:val="1"/>
      <w:tblStyleColBandSize w:val="1"/>
      <w:tblCellMar>
        <w:left w:w="108" w:type="dxa"/>
        <w:right w:w="108" w:type="dxa"/>
      </w:tblCellMar>
    </w:tblPr>
  </w:style>
  <w:style w:type="paragraph" w:customStyle="1" w:styleId="font5">
    <w:name w:val="font5"/>
    <w:basedOn w:val="Normal"/>
    <w:rsid w:val="006B34E5"/>
    <w:pPr>
      <w:spacing w:before="100" w:beforeAutospacing="1" w:after="100" w:afterAutospacing="1" w:line="240" w:lineRule="auto"/>
      <w:jc w:val="left"/>
    </w:pPr>
    <w:rPr>
      <w:rFonts w:eastAsia="Times New Roman" w:cs="Times New Roman"/>
      <w:b/>
      <w:bCs/>
      <w:i/>
      <w:iCs/>
      <w:color w:val="000000"/>
      <w:sz w:val="20"/>
      <w:szCs w:val="20"/>
    </w:rPr>
  </w:style>
  <w:style w:type="paragraph" w:customStyle="1" w:styleId="font6">
    <w:name w:val="font6"/>
    <w:basedOn w:val="Normal"/>
    <w:rsid w:val="006B34E5"/>
    <w:pPr>
      <w:spacing w:before="100" w:beforeAutospacing="1" w:after="100" w:afterAutospacing="1" w:line="240" w:lineRule="auto"/>
      <w:jc w:val="left"/>
    </w:pPr>
    <w:rPr>
      <w:rFonts w:eastAsia="Times New Roman" w:cs="Times New Roman"/>
      <w:i/>
      <w:iCs/>
      <w:color w:val="000000"/>
      <w:sz w:val="20"/>
      <w:szCs w:val="20"/>
    </w:rPr>
  </w:style>
  <w:style w:type="paragraph" w:customStyle="1" w:styleId="xl65">
    <w:name w:val="xl65"/>
    <w:basedOn w:val="Normal"/>
    <w:rsid w:val="006B34E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6B3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0"/>
      <w:szCs w:val="20"/>
    </w:rPr>
  </w:style>
  <w:style w:type="paragraph" w:customStyle="1" w:styleId="xl67">
    <w:name w:val="xl67"/>
    <w:basedOn w:val="Normal"/>
    <w:rsid w:val="006B3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Normal"/>
    <w:rsid w:val="006B3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ingdings" w:eastAsia="Times New Roman" w:hAnsi="Wingdings" w:cs="Times New Roman"/>
      <w:sz w:val="20"/>
      <w:szCs w:val="20"/>
    </w:rPr>
  </w:style>
  <w:style w:type="paragraph" w:customStyle="1" w:styleId="xl69">
    <w:name w:val="xl69"/>
    <w:basedOn w:val="Normal"/>
    <w:rsid w:val="006B3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0"/>
      <w:szCs w:val="20"/>
    </w:rPr>
  </w:style>
  <w:style w:type="paragraph" w:customStyle="1" w:styleId="xl70">
    <w:name w:val="xl70"/>
    <w:basedOn w:val="Normal"/>
    <w:rsid w:val="006B3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i/>
      <w:iCs/>
      <w:sz w:val="20"/>
      <w:szCs w:val="20"/>
    </w:rPr>
  </w:style>
  <w:style w:type="paragraph" w:customStyle="1" w:styleId="xl71">
    <w:name w:val="xl71"/>
    <w:basedOn w:val="Normal"/>
    <w:rsid w:val="006B3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Normal"/>
    <w:rsid w:val="006B3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Wingdings" w:eastAsia="Times New Roman" w:hAnsi="Wingdings" w:cs="Times New Roman"/>
      <w:sz w:val="20"/>
      <w:szCs w:val="20"/>
    </w:rPr>
  </w:style>
  <w:style w:type="paragraph" w:customStyle="1" w:styleId="xl73">
    <w:name w:val="xl73"/>
    <w:basedOn w:val="Normal"/>
    <w:rsid w:val="006B3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74">
    <w:name w:val="xl74"/>
    <w:basedOn w:val="Normal"/>
    <w:rsid w:val="006B3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
    <w:rsid w:val="006B34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 w:type="character" w:customStyle="1" w:styleId="selectable-text">
    <w:name w:val="selectable-text"/>
    <w:basedOn w:val="Fuentedeprrafopredeter"/>
    <w:rsid w:val="0029304C"/>
  </w:style>
  <w:style w:type="character" w:customStyle="1" w:styleId="apple-converted-space">
    <w:name w:val="apple-converted-space"/>
    <w:basedOn w:val="Fuentedeprrafopredeter"/>
    <w:rsid w:val="00264134"/>
  </w:style>
  <w:style w:type="character" w:customStyle="1" w:styleId="il">
    <w:name w:val="il"/>
    <w:basedOn w:val="Fuentedeprrafopredeter"/>
    <w:rsid w:val="00264134"/>
    <w:rPr>
      <w:rFonts w:cs="Times New Roman"/>
    </w:rPr>
  </w:style>
  <w:style w:type="table" w:customStyle="1" w:styleId="a7">
    <w:basedOn w:val="TableNormal1"/>
    <w:pPr>
      <w:spacing w:line="240" w:lineRule="auto"/>
    </w:pPr>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pPr>
      <w:spacing w:line="240" w:lineRule="auto"/>
    </w:pPr>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B51AB4"/>
    <w:rPr>
      <w:color w:val="605E5C"/>
      <w:shd w:val="clear" w:color="auto" w:fill="E1DFDD"/>
    </w:rPr>
  </w:style>
  <w:style w:type="character" w:customStyle="1" w:styleId="Ttulo3Car">
    <w:name w:val="Título 3 Car"/>
    <w:basedOn w:val="Fuentedeprrafopredeter"/>
    <w:link w:val="Ttulo3"/>
    <w:uiPriority w:val="9"/>
    <w:rsid w:val="00617C01"/>
    <w:rPr>
      <w:b/>
    </w:rPr>
  </w:style>
  <w:style w:type="character" w:customStyle="1" w:styleId="Mencinsinresolver2">
    <w:name w:val="Mención sin resolver2"/>
    <w:basedOn w:val="Fuentedeprrafopredeter"/>
    <w:uiPriority w:val="99"/>
    <w:semiHidden/>
    <w:unhideWhenUsed/>
    <w:rsid w:val="00786848"/>
    <w:rPr>
      <w:color w:val="605E5C"/>
      <w:shd w:val="clear" w:color="auto" w:fill="E1DFDD"/>
    </w:rPr>
  </w:style>
  <w:style w:type="table" w:customStyle="1" w:styleId="aa">
    <w:basedOn w:val="TableNormal0"/>
    <w:pPr>
      <w:spacing w:line="240" w:lineRule="auto"/>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ndusef.gob.mx/Revista/index.php/usuario-inteligente/condusef-responde/777-la-condusef-te-puede-ayudar" TargetMode="External"/><Relationship Id="rId7" Type="http://schemas.openxmlformats.org/officeDocument/2006/relationships/endnotes" Target="endnotes.xml"/><Relationship Id="rId12" Type="http://schemas.openxmlformats.org/officeDocument/2006/relationships/hyperlink" Target="http://www.apartados.hacienda.gob.mx/contabilidad/documentos/informe_cuenta/1998/cuenta_publica/Glosario/n.htm" TargetMode="External"/><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gob.mx/segob/renapo/acciones-y-programas/clave-unica-de-registro-de-poblacion-curp-1422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parenciapresupuestaria.gob.mx/es/PTP/Glosario" TargetMode="External"/><Relationship Id="rId24" Type="http://schemas.openxmlformats.org/officeDocument/2006/relationships/hyperlink" Target="http://secretariadoejecutivo.gob.mx/work/models/SecretariadoEjecutivo/Resource/328/1/images/instructivo_final_edo_fuerza(1).pdf"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hyperlink" Target="https://consultas.curp.gob.mx/CurpSP/html/informacionecurpP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https://webapps.condusef.gob.mx/SIPRES/jsp/pub/index.jsp"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sfem.gob.mx/assets/conocenos/marco_normativo/acuerdos/2024/acuerdo_04_anexod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aI12Vi74jAH1H2BDL057e27Dg==">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52</Pages>
  <Words>13153</Words>
  <Characters>72343</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INFOEM381</cp:lastModifiedBy>
  <cp:revision>6</cp:revision>
  <cp:lastPrinted>2025-04-24T19:47:00Z</cp:lastPrinted>
  <dcterms:created xsi:type="dcterms:W3CDTF">2025-04-22T01:19:00Z</dcterms:created>
  <dcterms:modified xsi:type="dcterms:W3CDTF">2025-05-12T19:00:00Z</dcterms:modified>
</cp:coreProperties>
</file>