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07D" w:rsidRPr="00BA6413" w:rsidRDefault="0016307D" w:rsidP="0016307D">
      <w:pPr>
        <w:tabs>
          <w:tab w:val="left" w:pos="3465"/>
        </w:tabs>
        <w:spacing w:line="360" w:lineRule="auto"/>
        <w:jc w:val="both"/>
        <w:rPr>
          <w:rFonts w:ascii="Palatino Linotype" w:hAnsi="Palatino Linotype"/>
        </w:rPr>
      </w:pPr>
      <w:r w:rsidRPr="00BA6413">
        <w:rPr>
          <w:rFonts w:ascii="Palatino Linotype" w:hAnsi="Palatino Linotype"/>
        </w:rPr>
        <w:t>Resolución del Pleno del Instituto de Transparencia, Acceso a la Información Pública y Protección de Datos Personales del Estado de México y Municipios, con domicilio en Metepec, Estado de México; de fecha dos de abril de dos mil veinticinco.</w:t>
      </w:r>
    </w:p>
    <w:p w:rsidR="0016307D" w:rsidRPr="00BA6413" w:rsidRDefault="0016307D" w:rsidP="0016307D">
      <w:pPr>
        <w:tabs>
          <w:tab w:val="left" w:pos="3465"/>
        </w:tabs>
        <w:spacing w:line="360" w:lineRule="auto"/>
        <w:jc w:val="both"/>
        <w:rPr>
          <w:rFonts w:ascii="Palatino Linotype" w:hAnsi="Palatino Linotype"/>
        </w:rPr>
      </w:pPr>
    </w:p>
    <w:p w:rsidR="0016307D" w:rsidRPr="00BA6413" w:rsidRDefault="0016307D" w:rsidP="0016307D">
      <w:pPr>
        <w:tabs>
          <w:tab w:val="left" w:pos="3969"/>
        </w:tabs>
        <w:spacing w:line="360" w:lineRule="auto"/>
        <w:jc w:val="both"/>
        <w:rPr>
          <w:rFonts w:ascii="Palatino Linotype" w:hAnsi="Palatino Linotype"/>
        </w:rPr>
      </w:pPr>
      <w:r w:rsidRPr="00BA6413">
        <w:rPr>
          <w:rFonts w:ascii="Palatino Linotype" w:hAnsi="Palatino Linotype"/>
          <w:b/>
        </w:rPr>
        <w:t>VISTO</w:t>
      </w:r>
      <w:r w:rsidRPr="00BA6413">
        <w:rPr>
          <w:rFonts w:ascii="Palatino Linotype" w:hAnsi="Palatino Linotype"/>
        </w:rPr>
        <w:t xml:space="preserve"> el expediente electrónico formado con motivo del recurso de revisión </w:t>
      </w:r>
      <w:r w:rsidRPr="00BA6413">
        <w:rPr>
          <w:rFonts w:ascii="Palatino Linotype" w:hAnsi="Palatino Linotype"/>
          <w:b/>
        </w:rPr>
        <w:t>01733/INFOEM/IP/RR/2025</w:t>
      </w:r>
      <w:r w:rsidRPr="00BA6413">
        <w:rPr>
          <w:rFonts w:ascii="Palatino Linotype" w:hAnsi="Palatino Linotype"/>
        </w:rPr>
        <w:t>,</w:t>
      </w:r>
      <w:r w:rsidRPr="00BA6413">
        <w:rPr>
          <w:rFonts w:ascii="Palatino Linotype" w:hAnsi="Palatino Linotype" w:cs="Arial"/>
          <w:b/>
          <w:bCs/>
        </w:rPr>
        <w:t xml:space="preserve"> </w:t>
      </w:r>
      <w:r w:rsidRPr="00BA6413">
        <w:rPr>
          <w:rFonts w:ascii="Palatino Linotype" w:hAnsi="Palatino Linotype"/>
        </w:rPr>
        <w:t xml:space="preserve">promovido </w:t>
      </w:r>
      <w:r w:rsidRPr="00BA6413">
        <w:rPr>
          <w:rFonts w:ascii="Palatino Linotype" w:hAnsi="Palatino Linotype"/>
          <w:color w:val="000000" w:themeColor="text1"/>
        </w:rPr>
        <w:t xml:space="preserve">por </w:t>
      </w:r>
      <w:r w:rsidRPr="00BA6413">
        <w:rPr>
          <w:rFonts w:ascii="Palatino Linotype" w:hAnsi="Palatino Linotype"/>
          <w:b/>
          <w:bCs/>
          <w:color w:val="000000" w:themeColor="text1"/>
        </w:rPr>
        <w:t> </w:t>
      </w:r>
      <w:r w:rsidR="00471566">
        <w:rPr>
          <w:rFonts w:ascii="Palatino Linotype" w:hAnsi="Palatino Linotype"/>
          <w:b/>
          <w:bCs/>
          <w:color w:val="000000" w:themeColor="text1"/>
        </w:rPr>
        <w:t>XXXX</w:t>
      </w:r>
      <w:r w:rsidRPr="00BA6413">
        <w:rPr>
          <w:rFonts w:ascii="Palatino Linotype" w:hAnsi="Palatino Linotype"/>
          <w:color w:val="000000" w:themeColor="text1"/>
        </w:rPr>
        <w:t xml:space="preserve">, a quien </w:t>
      </w:r>
      <w:r w:rsidRPr="00BA6413">
        <w:rPr>
          <w:rFonts w:ascii="Palatino Linotype" w:hAnsi="Palatino Linotype"/>
        </w:rPr>
        <w:t xml:space="preserve">en lo sucesivo se le identificará como </w:t>
      </w:r>
      <w:r w:rsidRPr="00BA6413">
        <w:rPr>
          <w:rFonts w:ascii="Palatino Linotype" w:hAnsi="Palatino Linotype"/>
          <w:b/>
        </w:rPr>
        <w:t>EL RECURRENTE</w:t>
      </w:r>
      <w:r w:rsidRPr="00BA6413">
        <w:rPr>
          <w:rFonts w:ascii="Palatino Linotype" w:hAnsi="Palatino Linotype" w:cs="Arial"/>
        </w:rPr>
        <w:t xml:space="preserve">, en contra de la respuesta de la </w:t>
      </w:r>
      <w:r w:rsidRPr="00BA6413">
        <w:rPr>
          <w:rFonts w:ascii="Palatino Linotype" w:hAnsi="Palatino Linotype" w:cs="Arial"/>
          <w:b/>
        </w:rPr>
        <w:t>Secretaría de la Contraloría,</w:t>
      </w:r>
      <w:r w:rsidRPr="00BA6413">
        <w:rPr>
          <w:rFonts w:ascii="Palatino Linotype" w:hAnsi="Palatino Linotype"/>
          <w:b/>
        </w:rPr>
        <w:t xml:space="preserve"> </w:t>
      </w:r>
      <w:r w:rsidRPr="00BA6413">
        <w:rPr>
          <w:rFonts w:ascii="Palatino Linotype" w:hAnsi="Palatino Linotype"/>
        </w:rPr>
        <w:t>en lo sucesivo el</w:t>
      </w:r>
      <w:r w:rsidRPr="00BA6413">
        <w:rPr>
          <w:rFonts w:ascii="Palatino Linotype" w:hAnsi="Palatino Linotype"/>
          <w:b/>
        </w:rPr>
        <w:t xml:space="preserve"> SUJETO OBLIGADO</w:t>
      </w:r>
      <w:r w:rsidRPr="00BA6413">
        <w:rPr>
          <w:rFonts w:ascii="Palatino Linotype" w:hAnsi="Palatino Linotype"/>
        </w:rPr>
        <w:t>, se procede a dictar la presente resolución, con base en los siguientes:</w:t>
      </w:r>
    </w:p>
    <w:p w:rsidR="0016307D" w:rsidRPr="00BA6413" w:rsidRDefault="0016307D" w:rsidP="0016307D">
      <w:pPr>
        <w:spacing w:line="360" w:lineRule="auto"/>
        <w:jc w:val="both"/>
        <w:rPr>
          <w:rFonts w:ascii="Palatino Linotype" w:hAnsi="Palatino Linotype"/>
          <w:b/>
        </w:rPr>
      </w:pPr>
    </w:p>
    <w:p w:rsidR="0016307D" w:rsidRPr="00BA6413" w:rsidRDefault="0016307D" w:rsidP="0016307D">
      <w:pPr>
        <w:pStyle w:val="Ttulo1"/>
        <w:spacing w:before="0" w:line="360" w:lineRule="auto"/>
        <w:jc w:val="both"/>
        <w:rPr>
          <w:rFonts w:ascii="Palatino Linotype" w:hAnsi="Palatino Linotype"/>
          <w:b/>
          <w:color w:val="000000" w:themeColor="text1"/>
          <w:sz w:val="24"/>
          <w:szCs w:val="24"/>
        </w:rPr>
      </w:pPr>
      <w:bookmarkStart w:id="0" w:name="_Toc461555884"/>
      <w:bookmarkStart w:id="1" w:name="_Toc466371847"/>
      <w:bookmarkStart w:id="2" w:name="_Toc83128575"/>
      <w:r w:rsidRPr="00BA6413">
        <w:rPr>
          <w:rFonts w:ascii="Palatino Linotype" w:hAnsi="Palatino Linotype"/>
          <w:b/>
          <w:color w:val="000000" w:themeColor="text1"/>
          <w:sz w:val="24"/>
          <w:szCs w:val="24"/>
        </w:rPr>
        <w:t>ANTECEDENTES</w:t>
      </w:r>
      <w:bookmarkEnd w:id="0"/>
      <w:bookmarkEnd w:id="1"/>
      <w:bookmarkEnd w:id="2"/>
    </w:p>
    <w:p w:rsidR="0016307D" w:rsidRPr="00BA6413" w:rsidRDefault="0016307D" w:rsidP="0016307D">
      <w:pPr>
        <w:jc w:val="both"/>
      </w:pPr>
    </w:p>
    <w:p w:rsidR="0016307D" w:rsidRPr="00BA6413" w:rsidRDefault="0016307D" w:rsidP="0016307D">
      <w:pPr>
        <w:pStyle w:val="Prrafodelista"/>
        <w:numPr>
          <w:ilvl w:val="0"/>
          <w:numId w:val="1"/>
        </w:numPr>
        <w:spacing w:line="360" w:lineRule="auto"/>
        <w:ind w:left="0" w:firstLine="0"/>
        <w:jc w:val="both"/>
        <w:rPr>
          <w:rFonts w:ascii="Palatino Linotype" w:eastAsia="Calibri" w:hAnsi="Palatino Linotype" w:cs="Arial"/>
          <w:lang w:val="es-ES"/>
        </w:rPr>
      </w:pPr>
      <w:r w:rsidRPr="00BA6413">
        <w:rPr>
          <w:rFonts w:ascii="Palatino Linotype" w:eastAsia="Calibri" w:hAnsi="Palatino Linotype" w:cs="Arial"/>
          <w:lang w:val="es-ES"/>
        </w:rPr>
        <w:t xml:space="preserve">El día </w:t>
      </w:r>
      <w:r w:rsidRPr="00BA6413">
        <w:rPr>
          <w:rFonts w:ascii="Palatino Linotype" w:eastAsia="Calibri" w:hAnsi="Palatino Linotype" w:cs="Arial"/>
          <w:b/>
          <w:lang w:val="es-ES"/>
        </w:rPr>
        <w:t>catorce de febrero de dos mil veinticinco</w:t>
      </w:r>
      <w:r w:rsidRPr="00BA6413">
        <w:rPr>
          <w:rFonts w:ascii="Palatino Linotype" w:hAnsi="Palatino Linotype"/>
          <w:b/>
        </w:rPr>
        <w:t xml:space="preserve">, </w:t>
      </w:r>
      <w:r w:rsidRPr="00BA6413">
        <w:rPr>
          <w:rFonts w:ascii="Palatino Linotype" w:eastAsia="Calibri" w:hAnsi="Palatino Linotype" w:cs="Arial"/>
          <w:lang w:val="es-ES"/>
        </w:rPr>
        <w:t xml:space="preserve">se presentó ante el </w:t>
      </w:r>
      <w:r w:rsidRPr="00BA6413">
        <w:rPr>
          <w:rFonts w:ascii="Palatino Linotype" w:eastAsia="Calibri" w:hAnsi="Palatino Linotype" w:cs="Arial"/>
          <w:b/>
          <w:lang w:val="es-ES"/>
        </w:rPr>
        <w:t>SUJETO OBLIGADO</w:t>
      </w:r>
      <w:r w:rsidRPr="00BA6413">
        <w:rPr>
          <w:rFonts w:ascii="Palatino Linotype" w:eastAsia="Calibri" w:hAnsi="Palatino Linotype" w:cs="Arial"/>
        </w:rPr>
        <w:t xml:space="preserve"> vía </w:t>
      </w:r>
      <w:r w:rsidRPr="00BA6413">
        <w:rPr>
          <w:rFonts w:ascii="Palatino Linotype" w:eastAsia="Calibri" w:hAnsi="Palatino Linotype" w:cs="Arial"/>
          <w:lang w:val="es-ES"/>
        </w:rPr>
        <w:t>Sistema de Acceso a la Información, la solicitud de información pública registrada con el número</w:t>
      </w:r>
      <w:r w:rsidRPr="00BA6413">
        <w:rPr>
          <w:rFonts w:ascii="Palatino Linotype" w:hAnsi="Palatino Linotype"/>
          <w:b/>
          <w:bCs/>
          <w:color w:val="000000" w:themeColor="text1"/>
        </w:rPr>
        <w:t xml:space="preserve"> 00066/SECOGEM/IP/2025; </w:t>
      </w:r>
      <w:r w:rsidRPr="00BA6413">
        <w:rPr>
          <w:rFonts w:ascii="Palatino Linotype" w:eastAsia="Calibri" w:hAnsi="Palatino Linotype" w:cs="Arial"/>
          <w:lang w:val="es-ES"/>
        </w:rPr>
        <w:t>mediante la cual se solicitó la siguiente información:</w:t>
      </w:r>
    </w:p>
    <w:p w:rsidR="0016307D" w:rsidRPr="00BA6413" w:rsidRDefault="0016307D" w:rsidP="0016307D">
      <w:pPr>
        <w:pStyle w:val="Prrafodelista"/>
        <w:spacing w:line="360" w:lineRule="auto"/>
        <w:ind w:left="0"/>
        <w:jc w:val="both"/>
        <w:rPr>
          <w:rFonts w:ascii="Palatino Linotype" w:eastAsia="Calibri" w:hAnsi="Palatino Linotype" w:cs="Arial"/>
          <w:lang w:val="es-ES"/>
        </w:rPr>
      </w:pPr>
    </w:p>
    <w:p w:rsidR="0016307D" w:rsidRPr="00BA6413" w:rsidRDefault="0016307D" w:rsidP="0016307D">
      <w:pPr>
        <w:pStyle w:val="Prrafodelista"/>
        <w:ind w:left="1134" w:right="900"/>
        <w:jc w:val="both"/>
        <w:rPr>
          <w:rFonts w:ascii="Palatino Linotype" w:hAnsi="Palatino Linotype"/>
        </w:rPr>
      </w:pPr>
      <w:r w:rsidRPr="00BA6413">
        <w:rPr>
          <w:rFonts w:ascii="Palatino Linotype" w:hAnsi="Palatino Linotype"/>
          <w:i/>
        </w:rPr>
        <w:t xml:space="preserve">“Deseo conocer si es posible que la presidenta municipal de </w:t>
      </w:r>
      <w:proofErr w:type="spellStart"/>
      <w:r w:rsidRPr="00BA6413">
        <w:rPr>
          <w:rFonts w:ascii="Palatino Linotype" w:hAnsi="Palatino Linotype"/>
          <w:i/>
        </w:rPr>
        <w:t>Rayon</w:t>
      </w:r>
      <w:proofErr w:type="spellEnd"/>
      <w:r w:rsidRPr="00BA6413">
        <w:rPr>
          <w:rFonts w:ascii="Palatino Linotype" w:hAnsi="Palatino Linotype"/>
          <w:i/>
        </w:rPr>
        <w:t xml:space="preserve"> Edna </w:t>
      </w:r>
      <w:proofErr w:type="spellStart"/>
      <w:r w:rsidRPr="00BA6413">
        <w:rPr>
          <w:rFonts w:ascii="Palatino Linotype" w:hAnsi="Palatino Linotype"/>
          <w:i/>
        </w:rPr>
        <w:t>Estephany</w:t>
      </w:r>
      <w:proofErr w:type="spellEnd"/>
      <w:r w:rsidRPr="00BA6413">
        <w:rPr>
          <w:rFonts w:ascii="Palatino Linotype" w:hAnsi="Palatino Linotype"/>
          <w:i/>
        </w:rPr>
        <w:t xml:space="preserve"> Talavera </w:t>
      </w:r>
      <w:proofErr w:type="spellStart"/>
      <w:r w:rsidRPr="00BA6413">
        <w:rPr>
          <w:rFonts w:ascii="Palatino Linotype" w:hAnsi="Palatino Linotype"/>
          <w:i/>
        </w:rPr>
        <w:t>Mrercado</w:t>
      </w:r>
      <w:proofErr w:type="spellEnd"/>
      <w:r w:rsidRPr="00BA6413">
        <w:rPr>
          <w:rFonts w:ascii="Palatino Linotype" w:hAnsi="Palatino Linotype"/>
          <w:i/>
        </w:rPr>
        <w:t xml:space="preserve"> tenga como secretario del ayuntamiento a su </w:t>
      </w:r>
      <w:proofErr w:type="spellStart"/>
      <w:r w:rsidRPr="00BA6413">
        <w:rPr>
          <w:rFonts w:ascii="Palatino Linotype" w:hAnsi="Palatino Linotype"/>
          <w:i/>
        </w:rPr>
        <w:t>tio</w:t>
      </w:r>
      <w:proofErr w:type="spellEnd"/>
      <w:r w:rsidRPr="00BA6413">
        <w:rPr>
          <w:rFonts w:ascii="Palatino Linotype" w:hAnsi="Palatino Linotype"/>
          <w:i/>
        </w:rPr>
        <w:t xml:space="preserve"> Eucario Nava Mercado y como director de Obras a su primo el C Marco </w:t>
      </w:r>
      <w:proofErr w:type="spellStart"/>
      <w:r w:rsidRPr="00BA6413">
        <w:rPr>
          <w:rFonts w:ascii="Palatino Linotype" w:hAnsi="Palatino Linotype"/>
          <w:i/>
        </w:rPr>
        <w:t>antonio</w:t>
      </w:r>
      <w:proofErr w:type="spellEnd"/>
      <w:r w:rsidRPr="00BA6413">
        <w:rPr>
          <w:rFonts w:ascii="Palatino Linotype" w:hAnsi="Palatino Linotype"/>
          <w:i/>
        </w:rPr>
        <w:t xml:space="preserve"> Nava </w:t>
      </w:r>
      <w:proofErr w:type="spellStart"/>
      <w:r w:rsidRPr="00BA6413">
        <w:rPr>
          <w:rFonts w:ascii="Palatino Linotype" w:hAnsi="Palatino Linotype"/>
          <w:i/>
        </w:rPr>
        <w:t>Pureco</w:t>
      </w:r>
      <w:proofErr w:type="spellEnd"/>
      <w:r w:rsidRPr="00BA6413">
        <w:rPr>
          <w:rFonts w:ascii="Palatino Linotype" w:hAnsi="Palatino Linotype"/>
          <w:i/>
        </w:rPr>
        <w:t xml:space="preserve">, de ser correcto que documentos los avala </w:t>
      </w:r>
      <w:proofErr w:type="spellStart"/>
      <w:r w:rsidRPr="00BA6413">
        <w:rPr>
          <w:rFonts w:ascii="Palatino Linotype" w:hAnsi="Palatino Linotype"/>
          <w:i/>
        </w:rPr>
        <w:t>asi</w:t>
      </w:r>
      <w:proofErr w:type="spellEnd"/>
      <w:r w:rsidRPr="00BA6413">
        <w:rPr>
          <w:rFonts w:ascii="Palatino Linotype" w:hAnsi="Palatino Linotype"/>
          <w:i/>
        </w:rPr>
        <w:t xml:space="preserve"> como sus certificaciones.”</w:t>
      </w:r>
    </w:p>
    <w:p w:rsidR="0016307D" w:rsidRPr="00BA6413" w:rsidRDefault="0016307D" w:rsidP="0016307D">
      <w:pPr>
        <w:pStyle w:val="Prrafodelista"/>
        <w:spacing w:line="360" w:lineRule="auto"/>
        <w:ind w:left="851" w:right="34"/>
        <w:jc w:val="both"/>
        <w:rPr>
          <w:rFonts w:ascii="Palatino Linotype" w:hAnsi="Palatino Linotype"/>
        </w:rPr>
      </w:pPr>
    </w:p>
    <w:p w:rsidR="0016307D" w:rsidRPr="00BA6413" w:rsidRDefault="0016307D" w:rsidP="0016307D">
      <w:pPr>
        <w:pStyle w:val="Prrafodelista"/>
        <w:numPr>
          <w:ilvl w:val="0"/>
          <w:numId w:val="2"/>
        </w:numPr>
        <w:spacing w:line="360" w:lineRule="auto"/>
        <w:ind w:left="851" w:right="474"/>
        <w:jc w:val="both"/>
        <w:rPr>
          <w:rFonts w:ascii="Palatino Linotype" w:hAnsi="Palatino Linotype"/>
        </w:rPr>
      </w:pPr>
      <w:r w:rsidRPr="00BA6413">
        <w:rPr>
          <w:rFonts w:ascii="Palatino Linotype" w:hAnsi="Palatino Linotype" w:cs="Arial"/>
          <w:lang w:val="es-ES"/>
        </w:rPr>
        <w:t>Se eligió como modalidad de entrega de la información</w:t>
      </w:r>
      <w:r w:rsidRPr="00BA6413">
        <w:rPr>
          <w:rFonts w:ascii="Palatino Linotype" w:hAnsi="Palatino Linotype"/>
        </w:rPr>
        <w:t xml:space="preserve">: A través del </w:t>
      </w:r>
      <w:r w:rsidRPr="00BA6413">
        <w:rPr>
          <w:rFonts w:ascii="Palatino Linotype" w:hAnsi="Palatino Linotype"/>
          <w:b/>
        </w:rPr>
        <w:t>Sistema de Acceso a la Información.</w:t>
      </w:r>
    </w:p>
    <w:p w:rsidR="0016307D" w:rsidRPr="00BA6413" w:rsidRDefault="0016307D" w:rsidP="0016307D">
      <w:pPr>
        <w:pStyle w:val="Prrafodelista"/>
        <w:spacing w:line="360" w:lineRule="auto"/>
        <w:ind w:left="0"/>
        <w:jc w:val="both"/>
        <w:rPr>
          <w:rFonts w:ascii="Palatino Linotype" w:eastAsia="Calibri" w:hAnsi="Palatino Linotype" w:cs="Arial"/>
          <w:lang w:val="es-ES"/>
        </w:rPr>
      </w:pPr>
    </w:p>
    <w:p w:rsidR="0016307D" w:rsidRPr="00BA6413" w:rsidRDefault="0016307D" w:rsidP="0016307D">
      <w:pPr>
        <w:pStyle w:val="Prrafodelista"/>
        <w:numPr>
          <w:ilvl w:val="0"/>
          <w:numId w:val="1"/>
        </w:numPr>
        <w:spacing w:line="360" w:lineRule="auto"/>
        <w:ind w:left="0" w:firstLine="0"/>
        <w:jc w:val="both"/>
        <w:rPr>
          <w:rFonts w:ascii="Palatino Linotype" w:eastAsia="Calibri" w:hAnsi="Palatino Linotype" w:cs="Arial"/>
          <w:i/>
          <w:lang w:val="es-ES"/>
        </w:rPr>
      </w:pPr>
      <w:r w:rsidRPr="00BA6413">
        <w:rPr>
          <w:rFonts w:ascii="Palatino Linotype" w:hAnsi="Palatino Linotype" w:cs="Arial"/>
          <w:color w:val="000000" w:themeColor="text1"/>
          <w:lang w:val="es-ES"/>
        </w:rPr>
        <w:lastRenderedPageBreak/>
        <w:t xml:space="preserve">En fecha </w:t>
      </w:r>
      <w:r w:rsidRPr="00BA6413">
        <w:rPr>
          <w:rFonts w:ascii="Palatino Linotype" w:hAnsi="Palatino Linotype" w:cs="Arial"/>
          <w:b/>
          <w:bCs/>
          <w:color w:val="000000" w:themeColor="text1"/>
          <w:lang w:val="es-ES"/>
        </w:rPr>
        <w:t>catorce de febrero de dos mil veinticinco</w:t>
      </w:r>
      <w:r w:rsidRPr="00BA6413">
        <w:rPr>
          <w:rFonts w:ascii="Palatino Linotype" w:hAnsi="Palatino Linotype" w:cs="Arial"/>
          <w:color w:val="000000" w:themeColor="text1"/>
          <w:lang w:val="es-ES"/>
        </w:rPr>
        <w:t xml:space="preserve">, el </w:t>
      </w:r>
      <w:r w:rsidRPr="00BA6413">
        <w:rPr>
          <w:rFonts w:ascii="Palatino Linotype" w:hAnsi="Palatino Linotype" w:cs="Arial"/>
          <w:b/>
          <w:color w:val="000000" w:themeColor="text1"/>
          <w:lang w:val="es-ES"/>
        </w:rPr>
        <w:t>SUJETO OBLIGADO</w:t>
      </w:r>
      <w:r w:rsidRPr="00BA6413">
        <w:rPr>
          <w:rFonts w:ascii="Palatino Linotype" w:hAnsi="Palatino Linotype" w:cs="Arial"/>
          <w:color w:val="000000" w:themeColor="text1"/>
          <w:lang w:val="es-ES"/>
        </w:rPr>
        <w:t xml:space="preserve"> subió dos archivos </w:t>
      </w:r>
      <w:proofErr w:type="spellStart"/>
      <w:r w:rsidRPr="00BA6413">
        <w:rPr>
          <w:rFonts w:ascii="Palatino Linotype" w:hAnsi="Palatino Linotype" w:cs="Arial"/>
          <w:color w:val="000000" w:themeColor="text1"/>
          <w:lang w:val="es-ES"/>
        </w:rPr>
        <w:t>electronicos</w:t>
      </w:r>
      <w:proofErr w:type="spellEnd"/>
      <w:r w:rsidRPr="00BA6413">
        <w:rPr>
          <w:rFonts w:ascii="Palatino Linotype" w:hAnsi="Palatino Linotype" w:cs="Arial"/>
          <w:color w:val="000000" w:themeColor="text1"/>
          <w:lang w:val="es-ES"/>
        </w:rPr>
        <w:t xml:space="preserve"> en formato PDF, cuyo contenido toral es el siguiente: </w:t>
      </w:r>
    </w:p>
    <w:p w:rsidR="0016307D" w:rsidRPr="00BA6413" w:rsidRDefault="0016307D" w:rsidP="0016307D">
      <w:pPr>
        <w:pStyle w:val="Prrafodelista"/>
        <w:tabs>
          <w:tab w:val="left" w:pos="0"/>
        </w:tabs>
        <w:spacing w:line="360" w:lineRule="auto"/>
        <w:ind w:left="360" w:right="49"/>
        <w:jc w:val="both"/>
        <w:rPr>
          <w:rFonts w:ascii="Palatino Linotype" w:eastAsia="Calibri" w:hAnsi="Palatino Linotype" w:cs="Arial"/>
          <w:i/>
          <w:lang w:val="es-ES"/>
        </w:rPr>
      </w:pPr>
      <w:r w:rsidRPr="00BA6413">
        <w:rPr>
          <w:rFonts w:ascii="Palatino Linotype" w:eastAsia="Calibri" w:hAnsi="Palatino Linotype" w:cs="Arial"/>
          <w:b/>
          <w:bCs/>
          <w:i/>
          <w:lang w:val="es-ES"/>
        </w:rPr>
        <w:t xml:space="preserve">OFICIO RESPUESTA UT_0001.pdf: </w:t>
      </w:r>
      <w:r w:rsidRPr="00BA6413">
        <w:rPr>
          <w:rFonts w:ascii="Palatino Linotype" w:eastAsia="Calibri" w:hAnsi="Palatino Linotype" w:cs="Arial"/>
          <w:i/>
          <w:lang w:val="es-ES"/>
        </w:rPr>
        <w:t xml:space="preserve">documento mediante el cual el Encargado de Despacho de la Unidad de Prevención de la Corrupción y Responsable de la Unidad de Transparencia, informa que se notifica el Acuerdo de Orientación de Solicitud de Información. </w:t>
      </w:r>
    </w:p>
    <w:p w:rsidR="0016307D" w:rsidRPr="00BA6413" w:rsidRDefault="0016307D" w:rsidP="0016307D">
      <w:pPr>
        <w:pStyle w:val="Prrafodelista"/>
        <w:tabs>
          <w:tab w:val="left" w:pos="0"/>
        </w:tabs>
        <w:spacing w:line="360" w:lineRule="auto"/>
        <w:ind w:left="360" w:right="49"/>
        <w:jc w:val="both"/>
        <w:rPr>
          <w:rFonts w:ascii="Palatino Linotype" w:eastAsia="Calibri" w:hAnsi="Palatino Linotype" w:cs="Arial"/>
          <w:i/>
          <w:lang w:val="es-ES"/>
        </w:rPr>
      </w:pPr>
      <w:r w:rsidRPr="00BA6413">
        <w:rPr>
          <w:rFonts w:ascii="Palatino Linotype" w:eastAsia="Calibri" w:hAnsi="Palatino Linotype" w:cs="Arial"/>
          <w:b/>
          <w:bCs/>
          <w:i/>
          <w:lang w:val="es-ES"/>
        </w:rPr>
        <w:t xml:space="preserve">ACUERDO ORIENTACIÓN_0001.pdf: </w:t>
      </w:r>
      <w:r w:rsidRPr="00BA6413">
        <w:rPr>
          <w:rFonts w:ascii="Palatino Linotype" w:eastAsia="Calibri" w:hAnsi="Palatino Linotype" w:cs="Arial"/>
          <w:i/>
          <w:lang w:val="es-ES"/>
        </w:rPr>
        <w:t xml:space="preserve">oficio mediante el cual el Encargado de Despacho de la Unidad de Prevención de la Corrupción y Responsable de la Unidad de Transparencia, informa que no es competente para atender la solicitud de información, por lo que hace del conocimiento que el sujeto obligado competente es el Ayuntamiento de Rayón. </w:t>
      </w:r>
    </w:p>
    <w:p w:rsidR="0016307D" w:rsidRPr="00BA6413" w:rsidRDefault="0016307D" w:rsidP="0016307D">
      <w:pPr>
        <w:pStyle w:val="Prrafodelista"/>
        <w:tabs>
          <w:tab w:val="left" w:pos="0"/>
        </w:tabs>
        <w:spacing w:line="360" w:lineRule="auto"/>
        <w:ind w:left="360" w:right="49"/>
        <w:jc w:val="both"/>
        <w:rPr>
          <w:rFonts w:ascii="Palatino Linotype" w:hAnsi="Palatino Linotype" w:cs="Arial"/>
          <w:color w:val="000000" w:themeColor="text1"/>
          <w:lang w:val="es-ES"/>
        </w:rPr>
      </w:pPr>
    </w:p>
    <w:p w:rsidR="0016307D" w:rsidRPr="00BA6413" w:rsidRDefault="0016307D" w:rsidP="0016307D">
      <w:pPr>
        <w:pStyle w:val="Prrafodelista"/>
        <w:numPr>
          <w:ilvl w:val="0"/>
          <w:numId w:val="1"/>
        </w:numPr>
        <w:spacing w:line="360" w:lineRule="auto"/>
        <w:ind w:left="0" w:firstLine="0"/>
        <w:jc w:val="both"/>
        <w:rPr>
          <w:rFonts w:ascii="Palatino Linotype" w:hAnsi="Palatino Linotype" w:cs="Arial"/>
          <w:i/>
          <w:color w:val="000000" w:themeColor="text1"/>
        </w:rPr>
      </w:pPr>
      <w:r w:rsidRPr="00BA6413">
        <w:rPr>
          <w:rFonts w:ascii="Palatino Linotype" w:hAnsi="Palatino Linotype" w:cs="Arial"/>
          <w:color w:val="000000" w:themeColor="text1"/>
          <w:lang w:val="es-ES"/>
        </w:rPr>
        <w:t xml:space="preserve">De la respuesta emitida por el </w:t>
      </w:r>
      <w:r w:rsidRPr="00BA6413">
        <w:rPr>
          <w:rFonts w:ascii="Palatino Linotype" w:hAnsi="Palatino Linotype" w:cs="Arial"/>
          <w:b/>
          <w:color w:val="000000" w:themeColor="text1"/>
          <w:lang w:val="es-ES"/>
        </w:rPr>
        <w:t xml:space="preserve"> SUJETO OBLIGADO, </w:t>
      </w:r>
      <w:r w:rsidRPr="00BA6413">
        <w:rPr>
          <w:rFonts w:ascii="Palatino Linotype" w:hAnsi="Palatino Linotype" w:cs="Arial"/>
          <w:color w:val="000000" w:themeColor="text1"/>
          <w:lang w:val="es-ES"/>
        </w:rPr>
        <w:t xml:space="preserve">en fecha </w:t>
      </w:r>
      <w:r w:rsidRPr="00BA6413">
        <w:rPr>
          <w:rFonts w:ascii="Palatino Linotype" w:hAnsi="Palatino Linotype" w:cs="Arial"/>
          <w:b/>
          <w:color w:val="000000" w:themeColor="text1"/>
          <w:lang w:val="es-ES"/>
        </w:rPr>
        <w:t>veinte de febrero de dos mil veinticinco</w:t>
      </w:r>
      <w:r w:rsidRPr="00BA6413">
        <w:rPr>
          <w:rFonts w:ascii="Palatino Linotype" w:hAnsi="Palatino Linotype" w:cs="Arial"/>
          <w:color w:val="000000" w:themeColor="text1"/>
          <w:lang w:val="es-ES"/>
        </w:rPr>
        <w:t>, el particular interpuso el recurso de revisión en contra de la respuesta, manifestando las siguientes razones o motivos de inconformidad:</w:t>
      </w:r>
    </w:p>
    <w:p w:rsidR="0016307D" w:rsidRPr="00BA6413" w:rsidRDefault="0016307D" w:rsidP="0016307D">
      <w:pPr>
        <w:pStyle w:val="Prrafodelista"/>
        <w:tabs>
          <w:tab w:val="left" w:pos="0"/>
        </w:tabs>
        <w:spacing w:line="360" w:lineRule="auto"/>
        <w:ind w:left="0" w:right="49"/>
        <w:jc w:val="both"/>
        <w:rPr>
          <w:rFonts w:ascii="Palatino Linotype" w:hAnsi="Palatino Linotype" w:cs="Arial"/>
          <w:i/>
          <w:color w:val="000000" w:themeColor="text1"/>
        </w:rPr>
      </w:pPr>
    </w:p>
    <w:p w:rsidR="0016307D" w:rsidRPr="00BA6413" w:rsidRDefault="0016307D" w:rsidP="0016307D">
      <w:pPr>
        <w:pStyle w:val="Prrafodelista"/>
        <w:numPr>
          <w:ilvl w:val="0"/>
          <w:numId w:val="2"/>
        </w:numPr>
        <w:spacing w:line="360" w:lineRule="auto"/>
        <w:ind w:left="993"/>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A6413">
        <w:rPr>
          <w:rStyle w:val="Ttulo2Car"/>
          <w:rFonts w:ascii="Palatino Linotype" w:hAnsi="Palatino Linotype"/>
          <w:b/>
          <w:color w:val="auto"/>
          <w:sz w:val="24"/>
          <w:szCs w:val="24"/>
        </w:rPr>
        <w:t>Acto impugnado</w:t>
      </w:r>
      <w:bookmarkEnd w:id="3"/>
      <w:r w:rsidRPr="00BA6413">
        <w:rPr>
          <w:rStyle w:val="Ttulo2Car"/>
          <w:rFonts w:ascii="Palatino Linotype" w:hAnsi="Palatino Linotype"/>
          <w:b/>
          <w:color w:val="000000" w:themeColor="text1"/>
          <w:sz w:val="24"/>
          <w:szCs w:val="24"/>
        </w:rPr>
        <w:t xml:space="preserve">: </w:t>
      </w:r>
      <w:r w:rsidRPr="00BA6413">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Pr="00BA6413">
        <w:rPr>
          <w:rFonts w:ascii="Palatino Linotype" w:eastAsiaTheme="majorEastAsia" w:hAnsi="Palatino Linotype" w:cstheme="majorBidi"/>
          <w:i/>
          <w:color w:val="000000" w:themeColor="text1"/>
        </w:rPr>
        <w:t xml:space="preserve">00066/SECOGEM/IP/2025 Deseo conocer si es posible que la presidenta municipal de </w:t>
      </w:r>
      <w:proofErr w:type="spellStart"/>
      <w:r w:rsidRPr="00BA6413">
        <w:rPr>
          <w:rFonts w:ascii="Palatino Linotype" w:eastAsiaTheme="majorEastAsia" w:hAnsi="Palatino Linotype" w:cstheme="majorBidi"/>
          <w:i/>
          <w:color w:val="000000" w:themeColor="text1"/>
        </w:rPr>
        <w:t>Rayon</w:t>
      </w:r>
      <w:proofErr w:type="spellEnd"/>
      <w:r w:rsidRPr="00BA6413">
        <w:rPr>
          <w:rFonts w:ascii="Palatino Linotype" w:eastAsiaTheme="majorEastAsia" w:hAnsi="Palatino Linotype" w:cstheme="majorBidi"/>
          <w:i/>
          <w:color w:val="000000" w:themeColor="text1"/>
        </w:rPr>
        <w:t xml:space="preserve"> Edna </w:t>
      </w:r>
      <w:proofErr w:type="spellStart"/>
      <w:r w:rsidRPr="00BA6413">
        <w:rPr>
          <w:rFonts w:ascii="Palatino Linotype" w:eastAsiaTheme="majorEastAsia" w:hAnsi="Palatino Linotype" w:cstheme="majorBidi"/>
          <w:i/>
          <w:color w:val="000000" w:themeColor="text1"/>
        </w:rPr>
        <w:t>Estephany</w:t>
      </w:r>
      <w:proofErr w:type="spellEnd"/>
      <w:r w:rsidRPr="00BA6413">
        <w:rPr>
          <w:rFonts w:ascii="Palatino Linotype" w:eastAsiaTheme="majorEastAsia" w:hAnsi="Palatino Linotype" w:cstheme="majorBidi"/>
          <w:i/>
          <w:color w:val="000000" w:themeColor="text1"/>
        </w:rPr>
        <w:t xml:space="preserve"> Talavera </w:t>
      </w:r>
      <w:proofErr w:type="spellStart"/>
      <w:r w:rsidRPr="00BA6413">
        <w:rPr>
          <w:rFonts w:ascii="Palatino Linotype" w:eastAsiaTheme="majorEastAsia" w:hAnsi="Palatino Linotype" w:cstheme="majorBidi"/>
          <w:i/>
          <w:color w:val="000000" w:themeColor="text1"/>
        </w:rPr>
        <w:t>Mrercado</w:t>
      </w:r>
      <w:proofErr w:type="spellEnd"/>
      <w:r w:rsidRPr="00BA6413">
        <w:rPr>
          <w:rFonts w:ascii="Palatino Linotype" w:eastAsiaTheme="majorEastAsia" w:hAnsi="Palatino Linotype" w:cstheme="majorBidi"/>
          <w:i/>
          <w:color w:val="000000" w:themeColor="text1"/>
        </w:rPr>
        <w:t xml:space="preserve"> tenga como secretario del ayuntamiento a su </w:t>
      </w:r>
      <w:proofErr w:type="spellStart"/>
      <w:r w:rsidRPr="00BA6413">
        <w:rPr>
          <w:rFonts w:ascii="Palatino Linotype" w:eastAsiaTheme="majorEastAsia" w:hAnsi="Palatino Linotype" w:cstheme="majorBidi"/>
          <w:i/>
          <w:color w:val="000000" w:themeColor="text1"/>
        </w:rPr>
        <w:t>tio</w:t>
      </w:r>
      <w:proofErr w:type="spellEnd"/>
      <w:r w:rsidRPr="00BA6413">
        <w:rPr>
          <w:rFonts w:ascii="Palatino Linotype" w:eastAsiaTheme="majorEastAsia" w:hAnsi="Palatino Linotype" w:cstheme="majorBidi"/>
          <w:i/>
          <w:color w:val="000000" w:themeColor="text1"/>
        </w:rPr>
        <w:t xml:space="preserve"> Eucario Nava Mercado y como director de Obras a su primo el C Marco </w:t>
      </w:r>
      <w:proofErr w:type="spellStart"/>
      <w:r w:rsidRPr="00BA6413">
        <w:rPr>
          <w:rFonts w:ascii="Palatino Linotype" w:eastAsiaTheme="majorEastAsia" w:hAnsi="Palatino Linotype" w:cstheme="majorBidi"/>
          <w:i/>
          <w:color w:val="000000" w:themeColor="text1"/>
        </w:rPr>
        <w:t>antonio</w:t>
      </w:r>
      <w:proofErr w:type="spellEnd"/>
      <w:r w:rsidRPr="00BA6413">
        <w:rPr>
          <w:rFonts w:ascii="Palatino Linotype" w:eastAsiaTheme="majorEastAsia" w:hAnsi="Palatino Linotype" w:cstheme="majorBidi"/>
          <w:i/>
          <w:color w:val="000000" w:themeColor="text1"/>
        </w:rPr>
        <w:t xml:space="preserve"> Nava </w:t>
      </w:r>
      <w:proofErr w:type="spellStart"/>
      <w:r w:rsidRPr="00BA6413">
        <w:rPr>
          <w:rFonts w:ascii="Palatino Linotype" w:eastAsiaTheme="majorEastAsia" w:hAnsi="Palatino Linotype" w:cstheme="majorBidi"/>
          <w:i/>
          <w:color w:val="000000" w:themeColor="text1"/>
        </w:rPr>
        <w:t>Pureco</w:t>
      </w:r>
      <w:proofErr w:type="spellEnd"/>
      <w:r w:rsidRPr="00BA6413">
        <w:rPr>
          <w:rFonts w:ascii="Palatino Linotype" w:eastAsiaTheme="majorEastAsia" w:hAnsi="Palatino Linotype" w:cstheme="majorBidi"/>
          <w:i/>
          <w:color w:val="000000" w:themeColor="text1"/>
        </w:rPr>
        <w:t xml:space="preserve">, de ser correcto que documentos los avala </w:t>
      </w:r>
      <w:proofErr w:type="spellStart"/>
      <w:r w:rsidRPr="00BA6413">
        <w:rPr>
          <w:rFonts w:ascii="Palatino Linotype" w:eastAsiaTheme="majorEastAsia" w:hAnsi="Palatino Linotype" w:cstheme="majorBidi"/>
          <w:i/>
          <w:color w:val="000000" w:themeColor="text1"/>
        </w:rPr>
        <w:t>asi</w:t>
      </w:r>
      <w:proofErr w:type="spellEnd"/>
      <w:r w:rsidRPr="00BA6413">
        <w:rPr>
          <w:rFonts w:ascii="Palatino Linotype" w:eastAsiaTheme="majorEastAsia" w:hAnsi="Palatino Linotype" w:cstheme="majorBidi"/>
          <w:i/>
          <w:color w:val="000000" w:themeColor="text1"/>
        </w:rPr>
        <w:t xml:space="preserve"> como sus certificaciones</w:t>
      </w:r>
      <w:r w:rsidRPr="00BA6413">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16307D" w:rsidRPr="00BA6413" w:rsidRDefault="0016307D" w:rsidP="0016307D">
      <w:pPr>
        <w:pStyle w:val="Prrafodelista"/>
        <w:spacing w:line="360" w:lineRule="auto"/>
        <w:ind w:left="1134"/>
        <w:jc w:val="both"/>
        <w:rPr>
          <w:rStyle w:val="Ttulo2Car"/>
          <w:rFonts w:ascii="Palatino Linotype" w:hAnsi="Palatino Linotype"/>
          <w:i/>
          <w:color w:val="000000" w:themeColor="text1"/>
          <w:sz w:val="24"/>
          <w:szCs w:val="24"/>
        </w:rPr>
      </w:pPr>
    </w:p>
    <w:p w:rsidR="0016307D" w:rsidRPr="00BA6413" w:rsidRDefault="0016307D" w:rsidP="0016307D">
      <w:pPr>
        <w:pStyle w:val="Prrafodelista"/>
        <w:numPr>
          <w:ilvl w:val="0"/>
          <w:numId w:val="2"/>
        </w:numPr>
        <w:spacing w:line="360" w:lineRule="auto"/>
        <w:ind w:left="993"/>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BA6413">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BA6413">
        <w:rPr>
          <w:rFonts w:ascii="Palatino Linotype" w:hAnsi="Palatino Linotype"/>
          <w:b/>
          <w:color w:val="000000" w:themeColor="text1"/>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BA6413">
        <w:rPr>
          <w:rFonts w:ascii="Palatino Linotype" w:hAnsi="Palatino Linotype"/>
          <w:b/>
          <w:color w:val="000000" w:themeColor="text1"/>
        </w:rPr>
        <w:t>“</w:t>
      </w:r>
      <w:r w:rsidRPr="00BA6413">
        <w:rPr>
          <w:rFonts w:ascii="Palatino Linotype" w:hAnsi="Palatino Linotype"/>
          <w:i/>
          <w:color w:val="000000" w:themeColor="text1"/>
        </w:rPr>
        <w:t>DE ACUERDO A LA LFRASP DICE QUE POR CONSAGUINIDAD NOINO PUEDEN ESTAR LOS TIOS O PRIMOS A CARGO DE LA PRESIDENTA MUNICIPAL DE RAYON DESEO SABER POR QUE AQUI SI APLICA.”</w:t>
      </w:r>
    </w:p>
    <w:p w:rsidR="0016307D" w:rsidRPr="00BA6413" w:rsidRDefault="0016307D" w:rsidP="0016307D">
      <w:pPr>
        <w:pStyle w:val="Prrafodelista"/>
        <w:jc w:val="both"/>
        <w:rPr>
          <w:rFonts w:ascii="Palatino Linotype" w:hAnsi="Palatino Linotype"/>
          <w:i/>
          <w:color w:val="000000" w:themeColor="text1"/>
        </w:rPr>
      </w:pPr>
    </w:p>
    <w:p w:rsidR="0016307D" w:rsidRPr="00BA6413" w:rsidRDefault="0016307D" w:rsidP="0016307D">
      <w:pPr>
        <w:pStyle w:val="Prrafodelista"/>
        <w:numPr>
          <w:ilvl w:val="0"/>
          <w:numId w:val="1"/>
        </w:numPr>
        <w:spacing w:line="360" w:lineRule="auto"/>
        <w:ind w:left="0" w:firstLine="0"/>
        <w:jc w:val="both"/>
        <w:rPr>
          <w:rFonts w:ascii="Palatino Linotype" w:hAnsi="Palatino Linotype"/>
          <w:i/>
        </w:rPr>
      </w:pPr>
      <w:r w:rsidRPr="00BA6413">
        <w:rPr>
          <w:rFonts w:ascii="Palatino Linotype" w:hAnsi="Palatino Linotype"/>
          <w:iCs/>
        </w:rPr>
        <w:t xml:space="preserve">Al momento de interponer el recurso de revisión el entonces </w:t>
      </w:r>
      <w:r w:rsidRPr="00BA6413">
        <w:rPr>
          <w:rFonts w:ascii="Palatino Linotype" w:hAnsi="Palatino Linotype"/>
          <w:b/>
          <w:bCs/>
          <w:iCs/>
        </w:rPr>
        <w:t xml:space="preserve">SOLICITANTE </w:t>
      </w:r>
      <w:r w:rsidRPr="00BA6413">
        <w:rPr>
          <w:rFonts w:ascii="Palatino Linotype" w:hAnsi="Palatino Linotype"/>
          <w:iCs/>
        </w:rPr>
        <w:t xml:space="preserve">agrego un documento en archivo </w:t>
      </w:r>
      <w:proofErr w:type="spellStart"/>
      <w:r w:rsidRPr="00BA6413">
        <w:rPr>
          <w:rFonts w:ascii="Palatino Linotype" w:hAnsi="Palatino Linotype"/>
          <w:iCs/>
        </w:rPr>
        <w:t>word</w:t>
      </w:r>
      <w:proofErr w:type="spellEnd"/>
      <w:r w:rsidRPr="00BA6413">
        <w:rPr>
          <w:rFonts w:ascii="Palatino Linotype" w:hAnsi="Palatino Linotype"/>
          <w:iCs/>
        </w:rPr>
        <w:t xml:space="preserve">, cuyo contenido es el siguiente. </w:t>
      </w:r>
    </w:p>
    <w:p w:rsidR="0016307D" w:rsidRPr="00BA6413" w:rsidRDefault="0016307D" w:rsidP="0016307D">
      <w:pPr>
        <w:pStyle w:val="Prrafodelista"/>
        <w:spacing w:line="360" w:lineRule="auto"/>
        <w:ind w:left="1134" w:right="900"/>
        <w:jc w:val="both"/>
        <w:rPr>
          <w:rFonts w:ascii="Palatino Linotype" w:hAnsi="Palatino Linotype"/>
          <w:b/>
          <w:bCs/>
          <w:i/>
        </w:rPr>
      </w:pPr>
      <w:r w:rsidRPr="00BA6413">
        <w:rPr>
          <w:rFonts w:ascii="Palatino Linotype" w:hAnsi="Palatino Linotype"/>
          <w:b/>
          <w:bCs/>
          <w:i/>
        </w:rPr>
        <w:t xml:space="preserve">LAZOS CONSAGUINEOS.docx: </w:t>
      </w:r>
      <w:r w:rsidRPr="00BA6413">
        <w:rPr>
          <w:rFonts w:ascii="Palatino Linotype" w:hAnsi="Palatino Linotype"/>
          <w:i/>
        </w:rPr>
        <w:t xml:space="preserve">documento que se integra por dos hojas que contienen dos cuadros que tienen  contenido sobre el conflicto de intereses. </w:t>
      </w:r>
      <w:r w:rsidRPr="00BA6413">
        <w:rPr>
          <w:rFonts w:ascii="Palatino Linotype" w:hAnsi="Palatino Linotype"/>
          <w:b/>
          <w:bCs/>
          <w:i/>
        </w:rPr>
        <w:t xml:space="preserve"> </w:t>
      </w:r>
    </w:p>
    <w:p w:rsidR="0016307D" w:rsidRPr="00BA6413" w:rsidRDefault="0016307D" w:rsidP="0016307D">
      <w:pPr>
        <w:pStyle w:val="Prrafodelista"/>
        <w:spacing w:line="360" w:lineRule="auto"/>
        <w:ind w:left="1134" w:right="900"/>
        <w:jc w:val="both"/>
        <w:rPr>
          <w:rFonts w:ascii="Palatino Linotype" w:hAnsi="Palatino Linotype"/>
          <w:i/>
        </w:rPr>
      </w:pPr>
    </w:p>
    <w:p w:rsidR="0016307D" w:rsidRPr="00BA6413" w:rsidRDefault="0016307D" w:rsidP="0016307D">
      <w:pPr>
        <w:pStyle w:val="Prrafodelista"/>
        <w:numPr>
          <w:ilvl w:val="0"/>
          <w:numId w:val="1"/>
        </w:numPr>
        <w:spacing w:line="360" w:lineRule="auto"/>
        <w:ind w:left="0" w:firstLine="0"/>
        <w:jc w:val="both"/>
        <w:rPr>
          <w:rFonts w:ascii="Palatino Linotype" w:hAnsi="Palatino Linotype"/>
          <w:i/>
        </w:rPr>
      </w:pPr>
      <w:r w:rsidRPr="00BA6413">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Pr="00BA6413">
        <w:rPr>
          <w:rFonts w:ascii="Palatino Linotype" w:eastAsia="Calibri" w:hAnsi="Palatino Linotype" w:cs="Arial"/>
          <w:b/>
          <w:lang w:val="es-ES"/>
        </w:rPr>
        <w:t>veinticuatro de febrero de dos mil veinticinco</w:t>
      </w:r>
      <w:r w:rsidRPr="00BA6413">
        <w:rPr>
          <w:rFonts w:ascii="Palatino Linotype" w:eastAsia="Calibri" w:hAnsi="Palatino Linotype" w:cs="Arial"/>
          <w:lang w:val="es-ES"/>
        </w:rPr>
        <w:t xml:space="preserve">, puso a disposición de las partes el expediente electrónico </w:t>
      </w:r>
      <w:r w:rsidRPr="00BA6413">
        <w:rPr>
          <w:rFonts w:ascii="Palatino Linotype" w:eastAsia="Calibri" w:hAnsi="Palatino Linotype" w:cs="Arial"/>
        </w:rPr>
        <w:t xml:space="preserve">vía </w:t>
      </w:r>
      <w:r w:rsidRPr="00BA6413">
        <w:rPr>
          <w:rFonts w:ascii="Palatino Linotype" w:eastAsia="Calibri" w:hAnsi="Palatino Linotype" w:cs="Arial"/>
          <w:b/>
          <w:lang w:val="es-ES"/>
        </w:rPr>
        <w:t xml:space="preserve">SAIMEX </w:t>
      </w:r>
      <w:r w:rsidRPr="00BA6413">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BA6413">
        <w:rPr>
          <w:rFonts w:ascii="Palatino Linotype" w:eastAsia="Calibri" w:hAnsi="Palatino Linotype" w:cs="Arial"/>
          <w:b/>
          <w:lang w:val="es-ES"/>
        </w:rPr>
        <w:t>SUJETO OBLIGADO</w:t>
      </w:r>
      <w:r w:rsidRPr="00BA6413">
        <w:rPr>
          <w:rFonts w:ascii="Palatino Linotype" w:eastAsia="Calibri" w:hAnsi="Palatino Linotype" w:cs="Arial"/>
          <w:lang w:val="es-ES"/>
        </w:rPr>
        <w:t xml:space="preserve"> presentará el Informe Justificado procedente.</w:t>
      </w:r>
    </w:p>
    <w:p w:rsidR="0016307D" w:rsidRPr="00BA6413" w:rsidRDefault="0016307D" w:rsidP="0016307D">
      <w:pPr>
        <w:pStyle w:val="Prrafodelista"/>
        <w:spacing w:line="360" w:lineRule="auto"/>
        <w:ind w:left="0"/>
        <w:jc w:val="both"/>
        <w:rPr>
          <w:rFonts w:ascii="Palatino Linotype" w:hAnsi="Palatino Linotype"/>
          <w:i/>
        </w:rPr>
      </w:pPr>
    </w:p>
    <w:p w:rsidR="0016307D" w:rsidRPr="00BA6413" w:rsidRDefault="0016307D" w:rsidP="0016307D">
      <w:pPr>
        <w:pStyle w:val="Prrafodelista"/>
        <w:numPr>
          <w:ilvl w:val="0"/>
          <w:numId w:val="1"/>
        </w:numPr>
        <w:spacing w:line="360" w:lineRule="auto"/>
        <w:ind w:left="0" w:firstLine="0"/>
        <w:jc w:val="both"/>
        <w:rPr>
          <w:rFonts w:ascii="Palatino Linotype" w:hAnsi="Palatino Linotype"/>
        </w:rPr>
      </w:pPr>
      <w:r w:rsidRPr="00BA6413">
        <w:rPr>
          <w:rFonts w:ascii="Palatino Linotype" w:hAnsi="Palatino Linotype"/>
          <w:color w:val="000000"/>
        </w:rPr>
        <w:t xml:space="preserve">De lo anterior, en fecha </w:t>
      </w:r>
      <w:r w:rsidRPr="00BA6413">
        <w:rPr>
          <w:rFonts w:ascii="Palatino Linotype" w:hAnsi="Palatino Linotype"/>
          <w:b/>
          <w:color w:val="000000"/>
        </w:rPr>
        <w:t xml:space="preserve">seis de marzo de dos mil veinticinco, </w:t>
      </w:r>
      <w:r w:rsidRPr="00BA6413">
        <w:rPr>
          <w:rFonts w:ascii="Palatino Linotype" w:hAnsi="Palatino Linotype"/>
          <w:color w:val="000000"/>
        </w:rPr>
        <w:t xml:space="preserve">el </w:t>
      </w:r>
      <w:r w:rsidRPr="00BA6413">
        <w:rPr>
          <w:rFonts w:ascii="Palatino Linotype" w:hAnsi="Palatino Linotype"/>
          <w:b/>
          <w:color w:val="000000"/>
        </w:rPr>
        <w:t>SUJETO OBLIGADO</w:t>
      </w:r>
      <w:r w:rsidRPr="00BA6413">
        <w:rPr>
          <w:rFonts w:ascii="Palatino Linotype" w:hAnsi="Palatino Linotype"/>
          <w:color w:val="000000"/>
        </w:rPr>
        <w:t xml:space="preserve"> rindió su informe justificado mediante un archivo electrónico en formato pdf, cuyo contenido grosso modo es el siguiente: </w:t>
      </w:r>
    </w:p>
    <w:p w:rsidR="0016307D" w:rsidRPr="00BA6413" w:rsidRDefault="0016307D" w:rsidP="0016307D">
      <w:pPr>
        <w:pStyle w:val="Prrafodelista"/>
        <w:jc w:val="both"/>
        <w:rPr>
          <w:rFonts w:ascii="Palatino Linotype" w:hAnsi="Palatino Linotype"/>
        </w:rPr>
      </w:pPr>
    </w:p>
    <w:p w:rsidR="0016307D" w:rsidRPr="00BA6413" w:rsidRDefault="0016307D" w:rsidP="0016307D">
      <w:pPr>
        <w:pStyle w:val="Prrafodelista"/>
        <w:ind w:left="1134" w:right="900"/>
        <w:jc w:val="both"/>
        <w:rPr>
          <w:rFonts w:ascii="Palatino Linotype" w:hAnsi="Palatino Linotype"/>
          <w:b/>
          <w:i/>
        </w:rPr>
      </w:pPr>
      <w:r w:rsidRPr="00BA6413">
        <w:rPr>
          <w:rFonts w:ascii="Palatino Linotype" w:hAnsi="Palatino Linotype"/>
          <w:b/>
          <w:i/>
        </w:rPr>
        <w:t xml:space="preserve">RR 01733.pdf: </w:t>
      </w:r>
      <w:r w:rsidRPr="00BA6413">
        <w:rPr>
          <w:rFonts w:ascii="Palatino Linotype" w:hAnsi="Palatino Linotype"/>
          <w:bCs/>
          <w:i/>
        </w:rPr>
        <w:t xml:space="preserve">Informe Justificado mediante el cual se ratifica la respuesta inicial del </w:t>
      </w:r>
      <w:r w:rsidRPr="00BA6413">
        <w:rPr>
          <w:rFonts w:ascii="Palatino Linotype" w:hAnsi="Palatino Linotype"/>
          <w:b/>
          <w:i/>
        </w:rPr>
        <w:t xml:space="preserve">SUJETO OBLIGADO. </w:t>
      </w:r>
    </w:p>
    <w:p w:rsidR="0016307D" w:rsidRPr="00BA6413" w:rsidRDefault="0016307D" w:rsidP="0016307D">
      <w:pPr>
        <w:pStyle w:val="Prrafodelista"/>
        <w:ind w:left="1134" w:right="900"/>
        <w:jc w:val="both"/>
        <w:rPr>
          <w:rFonts w:ascii="Palatino Linotype" w:hAnsi="Palatino Linotype"/>
          <w:b/>
          <w:color w:val="000000"/>
        </w:rPr>
      </w:pPr>
    </w:p>
    <w:p w:rsidR="0016307D" w:rsidRPr="00BA6413" w:rsidRDefault="0016307D" w:rsidP="0016307D">
      <w:pPr>
        <w:pStyle w:val="Prrafodelista"/>
        <w:numPr>
          <w:ilvl w:val="0"/>
          <w:numId w:val="1"/>
        </w:numPr>
        <w:spacing w:line="360" w:lineRule="auto"/>
        <w:ind w:left="0" w:firstLine="0"/>
        <w:jc w:val="both"/>
        <w:rPr>
          <w:rFonts w:ascii="Palatino Linotype" w:hAnsi="Palatino Linotype"/>
        </w:rPr>
      </w:pPr>
      <w:r w:rsidRPr="00BA6413">
        <w:rPr>
          <w:rFonts w:ascii="Palatino Linotype" w:hAnsi="Palatino Linotype"/>
          <w:color w:val="000000"/>
        </w:rPr>
        <w:t xml:space="preserve">Por su parte </w:t>
      </w:r>
      <w:r w:rsidRPr="00BA6413">
        <w:rPr>
          <w:rFonts w:ascii="Palatino Linotype" w:hAnsi="Palatino Linotype"/>
          <w:b/>
          <w:color w:val="000000"/>
        </w:rPr>
        <w:t xml:space="preserve">el RECURRENTE </w:t>
      </w:r>
      <w:r w:rsidRPr="00BA6413">
        <w:rPr>
          <w:rFonts w:ascii="Palatino Linotype" w:hAnsi="Palatino Linotype"/>
          <w:color w:val="000000"/>
        </w:rPr>
        <w:t xml:space="preserve">dejo de realizar </w:t>
      </w:r>
      <w:r w:rsidRPr="00BA6413">
        <w:rPr>
          <w:rFonts w:ascii="Palatino Linotype" w:eastAsia="Calibri" w:hAnsi="Palatino Linotype" w:cs="Arial"/>
          <w:lang w:val="es-ES"/>
        </w:rPr>
        <w:t>manifestaciones</w:t>
      </w:r>
      <w:r w:rsidRPr="00BA6413">
        <w:rPr>
          <w:rFonts w:ascii="Palatino Linotype" w:hAnsi="Palatino Linotype"/>
          <w:color w:val="000000"/>
        </w:rPr>
        <w:t xml:space="preserve"> que a su derecho conviniera y asistiera, tal y como se muestra en la siguiente captura.</w:t>
      </w:r>
    </w:p>
    <w:p w:rsidR="0016307D" w:rsidRPr="00BA6413" w:rsidRDefault="0016307D" w:rsidP="0016307D">
      <w:pPr>
        <w:pStyle w:val="Prrafodelista"/>
        <w:spacing w:line="360" w:lineRule="auto"/>
        <w:jc w:val="both"/>
        <w:rPr>
          <w:rFonts w:ascii="Palatino Linotype" w:hAnsi="Palatino Linotype"/>
        </w:rPr>
      </w:pPr>
    </w:p>
    <w:p w:rsidR="0016307D" w:rsidRPr="00BA6413" w:rsidRDefault="0016307D" w:rsidP="0016307D">
      <w:pPr>
        <w:pStyle w:val="Prrafodelista"/>
        <w:numPr>
          <w:ilvl w:val="0"/>
          <w:numId w:val="1"/>
        </w:numPr>
        <w:spacing w:line="360" w:lineRule="auto"/>
        <w:ind w:left="0" w:firstLine="0"/>
        <w:jc w:val="both"/>
        <w:rPr>
          <w:rFonts w:ascii="Palatino Linotype" w:hAnsi="Palatino Linotype"/>
          <w:b/>
          <w:color w:val="000000" w:themeColor="text1"/>
        </w:rPr>
      </w:pPr>
      <w:r w:rsidRPr="00BA6413">
        <w:rPr>
          <w:rFonts w:ascii="Palatino Linotype" w:hAnsi="Palatino Linotype"/>
        </w:rPr>
        <w:t xml:space="preserve">Seguidamente, mediante </w:t>
      </w:r>
      <w:r w:rsidRPr="00BA6413">
        <w:rPr>
          <w:rFonts w:ascii="Palatino Linotype" w:hAnsi="Palatino Linotype"/>
          <w:color w:val="000000"/>
        </w:rPr>
        <w:t>acuerdo</w:t>
      </w:r>
      <w:r w:rsidRPr="00BA6413">
        <w:rPr>
          <w:rFonts w:ascii="Palatino Linotype" w:hAnsi="Palatino Linotype"/>
        </w:rPr>
        <w:t xml:space="preserve"> de fecha </w:t>
      </w:r>
      <w:r w:rsidRPr="00BA6413">
        <w:rPr>
          <w:rFonts w:ascii="Palatino Linotype" w:hAnsi="Palatino Linotype"/>
          <w:b/>
          <w:bCs/>
        </w:rPr>
        <w:t>dos de abril de dos mil veinticinco,</w:t>
      </w:r>
      <w:r w:rsidRPr="00BA6413">
        <w:rPr>
          <w:rFonts w:ascii="Palatino Linotype" w:hAnsi="Palatino Linotype"/>
        </w:rPr>
        <w:t xml:space="preserve"> se  decretó el cierre de instrucción, </w:t>
      </w:r>
      <w:r w:rsidRPr="00BA6413">
        <w:rPr>
          <w:rFonts w:ascii="Palatino Linotype" w:hAnsi="Palatino Linotype" w:cs="Arial"/>
        </w:rPr>
        <w:t>por lo que no ha</w:t>
      </w:r>
      <w:bookmarkStart w:id="133" w:name="_Toc491791302"/>
      <w:bookmarkStart w:id="134" w:name="_Toc83128578"/>
      <w:r w:rsidRPr="00BA6413">
        <w:rPr>
          <w:rFonts w:ascii="Palatino Linotype" w:hAnsi="Palatino Linotype" w:cs="Arial"/>
        </w:rPr>
        <w:t>biendo más que hacer constar, y-----------------------------------------------------------------------------------------.</w:t>
      </w:r>
    </w:p>
    <w:p w:rsidR="0016307D" w:rsidRPr="00BA6413" w:rsidRDefault="0016307D" w:rsidP="0016307D">
      <w:pPr>
        <w:pStyle w:val="Prrafodelista"/>
        <w:spacing w:line="360" w:lineRule="auto"/>
        <w:ind w:left="0"/>
        <w:jc w:val="both"/>
        <w:rPr>
          <w:rFonts w:ascii="Palatino Linotype" w:hAnsi="Palatino Linotype"/>
          <w:b/>
          <w:color w:val="000000" w:themeColor="text1"/>
        </w:rPr>
      </w:pPr>
      <w:r w:rsidRPr="00BA6413">
        <w:rPr>
          <w:rFonts w:ascii="Palatino Linotype" w:hAnsi="Palatino Linotype"/>
          <w:b/>
          <w:color w:val="000000" w:themeColor="text1"/>
        </w:rPr>
        <w:t>CONSIDERANDO</w:t>
      </w:r>
      <w:bookmarkEnd w:id="133"/>
      <w:bookmarkEnd w:id="134"/>
    </w:p>
    <w:p w:rsidR="0016307D" w:rsidRPr="00BA6413" w:rsidRDefault="0016307D" w:rsidP="0016307D">
      <w:pPr>
        <w:pStyle w:val="Prrafodelista"/>
        <w:spacing w:line="360" w:lineRule="auto"/>
        <w:ind w:left="0"/>
        <w:jc w:val="both"/>
        <w:rPr>
          <w:rFonts w:ascii="Palatino Linotype" w:hAnsi="Palatino Linotype"/>
          <w:b/>
          <w:color w:val="000000" w:themeColor="text1"/>
        </w:rPr>
      </w:pPr>
    </w:p>
    <w:p w:rsidR="0016307D" w:rsidRPr="00BA6413" w:rsidRDefault="0016307D" w:rsidP="0016307D">
      <w:pPr>
        <w:pStyle w:val="Ttulo2"/>
        <w:spacing w:before="0" w:line="360" w:lineRule="auto"/>
        <w:jc w:val="both"/>
        <w:rPr>
          <w:rFonts w:ascii="Palatino Linotype" w:hAnsi="Palatino Linotype"/>
          <w:b/>
          <w:color w:val="auto"/>
          <w:sz w:val="24"/>
          <w:szCs w:val="24"/>
        </w:rPr>
      </w:pPr>
      <w:bookmarkStart w:id="135" w:name="_Toc491791303"/>
      <w:bookmarkStart w:id="136" w:name="_Toc83128579"/>
      <w:r w:rsidRPr="00BA6413">
        <w:rPr>
          <w:rFonts w:ascii="Palatino Linotype" w:hAnsi="Palatino Linotype"/>
          <w:b/>
          <w:color w:val="auto"/>
          <w:sz w:val="24"/>
          <w:szCs w:val="24"/>
        </w:rPr>
        <w:t>PRIMERO. De la competencia</w:t>
      </w:r>
      <w:bookmarkEnd w:id="135"/>
      <w:bookmarkEnd w:id="136"/>
    </w:p>
    <w:p w:rsidR="0016307D" w:rsidRPr="00BA6413" w:rsidRDefault="0016307D" w:rsidP="0016307D">
      <w:pPr>
        <w:jc w:val="both"/>
      </w:pPr>
    </w:p>
    <w:p w:rsidR="0016307D" w:rsidRPr="00BA6413" w:rsidRDefault="0016307D" w:rsidP="0016307D">
      <w:pPr>
        <w:pStyle w:val="Prrafodelista"/>
        <w:numPr>
          <w:ilvl w:val="0"/>
          <w:numId w:val="1"/>
        </w:numPr>
        <w:spacing w:line="360" w:lineRule="auto"/>
        <w:ind w:left="0" w:firstLine="0"/>
        <w:jc w:val="both"/>
        <w:rPr>
          <w:rFonts w:ascii="Palatino Linotype" w:hAnsi="Palatino Linotype"/>
          <w:color w:val="000000" w:themeColor="text1"/>
        </w:rPr>
      </w:pPr>
      <w:r w:rsidRPr="00BA6413">
        <w:rPr>
          <w:rFonts w:ascii="Palatino Linotype" w:hAnsi="Palatino Linotype"/>
          <w:color w:val="000000" w:themeColor="text1"/>
        </w:rPr>
        <w:t xml:space="preserve">Este </w:t>
      </w:r>
      <w:r w:rsidRPr="00BA6413">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16307D" w:rsidRPr="00BA6413" w:rsidRDefault="0016307D" w:rsidP="0016307D">
      <w:pPr>
        <w:pStyle w:val="Prrafodelista"/>
        <w:spacing w:line="360" w:lineRule="auto"/>
        <w:ind w:left="0"/>
        <w:jc w:val="both"/>
        <w:rPr>
          <w:rFonts w:ascii="Palatino Linotype" w:hAnsi="Palatino Linotype"/>
        </w:rPr>
      </w:pPr>
    </w:p>
    <w:p w:rsidR="0016307D" w:rsidRPr="00BA6413" w:rsidRDefault="0016307D" w:rsidP="0016307D">
      <w:pPr>
        <w:pStyle w:val="Ttulo2"/>
        <w:spacing w:before="0" w:line="360" w:lineRule="auto"/>
        <w:jc w:val="both"/>
        <w:rPr>
          <w:rFonts w:ascii="Palatino Linotype" w:hAnsi="Palatino Linotype"/>
          <w:b/>
          <w:color w:val="auto"/>
          <w:sz w:val="24"/>
          <w:szCs w:val="24"/>
        </w:rPr>
      </w:pPr>
      <w:bookmarkStart w:id="137" w:name="_Toc491791304"/>
      <w:bookmarkStart w:id="138" w:name="_Toc83128580"/>
      <w:r w:rsidRPr="00BA6413">
        <w:rPr>
          <w:rFonts w:ascii="Palatino Linotype" w:hAnsi="Palatino Linotype"/>
          <w:b/>
          <w:color w:val="auto"/>
          <w:sz w:val="24"/>
          <w:szCs w:val="24"/>
        </w:rPr>
        <w:t>SEGUNDO. De la oportunidad y procedencia.</w:t>
      </w:r>
      <w:bookmarkEnd w:id="137"/>
      <w:bookmarkEnd w:id="138"/>
    </w:p>
    <w:p w:rsidR="0016307D" w:rsidRPr="00BA6413" w:rsidRDefault="0016307D" w:rsidP="0016307D">
      <w:pPr>
        <w:jc w:val="both"/>
      </w:pPr>
    </w:p>
    <w:p w:rsidR="0016307D" w:rsidRPr="00BA6413" w:rsidRDefault="0016307D" w:rsidP="0016307D">
      <w:pPr>
        <w:pStyle w:val="Prrafodelista"/>
        <w:numPr>
          <w:ilvl w:val="0"/>
          <w:numId w:val="1"/>
        </w:numPr>
        <w:spacing w:line="360" w:lineRule="auto"/>
        <w:ind w:left="0" w:firstLine="0"/>
        <w:jc w:val="both"/>
        <w:rPr>
          <w:rFonts w:ascii="Palatino Linotype" w:hAnsi="Palatino Linotype"/>
        </w:rPr>
      </w:pPr>
      <w:r w:rsidRPr="00BA6413">
        <w:rPr>
          <w:rFonts w:ascii="Palatino Linotype" w:eastAsia="Calibri" w:hAnsi="Palatino Linotype" w:cs="Arial"/>
        </w:rPr>
        <w:lastRenderedPageBreak/>
        <w:t xml:space="preserve">El medio de impugnación fue presentado a través del </w:t>
      </w:r>
      <w:r w:rsidRPr="00BA6413">
        <w:rPr>
          <w:rFonts w:ascii="Palatino Linotype" w:eastAsia="Calibri" w:hAnsi="Palatino Linotype" w:cs="Arial"/>
          <w:b/>
        </w:rPr>
        <w:t>Sistema de Acceso a la Información,</w:t>
      </w:r>
      <w:r w:rsidRPr="00BA641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A6413">
        <w:rPr>
          <w:rFonts w:ascii="Palatino Linotype" w:eastAsia="Calibri" w:hAnsi="Palatino Linotype" w:cs="Arial"/>
          <w:b/>
        </w:rPr>
        <w:t>SUJETO OBLIGADO</w:t>
      </w:r>
      <w:r w:rsidRPr="00BA6413">
        <w:rPr>
          <w:rFonts w:ascii="Palatino Linotype" w:eastAsia="Calibri" w:hAnsi="Palatino Linotype" w:cs="Arial"/>
        </w:rPr>
        <w:t xml:space="preserve"> entregó su respuesta el </w:t>
      </w:r>
      <w:r w:rsidRPr="00BA6413">
        <w:rPr>
          <w:rFonts w:ascii="Palatino Linotype" w:eastAsia="Calibri" w:hAnsi="Palatino Linotype" w:cs="Arial"/>
          <w:b/>
          <w:bCs/>
        </w:rPr>
        <w:t>catorce de febrero de dos mil veinticinco</w:t>
      </w:r>
      <w:r w:rsidRPr="00BA6413">
        <w:rPr>
          <w:rFonts w:ascii="Palatino Linotype" w:eastAsia="Calibri" w:hAnsi="Palatino Linotype" w:cs="Arial"/>
        </w:rPr>
        <w:t xml:space="preserve">, </w:t>
      </w:r>
      <w:r w:rsidRPr="00BA6413">
        <w:rPr>
          <w:rFonts w:ascii="Palatino Linotype" w:hAnsi="Palatino Linotype" w:cs="Arial"/>
        </w:rPr>
        <w:t xml:space="preserve">de tal forma que el plazo para interponer el recurso de revisión transcurrió del día </w:t>
      </w:r>
      <w:r w:rsidRPr="00BA6413">
        <w:rPr>
          <w:rFonts w:ascii="Palatino Linotype" w:hAnsi="Palatino Linotype" w:cs="Arial"/>
          <w:b/>
          <w:bCs/>
        </w:rPr>
        <w:t>diecisiete de febrero al diez de marzo de dos mil veinticinco</w:t>
      </w:r>
      <w:r w:rsidRPr="00BA6413">
        <w:rPr>
          <w:rFonts w:ascii="Palatino Linotype" w:hAnsi="Palatino Linotype" w:cs="Arial"/>
        </w:rPr>
        <w:t xml:space="preserve">; en consecuencia, el ahora </w:t>
      </w:r>
      <w:r w:rsidRPr="00BA6413">
        <w:rPr>
          <w:rFonts w:ascii="Palatino Linotype" w:hAnsi="Palatino Linotype" w:cs="Arial"/>
          <w:b/>
        </w:rPr>
        <w:t>RECURRENTE</w:t>
      </w:r>
      <w:r w:rsidRPr="00BA6413">
        <w:rPr>
          <w:rFonts w:ascii="Palatino Linotype" w:hAnsi="Palatino Linotype" w:cs="Arial"/>
        </w:rPr>
        <w:t xml:space="preserve"> presentó su inconformidad el día </w:t>
      </w:r>
      <w:r w:rsidRPr="00BA6413">
        <w:rPr>
          <w:rFonts w:ascii="Palatino Linotype" w:hAnsi="Palatino Linotype" w:cs="Arial"/>
          <w:b/>
          <w:bCs/>
        </w:rPr>
        <w:t>veinte de febrero de dos mil veinticinco</w:t>
      </w:r>
      <w:r w:rsidRPr="00BA6413">
        <w:rPr>
          <w:rFonts w:ascii="Palatino Linotype" w:hAnsi="Palatino Linotype" w:cs="Arial"/>
        </w:rPr>
        <w:t>; por lo que se estima que la inconformidad se presentó dentro del lapso legalmente establecido para tal efecto.</w:t>
      </w:r>
    </w:p>
    <w:p w:rsidR="0016307D" w:rsidRPr="00BA6413" w:rsidRDefault="0016307D" w:rsidP="0016307D">
      <w:pPr>
        <w:pStyle w:val="Prrafodelista"/>
        <w:spacing w:line="360" w:lineRule="auto"/>
        <w:ind w:left="0"/>
        <w:jc w:val="both"/>
        <w:rPr>
          <w:rFonts w:ascii="Palatino Linotype" w:hAnsi="Palatino Linotype"/>
        </w:rPr>
      </w:pPr>
    </w:p>
    <w:p w:rsidR="0016307D" w:rsidRPr="00BA6413" w:rsidRDefault="0016307D" w:rsidP="0016307D">
      <w:pPr>
        <w:pStyle w:val="Prrafodelista"/>
        <w:numPr>
          <w:ilvl w:val="0"/>
          <w:numId w:val="1"/>
        </w:numPr>
        <w:spacing w:line="360" w:lineRule="auto"/>
        <w:ind w:left="0" w:firstLine="0"/>
        <w:jc w:val="both"/>
        <w:rPr>
          <w:rFonts w:ascii="Palatino Linotype" w:eastAsia="Palatino Linotype" w:hAnsi="Palatino Linotype" w:cs="Palatino Linotype"/>
        </w:rPr>
      </w:pPr>
      <w:r w:rsidRPr="00BA6413">
        <w:rPr>
          <w:rFonts w:ascii="Palatino Linotype" w:hAnsi="Palatino Linotype"/>
        </w:rPr>
        <w:t xml:space="preserve">Por </w:t>
      </w:r>
      <w:r w:rsidRPr="00BA6413">
        <w:rPr>
          <w:rFonts w:ascii="Palatino Linotype" w:eastAsia="Calibri" w:hAnsi="Palatino Linotype" w:cs="Arial"/>
        </w:rPr>
        <w:t>otro</w:t>
      </w:r>
      <w:r w:rsidRPr="00BA6413">
        <w:rPr>
          <w:rFonts w:ascii="Palatino Linotype" w:hAnsi="Palatino Linotype"/>
        </w:rPr>
        <w:t xml:space="preserve"> </w:t>
      </w:r>
      <w:r w:rsidRPr="00BA6413">
        <w:rPr>
          <w:rFonts w:ascii="Palatino Linotype" w:eastAsia="Calibri" w:hAnsi="Palatino Linotype" w:cs="Arial"/>
        </w:rPr>
        <w:t>lado</w:t>
      </w:r>
      <w:r w:rsidRPr="00BA6413">
        <w:rPr>
          <w:rFonts w:ascii="Palatino Linotype" w:hAnsi="Palatino Linotype"/>
        </w:rPr>
        <w:t xml:space="preserve">, </w:t>
      </w:r>
      <w:r w:rsidRPr="00BA6413">
        <w:rPr>
          <w:rFonts w:ascii="Palatino Linotype" w:eastAsia="Calibri" w:hAnsi="Palatino Linotype" w:cs="Arial"/>
        </w:rPr>
        <w:t>es</w:t>
      </w:r>
      <w:r w:rsidRPr="00BA6413">
        <w:rPr>
          <w:rFonts w:ascii="Palatino Linotype" w:eastAsia="Palatino Linotype" w:hAnsi="Palatino Linotype" w:cs="Palatino Linotype"/>
        </w:rPr>
        <w:t xml:space="preserve"> de suma importancia señalar que la parte recurrente no </w:t>
      </w:r>
      <w:r w:rsidRPr="00BA6413">
        <w:rPr>
          <w:rFonts w:ascii="Palatino Linotype" w:eastAsia="Calibri" w:hAnsi="Palatino Linotype" w:cs="Arial"/>
        </w:rPr>
        <w:t>proporciona</w:t>
      </w:r>
      <w:r w:rsidRPr="00BA6413">
        <w:rPr>
          <w:rFonts w:ascii="Palatino Linotype" w:eastAsia="Palatino Linotype" w:hAnsi="Palatino Linotype" w:cs="Palatino Linotype"/>
        </w:rPr>
        <w:t xml:space="preserve"> un nombre completo o datos de identificación como se advierte en el detalle de </w:t>
      </w:r>
      <w:r w:rsidRPr="00BA6413">
        <w:rPr>
          <w:rFonts w:ascii="Palatino Linotype" w:hAnsi="Palatino Linotype" w:cs="Arial"/>
        </w:rPr>
        <w:t>seguimiento</w:t>
      </w:r>
      <w:r w:rsidRPr="00BA6413">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6307D" w:rsidRPr="00BA6413" w:rsidRDefault="0016307D" w:rsidP="0016307D">
      <w:pPr>
        <w:pStyle w:val="Prrafodelista"/>
        <w:spacing w:line="360" w:lineRule="auto"/>
        <w:ind w:left="0"/>
        <w:jc w:val="both"/>
        <w:rPr>
          <w:rFonts w:ascii="Palatino Linotype" w:eastAsia="Palatino Linotype" w:hAnsi="Palatino Linotype" w:cs="Palatino Linotype"/>
        </w:rPr>
      </w:pPr>
    </w:p>
    <w:p w:rsidR="0016307D" w:rsidRPr="00BA6413" w:rsidRDefault="0016307D" w:rsidP="0016307D">
      <w:pPr>
        <w:pStyle w:val="Textoindependienteprimerasangra2"/>
        <w:ind w:left="1134" w:right="900" w:hanging="76"/>
        <w:jc w:val="both"/>
        <w:rPr>
          <w:rFonts w:ascii="Palatino Linotype" w:eastAsia="Palatino Linotype" w:hAnsi="Palatino Linotype"/>
          <w:i/>
        </w:rPr>
      </w:pPr>
      <w:r w:rsidRPr="00BA6413">
        <w:rPr>
          <w:rFonts w:ascii="Palatino Linotype" w:eastAsia="Palatino Linotype" w:hAnsi="Palatino Linotype"/>
          <w:i/>
        </w:rPr>
        <w:t>“</w:t>
      </w:r>
      <w:r w:rsidRPr="00BA6413">
        <w:rPr>
          <w:rFonts w:ascii="Palatino Linotype" w:eastAsia="Palatino Linotype" w:hAnsi="Palatino Linotype"/>
          <w:b/>
          <w:i/>
        </w:rPr>
        <w:t>Las solicitudes anónimas</w:t>
      </w:r>
      <w:r w:rsidRPr="00BA6413">
        <w:rPr>
          <w:rFonts w:ascii="Palatino Linotype" w:eastAsia="Palatino Linotype" w:hAnsi="Palatino Linotype"/>
          <w:i/>
        </w:rPr>
        <w:t xml:space="preserve">, con nombre incompleto o seudónimo </w:t>
      </w:r>
      <w:r w:rsidRPr="00BA6413">
        <w:rPr>
          <w:rFonts w:ascii="Palatino Linotype" w:eastAsia="Palatino Linotype" w:hAnsi="Palatino Linotype"/>
          <w:b/>
          <w:i/>
        </w:rPr>
        <w:t>serán procedentes para su trámite por parte del sujeto obligado ante quien se presente</w:t>
      </w:r>
      <w:r w:rsidRPr="00BA6413">
        <w:rPr>
          <w:rFonts w:ascii="Palatino Linotype" w:eastAsia="Palatino Linotype" w:hAnsi="Palatino Linotype"/>
          <w:i/>
        </w:rPr>
        <w:t>. No podrá requerirse información adicional con motivo del nombre proporcionado por el solicitante.”</w:t>
      </w:r>
    </w:p>
    <w:p w:rsidR="0016307D" w:rsidRPr="00BA6413" w:rsidRDefault="0016307D" w:rsidP="0016307D">
      <w:pPr>
        <w:pStyle w:val="Textoindependienteprimerasangra2"/>
        <w:ind w:left="0" w:right="758" w:firstLine="0"/>
        <w:jc w:val="both"/>
        <w:rPr>
          <w:rFonts w:ascii="Palatino Linotype" w:eastAsia="Palatino Linotype" w:hAnsi="Palatino Linotype"/>
          <w:i/>
        </w:rPr>
      </w:pPr>
    </w:p>
    <w:p w:rsidR="0016307D" w:rsidRPr="00BA6413" w:rsidRDefault="0016307D" w:rsidP="0016307D">
      <w:pPr>
        <w:pStyle w:val="Prrafodelista"/>
        <w:numPr>
          <w:ilvl w:val="0"/>
          <w:numId w:val="1"/>
        </w:numPr>
        <w:spacing w:line="360" w:lineRule="auto"/>
        <w:ind w:left="0" w:firstLine="0"/>
        <w:jc w:val="both"/>
        <w:rPr>
          <w:rFonts w:ascii="Palatino Linotype" w:eastAsia="Palatino Linotype" w:hAnsi="Palatino Linotype" w:cs="Palatino Linotype"/>
        </w:rPr>
      </w:pPr>
      <w:r w:rsidRPr="00BA6413">
        <w:rPr>
          <w:rFonts w:ascii="Palatino Linotype" w:eastAsia="Calibri" w:hAnsi="Palatino Linotype" w:cs="Arial"/>
        </w:rPr>
        <w:t>Robusteciendo</w:t>
      </w:r>
      <w:r w:rsidRPr="00BA6413">
        <w:rPr>
          <w:rFonts w:ascii="Palatino Linotype" w:eastAsia="Palatino Linotype" w:hAnsi="Palatino Linotype" w:cs="Palatino Linotype"/>
        </w:rPr>
        <w:t xml:space="preserve"> lo anterior se encuentra lo dispuesto en el artículo 6, Apartado A, </w:t>
      </w:r>
      <w:r w:rsidRPr="00BA6413">
        <w:rPr>
          <w:rFonts w:ascii="Palatino Linotype" w:eastAsia="Calibri" w:hAnsi="Palatino Linotype" w:cs="Arial"/>
        </w:rPr>
        <w:t>fracciones</w:t>
      </w:r>
      <w:r w:rsidRPr="00BA6413">
        <w:rPr>
          <w:rFonts w:ascii="Palatino Linotype" w:eastAsia="Palatino Linotype" w:hAnsi="Palatino Linotype" w:cs="Palatino Linotype"/>
        </w:rPr>
        <w:t xml:space="preserve"> III de la Constitución Política de los Estados Unidos Mexicanos que establece:</w:t>
      </w:r>
    </w:p>
    <w:p w:rsidR="0016307D" w:rsidRPr="00BA6413" w:rsidRDefault="0016307D" w:rsidP="0016307D">
      <w:pPr>
        <w:spacing w:line="360" w:lineRule="auto"/>
        <w:ind w:right="474"/>
        <w:jc w:val="both"/>
        <w:rPr>
          <w:rFonts w:ascii="Palatino Linotype" w:eastAsia="Palatino Linotype" w:hAnsi="Palatino Linotype" w:cs="Palatino Linotype"/>
          <w:i/>
        </w:rPr>
      </w:pPr>
    </w:p>
    <w:p w:rsidR="0016307D" w:rsidRPr="00BA6413" w:rsidRDefault="0016307D" w:rsidP="0016307D">
      <w:pPr>
        <w:pStyle w:val="Textoindependienteprimerasangra2"/>
        <w:ind w:left="1134" w:right="900" w:hanging="76"/>
        <w:jc w:val="both"/>
        <w:rPr>
          <w:rFonts w:ascii="Palatino Linotype" w:eastAsia="Palatino Linotype" w:hAnsi="Palatino Linotype"/>
          <w:i/>
        </w:rPr>
      </w:pPr>
      <w:r w:rsidRPr="00BA6413">
        <w:rPr>
          <w:rFonts w:ascii="Palatino Linotype" w:eastAsia="Palatino Linotype" w:hAnsi="Palatino Linotype"/>
          <w:i/>
        </w:rPr>
        <w:t>“</w:t>
      </w:r>
      <w:r w:rsidRPr="00BA6413">
        <w:rPr>
          <w:rFonts w:ascii="Palatino Linotype" w:eastAsia="Palatino Linotype" w:hAnsi="Palatino Linotype"/>
          <w:b/>
          <w:i/>
        </w:rPr>
        <w:t>Artículo 6.-</w:t>
      </w:r>
      <w:r w:rsidRPr="00BA6413">
        <w:rPr>
          <w:rFonts w:ascii="Palatino Linotype" w:eastAsia="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6307D" w:rsidRPr="00BA6413" w:rsidRDefault="0016307D" w:rsidP="0016307D">
      <w:pPr>
        <w:pStyle w:val="Sangradetextonormal"/>
        <w:ind w:left="1134" w:right="900"/>
        <w:jc w:val="both"/>
        <w:rPr>
          <w:rFonts w:ascii="Palatino Linotype" w:eastAsia="Palatino Linotype" w:hAnsi="Palatino Linotype"/>
          <w:i/>
        </w:rPr>
      </w:pPr>
      <w:r w:rsidRPr="00BA6413">
        <w:rPr>
          <w:rFonts w:ascii="Palatino Linotype" w:eastAsia="Palatino Linotype" w:hAnsi="Palatino Linotype"/>
          <w:i/>
        </w:rPr>
        <w:t>Para efectos de lo dispuesto en el presente artículo se observará lo siguiente:</w:t>
      </w:r>
    </w:p>
    <w:p w:rsidR="0016307D" w:rsidRPr="00BA6413" w:rsidRDefault="0016307D" w:rsidP="0016307D">
      <w:pPr>
        <w:pStyle w:val="Textoindependienteprimerasangra2"/>
        <w:ind w:left="1134" w:right="900" w:firstLine="0"/>
        <w:jc w:val="both"/>
        <w:rPr>
          <w:rFonts w:ascii="Palatino Linotype" w:eastAsia="Palatino Linotype" w:hAnsi="Palatino Linotype"/>
          <w:i/>
        </w:rPr>
      </w:pPr>
      <w:r w:rsidRPr="00BA6413">
        <w:rPr>
          <w:rFonts w:ascii="Palatino Linotype" w:eastAsia="Palatino Linotype" w:hAnsi="Palatino Linotype"/>
          <w:i/>
        </w:rPr>
        <w:t>A. Para el ejercicio del derecho de acceso a la información, la Federación, los Estados y el Distrito Federal, en el ámbito de sus respectivas competencias, se regirán por los siguientes principios y bases:</w:t>
      </w:r>
    </w:p>
    <w:p w:rsidR="0016307D" w:rsidRPr="00BA6413" w:rsidRDefault="0016307D" w:rsidP="0016307D">
      <w:pPr>
        <w:pStyle w:val="Textoindependienteprimerasangra2"/>
        <w:ind w:left="1134" w:right="900" w:firstLine="0"/>
        <w:jc w:val="both"/>
        <w:rPr>
          <w:rFonts w:ascii="Palatino Linotype" w:eastAsia="Palatino Linotype" w:hAnsi="Palatino Linotype"/>
          <w:i/>
        </w:rPr>
      </w:pPr>
      <w:r w:rsidRPr="00BA6413">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éstos.”(Sic)</w:t>
      </w:r>
    </w:p>
    <w:p w:rsidR="0016307D" w:rsidRPr="00BA6413" w:rsidRDefault="0016307D" w:rsidP="0016307D">
      <w:pPr>
        <w:pStyle w:val="Textoindependienteprimerasangra2"/>
        <w:ind w:hanging="76"/>
        <w:jc w:val="both"/>
        <w:rPr>
          <w:rFonts w:ascii="Palatino Linotype" w:eastAsia="Palatino Linotype" w:hAnsi="Palatino Linotype"/>
          <w:i/>
        </w:rPr>
      </w:pPr>
    </w:p>
    <w:p w:rsidR="0016307D" w:rsidRPr="00BA6413" w:rsidRDefault="0016307D" w:rsidP="0016307D">
      <w:pPr>
        <w:pStyle w:val="Prrafodelista"/>
        <w:numPr>
          <w:ilvl w:val="0"/>
          <w:numId w:val="1"/>
        </w:numPr>
        <w:spacing w:line="360" w:lineRule="auto"/>
        <w:ind w:left="0" w:firstLine="0"/>
        <w:jc w:val="both"/>
        <w:rPr>
          <w:rFonts w:ascii="Palatino Linotype" w:eastAsia="Palatino Linotype" w:hAnsi="Palatino Linotype" w:cs="Palatino Linotype"/>
        </w:rPr>
      </w:pPr>
      <w:r w:rsidRPr="00BA6413">
        <w:rPr>
          <w:rFonts w:ascii="Palatino Linotype" w:eastAsia="Palatino Linotype" w:hAnsi="Palatino Linotype" w:cs="Palatino Linotype"/>
        </w:rPr>
        <w:t xml:space="preserve">Así </w:t>
      </w:r>
      <w:r w:rsidRPr="00BA6413">
        <w:rPr>
          <w:rFonts w:ascii="Palatino Linotype" w:eastAsia="Calibri" w:hAnsi="Palatino Linotype" w:cs="Arial"/>
        </w:rPr>
        <w:t>como</w:t>
      </w:r>
      <w:r w:rsidRPr="00BA6413">
        <w:rPr>
          <w:rFonts w:ascii="Palatino Linotype" w:eastAsia="Palatino Linotype" w:hAnsi="Palatino Linotype" w:cs="Palatino Linotype"/>
        </w:rPr>
        <w:t xml:space="preserve"> el artículo 5 fracción III, </w:t>
      </w:r>
      <w:r w:rsidR="00DA661E" w:rsidRPr="00BA6413">
        <w:rPr>
          <w:rFonts w:ascii="Palatino Linotype" w:eastAsia="Calibri" w:hAnsi="Palatino Linotype" w:cs="Arial"/>
        </w:rPr>
        <w:t>trigésimo primero, trigésimo séptimo y trigésimo octavo</w:t>
      </w:r>
      <w:r w:rsidRPr="00BA6413">
        <w:rPr>
          <w:rFonts w:ascii="Palatino Linotype" w:eastAsia="Palatino Linotype" w:hAnsi="Palatino Linotype" w:cs="Palatino Linotype"/>
        </w:rPr>
        <w:t>, de la Constitución Política del Estado Libre y Soberano de México, que determina lo siguiente:</w:t>
      </w:r>
    </w:p>
    <w:p w:rsidR="0016307D" w:rsidRPr="00BA6413" w:rsidRDefault="0016307D" w:rsidP="0016307D">
      <w:pPr>
        <w:pStyle w:val="Prrafodelista"/>
        <w:spacing w:line="360" w:lineRule="auto"/>
        <w:ind w:left="0"/>
        <w:jc w:val="both"/>
        <w:rPr>
          <w:rFonts w:ascii="Palatino Linotype" w:eastAsia="Palatino Linotype" w:hAnsi="Palatino Linotype" w:cs="Palatino Linotype"/>
        </w:rPr>
      </w:pPr>
    </w:p>
    <w:p w:rsidR="0016307D" w:rsidRPr="00BA6413" w:rsidRDefault="0016307D" w:rsidP="0016307D">
      <w:pPr>
        <w:pStyle w:val="Textoindependienteprimerasangra2"/>
        <w:ind w:left="1134" w:right="900" w:firstLine="66"/>
        <w:jc w:val="both"/>
        <w:rPr>
          <w:rFonts w:ascii="Palatino Linotype" w:eastAsia="Palatino Linotype" w:hAnsi="Palatino Linotype"/>
          <w:i/>
        </w:rPr>
      </w:pPr>
      <w:r w:rsidRPr="00BA6413">
        <w:rPr>
          <w:rFonts w:ascii="Palatino Linotype" w:eastAsia="Palatino Linotype" w:hAnsi="Palatino Linotype"/>
          <w:i/>
        </w:rPr>
        <w:t>“</w:t>
      </w:r>
      <w:r w:rsidRPr="00BA6413">
        <w:rPr>
          <w:rFonts w:ascii="Palatino Linotype" w:eastAsia="Palatino Linotype" w:hAnsi="Palatino Linotype"/>
          <w:b/>
          <w:i/>
        </w:rPr>
        <w:t>Artículo 5.-</w:t>
      </w:r>
      <w:r w:rsidRPr="00BA6413">
        <w:rPr>
          <w:rFonts w:ascii="Palatino Linotype" w:eastAsia="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6307D" w:rsidRPr="00BA6413" w:rsidRDefault="0016307D" w:rsidP="0016307D">
      <w:pPr>
        <w:ind w:left="1134" w:right="900"/>
        <w:jc w:val="both"/>
        <w:rPr>
          <w:rFonts w:ascii="Palatino Linotype" w:eastAsia="Palatino Linotype" w:hAnsi="Palatino Linotype" w:cs="Palatino Linotype"/>
          <w:i/>
        </w:rPr>
      </w:pPr>
      <w:r w:rsidRPr="00BA6413">
        <w:rPr>
          <w:rFonts w:ascii="Palatino Linotype" w:eastAsia="Palatino Linotype" w:hAnsi="Palatino Linotype" w:cs="Palatino Linotype"/>
          <w:i/>
        </w:rPr>
        <w:t>…</w:t>
      </w:r>
    </w:p>
    <w:p w:rsidR="0016307D" w:rsidRPr="00BA6413" w:rsidRDefault="0016307D" w:rsidP="0016307D">
      <w:pPr>
        <w:pStyle w:val="Textoindependienteprimerasangra2"/>
        <w:ind w:left="1134" w:right="900"/>
        <w:jc w:val="both"/>
        <w:rPr>
          <w:rFonts w:ascii="Palatino Linotype" w:eastAsia="Palatino Linotype" w:hAnsi="Palatino Linotype"/>
          <w:i/>
        </w:rPr>
      </w:pPr>
      <w:r w:rsidRPr="00BA6413">
        <w:rPr>
          <w:rFonts w:ascii="Palatino Linotype" w:eastAsia="Palatino Linotype" w:hAnsi="Palatino Linotype"/>
          <w:i/>
        </w:rPr>
        <w:t>Toda persona en el Estado de México, tiene derecho al libre acceso a la información plural y oportuna, así como a buscar recibir y difundir información e ideas de toda índole por cualquier medio de expresión.</w:t>
      </w:r>
    </w:p>
    <w:p w:rsidR="0016307D" w:rsidRPr="00BA6413" w:rsidRDefault="0016307D" w:rsidP="0016307D">
      <w:pPr>
        <w:ind w:left="1134" w:right="900"/>
        <w:jc w:val="both"/>
        <w:rPr>
          <w:rFonts w:ascii="Palatino Linotype" w:eastAsia="Palatino Linotype" w:hAnsi="Palatino Linotype" w:cs="Palatino Linotype"/>
          <w:i/>
        </w:rPr>
      </w:pPr>
      <w:r w:rsidRPr="00BA6413">
        <w:rPr>
          <w:rFonts w:ascii="Palatino Linotype" w:eastAsia="Palatino Linotype" w:hAnsi="Palatino Linotype" w:cs="Palatino Linotype"/>
          <w:i/>
        </w:rPr>
        <w:t>...</w:t>
      </w:r>
    </w:p>
    <w:p w:rsidR="0016307D" w:rsidRPr="00BA6413" w:rsidRDefault="0016307D" w:rsidP="0016307D">
      <w:pPr>
        <w:pStyle w:val="Textoindependienteprimerasangra2"/>
        <w:ind w:left="1134" w:right="900" w:firstLine="66"/>
        <w:jc w:val="both"/>
        <w:rPr>
          <w:rFonts w:ascii="Palatino Linotype" w:eastAsia="Palatino Linotype" w:hAnsi="Palatino Linotype"/>
          <w:i/>
        </w:rPr>
      </w:pPr>
      <w:r w:rsidRPr="00BA6413">
        <w:rPr>
          <w:rFonts w:ascii="Palatino Linotype" w:eastAsia="Palatino Linotype" w:hAnsi="Palatino Linotype"/>
          <w:i/>
        </w:rPr>
        <w:lastRenderedPageBreak/>
        <w:t>El derecho a la información será garantizado por el Estado. La ley establecerá las previsiones que permitan asegurar la protección, el respeto y la difusión de este derecho.</w:t>
      </w:r>
    </w:p>
    <w:p w:rsidR="0016307D" w:rsidRPr="00BA6413" w:rsidRDefault="0016307D" w:rsidP="00DA661E">
      <w:pPr>
        <w:pStyle w:val="Textoindependienteprimerasangra2"/>
        <w:ind w:left="1416" w:right="900" w:hanging="216"/>
        <w:jc w:val="both"/>
        <w:rPr>
          <w:rFonts w:ascii="Palatino Linotype" w:eastAsia="Palatino Linotype" w:hAnsi="Palatino Linotype"/>
          <w:i/>
        </w:rPr>
      </w:pPr>
    </w:p>
    <w:p w:rsidR="0016307D" w:rsidRPr="00BA6413" w:rsidRDefault="0016307D" w:rsidP="0016307D">
      <w:pPr>
        <w:pStyle w:val="Textoindependienteprimerasangra2"/>
        <w:ind w:left="1134" w:right="900" w:firstLine="66"/>
        <w:jc w:val="both"/>
        <w:rPr>
          <w:rFonts w:ascii="Palatino Linotype" w:eastAsia="Palatino Linotype" w:hAnsi="Palatino Linotype"/>
          <w:i/>
        </w:rPr>
      </w:pPr>
      <w:r w:rsidRPr="00BA6413">
        <w:rPr>
          <w:rFonts w:ascii="Palatino Linotype" w:eastAsia="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6307D" w:rsidRPr="00BA6413" w:rsidRDefault="0016307D" w:rsidP="0016307D">
      <w:pPr>
        <w:pStyle w:val="Textoindependienteprimerasangra2"/>
        <w:ind w:left="1134" w:right="900" w:firstLine="66"/>
        <w:jc w:val="both"/>
        <w:rPr>
          <w:rFonts w:ascii="Palatino Linotype" w:eastAsia="Palatino Linotype" w:hAnsi="Palatino Linotype"/>
          <w:i/>
        </w:rPr>
      </w:pPr>
      <w:r w:rsidRPr="00BA6413">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w:t>
      </w:r>
    </w:p>
    <w:p w:rsidR="0016307D" w:rsidRPr="00BA6413" w:rsidRDefault="0016307D" w:rsidP="0016307D">
      <w:pPr>
        <w:ind w:left="1134" w:right="900"/>
        <w:jc w:val="both"/>
        <w:rPr>
          <w:rFonts w:ascii="Palatino Linotype" w:eastAsia="Palatino Linotype" w:hAnsi="Palatino Linotype" w:cs="Palatino Linotype"/>
          <w:i/>
        </w:rPr>
      </w:pPr>
      <w:r w:rsidRPr="00BA6413">
        <w:rPr>
          <w:rFonts w:ascii="Palatino Linotype" w:eastAsia="Palatino Linotype" w:hAnsi="Palatino Linotype" w:cs="Palatino Linotype"/>
          <w:i/>
        </w:rPr>
        <w:t>...</w:t>
      </w:r>
    </w:p>
    <w:p w:rsidR="0016307D" w:rsidRPr="00BA6413" w:rsidRDefault="0016307D" w:rsidP="0016307D">
      <w:pPr>
        <w:pStyle w:val="Textoindependienteprimerasangra2"/>
        <w:ind w:left="1134" w:right="900" w:hanging="76"/>
        <w:jc w:val="both"/>
        <w:rPr>
          <w:rFonts w:ascii="Palatino Linotype" w:eastAsia="Palatino Linotype" w:hAnsi="Palatino Linotype"/>
          <w:i/>
        </w:rPr>
      </w:pPr>
      <w:r w:rsidRPr="00BA6413">
        <w:rPr>
          <w:rFonts w:ascii="Palatino Linotype" w:eastAsia="Palatino Linotype"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16307D" w:rsidRPr="00BA6413" w:rsidRDefault="0016307D" w:rsidP="0016307D">
      <w:pPr>
        <w:pStyle w:val="Textoindependienteprimerasangra2"/>
        <w:ind w:hanging="76"/>
        <w:jc w:val="both"/>
        <w:rPr>
          <w:rFonts w:ascii="Palatino Linotype" w:eastAsia="Palatino Linotype" w:hAnsi="Palatino Linotype"/>
          <w:i/>
        </w:rPr>
      </w:pPr>
    </w:p>
    <w:p w:rsidR="0016307D" w:rsidRPr="00BA6413" w:rsidRDefault="0016307D" w:rsidP="0016307D">
      <w:pPr>
        <w:pStyle w:val="Prrafodelista"/>
        <w:numPr>
          <w:ilvl w:val="0"/>
          <w:numId w:val="1"/>
        </w:numPr>
        <w:spacing w:line="360" w:lineRule="auto"/>
        <w:ind w:left="0" w:firstLine="0"/>
        <w:jc w:val="both"/>
        <w:rPr>
          <w:rFonts w:ascii="Palatino Linotype" w:eastAsia="Palatino Linotype" w:hAnsi="Palatino Linotype" w:cs="Palatino Linotype"/>
        </w:rPr>
      </w:pPr>
      <w:r w:rsidRPr="00BA6413">
        <w:rPr>
          <w:rFonts w:ascii="Palatino Linotype" w:eastAsia="Palatino Linotype" w:hAnsi="Palatino Linotype" w:cs="Palatino Linotype"/>
        </w:rPr>
        <w:t>Por otra parte, del contenido del artículo 1 de la Constitución Política de los Estados Unidos mexicanos, se destaca lo siguiente:</w:t>
      </w:r>
    </w:p>
    <w:p w:rsidR="0016307D" w:rsidRPr="00BA6413" w:rsidRDefault="0016307D" w:rsidP="0016307D">
      <w:pPr>
        <w:pStyle w:val="Prrafodelista"/>
        <w:spacing w:line="360" w:lineRule="auto"/>
        <w:ind w:left="0"/>
        <w:jc w:val="both"/>
        <w:rPr>
          <w:rFonts w:ascii="Palatino Linotype" w:eastAsia="Palatino Linotype" w:hAnsi="Palatino Linotype" w:cs="Palatino Linotype"/>
        </w:rPr>
      </w:pPr>
    </w:p>
    <w:p w:rsidR="0016307D" w:rsidRPr="00BA6413" w:rsidRDefault="0016307D" w:rsidP="0016307D">
      <w:pPr>
        <w:pStyle w:val="Textoindependienteprimerasangra2"/>
        <w:ind w:left="1134" w:right="900" w:hanging="76"/>
        <w:jc w:val="both"/>
        <w:rPr>
          <w:rFonts w:ascii="Palatino Linotype" w:eastAsia="Palatino Linotype" w:hAnsi="Palatino Linotype"/>
          <w:i/>
        </w:rPr>
      </w:pPr>
      <w:r w:rsidRPr="00BA6413">
        <w:rPr>
          <w:rFonts w:ascii="Palatino Linotype" w:eastAsia="Palatino Linotype" w:hAnsi="Palatino Linotype"/>
          <w:i/>
        </w:rPr>
        <w:t>“</w:t>
      </w:r>
      <w:r w:rsidRPr="00BA6413">
        <w:rPr>
          <w:rFonts w:ascii="Palatino Linotype" w:eastAsia="Palatino Linotype" w:hAnsi="Palatino Linotype"/>
          <w:b/>
          <w:i/>
        </w:rPr>
        <w:t>Artículo 1</w:t>
      </w:r>
      <w:r w:rsidRPr="00BA6413">
        <w:rPr>
          <w:rFonts w:ascii="Palatino Linotype" w:eastAsia="Palatino Linotype"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6307D" w:rsidRPr="00BA6413" w:rsidRDefault="0016307D" w:rsidP="0016307D">
      <w:pPr>
        <w:pStyle w:val="Textoindependienteprimerasangra2"/>
        <w:ind w:left="1134" w:right="900" w:firstLine="66"/>
        <w:jc w:val="both"/>
        <w:rPr>
          <w:rFonts w:ascii="Palatino Linotype" w:eastAsia="Palatino Linotype" w:hAnsi="Palatino Linotype"/>
          <w:i/>
        </w:rPr>
      </w:pPr>
      <w:r w:rsidRPr="00BA6413">
        <w:rPr>
          <w:rFonts w:ascii="Palatino Linotype" w:eastAsia="Palatino Linotype" w:hAnsi="Palatino Linotype"/>
          <w:i/>
        </w:rPr>
        <w:t xml:space="preserve">Las normas relativas a los derechos humanos se interpretarán de conformidad con esta Constitución y con los tratados internacionales </w:t>
      </w:r>
      <w:r w:rsidRPr="00BA6413">
        <w:rPr>
          <w:rFonts w:ascii="Palatino Linotype" w:eastAsia="Palatino Linotype" w:hAnsi="Palatino Linotype"/>
          <w:i/>
        </w:rPr>
        <w:lastRenderedPageBreak/>
        <w:t>de la materia favoreciendo en todo tiempo a las personas la protección más amplia.</w:t>
      </w:r>
    </w:p>
    <w:p w:rsidR="0016307D" w:rsidRPr="00BA6413" w:rsidRDefault="0016307D" w:rsidP="0016307D">
      <w:pPr>
        <w:pStyle w:val="Textoindependienteprimerasangra2"/>
        <w:ind w:left="1134" w:right="900" w:firstLine="66"/>
        <w:jc w:val="both"/>
        <w:rPr>
          <w:rFonts w:ascii="Palatino Linotype" w:eastAsia="Palatino Linotype" w:hAnsi="Palatino Linotype"/>
          <w:i/>
        </w:rPr>
      </w:pPr>
      <w:r w:rsidRPr="00BA6413">
        <w:rPr>
          <w:rFonts w:ascii="Palatino Linotype" w:eastAsia="Palatino Linotype"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6307D" w:rsidRPr="00BA6413" w:rsidRDefault="0016307D" w:rsidP="0016307D">
      <w:pPr>
        <w:pStyle w:val="Textoindependienteprimerasangra2"/>
        <w:ind w:firstLine="66"/>
        <w:jc w:val="both"/>
        <w:rPr>
          <w:rFonts w:ascii="Palatino Linotype" w:eastAsia="Palatino Linotype" w:hAnsi="Palatino Linotype"/>
          <w:i/>
        </w:rPr>
      </w:pPr>
    </w:p>
    <w:p w:rsidR="0016307D" w:rsidRPr="00BA6413" w:rsidRDefault="0016307D" w:rsidP="0016307D">
      <w:pPr>
        <w:pStyle w:val="Prrafodelista"/>
        <w:numPr>
          <w:ilvl w:val="0"/>
          <w:numId w:val="1"/>
        </w:numPr>
        <w:spacing w:line="360" w:lineRule="auto"/>
        <w:ind w:left="0" w:firstLine="0"/>
        <w:jc w:val="both"/>
        <w:rPr>
          <w:rFonts w:ascii="Palatino Linotype" w:eastAsia="Palatino Linotype" w:hAnsi="Palatino Linotype" w:cs="Palatino Linotype"/>
        </w:rPr>
      </w:pPr>
      <w:r w:rsidRPr="00BA6413">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BA6413">
        <w:rPr>
          <w:rFonts w:ascii="Palatino Linotype" w:eastAsia="Palatino Linotype" w:hAnsi="Palatino Linotype" w:cs="Palatino Linotype"/>
          <w:i/>
        </w:rPr>
        <w:t>derecho fundamental exime a quien lo ejerce</w:t>
      </w:r>
      <w:r w:rsidRPr="00BA6413">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6307D" w:rsidRPr="00BA6413" w:rsidRDefault="0016307D" w:rsidP="0016307D">
      <w:pPr>
        <w:pStyle w:val="Prrafodelista"/>
        <w:spacing w:line="360" w:lineRule="auto"/>
        <w:ind w:left="0"/>
        <w:jc w:val="both"/>
        <w:rPr>
          <w:rFonts w:ascii="Palatino Linotype" w:eastAsia="Palatino Linotype" w:hAnsi="Palatino Linotype" w:cs="Palatino Linotype"/>
        </w:rPr>
      </w:pPr>
    </w:p>
    <w:p w:rsidR="0016307D" w:rsidRPr="00BA6413" w:rsidRDefault="0016307D" w:rsidP="0016307D">
      <w:pPr>
        <w:pStyle w:val="Prrafodelista"/>
        <w:numPr>
          <w:ilvl w:val="0"/>
          <w:numId w:val="1"/>
        </w:numPr>
        <w:spacing w:line="360" w:lineRule="auto"/>
        <w:ind w:left="0" w:firstLine="0"/>
        <w:jc w:val="both"/>
        <w:rPr>
          <w:rFonts w:ascii="Palatino Linotype" w:eastAsia="Palatino Linotype" w:hAnsi="Palatino Linotype" w:cs="Palatino Linotype"/>
        </w:rPr>
      </w:pPr>
      <w:r w:rsidRPr="00BA6413">
        <w:rPr>
          <w:rFonts w:ascii="Palatino Linotype" w:eastAsia="Palatino Linotype" w:hAnsi="Palatino Linotype" w:cs="Palatino Linotype"/>
        </w:rPr>
        <w:t xml:space="preserve">Lo que se fortalece con el Criterio 6/2014 del entonces Instituto Federal de Acceso a la </w:t>
      </w:r>
      <w:r w:rsidRPr="00BA6413">
        <w:rPr>
          <w:rFonts w:ascii="Palatino Linotype" w:eastAsia="Calibri" w:hAnsi="Palatino Linotype" w:cs="Arial"/>
        </w:rPr>
        <w:t>Información</w:t>
      </w:r>
      <w:r w:rsidRPr="00BA6413">
        <w:rPr>
          <w:rFonts w:ascii="Palatino Linotype" w:eastAsia="Palatino Linotype" w:hAnsi="Palatino Linotype" w:cs="Palatino Linotype"/>
        </w:rPr>
        <w:t xml:space="preserve"> y Protección de Datos, ahora Instituto Nacional de </w:t>
      </w:r>
      <w:r w:rsidRPr="00BA6413">
        <w:rPr>
          <w:rFonts w:ascii="Palatino Linotype" w:eastAsia="Palatino Linotype" w:hAnsi="Palatino Linotype" w:cs="Palatino Linotype"/>
          <w:color w:val="000000"/>
        </w:rPr>
        <w:t>Transparencia</w:t>
      </w:r>
      <w:r w:rsidRPr="00BA6413">
        <w:rPr>
          <w:rFonts w:ascii="Palatino Linotype" w:eastAsia="Palatino Linotype" w:hAnsi="Palatino Linotype" w:cs="Palatino Linotype"/>
        </w:rPr>
        <w:t xml:space="preserve"> Acceso a la Información y Protección de Datos Personales, el cual se reproduce para una mayor referencia:</w:t>
      </w:r>
    </w:p>
    <w:p w:rsidR="0016307D" w:rsidRPr="00BA6413" w:rsidRDefault="0016307D" w:rsidP="0016307D">
      <w:pPr>
        <w:spacing w:line="360" w:lineRule="auto"/>
        <w:jc w:val="both"/>
        <w:rPr>
          <w:rFonts w:ascii="Palatino Linotype" w:eastAsia="Palatino Linotype" w:hAnsi="Palatino Linotype" w:cs="Palatino Linotype"/>
        </w:rPr>
      </w:pPr>
    </w:p>
    <w:p w:rsidR="0016307D" w:rsidRPr="00BA6413" w:rsidRDefault="0016307D" w:rsidP="0016307D">
      <w:pPr>
        <w:pStyle w:val="Textoindependienteprimerasangra2"/>
        <w:ind w:left="1134" w:right="900" w:hanging="76"/>
        <w:jc w:val="both"/>
        <w:rPr>
          <w:rFonts w:ascii="Palatino Linotype" w:eastAsia="Palatino Linotype" w:hAnsi="Palatino Linotype"/>
          <w:i/>
        </w:rPr>
      </w:pPr>
      <w:r w:rsidRPr="00BA6413">
        <w:rPr>
          <w:rFonts w:ascii="Palatino Linotype" w:eastAsia="Palatino Linotype" w:hAnsi="Palatino Linotype"/>
          <w:i/>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w:t>
      </w:r>
      <w:r w:rsidRPr="00BA6413">
        <w:rPr>
          <w:rFonts w:ascii="Palatino Linotype" w:eastAsia="Palatino Linotype" w:hAnsi="Palatino Linotype"/>
          <w:i/>
        </w:rPr>
        <w:lastRenderedPageBreak/>
        <w:t>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16307D" w:rsidRPr="00BA6413" w:rsidRDefault="0016307D" w:rsidP="0016307D">
      <w:pPr>
        <w:pStyle w:val="Textoindependienteprimerasangra2"/>
        <w:ind w:hanging="76"/>
        <w:jc w:val="both"/>
        <w:rPr>
          <w:rFonts w:ascii="Palatino Linotype" w:eastAsia="Palatino Linotype" w:hAnsi="Palatino Linotype"/>
          <w:i/>
        </w:rPr>
      </w:pPr>
    </w:p>
    <w:p w:rsidR="0016307D" w:rsidRPr="00BA6413" w:rsidRDefault="0016307D" w:rsidP="0016307D">
      <w:pPr>
        <w:spacing w:line="360" w:lineRule="auto"/>
        <w:jc w:val="both"/>
      </w:pPr>
    </w:p>
    <w:p w:rsidR="0016307D" w:rsidRPr="00BA6413" w:rsidRDefault="0016307D" w:rsidP="0016307D">
      <w:pPr>
        <w:pStyle w:val="Prrafodelista"/>
        <w:jc w:val="both"/>
        <w:rPr>
          <w:rFonts w:ascii="Palatino Linotype" w:eastAsia="Palatino Linotype" w:hAnsi="Palatino Linotype" w:cs="Palatino Linotype"/>
        </w:rPr>
      </w:pPr>
    </w:p>
    <w:p w:rsidR="0016307D" w:rsidRPr="00BA6413" w:rsidRDefault="0016307D" w:rsidP="0016307D">
      <w:pPr>
        <w:pStyle w:val="Prrafodelista"/>
        <w:numPr>
          <w:ilvl w:val="0"/>
          <w:numId w:val="1"/>
        </w:numPr>
        <w:spacing w:line="360" w:lineRule="auto"/>
        <w:ind w:left="0" w:firstLine="0"/>
        <w:jc w:val="both"/>
      </w:pPr>
      <w:r w:rsidRPr="00BA6413">
        <w:rPr>
          <w:rFonts w:ascii="Palatino Linotype" w:eastAsia="Calibri" w:hAnsi="Palatino Linotype" w:cs="Arial"/>
        </w:rPr>
        <w:t>Asimismo</w:t>
      </w:r>
      <w:r w:rsidRPr="00BA6413">
        <w:rPr>
          <w:rFonts w:ascii="Palatino Linotype" w:eastAsia="Palatino Linotype" w:hAnsi="Palatino Linotype" w:cs="Palatino Linotype"/>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30959" w:rsidRPr="00BA6413" w:rsidRDefault="00C30959" w:rsidP="00C30959">
      <w:pPr>
        <w:pStyle w:val="Prrafodelista"/>
        <w:spacing w:line="360" w:lineRule="auto"/>
        <w:ind w:left="0"/>
        <w:jc w:val="both"/>
        <w:rPr>
          <w:rFonts w:ascii="Palatino Linotype" w:hAnsi="Palatino Linotype"/>
          <w:color w:val="000000" w:themeColor="text1"/>
        </w:rPr>
      </w:pPr>
    </w:p>
    <w:p w:rsidR="00C30959" w:rsidRPr="00BA6413" w:rsidRDefault="00C30959" w:rsidP="00C30959">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BA6413">
        <w:rPr>
          <w:rFonts w:ascii="Palatino Linotype" w:hAnsi="Palatino Linotype"/>
          <w:b/>
          <w:color w:val="000000" w:themeColor="text1"/>
          <w:sz w:val="24"/>
          <w:szCs w:val="24"/>
        </w:rPr>
        <w:t xml:space="preserve">TERCERO. </w:t>
      </w:r>
      <w:bookmarkStart w:id="143" w:name="_Toc501021589"/>
      <w:r w:rsidRPr="00BA6413">
        <w:rPr>
          <w:rFonts w:ascii="Palatino Linotype" w:hAnsi="Palatino Linotype"/>
          <w:b/>
          <w:color w:val="000000" w:themeColor="text1"/>
          <w:sz w:val="24"/>
          <w:szCs w:val="24"/>
        </w:rPr>
        <w:t>De las causales de sobreseimiento.</w:t>
      </w:r>
      <w:bookmarkEnd w:id="139"/>
      <w:bookmarkEnd w:id="140"/>
      <w:bookmarkEnd w:id="141"/>
      <w:bookmarkEnd w:id="142"/>
      <w:bookmarkEnd w:id="143"/>
    </w:p>
    <w:p w:rsidR="00C30959" w:rsidRPr="00BA6413" w:rsidRDefault="00C30959" w:rsidP="00C30959"/>
    <w:p w:rsidR="00C30959" w:rsidRPr="00BA6413" w:rsidRDefault="00C30959" w:rsidP="00C30959">
      <w:pPr>
        <w:numPr>
          <w:ilvl w:val="0"/>
          <w:numId w:val="1"/>
        </w:numPr>
        <w:spacing w:line="360" w:lineRule="auto"/>
        <w:ind w:left="0" w:firstLine="0"/>
        <w:contextualSpacing/>
        <w:jc w:val="both"/>
        <w:rPr>
          <w:rFonts w:ascii="Palatino Linotype" w:eastAsia="Calibri" w:hAnsi="Palatino Linotype" w:cs="Arial"/>
        </w:rPr>
      </w:pPr>
      <w:r w:rsidRPr="00BA6413">
        <w:rPr>
          <w:rFonts w:ascii="Palatino Linotype" w:eastAsia="Calibri" w:hAnsi="Palatino Linotype" w:cs="Arial"/>
        </w:rPr>
        <w:t>Este Instituto, realiza el estudio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rsidR="00C30959" w:rsidRPr="00BA6413" w:rsidRDefault="00C30959" w:rsidP="00C30959">
      <w:pPr>
        <w:pBdr>
          <w:top w:val="nil"/>
          <w:left w:val="nil"/>
          <w:bottom w:val="nil"/>
          <w:right w:val="nil"/>
          <w:between w:val="nil"/>
        </w:pBdr>
        <w:spacing w:before="240" w:after="240"/>
        <w:ind w:left="567"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“Improcedencia: Sea que las partes la aleguen o no, debe examinarse previamente la procedencia del juicio de amparo, por ser cuestión de orden público en el juicio de garantías.”(Sic)</w:t>
      </w:r>
    </w:p>
    <w:p w:rsidR="00C30959" w:rsidRPr="00BA6413" w:rsidRDefault="00C30959" w:rsidP="00C30959">
      <w:pPr>
        <w:numPr>
          <w:ilvl w:val="0"/>
          <w:numId w:val="1"/>
        </w:numPr>
        <w:spacing w:line="360" w:lineRule="auto"/>
        <w:ind w:left="0" w:firstLine="0"/>
        <w:contextualSpacing/>
        <w:jc w:val="both"/>
        <w:rPr>
          <w:rFonts w:ascii="Palatino Linotype" w:eastAsia="Calibri" w:hAnsi="Palatino Linotype" w:cs="Arial"/>
        </w:rPr>
      </w:pPr>
      <w:r w:rsidRPr="00BA6413">
        <w:rPr>
          <w:rFonts w:ascii="Palatino Linotype" w:eastAsia="Calibri" w:hAnsi="Palatino Linotype" w:cs="Arial"/>
        </w:rPr>
        <w:lastRenderedPageBreak/>
        <w:t>Por su parte los artículos 186, 191 y 192 de la Ley en cita, disponen lo siguiente:</w:t>
      </w:r>
    </w:p>
    <w:p w:rsidR="00C30959" w:rsidRPr="00BA6413" w:rsidRDefault="00C30959" w:rsidP="00C30959">
      <w:pPr>
        <w:pBdr>
          <w:top w:val="nil"/>
          <w:left w:val="nil"/>
          <w:bottom w:val="nil"/>
          <w:right w:val="nil"/>
          <w:between w:val="nil"/>
        </w:pBdr>
        <w:spacing w:before="240" w:after="240"/>
        <w:ind w:left="851" w:right="49"/>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“Artículo 186. Las resoluciones del Instituto podrán:</w:t>
      </w:r>
    </w:p>
    <w:p w:rsidR="00C30959" w:rsidRPr="00BA6413" w:rsidRDefault="00C30959" w:rsidP="00C30959">
      <w:pPr>
        <w:pBdr>
          <w:top w:val="nil"/>
          <w:left w:val="nil"/>
          <w:bottom w:val="nil"/>
          <w:right w:val="nil"/>
          <w:between w:val="nil"/>
        </w:pBdr>
        <w:spacing w:before="240"/>
        <w:ind w:left="851" w:right="49"/>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b/>
          <w:i/>
          <w:color w:val="000000"/>
          <w:sz w:val="22"/>
          <w:szCs w:val="22"/>
          <w:lang w:val="es-ES"/>
        </w:rPr>
        <w:t>I. Desechar o sobreseer el recurso;</w:t>
      </w:r>
    </w:p>
    <w:p w:rsidR="00C30959" w:rsidRPr="00BA6413" w:rsidRDefault="00C30959" w:rsidP="00C30959">
      <w:pPr>
        <w:pBdr>
          <w:top w:val="nil"/>
          <w:left w:val="nil"/>
          <w:bottom w:val="nil"/>
          <w:right w:val="nil"/>
          <w:between w:val="nil"/>
        </w:pBdr>
        <w:ind w:left="851" w:right="49"/>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II. Confirmar la respuesta del sujeto obligado;</w:t>
      </w:r>
    </w:p>
    <w:p w:rsidR="00C30959" w:rsidRPr="00BA6413" w:rsidRDefault="00C30959" w:rsidP="00C30959">
      <w:pPr>
        <w:pBdr>
          <w:top w:val="nil"/>
          <w:left w:val="nil"/>
          <w:bottom w:val="nil"/>
          <w:right w:val="nil"/>
          <w:between w:val="nil"/>
        </w:pBdr>
        <w:ind w:left="851" w:right="49"/>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III. Revocar o modificar la respuesta del sujeto obligado; y</w:t>
      </w:r>
    </w:p>
    <w:p w:rsidR="00C30959" w:rsidRPr="00BA6413" w:rsidRDefault="00C30959" w:rsidP="00C30959">
      <w:pPr>
        <w:pBdr>
          <w:top w:val="nil"/>
          <w:left w:val="nil"/>
          <w:bottom w:val="nil"/>
          <w:right w:val="nil"/>
          <w:between w:val="nil"/>
        </w:pBdr>
        <w:ind w:left="851" w:right="49"/>
        <w:jc w:val="both"/>
        <w:rPr>
          <w:rFonts w:ascii="Palatino Linotype" w:eastAsia="Palatino Linotype" w:hAnsi="Palatino Linotype" w:cs="Palatino Linotype"/>
          <w:i/>
          <w:color w:val="000000"/>
          <w:sz w:val="22"/>
          <w:szCs w:val="22"/>
          <w:lang w:val="es-ES"/>
        </w:rPr>
      </w:pPr>
      <w:r w:rsidRPr="00BA6413">
        <w:rPr>
          <w:rFonts w:ascii="Palatino Linotype" w:eastAsia="Palatino Linotype" w:hAnsi="Palatino Linotype" w:cs="Palatino Linotype"/>
          <w:i/>
          <w:color w:val="000000"/>
          <w:sz w:val="22"/>
          <w:szCs w:val="22"/>
          <w:lang w:val="es-ES"/>
        </w:rPr>
        <w:t>IV. Ordenar la entrega de la información…”</w:t>
      </w:r>
    </w:p>
    <w:p w:rsidR="00C30959" w:rsidRPr="00BA6413" w:rsidRDefault="00C30959" w:rsidP="00C30959">
      <w:pPr>
        <w:pBdr>
          <w:top w:val="nil"/>
          <w:left w:val="nil"/>
          <w:bottom w:val="nil"/>
          <w:right w:val="nil"/>
          <w:between w:val="nil"/>
        </w:pBdr>
        <w:ind w:left="851" w:right="49"/>
        <w:jc w:val="both"/>
        <w:rPr>
          <w:rFonts w:ascii="Times New Roman" w:eastAsia="Times New Roman" w:hAnsi="Times New Roman" w:cs="Times New Roman"/>
          <w:color w:val="000000"/>
          <w:lang w:val="es-ES"/>
        </w:rPr>
      </w:pP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 xml:space="preserve"> Artículo 191. El recurso será desechado por improcedente cuando:</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 Sea extemporáneo por haber transcurrido el plazo establecido en la presente Ley, a partir de la respuesta;</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II. Se esté tramitando ante el Poder Judicial de la Federación algún recurso o medio de defensa interpuesto por el recurrente;</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III. No actualice alguno de los supuestos previstos en la presente Ley;</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IV. No se haya desahogado la prevención en los términos establecidos en la presente Ley;</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V. Se impugne la veracidad de la información proporcionada;</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b/>
          <w:i/>
          <w:color w:val="000000"/>
          <w:sz w:val="22"/>
          <w:szCs w:val="22"/>
          <w:u w:val="single"/>
          <w:lang w:val="es-ES"/>
        </w:rPr>
        <w:t>VI. Se trate de una consulta</w:t>
      </w:r>
      <w:r w:rsidRPr="00BA6413">
        <w:rPr>
          <w:rFonts w:ascii="Palatino Linotype" w:eastAsia="Palatino Linotype" w:hAnsi="Palatino Linotype" w:cs="Palatino Linotype"/>
          <w:b/>
          <w:i/>
          <w:color w:val="000000"/>
          <w:sz w:val="22"/>
          <w:szCs w:val="22"/>
          <w:lang w:val="es-ES"/>
        </w:rPr>
        <w:t xml:space="preserve">, </w:t>
      </w:r>
      <w:r w:rsidRPr="00BA6413">
        <w:rPr>
          <w:rFonts w:ascii="Palatino Linotype" w:eastAsia="Palatino Linotype" w:hAnsi="Palatino Linotype" w:cs="Palatino Linotype"/>
          <w:i/>
          <w:color w:val="000000"/>
          <w:sz w:val="22"/>
          <w:szCs w:val="22"/>
          <w:lang w:val="es-ES"/>
        </w:rPr>
        <w:t>o trámite en específico; y</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VII. El recurrente amplíe su solicitud en el recurso de revisión, únicamente respecto de los nuevos contenidos.”</w:t>
      </w:r>
    </w:p>
    <w:p w:rsidR="00C30959" w:rsidRPr="00BA6413" w:rsidRDefault="00C30959" w:rsidP="00C30959">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lang w:val="es-ES"/>
        </w:rPr>
      </w:pP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“Artículo 192. El recurso será sobreseído, en todo o en parte, cuando una vez admitido, se actualicen alguno de los siguientes supuestos:</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 El recurrente se desista expresamente del recurso;</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II. El recurrente fallezca o, tratándose de personas jurídicas colectivas, se disuelva;</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III. El sujeto obligado responsable del acto lo modifique o revoque de tal manera que el recurso de revisión quede sin materia;</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b/>
          <w:i/>
          <w:color w:val="000000"/>
          <w:sz w:val="22"/>
          <w:szCs w:val="22"/>
          <w:lang w:val="es-ES"/>
        </w:rPr>
        <w:t>IV. Admitido el recurso de revisión, aparezca alguna causal de improcedencia en los términos de la presente Ley; y</w:t>
      </w:r>
    </w:p>
    <w:p w:rsidR="00C30959" w:rsidRPr="00BA6413" w:rsidRDefault="00C30959" w:rsidP="00C30959">
      <w:pPr>
        <w:pBdr>
          <w:top w:val="nil"/>
          <w:left w:val="nil"/>
          <w:bottom w:val="nil"/>
          <w:right w:val="nil"/>
          <w:between w:val="nil"/>
        </w:pBdr>
        <w:ind w:left="851" w:right="616"/>
        <w:jc w:val="both"/>
        <w:rPr>
          <w:rFonts w:ascii="Times New Roman" w:eastAsia="Times New Roman" w:hAnsi="Times New Roman" w:cs="Times New Roman"/>
          <w:color w:val="000000"/>
          <w:lang w:val="es-ES"/>
        </w:rPr>
      </w:pPr>
      <w:r w:rsidRPr="00BA6413">
        <w:rPr>
          <w:rFonts w:ascii="Palatino Linotype" w:eastAsia="Palatino Linotype" w:hAnsi="Palatino Linotype" w:cs="Palatino Linotype"/>
          <w:i/>
          <w:color w:val="000000"/>
          <w:sz w:val="22"/>
          <w:szCs w:val="22"/>
          <w:lang w:val="es-ES"/>
        </w:rPr>
        <w:t>V. Cuando por cualquier motivo quede sin materia el recurso.” (Sic)</w:t>
      </w:r>
    </w:p>
    <w:p w:rsidR="00C30959" w:rsidRPr="00BA6413" w:rsidRDefault="00C30959" w:rsidP="00C30959">
      <w:pPr>
        <w:pBdr>
          <w:top w:val="nil"/>
          <w:left w:val="nil"/>
          <w:bottom w:val="nil"/>
          <w:right w:val="nil"/>
          <w:between w:val="nil"/>
        </w:pBdr>
        <w:spacing w:after="240" w:line="360" w:lineRule="auto"/>
        <w:ind w:left="851" w:right="49"/>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Calibri" w:hAnsi="Palatino Linotype" w:cs="Arial"/>
        </w:rPr>
      </w:pPr>
      <w:r w:rsidRPr="00BA6413">
        <w:rPr>
          <w:rFonts w:ascii="Palatino Linotype" w:eastAsia="Calibri" w:hAnsi="Palatino Linotype" w:cs="Arial"/>
        </w:rPr>
        <w:t xml:space="preserve">En el presente caso, se advierte que, una vez admitido el Recurso de Revisión y en su estudio a detalle, surgió la causal de improcedencia, prevista en el artículo </w:t>
      </w:r>
      <w:r w:rsidRPr="00BA6413">
        <w:rPr>
          <w:rFonts w:ascii="Palatino Linotype" w:eastAsia="Calibri" w:hAnsi="Palatino Linotype" w:cs="Arial"/>
        </w:rPr>
        <w:lastRenderedPageBreak/>
        <w:t>191 fracción VI de la Ley de Transparencia y Acceso a la Información Pública del Estado de México y Municipios</w:t>
      </w:r>
    </w:p>
    <w:p w:rsidR="00C30959" w:rsidRPr="00BA6413" w:rsidRDefault="00C30959" w:rsidP="00C30959">
      <w:pPr>
        <w:spacing w:line="360" w:lineRule="auto"/>
        <w:contextualSpacing/>
        <w:jc w:val="both"/>
        <w:rPr>
          <w:rFonts w:ascii="Palatino Linotype" w:eastAsia="Calibri" w:hAnsi="Palatino Linotype" w:cs="Arial"/>
        </w:rPr>
      </w:pPr>
    </w:p>
    <w:p w:rsidR="00C30959" w:rsidRPr="00BA6413" w:rsidRDefault="00C30959" w:rsidP="00C30959">
      <w:pPr>
        <w:numPr>
          <w:ilvl w:val="0"/>
          <w:numId w:val="1"/>
        </w:numPr>
        <w:spacing w:line="360" w:lineRule="auto"/>
        <w:ind w:left="0" w:firstLine="0"/>
        <w:contextualSpacing/>
        <w:jc w:val="both"/>
        <w:rPr>
          <w:rFonts w:ascii="Palatino Linotype" w:eastAsia="Calibri" w:hAnsi="Palatino Linotype" w:cs="Arial"/>
        </w:rPr>
      </w:pPr>
      <w:r w:rsidRPr="00BA6413">
        <w:rPr>
          <w:rFonts w:ascii="Palatino Linotype" w:eastAsia="Calibri" w:hAnsi="Palatino Linotype" w:cs="Arial"/>
        </w:rPr>
        <w:t xml:space="preserve">Trayendo consigo a  lo previsto en la fracción IV del artículo 192, en razón a que al haber sido el recurso y al actualizarse una causal de improcedencia, debe ser </w:t>
      </w:r>
      <w:r w:rsidRPr="00BA6413">
        <w:rPr>
          <w:rFonts w:ascii="Palatino Linotype" w:eastAsia="Calibri" w:hAnsi="Palatino Linotype" w:cs="Arial"/>
          <w:b/>
        </w:rPr>
        <w:t>sobreseído.</w:t>
      </w:r>
    </w:p>
    <w:p w:rsidR="00C30959" w:rsidRPr="00BA6413" w:rsidRDefault="00C30959" w:rsidP="00C30959">
      <w:pPr>
        <w:spacing w:line="360" w:lineRule="auto"/>
        <w:contextualSpacing/>
        <w:jc w:val="both"/>
        <w:rPr>
          <w:rFonts w:ascii="Palatino Linotype" w:eastAsia="Calibri" w:hAnsi="Palatino Linotype" w:cs="Arial"/>
        </w:rPr>
      </w:pPr>
    </w:p>
    <w:p w:rsidR="00C30959" w:rsidRPr="00BA6413" w:rsidRDefault="00C30959" w:rsidP="00C30959">
      <w:pPr>
        <w:numPr>
          <w:ilvl w:val="0"/>
          <w:numId w:val="1"/>
        </w:numPr>
        <w:spacing w:line="360" w:lineRule="auto"/>
        <w:ind w:left="0" w:firstLine="0"/>
        <w:contextualSpacing/>
        <w:jc w:val="both"/>
        <w:rPr>
          <w:rFonts w:ascii="Palatino Linotype" w:eastAsia="Calibri" w:hAnsi="Palatino Linotype" w:cs="Arial"/>
        </w:rPr>
      </w:pPr>
      <w:r w:rsidRPr="00BA6413">
        <w:rPr>
          <w:rFonts w:ascii="Palatino Linotype" w:eastAsia="Calibri" w:hAnsi="Palatino Linotype" w:cs="Arial"/>
        </w:rPr>
        <w:t xml:space="preserve">En atención de lo anterior, se procede a analizar las razones por las cuales se dio lugar a la causal de sobreseimiento por consulta. </w:t>
      </w:r>
    </w:p>
    <w:p w:rsidR="00C30959" w:rsidRPr="00BA6413" w:rsidRDefault="00C30959" w:rsidP="00C30959">
      <w:pPr>
        <w:spacing w:line="360" w:lineRule="auto"/>
        <w:contextualSpacing/>
        <w:jc w:val="both"/>
        <w:rPr>
          <w:rFonts w:ascii="Palatino Linotype" w:eastAsia="Calibri" w:hAnsi="Palatino Linotype" w:cs="Arial"/>
        </w:rPr>
      </w:pPr>
    </w:p>
    <w:p w:rsidR="00C30959" w:rsidRPr="00BA6413" w:rsidRDefault="00C30959" w:rsidP="00C30959">
      <w:pPr>
        <w:numPr>
          <w:ilvl w:val="0"/>
          <w:numId w:val="1"/>
        </w:numPr>
        <w:spacing w:line="360" w:lineRule="auto"/>
        <w:ind w:left="0" w:firstLine="0"/>
        <w:contextualSpacing/>
        <w:jc w:val="both"/>
        <w:rPr>
          <w:rFonts w:ascii="Palatino Linotype" w:eastAsia="Calibri" w:hAnsi="Palatino Linotype" w:cs="Arial"/>
        </w:rPr>
      </w:pPr>
      <w:r w:rsidRPr="00BA6413">
        <w:rPr>
          <w:rFonts w:ascii="Palatino Linotype" w:eastAsia="Calibri" w:hAnsi="Palatino Linotype" w:cs="Arial"/>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citado artículo 179, toda vez que la parte Recurrente, mediante el recurso de revisión, solicita le sea contestada una consulta para un caso específico. </w:t>
      </w:r>
    </w:p>
    <w:p w:rsidR="00C30959" w:rsidRPr="00BA6413" w:rsidRDefault="00C30959" w:rsidP="00C30959">
      <w:pPr>
        <w:pStyle w:val="Prrafodelista"/>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Calibri" w:hAnsi="Palatino Linotype" w:cs="Arial"/>
        </w:rPr>
      </w:pPr>
      <w:r w:rsidRPr="00BA6413">
        <w:rPr>
          <w:rFonts w:ascii="Palatino Linotype" w:eastAsia="Palatino Linotype" w:hAnsi="Palatino Linotype" w:cs="Palatino Linotype"/>
          <w:color w:val="000000"/>
          <w:lang w:val="es-ES"/>
        </w:rPr>
        <w:t xml:space="preserve">De lo anterior, es necesario mencionar que, del análisis de la solicitud de información motivo del recurso de revisión que ahora se resuelve, se advierte que la parte solicitante requirió al </w:t>
      </w:r>
      <w:r w:rsidRPr="00BA6413">
        <w:rPr>
          <w:rFonts w:ascii="Palatino Linotype" w:eastAsia="Palatino Linotype" w:hAnsi="Palatino Linotype" w:cs="Palatino Linotype"/>
          <w:b/>
          <w:color w:val="000000"/>
          <w:lang w:val="es-ES"/>
        </w:rPr>
        <w:t>SUJETO OBLIGADO</w:t>
      </w:r>
      <w:r w:rsidRPr="00BA6413">
        <w:rPr>
          <w:rFonts w:ascii="Palatino Linotype" w:eastAsia="Palatino Linotype" w:hAnsi="Palatino Linotype" w:cs="Palatino Linotype"/>
          <w:color w:val="000000"/>
          <w:lang w:val="es-ES"/>
        </w:rPr>
        <w:t xml:space="preserve"> le proporcione información consistente en lo siguiente:</w:t>
      </w:r>
    </w:p>
    <w:p w:rsidR="0016307D" w:rsidRPr="00BA6413" w:rsidRDefault="0016307D" w:rsidP="0016307D">
      <w:pPr>
        <w:pStyle w:val="Prrafodelista"/>
        <w:numPr>
          <w:ilvl w:val="0"/>
          <w:numId w:val="4"/>
        </w:numPr>
        <w:spacing w:line="360" w:lineRule="auto"/>
        <w:jc w:val="both"/>
        <w:rPr>
          <w:rFonts w:ascii="Palatino Linotype" w:eastAsia="Palatino Linotype" w:hAnsi="Palatino Linotype" w:cs="Palatino Linotype"/>
          <w:color w:val="000000"/>
          <w:sz w:val="22"/>
          <w:szCs w:val="22"/>
        </w:rPr>
      </w:pPr>
      <w:r w:rsidRPr="00BA6413">
        <w:rPr>
          <w:rFonts w:ascii="Palatino Linotype" w:eastAsia="Palatino Linotype" w:hAnsi="Palatino Linotype" w:cs="Palatino Linotype"/>
          <w:color w:val="000000"/>
          <w:sz w:val="22"/>
          <w:szCs w:val="22"/>
        </w:rPr>
        <w:lastRenderedPageBreak/>
        <w:t xml:space="preserve">Conocer si es posible que la presidenta municipal de Rayón Edna </w:t>
      </w:r>
      <w:proofErr w:type="spellStart"/>
      <w:r w:rsidRPr="00BA6413">
        <w:rPr>
          <w:rFonts w:ascii="Palatino Linotype" w:eastAsia="Palatino Linotype" w:hAnsi="Palatino Linotype" w:cs="Palatino Linotype"/>
          <w:color w:val="000000"/>
          <w:sz w:val="22"/>
          <w:szCs w:val="22"/>
        </w:rPr>
        <w:t>Estephany</w:t>
      </w:r>
      <w:proofErr w:type="spellEnd"/>
      <w:r w:rsidRPr="00BA6413">
        <w:rPr>
          <w:rFonts w:ascii="Palatino Linotype" w:eastAsia="Palatino Linotype" w:hAnsi="Palatino Linotype" w:cs="Palatino Linotype"/>
          <w:color w:val="000000"/>
          <w:sz w:val="22"/>
          <w:szCs w:val="22"/>
        </w:rPr>
        <w:t xml:space="preserve"> Talavera Mercado tenga como Secretario del Ayuntamiento a su tío Eucario Nava Mercado y como director de Obras a su primo el C Marco Antonio Nava </w:t>
      </w:r>
      <w:proofErr w:type="spellStart"/>
      <w:r w:rsidRPr="00BA6413">
        <w:rPr>
          <w:rFonts w:ascii="Palatino Linotype" w:eastAsia="Palatino Linotype" w:hAnsi="Palatino Linotype" w:cs="Palatino Linotype"/>
          <w:color w:val="000000"/>
          <w:sz w:val="22"/>
          <w:szCs w:val="22"/>
        </w:rPr>
        <w:t>Pureco</w:t>
      </w:r>
      <w:proofErr w:type="spellEnd"/>
      <w:r w:rsidRPr="00BA6413">
        <w:rPr>
          <w:rFonts w:ascii="Palatino Linotype" w:eastAsia="Palatino Linotype" w:hAnsi="Palatino Linotype" w:cs="Palatino Linotype"/>
          <w:color w:val="000000"/>
          <w:sz w:val="22"/>
          <w:szCs w:val="22"/>
        </w:rPr>
        <w:t xml:space="preserve">, de ser correcto que documentos los avala; y </w:t>
      </w:r>
    </w:p>
    <w:p w:rsidR="0016307D" w:rsidRPr="00BA6413" w:rsidRDefault="0016307D" w:rsidP="0016307D">
      <w:pPr>
        <w:pStyle w:val="Prrafodelista"/>
        <w:spacing w:line="360" w:lineRule="auto"/>
        <w:jc w:val="both"/>
        <w:rPr>
          <w:rFonts w:ascii="Palatino Linotype" w:eastAsia="Palatino Linotype" w:hAnsi="Palatino Linotype" w:cs="Palatino Linotype"/>
          <w:color w:val="000000"/>
          <w:sz w:val="22"/>
          <w:szCs w:val="22"/>
        </w:rPr>
      </w:pPr>
    </w:p>
    <w:p w:rsidR="0016307D" w:rsidRPr="00BA6413" w:rsidRDefault="0016307D" w:rsidP="0016307D">
      <w:pPr>
        <w:pStyle w:val="Prrafodelista"/>
        <w:numPr>
          <w:ilvl w:val="0"/>
          <w:numId w:val="4"/>
        </w:numPr>
        <w:spacing w:line="360" w:lineRule="auto"/>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sz w:val="22"/>
          <w:szCs w:val="22"/>
        </w:rPr>
        <w:t>Certificaciones de Competencia Laboral</w:t>
      </w:r>
    </w:p>
    <w:p w:rsidR="0016307D" w:rsidRPr="00BA6413" w:rsidRDefault="0016307D" w:rsidP="0016307D">
      <w:pPr>
        <w:pStyle w:val="Prrafodelista"/>
        <w:rPr>
          <w:rFonts w:ascii="Palatino Linotype" w:eastAsia="Palatino Linotype" w:hAnsi="Palatino Linotype" w:cs="Palatino Linotype"/>
          <w:color w:val="000000"/>
          <w:lang w:val="es-ES"/>
        </w:rPr>
      </w:pPr>
    </w:p>
    <w:p w:rsidR="0016307D" w:rsidRPr="00BA6413" w:rsidRDefault="0016307D" w:rsidP="0016307D">
      <w:pPr>
        <w:pStyle w:val="Prrafodelista"/>
        <w:spacing w:line="360" w:lineRule="auto"/>
        <w:jc w:val="both"/>
        <w:rPr>
          <w:rFonts w:ascii="Palatino Linotype" w:eastAsia="Palatino Linotype" w:hAnsi="Palatino Linotype" w:cs="Palatino Linotype"/>
          <w:color w:val="000000"/>
          <w:lang w:val="es-ES"/>
        </w:rPr>
      </w:pPr>
    </w:p>
    <w:p w:rsidR="0016307D" w:rsidRPr="00BA6413" w:rsidRDefault="0016307D"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Como primer punto se debe de precisar que</w:t>
      </w:r>
      <w:r w:rsidR="00B1534E" w:rsidRPr="00BA6413">
        <w:rPr>
          <w:rFonts w:ascii="Palatino Linotype" w:eastAsia="Palatino Linotype" w:hAnsi="Palatino Linotype" w:cs="Palatino Linotype"/>
          <w:color w:val="000000"/>
          <w:lang w:val="es-ES"/>
        </w:rPr>
        <w:t xml:space="preserve"> el </w:t>
      </w:r>
      <w:r w:rsidR="00B1534E" w:rsidRPr="00BA6413">
        <w:rPr>
          <w:rFonts w:ascii="Palatino Linotype" w:eastAsia="Palatino Linotype" w:hAnsi="Palatino Linotype" w:cs="Palatino Linotype"/>
          <w:b/>
          <w:color w:val="000000"/>
          <w:lang w:val="es-ES"/>
        </w:rPr>
        <w:t xml:space="preserve">RECURRENTE </w:t>
      </w:r>
      <w:r w:rsidR="00B1534E" w:rsidRPr="00BA6413">
        <w:rPr>
          <w:rFonts w:ascii="Palatino Linotype" w:eastAsia="Palatino Linotype" w:hAnsi="Palatino Linotype" w:cs="Palatino Linotype"/>
          <w:color w:val="000000"/>
          <w:lang w:val="es-ES"/>
        </w:rPr>
        <w:t xml:space="preserve">pretende acceder a las certificaciones de competencia laboral del Secretario del Ayuntamiento y del Director de Obras Públicas, situación por la cual se debe de tener por validada la incompetencia de conocer de las solicitud de información por parte del </w:t>
      </w:r>
      <w:r w:rsidR="00B1534E" w:rsidRPr="00BA6413">
        <w:rPr>
          <w:rFonts w:ascii="Palatino Linotype" w:eastAsia="Palatino Linotype" w:hAnsi="Palatino Linotype" w:cs="Palatino Linotype"/>
          <w:b/>
          <w:color w:val="000000"/>
          <w:lang w:val="es-ES"/>
        </w:rPr>
        <w:t xml:space="preserve">SUJETO OBLIGADO, </w:t>
      </w:r>
      <w:r w:rsidR="00B1534E" w:rsidRPr="00BA6413">
        <w:rPr>
          <w:rFonts w:ascii="Palatino Linotype" w:eastAsia="Palatino Linotype" w:hAnsi="Palatino Linotype" w:cs="Palatino Linotype"/>
          <w:color w:val="000000"/>
          <w:lang w:val="es-ES"/>
        </w:rPr>
        <w:t xml:space="preserve">toda vez que dentro de sus funciones no está el resguardar los expedientes laborales de los servidores públicos del Ayuntamiento de Rayón. </w:t>
      </w:r>
    </w:p>
    <w:p w:rsidR="00B1534E" w:rsidRPr="00BA6413" w:rsidRDefault="00B1534E" w:rsidP="00B1534E">
      <w:pPr>
        <w:spacing w:line="360" w:lineRule="auto"/>
        <w:contextualSpacing/>
        <w:jc w:val="both"/>
        <w:rPr>
          <w:rFonts w:ascii="Palatino Linotype" w:eastAsia="Palatino Linotype" w:hAnsi="Palatino Linotype" w:cs="Palatino Linotype"/>
          <w:color w:val="000000"/>
          <w:lang w:val="es-ES"/>
        </w:rPr>
      </w:pPr>
    </w:p>
    <w:p w:rsidR="00B1534E" w:rsidRPr="00BA6413" w:rsidRDefault="00B1534E" w:rsidP="00B1534E">
      <w:pPr>
        <w:numPr>
          <w:ilvl w:val="0"/>
          <w:numId w:val="1"/>
        </w:numPr>
        <w:spacing w:line="360" w:lineRule="auto"/>
        <w:ind w:left="0" w:firstLine="0"/>
        <w:contextualSpacing/>
        <w:jc w:val="both"/>
        <w:rPr>
          <w:rFonts w:ascii="Palatino Linotype" w:eastAsia="Cambria" w:hAnsi="Palatino Linotype"/>
          <w:color w:val="000000"/>
        </w:rPr>
      </w:pPr>
      <w:r w:rsidRPr="00BA6413">
        <w:rPr>
          <w:rFonts w:ascii="Palatino Linotype" w:eastAsia="Cambria" w:hAnsi="Palatino Linotype"/>
          <w:color w:val="000000"/>
        </w:rPr>
        <w:t xml:space="preserve">En ese sentido, es notorio que se deriva la incompetencia para el acceso al derecho de información pública por parte del </w:t>
      </w:r>
      <w:r w:rsidRPr="00BA6413">
        <w:rPr>
          <w:rFonts w:ascii="Palatino Linotype" w:eastAsia="Cambria" w:hAnsi="Palatino Linotype"/>
          <w:b/>
          <w:color w:val="000000"/>
        </w:rPr>
        <w:t>SUJETO OBLIGADO</w:t>
      </w:r>
      <w:r w:rsidRPr="00BA6413">
        <w:rPr>
          <w:rFonts w:ascii="Palatino Linotype" w:eastAsia="Cambria" w:hAnsi="Palatino Linotype"/>
          <w:color w:val="000000"/>
        </w:rPr>
        <w:t>, por lo que es imperativo traer a estudio lo dispuesto por el artículo 167 de la Ley de Transparencia y Acceso a la Información Pública del Estado de México y Municipios, que es de la literalidad siguiente:</w:t>
      </w:r>
    </w:p>
    <w:p w:rsidR="00B1534E" w:rsidRPr="00BA6413" w:rsidRDefault="00B1534E" w:rsidP="00B1534E">
      <w:pPr>
        <w:tabs>
          <w:tab w:val="left" w:pos="426"/>
        </w:tabs>
        <w:spacing w:line="360" w:lineRule="auto"/>
        <w:ind w:right="51"/>
        <w:contextualSpacing/>
        <w:jc w:val="both"/>
        <w:rPr>
          <w:rFonts w:ascii="Palatino Linotype" w:eastAsia="Cambria" w:hAnsi="Palatino Linotype"/>
          <w:color w:val="000000"/>
        </w:rPr>
      </w:pPr>
    </w:p>
    <w:p w:rsidR="00B1534E" w:rsidRPr="00BA6413" w:rsidRDefault="00B1534E" w:rsidP="00B1534E">
      <w:pPr>
        <w:tabs>
          <w:tab w:val="left" w:pos="142"/>
          <w:tab w:val="left" w:pos="284"/>
        </w:tabs>
        <w:ind w:left="1134" w:right="900"/>
        <w:contextualSpacing/>
        <w:jc w:val="both"/>
        <w:rPr>
          <w:rFonts w:ascii="Palatino Linotype" w:eastAsia="Cambria" w:hAnsi="Palatino Linotype"/>
          <w:i/>
        </w:rPr>
      </w:pPr>
      <w:r w:rsidRPr="00BA6413">
        <w:rPr>
          <w:rFonts w:ascii="Palatino Linotype" w:eastAsia="Cambria" w:hAnsi="Palatino Linotype"/>
        </w:rPr>
        <w:t>“</w:t>
      </w:r>
      <w:r w:rsidRPr="00BA6413">
        <w:rPr>
          <w:rFonts w:ascii="Palatino Linotype" w:eastAsia="Cambria" w:hAnsi="Palatino Linotype"/>
          <w:b/>
          <w:i/>
        </w:rPr>
        <w:t>Artículo 167.</w:t>
      </w:r>
      <w:r w:rsidRPr="00BA6413">
        <w:rPr>
          <w:rFonts w:ascii="Palatino Linotype" w:eastAsia="Cambria" w:hAnsi="Palatino Linotype"/>
          <w:i/>
        </w:rPr>
        <w:t xml:space="preserve"> </w:t>
      </w:r>
      <w:r w:rsidRPr="00BA6413">
        <w:rPr>
          <w:rFonts w:ascii="Palatino Linotype" w:eastAsia="Cambria" w:hAnsi="Palatino Linotype"/>
          <w:b/>
          <w:i/>
        </w:rPr>
        <w:t>Cuando las unidades de transparencia determinen la</w:t>
      </w:r>
      <w:r w:rsidRPr="00BA6413">
        <w:rPr>
          <w:rFonts w:ascii="Palatino Linotype" w:eastAsia="Cambria" w:hAnsi="Palatino Linotype"/>
          <w:i/>
        </w:rPr>
        <w:t xml:space="preserve"> notoria </w:t>
      </w:r>
      <w:r w:rsidRPr="00BA6413">
        <w:rPr>
          <w:rFonts w:ascii="Palatino Linotype" w:eastAsia="Cambria" w:hAnsi="Palatino Linotype"/>
          <w:b/>
          <w:i/>
        </w:rPr>
        <w:t>incompetencia por parte de los sujetos obligados</w:t>
      </w:r>
      <w:r w:rsidRPr="00BA6413">
        <w:rPr>
          <w:rFonts w:ascii="Palatino Linotype" w:eastAsia="Cambria" w:hAnsi="Palatino Linotype"/>
          <w:i/>
        </w:rPr>
        <w:t xml:space="preserve">, dentro del ámbito de aplicación, para atender la solicitud de acceso a la información, </w:t>
      </w:r>
      <w:r w:rsidRPr="00BA6413">
        <w:rPr>
          <w:rFonts w:ascii="Palatino Linotype" w:eastAsia="Cambria" w:hAnsi="Palatino Linotype"/>
          <w:b/>
          <w:i/>
        </w:rPr>
        <w:t xml:space="preserve">deberán comunicarlo al solicitante, dentro de los tres días hábiles posteriores a la recepción de la solicitud y, en </w:t>
      </w:r>
      <w:r w:rsidRPr="00BA6413">
        <w:rPr>
          <w:rFonts w:ascii="Palatino Linotype" w:eastAsia="Cambria" w:hAnsi="Palatino Linotype"/>
          <w:b/>
          <w:i/>
        </w:rPr>
        <w:lastRenderedPageBreak/>
        <w:t>su caso orientar al solicitante, el o los sujetos obligados competentes.</w:t>
      </w:r>
      <w:r w:rsidRPr="00BA6413">
        <w:rPr>
          <w:rFonts w:ascii="Palatino Linotype" w:eastAsia="Cambria" w:hAnsi="Palatino Linotype"/>
          <w:i/>
        </w:rPr>
        <w:t xml:space="preserve"> </w:t>
      </w:r>
    </w:p>
    <w:p w:rsidR="00B1534E" w:rsidRPr="00BA6413" w:rsidRDefault="00B1534E" w:rsidP="00B1534E">
      <w:pPr>
        <w:tabs>
          <w:tab w:val="left" w:pos="142"/>
          <w:tab w:val="left" w:pos="284"/>
        </w:tabs>
        <w:ind w:left="1134" w:right="900"/>
        <w:contextualSpacing/>
        <w:jc w:val="both"/>
        <w:rPr>
          <w:rFonts w:ascii="Palatino Linotype" w:eastAsia="Cambria" w:hAnsi="Palatino Linotype"/>
          <w:i/>
        </w:rPr>
      </w:pPr>
      <w:r w:rsidRPr="00BA6413">
        <w:rPr>
          <w:rFonts w:ascii="Palatino Linotype" w:eastAsia="Cambria" w:hAnsi="Palatino Linotype"/>
          <w:b/>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r w:rsidRPr="00BA6413">
        <w:rPr>
          <w:rFonts w:ascii="Palatino Linotype" w:eastAsia="Cambria" w:hAnsi="Palatino Linotype"/>
          <w:i/>
        </w:rPr>
        <w:t xml:space="preserve">. </w:t>
      </w:r>
    </w:p>
    <w:p w:rsidR="00B1534E" w:rsidRPr="00BA6413" w:rsidRDefault="00B1534E" w:rsidP="00B1534E">
      <w:pPr>
        <w:tabs>
          <w:tab w:val="left" w:pos="142"/>
          <w:tab w:val="left" w:pos="284"/>
        </w:tabs>
        <w:ind w:left="1134" w:right="900"/>
        <w:contextualSpacing/>
        <w:jc w:val="both"/>
        <w:rPr>
          <w:rFonts w:ascii="Palatino Linotype" w:eastAsia="Cambria" w:hAnsi="Palatino Linotype"/>
        </w:rPr>
      </w:pPr>
      <w:r w:rsidRPr="00BA6413">
        <w:rPr>
          <w:rFonts w:ascii="Palatino Linotype" w:eastAsia="Cambria" w:hAnsi="Palatino Linotype"/>
          <w:b/>
          <w:i/>
        </w:rPr>
        <w:t>Si transcurrido el plazo señalado en el primer párrafo de este artículo, el sujeto obligado no declina la competencia en los términos establecidos, podrá canalizar la solicitud ante el sujeto obligado competente.</w:t>
      </w:r>
      <w:r w:rsidRPr="00BA6413">
        <w:rPr>
          <w:rFonts w:ascii="Palatino Linotype" w:eastAsia="Cambria" w:hAnsi="Palatino Linotype"/>
          <w:i/>
        </w:rPr>
        <w:t>”</w:t>
      </w:r>
    </w:p>
    <w:p w:rsidR="00B1534E" w:rsidRPr="00BA6413" w:rsidRDefault="00B1534E" w:rsidP="00B1534E">
      <w:pPr>
        <w:tabs>
          <w:tab w:val="left" w:pos="142"/>
          <w:tab w:val="left" w:pos="284"/>
        </w:tabs>
        <w:ind w:left="1134" w:right="900"/>
        <w:contextualSpacing/>
        <w:jc w:val="both"/>
        <w:rPr>
          <w:rFonts w:ascii="Palatino Linotype" w:eastAsia="Cambria" w:hAnsi="Palatino Linotype"/>
        </w:rPr>
      </w:pPr>
      <w:r w:rsidRPr="00BA6413">
        <w:rPr>
          <w:rFonts w:ascii="Palatino Linotype" w:eastAsia="Cambria" w:hAnsi="Palatino Linotype"/>
        </w:rPr>
        <w:t>(Énfasis añadido)</w:t>
      </w:r>
    </w:p>
    <w:p w:rsidR="00B1534E" w:rsidRPr="00BA6413" w:rsidRDefault="00B1534E" w:rsidP="00B1534E">
      <w:pPr>
        <w:tabs>
          <w:tab w:val="left" w:pos="426"/>
        </w:tabs>
        <w:spacing w:line="360" w:lineRule="auto"/>
        <w:ind w:right="51"/>
        <w:contextualSpacing/>
        <w:jc w:val="both"/>
        <w:rPr>
          <w:rFonts w:ascii="Palatino Linotype" w:eastAsia="Cambria" w:hAnsi="Palatino Linotype"/>
          <w:color w:val="000000"/>
        </w:rPr>
      </w:pPr>
    </w:p>
    <w:p w:rsidR="00B1534E" w:rsidRPr="00BA6413" w:rsidRDefault="00B1534E" w:rsidP="00B1534E">
      <w:pPr>
        <w:numPr>
          <w:ilvl w:val="0"/>
          <w:numId w:val="1"/>
        </w:numPr>
        <w:spacing w:line="360" w:lineRule="auto"/>
        <w:ind w:left="0" w:firstLine="0"/>
        <w:contextualSpacing/>
        <w:jc w:val="both"/>
        <w:rPr>
          <w:rFonts w:ascii="Palatino Linotype" w:eastAsia="Cambria" w:hAnsi="Palatino Linotype"/>
          <w:color w:val="000000"/>
        </w:rPr>
      </w:pPr>
      <w:r w:rsidRPr="00BA6413">
        <w:rPr>
          <w:rFonts w:ascii="Palatino Linotype" w:eastAsia="Cambria" w:hAnsi="Palatino Linotype"/>
          <w:color w:val="000000"/>
        </w:rPr>
        <w:t xml:space="preserve">De tal forma que, una vez recibida una solicitud de información, el </w:t>
      </w:r>
      <w:r w:rsidRPr="00BA6413">
        <w:rPr>
          <w:rFonts w:ascii="Palatino Linotype" w:eastAsia="Cambria" w:hAnsi="Palatino Linotype"/>
          <w:b/>
          <w:color w:val="000000"/>
        </w:rPr>
        <w:t xml:space="preserve">SUJETO OBLIGADO </w:t>
      </w:r>
      <w:r w:rsidRPr="00BA6413">
        <w:rPr>
          <w:rFonts w:ascii="Palatino Linotype" w:eastAsia="Cambria" w:hAnsi="Palatino Linotype"/>
          <w:color w:val="000000"/>
        </w:rPr>
        <w:t>determine que es incompetente para para poseer, generar o administrar parte de la información solicitada, como lo es en el caso presente, que parte de la solicitud de información no le corresponde a la Secretaría de la Contraloría del Estado de México.</w:t>
      </w:r>
    </w:p>
    <w:p w:rsidR="00B1534E" w:rsidRPr="00BA6413" w:rsidRDefault="00B1534E" w:rsidP="00B1534E">
      <w:pPr>
        <w:spacing w:line="360" w:lineRule="auto"/>
        <w:contextualSpacing/>
        <w:jc w:val="both"/>
        <w:rPr>
          <w:rFonts w:ascii="Palatino Linotype" w:eastAsia="Cambria" w:hAnsi="Palatino Linotype"/>
          <w:color w:val="000000"/>
        </w:rPr>
      </w:pPr>
      <w:r w:rsidRPr="00BA6413">
        <w:rPr>
          <w:rFonts w:ascii="Palatino Linotype" w:eastAsia="Cambria" w:hAnsi="Palatino Linotype"/>
          <w:color w:val="000000"/>
        </w:rPr>
        <w:t xml:space="preserve"> </w:t>
      </w:r>
    </w:p>
    <w:p w:rsidR="00B1534E" w:rsidRPr="00BA6413" w:rsidRDefault="00B1534E" w:rsidP="00B1534E">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Cambria" w:hAnsi="Palatino Linotype"/>
          <w:color w:val="000000"/>
        </w:rPr>
        <w:t xml:space="preserve">Situación por la cual se tiene que el </w:t>
      </w:r>
      <w:r w:rsidRPr="00BA6413">
        <w:rPr>
          <w:rFonts w:ascii="Palatino Linotype" w:eastAsia="Cambria" w:hAnsi="Palatino Linotype"/>
          <w:b/>
          <w:color w:val="000000"/>
        </w:rPr>
        <w:t xml:space="preserve">SUJETO OBLIGADO </w:t>
      </w:r>
      <w:r w:rsidRPr="00BA6413">
        <w:rPr>
          <w:rFonts w:ascii="Palatino Linotype" w:eastAsia="Cambria" w:hAnsi="Palatino Linotype"/>
          <w:color w:val="000000"/>
        </w:rPr>
        <w:t xml:space="preserve">colmo el derecho de acceso a la información del </w:t>
      </w:r>
      <w:r w:rsidRPr="00BA6413">
        <w:rPr>
          <w:rFonts w:ascii="Palatino Linotype" w:eastAsia="Cambria" w:hAnsi="Palatino Linotype"/>
          <w:b/>
          <w:color w:val="000000"/>
        </w:rPr>
        <w:t xml:space="preserve">RECURRENTE </w:t>
      </w:r>
      <w:r w:rsidRPr="00BA6413">
        <w:rPr>
          <w:rFonts w:ascii="Palatino Linotype" w:eastAsia="Cambria" w:hAnsi="Palatino Linotype"/>
          <w:color w:val="000000"/>
        </w:rPr>
        <w:t xml:space="preserve">al informar su incompetencia. </w:t>
      </w:r>
    </w:p>
    <w:p w:rsidR="00B1534E" w:rsidRPr="00BA6413" w:rsidRDefault="00B1534E" w:rsidP="00B1534E">
      <w:pPr>
        <w:pStyle w:val="Prrafodelista"/>
        <w:rPr>
          <w:rFonts w:ascii="Palatino Linotype" w:eastAsia="Palatino Linotype" w:hAnsi="Palatino Linotype" w:cs="Palatino Linotype"/>
          <w:color w:val="000000"/>
          <w:lang w:val="es-ES"/>
        </w:rPr>
      </w:pPr>
    </w:p>
    <w:p w:rsidR="00B1534E" w:rsidRPr="00BA6413" w:rsidRDefault="00B1534E" w:rsidP="00B1534E">
      <w:pPr>
        <w:spacing w:line="360" w:lineRule="auto"/>
        <w:contextualSpacing/>
        <w:jc w:val="both"/>
        <w:rPr>
          <w:rFonts w:ascii="Palatino Linotype" w:eastAsia="Palatino Linotype" w:hAnsi="Palatino Linotype" w:cs="Palatino Linotype"/>
          <w:color w:val="000000"/>
          <w:lang w:val="es-ES"/>
        </w:rPr>
      </w:pPr>
    </w:p>
    <w:p w:rsidR="00C30959" w:rsidRPr="00BA6413" w:rsidRDefault="00B1534E" w:rsidP="00C30959">
      <w:pPr>
        <w:numPr>
          <w:ilvl w:val="0"/>
          <w:numId w:val="1"/>
        </w:numPr>
        <w:spacing w:line="360" w:lineRule="auto"/>
        <w:ind w:left="0" w:firstLine="0"/>
        <w:contextualSpacing/>
        <w:jc w:val="both"/>
        <w:rPr>
          <w:rFonts w:ascii="Palatino Linotype" w:eastAsia="Palatino Linotype" w:hAnsi="Palatino Linotype" w:cs="Palatino Linotype"/>
          <w:b/>
          <w:color w:val="000000"/>
          <w:lang w:val="es-ES"/>
        </w:rPr>
      </w:pPr>
      <w:r w:rsidRPr="00BA6413">
        <w:rPr>
          <w:rFonts w:ascii="Palatino Linotype" w:eastAsia="Palatino Linotype" w:hAnsi="Palatino Linotype" w:cs="Palatino Linotype"/>
          <w:color w:val="000000"/>
          <w:lang w:val="es-ES"/>
        </w:rPr>
        <w:t xml:space="preserve">Ahora bien, del punto de la solicitud de información que consiste en </w:t>
      </w:r>
      <w:r w:rsidRPr="00BA6413">
        <w:rPr>
          <w:rFonts w:ascii="Palatino Linotype" w:eastAsia="Palatino Linotype" w:hAnsi="Palatino Linotype" w:cs="Palatino Linotype"/>
          <w:b/>
          <w:i/>
          <w:color w:val="000000"/>
          <w:lang w:val="es-ES"/>
        </w:rPr>
        <w:t>“</w:t>
      </w:r>
      <w:r w:rsidRPr="00BA6413">
        <w:rPr>
          <w:rFonts w:ascii="Palatino Linotype" w:eastAsia="Palatino Linotype" w:hAnsi="Palatino Linotype" w:cs="Palatino Linotype"/>
          <w:b/>
          <w:i/>
          <w:color w:val="000000"/>
          <w:sz w:val="22"/>
          <w:szCs w:val="22"/>
        </w:rPr>
        <w:t xml:space="preserve">Conocer si es posible que la presidenta municipal de Rayón Edna </w:t>
      </w:r>
      <w:proofErr w:type="spellStart"/>
      <w:r w:rsidRPr="00BA6413">
        <w:rPr>
          <w:rFonts w:ascii="Palatino Linotype" w:eastAsia="Palatino Linotype" w:hAnsi="Palatino Linotype" w:cs="Palatino Linotype"/>
          <w:b/>
          <w:i/>
          <w:color w:val="000000"/>
          <w:sz w:val="22"/>
          <w:szCs w:val="22"/>
        </w:rPr>
        <w:t>Estephany</w:t>
      </w:r>
      <w:proofErr w:type="spellEnd"/>
      <w:r w:rsidRPr="00BA6413">
        <w:rPr>
          <w:rFonts w:ascii="Palatino Linotype" w:eastAsia="Palatino Linotype" w:hAnsi="Palatino Linotype" w:cs="Palatino Linotype"/>
          <w:b/>
          <w:i/>
          <w:color w:val="000000"/>
          <w:sz w:val="22"/>
          <w:szCs w:val="22"/>
        </w:rPr>
        <w:t xml:space="preserve"> Talavera Mercado tenga como Secretario del Ayuntamiento a su tío Eucario Nava Mercado y como director de Obras a su primo el C Marco Antonio Nava </w:t>
      </w:r>
      <w:proofErr w:type="spellStart"/>
      <w:r w:rsidRPr="00BA6413">
        <w:rPr>
          <w:rFonts w:ascii="Palatino Linotype" w:eastAsia="Palatino Linotype" w:hAnsi="Palatino Linotype" w:cs="Palatino Linotype"/>
          <w:b/>
          <w:i/>
          <w:color w:val="000000"/>
          <w:sz w:val="22"/>
          <w:szCs w:val="22"/>
        </w:rPr>
        <w:t>Pureco</w:t>
      </w:r>
      <w:proofErr w:type="spellEnd"/>
      <w:r w:rsidRPr="00BA6413">
        <w:rPr>
          <w:rFonts w:ascii="Palatino Linotype" w:eastAsia="Palatino Linotype" w:hAnsi="Palatino Linotype" w:cs="Palatino Linotype"/>
          <w:b/>
          <w:i/>
          <w:color w:val="000000"/>
          <w:sz w:val="22"/>
          <w:szCs w:val="22"/>
        </w:rPr>
        <w:t>, de ser correcto que documentos los avala”,</w:t>
      </w:r>
      <w:r w:rsidRPr="00BA6413">
        <w:rPr>
          <w:rFonts w:ascii="Palatino Linotype" w:eastAsia="Palatino Linotype" w:hAnsi="Palatino Linotype" w:cs="Palatino Linotype"/>
          <w:color w:val="000000"/>
          <w:sz w:val="22"/>
          <w:szCs w:val="22"/>
        </w:rPr>
        <w:t xml:space="preserve"> </w:t>
      </w:r>
      <w:r w:rsidR="00C30959" w:rsidRPr="00BA6413">
        <w:rPr>
          <w:rFonts w:ascii="Palatino Linotype" w:eastAsia="Palatino Linotype" w:hAnsi="Palatino Linotype" w:cs="Palatino Linotype"/>
          <w:color w:val="000000"/>
          <w:lang w:val="es-ES"/>
        </w:rPr>
        <w:t xml:space="preserve">se advierte, que el </w:t>
      </w:r>
      <w:r w:rsidR="00C30959" w:rsidRPr="00BA6413">
        <w:rPr>
          <w:rFonts w:ascii="Palatino Linotype" w:eastAsia="Palatino Linotype" w:hAnsi="Palatino Linotype" w:cs="Palatino Linotype"/>
          <w:b/>
          <w:color w:val="000000"/>
          <w:lang w:val="es-ES"/>
        </w:rPr>
        <w:t xml:space="preserve">RECURRENTE </w:t>
      </w:r>
      <w:r w:rsidR="00C30959" w:rsidRPr="00BA6413">
        <w:rPr>
          <w:rFonts w:ascii="Palatino Linotype" w:eastAsia="Palatino Linotype" w:hAnsi="Palatino Linotype" w:cs="Palatino Linotype"/>
          <w:color w:val="000000"/>
          <w:lang w:val="es-ES"/>
        </w:rPr>
        <w:t xml:space="preserve">planteó cuestionamientos con los que pretendía que </w:t>
      </w:r>
      <w:r w:rsidR="00C30959" w:rsidRPr="00BA6413">
        <w:rPr>
          <w:rFonts w:ascii="Palatino Linotype" w:eastAsia="Palatino Linotype" w:hAnsi="Palatino Linotype" w:cs="Palatino Linotype"/>
          <w:color w:val="000000"/>
          <w:lang w:val="es-ES"/>
        </w:rPr>
        <w:lastRenderedPageBreak/>
        <w:t xml:space="preserve">el </w:t>
      </w:r>
      <w:r w:rsidR="00C30959" w:rsidRPr="00BA6413">
        <w:rPr>
          <w:rFonts w:ascii="Palatino Linotype" w:eastAsia="Palatino Linotype" w:hAnsi="Palatino Linotype" w:cs="Palatino Linotype"/>
          <w:b/>
          <w:color w:val="000000"/>
          <w:lang w:val="es-ES"/>
        </w:rPr>
        <w:t>SUJETO OBLIGADO</w:t>
      </w:r>
      <w:r w:rsidR="00C30959" w:rsidRPr="00BA6413">
        <w:rPr>
          <w:rFonts w:ascii="Palatino Linotype" w:eastAsia="Palatino Linotype" w:hAnsi="Palatino Linotype" w:cs="Palatino Linotype"/>
          <w:color w:val="000000"/>
          <w:lang w:val="es-ES"/>
        </w:rPr>
        <w:t xml:space="preserve"> le explicara una circunstancia para un caso específico, </w:t>
      </w:r>
      <w:r w:rsidRPr="00BA6413">
        <w:rPr>
          <w:rFonts w:ascii="Palatino Linotype" w:eastAsia="Palatino Linotype" w:hAnsi="Palatino Linotype" w:cs="Palatino Linotype"/>
          <w:color w:val="000000"/>
          <w:lang w:val="es-ES"/>
        </w:rPr>
        <w:t>p</w:t>
      </w:r>
      <w:r w:rsidR="00C30959" w:rsidRPr="00BA6413">
        <w:rPr>
          <w:rFonts w:ascii="Palatino Linotype" w:eastAsia="Palatino Linotype" w:hAnsi="Palatino Linotype" w:cs="Palatino Linotype"/>
          <w:color w:val="000000"/>
          <w:lang w:val="es-ES"/>
        </w:rPr>
        <w:t xml:space="preserve">or lo que es obvio que el particular no está ejerciendo su derecho de acceso a la información pública; debido a que en la solicitud consiste en una consulta que no es factible atenderse vía acceso a la información, es decir, que dicho cuestionamiento se colme con documentos que obren en los archivos del </w:t>
      </w:r>
      <w:r w:rsidR="00C30959" w:rsidRPr="00BA6413">
        <w:rPr>
          <w:rFonts w:ascii="Palatino Linotype" w:eastAsia="Palatino Linotype" w:hAnsi="Palatino Linotype" w:cs="Palatino Linotype"/>
          <w:b/>
          <w:color w:val="000000"/>
          <w:lang w:val="es-ES"/>
        </w:rPr>
        <w:t>SUJETO OBLIGADO.</w:t>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 xml:space="preserve">De lo anteriormente expuesto, se advierte que la solicitud no constituye un derecho de acceso a la información y por lo tanto no es atendible mediante una solicitud de acceso a la información pública, porque se tratan de una </w:t>
      </w:r>
      <w:r w:rsidRPr="00BA6413">
        <w:rPr>
          <w:rFonts w:ascii="Palatino Linotype" w:eastAsia="Palatino Linotype" w:hAnsi="Palatino Linotype" w:cs="Palatino Linotype"/>
          <w:b/>
          <w:color w:val="000000"/>
          <w:lang w:val="es-ES"/>
        </w:rPr>
        <w:t>consulta</w:t>
      </w:r>
      <w:r w:rsidRPr="00BA6413">
        <w:rPr>
          <w:rFonts w:ascii="Palatino Linotype" w:eastAsia="Palatino Linotype" w:hAnsi="Palatino Linotype" w:cs="Palatino Linotype"/>
          <w:color w:val="000000"/>
          <w:lang w:val="es-ES"/>
        </w:rPr>
        <w:t xml:space="preserve"> para un caso específico, situación que conlleva a afirmar que se está en presencia del ejercicio del derecho de petición.</w:t>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En ese sentido, es importante diferenciar lo que se entiende por derecho de petición y por derecho de acceso a la información pública.</w:t>
      </w:r>
    </w:p>
    <w:p w:rsidR="00C30959" w:rsidRPr="00BA6413" w:rsidRDefault="00C30959" w:rsidP="00C30959">
      <w:pPr>
        <w:spacing w:before="240" w:after="240" w:line="360" w:lineRule="auto"/>
        <w:ind w:right="-91"/>
        <w:jc w:val="both"/>
        <w:rPr>
          <w:rFonts w:ascii="Palatino Linotype" w:eastAsia="Palatino Linotype" w:hAnsi="Palatino Linotype" w:cs="Palatino Linotype"/>
          <w:b/>
          <w:lang w:val="es-ES"/>
        </w:rPr>
      </w:pPr>
      <w:r w:rsidRPr="00BA6413">
        <w:rPr>
          <w:rFonts w:ascii="Palatino Linotype" w:eastAsia="Palatino Linotype" w:hAnsi="Palatino Linotype" w:cs="Palatino Linotype"/>
          <w:b/>
          <w:lang w:val="es-ES"/>
        </w:rPr>
        <w:t>Derecho de Petición:</w:t>
      </w:r>
    </w:p>
    <w:p w:rsidR="00C30959" w:rsidRPr="00BA6413" w:rsidRDefault="00C30959" w:rsidP="00C30959">
      <w:pPr>
        <w:spacing w:before="240" w:after="240"/>
        <w:ind w:left="1134" w:right="900"/>
        <w:jc w:val="both"/>
        <w:rPr>
          <w:rFonts w:ascii="Palatino Linotype" w:eastAsia="Palatino Linotype" w:hAnsi="Palatino Linotype" w:cs="Palatino Linotype"/>
          <w:lang w:val="es-ES"/>
        </w:rPr>
      </w:pPr>
      <w:r w:rsidRPr="00BA6413">
        <w:rPr>
          <w:rFonts w:ascii="Palatino Linotype" w:eastAsia="Palatino Linotype" w:hAnsi="Palatino Linotype" w:cs="Palatino Linotype"/>
          <w:lang w:val="es-ES"/>
        </w:rPr>
        <w:t>El Doctor Ignacio Burgoa Orihuela refiere que derecho de petición: "...</w:t>
      </w:r>
      <w:r w:rsidRPr="00BA6413">
        <w:rPr>
          <w:rFonts w:ascii="Palatino Linotype" w:eastAsia="Palatino Linotype" w:hAnsi="Palatino Linotype" w:cs="Palatino Linotype"/>
          <w:i/>
          <w:lang w:val="es-ES"/>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BA6413">
        <w:rPr>
          <w:rFonts w:ascii="Palatino Linotype" w:eastAsia="Palatino Linotype" w:hAnsi="Palatino Linotype" w:cs="Palatino Linotype"/>
          <w:lang w:val="es-ES"/>
        </w:rPr>
        <w:t>"</w:t>
      </w:r>
      <w:r w:rsidRPr="00BA6413">
        <w:rPr>
          <w:rFonts w:ascii="Palatino Linotype" w:eastAsia="Palatino Linotype" w:hAnsi="Palatino Linotype" w:cs="Palatino Linotype"/>
          <w:vertAlign w:val="superscript"/>
          <w:lang w:val="es-ES"/>
        </w:rPr>
        <w:footnoteReference w:id="1"/>
      </w:r>
      <w:r w:rsidRPr="00BA6413">
        <w:rPr>
          <w:rFonts w:ascii="Palatino Linotype" w:eastAsia="Palatino Linotype" w:hAnsi="Palatino Linotype" w:cs="Palatino Linotype"/>
          <w:lang w:val="es-ES"/>
        </w:rPr>
        <w:t>(Sic)</w:t>
      </w:r>
    </w:p>
    <w:p w:rsidR="00C30959" w:rsidRPr="00BA6413" w:rsidRDefault="00C30959" w:rsidP="00C30959">
      <w:pPr>
        <w:pBdr>
          <w:top w:val="nil"/>
          <w:left w:val="nil"/>
          <w:bottom w:val="nil"/>
          <w:right w:val="nil"/>
          <w:between w:val="nil"/>
        </w:pBdr>
        <w:spacing w:before="240" w:after="360"/>
        <w:ind w:left="1134" w:right="900"/>
        <w:jc w:val="both"/>
        <w:rPr>
          <w:rFonts w:ascii="Palatino Linotype" w:eastAsia="Palatino Linotype" w:hAnsi="Palatino Linotype" w:cs="Palatino Linotype"/>
          <w:i/>
          <w:color w:val="000000"/>
          <w:lang w:val="es-ES"/>
        </w:rPr>
      </w:pPr>
      <w:r w:rsidRPr="00BA6413">
        <w:rPr>
          <w:rFonts w:ascii="Palatino Linotype" w:eastAsia="Palatino Linotype" w:hAnsi="Palatino Linotype" w:cs="Palatino Linotype"/>
          <w:color w:val="000000"/>
          <w:lang w:val="es-ES"/>
        </w:rPr>
        <w:lastRenderedPageBreak/>
        <w:t xml:space="preserve">Por su parte, David Cienfuegos Salgado, concibe al derecho de petición como </w:t>
      </w:r>
      <w:r w:rsidRPr="00BA6413">
        <w:rPr>
          <w:rFonts w:ascii="Palatino Linotype" w:eastAsia="Palatino Linotype" w:hAnsi="Palatino Linotype" w:cs="Palatino Linotype"/>
          <w:i/>
          <w:color w:val="000000"/>
          <w:lang w:val="es-ES"/>
        </w:rPr>
        <w:t>“el derecho de toda persona a ser escuchado por quienes ejercen el poder público</w:t>
      </w:r>
      <w:proofErr w:type="gramStart"/>
      <w:r w:rsidRPr="00BA6413">
        <w:rPr>
          <w:rFonts w:ascii="Palatino Linotype" w:eastAsia="Palatino Linotype" w:hAnsi="Palatino Linotype" w:cs="Palatino Linotype"/>
          <w:i/>
          <w:color w:val="000000"/>
          <w:lang w:val="es-ES"/>
        </w:rPr>
        <w:t>.</w:t>
      </w:r>
      <w:r w:rsidRPr="00BA6413">
        <w:rPr>
          <w:rFonts w:ascii="Palatino Linotype" w:eastAsia="Palatino Linotype" w:hAnsi="Palatino Linotype" w:cs="Palatino Linotype"/>
          <w:i/>
          <w:color w:val="000000"/>
          <w:vertAlign w:val="superscript"/>
          <w:lang w:val="es-ES"/>
        </w:rPr>
        <w:t xml:space="preserve"> </w:t>
      </w:r>
      <w:proofErr w:type="gramEnd"/>
      <w:r w:rsidRPr="00BA6413">
        <w:rPr>
          <w:rFonts w:ascii="Palatino Linotype" w:eastAsia="Palatino Linotype" w:hAnsi="Palatino Linotype" w:cs="Palatino Linotype"/>
          <w:i/>
          <w:color w:val="000000"/>
          <w:vertAlign w:val="superscript"/>
          <w:lang w:val="es-ES"/>
        </w:rPr>
        <w:footnoteReference w:id="2"/>
      </w:r>
      <w:r w:rsidRPr="00BA6413">
        <w:rPr>
          <w:rFonts w:ascii="Palatino Linotype" w:eastAsia="Palatino Linotype" w:hAnsi="Palatino Linotype" w:cs="Palatino Linotype"/>
          <w:i/>
          <w:color w:val="000000"/>
          <w:lang w:val="es-ES"/>
        </w:rPr>
        <w:t xml:space="preserve">” (Sic) </w:t>
      </w: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BA6413">
        <w:rPr>
          <w:rFonts w:ascii="Palatino Linotype" w:eastAsia="Palatino Linotype" w:hAnsi="Palatino Linotype" w:cs="Palatino Linotype"/>
          <w:color w:val="000000"/>
          <w:lang w:val="es-ES"/>
        </w:rPr>
        <w:footnoteReference w:id="3"/>
      </w:r>
    </w:p>
    <w:p w:rsidR="00C30959" w:rsidRPr="00BA6413" w:rsidRDefault="00C30959" w:rsidP="00C30959">
      <w:pPr>
        <w:spacing w:line="360" w:lineRule="auto"/>
        <w:ind w:right="-91"/>
        <w:jc w:val="both"/>
        <w:rPr>
          <w:rFonts w:ascii="Palatino Linotype" w:eastAsia="Palatino Linotype" w:hAnsi="Palatino Linotype" w:cs="Palatino Linotype"/>
          <w:b/>
          <w:lang w:val="es-ES"/>
        </w:rPr>
      </w:pPr>
    </w:p>
    <w:p w:rsidR="00C30959" w:rsidRPr="00BA6413" w:rsidRDefault="00C30959" w:rsidP="00C30959">
      <w:pPr>
        <w:spacing w:line="360" w:lineRule="auto"/>
        <w:ind w:right="-91"/>
        <w:jc w:val="both"/>
        <w:rPr>
          <w:rFonts w:ascii="Palatino Linotype" w:eastAsia="Palatino Linotype" w:hAnsi="Palatino Linotype" w:cs="Palatino Linotype"/>
          <w:b/>
          <w:lang w:val="es-ES"/>
        </w:rPr>
      </w:pPr>
      <w:r w:rsidRPr="00BA6413">
        <w:rPr>
          <w:rFonts w:ascii="Palatino Linotype" w:eastAsia="Palatino Linotype" w:hAnsi="Palatino Linotype" w:cs="Palatino Linotype"/>
          <w:b/>
          <w:lang w:val="es-ES"/>
        </w:rPr>
        <w:t>Derecho de Acceso a la Información Pública:</w:t>
      </w:r>
    </w:p>
    <w:p w:rsidR="00C30959" w:rsidRPr="00BA6413" w:rsidRDefault="00C30959" w:rsidP="00C30959">
      <w:pPr>
        <w:spacing w:line="360" w:lineRule="auto"/>
        <w:ind w:right="-91"/>
        <w:jc w:val="both"/>
        <w:rPr>
          <w:rFonts w:ascii="Palatino Linotype" w:eastAsia="Palatino Linotype" w:hAnsi="Palatino Linotype" w:cs="Palatino Linotype"/>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 xml:space="preserve">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w:t>
      </w:r>
      <w:r w:rsidRPr="00BA6413">
        <w:rPr>
          <w:rFonts w:ascii="Palatino Linotype" w:eastAsia="Palatino Linotype" w:hAnsi="Palatino Linotype" w:cs="Palatino Linotype"/>
          <w:color w:val="000000"/>
          <w:lang w:val="es-ES"/>
        </w:rPr>
        <w:lastRenderedPageBreak/>
        <w:t>tienen los ciudadanos para acceder a documentos y datos que obren en el poder del gobierno.</w:t>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BA6413">
        <w:rPr>
          <w:rFonts w:ascii="Palatino Linotype" w:eastAsia="Palatino Linotype" w:hAnsi="Palatino Linotype" w:cs="Palatino Linotype"/>
          <w:color w:val="000000"/>
          <w:lang w:val="es-ES"/>
        </w:rPr>
        <w:footnoteReference w:id="4"/>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BA6413">
        <w:rPr>
          <w:rFonts w:ascii="Palatino Linotype" w:eastAsia="Palatino Linotype" w:hAnsi="Palatino Linotype" w:cs="Palatino Linotype"/>
          <w:color w:val="000000"/>
          <w:lang w:val="es-ES"/>
        </w:rPr>
        <w:footnoteReference w:id="5"/>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 xml:space="preserve">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w:t>
      </w:r>
      <w:r w:rsidRPr="00BA6413">
        <w:rPr>
          <w:rFonts w:ascii="Palatino Linotype" w:eastAsia="Palatino Linotype" w:hAnsi="Palatino Linotype" w:cs="Palatino Linotype"/>
          <w:color w:val="000000"/>
          <w:lang w:val="es-ES"/>
        </w:rPr>
        <w:lastRenderedPageBreak/>
        <w:t>Periódico Oficial del Gobierno del Estado Libre y Soberano de México “Gaceta del Gobierno” el diecinueve de octubre de dos mil once, cuyo rubro y texto dispone:</w:t>
      </w:r>
    </w:p>
    <w:p w:rsidR="00C30959" w:rsidRPr="00BA6413" w:rsidRDefault="00C30959" w:rsidP="00C3095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ES"/>
        </w:rPr>
      </w:pPr>
    </w:p>
    <w:p w:rsidR="00C30959" w:rsidRPr="00BA6413" w:rsidRDefault="00C30959" w:rsidP="00C30959">
      <w:pPr>
        <w:ind w:left="1134" w:right="900"/>
        <w:jc w:val="both"/>
        <w:rPr>
          <w:rFonts w:ascii="Palatino Linotype" w:eastAsia="Palatino Linotype" w:hAnsi="Palatino Linotype" w:cs="Palatino Linotype"/>
          <w:b/>
          <w:i/>
          <w:sz w:val="22"/>
          <w:szCs w:val="22"/>
          <w:lang w:val="es-ES"/>
        </w:rPr>
      </w:pPr>
      <w:r w:rsidRPr="00BA6413">
        <w:rPr>
          <w:rFonts w:ascii="Palatino Linotype" w:eastAsia="Palatino Linotype" w:hAnsi="Palatino Linotype" w:cs="Palatino Linotype"/>
          <w:b/>
          <w:i/>
          <w:sz w:val="22"/>
          <w:szCs w:val="22"/>
          <w:lang w:val="es-ES"/>
        </w:rPr>
        <w:t>“CRITERIO 0002-11</w:t>
      </w:r>
    </w:p>
    <w:p w:rsidR="00C30959" w:rsidRPr="00BA6413" w:rsidRDefault="00C30959" w:rsidP="00C30959">
      <w:pPr>
        <w:ind w:left="1134" w:right="900"/>
        <w:jc w:val="both"/>
        <w:rPr>
          <w:rFonts w:ascii="Palatino Linotype" w:eastAsia="Palatino Linotype" w:hAnsi="Palatino Linotype" w:cs="Palatino Linotype"/>
          <w:i/>
          <w:sz w:val="22"/>
          <w:szCs w:val="22"/>
          <w:lang w:val="es-ES"/>
        </w:rPr>
      </w:pPr>
      <w:r w:rsidRPr="00BA6413">
        <w:rPr>
          <w:rFonts w:ascii="Palatino Linotype" w:eastAsia="Palatino Linotype" w:hAnsi="Palatino Linotype" w:cs="Palatino Linotype"/>
          <w:b/>
          <w:i/>
          <w:sz w:val="22"/>
          <w:szCs w:val="22"/>
          <w:lang w:val="es-ES"/>
        </w:rPr>
        <w:t>INFORMACIÓN PÚBLICA, CONCEPTO DE, EN MATERIA DE TRANSPARENCIA. INTERPRETACIÓN TEMÁTICA DE LOS ARTÍCULOS 2, FRACCIÓN V, XV, Y XVI, 32, 4,11 Y 41.</w:t>
      </w:r>
      <w:r w:rsidRPr="00BA6413">
        <w:rPr>
          <w:rFonts w:ascii="Palatino Linotype" w:eastAsia="Palatino Linotype" w:hAnsi="Palatino Linotype" w:cs="Palatino Linotype"/>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30959" w:rsidRPr="00BA6413" w:rsidRDefault="00C30959" w:rsidP="00C30959">
      <w:pPr>
        <w:ind w:left="1134" w:right="900"/>
        <w:jc w:val="both"/>
        <w:rPr>
          <w:rFonts w:ascii="Palatino Linotype" w:eastAsia="Palatino Linotype" w:hAnsi="Palatino Linotype" w:cs="Palatino Linotype"/>
          <w:i/>
          <w:sz w:val="22"/>
          <w:szCs w:val="22"/>
          <w:lang w:val="es-ES"/>
        </w:rPr>
      </w:pPr>
      <w:r w:rsidRPr="00BA6413">
        <w:rPr>
          <w:rFonts w:ascii="Palatino Linotype" w:eastAsia="Palatino Linotype" w:hAnsi="Palatino Linotype" w:cs="Palatino Linotype"/>
          <w:i/>
          <w:sz w:val="22"/>
          <w:szCs w:val="22"/>
          <w:lang w:val="es-ES"/>
        </w:rPr>
        <w:t>En consecuencia el acceso a la información se refiere a que se cumplan cualquiera de los siguientes tres supuestos:</w:t>
      </w:r>
    </w:p>
    <w:p w:rsidR="00C30959" w:rsidRPr="00BA6413" w:rsidRDefault="00C30959" w:rsidP="00C30959">
      <w:pPr>
        <w:ind w:left="1134" w:right="900"/>
        <w:jc w:val="both"/>
        <w:rPr>
          <w:rFonts w:ascii="Palatino Linotype" w:eastAsia="Palatino Linotype" w:hAnsi="Palatino Linotype" w:cs="Palatino Linotype"/>
          <w:i/>
          <w:sz w:val="22"/>
          <w:szCs w:val="22"/>
          <w:lang w:val="es-ES"/>
        </w:rPr>
      </w:pPr>
      <w:r w:rsidRPr="00BA6413">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generada por los Sujetos Obligados;</w:t>
      </w:r>
    </w:p>
    <w:p w:rsidR="00C30959" w:rsidRPr="00BA6413" w:rsidRDefault="00C30959" w:rsidP="00C30959">
      <w:pPr>
        <w:ind w:left="1134" w:right="900"/>
        <w:jc w:val="both"/>
        <w:rPr>
          <w:rFonts w:ascii="Palatino Linotype" w:eastAsia="Palatino Linotype" w:hAnsi="Palatino Linotype" w:cs="Palatino Linotype"/>
          <w:i/>
          <w:sz w:val="22"/>
          <w:szCs w:val="22"/>
          <w:lang w:val="es-ES"/>
        </w:rPr>
      </w:pPr>
      <w:r w:rsidRPr="00BA6413">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administrada por los Sujetos Obligados, y</w:t>
      </w:r>
    </w:p>
    <w:p w:rsidR="00C30959" w:rsidRPr="00BA6413" w:rsidRDefault="00C30959" w:rsidP="00C30959">
      <w:pPr>
        <w:ind w:left="1134" w:right="900"/>
        <w:jc w:val="both"/>
        <w:rPr>
          <w:rFonts w:ascii="Palatino Linotype" w:eastAsia="Palatino Linotype" w:hAnsi="Palatino Linotype" w:cs="Palatino Linotype"/>
          <w:i/>
          <w:sz w:val="22"/>
          <w:szCs w:val="22"/>
          <w:lang w:val="es-ES"/>
        </w:rPr>
      </w:pPr>
      <w:r w:rsidRPr="00BA6413">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 encuentre en posesión de los Sujetos Obligados.”(Sic)</w:t>
      </w:r>
    </w:p>
    <w:p w:rsidR="00C30959" w:rsidRPr="00BA6413" w:rsidRDefault="00C30959" w:rsidP="00C30959">
      <w:pPr>
        <w:ind w:left="1134" w:right="900"/>
        <w:jc w:val="both"/>
        <w:rPr>
          <w:rFonts w:ascii="Palatino Linotype" w:eastAsia="Palatino Linotype" w:hAnsi="Palatino Linotype" w:cs="Palatino Linotype"/>
          <w:i/>
          <w:color w:val="000000"/>
          <w:sz w:val="22"/>
          <w:szCs w:val="22"/>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De lo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 xml:space="preserve">Con base a lo anterior, tenemos que el </w:t>
      </w:r>
      <w:r w:rsidRPr="00BA6413">
        <w:rPr>
          <w:rFonts w:ascii="Palatino Linotype" w:eastAsia="Palatino Linotype" w:hAnsi="Palatino Linotype" w:cs="Palatino Linotype"/>
          <w:b/>
          <w:color w:val="000000"/>
          <w:lang w:val="es-ES"/>
        </w:rPr>
        <w:t xml:space="preserve">RECURRENTE </w:t>
      </w:r>
      <w:r w:rsidRPr="00BA6413">
        <w:rPr>
          <w:rFonts w:ascii="Palatino Linotype" w:eastAsia="Palatino Linotype" w:hAnsi="Palatino Linotype" w:cs="Palatino Linotype"/>
          <w:color w:val="000000"/>
          <w:lang w:val="es-ES"/>
        </w:rPr>
        <w:t xml:space="preserve">en su solicitud de información requiere de una explicación o bien una razón a una </w:t>
      </w:r>
      <w:r w:rsidRPr="00BA6413">
        <w:rPr>
          <w:rFonts w:ascii="Palatino Linotype" w:eastAsia="Palatino Linotype" w:hAnsi="Palatino Linotype" w:cs="Palatino Linotype"/>
          <w:b/>
          <w:color w:val="000000"/>
          <w:lang w:val="es-ES"/>
        </w:rPr>
        <w:t>consulta</w:t>
      </w:r>
      <w:r w:rsidRPr="00BA6413">
        <w:rPr>
          <w:rFonts w:ascii="Palatino Linotype" w:eastAsia="Palatino Linotype" w:hAnsi="Palatino Linotype" w:cs="Palatino Linotype"/>
          <w:color w:val="000000"/>
          <w:lang w:val="es-ES"/>
        </w:rPr>
        <w:t xml:space="preserve"> sobre un caso específico por parte del </w:t>
      </w:r>
      <w:r w:rsidRPr="00BA6413">
        <w:rPr>
          <w:rFonts w:ascii="Palatino Linotype" w:eastAsia="Palatino Linotype" w:hAnsi="Palatino Linotype" w:cs="Palatino Linotype"/>
          <w:b/>
          <w:color w:val="000000"/>
          <w:lang w:val="es-ES"/>
        </w:rPr>
        <w:t>SUJETO OBLIGADO</w:t>
      </w:r>
      <w:r w:rsidRPr="00BA6413">
        <w:rPr>
          <w:rFonts w:ascii="Palatino Linotype" w:eastAsia="Palatino Linotype" w:hAnsi="Palatino Linotype" w:cs="Palatino Linotype"/>
          <w:color w:val="000000"/>
          <w:lang w:val="es-ES"/>
        </w:rPr>
        <w:t>; 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w:t>
      </w:r>
      <w:r w:rsidRPr="00BA6413">
        <w:rPr>
          <w:rFonts w:ascii="Palatino Linotype" w:eastAsia="Palatino Linotype" w:hAnsi="Palatino Linotype" w:cs="Palatino Linotype"/>
          <w:color w:val="000000"/>
          <w:lang w:val="es-ES"/>
        </w:rPr>
        <w:lastRenderedPageBreak/>
        <w:t xml:space="preserve">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BA6413">
        <w:rPr>
          <w:rFonts w:ascii="Palatino Linotype" w:eastAsia="Palatino Linotype" w:hAnsi="Palatino Linotype" w:cs="Palatino Linotype"/>
          <w:b/>
          <w:color w:val="000000"/>
          <w:lang w:val="es-ES"/>
        </w:rPr>
        <w:t>SUJETO OBLIGADO</w:t>
      </w:r>
      <w:r w:rsidRPr="00BA6413">
        <w:rPr>
          <w:rFonts w:ascii="Palatino Linotype" w:eastAsia="Palatino Linotype" w:hAnsi="Palatino Linotype" w:cs="Palatino Linotype"/>
          <w:color w:val="000000"/>
          <w:lang w:val="es-ES"/>
        </w:rPr>
        <w:t xml:space="preserve"> aclare una inquietud, respecto a un supuesto especifico. </w:t>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 xml:space="preserve">En virtud de los argumentos expuestos con anterioridad así como del análisis realizado a las constancias que obran en el expediente electrónico del recurso de revisión </w:t>
      </w:r>
      <w:r w:rsidR="00B1534E" w:rsidRPr="00BA6413">
        <w:rPr>
          <w:rFonts w:ascii="Palatino Linotype" w:eastAsia="Palatino Linotype" w:hAnsi="Palatino Linotype" w:cs="Palatino Linotype"/>
          <w:b/>
          <w:color w:val="000000"/>
          <w:lang w:val="es-ES"/>
        </w:rPr>
        <w:t>01733</w:t>
      </w:r>
      <w:r w:rsidRPr="00BA6413">
        <w:rPr>
          <w:rFonts w:ascii="Palatino Linotype" w:eastAsia="Palatino Linotype" w:hAnsi="Palatino Linotype" w:cs="Palatino Linotype"/>
          <w:b/>
          <w:color w:val="000000"/>
          <w:lang w:val="es-ES"/>
        </w:rPr>
        <w:t>/INFOE</w:t>
      </w:r>
      <w:r w:rsidR="00B1534E" w:rsidRPr="00BA6413">
        <w:rPr>
          <w:rFonts w:ascii="Palatino Linotype" w:eastAsia="Palatino Linotype" w:hAnsi="Palatino Linotype" w:cs="Palatino Linotype"/>
          <w:b/>
          <w:color w:val="000000"/>
          <w:lang w:val="es-ES"/>
        </w:rPr>
        <w:t>M/IP/RR/2022</w:t>
      </w:r>
      <w:r w:rsidRPr="00BA6413">
        <w:rPr>
          <w:rFonts w:ascii="Palatino Linotype" w:eastAsia="Palatino Linotype" w:hAnsi="Palatino Linotype" w:cs="Palatino Linotype"/>
          <w:color w:val="000000"/>
          <w:lang w:val="es-ES"/>
        </w:rPr>
        <w:t xml:space="preserve">, se determina </w:t>
      </w:r>
      <w:r w:rsidRPr="00BA6413">
        <w:rPr>
          <w:rFonts w:ascii="Palatino Linotype" w:eastAsia="Palatino Linotype" w:hAnsi="Palatino Linotype" w:cs="Palatino Linotype"/>
          <w:b/>
          <w:color w:val="000000"/>
          <w:lang w:val="es-ES"/>
        </w:rPr>
        <w:t>sobreseer</w:t>
      </w:r>
      <w:r w:rsidRPr="00BA6413">
        <w:rPr>
          <w:rFonts w:ascii="Palatino Linotype" w:eastAsia="Palatino Linotype" w:hAnsi="Palatino Linotype" w:cs="Palatino Linotype"/>
          <w:color w:val="000000"/>
          <w:lang w:val="es-ES"/>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rsidR="00C30959" w:rsidRPr="00BA6413" w:rsidRDefault="00C30959" w:rsidP="00C30959">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p>
    <w:p w:rsidR="00C30959" w:rsidRPr="00BA6413" w:rsidRDefault="00C30959" w:rsidP="00C30959">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BA6413">
        <w:rPr>
          <w:rFonts w:ascii="Palatino Linotype" w:eastAsia="Palatino Linotype" w:hAnsi="Palatino Linotype" w:cs="Palatino Linotype"/>
          <w:i/>
          <w:color w:val="000000"/>
          <w:sz w:val="22"/>
          <w:szCs w:val="22"/>
          <w:lang w:val="es-ES"/>
        </w:rPr>
        <w:t>“</w:t>
      </w:r>
      <w:r w:rsidRPr="00BA6413">
        <w:rPr>
          <w:rFonts w:ascii="Palatino Linotype" w:eastAsia="Palatino Linotype" w:hAnsi="Palatino Linotype" w:cs="Palatino Linotype"/>
          <w:b/>
          <w:i/>
          <w:color w:val="000000"/>
          <w:sz w:val="22"/>
          <w:szCs w:val="22"/>
          <w:lang w:val="es-ES"/>
        </w:rPr>
        <w:t>Artículo 192.</w:t>
      </w:r>
      <w:r w:rsidRPr="00BA6413">
        <w:rPr>
          <w:rFonts w:ascii="Palatino Linotype" w:eastAsia="Palatino Linotype" w:hAnsi="Palatino Linotype" w:cs="Palatino Linotype"/>
          <w:i/>
          <w:color w:val="000000"/>
          <w:sz w:val="22"/>
          <w:szCs w:val="22"/>
          <w:lang w:val="es-ES"/>
        </w:rPr>
        <w:t xml:space="preserve"> El recurso será sobreseído, en todo o en parte, cuando una vez admitido, se actualicen alguno de los siguientes supuestos:</w:t>
      </w:r>
    </w:p>
    <w:p w:rsidR="00C30959" w:rsidRPr="00BA6413" w:rsidRDefault="00C30959" w:rsidP="00C30959">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BA6413">
        <w:rPr>
          <w:rFonts w:ascii="Palatino Linotype" w:eastAsia="Palatino Linotype" w:hAnsi="Palatino Linotype" w:cs="Palatino Linotype"/>
          <w:i/>
          <w:color w:val="000000"/>
          <w:sz w:val="22"/>
          <w:szCs w:val="22"/>
          <w:lang w:val="es-ES"/>
        </w:rPr>
        <w:t>…</w:t>
      </w:r>
    </w:p>
    <w:p w:rsidR="00C30959" w:rsidRPr="00BA6413" w:rsidRDefault="00C30959" w:rsidP="00C30959">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BA6413">
        <w:rPr>
          <w:rFonts w:ascii="Palatino Linotype" w:eastAsia="Palatino Linotype" w:hAnsi="Palatino Linotype" w:cs="Palatino Linotype"/>
          <w:b/>
          <w:i/>
          <w:color w:val="000000"/>
          <w:sz w:val="22"/>
          <w:szCs w:val="22"/>
          <w:lang w:val="es-ES"/>
        </w:rPr>
        <w:t>IV</w:t>
      </w:r>
      <w:r w:rsidRPr="00BA6413">
        <w:rPr>
          <w:rFonts w:ascii="Palatino Linotype" w:eastAsia="Palatino Linotype" w:hAnsi="Palatino Linotype" w:cs="Palatino Linotype"/>
          <w:i/>
          <w:color w:val="000000"/>
          <w:sz w:val="22"/>
          <w:szCs w:val="22"/>
          <w:lang w:val="es-ES"/>
        </w:rPr>
        <w:t xml:space="preserve">. Admitido el recurso de revisión, </w:t>
      </w:r>
      <w:r w:rsidRPr="00BA6413">
        <w:rPr>
          <w:rFonts w:ascii="Palatino Linotype" w:eastAsia="Palatino Linotype" w:hAnsi="Palatino Linotype" w:cs="Palatino Linotype"/>
          <w:b/>
          <w:i/>
          <w:color w:val="000000"/>
          <w:sz w:val="22"/>
          <w:szCs w:val="22"/>
          <w:lang w:val="es-ES"/>
        </w:rPr>
        <w:t>aparezca alguna causal de improcedencia</w:t>
      </w:r>
      <w:r w:rsidRPr="00BA6413">
        <w:rPr>
          <w:rFonts w:ascii="Palatino Linotype" w:eastAsia="Palatino Linotype" w:hAnsi="Palatino Linotype" w:cs="Palatino Linotype"/>
          <w:i/>
          <w:color w:val="000000"/>
          <w:sz w:val="22"/>
          <w:szCs w:val="22"/>
          <w:lang w:val="es-ES"/>
        </w:rPr>
        <w:t xml:space="preserve"> en los términos de la presente Ley…</w:t>
      </w:r>
    </w:p>
    <w:p w:rsidR="00C30959" w:rsidRPr="00BA6413" w:rsidRDefault="00C30959" w:rsidP="00C30959">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BA6413">
        <w:rPr>
          <w:rFonts w:ascii="Palatino Linotype" w:eastAsia="Palatino Linotype" w:hAnsi="Palatino Linotype" w:cs="Palatino Linotype"/>
          <w:b/>
          <w:i/>
          <w:color w:val="000000"/>
          <w:sz w:val="22"/>
          <w:szCs w:val="22"/>
          <w:lang w:val="es-ES"/>
        </w:rPr>
        <w:t>Artículo 191</w:t>
      </w:r>
      <w:r w:rsidRPr="00BA6413">
        <w:rPr>
          <w:rFonts w:ascii="Palatino Linotype" w:eastAsia="Palatino Linotype" w:hAnsi="Palatino Linotype" w:cs="Palatino Linotype"/>
          <w:i/>
          <w:color w:val="000000"/>
          <w:sz w:val="22"/>
          <w:szCs w:val="22"/>
          <w:lang w:val="es-ES"/>
        </w:rPr>
        <w:t xml:space="preserve">. </w:t>
      </w:r>
      <w:r w:rsidRPr="00BA6413">
        <w:rPr>
          <w:rFonts w:ascii="Palatino Linotype" w:eastAsia="Palatino Linotype" w:hAnsi="Palatino Linotype" w:cs="Palatino Linotype"/>
          <w:b/>
          <w:i/>
          <w:color w:val="000000"/>
          <w:sz w:val="22"/>
          <w:szCs w:val="22"/>
          <w:lang w:val="es-ES"/>
        </w:rPr>
        <w:t>El recurso</w:t>
      </w:r>
      <w:r w:rsidRPr="00BA6413">
        <w:rPr>
          <w:rFonts w:ascii="Palatino Linotype" w:eastAsia="Palatino Linotype" w:hAnsi="Palatino Linotype" w:cs="Palatino Linotype"/>
          <w:i/>
          <w:color w:val="000000"/>
          <w:sz w:val="22"/>
          <w:szCs w:val="22"/>
          <w:lang w:val="es-ES"/>
        </w:rPr>
        <w:t xml:space="preserve"> </w:t>
      </w:r>
      <w:r w:rsidRPr="00BA6413">
        <w:rPr>
          <w:rFonts w:ascii="Palatino Linotype" w:eastAsia="Palatino Linotype" w:hAnsi="Palatino Linotype" w:cs="Palatino Linotype"/>
          <w:b/>
          <w:i/>
          <w:color w:val="000000"/>
          <w:sz w:val="22"/>
          <w:szCs w:val="22"/>
          <w:lang w:val="es-ES"/>
        </w:rPr>
        <w:t xml:space="preserve">será </w:t>
      </w:r>
      <w:r w:rsidRPr="00BA6413">
        <w:rPr>
          <w:rFonts w:ascii="Palatino Linotype" w:eastAsia="Palatino Linotype" w:hAnsi="Palatino Linotype" w:cs="Palatino Linotype"/>
          <w:i/>
          <w:color w:val="000000"/>
          <w:sz w:val="22"/>
          <w:szCs w:val="22"/>
          <w:lang w:val="es-ES"/>
        </w:rPr>
        <w:t xml:space="preserve">desechado por </w:t>
      </w:r>
      <w:r w:rsidRPr="00BA6413">
        <w:rPr>
          <w:rFonts w:ascii="Palatino Linotype" w:eastAsia="Palatino Linotype" w:hAnsi="Palatino Linotype" w:cs="Palatino Linotype"/>
          <w:b/>
          <w:i/>
          <w:color w:val="000000"/>
          <w:sz w:val="22"/>
          <w:szCs w:val="22"/>
          <w:lang w:val="es-ES"/>
        </w:rPr>
        <w:t>improcedente cuando</w:t>
      </w:r>
      <w:r w:rsidRPr="00BA6413">
        <w:rPr>
          <w:rFonts w:ascii="Palatino Linotype" w:eastAsia="Palatino Linotype" w:hAnsi="Palatino Linotype" w:cs="Palatino Linotype"/>
          <w:i/>
          <w:color w:val="000000"/>
          <w:sz w:val="22"/>
          <w:szCs w:val="22"/>
          <w:lang w:val="es-ES"/>
        </w:rPr>
        <w:t>:</w:t>
      </w:r>
    </w:p>
    <w:p w:rsidR="00C30959" w:rsidRPr="00BA6413" w:rsidRDefault="00C30959" w:rsidP="00C30959">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BA6413">
        <w:rPr>
          <w:rFonts w:ascii="Palatino Linotype" w:eastAsia="Palatino Linotype" w:hAnsi="Palatino Linotype" w:cs="Palatino Linotype"/>
          <w:i/>
          <w:color w:val="000000"/>
          <w:sz w:val="22"/>
          <w:szCs w:val="22"/>
          <w:lang w:val="es-ES"/>
        </w:rPr>
        <w:t>…</w:t>
      </w:r>
    </w:p>
    <w:p w:rsidR="00C30959" w:rsidRPr="00BA6413" w:rsidRDefault="00C30959" w:rsidP="00C30959">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BA6413">
        <w:rPr>
          <w:rFonts w:ascii="Palatino Linotype" w:eastAsia="Palatino Linotype" w:hAnsi="Palatino Linotype" w:cs="Palatino Linotype"/>
          <w:b/>
          <w:i/>
          <w:color w:val="000000"/>
          <w:sz w:val="22"/>
          <w:szCs w:val="22"/>
          <w:lang w:val="es-ES"/>
        </w:rPr>
        <w:t>VI. Se trate de una consulta</w:t>
      </w:r>
      <w:r w:rsidRPr="00BA6413">
        <w:rPr>
          <w:rFonts w:ascii="Palatino Linotype" w:eastAsia="Palatino Linotype" w:hAnsi="Palatino Linotype" w:cs="Palatino Linotype"/>
          <w:i/>
          <w:color w:val="000000"/>
          <w:sz w:val="22"/>
          <w:szCs w:val="22"/>
          <w:lang w:val="es-ES"/>
        </w:rPr>
        <w:t>, o tramite en específico... (Sic)</w:t>
      </w:r>
    </w:p>
    <w:p w:rsidR="00C30959" w:rsidRPr="00BA6413" w:rsidRDefault="00C30959" w:rsidP="00C30959">
      <w:pPr>
        <w:spacing w:before="240" w:line="360" w:lineRule="auto"/>
        <w:jc w:val="both"/>
        <w:rPr>
          <w:rFonts w:ascii="Palatino Linotype" w:eastAsia="Palatino Linotype" w:hAnsi="Palatino Linotype" w:cs="Palatino Linotype"/>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 xml:space="preserve">Siendo el sobreseimiento un acto que da por terminado el procedimiento administrativo de impugnación sin resolver el fondo de la cuestión planteada, por </w:t>
      </w:r>
      <w:r w:rsidRPr="00BA6413">
        <w:rPr>
          <w:rFonts w:ascii="Palatino Linotype" w:eastAsia="Palatino Linotype" w:hAnsi="Palatino Linotype" w:cs="Palatino Linotype"/>
          <w:color w:val="000000"/>
          <w:lang w:val="es-ES"/>
        </w:rPr>
        <w:lastRenderedPageBreak/>
        <w:t>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pBdr>
          <w:top w:val="nil"/>
          <w:left w:val="nil"/>
          <w:bottom w:val="nil"/>
          <w:right w:val="nil"/>
          <w:between w:val="nil"/>
        </w:pBdr>
        <w:ind w:left="1134" w:right="902"/>
        <w:jc w:val="both"/>
        <w:rPr>
          <w:rFonts w:ascii="Palatino Linotype" w:eastAsia="Palatino Linotype" w:hAnsi="Palatino Linotype" w:cs="Palatino Linotype"/>
          <w:b/>
          <w:i/>
          <w:color w:val="000000"/>
        </w:rPr>
      </w:pPr>
      <w:r w:rsidRPr="00BA6413">
        <w:rPr>
          <w:rFonts w:ascii="Palatino Linotype" w:eastAsia="Palatino Linotype" w:hAnsi="Palatino Linotype" w:cs="Palatino Linotype"/>
          <w:i/>
          <w:color w:val="000000"/>
          <w:sz w:val="22"/>
          <w:szCs w:val="22"/>
        </w:rPr>
        <w:t>“</w:t>
      </w:r>
      <w:r w:rsidRPr="00BA6413">
        <w:rPr>
          <w:rFonts w:ascii="Palatino Linotype" w:eastAsia="Palatino Linotype" w:hAnsi="Palatino Linotype" w:cs="Palatino Linotype"/>
          <w:b/>
          <w:i/>
          <w:color w:val="000000"/>
          <w:sz w:val="22"/>
          <w:szCs w:val="22"/>
        </w:rPr>
        <w:t>SOBRESEIMIENTO, NO PERMITE ENTRAR AL ESTUDIO DE LAS CUESTIONES DE FONDO</w:t>
      </w:r>
    </w:p>
    <w:p w:rsidR="00C30959" w:rsidRPr="00BA6413" w:rsidRDefault="00C30959" w:rsidP="00C30959">
      <w:pPr>
        <w:pBdr>
          <w:top w:val="nil"/>
          <w:left w:val="nil"/>
          <w:bottom w:val="nil"/>
          <w:right w:val="nil"/>
          <w:between w:val="nil"/>
        </w:pBdr>
        <w:ind w:left="1134" w:right="902"/>
        <w:jc w:val="both"/>
        <w:rPr>
          <w:rFonts w:ascii="Palatino Linotype" w:eastAsia="Palatino Linotype" w:hAnsi="Palatino Linotype" w:cs="Palatino Linotype"/>
          <w:i/>
          <w:color w:val="000000"/>
          <w:sz w:val="22"/>
          <w:szCs w:val="22"/>
        </w:rPr>
      </w:pPr>
      <w:r w:rsidRPr="00BA6413">
        <w:rPr>
          <w:rFonts w:ascii="Palatino Linotype" w:eastAsia="Palatino Linotype" w:hAnsi="Palatino Linotype" w:cs="Palatino Linotype"/>
          <w:i/>
          <w:color w:val="000000"/>
          <w:sz w:val="22"/>
          <w:szCs w:val="22"/>
        </w:rPr>
        <w:t>Localización: 213609. II.2o.183 K. Tribunales Colegiados de Circuito. Octava Época. Semanario Judicial de la Federación. Tomo XIII, Febrero de 1994, Pág. 420</w:t>
      </w:r>
    </w:p>
    <w:p w:rsidR="00C30959" w:rsidRPr="00BA6413" w:rsidRDefault="00C30959" w:rsidP="00C30959">
      <w:pPr>
        <w:pBdr>
          <w:top w:val="nil"/>
          <w:left w:val="nil"/>
          <w:bottom w:val="nil"/>
          <w:right w:val="nil"/>
          <w:between w:val="nil"/>
        </w:pBdr>
        <w:ind w:left="1134" w:right="902"/>
        <w:jc w:val="both"/>
        <w:rPr>
          <w:rFonts w:ascii="Palatino Linotype" w:eastAsia="Palatino Linotype" w:hAnsi="Palatino Linotype" w:cs="Palatino Linotype"/>
          <w:i/>
          <w:color w:val="000000"/>
          <w:sz w:val="22"/>
          <w:szCs w:val="22"/>
        </w:rPr>
      </w:pPr>
      <w:r w:rsidRPr="00BA6413">
        <w:rPr>
          <w:rFonts w:ascii="Palatino Linotype" w:eastAsia="Palatino Linotype" w:hAnsi="Palatino Linotype" w:cs="Palatino Linotype"/>
          <w:i/>
          <w:color w:val="000000"/>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C30959" w:rsidRPr="00BA6413" w:rsidRDefault="00C30959" w:rsidP="00C30959">
      <w:pPr>
        <w:pBdr>
          <w:top w:val="nil"/>
          <w:left w:val="nil"/>
          <w:bottom w:val="nil"/>
          <w:right w:val="nil"/>
          <w:between w:val="nil"/>
        </w:pBdr>
        <w:ind w:left="360" w:right="902"/>
        <w:jc w:val="both"/>
        <w:rPr>
          <w:rFonts w:ascii="Palatino Linotype" w:eastAsia="Palatino Linotype" w:hAnsi="Palatino Linotype" w:cs="Palatino Linotype"/>
          <w:i/>
          <w:color w:val="000000"/>
          <w:sz w:val="22"/>
          <w:szCs w:val="22"/>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C30959" w:rsidRPr="00BA6413" w:rsidRDefault="00C30959" w:rsidP="00C30959">
      <w:pPr>
        <w:pBdr>
          <w:top w:val="nil"/>
          <w:left w:val="nil"/>
          <w:bottom w:val="nil"/>
          <w:right w:val="nil"/>
          <w:between w:val="nil"/>
        </w:pBdr>
        <w:ind w:left="1134" w:right="902"/>
        <w:jc w:val="both"/>
        <w:rPr>
          <w:rFonts w:ascii="Palatino Linotype" w:eastAsia="Palatino Linotype" w:hAnsi="Palatino Linotype" w:cs="Palatino Linotype"/>
          <w:b/>
          <w:i/>
          <w:color w:val="000000"/>
          <w:sz w:val="22"/>
          <w:szCs w:val="22"/>
        </w:rPr>
      </w:pPr>
      <w:r w:rsidRPr="00BA6413">
        <w:rPr>
          <w:rFonts w:ascii="Palatino Linotype" w:eastAsia="Palatino Linotype" w:hAnsi="Palatino Linotype" w:cs="Palatino Linotype"/>
          <w:b/>
          <w:i/>
          <w:color w:val="000000"/>
          <w:sz w:val="22"/>
          <w:szCs w:val="22"/>
        </w:rPr>
        <w:t>“DESECHAMIENTO O SOBRESEIMIENTO EN EL JUICIO DE AMPARO. NO IMPLICA DENEGACIÓN DE JUSTICIA NI GENERA INSEGURIDAD JURÍDICA”</w:t>
      </w:r>
    </w:p>
    <w:p w:rsidR="00C30959" w:rsidRPr="00BA6413" w:rsidRDefault="00C30959" w:rsidP="00C30959">
      <w:pPr>
        <w:pBdr>
          <w:top w:val="nil"/>
          <w:left w:val="nil"/>
          <w:bottom w:val="nil"/>
          <w:right w:val="nil"/>
          <w:between w:val="nil"/>
        </w:pBdr>
        <w:ind w:left="1134" w:right="902"/>
        <w:jc w:val="both"/>
        <w:rPr>
          <w:rFonts w:ascii="Palatino Linotype" w:eastAsia="Palatino Linotype" w:hAnsi="Palatino Linotype" w:cs="Palatino Linotype"/>
          <w:color w:val="000000"/>
        </w:rPr>
      </w:pPr>
      <w:r w:rsidRPr="00BA6413">
        <w:rPr>
          <w:rFonts w:ascii="Palatino Linotype" w:eastAsia="Palatino Linotype" w:hAnsi="Palatino Linotype" w:cs="Palatino Linotype"/>
          <w:i/>
          <w:color w:val="000000"/>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w:t>
      </w:r>
      <w:r w:rsidRPr="00BA6413">
        <w:rPr>
          <w:rFonts w:ascii="Palatino Linotype" w:eastAsia="Palatino Linotype" w:hAnsi="Palatino Linotype" w:cs="Palatino Linotype"/>
          <w:i/>
          <w:color w:val="000000"/>
          <w:sz w:val="22"/>
          <w:szCs w:val="22"/>
        </w:rPr>
        <w:lastRenderedPageBreak/>
        <w:t xml:space="preserve">juicio, imparte justicia, puesto que el acceso a ella no se ve menoscabado, sino que es efectivo, ni se deja en estado de indefensión al </w:t>
      </w:r>
      <w:proofErr w:type="spellStart"/>
      <w:r w:rsidRPr="00BA6413">
        <w:rPr>
          <w:rFonts w:ascii="Palatino Linotype" w:eastAsia="Palatino Linotype" w:hAnsi="Palatino Linotype" w:cs="Palatino Linotype"/>
          <w:i/>
          <w:color w:val="000000"/>
          <w:sz w:val="22"/>
          <w:szCs w:val="22"/>
        </w:rPr>
        <w:t>promovente</w:t>
      </w:r>
      <w:proofErr w:type="spellEnd"/>
      <w:r w:rsidRPr="00BA6413">
        <w:rPr>
          <w:rFonts w:ascii="Palatino Linotype" w:eastAsia="Palatino Linotype" w:hAnsi="Palatino Linotype" w:cs="Palatino Linotype"/>
          <w:i/>
          <w:color w:val="000000"/>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BA6413">
        <w:rPr>
          <w:rFonts w:ascii="Palatino Linotype" w:eastAsia="Palatino Linotype" w:hAnsi="Palatino Linotype" w:cs="Palatino Linotype"/>
          <w:color w:val="000000"/>
        </w:rPr>
        <w:tab/>
      </w:r>
    </w:p>
    <w:p w:rsidR="00C30959" w:rsidRPr="00BA6413" w:rsidRDefault="00C30959" w:rsidP="00C30959">
      <w:pPr>
        <w:pBdr>
          <w:top w:val="nil"/>
          <w:left w:val="nil"/>
          <w:bottom w:val="nil"/>
          <w:right w:val="nil"/>
          <w:between w:val="nil"/>
        </w:pBdr>
        <w:ind w:right="902"/>
        <w:jc w:val="both"/>
        <w:rPr>
          <w:rFonts w:ascii="Palatino Linotype" w:eastAsia="Palatino Linotype" w:hAnsi="Palatino Linotype" w:cs="Palatino Linotype"/>
          <w:i/>
          <w:color w:val="000000"/>
          <w:sz w:val="22"/>
          <w:szCs w:val="22"/>
        </w:rPr>
      </w:pPr>
    </w:p>
    <w:p w:rsidR="00C30959" w:rsidRPr="00BA6413" w:rsidRDefault="00C30959" w:rsidP="00C30959">
      <w:pPr>
        <w:pBdr>
          <w:top w:val="nil"/>
          <w:left w:val="nil"/>
          <w:bottom w:val="nil"/>
          <w:right w:val="nil"/>
          <w:between w:val="nil"/>
        </w:pBdr>
        <w:ind w:left="1134" w:right="902"/>
        <w:jc w:val="both"/>
        <w:rPr>
          <w:rFonts w:ascii="Palatino Linotype" w:eastAsia="Palatino Linotype" w:hAnsi="Palatino Linotype" w:cs="Palatino Linotype"/>
          <w:i/>
          <w:color w:val="000000"/>
          <w:sz w:val="22"/>
          <w:szCs w:val="22"/>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bookmarkStart w:id="144" w:name="_heading=h.3dy6vkm" w:colFirst="0" w:colLast="0"/>
      <w:bookmarkEnd w:id="144"/>
      <w:r w:rsidRPr="00BA6413">
        <w:rPr>
          <w:rFonts w:ascii="Palatino Linotype" w:eastAsia="Palatino Linotype" w:hAnsi="Palatino Linotype" w:cs="Palatino Linotype"/>
          <w:color w:val="000000"/>
          <w:lang w:val="es-ES"/>
        </w:rPr>
        <w:t>Finalmente, se dejan a salvo los derechos de la particular a fin de que de considerarlo pertinente, interponga una nueva solicitud de</w:t>
      </w:r>
      <w:r w:rsidR="00B1534E" w:rsidRPr="00BA6413">
        <w:rPr>
          <w:rFonts w:ascii="Palatino Linotype" w:eastAsia="Palatino Linotype" w:hAnsi="Palatino Linotype" w:cs="Palatino Linotype"/>
          <w:color w:val="000000"/>
          <w:lang w:val="es-ES"/>
        </w:rPr>
        <w:t xml:space="preserve"> acceso ante el Sujeto Obligado y ante el Ayuntamiento de Rayón para el caso de las certificaciones de competencia laboral, </w:t>
      </w:r>
      <w:r w:rsidRPr="00BA6413">
        <w:rPr>
          <w:rFonts w:ascii="Palatino Linotype" w:eastAsia="Palatino Linotype" w:hAnsi="Palatino Linotype" w:cs="Palatino Linotype"/>
          <w:color w:val="000000"/>
          <w:lang w:val="es-ES"/>
        </w:rPr>
        <w:t xml:space="preserve"> a fin de solicitar la información de su interés. </w:t>
      </w:r>
    </w:p>
    <w:p w:rsidR="00C30959" w:rsidRPr="00BA6413" w:rsidRDefault="00C30959" w:rsidP="00C30959">
      <w:pPr>
        <w:spacing w:line="360" w:lineRule="auto"/>
        <w:contextualSpacing/>
        <w:jc w:val="both"/>
        <w:rPr>
          <w:rFonts w:ascii="Palatino Linotype" w:eastAsia="Palatino Linotype" w:hAnsi="Palatino Linotype" w:cs="Palatino Linotype"/>
          <w:color w:val="000000"/>
          <w:lang w:val="es-ES"/>
        </w:rPr>
      </w:pPr>
    </w:p>
    <w:p w:rsidR="00C30959" w:rsidRPr="00BA6413" w:rsidRDefault="00C30959" w:rsidP="00C30959">
      <w:pPr>
        <w:numPr>
          <w:ilvl w:val="0"/>
          <w:numId w:val="1"/>
        </w:numPr>
        <w:spacing w:line="360" w:lineRule="auto"/>
        <w:ind w:left="0" w:firstLine="0"/>
        <w:contextualSpacing/>
        <w:jc w:val="both"/>
        <w:rPr>
          <w:rFonts w:ascii="Palatino Linotype" w:eastAsia="Palatino Linotype" w:hAnsi="Palatino Linotype" w:cs="Palatino Linotype"/>
          <w:color w:val="000000"/>
          <w:lang w:val="es-ES"/>
        </w:rPr>
      </w:pPr>
      <w:r w:rsidRPr="00BA6413">
        <w:rPr>
          <w:rFonts w:ascii="Palatino Linotype" w:eastAsia="Palatino Linotype" w:hAnsi="Palatino Linotype" w:cs="Palatino Linotype"/>
          <w:color w:val="000000"/>
          <w:lang w:val="es-ES"/>
        </w:rPr>
        <w:t>Así, con fundamento en lo prescrito en los artículos 5 párrafos trigésimo, trigésimo primero y tri</w:t>
      </w:r>
      <w:bookmarkStart w:id="145" w:name="_GoBack"/>
      <w:bookmarkEnd w:id="145"/>
      <w:r w:rsidRPr="00BA6413">
        <w:rPr>
          <w:rFonts w:ascii="Palatino Linotype" w:eastAsia="Palatino Linotype" w:hAnsi="Palatino Linotype" w:cs="Palatino Linotype"/>
          <w:color w:val="000000"/>
          <w:lang w:val="es-ES"/>
        </w:rPr>
        <w:t>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C30959" w:rsidRPr="00BA6413" w:rsidRDefault="00C30959" w:rsidP="00C30959">
      <w:pPr>
        <w:pBdr>
          <w:top w:val="nil"/>
          <w:left w:val="nil"/>
          <w:bottom w:val="nil"/>
          <w:right w:val="nil"/>
          <w:between w:val="nil"/>
        </w:pBdr>
        <w:ind w:left="720"/>
        <w:rPr>
          <w:rFonts w:ascii="Palatino Linotype" w:eastAsia="Palatino Linotype" w:hAnsi="Palatino Linotype" w:cs="Palatino Linotype"/>
          <w:color w:val="000000"/>
        </w:rPr>
      </w:pPr>
    </w:p>
    <w:p w:rsidR="00C30959" w:rsidRPr="00BA6413" w:rsidRDefault="00C30959" w:rsidP="00C30959">
      <w:pPr>
        <w:pBdr>
          <w:top w:val="nil"/>
          <w:left w:val="nil"/>
          <w:bottom w:val="nil"/>
          <w:right w:val="nil"/>
          <w:between w:val="nil"/>
        </w:pBdr>
        <w:ind w:left="720"/>
        <w:rPr>
          <w:rFonts w:ascii="Palatino Linotype" w:eastAsia="Palatino Linotype" w:hAnsi="Palatino Linotype" w:cs="Palatino Linotype"/>
          <w:color w:val="000000"/>
        </w:rPr>
      </w:pPr>
    </w:p>
    <w:p w:rsidR="00C30959" w:rsidRPr="00BA6413" w:rsidRDefault="00C30959" w:rsidP="00C30959">
      <w:pPr>
        <w:keepNext/>
        <w:keepLines/>
        <w:spacing w:line="360" w:lineRule="auto"/>
        <w:jc w:val="center"/>
        <w:outlineLvl w:val="0"/>
        <w:rPr>
          <w:rFonts w:ascii="Palatino Linotype" w:eastAsia="Palatino Linotype" w:hAnsi="Palatino Linotype" w:cs="Palatino Linotype"/>
          <w:b/>
          <w:color w:val="000000"/>
        </w:rPr>
      </w:pPr>
      <w:bookmarkStart w:id="146" w:name="_heading=h.1t3h5sf" w:colFirst="0" w:colLast="0"/>
      <w:bookmarkEnd w:id="146"/>
      <w:r w:rsidRPr="00BA6413">
        <w:rPr>
          <w:rFonts w:ascii="Palatino Linotype" w:eastAsia="Palatino Linotype" w:hAnsi="Palatino Linotype" w:cs="Palatino Linotype"/>
          <w:b/>
          <w:color w:val="000000"/>
        </w:rPr>
        <w:t>R E S O L U T I V O S</w:t>
      </w:r>
    </w:p>
    <w:p w:rsidR="00C30959" w:rsidRPr="00BA6413" w:rsidRDefault="00C30959" w:rsidP="00C30959">
      <w:pPr>
        <w:rPr>
          <w:rFonts w:ascii="Palatino Linotype" w:eastAsia="Palatino Linotype" w:hAnsi="Palatino Linotype" w:cs="Palatino Linotype"/>
          <w:color w:val="000000"/>
        </w:rPr>
      </w:pPr>
    </w:p>
    <w:p w:rsidR="00C30959" w:rsidRPr="00BA6413" w:rsidRDefault="00C30959" w:rsidP="00B1534E">
      <w:pPr>
        <w:pBdr>
          <w:top w:val="nil"/>
          <w:left w:val="nil"/>
          <w:bottom w:val="nil"/>
          <w:right w:val="nil"/>
          <w:between w:val="nil"/>
        </w:pBdr>
        <w:tabs>
          <w:tab w:val="left" w:pos="7936"/>
        </w:tabs>
        <w:spacing w:before="240" w:after="240" w:line="360" w:lineRule="auto"/>
        <w:ind w:left="-285"/>
        <w:jc w:val="both"/>
        <w:rPr>
          <w:rFonts w:ascii="Palatino Linotype" w:eastAsia="Palatino Linotype" w:hAnsi="Palatino Linotype" w:cs="Palatino Linotype"/>
          <w:b/>
        </w:rPr>
      </w:pPr>
      <w:r w:rsidRPr="00BA6413">
        <w:rPr>
          <w:rFonts w:ascii="Palatino Linotype" w:eastAsia="Palatino Linotype" w:hAnsi="Palatino Linotype" w:cs="Palatino Linotype"/>
          <w:b/>
        </w:rPr>
        <w:t xml:space="preserve">PRIMERO. </w:t>
      </w:r>
      <w:r w:rsidRPr="00BA6413">
        <w:rPr>
          <w:rFonts w:ascii="Palatino Linotype" w:eastAsia="Palatino Linotype" w:hAnsi="Palatino Linotype" w:cs="Palatino Linotype"/>
        </w:rPr>
        <w:t>Se</w:t>
      </w:r>
      <w:r w:rsidRPr="00BA6413">
        <w:rPr>
          <w:rFonts w:ascii="Palatino Linotype" w:eastAsia="Palatino Linotype" w:hAnsi="Palatino Linotype" w:cs="Palatino Linotype"/>
          <w:b/>
        </w:rPr>
        <w:t xml:space="preserve"> Sobresee </w:t>
      </w:r>
      <w:r w:rsidRPr="00BA6413">
        <w:rPr>
          <w:rFonts w:ascii="Palatino Linotype" w:eastAsia="Palatino Linotype" w:hAnsi="Palatino Linotype" w:cs="Palatino Linotype"/>
        </w:rPr>
        <w:t xml:space="preserve">el recurso de revisión número </w:t>
      </w:r>
      <w:r w:rsidR="00B1534E" w:rsidRPr="00BA6413">
        <w:rPr>
          <w:rFonts w:ascii="Palatino Linotype" w:eastAsia="Palatino Linotype" w:hAnsi="Palatino Linotype" w:cs="Palatino Linotype"/>
          <w:b/>
        </w:rPr>
        <w:t>01733/INFOEM/IP/RR/2025</w:t>
      </w:r>
      <w:r w:rsidRPr="00BA6413">
        <w:rPr>
          <w:rFonts w:ascii="Palatino Linotype" w:eastAsia="Palatino Linotype" w:hAnsi="Palatino Linotype" w:cs="Palatino Linotype"/>
          <w:b/>
        </w:rPr>
        <w:t xml:space="preserve">, </w:t>
      </w:r>
      <w:r w:rsidRPr="00BA6413">
        <w:rPr>
          <w:rFonts w:ascii="Palatino Linotype" w:eastAsia="Palatino Linotype" w:hAnsi="Palatino Linotype" w:cs="Palatino Linotype"/>
        </w:rPr>
        <w:t>porque una vez admitido se actualizó la causal de improcedencia prevista en artículo 192 fracción IV, en relación con la fracción VI del artículo 191, de la Ley de Transparencia vigente en la entidad, por ser improcedente en términos del Considerando</w:t>
      </w:r>
      <w:r w:rsidRPr="00BA6413">
        <w:rPr>
          <w:rFonts w:ascii="Palatino Linotype" w:eastAsia="Palatino Linotype" w:hAnsi="Palatino Linotype" w:cs="Palatino Linotype"/>
          <w:b/>
        </w:rPr>
        <w:t xml:space="preserve"> Tercero d</w:t>
      </w:r>
      <w:r w:rsidRPr="00BA6413">
        <w:rPr>
          <w:rFonts w:ascii="Palatino Linotype" w:eastAsia="Palatino Linotype" w:hAnsi="Palatino Linotype" w:cs="Palatino Linotype"/>
        </w:rPr>
        <w:t>e la presente resolución.</w:t>
      </w:r>
    </w:p>
    <w:p w:rsidR="00C30959" w:rsidRPr="00BA6413" w:rsidRDefault="00C30959" w:rsidP="00C30959">
      <w:pPr>
        <w:pBdr>
          <w:top w:val="nil"/>
          <w:left w:val="nil"/>
          <w:bottom w:val="nil"/>
          <w:right w:val="nil"/>
          <w:between w:val="nil"/>
        </w:pBdr>
        <w:tabs>
          <w:tab w:val="left" w:pos="7936"/>
        </w:tabs>
        <w:spacing w:before="240" w:after="240" w:line="360" w:lineRule="auto"/>
        <w:ind w:left="-285"/>
        <w:jc w:val="both"/>
        <w:rPr>
          <w:rFonts w:ascii="Palatino Linotype" w:eastAsia="Palatino Linotype" w:hAnsi="Palatino Linotype" w:cs="Palatino Linotype"/>
        </w:rPr>
      </w:pPr>
      <w:r w:rsidRPr="00BA6413">
        <w:rPr>
          <w:rFonts w:ascii="Palatino Linotype" w:eastAsia="Palatino Linotype" w:hAnsi="Palatino Linotype" w:cs="Palatino Linotype"/>
          <w:b/>
        </w:rPr>
        <w:lastRenderedPageBreak/>
        <w:t xml:space="preserve">SEGUNDO. Notifíquese, </w:t>
      </w:r>
      <w:r w:rsidRPr="00BA6413">
        <w:rPr>
          <w:rFonts w:ascii="Palatino Linotype" w:eastAsia="Palatino Linotype" w:hAnsi="Palatino Linotype" w:cs="Palatino Linotype"/>
        </w:rPr>
        <w:t>vía</w:t>
      </w:r>
      <w:r w:rsidRPr="00BA6413">
        <w:rPr>
          <w:rFonts w:ascii="Palatino Linotype" w:eastAsia="Palatino Linotype" w:hAnsi="Palatino Linotype" w:cs="Palatino Linotype"/>
          <w:b/>
        </w:rPr>
        <w:t xml:space="preserve"> SAIMEX,</w:t>
      </w:r>
      <w:r w:rsidRPr="00BA6413">
        <w:rPr>
          <w:rFonts w:ascii="Palatino Linotype" w:eastAsia="Palatino Linotype" w:hAnsi="Palatino Linotype" w:cs="Palatino Linotype"/>
        </w:rPr>
        <w:t xml:space="preserve"> al Responsable de la Unidad de Transparencia del </w:t>
      </w:r>
      <w:r w:rsidRPr="00BA6413">
        <w:rPr>
          <w:rFonts w:ascii="Palatino Linotype" w:eastAsia="Palatino Linotype" w:hAnsi="Palatino Linotype" w:cs="Palatino Linotype"/>
          <w:b/>
        </w:rPr>
        <w:t>Sujeto Obligado</w:t>
      </w:r>
      <w:r w:rsidRPr="00BA6413">
        <w:rPr>
          <w:rFonts w:ascii="Palatino Linotype" w:eastAsia="Palatino Linotype" w:hAnsi="Palatino Linotype" w:cs="Palatino Linotype"/>
        </w:rPr>
        <w:t xml:space="preserve"> la presente resolución, para su conocimiento.</w:t>
      </w:r>
    </w:p>
    <w:p w:rsidR="00C30959" w:rsidRPr="00BA6413" w:rsidRDefault="00C30959" w:rsidP="00C30959">
      <w:pPr>
        <w:widowControl w:val="0"/>
        <w:pBdr>
          <w:top w:val="nil"/>
          <w:left w:val="nil"/>
          <w:bottom w:val="nil"/>
          <w:right w:val="nil"/>
          <w:between w:val="nil"/>
        </w:pBdr>
        <w:tabs>
          <w:tab w:val="left" w:pos="1701"/>
        </w:tabs>
        <w:spacing w:before="240" w:line="360" w:lineRule="auto"/>
        <w:ind w:left="-285"/>
        <w:jc w:val="both"/>
        <w:rPr>
          <w:rFonts w:ascii="Palatino Linotype" w:eastAsia="Palatino Linotype" w:hAnsi="Palatino Linotype" w:cs="Palatino Linotype"/>
          <w:color w:val="222222"/>
        </w:rPr>
      </w:pPr>
      <w:r w:rsidRPr="00BA6413">
        <w:rPr>
          <w:rFonts w:ascii="Palatino Linotype" w:eastAsia="Palatino Linotype" w:hAnsi="Palatino Linotype" w:cs="Palatino Linotype"/>
          <w:b/>
          <w:color w:val="000000"/>
        </w:rPr>
        <w:t>TERCERO</w:t>
      </w:r>
      <w:r w:rsidRPr="00BA6413">
        <w:rPr>
          <w:rFonts w:ascii="Palatino Linotype" w:eastAsia="Palatino Linotype" w:hAnsi="Palatino Linotype" w:cs="Palatino Linotype"/>
          <w:b/>
          <w:color w:val="222222"/>
        </w:rPr>
        <w:t>.</w:t>
      </w:r>
      <w:r w:rsidRPr="00BA6413">
        <w:rPr>
          <w:rFonts w:ascii="Palatino Linotype" w:eastAsia="Palatino Linotype" w:hAnsi="Palatino Linotype" w:cs="Palatino Linotype"/>
          <w:b/>
          <w:color w:val="222222"/>
          <w:sz w:val="22"/>
          <w:szCs w:val="22"/>
        </w:rPr>
        <w:t xml:space="preserve"> </w:t>
      </w:r>
      <w:r w:rsidRPr="00BA6413">
        <w:rPr>
          <w:rFonts w:ascii="Palatino Linotype" w:eastAsia="Palatino Linotype" w:hAnsi="Palatino Linotype" w:cs="Palatino Linotype"/>
          <w:b/>
          <w:color w:val="222222"/>
        </w:rPr>
        <w:t xml:space="preserve">Notifíquese </w:t>
      </w:r>
      <w:r w:rsidRPr="00BA6413">
        <w:rPr>
          <w:rFonts w:ascii="Palatino Linotype" w:eastAsia="Palatino Linotype" w:hAnsi="Palatino Linotype" w:cs="Palatino Linotype"/>
          <w:color w:val="222222"/>
        </w:rPr>
        <w:t>a</w:t>
      </w:r>
      <w:r w:rsidRPr="00BA6413">
        <w:rPr>
          <w:rFonts w:ascii="Palatino Linotype" w:eastAsia="Palatino Linotype" w:hAnsi="Palatino Linotype" w:cs="Palatino Linotype"/>
          <w:b/>
          <w:color w:val="222222"/>
        </w:rPr>
        <w:t xml:space="preserve"> </w:t>
      </w:r>
      <w:r w:rsidRPr="00BA6413">
        <w:rPr>
          <w:rFonts w:ascii="Palatino Linotype" w:eastAsia="Palatino Linotype" w:hAnsi="Palatino Linotype" w:cs="Palatino Linotype"/>
          <w:b/>
          <w:color w:val="000000"/>
        </w:rPr>
        <w:t>EL RECURRENTE</w:t>
      </w:r>
      <w:r w:rsidRPr="00BA6413">
        <w:rPr>
          <w:rFonts w:ascii="Palatino Linotype" w:eastAsia="Palatino Linotype" w:hAnsi="Palatino Linotype" w:cs="Palatino Linotype"/>
          <w:color w:val="222222"/>
        </w:rPr>
        <w:t xml:space="preserve"> la presente resolución, vía </w:t>
      </w:r>
      <w:r w:rsidRPr="00BA6413">
        <w:rPr>
          <w:rFonts w:ascii="Palatino Linotype" w:eastAsia="Palatino Linotype" w:hAnsi="Palatino Linotype" w:cs="Palatino Linotype"/>
          <w:b/>
          <w:color w:val="222222"/>
        </w:rPr>
        <w:t>SAIMEX</w:t>
      </w:r>
      <w:r w:rsidRPr="00BA6413">
        <w:rPr>
          <w:rFonts w:ascii="Palatino Linotype" w:eastAsia="Palatino Linotype" w:hAnsi="Palatino Linotype" w:cs="Palatino Linotype"/>
          <w:color w:val="222222"/>
        </w:rPr>
        <w:t>.</w:t>
      </w:r>
    </w:p>
    <w:p w:rsidR="00C30959" w:rsidRPr="00BA6413" w:rsidRDefault="00C30959" w:rsidP="00C30959">
      <w:pPr>
        <w:widowControl w:val="0"/>
        <w:pBdr>
          <w:top w:val="nil"/>
          <w:left w:val="nil"/>
          <w:bottom w:val="nil"/>
          <w:right w:val="nil"/>
          <w:between w:val="nil"/>
        </w:pBdr>
        <w:tabs>
          <w:tab w:val="left" w:pos="1701"/>
        </w:tabs>
        <w:spacing w:line="360" w:lineRule="auto"/>
        <w:ind w:left="-285"/>
        <w:jc w:val="both"/>
        <w:rPr>
          <w:rFonts w:ascii="Palatino Linotype" w:eastAsia="Palatino Linotype" w:hAnsi="Palatino Linotype" w:cs="Palatino Linotype"/>
          <w:color w:val="222222"/>
        </w:rPr>
      </w:pPr>
    </w:p>
    <w:p w:rsidR="00C30959" w:rsidRPr="00BA6413" w:rsidRDefault="00C30959" w:rsidP="00C30959">
      <w:pPr>
        <w:widowControl w:val="0"/>
        <w:pBdr>
          <w:top w:val="nil"/>
          <w:left w:val="nil"/>
          <w:bottom w:val="nil"/>
          <w:right w:val="nil"/>
          <w:between w:val="nil"/>
        </w:pBdr>
        <w:tabs>
          <w:tab w:val="left" w:pos="1701"/>
        </w:tabs>
        <w:spacing w:line="360" w:lineRule="auto"/>
        <w:ind w:left="-285"/>
        <w:jc w:val="both"/>
        <w:rPr>
          <w:rFonts w:ascii="Palatino Linotype" w:eastAsia="Palatino Linotype" w:hAnsi="Palatino Linotype" w:cs="Palatino Linotype"/>
          <w:color w:val="000000"/>
        </w:rPr>
      </w:pPr>
      <w:r w:rsidRPr="00BA6413">
        <w:rPr>
          <w:rFonts w:ascii="Palatino Linotype" w:eastAsia="Palatino Linotype" w:hAnsi="Palatino Linotype" w:cs="Palatino Linotype"/>
          <w:b/>
          <w:color w:val="222222"/>
        </w:rPr>
        <w:t xml:space="preserve">CUARTO. </w:t>
      </w:r>
      <w:r w:rsidRPr="00BA6413">
        <w:rPr>
          <w:rFonts w:ascii="Palatino Linotype" w:eastAsia="Palatino Linotype" w:hAnsi="Palatino Linotype" w:cs="Palatino Linotype"/>
          <w:color w:val="000000"/>
        </w:rPr>
        <w:t xml:space="preserve">Se hace del conocimiento de </w:t>
      </w:r>
      <w:r w:rsidRPr="00BA6413">
        <w:rPr>
          <w:rFonts w:ascii="Palatino Linotype" w:eastAsia="Palatino Linotype" w:hAnsi="Palatino Linotype" w:cs="Palatino Linotype"/>
          <w:b/>
          <w:color w:val="000000"/>
        </w:rPr>
        <w:t>EL RECURRENTE</w:t>
      </w:r>
      <w:r w:rsidRPr="00BA6413">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w:t>
      </w:r>
      <w:r w:rsidR="002303FD" w:rsidRPr="00BA6413">
        <w:rPr>
          <w:rFonts w:ascii="Palatino Linotype" w:eastAsia="Palatino Linotype" w:hAnsi="Palatino Linotype" w:cs="Palatino Linotype"/>
          <w:color w:val="000000"/>
        </w:rPr>
        <w:t xml:space="preserve">érminos de las leyes aplicables, </w:t>
      </w:r>
      <w:r w:rsidR="002303FD" w:rsidRPr="00BA6413">
        <w:rPr>
          <w:rFonts w:ascii="Palatino Linotype" w:eastAsia="Palatino Linotype" w:hAnsi="Palatino Linotype" w:cs="Palatino Linotype"/>
          <w:sz w:val="22"/>
          <w:szCs w:val="22"/>
        </w:rPr>
        <w:t>ante el Poder Judicial de la Federación, en los términos de las leyes aplicables, toda vez que al momento en que se emita la resolución por este Pleno</w:t>
      </w:r>
      <w:r w:rsidR="00DF122B" w:rsidRPr="00BA6413">
        <w:rPr>
          <w:rFonts w:ascii="Palatino Linotype" w:eastAsia="Palatino Linotype" w:hAnsi="Palatino Linotype" w:cs="Palatino Linotype"/>
          <w:sz w:val="22"/>
          <w:szCs w:val="22"/>
        </w:rPr>
        <w:t>,</w:t>
      </w:r>
      <w:r w:rsidR="002303FD" w:rsidRPr="00BA6413">
        <w:rPr>
          <w:rFonts w:ascii="Palatino Linotype" w:eastAsia="Palatino Linotype" w:hAnsi="Palatino Linotype" w:cs="Palatino Linotype"/>
          <w:sz w:val="22"/>
          <w:szCs w:val="22"/>
        </w:rPr>
        <w:t xml:space="preserve"> el Instituto Nacional de Transparencia ya no estará en funciones</w:t>
      </w:r>
    </w:p>
    <w:p w:rsidR="00C30959" w:rsidRPr="00BA6413" w:rsidRDefault="00C30959" w:rsidP="00C30959">
      <w:pPr>
        <w:widowControl w:val="0"/>
        <w:pBdr>
          <w:top w:val="nil"/>
          <w:left w:val="nil"/>
          <w:bottom w:val="nil"/>
          <w:right w:val="nil"/>
          <w:between w:val="nil"/>
        </w:pBdr>
        <w:tabs>
          <w:tab w:val="left" w:pos="1701"/>
        </w:tabs>
        <w:spacing w:line="360" w:lineRule="auto"/>
        <w:ind w:left="-285"/>
        <w:jc w:val="both"/>
        <w:rPr>
          <w:rFonts w:ascii="Palatino Linotype" w:eastAsia="Palatino Linotype" w:hAnsi="Palatino Linotype" w:cs="Palatino Linotype"/>
          <w:color w:val="222222"/>
        </w:rPr>
      </w:pPr>
    </w:p>
    <w:p w:rsidR="00B1534E" w:rsidRPr="00BA6413" w:rsidRDefault="00B1534E" w:rsidP="00B1534E">
      <w:pPr>
        <w:shd w:val="clear" w:color="auto" w:fill="FFFFFF"/>
        <w:spacing w:line="360" w:lineRule="auto"/>
        <w:jc w:val="both"/>
        <w:rPr>
          <w:rFonts w:ascii="Palatino Linotype" w:eastAsia="Palatino Linotype" w:hAnsi="Palatino Linotype" w:cs="Palatino Linotype"/>
        </w:rPr>
      </w:pPr>
      <w:bookmarkStart w:id="147" w:name="_heading=h.4d34og8" w:colFirst="0" w:colLast="0"/>
      <w:bookmarkEnd w:id="147"/>
    </w:p>
    <w:p w:rsidR="0020329E" w:rsidRDefault="0020329E" w:rsidP="0020329E">
      <w:pPr>
        <w:spacing w:before="240" w:after="240" w:line="360" w:lineRule="auto"/>
        <w:ind w:left="-284" w:firstLine="1"/>
        <w:jc w:val="both"/>
        <w:rPr>
          <w:rFonts w:ascii="Palatino Linotype" w:hAnsi="Palatino Linotype"/>
        </w:rPr>
      </w:pPr>
      <w:r w:rsidRPr="00BA641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C30959" w:rsidRPr="00582931" w:rsidRDefault="00C30959" w:rsidP="00C30959">
      <w:pPr>
        <w:spacing w:line="360" w:lineRule="auto"/>
        <w:jc w:val="both"/>
        <w:rPr>
          <w:rFonts w:ascii="Palatino Linotype" w:eastAsia="Palatino Linotype" w:hAnsi="Palatino Linotype" w:cs="Palatino Linotype"/>
          <w:color w:val="000000"/>
        </w:rPr>
      </w:pPr>
    </w:p>
    <w:p w:rsidR="00C30959" w:rsidRPr="00582931" w:rsidRDefault="00C30959" w:rsidP="00C30959">
      <w:pPr>
        <w:spacing w:line="360" w:lineRule="auto"/>
        <w:jc w:val="both"/>
        <w:rPr>
          <w:rFonts w:ascii="Palatino Linotype" w:eastAsia="Palatino Linotype" w:hAnsi="Palatino Linotype" w:cs="Palatino Linotype"/>
          <w:color w:val="000000"/>
        </w:rPr>
      </w:pPr>
    </w:p>
    <w:p w:rsidR="00C30959" w:rsidRDefault="00C30959" w:rsidP="00C30959">
      <w:pPr>
        <w:spacing w:line="360" w:lineRule="auto"/>
        <w:contextualSpacing/>
        <w:jc w:val="both"/>
      </w:pPr>
    </w:p>
    <w:p w:rsidR="00C30959" w:rsidRDefault="00C30959" w:rsidP="00C30959"/>
    <w:p w:rsidR="00F97207" w:rsidRDefault="00F13190">
      <w:r>
        <w:t xml:space="preserve">  </w:t>
      </w:r>
    </w:p>
    <w:sectPr w:rsidR="00F97207" w:rsidSect="002303FD">
      <w:headerReference w:type="even" r:id="rId7"/>
      <w:headerReference w:type="default" r:id="rId8"/>
      <w:footerReference w:type="default" r:id="rId9"/>
      <w:headerReference w:type="first" r:id="rId10"/>
      <w:footerReference w:type="first" r:id="rId11"/>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131" w:rsidRDefault="003D1131" w:rsidP="00C30959">
      <w:r>
        <w:separator/>
      </w:r>
    </w:p>
  </w:endnote>
  <w:endnote w:type="continuationSeparator" w:id="0">
    <w:p w:rsidR="003D1131" w:rsidRDefault="003D1131" w:rsidP="00C3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303FD" w:rsidRPr="002D6DD8" w:rsidRDefault="002303FD" w:rsidP="002303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1566">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71566">
              <w:rPr>
                <w:rFonts w:ascii="Palatino Linotype" w:hAnsi="Palatino Linotype"/>
                <w:bCs/>
                <w:noProof/>
                <w:sz w:val="20"/>
              </w:rPr>
              <w:t>23</w:t>
            </w:r>
            <w:r>
              <w:rPr>
                <w:rFonts w:ascii="Palatino Linotype" w:hAnsi="Palatino Linotype"/>
                <w:bCs/>
                <w:noProof/>
                <w:sz w:val="20"/>
              </w:rPr>
              <w:fldChar w:fldCharType="end"/>
            </w:r>
          </w:p>
        </w:sdtContent>
      </w:sdt>
    </w:sdtContent>
  </w:sdt>
  <w:p w:rsidR="002303FD" w:rsidRDefault="002303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FD" w:rsidRPr="000B69FA" w:rsidRDefault="002303FD" w:rsidP="002303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15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71566">
      <w:rPr>
        <w:rFonts w:ascii="Palatino Linotype" w:hAnsi="Palatino Linotype"/>
        <w:bCs/>
        <w:noProof/>
        <w:sz w:val="20"/>
      </w:rPr>
      <w:t>23</w:t>
    </w:r>
    <w:r>
      <w:rPr>
        <w:rFonts w:ascii="Palatino Linotype" w:hAnsi="Palatino Linotype"/>
        <w:bCs/>
        <w:noProof/>
        <w:sz w:val="20"/>
      </w:rPr>
      <w:fldChar w:fldCharType="end"/>
    </w:r>
  </w:p>
  <w:p w:rsidR="002303FD" w:rsidRDefault="002303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131" w:rsidRDefault="003D1131" w:rsidP="00C30959">
      <w:r>
        <w:separator/>
      </w:r>
    </w:p>
  </w:footnote>
  <w:footnote w:type="continuationSeparator" w:id="0">
    <w:p w:rsidR="003D1131" w:rsidRDefault="003D1131" w:rsidP="00C30959">
      <w:r>
        <w:continuationSeparator/>
      </w:r>
    </w:p>
  </w:footnote>
  <w:footnote w:id="1">
    <w:p w:rsidR="002303FD" w:rsidRDefault="002303FD" w:rsidP="00C30959">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2303FD" w:rsidRDefault="002303FD" w:rsidP="00C30959">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2303FD" w:rsidRDefault="002303FD" w:rsidP="00C30959">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2303FD" w:rsidRDefault="002303FD" w:rsidP="00C30959">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 w:id="5">
    <w:p w:rsidR="002303FD" w:rsidRDefault="002303FD" w:rsidP="00C30959">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ROBLES HERNÁNDEZ José Guadalupe. Derecho de la Información y Comunicación Pública. </w:t>
      </w:r>
      <w:proofErr w:type="spellStart"/>
      <w:r>
        <w:rPr>
          <w:rFonts w:ascii="Palatino Linotype" w:eastAsia="Palatino Linotype" w:hAnsi="Palatino Linotype" w:cs="Palatino Linotype"/>
          <w:color w:val="000000"/>
          <w:sz w:val="16"/>
          <w:szCs w:val="16"/>
        </w:rPr>
        <w:t>Ed.Universidad</w:t>
      </w:r>
      <w:proofErr w:type="spellEnd"/>
      <w:r>
        <w:rPr>
          <w:rFonts w:ascii="Palatino Linotype" w:eastAsia="Palatino Linotype" w:hAnsi="Palatino Linotype" w:cs="Palatino Linotype"/>
          <w:color w:val="000000"/>
          <w:sz w:val="16"/>
          <w:szCs w:val="16"/>
        </w:rPr>
        <w:t xml:space="preserve">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FD" w:rsidRDefault="003D113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395" w:type="dxa"/>
      <w:tblCellMar>
        <w:left w:w="70" w:type="dxa"/>
        <w:right w:w="70" w:type="dxa"/>
      </w:tblCellMar>
      <w:tblLook w:val="04A0" w:firstRow="1" w:lastRow="0" w:firstColumn="1" w:lastColumn="0" w:noHBand="0" w:noVBand="1"/>
    </w:tblPr>
    <w:tblGrid>
      <w:gridCol w:w="2976"/>
      <w:gridCol w:w="3543"/>
    </w:tblGrid>
    <w:tr w:rsidR="002303FD" w:rsidTr="002303FD">
      <w:trPr>
        <w:trHeight w:val="227"/>
      </w:trPr>
      <w:tc>
        <w:tcPr>
          <w:tcW w:w="2976" w:type="dxa"/>
          <w:vAlign w:val="center"/>
          <w:hideMark/>
        </w:tcPr>
        <w:p w:rsidR="002303FD" w:rsidRPr="00674A46" w:rsidRDefault="002303FD" w:rsidP="0016307D">
          <w:pPr>
            <w:ind w:right="34"/>
            <w:jc w:val="right"/>
            <w:rPr>
              <w:rFonts w:ascii="Palatino Linotype" w:hAnsi="Palatino Linotype"/>
              <w:b/>
            </w:rPr>
          </w:pPr>
          <w:r w:rsidRPr="00674A46">
            <w:rPr>
              <w:rFonts w:ascii="Palatino Linotype" w:hAnsi="Palatino Linotype"/>
              <w:b/>
            </w:rPr>
            <w:t xml:space="preserve">Recurso </w:t>
          </w:r>
          <w:r>
            <w:rPr>
              <w:rFonts w:ascii="Palatino Linotype" w:hAnsi="Palatino Linotype"/>
              <w:b/>
            </w:rPr>
            <w:t>d</w:t>
          </w:r>
          <w:r w:rsidRPr="00674A46">
            <w:rPr>
              <w:rFonts w:ascii="Palatino Linotype" w:hAnsi="Palatino Linotype"/>
              <w:b/>
            </w:rPr>
            <w:t>e Revisión:</w:t>
          </w:r>
        </w:p>
      </w:tc>
      <w:tc>
        <w:tcPr>
          <w:tcW w:w="3543" w:type="dxa"/>
          <w:vAlign w:val="center"/>
          <w:hideMark/>
        </w:tcPr>
        <w:p w:rsidR="002303FD" w:rsidRPr="00485ED8" w:rsidRDefault="002303FD" w:rsidP="0016307D">
          <w:pPr>
            <w:pStyle w:val="Encabezado"/>
            <w:rPr>
              <w:rFonts w:ascii="Palatino Linotype" w:hAnsi="Palatino Linotype"/>
              <w:b/>
              <w:sz w:val="22"/>
              <w:szCs w:val="22"/>
            </w:rPr>
          </w:pPr>
          <w:r>
            <w:rPr>
              <w:rFonts w:ascii="Palatino Linotype" w:hAnsi="Palatino Linotype" w:cs="Arial"/>
              <w:b/>
              <w:bCs/>
              <w:sz w:val="22"/>
              <w:szCs w:val="22"/>
            </w:rPr>
            <w:t>01733/INFOEM/IP/RR/2025</w:t>
          </w:r>
        </w:p>
      </w:tc>
    </w:tr>
    <w:tr w:rsidR="002303FD" w:rsidTr="002303FD">
      <w:trPr>
        <w:trHeight w:val="242"/>
      </w:trPr>
      <w:tc>
        <w:tcPr>
          <w:tcW w:w="2976" w:type="dxa"/>
          <w:vAlign w:val="center"/>
          <w:hideMark/>
        </w:tcPr>
        <w:p w:rsidR="002303FD" w:rsidRPr="00674A46" w:rsidRDefault="002303FD" w:rsidP="0016307D">
          <w:pPr>
            <w:ind w:right="34"/>
            <w:jc w:val="right"/>
            <w:rPr>
              <w:rFonts w:ascii="Palatino Linotype" w:hAnsi="Palatino Linotype"/>
              <w:b/>
            </w:rPr>
          </w:pPr>
          <w:r w:rsidRPr="00674A46">
            <w:rPr>
              <w:rFonts w:ascii="Palatino Linotype" w:hAnsi="Palatino Linotype"/>
              <w:b/>
            </w:rPr>
            <w:t>Sujeto Obligado:</w:t>
          </w:r>
        </w:p>
      </w:tc>
      <w:tc>
        <w:tcPr>
          <w:tcW w:w="3543" w:type="dxa"/>
          <w:vAlign w:val="center"/>
          <w:hideMark/>
        </w:tcPr>
        <w:p w:rsidR="002303FD" w:rsidRPr="00485ED8" w:rsidRDefault="002303FD" w:rsidP="0020329E">
          <w:pPr>
            <w:pStyle w:val="Encabezado"/>
            <w:jc w:val="both"/>
            <w:rPr>
              <w:rFonts w:ascii="Palatino Linotype" w:hAnsi="Palatino Linotype"/>
              <w:b/>
              <w:sz w:val="22"/>
              <w:szCs w:val="22"/>
            </w:rPr>
          </w:pPr>
          <w:r>
            <w:rPr>
              <w:rFonts w:ascii="Palatino Linotype" w:hAnsi="Palatino Linotype"/>
              <w:b/>
              <w:bCs/>
              <w:color w:val="000000"/>
              <w:sz w:val="22"/>
              <w:szCs w:val="22"/>
            </w:rPr>
            <w:t xml:space="preserve">Secretaría de la Contraloría </w:t>
          </w:r>
        </w:p>
      </w:tc>
    </w:tr>
    <w:tr w:rsidR="002303FD" w:rsidTr="002303FD">
      <w:trPr>
        <w:trHeight w:val="342"/>
      </w:trPr>
      <w:tc>
        <w:tcPr>
          <w:tcW w:w="2976" w:type="dxa"/>
          <w:vAlign w:val="center"/>
          <w:hideMark/>
        </w:tcPr>
        <w:p w:rsidR="002303FD" w:rsidRPr="00674A46" w:rsidRDefault="002303FD" w:rsidP="0016307D">
          <w:pPr>
            <w:ind w:right="34"/>
            <w:jc w:val="right"/>
            <w:rPr>
              <w:rFonts w:ascii="Palatino Linotype" w:hAnsi="Palatino Linotype"/>
              <w:b/>
            </w:rPr>
          </w:pPr>
          <w:r>
            <w:rPr>
              <w:rFonts w:ascii="Palatino Linotype" w:hAnsi="Palatino Linotype"/>
              <w:b/>
            </w:rPr>
            <w:t>Comisionada</w:t>
          </w:r>
          <w:r w:rsidRPr="00674A46">
            <w:rPr>
              <w:rFonts w:ascii="Palatino Linotype" w:hAnsi="Palatino Linotype"/>
              <w:b/>
            </w:rPr>
            <w:t xml:space="preserve"> Ponente:</w:t>
          </w:r>
        </w:p>
      </w:tc>
      <w:tc>
        <w:tcPr>
          <w:tcW w:w="3543" w:type="dxa"/>
          <w:vAlign w:val="center"/>
          <w:hideMark/>
        </w:tcPr>
        <w:p w:rsidR="002303FD" w:rsidRPr="00485ED8" w:rsidRDefault="002303FD" w:rsidP="0016307D">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2303FD" w:rsidRPr="00AE046A" w:rsidRDefault="003D1131" w:rsidP="002303FD">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333" w:type="dxa"/>
      <w:tblCellMar>
        <w:left w:w="70" w:type="dxa"/>
        <w:right w:w="70" w:type="dxa"/>
      </w:tblCellMar>
      <w:tblLook w:val="04A0" w:firstRow="1" w:lastRow="0" w:firstColumn="1" w:lastColumn="0" w:noHBand="0" w:noVBand="1"/>
    </w:tblPr>
    <w:tblGrid>
      <w:gridCol w:w="2977"/>
      <w:gridCol w:w="3684"/>
    </w:tblGrid>
    <w:tr w:rsidR="002303FD" w:rsidTr="002303FD">
      <w:trPr>
        <w:trHeight w:val="227"/>
      </w:trPr>
      <w:tc>
        <w:tcPr>
          <w:tcW w:w="2977" w:type="dxa"/>
          <w:vAlign w:val="center"/>
          <w:hideMark/>
        </w:tcPr>
        <w:p w:rsidR="002303FD" w:rsidRPr="00674A46" w:rsidRDefault="002303FD" w:rsidP="0016307D">
          <w:pPr>
            <w:jc w:val="right"/>
            <w:rPr>
              <w:rFonts w:ascii="Palatino Linotype" w:hAnsi="Palatino Linotype"/>
              <w:b/>
            </w:rPr>
          </w:pPr>
          <w:r>
            <w:rPr>
              <w:rFonts w:ascii="Palatino Linotype" w:hAnsi="Palatino Linotype"/>
              <w:b/>
            </w:rPr>
            <w:t>Recurso d</w:t>
          </w:r>
          <w:r w:rsidRPr="00674A46">
            <w:rPr>
              <w:rFonts w:ascii="Palatino Linotype" w:hAnsi="Palatino Linotype"/>
              <w:b/>
            </w:rPr>
            <w:t>e Revisión:</w:t>
          </w:r>
        </w:p>
      </w:tc>
      <w:tc>
        <w:tcPr>
          <w:tcW w:w="3684" w:type="dxa"/>
          <w:vAlign w:val="center"/>
          <w:hideMark/>
        </w:tcPr>
        <w:p w:rsidR="002303FD" w:rsidRPr="00485ED8" w:rsidRDefault="002303FD" w:rsidP="0016307D">
          <w:pPr>
            <w:pStyle w:val="Encabezado"/>
            <w:rPr>
              <w:rFonts w:ascii="Palatino Linotype" w:hAnsi="Palatino Linotype"/>
              <w:b/>
              <w:sz w:val="22"/>
              <w:szCs w:val="22"/>
            </w:rPr>
          </w:pPr>
          <w:r>
            <w:rPr>
              <w:rFonts w:ascii="Palatino Linotype" w:hAnsi="Palatino Linotype" w:cs="Arial"/>
              <w:b/>
              <w:bCs/>
              <w:sz w:val="22"/>
              <w:szCs w:val="22"/>
            </w:rPr>
            <w:t>01733/INFOEM/IP/RR/2025</w:t>
          </w:r>
        </w:p>
      </w:tc>
    </w:tr>
    <w:tr w:rsidR="002303FD" w:rsidTr="002303FD">
      <w:trPr>
        <w:trHeight w:val="242"/>
      </w:trPr>
      <w:tc>
        <w:tcPr>
          <w:tcW w:w="2977" w:type="dxa"/>
          <w:vAlign w:val="center"/>
          <w:hideMark/>
        </w:tcPr>
        <w:p w:rsidR="002303FD" w:rsidRPr="00674A46" w:rsidRDefault="002303FD" w:rsidP="0016307D">
          <w:pPr>
            <w:jc w:val="right"/>
            <w:rPr>
              <w:rFonts w:ascii="Palatino Linotype" w:hAnsi="Palatino Linotype"/>
              <w:b/>
            </w:rPr>
          </w:pPr>
          <w:r w:rsidRPr="00674A46">
            <w:rPr>
              <w:rFonts w:ascii="Palatino Linotype" w:hAnsi="Palatino Linotype"/>
              <w:b/>
            </w:rPr>
            <w:t>Recurrente:</w:t>
          </w:r>
        </w:p>
      </w:tc>
      <w:tc>
        <w:tcPr>
          <w:tcW w:w="3684" w:type="dxa"/>
        </w:tcPr>
        <w:p w:rsidR="002303FD" w:rsidRPr="00B75F20" w:rsidRDefault="002303FD" w:rsidP="00471566">
          <w:pPr>
            <w:pStyle w:val="Encabezado"/>
            <w:tabs>
              <w:tab w:val="left" w:pos="521"/>
            </w:tabs>
            <w:rPr>
              <w:rFonts w:ascii="Palatino Linotype" w:hAnsi="Palatino Linotype"/>
              <w:b/>
              <w:sz w:val="22"/>
              <w:szCs w:val="22"/>
            </w:rPr>
          </w:pPr>
          <w:r w:rsidRPr="0020329E">
            <w:rPr>
              <w:rFonts w:ascii="Palatino Linotype" w:hAnsi="Palatino Linotype"/>
              <w:b/>
              <w:bCs/>
              <w:color w:val="000000" w:themeColor="text1"/>
              <w:sz w:val="22"/>
              <w:szCs w:val="22"/>
            </w:rPr>
            <w:t> </w:t>
          </w:r>
          <w:r w:rsidR="00471566">
            <w:rPr>
              <w:rFonts w:ascii="Palatino Linotype" w:hAnsi="Palatino Linotype"/>
              <w:b/>
              <w:bCs/>
              <w:color w:val="000000" w:themeColor="text1"/>
              <w:sz w:val="22"/>
              <w:szCs w:val="22"/>
            </w:rPr>
            <w:t>XXXX</w:t>
          </w:r>
        </w:p>
      </w:tc>
    </w:tr>
    <w:tr w:rsidR="002303FD" w:rsidTr="002303FD">
      <w:trPr>
        <w:trHeight w:val="342"/>
      </w:trPr>
      <w:tc>
        <w:tcPr>
          <w:tcW w:w="2977" w:type="dxa"/>
          <w:vAlign w:val="center"/>
        </w:tcPr>
        <w:p w:rsidR="002303FD" w:rsidRPr="00674A46" w:rsidRDefault="002303FD" w:rsidP="0016307D">
          <w:pPr>
            <w:jc w:val="right"/>
            <w:rPr>
              <w:rFonts w:ascii="Palatino Linotype" w:hAnsi="Palatino Linotype"/>
              <w:b/>
            </w:rPr>
          </w:pPr>
          <w:r w:rsidRPr="00674A46">
            <w:rPr>
              <w:rFonts w:ascii="Palatino Linotype" w:hAnsi="Palatino Linotype"/>
              <w:b/>
            </w:rPr>
            <w:t>Sujeto Obligado:</w:t>
          </w:r>
        </w:p>
      </w:tc>
      <w:tc>
        <w:tcPr>
          <w:tcW w:w="3684" w:type="dxa"/>
          <w:vAlign w:val="center"/>
        </w:tcPr>
        <w:p w:rsidR="002303FD" w:rsidRPr="00674A46" w:rsidRDefault="002303FD" w:rsidP="0020329E">
          <w:pPr>
            <w:pStyle w:val="Encabezado"/>
            <w:jc w:val="both"/>
            <w:rPr>
              <w:rFonts w:ascii="Palatino Linotype" w:hAnsi="Palatino Linotype"/>
              <w:b/>
              <w:sz w:val="22"/>
              <w:szCs w:val="22"/>
            </w:rPr>
          </w:pPr>
          <w:r>
            <w:rPr>
              <w:rFonts w:ascii="Palatino Linotype" w:hAnsi="Palatino Linotype"/>
              <w:b/>
              <w:bCs/>
              <w:color w:val="000000"/>
              <w:sz w:val="22"/>
              <w:szCs w:val="22"/>
            </w:rPr>
            <w:t>Secretaría de la Contraloría</w:t>
          </w:r>
        </w:p>
      </w:tc>
    </w:tr>
    <w:tr w:rsidR="002303FD" w:rsidTr="002303FD">
      <w:trPr>
        <w:trHeight w:val="342"/>
      </w:trPr>
      <w:tc>
        <w:tcPr>
          <w:tcW w:w="2977" w:type="dxa"/>
          <w:vAlign w:val="center"/>
        </w:tcPr>
        <w:p w:rsidR="002303FD" w:rsidRPr="00674A46" w:rsidRDefault="002303FD" w:rsidP="0016307D">
          <w:pPr>
            <w:jc w:val="right"/>
            <w:rPr>
              <w:rFonts w:ascii="Palatino Linotype" w:hAnsi="Palatino Linotype"/>
              <w:b/>
            </w:rPr>
          </w:pPr>
          <w:r w:rsidRPr="00674A46">
            <w:rPr>
              <w:rFonts w:ascii="Palatino Linotype" w:hAnsi="Palatino Linotype"/>
              <w:b/>
            </w:rPr>
            <w:t>Comisionad</w:t>
          </w:r>
          <w:r>
            <w:rPr>
              <w:rFonts w:ascii="Palatino Linotype" w:hAnsi="Palatino Linotype"/>
              <w:b/>
            </w:rPr>
            <w:t>a</w:t>
          </w:r>
          <w:r w:rsidRPr="00674A46">
            <w:rPr>
              <w:rFonts w:ascii="Palatino Linotype" w:hAnsi="Palatino Linotype"/>
              <w:b/>
            </w:rPr>
            <w:t xml:space="preserve"> Ponente:</w:t>
          </w:r>
        </w:p>
      </w:tc>
      <w:tc>
        <w:tcPr>
          <w:tcW w:w="3684" w:type="dxa"/>
          <w:vAlign w:val="center"/>
        </w:tcPr>
        <w:p w:rsidR="002303FD" w:rsidRPr="00674A46" w:rsidRDefault="002303FD" w:rsidP="0016307D">
          <w:pPr>
            <w:pStyle w:val="Encabezado"/>
            <w:rPr>
              <w:rFonts w:ascii="Palatino Linotype" w:hAnsi="Palatino Linotype"/>
              <w:b/>
              <w:sz w:val="22"/>
              <w:szCs w:val="22"/>
            </w:rPr>
          </w:pPr>
          <w:r w:rsidRPr="00116201">
            <w:rPr>
              <w:rFonts w:ascii="Palatino Linotype" w:hAnsi="Palatino Linotype"/>
              <w:b/>
              <w:sz w:val="22"/>
              <w:szCs w:val="21"/>
            </w:rPr>
            <w:t>María del Rosario Mejía Ayala</w:t>
          </w:r>
        </w:p>
      </w:tc>
    </w:tr>
  </w:tbl>
  <w:p w:rsidR="002303FD" w:rsidRPr="00C222C0" w:rsidRDefault="003D1131">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90B71"/>
    <w:multiLevelType w:val="hybridMultilevel"/>
    <w:tmpl w:val="81C00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8923E9"/>
    <w:multiLevelType w:val="multilevel"/>
    <w:tmpl w:val="C4F0E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59"/>
    <w:rsid w:val="00102F76"/>
    <w:rsid w:val="0016307D"/>
    <w:rsid w:val="0020329E"/>
    <w:rsid w:val="002303FD"/>
    <w:rsid w:val="003D1131"/>
    <w:rsid w:val="00471566"/>
    <w:rsid w:val="00666F49"/>
    <w:rsid w:val="006D01F1"/>
    <w:rsid w:val="00A973BB"/>
    <w:rsid w:val="00B1534E"/>
    <w:rsid w:val="00BA6413"/>
    <w:rsid w:val="00C30959"/>
    <w:rsid w:val="00DA661E"/>
    <w:rsid w:val="00DF122B"/>
    <w:rsid w:val="00F13190"/>
    <w:rsid w:val="00F972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2FD4FE3-E599-4953-B7B4-2CF8E9F8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959"/>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C309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309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959"/>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C30959"/>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C30959"/>
    <w:pPr>
      <w:tabs>
        <w:tab w:val="center" w:pos="4419"/>
        <w:tab w:val="right" w:pos="8838"/>
      </w:tabs>
    </w:pPr>
  </w:style>
  <w:style w:type="character" w:customStyle="1" w:styleId="EncabezadoCar">
    <w:name w:val="Encabezado Car"/>
    <w:basedOn w:val="Fuentedeprrafopredeter"/>
    <w:link w:val="Encabezado"/>
    <w:uiPriority w:val="99"/>
    <w:rsid w:val="00C30959"/>
    <w:rPr>
      <w:rFonts w:eastAsiaTheme="minorEastAsia"/>
      <w:sz w:val="24"/>
      <w:szCs w:val="24"/>
      <w:lang w:val="es-ES_tradnl" w:eastAsia="es-ES"/>
    </w:rPr>
  </w:style>
  <w:style w:type="paragraph" w:styleId="Piedepgina">
    <w:name w:val="footer"/>
    <w:basedOn w:val="Normal"/>
    <w:link w:val="PiedepginaCar"/>
    <w:uiPriority w:val="99"/>
    <w:unhideWhenUsed/>
    <w:rsid w:val="00C30959"/>
    <w:pPr>
      <w:tabs>
        <w:tab w:val="center" w:pos="4419"/>
        <w:tab w:val="right" w:pos="8838"/>
      </w:tabs>
    </w:pPr>
  </w:style>
  <w:style w:type="character" w:customStyle="1" w:styleId="PiedepginaCar">
    <w:name w:val="Pie de página Car"/>
    <w:basedOn w:val="Fuentedeprrafopredeter"/>
    <w:link w:val="Piedepgina"/>
    <w:uiPriority w:val="99"/>
    <w:rsid w:val="00C3095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095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30959"/>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16307D"/>
    <w:pPr>
      <w:spacing w:after="120"/>
      <w:ind w:left="283"/>
    </w:pPr>
    <w:rPr>
      <w:rFonts w:ascii="Times New Roman" w:eastAsia="Times New Roman" w:hAnsi="Times New Roman" w:cs="Times New Roman"/>
      <w:lang w:val="es-MX" w:eastAsia="es-MX"/>
    </w:rPr>
  </w:style>
  <w:style w:type="character" w:customStyle="1" w:styleId="SangradetextonormalCar">
    <w:name w:val="Sangría de texto normal Car"/>
    <w:basedOn w:val="Fuentedeprrafopredeter"/>
    <w:link w:val="Sangradetextonormal"/>
    <w:uiPriority w:val="99"/>
    <w:rsid w:val="0016307D"/>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16307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6307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23</Pages>
  <Words>5253</Words>
  <Characters>28892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2025-04-03T18:14:00Z</cp:lastPrinted>
  <dcterms:created xsi:type="dcterms:W3CDTF">2025-03-31T18:28:00Z</dcterms:created>
  <dcterms:modified xsi:type="dcterms:W3CDTF">2025-04-03T20:48:00Z</dcterms:modified>
</cp:coreProperties>
</file>