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F878" w14:textId="77777777" w:rsidR="00253B74" w:rsidRDefault="00253B74">
      <w:pPr>
        <w:widowControl w:val="0"/>
        <w:pBdr>
          <w:top w:val="nil"/>
          <w:left w:val="nil"/>
          <w:bottom w:val="nil"/>
          <w:right w:val="nil"/>
          <w:between w:val="nil"/>
        </w:pBdr>
        <w:spacing w:after="0" w:line="276" w:lineRule="auto"/>
        <w:jc w:val="left"/>
      </w:pPr>
    </w:p>
    <w:p w14:paraId="5AE1C4D2" w14:textId="77777777" w:rsidR="00253B74" w:rsidRDefault="00253B74">
      <w:pPr>
        <w:tabs>
          <w:tab w:val="left" w:pos="8931"/>
        </w:tabs>
        <w:spacing w:after="0" w:line="360" w:lineRule="auto"/>
      </w:pPr>
    </w:p>
    <w:p w14:paraId="22489318" w14:textId="77777777" w:rsidR="00253B74" w:rsidRDefault="00B76585">
      <w:pPr>
        <w:keepNext/>
        <w:keepLines/>
        <w:pBdr>
          <w:top w:val="nil"/>
          <w:left w:val="nil"/>
          <w:bottom w:val="nil"/>
          <w:right w:val="nil"/>
          <w:between w:val="nil"/>
        </w:pBdr>
        <w:spacing w:before="240" w:after="0"/>
        <w:jc w:val="center"/>
        <w:rPr>
          <w:rFonts w:ascii="Calibri" w:eastAsia="Calibri" w:hAnsi="Calibri" w:cs="Calibri"/>
          <w:color w:val="2F5496"/>
          <w:sz w:val="32"/>
          <w:szCs w:val="32"/>
        </w:rPr>
      </w:pPr>
      <w:r>
        <w:rPr>
          <w:color w:val="000000"/>
        </w:rPr>
        <w:t>RESOLUCIÓN DEL RECURSO DE REVISIÓN 07611/INFOEM/IP/RR/2024</w:t>
      </w:r>
    </w:p>
    <w:sdt>
      <w:sdtPr>
        <w:id w:val="195201766"/>
        <w:docPartObj>
          <w:docPartGallery w:val="Table of Contents"/>
          <w:docPartUnique/>
        </w:docPartObj>
      </w:sdtPr>
      <w:sdtContent>
        <w:p w14:paraId="553FBB49" w14:textId="77777777" w:rsidR="00253B74" w:rsidRDefault="00B76585">
          <w:pPr>
            <w:pBdr>
              <w:top w:val="nil"/>
              <w:left w:val="nil"/>
              <w:bottom w:val="nil"/>
              <w:right w:val="nil"/>
              <w:between w:val="nil"/>
            </w:pBdr>
            <w:tabs>
              <w:tab w:val="right" w:pos="8921"/>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14:paraId="0900C8DF"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30j0zll">
            <w:r>
              <w:rPr>
                <w:color w:val="000000"/>
              </w:rPr>
              <w:t>I. Presentación de la solicitud de información</w:t>
            </w:r>
            <w:r>
              <w:rPr>
                <w:color w:val="000000"/>
              </w:rPr>
              <w:tab/>
              <w:t>2</w:t>
            </w:r>
          </w:hyperlink>
        </w:p>
        <w:p w14:paraId="7E26D552"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1fob9te">
            <w:r>
              <w:rPr>
                <w:color w:val="000000"/>
              </w:rPr>
              <w:t>II. Respuesta del Sujeto Obligado</w:t>
            </w:r>
            <w:r>
              <w:rPr>
                <w:color w:val="000000"/>
              </w:rPr>
              <w:tab/>
              <w:t>3</w:t>
            </w:r>
          </w:hyperlink>
        </w:p>
        <w:p w14:paraId="32D2A17A"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3znysh7">
            <w:r>
              <w:rPr>
                <w:color w:val="000000"/>
              </w:rPr>
              <w:t>III. Interposición del Recurso de Revisión</w:t>
            </w:r>
            <w:r>
              <w:rPr>
                <w:color w:val="000000"/>
              </w:rPr>
              <w:tab/>
              <w:t>3</w:t>
            </w:r>
          </w:hyperlink>
        </w:p>
        <w:p w14:paraId="5589945E"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2et92p0">
            <w:r>
              <w:rPr>
                <w:color w:val="000000"/>
              </w:rPr>
              <w:t>IV. Trámite del Recurso de Revisión ante este Instituto</w:t>
            </w:r>
            <w:r>
              <w:rPr>
                <w:color w:val="000000"/>
              </w:rPr>
              <w:tab/>
              <w:t>4</w:t>
            </w:r>
          </w:hyperlink>
        </w:p>
        <w:p w14:paraId="1A0DCC31" w14:textId="77777777" w:rsidR="00253B74" w:rsidRDefault="00B76585">
          <w:pPr>
            <w:pBdr>
              <w:top w:val="nil"/>
              <w:left w:val="nil"/>
              <w:bottom w:val="nil"/>
              <w:right w:val="nil"/>
              <w:between w:val="nil"/>
            </w:pBdr>
            <w:tabs>
              <w:tab w:val="right" w:pos="8921"/>
            </w:tabs>
            <w:spacing w:after="100"/>
            <w:ind w:left="440"/>
            <w:rPr>
              <w:rFonts w:ascii="Calibri" w:eastAsia="Calibri" w:hAnsi="Calibri" w:cs="Calibri"/>
              <w:color w:val="000000"/>
            </w:rPr>
          </w:pPr>
          <w:hyperlink w:anchor="_heading=h.tyjcwt">
            <w:r>
              <w:rPr>
                <w:color w:val="000000"/>
              </w:rPr>
              <w:t>a) Turno del Medio de Impugnación.</w:t>
            </w:r>
            <w:r>
              <w:rPr>
                <w:color w:val="000000"/>
              </w:rPr>
              <w:tab/>
              <w:t>4</w:t>
            </w:r>
          </w:hyperlink>
        </w:p>
        <w:p w14:paraId="1E5F38D0" w14:textId="77777777" w:rsidR="00253B74" w:rsidRDefault="00B76585">
          <w:pPr>
            <w:pBdr>
              <w:top w:val="nil"/>
              <w:left w:val="nil"/>
              <w:bottom w:val="nil"/>
              <w:right w:val="nil"/>
              <w:between w:val="nil"/>
            </w:pBdr>
            <w:tabs>
              <w:tab w:val="right" w:pos="8921"/>
            </w:tabs>
            <w:spacing w:after="100"/>
            <w:ind w:left="440"/>
            <w:rPr>
              <w:rFonts w:ascii="Calibri" w:eastAsia="Calibri" w:hAnsi="Calibri" w:cs="Calibri"/>
              <w:color w:val="000000"/>
            </w:rPr>
          </w:pPr>
          <w:hyperlink w:anchor="_heading=h.3dy6vkm">
            <w:r>
              <w:rPr>
                <w:color w:val="000000"/>
              </w:rPr>
              <w:t>b) Admisión del Recurso de Revisión.</w:t>
            </w:r>
            <w:r>
              <w:rPr>
                <w:color w:val="000000"/>
              </w:rPr>
              <w:tab/>
              <w:t>4</w:t>
            </w:r>
          </w:hyperlink>
        </w:p>
        <w:p w14:paraId="46134234" w14:textId="77777777" w:rsidR="00253B74" w:rsidRDefault="00B76585">
          <w:pPr>
            <w:pBdr>
              <w:top w:val="nil"/>
              <w:left w:val="nil"/>
              <w:bottom w:val="nil"/>
              <w:right w:val="nil"/>
              <w:between w:val="nil"/>
            </w:pBdr>
            <w:tabs>
              <w:tab w:val="right" w:pos="8921"/>
            </w:tabs>
            <w:spacing w:after="100"/>
            <w:ind w:left="440"/>
            <w:rPr>
              <w:rFonts w:ascii="Calibri" w:eastAsia="Calibri" w:hAnsi="Calibri" w:cs="Calibri"/>
              <w:color w:val="000000"/>
            </w:rPr>
          </w:pPr>
          <w:hyperlink w:anchor="_heading=h.1t3h5sf">
            <w:r>
              <w:rPr>
                <w:color w:val="000000"/>
              </w:rPr>
              <w:t>c) Informe Justificado.</w:t>
            </w:r>
            <w:r>
              <w:rPr>
                <w:color w:val="000000"/>
              </w:rPr>
              <w:tab/>
              <w:t>4</w:t>
            </w:r>
          </w:hyperlink>
        </w:p>
        <w:p w14:paraId="6BDF9908" w14:textId="77777777" w:rsidR="00253B74" w:rsidRDefault="00B76585">
          <w:pPr>
            <w:pBdr>
              <w:top w:val="nil"/>
              <w:left w:val="nil"/>
              <w:bottom w:val="nil"/>
              <w:right w:val="nil"/>
              <w:between w:val="nil"/>
            </w:pBdr>
            <w:tabs>
              <w:tab w:val="right" w:pos="8921"/>
            </w:tabs>
            <w:spacing w:after="100"/>
            <w:ind w:left="440"/>
            <w:rPr>
              <w:rFonts w:ascii="Calibri" w:eastAsia="Calibri" w:hAnsi="Calibri" w:cs="Calibri"/>
              <w:color w:val="000000"/>
            </w:rPr>
          </w:pPr>
          <w:hyperlink w:anchor="_heading=h.4d34og8">
            <w:r>
              <w:rPr>
                <w:color w:val="000000"/>
              </w:rPr>
              <w:t>d) Vista del Informe Justificado.</w:t>
            </w:r>
            <w:r>
              <w:rPr>
                <w:color w:val="000000"/>
              </w:rPr>
              <w:tab/>
              <w:t>5</w:t>
            </w:r>
          </w:hyperlink>
        </w:p>
        <w:p w14:paraId="7BFEC76E" w14:textId="77777777" w:rsidR="00253B74" w:rsidRDefault="00B76585">
          <w:pPr>
            <w:pBdr>
              <w:top w:val="nil"/>
              <w:left w:val="nil"/>
              <w:bottom w:val="nil"/>
              <w:right w:val="nil"/>
              <w:between w:val="nil"/>
            </w:pBdr>
            <w:tabs>
              <w:tab w:val="right" w:pos="8921"/>
            </w:tabs>
            <w:spacing w:after="100"/>
            <w:ind w:left="440"/>
            <w:rPr>
              <w:rFonts w:ascii="Calibri" w:eastAsia="Calibri" w:hAnsi="Calibri" w:cs="Calibri"/>
              <w:color w:val="000000"/>
            </w:rPr>
          </w:pPr>
          <w:hyperlink w:anchor="_heading=h.2s8eyo1">
            <w:r>
              <w:rPr>
                <w:color w:val="000000"/>
              </w:rPr>
              <w:t>e) Cierre de instrucción.</w:t>
            </w:r>
            <w:r>
              <w:rPr>
                <w:color w:val="000000"/>
              </w:rPr>
              <w:tab/>
              <w:t>5</w:t>
            </w:r>
          </w:hyperlink>
        </w:p>
        <w:p w14:paraId="7835CD28" w14:textId="77777777" w:rsidR="00253B74" w:rsidRDefault="00B76585">
          <w:pPr>
            <w:pBdr>
              <w:top w:val="nil"/>
              <w:left w:val="nil"/>
              <w:bottom w:val="nil"/>
              <w:right w:val="nil"/>
              <w:between w:val="nil"/>
            </w:pBdr>
            <w:tabs>
              <w:tab w:val="right" w:pos="8921"/>
            </w:tabs>
            <w:spacing w:after="100"/>
            <w:rPr>
              <w:rFonts w:ascii="Calibri" w:eastAsia="Calibri" w:hAnsi="Calibri" w:cs="Calibri"/>
              <w:color w:val="000000"/>
            </w:rPr>
          </w:pPr>
          <w:hyperlink w:anchor="_heading=h.17dp8vu">
            <w:r>
              <w:rPr>
                <w:color w:val="000000"/>
              </w:rPr>
              <w:t>C O N S I D E R A N D O S</w:t>
            </w:r>
            <w:r>
              <w:rPr>
                <w:color w:val="000000"/>
              </w:rPr>
              <w:tab/>
              <w:t>5</w:t>
            </w:r>
          </w:hyperlink>
        </w:p>
        <w:p w14:paraId="430C5DA9"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3rdcrjn">
            <w:r>
              <w:rPr>
                <w:color w:val="000000"/>
              </w:rPr>
              <w:t>PRIMERO. Competencia</w:t>
            </w:r>
            <w:r>
              <w:rPr>
                <w:color w:val="000000"/>
              </w:rPr>
              <w:tab/>
              <w:t>6</w:t>
            </w:r>
          </w:hyperlink>
        </w:p>
        <w:p w14:paraId="4C71E60C"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lnxbz9">
            <w:r>
              <w:rPr>
                <w:color w:val="000000"/>
              </w:rPr>
              <w:t>SEGUNDO. Causales de improcedencia y Sobreseimiento</w:t>
            </w:r>
            <w:r>
              <w:rPr>
                <w:color w:val="000000"/>
              </w:rPr>
              <w:tab/>
              <w:t>6</w:t>
            </w:r>
          </w:hyperlink>
        </w:p>
        <w:p w14:paraId="48934967" w14:textId="77777777" w:rsidR="00253B74" w:rsidRDefault="00B76585">
          <w:pPr>
            <w:pBdr>
              <w:top w:val="nil"/>
              <w:left w:val="nil"/>
              <w:bottom w:val="nil"/>
              <w:right w:val="nil"/>
              <w:between w:val="nil"/>
            </w:pBdr>
            <w:tabs>
              <w:tab w:val="right" w:pos="8921"/>
            </w:tabs>
            <w:spacing w:after="100"/>
            <w:ind w:left="440"/>
            <w:rPr>
              <w:rFonts w:ascii="Calibri" w:eastAsia="Calibri" w:hAnsi="Calibri" w:cs="Calibri"/>
              <w:color w:val="000000"/>
            </w:rPr>
          </w:pPr>
          <w:hyperlink w:anchor="_heading=h.35nkun2">
            <w:r>
              <w:rPr>
                <w:color w:val="000000"/>
              </w:rPr>
              <w:t>Causales de improcedencia</w:t>
            </w:r>
            <w:r>
              <w:rPr>
                <w:color w:val="000000"/>
              </w:rPr>
              <w:tab/>
              <w:t>6</w:t>
            </w:r>
          </w:hyperlink>
        </w:p>
        <w:p w14:paraId="5573D599" w14:textId="77777777" w:rsidR="00253B74" w:rsidRDefault="00B76585">
          <w:pPr>
            <w:pBdr>
              <w:top w:val="nil"/>
              <w:left w:val="nil"/>
              <w:bottom w:val="nil"/>
              <w:right w:val="nil"/>
              <w:between w:val="nil"/>
            </w:pBdr>
            <w:tabs>
              <w:tab w:val="right" w:pos="8921"/>
            </w:tabs>
            <w:spacing w:after="100"/>
            <w:ind w:left="440"/>
            <w:rPr>
              <w:rFonts w:ascii="Calibri" w:eastAsia="Calibri" w:hAnsi="Calibri" w:cs="Calibri"/>
              <w:color w:val="000000"/>
            </w:rPr>
          </w:pPr>
          <w:hyperlink w:anchor="_heading=h.1ksv4uv">
            <w:r>
              <w:rPr>
                <w:color w:val="000000"/>
              </w:rPr>
              <w:t>Causales de sobreseimiento</w:t>
            </w:r>
            <w:r>
              <w:rPr>
                <w:color w:val="000000"/>
              </w:rPr>
              <w:tab/>
              <w:t>7</w:t>
            </w:r>
          </w:hyperlink>
        </w:p>
        <w:p w14:paraId="57D63EF9"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44sinio">
            <w:r>
              <w:rPr>
                <w:color w:val="000000"/>
              </w:rPr>
              <w:t>TERCERO. Determinación de la Controversia</w:t>
            </w:r>
            <w:r>
              <w:rPr>
                <w:color w:val="000000"/>
              </w:rPr>
              <w:tab/>
              <w:t>8</w:t>
            </w:r>
          </w:hyperlink>
        </w:p>
        <w:p w14:paraId="513AC1FA"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2jxsxqh">
            <w:r>
              <w:rPr>
                <w:color w:val="000000"/>
              </w:rPr>
              <w:t>CUARTO. Marco normativo aplicable en materia de transparencia y acceso a la información pública</w:t>
            </w:r>
            <w:r>
              <w:rPr>
                <w:color w:val="000000"/>
              </w:rPr>
              <w:tab/>
              <w:t>9</w:t>
            </w:r>
          </w:hyperlink>
        </w:p>
        <w:p w14:paraId="563086C2"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z337ya">
            <w:r>
              <w:rPr>
                <w:color w:val="000000"/>
              </w:rPr>
              <w:t>QUINTO. Estudio de Fondo</w:t>
            </w:r>
            <w:r>
              <w:rPr>
                <w:color w:val="000000"/>
              </w:rPr>
              <w:tab/>
              <w:t>10</w:t>
            </w:r>
          </w:hyperlink>
        </w:p>
        <w:p w14:paraId="1EAEB2BF"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1y810tw">
            <w:r>
              <w:rPr>
                <w:color w:val="000000"/>
              </w:rPr>
              <w:t>SEXTO. Decisión</w:t>
            </w:r>
            <w:r>
              <w:rPr>
                <w:color w:val="000000"/>
              </w:rPr>
              <w:tab/>
              <w:t>27</w:t>
            </w:r>
          </w:hyperlink>
        </w:p>
        <w:p w14:paraId="2F0BFCF0" w14:textId="77777777" w:rsidR="00253B74" w:rsidRDefault="00B76585">
          <w:pPr>
            <w:pBdr>
              <w:top w:val="nil"/>
              <w:left w:val="nil"/>
              <w:bottom w:val="nil"/>
              <w:right w:val="nil"/>
              <w:between w:val="nil"/>
            </w:pBdr>
            <w:tabs>
              <w:tab w:val="right" w:pos="8921"/>
            </w:tabs>
            <w:spacing w:after="100"/>
            <w:ind w:left="220"/>
            <w:rPr>
              <w:rFonts w:ascii="Calibri" w:eastAsia="Calibri" w:hAnsi="Calibri" w:cs="Calibri"/>
              <w:color w:val="000000"/>
            </w:rPr>
          </w:pPr>
          <w:hyperlink w:anchor="_heading=h.4i7ojhp">
            <w:r>
              <w:rPr>
                <w:color w:val="000000"/>
              </w:rPr>
              <w:t>SÉPTIMO. Vista a la Secretaría Técnica del Pleno</w:t>
            </w:r>
            <w:r>
              <w:rPr>
                <w:color w:val="000000"/>
              </w:rPr>
              <w:tab/>
              <w:t>27</w:t>
            </w:r>
          </w:hyperlink>
        </w:p>
        <w:p w14:paraId="79F35BD3" w14:textId="77777777" w:rsidR="00253B74" w:rsidRDefault="00B76585">
          <w:pPr>
            <w:pBdr>
              <w:top w:val="nil"/>
              <w:left w:val="nil"/>
              <w:bottom w:val="nil"/>
              <w:right w:val="nil"/>
              <w:between w:val="nil"/>
            </w:pBdr>
            <w:tabs>
              <w:tab w:val="right" w:pos="8921"/>
            </w:tabs>
            <w:spacing w:after="100"/>
            <w:ind w:left="440"/>
            <w:rPr>
              <w:rFonts w:ascii="Calibri" w:eastAsia="Calibri" w:hAnsi="Calibri" w:cs="Calibri"/>
              <w:color w:val="000000"/>
            </w:rPr>
          </w:pPr>
          <w:hyperlink w:anchor="_heading=h.2xcytpi">
            <w:r>
              <w:rPr>
                <w:color w:val="000000"/>
              </w:rPr>
              <w:t>Términos de la Resolución para conocimiento del Particular</w:t>
            </w:r>
            <w:r>
              <w:rPr>
                <w:color w:val="000000"/>
              </w:rPr>
              <w:tab/>
              <w:t>28</w:t>
            </w:r>
          </w:hyperlink>
        </w:p>
        <w:p w14:paraId="0816A94A" w14:textId="77777777" w:rsidR="00253B74" w:rsidRDefault="00B76585">
          <w:pPr>
            <w:pBdr>
              <w:top w:val="nil"/>
              <w:left w:val="nil"/>
              <w:bottom w:val="nil"/>
              <w:right w:val="nil"/>
              <w:between w:val="nil"/>
            </w:pBdr>
            <w:tabs>
              <w:tab w:val="right" w:pos="8921"/>
            </w:tabs>
            <w:spacing w:after="100"/>
            <w:rPr>
              <w:rFonts w:ascii="Calibri" w:eastAsia="Calibri" w:hAnsi="Calibri" w:cs="Calibri"/>
              <w:color w:val="000000"/>
            </w:rPr>
          </w:pPr>
          <w:hyperlink w:anchor="_heading=h.1ci93xb">
            <w:r>
              <w:rPr>
                <w:color w:val="000000"/>
              </w:rPr>
              <w:t>R E S U E L V E</w:t>
            </w:r>
            <w:r>
              <w:rPr>
                <w:color w:val="000000"/>
              </w:rPr>
              <w:tab/>
              <w:t>29</w:t>
            </w:r>
          </w:hyperlink>
        </w:p>
        <w:p w14:paraId="68692444" w14:textId="77777777" w:rsidR="00253B74" w:rsidRDefault="00B76585">
          <w:r>
            <w:fldChar w:fldCharType="end"/>
          </w:r>
        </w:p>
      </w:sdtContent>
    </w:sdt>
    <w:p w14:paraId="7DF0AA62" w14:textId="77777777" w:rsidR="00253B74" w:rsidRDefault="00253B74">
      <w:pPr>
        <w:tabs>
          <w:tab w:val="left" w:pos="8931"/>
        </w:tabs>
        <w:spacing w:after="0" w:line="360" w:lineRule="auto"/>
      </w:pPr>
    </w:p>
    <w:p w14:paraId="14C57A33" w14:textId="77777777" w:rsidR="00253B74" w:rsidRDefault="00B76585">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veintinueve de enero de dos mil veinticinco. </w:t>
      </w:r>
    </w:p>
    <w:p w14:paraId="76EDAF18" w14:textId="77777777" w:rsidR="00253B74" w:rsidRDefault="00253B74">
      <w:pPr>
        <w:spacing w:after="0" w:line="360" w:lineRule="auto"/>
        <w:rPr>
          <w:b/>
        </w:rPr>
      </w:pPr>
    </w:p>
    <w:p w14:paraId="1763313E" w14:textId="060003EF" w:rsidR="00253B74" w:rsidRDefault="00B76585">
      <w:pPr>
        <w:spacing w:after="0" w:line="360" w:lineRule="auto"/>
      </w:pPr>
      <w:r>
        <w:rPr>
          <w:b/>
        </w:rPr>
        <w:t xml:space="preserve">VISTO </w:t>
      </w:r>
      <w:r>
        <w:t xml:space="preserve">el expediente conformado con motivo del Recurso de Revisión </w:t>
      </w:r>
      <w:r w:rsidRPr="00DC359F">
        <w:rPr>
          <w:b/>
        </w:rPr>
        <w:t>07611/INFOEM/IP/RR/2024</w:t>
      </w:r>
      <w:r>
        <w:t xml:space="preserve">, interpuesto por </w:t>
      </w:r>
      <w:r w:rsidR="00477F69" w:rsidRPr="00477F69">
        <w:rPr>
          <w:b/>
          <w:highlight w:val="black"/>
        </w:rPr>
        <w:t>XXXXXXXXXXXXXXXX</w:t>
      </w:r>
      <w:r w:rsidRPr="00DC359F">
        <w:rPr>
          <w:b/>
        </w:rPr>
        <w:t>,</w:t>
      </w:r>
      <w:r>
        <w:t xml:space="preserve"> en lo sucesivo, la persona </w:t>
      </w:r>
      <w:r>
        <w:rPr>
          <w:color w:val="0D0D0D"/>
        </w:rPr>
        <w:t xml:space="preserve">Recurrente o Particular, en contra de la falta de respuesta del Sujeto Obligado, </w:t>
      </w:r>
      <w:r w:rsidRPr="00DC359F">
        <w:rPr>
          <w:b/>
          <w:color w:val="0D0D0D"/>
        </w:rPr>
        <w:t>Ayuntamiento de Ixtapaluca</w:t>
      </w:r>
      <w:r>
        <w:rPr>
          <w:color w:val="0D0D0D"/>
        </w:rPr>
        <w:t>, a la solicitud de acceso a la información pública</w:t>
      </w:r>
      <w:r>
        <w:rPr>
          <w:b/>
          <w:color w:val="FF0000"/>
        </w:rPr>
        <w:t> </w:t>
      </w:r>
      <w:r>
        <w:rPr>
          <w:color w:val="0D0D0D"/>
        </w:rPr>
        <w:t>00523/IXTAPALU/IP/2024, se emite la presente Resolución, con base en los Antecedentes y Considerandos que se exponen a continuación:</w:t>
      </w:r>
    </w:p>
    <w:p w14:paraId="5364E560" w14:textId="77777777" w:rsidR="00253B74" w:rsidRDefault="00253B74">
      <w:pPr>
        <w:spacing w:after="0" w:line="360" w:lineRule="auto"/>
        <w:rPr>
          <w:b/>
        </w:rPr>
      </w:pPr>
    </w:p>
    <w:p w14:paraId="60C06326" w14:textId="77777777" w:rsidR="00253B74" w:rsidRDefault="00B76585">
      <w:pPr>
        <w:pStyle w:val="Ttulo1"/>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 N T E C E D E N T E S</w:t>
      </w:r>
    </w:p>
    <w:p w14:paraId="4FA88963" w14:textId="77777777" w:rsidR="00253B74" w:rsidRDefault="00253B74">
      <w:pPr>
        <w:spacing w:after="0" w:line="360" w:lineRule="auto"/>
      </w:pPr>
    </w:p>
    <w:p w14:paraId="0FAB79FA" w14:textId="77777777" w:rsidR="00253B74" w:rsidRDefault="00B76585">
      <w:pPr>
        <w:pStyle w:val="Ttulo2"/>
        <w:rPr>
          <w:rFonts w:ascii="Palatino Linotype" w:eastAsia="Palatino Linotype" w:hAnsi="Palatino Linotype" w:cs="Palatino Linotype"/>
          <w:b/>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I. Presentación de la solicitud de información</w:t>
      </w:r>
    </w:p>
    <w:p w14:paraId="40732B96" w14:textId="77777777" w:rsidR="00253B74" w:rsidRDefault="00253B74">
      <w:pPr>
        <w:spacing w:after="0" w:line="360" w:lineRule="auto"/>
        <w:rPr>
          <w:b/>
        </w:rPr>
      </w:pPr>
    </w:p>
    <w:p w14:paraId="1D5BE313" w14:textId="77777777" w:rsidR="00253B74" w:rsidRDefault="00B76585">
      <w:pPr>
        <w:spacing w:after="0" w:line="360" w:lineRule="auto"/>
      </w:pPr>
      <w:r>
        <w:t>El quince de noviembre de dos mil veinticuatro, se presentó una solicitud de información del Particular, a través del Sistema de Acceso a la Información Mexiquense (SAIMEX), ante el</w:t>
      </w:r>
      <w:r>
        <w:rPr>
          <w:color w:val="000000"/>
        </w:rPr>
        <w:t xml:space="preserve"> Ayuntamiento de Ixtapaluca</w:t>
      </w:r>
      <w:r>
        <w:t>, en los siguientes términos:</w:t>
      </w:r>
    </w:p>
    <w:p w14:paraId="6923119D" w14:textId="77777777" w:rsidR="00253B74" w:rsidRDefault="00253B74">
      <w:pPr>
        <w:spacing w:after="0" w:line="360" w:lineRule="auto"/>
      </w:pPr>
    </w:p>
    <w:p w14:paraId="01679958" w14:textId="77777777" w:rsidR="00253B74" w:rsidRDefault="00B76585">
      <w:pPr>
        <w:tabs>
          <w:tab w:val="left" w:pos="4667"/>
        </w:tabs>
        <w:spacing w:after="0" w:line="360" w:lineRule="auto"/>
        <w:ind w:left="567" w:right="567"/>
        <w:rPr>
          <w:b/>
          <w:i/>
          <w:sz w:val="20"/>
          <w:szCs w:val="20"/>
        </w:rPr>
      </w:pPr>
      <w:r>
        <w:rPr>
          <w:b/>
          <w:i/>
          <w:sz w:val="20"/>
          <w:szCs w:val="20"/>
        </w:rPr>
        <w:t>“DESCRIPCIÓN CLARA Y PRECISA DE LA INFORMACIÓN SOLICITADA</w:t>
      </w:r>
    </w:p>
    <w:p w14:paraId="7E726842" w14:textId="77777777" w:rsidR="00253B74" w:rsidRDefault="00B76585">
      <w:pPr>
        <w:spacing w:after="0" w:line="360" w:lineRule="auto"/>
        <w:ind w:left="567" w:right="567"/>
        <w:rPr>
          <w:i/>
          <w:sz w:val="20"/>
          <w:szCs w:val="20"/>
        </w:rPr>
      </w:pPr>
      <w:r>
        <w:rPr>
          <w:i/>
          <w:sz w:val="20"/>
          <w:szCs w:val="20"/>
        </w:rPr>
        <w:t xml:space="preserve">Solicito al Gobierno de Ixtapaluca, los contratos con sus anexos de la compra, arrendamiento o subcontratación de los equipos de </w:t>
      </w:r>
      <w:proofErr w:type="spellStart"/>
      <w:r>
        <w:rPr>
          <w:i/>
          <w:sz w:val="20"/>
          <w:szCs w:val="20"/>
        </w:rPr>
        <w:t>computo</w:t>
      </w:r>
      <w:proofErr w:type="spellEnd"/>
      <w:r>
        <w:rPr>
          <w:i/>
          <w:sz w:val="20"/>
          <w:szCs w:val="20"/>
        </w:rPr>
        <w:t xml:space="preserve">, softwares, vehículos, </w:t>
      </w:r>
      <w:proofErr w:type="spellStart"/>
      <w:r>
        <w:rPr>
          <w:i/>
          <w:sz w:val="20"/>
          <w:szCs w:val="20"/>
        </w:rPr>
        <w:t>lamparas</w:t>
      </w:r>
      <w:proofErr w:type="spellEnd"/>
      <w:r>
        <w:rPr>
          <w:i/>
          <w:sz w:val="20"/>
          <w:szCs w:val="20"/>
        </w:rPr>
        <w:t xml:space="preserve"> de alumbrado público, uniformes en general realizados durante la administración 2022-2024 de los años 2022, 2023 y 2024.” </w:t>
      </w:r>
    </w:p>
    <w:p w14:paraId="06169B06" w14:textId="77777777" w:rsidR="00253B74" w:rsidRDefault="00253B74">
      <w:pPr>
        <w:spacing w:after="0" w:line="360" w:lineRule="auto"/>
        <w:ind w:left="567" w:right="567"/>
        <w:rPr>
          <w:i/>
          <w:color w:val="000000"/>
          <w:sz w:val="20"/>
          <w:szCs w:val="20"/>
        </w:rPr>
      </w:pPr>
    </w:p>
    <w:p w14:paraId="2C45FB8A" w14:textId="77777777" w:rsidR="00253B74" w:rsidRDefault="00253B74">
      <w:pPr>
        <w:tabs>
          <w:tab w:val="left" w:pos="4667"/>
        </w:tabs>
        <w:spacing w:after="0" w:line="360" w:lineRule="auto"/>
        <w:ind w:left="567" w:right="567"/>
        <w:rPr>
          <w:b/>
          <w:i/>
          <w:color w:val="000000"/>
          <w:sz w:val="20"/>
          <w:szCs w:val="20"/>
        </w:rPr>
      </w:pPr>
    </w:p>
    <w:p w14:paraId="13CFA61E" w14:textId="77777777" w:rsidR="00253B74" w:rsidRDefault="00B76585">
      <w:pPr>
        <w:tabs>
          <w:tab w:val="left" w:pos="4667"/>
        </w:tabs>
        <w:spacing w:after="0" w:line="360" w:lineRule="auto"/>
        <w:ind w:left="567" w:right="567"/>
        <w:rPr>
          <w:b/>
          <w:i/>
          <w:color w:val="000000"/>
          <w:sz w:val="20"/>
          <w:szCs w:val="20"/>
        </w:rPr>
      </w:pPr>
      <w:r>
        <w:rPr>
          <w:b/>
          <w:i/>
          <w:color w:val="000000"/>
          <w:sz w:val="20"/>
          <w:szCs w:val="20"/>
        </w:rPr>
        <w:lastRenderedPageBreak/>
        <w:t>“MODALIDAD DE ENTREGA</w:t>
      </w:r>
    </w:p>
    <w:p w14:paraId="20247D3B" w14:textId="77777777" w:rsidR="00253B74" w:rsidRDefault="00B76585">
      <w:pPr>
        <w:spacing w:after="0" w:line="360" w:lineRule="auto"/>
        <w:ind w:left="567" w:right="567"/>
        <w:rPr>
          <w:i/>
          <w:color w:val="000000"/>
          <w:sz w:val="20"/>
          <w:szCs w:val="20"/>
        </w:rPr>
      </w:pPr>
      <w:r>
        <w:rPr>
          <w:i/>
          <w:color w:val="000000"/>
          <w:sz w:val="20"/>
          <w:szCs w:val="20"/>
        </w:rPr>
        <w:t xml:space="preserve">A través del SAIMEX” </w:t>
      </w:r>
    </w:p>
    <w:p w14:paraId="32E4F9FB" w14:textId="77777777" w:rsidR="00253B74" w:rsidRDefault="00253B74">
      <w:pPr>
        <w:tabs>
          <w:tab w:val="left" w:pos="4667"/>
        </w:tabs>
        <w:spacing w:after="0" w:line="360" w:lineRule="auto"/>
        <w:ind w:right="567"/>
        <w:rPr>
          <w:b/>
          <w:color w:val="000000"/>
        </w:rPr>
      </w:pPr>
    </w:p>
    <w:p w14:paraId="1556D8D8" w14:textId="77777777" w:rsidR="00253B74" w:rsidRDefault="00B76585">
      <w:pPr>
        <w:pStyle w:val="Ttulo2"/>
        <w:rPr>
          <w:rFonts w:ascii="Palatino Linotype" w:eastAsia="Palatino Linotype" w:hAnsi="Palatino Linotype" w:cs="Palatino Linotype"/>
          <w:b/>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II. Respuesta del Sujeto Obligado</w:t>
      </w:r>
    </w:p>
    <w:p w14:paraId="3FC994F6" w14:textId="77777777" w:rsidR="00253B74" w:rsidRDefault="00253B74">
      <w:pPr>
        <w:spacing w:after="0" w:line="360" w:lineRule="auto"/>
        <w:rPr>
          <w:b/>
        </w:rPr>
      </w:pPr>
    </w:p>
    <w:p w14:paraId="33646793" w14:textId="77777777" w:rsidR="00253B74" w:rsidRDefault="00B76585">
      <w:pPr>
        <w:spacing w:after="0" w:line="360" w:lineRule="auto"/>
        <w:rPr>
          <w:color w:val="000000"/>
        </w:rPr>
      </w:pPr>
      <w:r>
        <w:rPr>
          <w:color w:val="000000"/>
        </w:rPr>
        <w:t xml:space="preserve">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Pr>
          <w:b/>
          <w:color w:val="000000"/>
        </w:rPr>
        <w:t>Ayuntamiento de Ixtapaluca</w:t>
      </w:r>
      <w:r>
        <w:rPr>
          <w:color w:val="000000"/>
        </w:rPr>
        <w:t xml:space="preserve">, omitió dar respuesta a la solicitud de información, por lo que </w:t>
      </w:r>
      <w:r>
        <w:rPr>
          <w:b/>
          <w:color w:val="000000"/>
        </w:rPr>
        <w:t>se configura la negativa ficta</w:t>
      </w:r>
      <w:r>
        <w:rPr>
          <w:color w:val="000000"/>
        </w:rPr>
        <w:t xml:space="preserve"> a entregar información, prevista en los artículos 166, párrafo cuarto y 178, párrafo segundo, de la Ley de Transparencia y Acceso a la Información Pública del Estado de México y Municipios.</w:t>
      </w:r>
    </w:p>
    <w:p w14:paraId="2DE653D0" w14:textId="77777777" w:rsidR="00253B74" w:rsidRDefault="00253B74">
      <w:pPr>
        <w:spacing w:after="0" w:line="360" w:lineRule="auto"/>
        <w:rPr>
          <w:color w:val="000000"/>
        </w:rPr>
      </w:pPr>
    </w:p>
    <w:p w14:paraId="782A0B21" w14:textId="77777777" w:rsidR="00253B74" w:rsidRDefault="00B76585">
      <w:pPr>
        <w:pStyle w:val="Ttulo2"/>
        <w:rPr>
          <w:rFonts w:ascii="Palatino Linotype" w:eastAsia="Palatino Linotype" w:hAnsi="Palatino Linotype" w:cs="Palatino Linotype"/>
          <w:b/>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III. Interposición del Recurso de Revisión</w:t>
      </w:r>
    </w:p>
    <w:p w14:paraId="7FF9F682" w14:textId="77777777" w:rsidR="00253B74" w:rsidRDefault="00253B74">
      <w:pPr>
        <w:spacing w:after="0" w:line="360" w:lineRule="auto"/>
        <w:rPr>
          <w:color w:val="000000"/>
        </w:rPr>
      </w:pPr>
    </w:p>
    <w:p w14:paraId="3372CD71" w14:textId="77777777" w:rsidR="00253B74" w:rsidRDefault="00B76585">
      <w:pPr>
        <w:spacing w:after="0" w:line="360" w:lineRule="auto"/>
      </w:pPr>
      <w:r>
        <w:rPr>
          <w:color w:val="000000"/>
        </w:rPr>
        <w:t>El once de diciembre de dos mil veinticuatro, se tuvo por recibido en este Instituto, a través del Sistema de Acceso a la Información Mexiquense (SAIMEX), el Recurso de Revisión interpuesto por la persona Recurrente, en contra de la falta de respuesta del Sujeto Obligado,</w:t>
      </w:r>
      <w:r>
        <w:rPr>
          <w:b/>
        </w:rPr>
        <w:t xml:space="preserve"> </w:t>
      </w:r>
      <w:r>
        <w:t>en los siguientes términos:</w:t>
      </w:r>
    </w:p>
    <w:p w14:paraId="56403766" w14:textId="77777777" w:rsidR="00253B74" w:rsidRDefault="00253B74">
      <w:pPr>
        <w:spacing w:after="0" w:line="360" w:lineRule="auto"/>
        <w:ind w:left="567" w:right="567"/>
        <w:rPr>
          <w:b/>
          <w:i/>
          <w:color w:val="000000"/>
          <w:sz w:val="20"/>
          <w:szCs w:val="20"/>
        </w:rPr>
      </w:pPr>
    </w:p>
    <w:p w14:paraId="789A2B9A" w14:textId="77777777" w:rsidR="00253B74" w:rsidRDefault="00B76585">
      <w:pPr>
        <w:spacing w:after="0" w:line="360" w:lineRule="auto"/>
        <w:ind w:left="567" w:right="567"/>
        <w:rPr>
          <w:b/>
          <w:i/>
          <w:color w:val="000000"/>
          <w:sz w:val="20"/>
          <w:szCs w:val="20"/>
        </w:rPr>
      </w:pPr>
      <w:r>
        <w:rPr>
          <w:b/>
          <w:i/>
          <w:color w:val="000000"/>
          <w:sz w:val="20"/>
          <w:szCs w:val="20"/>
        </w:rPr>
        <w:t>ACTO IMPUGNADO</w:t>
      </w:r>
    </w:p>
    <w:p w14:paraId="4D87B432" w14:textId="77777777" w:rsidR="00253B74" w:rsidRDefault="00B76585">
      <w:pPr>
        <w:spacing w:after="0" w:line="360" w:lineRule="auto"/>
        <w:ind w:left="567" w:right="567"/>
        <w:rPr>
          <w:i/>
          <w:color w:val="000000"/>
          <w:sz w:val="20"/>
          <w:szCs w:val="20"/>
        </w:rPr>
      </w:pPr>
      <w:r>
        <w:rPr>
          <w:i/>
          <w:color w:val="000000"/>
          <w:sz w:val="20"/>
          <w:szCs w:val="20"/>
        </w:rPr>
        <w:t xml:space="preserve">No se </w:t>
      </w:r>
      <w:proofErr w:type="spellStart"/>
      <w:r>
        <w:rPr>
          <w:i/>
          <w:color w:val="000000"/>
          <w:sz w:val="20"/>
          <w:szCs w:val="20"/>
        </w:rPr>
        <w:t>entegó</w:t>
      </w:r>
      <w:proofErr w:type="spellEnd"/>
      <w:r>
        <w:rPr>
          <w:i/>
          <w:color w:val="000000"/>
          <w:sz w:val="20"/>
          <w:szCs w:val="20"/>
        </w:rPr>
        <w:t xml:space="preserve"> la información solicitada.”</w:t>
      </w:r>
    </w:p>
    <w:p w14:paraId="6A18C8BD" w14:textId="77777777" w:rsidR="00253B74" w:rsidRDefault="00253B74">
      <w:pPr>
        <w:spacing w:after="0" w:line="360" w:lineRule="auto"/>
        <w:ind w:right="567"/>
        <w:rPr>
          <w:i/>
          <w:color w:val="000000"/>
          <w:sz w:val="20"/>
          <w:szCs w:val="20"/>
        </w:rPr>
      </w:pPr>
    </w:p>
    <w:p w14:paraId="53D9EE0D" w14:textId="77777777" w:rsidR="00253B74" w:rsidRDefault="00B76585">
      <w:pPr>
        <w:spacing w:after="0" w:line="360" w:lineRule="auto"/>
        <w:ind w:left="567" w:right="567"/>
        <w:rPr>
          <w:b/>
          <w:i/>
          <w:color w:val="000000"/>
          <w:sz w:val="20"/>
          <w:szCs w:val="20"/>
        </w:rPr>
      </w:pPr>
      <w:r>
        <w:rPr>
          <w:b/>
          <w:i/>
          <w:color w:val="000000"/>
          <w:sz w:val="20"/>
          <w:szCs w:val="20"/>
        </w:rPr>
        <w:t>RAZONES O MOTIVOS DE LA INCONFORMIDAD</w:t>
      </w:r>
    </w:p>
    <w:p w14:paraId="6A8E3812" w14:textId="77777777" w:rsidR="00253B74" w:rsidRDefault="00B76585">
      <w:pPr>
        <w:spacing w:after="0" w:line="360" w:lineRule="auto"/>
        <w:ind w:left="567" w:right="567"/>
        <w:rPr>
          <w:b/>
          <w:i/>
          <w:color w:val="000000"/>
          <w:sz w:val="20"/>
          <w:szCs w:val="20"/>
        </w:rPr>
      </w:pPr>
      <w:r>
        <w:rPr>
          <w:i/>
          <w:color w:val="000000"/>
          <w:sz w:val="20"/>
          <w:szCs w:val="20"/>
        </w:rPr>
        <w:t>No se entregó la información solicitada.”</w:t>
      </w:r>
    </w:p>
    <w:p w14:paraId="6D09F216" w14:textId="77777777" w:rsidR="00253B74" w:rsidRDefault="00253B74">
      <w:pPr>
        <w:spacing w:after="0" w:line="360" w:lineRule="auto"/>
        <w:rPr>
          <w:b/>
          <w:color w:val="000000"/>
        </w:rPr>
      </w:pPr>
    </w:p>
    <w:p w14:paraId="3199373F" w14:textId="77777777" w:rsidR="00253B74" w:rsidRDefault="00B76585">
      <w:pPr>
        <w:pStyle w:val="Ttulo2"/>
        <w:rPr>
          <w:rFonts w:ascii="Palatino Linotype" w:eastAsia="Palatino Linotype" w:hAnsi="Palatino Linotype" w:cs="Palatino Linotype"/>
          <w:b/>
          <w:color w:val="000000"/>
          <w:sz w:val="22"/>
          <w:szCs w:val="22"/>
        </w:rPr>
      </w:pPr>
      <w:bookmarkStart w:id="4" w:name="_heading=h.2et92p0" w:colFirst="0" w:colLast="0"/>
      <w:bookmarkEnd w:id="4"/>
      <w:r>
        <w:rPr>
          <w:rFonts w:ascii="Palatino Linotype" w:eastAsia="Palatino Linotype" w:hAnsi="Palatino Linotype" w:cs="Palatino Linotype"/>
          <w:b/>
          <w:color w:val="000000"/>
          <w:sz w:val="22"/>
          <w:szCs w:val="22"/>
        </w:rPr>
        <w:lastRenderedPageBreak/>
        <w:t>IV. Trámite del Recurso de Revisión ante este Instituto</w:t>
      </w:r>
    </w:p>
    <w:p w14:paraId="5DE92C19" w14:textId="77777777" w:rsidR="00253B74" w:rsidRDefault="00253B74">
      <w:pPr>
        <w:spacing w:after="0" w:line="360" w:lineRule="auto"/>
        <w:rPr>
          <w:color w:val="000000"/>
        </w:rPr>
      </w:pPr>
    </w:p>
    <w:p w14:paraId="554DAE78" w14:textId="77777777" w:rsidR="00253B74" w:rsidRDefault="00B76585">
      <w:pPr>
        <w:spacing w:after="0" w:line="360" w:lineRule="auto"/>
        <w:rPr>
          <w:b/>
          <w:color w:val="000000"/>
        </w:rPr>
      </w:pPr>
      <w:bookmarkStart w:id="5" w:name="_heading=h.tyjcwt" w:colFirst="0" w:colLast="0"/>
      <w:bookmarkEnd w:id="5"/>
      <w:r>
        <w:rPr>
          <w:b/>
          <w:color w:val="000000"/>
        </w:rPr>
        <w:t>a) Turno del Medio de Impugnación.</w:t>
      </w:r>
      <w:r>
        <w:rPr>
          <w:b/>
          <w:color w:val="000000"/>
          <w:sz w:val="20"/>
          <w:szCs w:val="20"/>
        </w:rPr>
        <w:t xml:space="preserve"> </w:t>
      </w:r>
      <w:r>
        <w:rPr>
          <w:color w:val="000000"/>
        </w:rPr>
        <w:t xml:space="preserve">El once de diciembre de dos mil veinticuatro, el Sistema de Acceso a la Información Mexiquense (SAIMEX), asignó el número de expediente </w:t>
      </w:r>
      <w:r>
        <w:rPr>
          <w:b/>
          <w:color w:val="000000"/>
        </w:rPr>
        <w:t>07611/INFOEM/IP/RR/2024</w:t>
      </w:r>
      <w:r>
        <w:rPr>
          <w:color w:val="000000"/>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202B274F" w14:textId="77777777" w:rsidR="00253B74" w:rsidRDefault="00253B74">
      <w:pPr>
        <w:spacing w:after="0" w:line="360" w:lineRule="auto"/>
        <w:rPr>
          <w:color w:val="000000"/>
        </w:rPr>
      </w:pPr>
    </w:p>
    <w:p w14:paraId="328FC2E3" w14:textId="77777777" w:rsidR="00253B74" w:rsidRDefault="00B76585">
      <w:pPr>
        <w:spacing w:after="0" w:line="360" w:lineRule="auto"/>
        <w:rPr>
          <w:color w:val="000000"/>
        </w:rPr>
      </w:pPr>
      <w:bookmarkStart w:id="6" w:name="_heading=h.3dy6vkm" w:colFirst="0" w:colLast="0"/>
      <w:bookmarkEnd w:id="6"/>
      <w:r>
        <w:rPr>
          <w:b/>
          <w:color w:val="000000"/>
        </w:rPr>
        <w:t>b) Admisión del Recurso de Revisión.</w:t>
      </w:r>
      <w:r>
        <w:rPr>
          <w:b/>
          <w:color w:val="000000"/>
          <w:sz w:val="20"/>
          <w:szCs w:val="20"/>
        </w:rPr>
        <w:t xml:space="preserve"> </w:t>
      </w:r>
      <w:r>
        <w:rPr>
          <w:color w:val="000000"/>
        </w:rPr>
        <w:t xml:space="preserve">El dieciséis de diciembre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 </w:t>
      </w:r>
    </w:p>
    <w:p w14:paraId="5034595A" w14:textId="77777777" w:rsidR="00253B74" w:rsidRDefault="00253B74">
      <w:pPr>
        <w:spacing w:after="0" w:line="360" w:lineRule="auto"/>
      </w:pPr>
    </w:p>
    <w:p w14:paraId="0354B834" w14:textId="77777777" w:rsidR="00253B74" w:rsidRDefault="00B76585">
      <w:pPr>
        <w:spacing w:after="0" w:line="360" w:lineRule="auto"/>
      </w:pPr>
      <w:bookmarkStart w:id="7" w:name="_heading=h.1t3h5sf" w:colFirst="0" w:colLast="0"/>
      <w:bookmarkEnd w:id="7"/>
      <w:r>
        <w:rPr>
          <w:b/>
          <w:color w:val="000000"/>
        </w:rPr>
        <w:t>c) Informe Justificado.</w:t>
      </w:r>
      <w:r>
        <w:rPr>
          <w:b/>
          <w:color w:val="000000"/>
          <w:sz w:val="20"/>
          <w:szCs w:val="20"/>
        </w:rPr>
        <w:t xml:space="preserve"> </w:t>
      </w:r>
      <w:r>
        <w:t>El once de enero de dos mil veinticinco, se recibió, a través del Sistema de Acceso a la Información Mexiquense (SAIMEX), el Informe Justificado del Sujeto Obligado, por medio del oficio número IXTA/TESO/0798/2024, del veinte de diciembre de dos mil veinticuatro, suscrito por el Tesorero Municipal y dirigido al Titular de la Unidad de Transparencia por medio del cual mencionó lo siguiente:</w:t>
      </w:r>
    </w:p>
    <w:p w14:paraId="642B4295" w14:textId="77777777" w:rsidR="00253B74" w:rsidRDefault="00253B74">
      <w:pPr>
        <w:spacing w:after="0" w:line="360" w:lineRule="auto"/>
      </w:pPr>
    </w:p>
    <w:p w14:paraId="6AA647F6" w14:textId="77777777" w:rsidR="00253B74" w:rsidRDefault="00B76585">
      <w:pPr>
        <w:spacing w:after="0" w:line="360" w:lineRule="auto"/>
        <w:ind w:left="708"/>
        <w:rPr>
          <w:i/>
          <w:sz w:val="20"/>
          <w:szCs w:val="20"/>
        </w:rPr>
      </w:pPr>
      <w:r>
        <w:rPr>
          <w:i/>
          <w:sz w:val="20"/>
          <w:szCs w:val="20"/>
        </w:rPr>
        <w:t>“…Envío la contestación de forma fundada y motivada en los Artículos de la Ley de Transparencia y Acceso a la Información Pública del Estado de México y Municipios…</w:t>
      </w:r>
    </w:p>
    <w:p w14:paraId="0823A68D" w14:textId="77777777" w:rsidR="00253B74" w:rsidRDefault="00B76585">
      <w:pPr>
        <w:spacing w:after="0" w:line="360" w:lineRule="auto"/>
        <w:ind w:left="708"/>
        <w:rPr>
          <w:i/>
          <w:sz w:val="20"/>
          <w:szCs w:val="20"/>
        </w:rPr>
      </w:pPr>
      <w:r>
        <w:rPr>
          <w:i/>
          <w:sz w:val="20"/>
          <w:szCs w:val="20"/>
        </w:rPr>
        <w:t>…</w:t>
      </w:r>
    </w:p>
    <w:p w14:paraId="5AB91E34" w14:textId="77777777" w:rsidR="00253B74" w:rsidRDefault="00B76585">
      <w:pPr>
        <w:spacing w:after="0" w:line="360" w:lineRule="auto"/>
        <w:ind w:left="708"/>
        <w:rPr>
          <w:i/>
          <w:sz w:val="20"/>
          <w:szCs w:val="20"/>
        </w:rPr>
      </w:pPr>
      <w:r>
        <w:rPr>
          <w:i/>
          <w:sz w:val="20"/>
          <w:szCs w:val="20"/>
        </w:rPr>
        <w:lastRenderedPageBreak/>
        <w:t xml:space="preserve">Referente a lámparas de Alumbrado Público; le proporciono Contrato y Factura por concepto de: Adquisición de Luminarias y Material Eléctrico para el Alumbrado Público del Municipio correspondiente al año fiscal 2022 y 2023; en calidad de Proyecto de Clasificación para que sea presentado al Comité de Trasparencia para el emisión de su versión pública; respecto a la información restante de la presente solicitud, le pido amablemente turne al área que tenga la información de acuerdo a sus atribuciones, funciones y facultades. </w:t>
      </w:r>
    </w:p>
    <w:p w14:paraId="0AC88676" w14:textId="77777777" w:rsidR="00253B74" w:rsidRDefault="00B76585">
      <w:pPr>
        <w:spacing w:after="0" w:line="360" w:lineRule="auto"/>
        <w:ind w:left="708"/>
        <w:rPr>
          <w:i/>
          <w:sz w:val="20"/>
          <w:szCs w:val="20"/>
        </w:rPr>
      </w:pPr>
      <w:r>
        <w:rPr>
          <w:i/>
          <w:sz w:val="20"/>
          <w:szCs w:val="20"/>
        </w:rPr>
        <w:t>…”</w:t>
      </w:r>
    </w:p>
    <w:p w14:paraId="49DB20FA" w14:textId="77777777" w:rsidR="00253B74" w:rsidRDefault="00253B74">
      <w:pPr>
        <w:spacing w:after="0" w:line="360" w:lineRule="auto"/>
      </w:pPr>
    </w:p>
    <w:p w14:paraId="768CF4ED" w14:textId="77777777" w:rsidR="00253B74" w:rsidRDefault="00B76585">
      <w:pPr>
        <w:widowControl w:val="0"/>
        <w:spacing w:after="0" w:line="360" w:lineRule="auto"/>
      </w:pPr>
      <w:bookmarkStart w:id="8" w:name="_heading=h.4d34og8" w:colFirst="0" w:colLast="0"/>
      <w:bookmarkEnd w:id="8"/>
      <w:r>
        <w:rPr>
          <w:b/>
          <w:color w:val="000000"/>
        </w:rPr>
        <w:t xml:space="preserve">d) Vista del Informe Justificado. </w:t>
      </w:r>
      <w:r>
        <w:t xml:space="preserve">El trece de enero de dos mil veinticinco, se dictó acuerdo mediante el cual se puso a la vista del Particular el Informe Justificado, entregado por el Sujeto Obligado, así como el documento adjunto, el cual fue notificado a las partes, a través del Sistema de Acceso a la Información Mexiquense (SAIMEX. </w:t>
      </w:r>
    </w:p>
    <w:p w14:paraId="189D2DB3" w14:textId="77777777" w:rsidR="00253B74" w:rsidRDefault="00253B74">
      <w:pPr>
        <w:spacing w:after="0" w:line="360" w:lineRule="auto"/>
      </w:pPr>
    </w:p>
    <w:p w14:paraId="60EEDA68" w14:textId="77777777" w:rsidR="00253B74" w:rsidRDefault="00B76585">
      <w:pPr>
        <w:spacing w:after="0" w:line="360" w:lineRule="auto"/>
        <w:rPr>
          <w:color w:val="000000"/>
        </w:rPr>
      </w:pPr>
      <w:bookmarkStart w:id="9" w:name="_heading=h.2s8eyo1" w:colFirst="0" w:colLast="0"/>
      <w:bookmarkEnd w:id="9"/>
      <w:r>
        <w:rPr>
          <w:b/>
          <w:color w:val="000000"/>
        </w:rPr>
        <w:t>e) Cierre de instrucción.</w:t>
      </w:r>
      <w:r>
        <w:rPr>
          <w:color w:val="000000"/>
          <w:sz w:val="20"/>
          <w:szCs w:val="20"/>
        </w:rPr>
        <w:t xml:space="preserve"> </w:t>
      </w:r>
      <w:r>
        <w:rPr>
          <w:color w:val="000000"/>
        </w:rPr>
        <w:t xml:space="preserve">El diecisiete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463DB254" w14:textId="77777777" w:rsidR="00253B74" w:rsidRDefault="00253B74">
      <w:pPr>
        <w:spacing w:after="0" w:line="360" w:lineRule="auto"/>
        <w:rPr>
          <w:color w:val="000000"/>
        </w:rPr>
      </w:pPr>
    </w:p>
    <w:p w14:paraId="47EF2598" w14:textId="77777777" w:rsidR="00253B74" w:rsidRDefault="00B76585">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14:paraId="3C821355" w14:textId="77777777" w:rsidR="00253B74" w:rsidRDefault="00253B74">
      <w:pPr>
        <w:spacing w:after="0" w:line="360" w:lineRule="auto"/>
        <w:rPr>
          <w:color w:val="000000"/>
        </w:rPr>
      </w:pPr>
    </w:p>
    <w:p w14:paraId="652C78EC" w14:textId="77777777" w:rsidR="00253B74" w:rsidRDefault="00B76585">
      <w:pPr>
        <w:pStyle w:val="Ttulo1"/>
        <w:jc w:val="center"/>
        <w:rPr>
          <w:rFonts w:ascii="Palatino Linotype" w:eastAsia="Palatino Linotype" w:hAnsi="Palatino Linotype" w:cs="Palatino Linotype"/>
          <w:b/>
          <w:color w:val="000000"/>
          <w:sz w:val="22"/>
          <w:szCs w:val="22"/>
        </w:rPr>
      </w:pPr>
      <w:bookmarkStart w:id="10" w:name="_heading=h.17dp8vu" w:colFirst="0" w:colLast="0"/>
      <w:bookmarkEnd w:id="10"/>
      <w:r>
        <w:rPr>
          <w:rFonts w:ascii="Palatino Linotype" w:eastAsia="Palatino Linotype" w:hAnsi="Palatino Linotype" w:cs="Palatino Linotype"/>
          <w:b/>
          <w:color w:val="000000"/>
          <w:sz w:val="22"/>
          <w:szCs w:val="22"/>
        </w:rPr>
        <w:t>C O N S I D E R A N D O S</w:t>
      </w:r>
    </w:p>
    <w:p w14:paraId="7627D5CA" w14:textId="77777777" w:rsidR="00253B74" w:rsidRDefault="00253B74">
      <w:pPr>
        <w:spacing w:after="0" w:line="360" w:lineRule="auto"/>
        <w:jc w:val="center"/>
        <w:rPr>
          <w:b/>
          <w:color w:val="000000"/>
        </w:rPr>
      </w:pPr>
    </w:p>
    <w:p w14:paraId="7141A156" w14:textId="77777777" w:rsidR="00253B74" w:rsidRDefault="00B76585">
      <w:pPr>
        <w:pStyle w:val="Ttulo2"/>
        <w:rPr>
          <w:rFonts w:ascii="Palatino Linotype" w:eastAsia="Palatino Linotype" w:hAnsi="Palatino Linotype" w:cs="Palatino Linotype"/>
          <w:b/>
          <w:color w:val="000000"/>
          <w:sz w:val="22"/>
          <w:szCs w:val="22"/>
        </w:rPr>
      </w:pPr>
      <w:bookmarkStart w:id="11" w:name="_heading=h.3rdcrjn" w:colFirst="0" w:colLast="0"/>
      <w:bookmarkEnd w:id="11"/>
      <w:r>
        <w:rPr>
          <w:rFonts w:ascii="Palatino Linotype" w:eastAsia="Palatino Linotype" w:hAnsi="Palatino Linotype" w:cs="Palatino Linotype"/>
          <w:b/>
          <w:color w:val="000000"/>
          <w:sz w:val="22"/>
          <w:szCs w:val="22"/>
        </w:rPr>
        <w:lastRenderedPageBreak/>
        <w:t>PRIMERO. Competencia</w:t>
      </w:r>
    </w:p>
    <w:p w14:paraId="7DD7634A" w14:textId="77777777" w:rsidR="00253B74" w:rsidRDefault="00253B74">
      <w:pPr>
        <w:spacing w:after="0" w:line="360" w:lineRule="auto"/>
        <w:rPr>
          <w:b/>
          <w:color w:val="000000"/>
        </w:rPr>
      </w:pPr>
    </w:p>
    <w:p w14:paraId="4B09023F" w14:textId="77777777" w:rsidR="00253B74" w:rsidRDefault="00B76585">
      <w:pPr>
        <w:spacing w:after="0" w:line="360" w:lineRule="auto"/>
        <w:rPr>
          <w:color w:val="000000"/>
        </w:rPr>
      </w:pPr>
      <w:bookmarkStart w:id="12" w:name="_heading=h.26in1rg" w:colFirst="0" w:colLast="0"/>
      <w:bookmarkEnd w:id="12"/>
      <w:r>
        <w:rPr>
          <w:color w:val="000000"/>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3A8082C" w14:textId="77777777" w:rsidR="00253B74" w:rsidRDefault="00253B74">
      <w:pPr>
        <w:spacing w:after="0" w:line="360" w:lineRule="auto"/>
      </w:pPr>
    </w:p>
    <w:p w14:paraId="504E5F4B" w14:textId="77777777" w:rsidR="00253B74" w:rsidRDefault="00B76585">
      <w:pPr>
        <w:pStyle w:val="Ttulo2"/>
        <w:rPr>
          <w:rFonts w:ascii="Palatino Linotype" w:eastAsia="Palatino Linotype" w:hAnsi="Palatino Linotype" w:cs="Palatino Linotype"/>
          <w:b/>
          <w:color w:val="000000"/>
          <w:sz w:val="22"/>
          <w:szCs w:val="22"/>
        </w:rPr>
      </w:pPr>
      <w:bookmarkStart w:id="13" w:name="_heading=h.lnxbz9" w:colFirst="0" w:colLast="0"/>
      <w:bookmarkEnd w:id="13"/>
      <w:r>
        <w:rPr>
          <w:rFonts w:ascii="Palatino Linotype" w:eastAsia="Palatino Linotype" w:hAnsi="Palatino Linotype" w:cs="Palatino Linotype"/>
          <w:b/>
          <w:color w:val="000000"/>
          <w:sz w:val="22"/>
          <w:szCs w:val="22"/>
        </w:rPr>
        <w:t>SEGUNDO. Causales de improcedencia y Sobreseimiento</w:t>
      </w:r>
    </w:p>
    <w:p w14:paraId="69AA9BE2" w14:textId="77777777" w:rsidR="00253B74" w:rsidRDefault="00253B74">
      <w:pPr>
        <w:spacing w:after="0" w:line="360" w:lineRule="auto"/>
        <w:rPr>
          <w:color w:val="000000"/>
        </w:rPr>
      </w:pPr>
    </w:p>
    <w:p w14:paraId="512B0C8F" w14:textId="77777777" w:rsidR="00253B74" w:rsidRDefault="00B76585">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14:paraId="7B8DB385" w14:textId="77777777" w:rsidR="00253B74" w:rsidRDefault="00253B74">
      <w:pPr>
        <w:spacing w:after="0" w:line="360" w:lineRule="auto"/>
        <w:rPr>
          <w:color w:val="000000"/>
        </w:rPr>
      </w:pPr>
    </w:p>
    <w:p w14:paraId="062CF2E6" w14:textId="77777777" w:rsidR="00253B74" w:rsidRDefault="00B76585">
      <w:pPr>
        <w:pStyle w:val="Ttulo3"/>
        <w:rPr>
          <w:rFonts w:ascii="Palatino Linotype" w:eastAsia="Palatino Linotype" w:hAnsi="Palatino Linotype" w:cs="Palatino Linotype"/>
          <w:b/>
          <w:color w:val="000000"/>
          <w:sz w:val="22"/>
          <w:szCs w:val="22"/>
        </w:rPr>
      </w:pPr>
      <w:bookmarkStart w:id="14" w:name="_heading=h.35nkun2" w:colFirst="0" w:colLast="0"/>
      <w:bookmarkEnd w:id="14"/>
      <w:r>
        <w:rPr>
          <w:rFonts w:ascii="Palatino Linotype" w:eastAsia="Palatino Linotype" w:hAnsi="Palatino Linotype" w:cs="Palatino Linotype"/>
          <w:b/>
          <w:color w:val="000000"/>
          <w:sz w:val="22"/>
          <w:szCs w:val="22"/>
        </w:rPr>
        <w:t>Causales de improcedencia</w:t>
      </w:r>
    </w:p>
    <w:p w14:paraId="056F2585" w14:textId="77777777" w:rsidR="00253B74" w:rsidRDefault="00253B74">
      <w:pPr>
        <w:spacing w:after="0" w:line="360" w:lineRule="auto"/>
      </w:pPr>
    </w:p>
    <w:p w14:paraId="13FF0921" w14:textId="77777777" w:rsidR="00253B74" w:rsidRDefault="00B76585">
      <w:pPr>
        <w:spacing w:after="0" w:line="360" w:lineRule="auto"/>
        <w:rPr>
          <w:color w:val="000000"/>
        </w:rPr>
      </w:pPr>
      <w:r>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w:t>
      </w:r>
      <w:r>
        <w:rPr>
          <w:color w:val="000000"/>
        </w:rPr>
        <w:lastRenderedPageBreak/>
        <w:t>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A0DF81A" w14:textId="77777777" w:rsidR="00253B74" w:rsidRDefault="00253B74">
      <w:pPr>
        <w:spacing w:after="0" w:line="360" w:lineRule="auto"/>
        <w:rPr>
          <w:color w:val="000000"/>
        </w:rPr>
      </w:pPr>
    </w:p>
    <w:p w14:paraId="44F3D15D" w14:textId="77777777" w:rsidR="00253B74" w:rsidRDefault="00B76585">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58B3C768" w14:textId="77777777" w:rsidR="00253B74" w:rsidRDefault="00253B74">
      <w:pPr>
        <w:spacing w:after="0" w:line="360" w:lineRule="auto"/>
        <w:rPr>
          <w:color w:val="000000"/>
        </w:rPr>
      </w:pPr>
    </w:p>
    <w:p w14:paraId="03F5CCD5" w14:textId="77777777" w:rsidR="00253B74" w:rsidRDefault="00B76585">
      <w:pPr>
        <w:spacing w:after="0" w:line="360" w:lineRule="auto"/>
        <w:rPr>
          <w:color w:val="000000"/>
        </w:rPr>
      </w:pPr>
      <w:r>
        <w:rPr>
          <w:color w:val="000000"/>
        </w:rPr>
        <w:t xml:space="preserve">Además, de que el Medios de Impugnación fue presentado en tiempo, toda vez que ante la ausencia de la respuesta del Ente Recurrido, se constituyó la </w:t>
      </w:r>
      <w:r>
        <w:rPr>
          <w:b/>
          <w:color w:val="000000"/>
        </w:rPr>
        <w:t>negativa ficta</w:t>
      </w:r>
      <w:r>
        <w:rPr>
          <w:color w:val="000000"/>
        </w:rPr>
        <w:t xml:space="preserve">, que genera la posibilidad de los particulares de interponer un recurso de revisión ante tal omisión, </w:t>
      </w:r>
      <w:r>
        <w:rPr>
          <w:color w:val="000000"/>
          <w:u w:val="single"/>
        </w:rPr>
        <w:t>en cualquier momento</w:t>
      </w:r>
      <w:r>
        <w:rPr>
          <w:color w:val="000000"/>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07BFB803" w14:textId="77777777" w:rsidR="00253B74" w:rsidRDefault="00253B74">
      <w:pPr>
        <w:spacing w:after="0" w:line="360" w:lineRule="auto"/>
        <w:rPr>
          <w:color w:val="000000"/>
        </w:rPr>
      </w:pPr>
    </w:p>
    <w:p w14:paraId="6102FA25" w14:textId="77777777" w:rsidR="00253B74" w:rsidRDefault="00B76585">
      <w:pPr>
        <w:spacing w:after="0" w:line="360" w:lineRule="auto"/>
        <w:rPr>
          <w:color w:val="000000"/>
        </w:rPr>
      </w:pPr>
      <w:r>
        <w:rPr>
          <w:color w:val="000000"/>
        </w:rPr>
        <w:t>Conforme a lo anterior, se actualiza la causal de procedencia señalada en el artículo 179, fracción VII, de la Ley de la materia, toda vez que el Solicitante se inconformó con la falta de respuesta a su solicitud de acceso a información pública.</w:t>
      </w:r>
    </w:p>
    <w:p w14:paraId="4A4339FA" w14:textId="77777777" w:rsidR="00253B74" w:rsidRDefault="00253B74">
      <w:pPr>
        <w:spacing w:after="0" w:line="360" w:lineRule="auto"/>
        <w:rPr>
          <w:color w:val="000000"/>
        </w:rPr>
      </w:pPr>
    </w:p>
    <w:p w14:paraId="1014122D" w14:textId="77777777" w:rsidR="00253B74" w:rsidRDefault="00B76585">
      <w:pPr>
        <w:pStyle w:val="Ttulo3"/>
        <w:rPr>
          <w:rFonts w:ascii="Palatino Linotype" w:eastAsia="Palatino Linotype" w:hAnsi="Palatino Linotype" w:cs="Palatino Linotype"/>
          <w:b/>
          <w:color w:val="000000"/>
          <w:sz w:val="22"/>
          <w:szCs w:val="22"/>
        </w:rPr>
      </w:pPr>
      <w:bookmarkStart w:id="15" w:name="_heading=h.1ksv4uv" w:colFirst="0" w:colLast="0"/>
      <w:bookmarkEnd w:id="15"/>
      <w:r>
        <w:rPr>
          <w:rFonts w:ascii="Palatino Linotype" w:eastAsia="Palatino Linotype" w:hAnsi="Palatino Linotype" w:cs="Palatino Linotype"/>
          <w:b/>
          <w:color w:val="000000"/>
          <w:sz w:val="22"/>
          <w:szCs w:val="22"/>
        </w:rPr>
        <w:t>Causales de sobreseimiento</w:t>
      </w:r>
    </w:p>
    <w:p w14:paraId="6D0A0077" w14:textId="77777777" w:rsidR="00253B74" w:rsidRDefault="00253B74">
      <w:pPr>
        <w:spacing w:after="0" w:line="360" w:lineRule="auto"/>
        <w:rPr>
          <w:color w:val="0D0D0D"/>
        </w:rPr>
      </w:pPr>
    </w:p>
    <w:p w14:paraId="33C0D74F" w14:textId="77777777" w:rsidR="00253B74" w:rsidRDefault="00B76585">
      <w:pPr>
        <w:spacing w:after="0" w:line="360" w:lineRule="auto"/>
        <w:rPr>
          <w:color w:val="0D0D0D"/>
        </w:rPr>
      </w:pPr>
      <w:r>
        <w:rPr>
          <w:color w:val="0D0D0D"/>
        </w:rPr>
        <w:lastRenderedPageBreak/>
        <w:t>Por ser de previo y especial pronunciamiento, este Instituto analiza si se actualiza alguna causal de sobreseimiento.</w:t>
      </w:r>
    </w:p>
    <w:p w14:paraId="0810B1C4" w14:textId="77777777" w:rsidR="00253B74" w:rsidRDefault="00253B74">
      <w:pPr>
        <w:spacing w:after="0" w:line="360" w:lineRule="auto"/>
        <w:rPr>
          <w:color w:val="0D0D0D"/>
        </w:rPr>
      </w:pPr>
    </w:p>
    <w:p w14:paraId="03806B4C" w14:textId="77777777" w:rsidR="00253B74" w:rsidRDefault="00B76585">
      <w:pPr>
        <w:spacing w:after="0" w:line="360" w:lineRule="auto"/>
        <w:rPr>
          <w:color w:val="000000"/>
        </w:rPr>
      </w:pPr>
      <w:r>
        <w:rPr>
          <w:color w:val="000000"/>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70A0F3D6" w14:textId="77777777" w:rsidR="00253B74" w:rsidRDefault="00253B74">
      <w:pPr>
        <w:spacing w:after="0" w:line="360" w:lineRule="auto"/>
        <w:rPr>
          <w:color w:val="000000"/>
        </w:rPr>
      </w:pPr>
    </w:p>
    <w:p w14:paraId="69B73F8B" w14:textId="77777777" w:rsidR="00253B74" w:rsidRDefault="00B76585">
      <w:pPr>
        <w:spacing w:after="0" w:line="360" w:lineRule="auto"/>
        <w:rPr>
          <w:color w:val="0D0D0D"/>
        </w:rPr>
      </w:pPr>
      <w:r>
        <w:rPr>
          <w:color w:val="0D0D0D"/>
        </w:rPr>
        <w:t xml:space="preserve">Por tales motivos, se considera procedente entrar al fondo del presente asunto. </w:t>
      </w:r>
    </w:p>
    <w:p w14:paraId="360D996E" w14:textId="77777777" w:rsidR="00253B74" w:rsidRDefault="00253B74">
      <w:pPr>
        <w:spacing w:after="0" w:line="360" w:lineRule="auto"/>
        <w:rPr>
          <w:color w:val="0D0D0D"/>
        </w:rPr>
      </w:pPr>
    </w:p>
    <w:p w14:paraId="42C3D3F2" w14:textId="77777777" w:rsidR="00253B74" w:rsidRDefault="00B76585">
      <w:pPr>
        <w:pStyle w:val="Ttulo2"/>
        <w:rPr>
          <w:rFonts w:ascii="Palatino Linotype" w:eastAsia="Palatino Linotype" w:hAnsi="Palatino Linotype" w:cs="Palatino Linotype"/>
          <w:b/>
          <w:color w:val="000000"/>
          <w:sz w:val="22"/>
          <w:szCs w:val="22"/>
        </w:rPr>
      </w:pPr>
      <w:bookmarkStart w:id="16" w:name="_heading=h.44sinio" w:colFirst="0" w:colLast="0"/>
      <w:bookmarkEnd w:id="16"/>
      <w:r>
        <w:rPr>
          <w:rFonts w:ascii="Palatino Linotype" w:eastAsia="Palatino Linotype" w:hAnsi="Palatino Linotype" w:cs="Palatino Linotype"/>
          <w:b/>
          <w:color w:val="000000"/>
          <w:sz w:val="22"/>
          <w:szCs w:val="22"/>
        </w:rPr>
        <w:t>TERCERO. Determinación de la Controversia</w:t>
      </w:r>
    </w:p>
    <w:p w14:paraId="6DA6D396" w14:textId="77777777" w:rsidR="00253B74" w:rsidRDefault="00253B74">
      <w:pPr>
        <w:spacing w:after="0" w:line="360" w:lineRule="auto"/>
        <w:rPr>
          <w:color w:val="000000"/>
        </w:rPr>
      </w:pPr>
    </w:p>
    <w:p w14:paraId="3410182E" w14:textId="176A4D97" w:rsidR="00253B74" w:rsidRDefault="00B76585">
      <w:pPr>
        <w:tabs>
          <w:tab w:val="left" w:pos="4962"/>
        </w:tabs>
        <w:spacing w:after="0" w:line="360" w:lineRule="auto"/>
        <w:rPr>
          <w:color w:val="000000"/>
        </w:rPr>
      </w:pPr>
      <w:r>
        <w:rPr>
          <w:color w:val="000000"/>
        </w:rPr>
        <w:t xml:space="preserve">Con el objeto de ilustrar la controversia planteada, resulta conveniente precisar, que una vez realizado el estudio de las constancias que integran el expediente en que se actúa, se desprende que el Particular requirió, los contratos y sus anexos de la adquisición, arrendamiento o </w:t>
      </w:r>
      <w:r w:rsidR="009F50C5">
        <w:rPr>
          <w:color w:val="000000"/>
        </w:rPr>
        <w:t>subcontratación de</w:t>
      </w:r>
      <w:r>
        <w:rPr>
          <w:color w:val="000000"/>
        </w:rPr>
        <w:t xml:space="preserve"> los equipos de cómputo, </w:t>
      </w:r>
      <w:r>
        <w:rPr>
          <w:i/>
          <w:color w:val="000000"/>
        </w:rPr>
        <w:t>software,</w:t>
      </w:r>
      <w:r>
        <w:rPr>
          <w:color w:val="000000"/>
        </w:rPr>
        <w:t xml:space="preserve"> vehículos, lámparas de alumbrado público y uniformes, del primero de enero de dos mil veintidós al quince de noviembre de dos mil veinticuatro.</w:t>
      </w:r>
    </w:p>
    <w:p w14:paraId="687C6BC2" w14:textId="77777777" w:rsidR="00253B74" w:rsidRDefault="00253B74">
      <w:pPr>
        <w:widowControl w:val="0"/>
        <w:spacing w:after="0" w:line="360" w:lineRule="auto"/>
        <w:rPr>
          <w:color w:val="000000"/>
        </w:rPr>
      </w:pPr>
    </w:p>
    <w:p w14:paraId="083EE385" w14:textId="77777777" w:rsidR="00253B74" w:rsidRDefault="00B76585">
      <w:pPr>
        <w:pBdr>
          <w:top w:val="nil"/>
          <w:left w:val="nil"/>
          <w:bottom w:val="nil"/>
          <w:right w:val="nil"/>
          <w:between w:val="nil"/>
        </w:pBdr>
        <w:spacing w:after="0" w:line="360" w:lineRule="auto"/>
        <w:ind w:right="-28"/>
        <w:rPr>
          <w:color w:val="000000"/>
        </w:rPr>
      </w:pPr>
      <w:r>
        <w:rPr>
          <w:color w:val="000000"/>
        </w:rPr>
        <w:t>Ante la falta de respuesta del Ente Recurrido, el Particular, justamente se inconformó porque no ha recibido respuesta, lo cual se actualiza el supuesto previsto en el artículo 179, fracción VII, de la Ley de Transparencia y Acceso a la Información Pública del Estado de México y Municipios</w:t>
      </w:r>
      <w:r>
        <w:rPr>
          <w:color w:val="000000"/>
          <w:highlight w:val="white"/>
        </w:rPr>
        <w:t xml:space="preserve">. </w:t>
      </w:r>
      <w:r>
        <w:rPr>
          <w:color w:val="000000"/>
        </w:rPr>
        <w:t xml:space="preserve">Así las cosas, una vez admitido y notificado el Recurso de Revisión a las partes, </w:t>
      </w:r>
      <w:r>
        <w:rPr>
          <w:color w:val="000000"/>
        </w:rPr>
        <w:lastRenderedPageBreak/>
        <w:t xml:space="preserve">el Tesorero Municipal mencionó que, respecto de las lámparas de alumbrado público entregó contrato y factura del ejercicio fiscal dos mil veinticuatro, y del ejercicio fiscal dos mil veintidós y dos mil veintitrés se encuentran en revisión por el Comité de Transparencia para la emisión de la versión pública, de la información restante se debe turnar al área competente de acuerdo a sus atribuciones, funciones y facultades. </w:t>
      </w:r>
    </w:p>
    <w:p w14:paraId="6FAB2A53" w14:textId="77777777" w:rsidR="00253B74" w:rsidRDefault="00253B74">
      <w:pPr>
        <w:pBdr>
          <w:top w:val="nil"/>
          <w:left w:val="nil"/>
          <w:bottom w:val="nil"/>
          <w:right w:val="nil"/>
          <w:between w:val="nil"/>
        </w:pBdr>
        <w:spacing w:after="0" w:line="360" w:lineRule="auto"/>
        <w:ind w:right="-28"/>
        <w:rPr>
          <w:color w:val="000000"/>
        </w:rPr>
      </w:pPr>
    </w:p>
    <w:p w14:paraId="14839729" w14:textId="77777777" w:rsidR="00253B74" w:rsidRDefault="00B76585">
      <w:pPr>
        <w:tabs>
          <w:tab w:val="left" w:pos="4962"/>
        </w:tabs>
        <w:spacing w:after="0" w:line="360" w:lineRule="auto"/>
      </w:pPr>
      <w:r>
        <w:t xml:space="preserve">Lo anterior, se desprende de las documentales que obran en el expediente de referencia, materia de la presente resolución, consistente en: la solicitud de acceso a la información; el escrito </w:t>
      </w:r>
      <w:proofErr w:type="spellStart"/>
      <w:r>
        <w:t>recursal</w:t>
      </w:r>
      <w:proofErr w:type="spellEnd"/>
      <w: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74AADAE" w14:textId="77777777" w:rsidR="00253B74" w:rsidRDefault="00253B74">
      <w:pPr>
        <w:tabs>
          <w:tab w:val="left" w:pos="4962"/>
        </w:tabs>
        <w:spacing w:after="0" w:line="360" w:lineRule="auto"/>
      </w:pPr>
    </w:p>
    <w:p w14:paraId="26F59F04" w14:textId="77777777" w:rsidR="00253B74" w:rsidRDefault="00B76585">
      <w:pPr>
        <w:pStyle w:val="Ttulo2"/>
        <w:rPr>
          <w:rFonts w:ascii="Palatino Linotype" w:eastAsia="Palatino Linotype" w:hAnsi="Palatino Linotype" w:cs="Palatino Linotype"/>
          <w:b/>
          <w:color w:val="000000"/>
          <w:sz w:val="22"/>
          <w:szCs w:val="22"/>
        </w:rPr>
      </w:pPr>
      <w:bookmarkStart w:id="17" w:name="_heading=h.2jxsxqh" w:colFirst="0" w:colLast="0"/>
      <w:bookmarkEnd w:id="17"/>
      <w:r>
        <w:rPr>
          <w:rFonts w:ascii="Palatino Linotype" w:eastAsia="Palatino Linotype" w:hAnsi="Palatino Linotype" w:cs="Palatino Linotype"/>
          <w:b/>
          <w:color w:val="000000"/>
          <w:sz w:val="22"/>
          <w:szCs w:val="22"/>
        </w:rPr>
        <w:t>CUARTO. Marco normativo aplicable en materia de transparencia y acceso a la información pública</w:t>
      </w:r>
    </w:p>
    <w:p w14:paraId="37E215C6" w14:textId="77777777" w:rsidR="00253B74" w:rsidRDefault="00253B74">
      <w:pPr>
        <w:spacing w:after="0" w:line="360" w:lineRule="auto"/>
        <w:rPr>
          <w:color w:val="000000"/>
        </w:rPr>
      </w:pPr>
    </w:p>
    <w:p w14:paraId="776A250B" w14:textId="0A2BB436" w:rsidR="00253B74" w:rsidRDefault="00B76585">
      <w:pPr>
        <w:spacing w:after="0" w:line="360" w:lineRule="auto"/>
        <w:rPr>
          <w:color w:val="000000"/>
        </w:rPr>
      </w:pPr>
      <w:r>
        <w:rPr>
          <w:color w:val="000000"/>
        </w:rPr>
        <w:t xml:space="preserve">El artículo 6°, Apartado A), fracción I de la Constitución Política de los Estados Unidos Mexicanos, establece que toda la información en posesión de cualquier </w:t>
      </w:r>
      <w:r w:rsidR="009F50C5">
        <w:rPr>
          <w:color w:val="000000"/>
        </w:rPr>
        <w:t>autoridad</w:t>
      </w:r>
      <w:r>
        <w:rPr>
          <w:color w:val="000000"/>
        </w:rPr>
        <w:t xml:space="preserve"> es pública y sólo podrá ser reservada temporalmente por razones de interés público.</w:t>
      </w:r>
    </w:p>
    <w:p w14:paraId="3E1C0837" w14:textId="77777777" w:rsidR="00253B74" w:rsidRDefault="00253B74">
      <w:pPr>
        <w:spacing w:after="0" w:line="360" w:lineRule="auto"/>
        <w:rPr>
          <w:color w:val="000000"/>
        </w:rPr>
      </w:pPr>
    </w:p>
    <w:p w14:paraId="5473EB23" w14:textId="77777777" w:rsidR="00253B74" w:rsidRDefault="00B76585">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E1090A7" w14:textId="77777777" w:rsidR="00253B74" w:rsidRDefault="00253B74">
      <w:pPr>
        <w:spacing w:after="0" w:line="360" w:lineRule="auto"/>
        <w:rPr>
          <w:color w:val="000000"/>
        </w:rPr>
      </w:pPr>
    </w:p>
    <w:p w14:paraId="5C8A48EF" w14:textId="77777777" w:rsidR="00253B74" w:rsidRDefault="00B76585">
      <w:pPr>
        <w:spacing w:after="0" w:line="360" w:lineRule="auto"/>
        <w:rPr>
          <w:color w:val="000000"/>
        </w:rPr>
      </w:pPr>
      <w:r>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Pr>
          <w:color w:val="000000"/>
        </w:rPr>
        <w:lastRenderedPageBreak/>
        <w:t>como la información referente a la intimidad de la vida privada y la imagen de las personas, con las excepciones que establezca la ley reglamentaria.</w:t>
      </w:r>
    </w:p>
    <w:p w14:paraId="401CD2D0" w14:textId="77777777" w:rsidR="00253B74" w:rsidRDefault="00253B74">
      <w:pPr>
        <w:spacing w:after="0" w:line="360" w:lineRule="auto"/>
        <w:rPr>
          <w:color w:val="000000"/>
        </w:rPr>
      </w:pPr>
    </w:p>
    <w:p w14:paraId="2CD0552C" w14:textId="77777777" w:rsidR="00253B74" w:rsidRDefault="00B76585">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4F604A22" w14:textId="77777777" w:rsidR="00253B74" w:rsidRDefault="00253B74">
      <w:pPr>
        <w:spacing w:after="0" w:line="360" w:lineRule="auto"/>
        <w:rPr>
          <w:color w:val="000000"/>
        </w:rPr>
      </w:pPr>
    </w:p>
    <w:p w14:paraId="3C08C954" w14:textId="77777777" w:rsidR="00253B74" w:rsidRDefault="00B76585">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3820603A" w14:textId="77777777" w:rsidR="00253B74" w:rsidRDefault="00253B74">
      <w:pPr>
        <w:spacing w:after="0" w:line="360" w:lineRule="auto"/>
        <w:rPr>
          <w:color w:val="000000"/>
        </w:rPr>
      </w:pPr>
    </w:p>
    <w:p w14:paraId="4D185A33" w14:textId="77777777" w:rsidR="00253B74" w:rsidRDefault="00B76585">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A493B28" w14:textId="77777777" w:rsidR="00253B74" w:rsidRDefault="00253B74">
      <w:pPr>
        <w:widowControl w:val="0"/>
        <w:spacing w:after="0" w:line="360" w:lineRule="auto"/>
        <w:rPr>
          <w:color w:val="000000"/>
        </w:rPr>
      </w:pPr>
    </w:p>
    <w:p w14:paraId="266F4533" w14:textId="77777777" w:rsidR="00253B74" w:rsidRDefault="00B76585">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5BE7CF0" w14:textId="77777777" w:rsidR="00253B74" w:rsidRDefault="00253B74">
      <w:pPr>
        <w:spacing w:after="0" w:line="360" w:lineRule="auto"/>
      </w:pPr>
    </w:p>
    <w:p w14:paraId="47CBBAA2" w14:textId="77777777" w:rsidR="00253B74" w:rsidRDefault="00B76585">
      <w:pPr>
        <w:pStyle w:val="Ttulo2"/>
        <w:rPr>
          <w:rFonts w:ascii="Palatino Linotype" w:eastAsia="Palatino Linotype" w:hAnsi="Palatino Linotype" w:cs="Palatino Linotype"/>
          <w:b/>
          <w:color w:val="000000"/>
          <w:sz w:val="22"/>
          <w:szCs w:val="22"/>
        </w:rPr>
      </w:pPr>
      <w:bookmarkStart w:id="18" w:name="_heading=h.z337ya" w:colFirst="0" w:colLast="0"/>
      <w:bookmarkEnd w:id="18"/>
      <w:r>
        <w:rPr>
          <w:rFonts w:ascii="Palatino Linotype" w:eastAsia="Palatino Linotype" w:hAnsi="Palatino Linotype" w:cs="Palatino Linotype"/>
          <w:b/>
          <w:color w:val="000000"/>
          <w:sz w:val="22"/>
          <w:szCs w:val="22"/>
        </w:rPr>
        <w:t>QUINTO. Estudio de Fondo</w:t>
      </w:r>
    </w:p>
    <w:p w14:paraId="6DC3C293" w14:textId="77777777" w:rsidR="00253B74" w:rsidRDefault="00253B74">
      <w:pPr>
        <w:spacing w:after="0" w:line="360" w:lineRule="auto"/>
        <w:rPr>
          <w:b/>
          <w:color w:val="000000"/>
        </w:rPr>
      </w:pPr>
    </w:p>
    <w:p w14:paraId="0A0C668F" w14:textId="77777777" w:rsidR="00253B74" w:rsidRDefault="00B76585">
      <w:pPr>
        <w:widowControl w:val="0"/>
        <w:spacing w:after="0" w:line="360" w:lineRule="auto"/>
        <w:rPr>
          <w:color w:val="000000"/>
        </w:rPr>
      </w:pPr>
      <w:r>
        <w:rPr>
          <w:color w:val="000000"/>
        </w:rPr>
        <w:t>Expuestas las posturas de las partes, se procede al análisis del agravio hecho valer por la persona Recurrente, concerniente a la falta de respuesta del Ayuntamiento de Ixtapaluca a la solicitud de información.</w:t>
      </w:r>
    </w:p>
    <w:p w14:paraId="18C737D2" w14:textId="77777777" w:rsidR="00253B74" w:rsidRDefault="00253B74">
      <w:pPr>
        <w:spacing w:after="0" w:line="360" w:lineRule="auto"/>
        <w:rPr>
          <w:color w:val="000000"/>
        </w:rPr>
      </w:pPr>
    </w:p>
    <w:p w14:paraId="2DB52BC9" w14:textId="77777777" w:rsidR="00253B74" w:rsidRDefault="00B76585">
      <w:pPr>
        <w:spacing w:after="0" w:line="360" w:lineRule="auto"/>
        <w:rPr>
          <w:color w:val="000000"/>
        </w:rPr>
      </w:pPr>
      <w:r>
        <w:rPr>
          <w:color w:val="000000"/>
        </w:rPr>
        <w:t xml:space="preserve">En principio, es de suma importancia señalar los objetivos de la Ley de Transparencia y Acceso a la Información Pública del Estado de México y Municipios, en relación con la </w:t>
      </w:r>
      <w:r>
        <w:rPr>
          <w:color w:val="000000"/>
        </w:rPr>
        <w:lastRenderedPageBreak/>
        <w:t>obligación de acceso por parte de los Sujetos Obligados, lo cuales se encuentran establecidos en el artículo 2° de dicho ordenamiento jurídico y son los siguientes:</w:t>
      </w:r>
    </w:p>
    <w:p w14:paraId="1A5D9636" w14:textId="77777777" w:rsidR="00253B74" w:rsidRDefault="00253B74">
      <w:pPr>
        <w:spacing w:after="0" w:line="360" w:lineRule="auto"/>
        <w:rPr>
          <w:color w:val="000000"/>
        </w:rPr>
      </w:pPr>
    </w:p>
    <w:p w14:paraId="13586771" w14:textId="77777777" w:rsidR="00253B74" w:rsidRDefault="00B76585">
      <w:pPr>
        <w:numPr>
          <w:ilvl w:val="0"/>
          <w:numId w:val="1"/>
        </w:numPr>
        <w:spacing w:after="0" w:line="360" w:lineRule="auto"/>
        <w:rPr>
          <w:color w:val="000000"/>
        </w:rPr>
      </w:pPr>
      <w:r>
        <w:rPr>
          <w:color w:val="000000"/>
        </w:rPr>
        <w:t>Proveer lo necesario para garantizar a toda persona el derecho de acceso a la información pública, a través de procedimientos sencillos, expeditos, oportunos y gratuitos;</w:t>
      </w:r>
    </w:p>
    <w:p w14:paraId="41851B04" w14:textId="77777777" w:rsidR="00253B74" w:rsidRDefault="00253B74">
      <w:pPr>
        <w:spacing w:after="0" w:line="360" w:lineRule="auto"/>
        <w:ind w:left="720"/>
        <w:rPr>
          <w:color w:val="000000"/>
        </w:rPr>
      </w:pPr>
    </w:p>
    <w:p w14:paraId="2A6A2E70" w14:textId="77777777" w:rsidR="00253B74" w:rsidRDefault="00B76585">
      <w:pPr>
        <w:numPr>
          <w:ilvl w:val="0"/>
          <w:numId w:val="1"/>
        </w:numPr>
        <w:spacing w:after="0" w:line="360" w:lineRule="auto"/>
        <w:rPr>
          <w:color w:val="000000"/>
        </w:rPr>
      </w:pPr>
      <w:r>
        <w:rPr>
          <w:color w:val="000000"/>
        </w:rPr>
        <w:t>Transparentar la gestión pública, mediante la difusión de la información generada por los Sujetos Obligados, y</w:t>
      </w:r>
    </w:p>
    <w:p w14:paraId="46844B30" w14:textId="77777777" w:rsidR="00253B74" w:rsidRDefault="00253B74">
      <w:pPr>
        <w:pBdr>
          <w:top w:val="nil"/>
          <w:left w:val="nil"/>
          <w:bottom w:val="nil"/>
          <w:right w:val="nil"/>
          <w:between w:val="nil"/>
        </w:pBdr>
        <w:spacing w:after="0" w:line="360" w:lineRule="auto"/>
        <w:ind w:left="720"/>
        <w:rPr>
          <w:color w:val="000000"/>
        </w:rPr>
      </w:pPr>
    </w:p>
    <w:p w14:paraId="5C455BBC" w14:textId="77777777" w:rsidR="00253B74" w:rsidRDefault="00B76585">
      <w:pPr>
        <w:numPr>
          <w:ilvl w:val="0"/>
          <w:numId w:val="1"/>
        </w:numPr>
        <w:spacing w:after="0" w:line="360" w:lineRule="auto"/>
        <w:rPr>
          <w:color w:val="000000"/>
        </w:rPr>
      </w:pPr>
      <w:r>
        <w:rPr>
          <w:color w:val="000000"/>
        </w:rPr>
        <w:t>Promover, fomentar y difundir la cultura de la transparencia en el ejercicio de la función pública, el acceso a la información y la participación ciudadana, así como, la rendición de cuentas.</w:t>
      </w:r>
    </w:p>
    <w:p w14:paraId="6BDD1954" w14:textId="77777777" w:rsidR="00253B74" w:rsidRDefault="00253B74">
      <w:pPr>
        <w:spacing w:after="0" w:line="360" w:lineRule="auto"/>
        <w:rPr>
          <w:color w:val="000000"/>
        </w:rPr>
      </w:pPr>
    </w:p>
    <w:p w14:paraId="1C21AA26" w14:textId="15EB86C3" w:rsidR="00253B74" w:rsidRDefault="00B76585">
      <w:pPr>
        <w:spacing w:after="0" w:line="360" w:lineRule="auto"/>
        <w:rPr>
          <w:color w:val="000000"/>
        </w:rPr>
      </w:pPr>
      <w:r>
        <w:rPr>
          <w:color w:val="000000"/>
        </w:rPr>
        <w:t xml:space="preserve">Conforme a lo anterior, se deprende que </w:t>
      </w:r>
      <w:r>
        <w:rPr>
          <w:b/>
          <w:color w:val="000000"/>
        </w:rPr>
        <w:t xml:space="preserve">los objetivos de la Ley de la </w:t>
      </w:r>
      <w:r w:rsidR="009F50C5">
        <w:rPr>
          <w:b/>
          <w:color w:val="000000"/>
        </w:rPr>
        <w:t>materia</w:t>
      </w:r>
      <w:r>
        <w:rPr>
          <w:color w:val="000000"/>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52892661" w14:textId="77777777" w:rsidR="00253B74" w:rsidRDefault="00253B74">
      <w:pPr>
        <w:spacing w:after="0" w:line="360" w:lineRule="auto"/>
        <w:rPr>
          <w:color w:val="000000"/>
        </w:rPr>
      </w:pPr>
    </w:p>
    <w:p w14:paraId="72924861" w14:textId="77777777" w:rsidR="00253B74" w:rsidRDefault="00B76585">
      <w:pPr>
        <w:widowControl w:val="0"/>
        <w:spacing w:after="0" w:line="360" w:lineRule="auto"/>
        <w:rPr>
          <w:color w:val="000000"/>
        </w:rPr>
      </w:pPr>
      <w:r>
        <w:rPr>
          <w:color w:val="000000"/>
        </w:rPr>
        <w:t xml:space="preserve">En ese orden de ideas, para la atención de las solicitudes de acceso a la información, debe privilegiarse el </w:t>
      </w:r>
      <w:r>
        <w:rPr>
          <w:b/>
          <w:color w:val="000000"/>
        </w:rPr>
        <w:t>principio de máxima publicidad</w:t>
      </w:r>
      <w:r>
        <w:rPr>
          <w:color w:val="000000"/>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0EF95B7" w14:textId="77777777" w:rsidR="00253B74" w:rsidRDefault="00253B74">
      <w:pPr>
        <w:spacing w:after="0" w:line="360" w:lineRule="auto"/>
        <w:rPr>
          <w:color w:val="000000"/>
        </w:rPr>
      </w:pPr>
    </w:p>
    <w:p w14:paraId="324F7DA6" w14:textId="77777777" w:rsidR="00253B74" w:rsidRDefault="00B76585">
      <w:pPr>
        <w:spacing w:after="0" w:line="360" w:lineRule="auto"/>
        <w:rPr>
          <w:color w:val="000000"/>
        </w:rPr>
      </w:pPr>
      <w:r>
        <w:rPr>
          <w:color w:val="000000"/>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E942000" w14:textId="77777777" w:rsidR="00253B74" w:rsidRDefault="00253B74">
      <w:pPr>
        <w:spacing w:after="0" w:line="360" w:lineRule="auto"/>
        <w:rPr>
          <w:color w:val="000000"/>
        </w:rPr>
      </w:pPr>
    </w:p>
    <w:p w14:paraId="039C598D" w14:textId="77777777" w:rsidR="00253B74" w:rsidRDefault="00B76585">
      <w:pPr>
        <w:numPr>
          <w:ilvl w:val="0"/>
          <w:numId w:val="3"/>
        </w:numPr>
        <w:spacing w:after="0" w:line="360" w:lineRule="auto"/>
        <w:rPr>
          <w:color w:val="000000"/>
        </w:rPr>
      </w:pPr>
      <w:r>
        <w:rPr>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0241685" w14:textId="77777777" w:rsidR="00253B74" w:rsidRDefault="00253B74">
      <w:pPr>
        <w:spacing w:after="0" w:line="360" w:lineRule="auto"/>
        <w:ind w:left="720"/>
        <w:rPr>
          <w:color w:val="000000"/>
        </w:rPr>
      </w:pPr>
    </w:p>
    <w:p w14:paraId="2380AACF" w14:textId="77777777" w:rsidR="00253B74" w:rsidRDefault="00B76585">
      <w:pPr>
        <w:numPr>
          <w:ilvl w:val="0"/>
          <w:numId w:val="3"/>
        </w:numPr>
        <w:spacing w:after="0" w:line="360" w:lineRule="auto"/>
        <w:rPr>
          <w:color w:val="000000"/>
        </w:rPr>
      </w:pPr>
      <w:r>
        <w:rPr>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A258D69" w14:textId="77777777" w:rsidR="00253B74" w:rsidRDefault="00253B74">
      <w:pPr>
        <w:pBdr>
          <w:top w:val="nil"/>
          <w:left w:val="nil"/>
          <w:bottom w:val="nil"/>
          <w:right w:val="nil"/>
          <w:between w:val="nil"/>
        </w:pBdr>
        <w:spacing w:after="0" w:line="360" w:lineRule="auto"/>
        <w:ind w:left="720"/>
        <w:rPr>
          <w:color w:val="000000"/>
        </w:rPr>
      </w:pPr>
    </w:p>
    <w:p w14:paraId="2DAEB031" w14:textId="77777777" w:rsidR="00253B74" w:rsidRDefault="00B76585">
      <w:pPr>
        <w:numPr>
          <w:ilvl w:val="0"/>
          <w:numId w:val="3"/>
        </w:numPr>
        <w:spacing w:after="0" w:line="360" w:lineRule="auto"/>
        <w:rPr>
          <w:color w:val="000000"/>
        </w:rPr>
      </w:pPr>
      <w:r>
        <w:rPr>
          <w:color w:val="000000"/>
        </w:rPr>
        <w:t xml:space="preserve">Las respuestas a los requerimientos informativos deberán notificarse al interesado en el menor tiempo posible, que no podrá exceder </w:t>
      </w:r>
      <w:r>
        <w:rPr>
          <w:b/>
          <w:color w:val="000000"/>
        </w:rPr>
        <w:t>quince días, contados a partir del día siguiente a la presentación de ésta.</w:t>
      </w:r>
      <w:r>
        <w:rPr>
          <w:color w:val="000000"/>
        </w:rPr>
        <w:t xml:space="preserve"> Excepcionalmente, el plazo referido podrá ampliarse por siete días hábiles más, cuando existan razones fundadas y motivadas, a través del Comité de Transparencia;</w:t>
      </w:r>
    </w:p>
    <w:p w14:paraId="21AA0060" w14:textId="77777777" w:rsidR="00253B74" w:rsidRDefault="00253B74">
      <w:pPr>
        <w:spacing w:after="0" w:line="360" w:lineRule="auto"/>
        <w:rPr>
          <w:color w:val="000000"/>
        </w:rPr>
      </w:pPr>
    </w:p>
    <w:p w14:paraId="11DD1BAC" w14:textId="77777777" w:rsidR="00253B74" w:rsidRDefault="00B76585">
      <w:pPr>
        <w:numPr>
          <w:ilvl w:val="0"/>
          <w:numId w:val="3"/>
        </w:numPr>
        <w:spacing w:after="0" w:line="360" w:lineRule="auto"/>
        <w:rPr>
          <w:b/>
          <w:color w:val="000000"/>
        </w:rPr>
      </w:pPr>
      <w:r>
        <w:rPr>
          <w:color w:val="000000"/>
        </w:rPr>
        <w:t xml:space="preserve">Las Unidades de Transparencia garantizarán que las solicitudes se turnen a todas las áreas competentes que cuenten con la información o deban tenerla de acuerdo a sus </w:t>
      </w:r>
      <w:r>
        <w:rPr>
          <w:color w:val="000000"/>
        </w:rPr>
        <w:lastRenderedPageBreak/>
        <w:t xml:space="preserve">facultades, funciones y atribuciones, para que realicen una búsqueda exhaustiva y razonable de la documentación solicitada, con el fin de que proporcionen las expresiones documentales </w:t>
      </w:r>
      <w:r>
        <w:rPr>
          <w:b/>
          <w:color w:val="000000"/>
        </w:rPr>
        <w:t>que se encuentren en sus archivos o que estén constreñidos a elaborar;</w:t>
      </w:r>
    </w:p>
    <w:p w14:paraId="6A7B632F" w14:textId="77777777" w:rsidR="00253B74" w:rsidRDefault="00253B74">
      <w:pPr>
        <w:pBdr>
          <w:top w:val="nil"/>
          <w:left w:val="nil"/>
          <w:bottom w:val="nil"/>
          <w:right w:val="nil"/>
          <w:between w:val="nil"/>
        </w:pBdr>
        <w:spacing w:after="0" w:line="360" w:lineRule="auto"/>
        <w:ind w:left="720"/>
        <w:rPr>
          <w:b/>
          <w:color w:val="000000"/>
        </w:rPr>
      </w:pPr>
    </w:p>
    <w:p w14:paraId="1A98E9C7" w14:textId="77777777" w:rsidR="00253B74" w:rsidRDefault="00B76585">
      <w:pPr>
        <w:numPr>
          <w:ilvl w:val="0"/>
          <w:numId w:val="3"/>
        </w:numPr>
        <w:spacing w:after="0" w:line="360" w:lineRule="auto"/>
        <w:rPr>
          <w:b/>
          <w:color w:val="000000"/>
        </w:rPr>
      </w:pPr>
      <w:r>
        <w:rPr>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74D39C0" w14:textId="77777777" w:rsidR="00253B74" w:rsidRDefault="00253B74">
      <w:pPr>
        <w:spacing w:after="0" w:line="360" w:lineRule="auto"/>
        <w:rPr>
          <w:b/>
          <w:color w:val="000000"/>
        </w:rPr>
      </w:pPr>
    </w:p>
    <w:p w14:paraId="68AD7F5F" w14:textId="77777777" w:rsidR="00253B74" w:rsidRDefault="00B76585">
      <w:pPr>
        <w:numPr>
          <w:ilvl w:val="0"/>
          <w:numId w:val="3"/>
        </w:numPr>
        <w:spacing w:after="0" w:line="360" w:lineRule="auto"/>
        <w:rPr>
          <w:b/>
          <w:color w:val="000000"/>
        </w:rPr>
      </w:pPr>
      <w:r>
        <w:rPr>
          <w:color w:val="000000"/>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2FC4CD5" w14:textId="77777777" w:rsidR="00253B74" w:rsidRDefault="00253B74">
      <w:pPr>
        <w:spacing w:after="0" w:line="360" w:lineRule="auto"/>
        <w:rPr>
          <w:b/>
          <w:color w:val="000000"/>
        </w:rPr>
      </w:pPr>
    </w:p>
    <w:p w14:paraId="041C61BF" w14:textId="77777777" w:rsidR="00253B74" w:rsidRDefault="00B76585">
      <w:pPr>
        <w:spacing w:after="0" w:line="360" w:lineRule="auto"/>
      </w:pPr>
      <w:r>
        <w:t xml:space="preserve">Una vez establecido lo anterior, es de indicar que el agravio del Particular consistió en que, a la fecha de interposición del Recurso de Revisión, el </w:t>
      </w:r>
      <w:r>
        <w:rPr>
          <w:color w:val="000000"/>
        </w:rPr>
        <w:t>Ayuntamiento de Ixtapaluca</w:t>
      </w:r>
      <w:r>
        <w:t xml:space="preserve">, no había registrado respuesta al requerimiento de acceso a la información, el cual se presentó, el quince de noviembre de dos mil veinticuatro. </w:t>
      </w:r>
    </w:p>
    <w:p w14:paraId="4FDE921C" w14:textId="77777777" w:rsidR="00253B74" w:rsidRDefault="00253B74">
      <w:pPr>
        <w:spacing w:after="0" w:line="360" w:lineRule="auto"/>
      </w:pPr>
    </w:p>
    <w:p w14:paraId="28981F14" w14:textId="77777777" w:rsidR="00253B74" w:rsidRDefault="00B76585">
      <w:pPr>
        <w:spacing w:after="0" w:line="360" w:lineRule="auto"/>
        <w:rPr>
          <w:color w:val="000000"/>
        </w:rPr>
      </w:pPr>
      <w:bookmarkStart w:id="19" w:name="_heading=h.3j2qqm3" w:colFirst="0" w:colLast="0"/>
      <w:bookmarkEnd w:id="19"/>
      <w:r>
        <w:rPr>
          <w:color w:val="000000"/>
        </w:rPr>
        <w:t xml:space="preserve">En ese orden de ideas, el plazo con el que contaba el Sujeto Obligado para emitir contestación al requerimiento informativo </w:t>
      </w:r>
      <w:r>
        <w:rPr>
          <w:b/>
          <w:color w:val="000000"/>
        </w:rPr>
        <w:t>comenzó a correr el diecinueve de noviembre y feneció el nueve de diciembre, ambos de dos mil veinticuatro</w:t>
      </w:r>
      <w:r>
        <w:rPr>
          <w:color w:val="000000"/>
        </w:rPr>
        <w:t xml:space="preserve">; lo anterior, sin contar los días, del dieciséis al dieciocho, veintitrés, veinticuatro y treinta de noviembre, así como, primero, siete </w:t>
      </w:r>
      <w:r>
        <w:rPr>
          <w:color w:val="000000"/>
        </w:rPr>
        <w:lastRenderedPageBreak/>
        <w:t xml:space="preserve">y ocho de diciembre de dicho año, al ser inhábiles, </w:t>
      </w:r>
      <w:r>
        <w:t>de conformidad con los artículos 3°, fracción X, y 159 de la Ley de Transparencia y Acceso a la Información Pública del Estado de México y Municipios y el Calendario Oficial en Materia de Transparencia, Acceso a la Información Pública y Protección de Datos Personales del Estado de México y Municipios, así como de laborales de este Instituto, para el año dos mil veinticuatro y enero dos mil veinticinco.</w:t>
      </w:r>
    </w:p>
    <w:p w14:paraId="6EED131C" w14:textId="77777777" w:rsidR="00253B74" w:rsidRDefault="00253B74">
      <w:pPr>
        <w:spacing w:after="0" w:line="360" w:lineRule="auto"/>
        <w:rPr>
          <w:color w:val="000000"/>
        </w:rPr>
      </w:pPr>
    </w:p>
    <w:p w14:paraId="18031901" w14:textId="77777777" w:rsidR="00253B74" w:rsidRDefault="00B76585">
      <w:pPr>
        <w:spacing w:after="0" w:line="360" w:lineRule="auto"/>
        <w:rPr>
          <w:color w:val="000000"/>
        </w:rPr>
      </w:pPr>
      <w:r>
        <w:rPr>
          <w:color w:val="000000"/>
        </w:rPr>
        <w:t>Así, este Instituto verificó que, en efecto, no se registró respuesta a la solicitud de información de la persona Recurrente, en el Sistema de Acceso a la Información Mexiquense (SAIMEX), tal como se observa a continuación:</w:t>
      </w:r>
    </w:p>
    <w:p w14:paraId="49E2EA58" w14:textId="77777777" w:rsidR="00253B74" w:rsidRDefault="00253B74">
      <w:pPr>
        <w:spacing w:after="0" w:line="360" w:lineRule="auto"/>
      </w:pPr>
    </w:p>
    <w:p w14:paraId="2145078A" w14:textId="77777777" w:rsidR="00253B74" w:rsidRDefault="00B76585">
      <w:pPr>
        <w:spacing w:after="0" w:line="360" w:lineRule="auto"/>
        <w:jc w:val="center"/>
      </w:pPr>
      <w:r>
        <w:rPr>
          <w:noProof/>
        </w:rPr>
        <w:drawing>
          <wp:inline distT="0" distB="0" distL="0" distR="0" wp14:anchorId="61503395" wp14:editId="5CD7CA79">
            <wp:extent cx="3613961" cy="1802111"/>
            <wp:effectExtent l="0" t="0" r="0" b="0"/>
            <wp:docPr id="657181428"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8"/>
                    <a:srcRect/>
                    <a:stretch>
                      <a:fillRect/>
                    </a:stretch>
                  </pic:blipFill>
                  <pic:spPr>
                    <a:xfrm>
                      <a:off x="0" y="0"/>
                      <a:ext cx="3613961" cy="1802111"/>
                    </a:xfrm>
                    <a:prstGeom prst="rect">
                      <a:avLst/>
                    </a:prstGeom>
                    <a:ln/>
                  </pic:spPr>
                </pic:pic>
              </a:graphicData>
            </a:graphic>
          </wp:inline>
        </w:drawing>
      </w:r>
    </w:p>
    <w:p w14:paraId="703EFD3D" w14:textId="77777777" w:rsidR="00253B74" w:rsidRDefault="00253B74">
      <w:pPr>
        <w:spacing w:after="0" w:line="360" w:lineRule="auto"/>
        <w:jc w:val="center"/>
        <w:rPr>
          <w:color w:val="000000"/>
        </w:rPr>
      </w:pPr>
    </w:p>
    <w:p w14:paraId="3B8611A2" w14:textId="77777777" w:rsidR="00253B74" w:rsidRDefault="00B76585">
      <w:pPr>
        <w:tabs>
          <w:tab w:val="left" w:pos="4962"/>
        </w:tabs>
        <w:spacing w:after="0" w:line="360" w:lineRule="auto"/>
        <w:rPr>
          <w:color w:val="000000"/>
        </w:rPr>
      </w:pPr>
      <w:r>
        <w:rPr>
          <w:color w:val="000000"/>
        </w:rPr>
        <w:t xml:space="preserve">Conforme a lo anterior, se colige que, tal como lo precisó la persona Recurrente, el </w:t>
      </w:r>
      <w:r>
        <w:t>Ayuntamiento de Ixtapaluca</w:t>
      </w:r>
      <w:r>
        <w:rPr>
          <w:color w:val="000000"/>
        </w:rPr>
        <w:t xml:space="preserve">, no emitió respuesta para dar contestación a la solicitud de acceso a la información pública, dentro de los plazos establecidos en el artículo 163, de la Ley de Transparencia y Acceso a la Información Pública del Estado de México y Municipios, pues </w:t>
      </w:r>
      <w:r>
        <w:rPr>
          <w:b/>
          <w:color w:val="000000"/>
        </w:rPr>
        <w:t>tenía hasta el nueve de diciembre de dos mil veinticuatro</w:t>
      </w:r>
      <w:r>
        <w:rPr>
          <w:color w:val="000000"/>
        </w:rPr>
        <w:t xml:space="preserve">, para realizar dicha situación, por lo que es evidente que el agravio es </w:t>
      </w:r>
      <w:r>
        <w:rPr>
          <w:b/>
          <w:color w:val="000000"/>
        </w:rPr>
        <w:t xml:space="preserve">FUNDADO. </w:t>
      </w:r>
      <w:r>
        <w:rPr>
          <w:color w:val="000000"/>
        </w:rPr>
        <w:t>No obstante, durante la substanciación del Medio de Impugnación, el Ente Recurrido emitió contestación, por lo que se procede a su análisis, para lo cual es necesario contextualizar la solicitud de información.</w:t>
      </w:r>
    </w:p>
    <w:p w14:paraId="215F5316" w14:textId="77777777" w:rsidR="00253B74" w:rsidRDefault="00B76585">
      <w:pPr>
        <w:spacing w:after="0" w:line="360" w:lineRule="auto"/>
        <w:rPr>
          <w:color w:val="0D0D0D"/>
        </w:rPr>
      </w:pPr>
      <w:r>
        <w:lastRenderedPageBreak/>
        <w:t xml:space="preserve">Sobre el tema, López Olvera, Miguel Alejandro </w:t>
      </w:r>
      <w:proofErr w:type="spellStart"/>
      <w:r>
        <w:t>Cancino</w:t>
      </w:r>
      <w:proofErr w:type="spellEnd"/>
      <w:r>
        <w:t xml:space="preserve"> Gómez, Rodolfo. (2020). “La Contratación Pública y el Sistema Nacional Anticorrupción”. (p. 4) la </w:t>
      </w:r>
      <w:r>
        <w:rPr>
          <w:b/>
        </w:rPr>
        <w:t>contratación pública</w:t>
      </w:r>
      <w:r>
        <w:t>,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610347A9" w14:textId="77777777" w:rsidR="00253B74" w:rsidRDefault="00253B74">
      <w:pPr>
        <w:spacing w:after="0" w:line="360" w:lineRule="auto"/>
      </w:pPr>
    </w:p>
    <w:p w14:paraId="55E101F9" w14:textId="77777777" w:rsidR="00253B74" w:rsidRDefault="00B76585">
      <w:pPr>
        <w:spacing w:after="0" w:line="360" w:lineRule="auto"/>
      </w:pPr>
      <w:r>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contratación de servicios de cualquier naturaleza. </w:t>
      </w:r>
    </w:p>
    <w:p w14:paraId="341596A8" w14:textId="77777777" w:rsidR="00253B74" w:rsidRDefault="00253B74">
      <w:pPr>
        <w:spacing w:after="0" w:line="360" w:lineRule="auto"/>
      </w:pPr>
    </w:p>
    <w:p w14:paraId="3B4185C5" w14:textId="77777777" w:rsidR="00253B74" w:rsidRDefault="00B76585">
      <w:pPr>
        <w:spacing w:after="0" w:line="360" w:lineRule="auto"/>
      </w:pPr>
      <w:r>
        <w:t>En ese contexto, conforme a los artículos 26 y 27 de dicho ordenamiento jurídico, las adquisiciones, arrendamientos y servicios, se adjudicarán a través de procedimientos de licitación pública, invitación restringida y adjudicación directa.</w:t>
      </w:r>
    </w:p>
    <w:p w14:paraId="5BB5AF21" w14:textId="77777777" w:rsidR="00253B74" w:rsidRDefault="00253B74">
      <w:pPr>
        <w:spacing w:after="0" w:line="360" w:lineRule="auto"/>
      </w:pPr>
    </w:p>
    <w:p w14:paraId="640C79A6" w14:textId="77777777" w:rsidR="00253B74" w:rsidRDefault="00B76585">
      <w:pPr>
        <w:spacing w:after="0" w:line="360" w:lineRule="auto"/>
      </w:pPr>
      <w:r>
        <w:t>En ese orden de ideas, conforme al artículo 65 de la Ley de Contratación Pública del Estado de México y Municipios, la adjudicación de un procedimiento de adquisición y arrendamiento de bienes y contratación de servicios se realizará mediante la suscripción de un contrato, entre el Ayuntamiento y la persona a la cual haya ganado el procedimiento respectivo, dentro de los diez días hábiles siguientes a la notificación del fallo.</w:t>
      </w:r>
    </w:p>
    <w:p w14:paraId="4DA3CE63" w14:textId="77777777" w:rsidR="00253B74" w:rsidRDefault="00253B74">
      <w:pPr>
        <w:spacing w:after="0" w:line="360" w:lineRule="auto"/>
      </w:pPr>
    </w:p>
    <w:p w14:paraId="20319A30" w14:textId="77777777" w:rsidR="00253B74" w:rsidRDefault="00B76585">
      <w:pPr>
        <w:spacing w:after="0" w:line="360" w:lineRule="auto"/>
        <w:rPr>
          <w:b/>
        </w:rPr>
      </w:pPr>
      <w:r>
        <w:t xml:space="preserve">Ahora bien, conforme al artículo 120 del Reglamento de la Ley de Contratación Pública del Estado de México y Municipios, dichos actos jurídicos se conforman por diversos datos, entre </w:t>
      </w:r>
      <w:r>
        <w:lastRenderedPageBreak/>
        <w:t>los cuales, se encuentran los datos de identificación de las partes y del contrato, así como el importe total.</w:t>
      </w:r>
    </w:p>
    <w:p w14:paraId="29F4DE55" w14:textId="77777777" w:rsidR="00253B74" w:rsidRDefault="00253B74">
      <w:pPr>
        <w:spacing w:after="0" w:line="360" w:lineRule="auto"/>
        <w:rPr>
          <w:b/>
        </w:rPr>
      </w:pPr>
    </w:p>
    <w:p w14:paraId="320233E1" w14:textId="77777777" w:rsidR="00253B74" w:rsidRDefault="00B76585">
      <w:pPr>
        <w:spacing w:after="0" w:line="360" w:lineRule="auto"/>
      </w:pPr>
      <w: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 </w:t>
      </w:r>
    </w:p>
    <w:p w14:paraId="198CFFC7" w14:textId="77777777" w:rsidR="00253B74" w:rsidRDefault="00253B74">
      <w:pPr>
        <w:spacing w:after="0" w:line="360" w:lineRule="auto"/>
      </w:pPr>
    </w:p>
    <w:p w14:paraId="513D423E" w14:textId="77777777" w:rsidR="00253B74" w:rsidRDefault="00B76585">
      <w:pPr>
        <w:spacing w:after="0" w:line="360" w:lineRule="auto"/>
        <w:ind w:right="-93"/>
      </w:pPr>
      <w:r>
        <w:t>Lo anterior,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 a continuación:</w:t>
      </w:r>
    </w:p>
    <w:p w14:paraId="36233345" w14:textId="77777777" w:rsidR="00253B74" w:rsidRDefault="00253B74">
      <w:pPr>
        <w:spacing w:after="0" w:line="360" w:lineRule="auto"/>
        <w:ind w:right="-93"/>
      </w:pPr>
    </w:p>
    <w:p w14:paraId="7F72A35F" w14:textId="77777777" w:rsidR="00253B74" w:rsidRDefault="00B76585">
      <w:pPr>
        <w:spacing w:after="0" w:line="360" w:lineRule="auto"/>
        <w:ind w:right="-93"/>
        <w:jc w:val="center"/>
      </w:pPr>
      <w:r>
        <w:rPr>
          <w:noProof/>
        </w:rPr>
        <w:drawing>
          <wp:inline distT="0" distB="0" distL="0" distR="0" wp14:anchorId="5D7F5AA6" wp14:editId="79C57236">
            <wp:extent cx="4076991" cy="1450398"/>
            <wp:effectExtent l="0" t="0" r="0" b="0"/>
            <wp:docPr id="657181429" name="image3.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abla&#10;&#10;Descripción generada automáticamente"/>
                    <pic:cNvPicPr preferRelativeResize="0"/>
                  </pic:nvPicPr>
                  <pic:blipFill>
                    <a:blip r:embed="rId9"/>
                    <a:srcRect/>
                    <a:stretch>
                      <a:fillRect/>
                    </a:stretch>
                  </pic:blipFill>
                  <pic:spPr>
                    <a:xfrm>
                      <a:off x="0" y="0"/>
                      <a:ext cx="4076991" cy="145039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6BB6EA4" wp14:editId="7F904824">
                <wp:simplePos x="0" y="0"/>
                <wp:positionH relativeFrom="column">
                  <wp:posOffset>774700</wp:posOffset>
                </wp:positionH>
                <wp:positionV relativeFrom="paragraph">
                  <wp:posOffset>190500</wp:posOffset>
                </wp:positionV>
                <wp:extent cx="704850" cy="1162050"/>
                <wp:effectExtent l="0" t="0" r="0" b="0"/>
                <wp:wrapNone/>
                <wp:docPr id="657181427" name="Rectángulo 657181427"/>
                <wp:cNvGraphicFramePr/>
                <a:graphic xmlns:a="http://schemas.openxmlformats.org/drawingml/2006/main">
                  <a:graphicData uri="http://schemas.microsoft.com/office/word/2010/wordprocessingShape">
                    <wps:wsp>
                      <wps:cNvSpPr/>
                      <wps:spPr>
                        <a:xfrm>
                          <a:off x="5007863" y="3213263"/>
                          <a:ext cx="676275" cy="1133475"/>
                        </a:xfrm>
                        <a:prstGeom prst="rect">
                          <a:avLst/>
                        </a:prstGeom>
                        <a:noFill/>
                        <a:ln w="28575" cap="flat" cmpd="sng">
                          <a:solidFill>
                            <a:srgbClr val="FFFF00"/>
                          </a:solidFill>
                          <a:prstDash val="solid"/>
                          <a:miter lim="800000"/>
                          <a:headEnd type="none" w="sm" len="sm"/>
                          <a:tailEnd type="none" w="sm" len="sm"/>
                        </a:ln>
                      </wps:spPr>
                      <wps:txbx>
                        <w:txbxContent>
                          <w:p w14:paraId="686B4F16" w14:textId="77777777" w:rsidR="00253B74" w:rsidRDefault="00253B74">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6BB6EA4" id="Rectángulo 657181427" o:spid="_x0000_s1026" style="position:absolute;left:0;text-align:left;margin-left:61pt;margin-top:15pt;width:55.5pt;height:9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" filled="f" strokecolor="yellow" strokeweight="2.25pt">
                <v:stroke startarrowwidth="narrow" startarrowlength="short" endarrowwidth="narrow" endarrowlength="short"/>
                <v:textbox inset="2.53958mm,2.53958mm,2.53958mm,2.53958mm">
                  <w:txbxContent>
                    <w:p w14:paraId="686B4F16" w14:textId="77777777" w:rsidR="00253B74" w:rsidRDefault="00253B74">
                      <w:pPr>
                        <w:spacing w:after="0" w:line="240" w:lineRule="auto"/>
                        <w:jc w:val="left"/>
                        <w:textDirection w:val="btLr"/>
                      </w:pPr>
                    </w:p>
                  </w:txbxContent>
                </v:textbox>
              </v:rect>
            </w:pict>
          </mc:Fallback>
        </mc:AlternateContent>
      </w:r>
    </w:p>
    <w:p w14:paraId="6BF27463" w14:textId="77777777" w:rsidR="00253B74" w:rsidRDefault="00253B74">
      <w:pPr>
        <w:spacing w:after="0" w:line="360" w:lineRule="auto"/>
      </w:pPr>
    </w:p>
    <w:p w14:paraId="4F67E3FD" w14:textId="77777777" w:rsidR="00253B74" w:rsidRDefault="00B76585">
      <w:pPr>
        <w:tabs>
          <w:tab w:val="left" w:pos="4962"/>
        </w:tabs>
        <w:spacing w:after="0" w:line="360" w:lineRule="auto"/>
      </w:pPr>
      <w:r>
        <w:t>Conforme a lo expuesto, se logra vislumbrar que la pretensión de la persona Recurrente es obtener, los contratos celebrados por el Ayuntamiento de Ixtapaluca, del primero de enero de dos mil veintidós al quince de noviembre de dos mil veinticuatro, con sus respectivos anexos, para la adquisición, arrendamiento o subcontratación de los siguientes bienes:</w:t>
      </w:r>
    </w:p>
    <w:p w14:paraId="5FA23BA6" w14:textId="77777777" w:rsidR="00253B74" w:rsidRDefault="00253B74">
      <w:pPr>
        <w:tabs>
          <w:tab w:val="left" w:pos="4962"/>
        </w:tabs>
        <w:spacing w:after="0" w:line="360" w:lineRule="auto"/>
      </w:pPr>
    </w:p>
    <w:p w14:paraId="6DD727DE" w14:textId="77777777" w:rsidR="00253B74" w:rsidRDefault="00B76585">
      <w:pPr>
        <w:numPr>
          <w:ilvl w:val="0"/>
          <w:numId w:val="4"/>
        </w:numPr>
        <w:pBdr>
          <w:top w:val="nil"/>
          <w:left w:val="nil"/>
          <w:bottom w:val="nil"/>
          <w:right w:val="nil"/>
          <w:between w:val="nil"/>
        </w:pBdr>
        <w:tabs>
          <w:tab w:val="left" w:pos="4962"/>
        </w:tabs>
        <w:spacing w:after="0" w:line="360" w:lineRule="auto"/>
      </w:pPr>
      <w:r>
        <w:rPr>
          <w:color w:val="000000"/>
        </w:rPr>
        <w:t>Equipos de cómputo;</w:t>
      </w:r>
    </w:p>
    <w:p w14:paraId="7221644F" w14:textId="77777777" w:rsidR="00253B74" w:rsidRDefault="00B76585">
      <w:pPr>
        <w:numPr>
          <w:ilvl w:val="0"/>
          <w:numId w:val="4"/>
        </w:numPr>
        <w:pBdr>
          <w:top w:val="nil"/>
          <w:left w:val="nil"/>
          <w:bottom w:val="nil"/>
          <w:right w:val="nil"/>
          <w:between w:val="nil"/>
        </w:pBdr>
        <w:tabs>
          <w:tab w:val="left" w:pos="4962"/>
        </w:tabs>
        <w:spacing w:after="0" w:line="360" w:lineRule="auto"/>
        <w:rPr>
          <w:i/>
          <w:color w:val="000000"/>
        </w:rPr>
      </w:pPr>
      <w:r>
        <w:rPr>
          <w:i/>
          <w:color w:val="000000"/>
        </w:rPr>
        <w:t>Software</w:t>
      </w:r>
      <w:r>
        <w:rPr>
          <w:color w:val="000000"/>
        </w:rPr>
        <w:t>;</w:t>
      </w:r>
    </w:p>
    <w:p w14:paraId="061223DD" w14:textId="77777777" w:rsidR="00253B74" w:rsidRDefault="00B76585">
      <w:pPr>
        <w:numPr>
          <w:ilvl w:val="0"/>
          <w:numId w:val="4"/>
        </w:numPr>
        <w:pBdr>
          <w:top w:val="nil"/>
          <w:left w:val="nil"/>
          <w:bottom w:val="nil"/>
          <w:right w:val="nil"/>
          <w:between w:val="nil"/>
        </w:pBdr>
        <w:tabs>
          <w:tab w:val="left" w:pos="4962"/>
        </w:tabs>
        <w:spacing w:after="0" w:line="360" w:lineRule="auto"/>
      </w:pPr>
      <w:r>
        <w:rPr>
          <w:color w:val="000000"/>
        </w:rPr>
        <w:t>Vehículos;</w:t>
      </w:r>
    </w:p>
    <w:p w14:paraId="00F67DD3" w14:textId="77777777" w:rsidR="00253B74" w:rsidRDefault="00B76585">
      <w:pPr>
        <w:numPr>
          <w:ilvl w:val="0"/>
          <w:numId w:val="4"/>
        </w:numPr>
        <w:pBdr>
          <w:top w:val="nil"/>
          <w:left w:val="nil"/>
          <w:bottom w:val="nil"/>
          <w:right w:val="nil"/>
          <w:between w:val="nil"/>
        </w:pBdr>
        <w:tabs>
          <w:tab w:val="left" w:pos="4962"/>
        </w:tabs>
        <w:spacing w:after="0" w:line="360" w:lineRule="auto"/>
      </w:pPr>
      <w:r>
        <w:rPr>
          <w:color w:val="000000"/>
        </w:rPr>
        <w:t>Lámparas de alumbrado público, y</w:t>
      </w:r>
    </w:p>
    <w:p w14:paraId="0B45C566" w14:textId="77777777" w:rsidR="00253B74" w:rsidRDefault="00B76585">
      <w:pPr>
        <w:numPr>
          <w:ilvl w:val="0"/>
          <w:numId w:val="4"/>
        </w:numPr>
        <w:pBdr>
          <w:top w:val="nil"/>
          <w:left w:val="nil"/>
          <w:bottom w:val="nil"/>
          <w:right w:val="nil"/>
          <w:between w:val="nil"/>
        </w:pBdr>
        <w:tabs>
          <w:tab w:val="left" w:pos="4962"/>
        </w:tabs>
        <w:spacing w:after="0" w:line="360" w:lineRule="auto"/>
      </w:pPr>
      <w:r>
        <w:rPr>
          <w:color w:val="000000"/>
        </w:rPr>
        <w:t>Uniformes.</w:t>
      </w:r>
    </w:p>
    <w:p w14:paraId="0EB280F2" w14:textId="77777777" w:rsidR="00253B74" w:rsidRDefault="00253B74">
      <w:pPr>
        <w:spacing w:after="0" w:line="360" w:lineRule="auto"/>
      </w:pPr>
    </w:p>
    <w:p w14:paraId="71098D4E" w14:textId="77777777" w:rsidR="00253B74" w:rsidRDefault="00B76585">
      <w:pPr>
        <w:spacing w:after="0" w:line="360" w:lineRule="auto"/>
        <w:rPr>
          <w:color w:val="000000"/>
        </w:rPr>
      </w:pPr>
      <w:r>
        <w:t>Establecido lo anterior, se procede analizar lo proporcionado por el Sujeto Obligado, para lo cual es necesario precisar que el Tesorero Municipal mencionó que, respecto de las lámparas de alumbrado público entregaba el contrato y factura del ejercicio fiscal dos mil veinticuatro, como proyecto de versión pública, sin embargo</w:t>
      </w:r>
      <w:r>
        <w:rPr>
          <w:color w:val="000000"/>
        </w:rPr>
        <w:t>, se omitió adjuntar los documentos mencionados en el Informe Justificado; s</w:t>
      </w:r>
      <w:r>
        <w:t xml:space="preserve">obre el tema el </w:t>
      </w:r>
      <w:r>
        <w:rPr>
          <w:color w:val="000000"/>
        </w:rPr>
        <w:t>artículo 1.8, fracción IX, del Código Administrativo del Estado de México, establece que para que un acto administrativo tenga validez, deberá guardar congruencia con lo solicitado.</w:t>
      </w:r>
    </w:p>
    <w:p w14:paraId="167ED32D" w14:textId="77777777" w:rsidR="00253B74" w:rsidRDefault="00253B74">
      <w:pPr>
        <w:spacing w:after="0" w:line="360" w:lineRule="auto"/>
        <w:rPr>
          <w:color w:val="000000"/>
        </w:rPr>
      </w:pPr>
    </w:p>
    <w:p w14:paraId="1A781B86" w14:textId="77777777" w:rsidR="00253B74" w:rsidRDefault="00B76585">
      <w:pPr>
        <w:tabs>
          <w:tab w:val="center" w:pos="4522"/>
        </w:tabs>
        <w:spacing w:after="0" w:line="360" w:lineRule="auto"/>
        <w:rPr>
          <w:color w:val="000000"/>
          <w:sz w:val="24"/>
          <w:szCs w:val="24"/>
        </w:rPr>
      </w:pPr>
      <w:r>
        <w:rPr>
          <w:color w:val="000000"/>
        </w:rPr>
        <w:t xml:space="preserve">Situación que se robustece, con el </w:t>
      </w:r>
      <w:proofErr w:type="spellStart"/>
      <w:r>
        <w:t>el</w:t>
      </w:r>
      <w:proofErr w:type="spellEnd"/>
      <w:r>
        <w:t xml:space="preserve"> Criterio de Interpretación, con clave de control SO/002/2017, de la Segunda Época, emitido por el Instituto Nacional de Transparencia, Acceso a la Información y Protección de Datos Personales, que </w:t>
      </w:r>
      <w:r>
        <w:rPr>
          <w:color w:val="000000"/>
        </w:rPr>
        <w:t xml:space="preserve">establece que todo acto administrativo debe apegarse al </w:t>
      </w:r>
      <w:r>
        <w:rPr>
          <w:b/>
          <w:color w:val="000000"/>
        </w:rPr>
        <w:t>principio de congruencia</w:t>
      </w:r>
      <w:r>
        <w:rPr>
          <w:color w:val="000000"/>
        </w:rPr>
        <w:t>, entendiendo por éste que exista concordancia entre el requerimiento formulado por el particular y la respuesta proporcionada por el sujeto obligado,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CC4A3AC" w14:textId="77777777" w:rsidR="00253B74" w:rsidRDefault="00253B74">
      <w:pPr>
        <w:spacing w:after="0" w:line="360" w:lineRule="auto"/>
      </w:pPr>
    </w:p>
    <w:p w14:paraId="6EC7B59A" w14:textId="77777777" w:rsidR="00253B74" w:rsidRDefault="00B76585">
      <w:pPr>
        <w:spacing w:after="0" w:line="360" w:lineRule="auto"/>
      </w:pPr>
      <w:r>
        <w:lastRenderedPageBreak/>
        <w:t xml:space="preserve">Del citado criterio, se desprende que todo acto administrativo debe apegarse al </w:t>
      </w:r>
      <w:r>
        <w:rPr>
          <w:b/>
        </w:rPr>
        <w:t xml:space="preserve">Principio de Congruencia, </w:t>
      </w:r>
      <w:r>
        <w:t>el cual</w:t>
      </w:r>
      <w:r>
        <w:rPr>
          <w:b/>
        </w:rPr>
        <w:t xml:space="preserve"> </w:t>
      </w:r>
      <w:r>
        <w:t>implica que exista concordancia entre el requerimiento formulado y la respuesta entregada; por lo que, el Sujeto Obligado no atendió dicho principio, pues como se precisó señaló que proporcionaba determinada información, la cual no adjuntó, por lo que no se puede validar dicha contestación.</w:t>
      </w:r>
    </w:p>
    <w:p w14:paraId="7E8ED704" w14:textId="77777777" w:rsidR="00253B74" w:rsidRDefault="00253B74">
      <w:pPr>
        <w:spacing w:after="0" w:line="360" w:lineRule="auto"/>
      </w:pPr>
    </w:p>
    <w:p w14:paraId="48DBC13E" w14:textId="77777777" w:rsidR="00253B74" w:rsidRDefault="00B76585">
      <w:pPr>
        <w:tabs>
          <w:tab w:val="left" w:pos="4962"/>
        </w:tabs>
        <w:spacing w:after="0" w:line="360" w:lineRule="auto"/>
        <w:rPr>
          <w:b/>
        </w:rPr>
      </w:pPr>
      <w:r>
        <w:t xml:space="preserve">Por otra parte, la Tesorería Municipal mencionó que para obtener la información restante se debía turnar la solicitud a las áreas que de acuerdo con sus atribuciones, funciones y facultades tuvieran competencia para conocer de la misma; </w:t>
      </w:r>
      <w:r>
        <w:rPr>
          <w:color w:val="000000"/>
        </w:rPr>
        <w:t>sobre el tema</w:t>
      </w:r>
      <w:r>
        <w:t xml:space="preserve">, según Jarquín, Soledad (2019), en el “Diccionario de Transparencia y Acceso a la Información Pública” (p. 68), </w:t>
      </w:r>
      <w:r>
        <w:rPr>
          <w:b/>
        </w:rPr>
        <w:t>la búsqueda exhaustiva</w:t>
      </w:r>
      <w:r>
        <w:t xml:space="preserve"> es la obligación del área administrativa del Sujeto Obligado que cuenta o puede contar con la información requerida, la cual consiste en localizar toda aquella que atienda la solicitud, </w:t>
      </w:r>
      <w:r>
        <w:rPr>
          <w:b/>
        </w:rPr>
        <w:t>hasta agotar por completo las posibilidades de indagación.</w:t>
      </w:r>
    </w:p>
    <w:p w14:paraId="31914D0D" w14:textId="77777777" w:rsidR="00253B74" w:rsidRDefault="00253B74">
      <w:pPr>
        <w:tabs>
          <w:tab w:val="left" w:pos="4962"/>
        </w:tabs>
        <w:spacing w:after="0" w:line="360" w:lineRule="auto"/>
        <w:rPr>
          <w:b/>
        </w:rPr>
      </w:pPr>
    </w:p>
    <w:p w14:paraId="2E45CA49" w14:textId="77777777" w:rsidR="00253B74" w:rsidRDefault="00B76585">
      <w:pPr>
        <w:tabs>
          <w:tab w:val="left" w:pos="4962"/>
        </w:tabs>
        <w:spacing w:after="0" w:line="360" w:lineRule="auto"/>
        <w:rPr>
          <w:b/>
        </w:rPr>
      </w:pPr>
      <w:r>
        <w:t xml:space="preserve">Además, según Calero, Natalia (2016), en la “Ley General de Transparencia y Acceso a la Información Pública Comentada” (p. 408), para que exista una búsqueda exhaustiva y razonable, se debe hacer una </w:t>
      </w:r>
      <w:r>
        <w:rPr>
          <w:b/>
        </w:rPr>
        <w:t xml:space="preserve">indagación consiente y minuciosa en sus archivos físicos y electrónicos. </w:t>
      </w:r>
    </w:p>
    <w:p w14:paraId="466E0ED6" w14:textId="77777777" w:rsidR="00253B74" w:rsidRDefault="00253B74">
      <w:pPr>
        <w:tabs>
          <w:tab w:val="left" w:pos="4962"/>
        </w:tabs>
        <w:spacing w:after="0" w:line="360" w:lineRule="auto"/>
        <w:rPr>
          <w:b/>
        </w:rPr>
      </w:pPr>
    </w:p>
    <w:p w14:paraId="073C0A0D" w14:textId="77777777" w:rsidR="00253B74" w:rsidRDefault="00B76585">
      <w:pPr>
        <w:tabs>
          <w:tab w:val="left" w:pos="4962"/>
        </w:tabs>
        <w:spacing w:after="0" w:line="360" w:lineRule="auto"/>
        <w:rPr>
          <w:b/>
        </w:rPr>
      </w:pPr>
      <w:r>
        <w:t xml:space="preserve">Conforme a lo anterior, para poder acreditar el carácter exhaustivo de la búsqueda realizada por los Sujetos Obligados, se deben motivar las razones por las que se buscó la información en determinadas áreas, </w:t>
      </w:r>
      <w:r>
        <w:rPr>
          <w:b/>
        </w:rPr>
        <w:t>los criterios de búsqueda utilizados y demás circunstancias que fueron tomadas en cuenta.</w:t>
      </w:r>
    </w:p>
    <w:p w14:paraId="255A5430" w14:textId="77777777" w:rsidR="00253B74" w:rsidRDefault="00253B74">
      <w:pPr>
        <w:tabs>
          <w:tab w:val="left" w:pos="4962"/>
        </w:tabs>
        <w:spacing w:after="0" w:line="360" w:lineRule="auto"/>
      </w:pPr>
    </w:p>
    <w:p w14:paraId="155C8983" w14:textId="77777777" w:rsidR="00253B74" w:rsidRDefault="00B76585">
      <w:pPr>
        <w:tabs>
          <w:tab w:val="left" w:pos="4962"/>
        </w:tabs>
        <w:spacing w:after="0" w:line="360" w:lineRule="auto"/>
      </w:pPr>
      <w:r>
        <w:t xml:space="preserve">En ese contexto, de conformidad con los criterios con clave de control SO/012/2010 y SO/004/2019, emitidos por el Instituto Nacional de Transparencia, Acceso a la Información y </w:t>
      </w:r>
      <w:r>
        <w:lastRenderedPageBreak/>
        <w:t>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1A14126D" w14:textId="77777777" w:rsidR="00253B74" w:rsidRDefault="00253B74">
      <w:pPr>
        <w:tabs>
          <w:tab w:val="left" w:pos="4962"/>
        </w:tabs>
        <w:spacing w:after="0" w:line="360" w:lineRule="auto"/>
      </w:pPr>
    </w:p>
    <w:p w14:paraId="0F139D0B" w14:textId="77777777" w:rsidR="00253B74" w:rsidRDefault="00B76585">
      <w:pPr>
        <w:numPr>
          <w:ilvl w:val="0"/>
          <w:numId w:val="5"/>
        </w:numPr>
        <w:tabs>
          <w:tab w:val="left" w:pos="4962"/>
        </w:tabs>
        <w:spacing w:after="0" w:line="360" w:lineRule="auto"/>
      </w:pPr>
      <w:r>
        <w:t>Motivación por las que se buscó la información, en determinadas unidades administrativas;</w:t>
      </w:r>
    </w:p>
    <w:p w14:paraId="7E7C605F" w14:textId="77777777" w:rsidR="00253B74" w:rsidRDefault="00B76585">
      <w:pPr>
        <w:numPr>
          <w:ilvl w:val="0"/>
          <w:numId w:val="5"/>
        </w:numPr>
        <w:tabs>
          <w:tab w:val="left" w:pos="4962"/>
        </w:tabs>
        <w:spacing w:after="0" w:line="360" w:lineRule="auto"/>
      </w:pPr>
      <w:r>
        <w:t>Los criterios de búsqueda utilizados, y</w:t>
      </w:r>
    </w:p>
    <w:p w14:paraId="048A1141" w14:textId="77777777" w:rsidR="00253B74" w:rsidRDefault="00B76585">
      <w:pPr>
        <w:numPr>
          <w:ilvl w:val="0"/>
          <w:numId w:val="5"/>
        </w:numPr>
        <w:tabs>
          <w:tab w:val="left" w:pos="4962"/>
        </w:tabs>
        <w:spacing w:after="0" w:line="360" w:lineRule="auto"/>
      </w:pPr>
      <w:r>
        <w:t>Las circunstancias que fueron tomadas en cuenta.</w:t>
      </w:r>
    </w:p>
    <w:p w14:paraId="3FC49E17" w14:textId="77777777" w:rsidR="00253B74" w:rsidRDefault="00253B74">
      <w:pPr>
        <w:tabs>
          <w:tab w:val="left" w:pos="4962"/>
        </w:tabs>
        <w:spacing w:after="0" w:line="360" w:lineRule="auto"/>
      </w:pPr>
    </w:p>
    <w:p w14:paraId="74F1AA06" w14:textId="77777777" w:rsidR="00253B74" w:rsidRDefault="00B76585">
      <w:pPr>
        <w:tabs>
          <w:tab w:val="left" w:pos="4962"/>
        </w:tabs>
        <w:spacing w:after="0" w:line="360" w:lineRule="auto"/>
      </w:pPr>
      <w:r>
        <w:t>De tales circunstancias, se considera que para que los Sujetos Obligado justifiquen que realizaron una búsqueda exhaustiva y razonable, deben indicar de manera clara, lo siguiente:</w:t>
      </w:r>
    </w:p>
    <w:p w14:paraId="7614A7EE" w14:textId="77777777" w:rsidR="00253B74" w:rsidRDefault="00253B74">
      <w:pPr>
        <w:tabs>
          <w:tab w:val="left" w:pos="4962"/>
        </w:tabs>
        <w:spacing w:after="0" w:line="360" w:lineRule="auto"/>
      </w:pPr>
    </w:p>
    <w:p w14:paraId="117B4A21" w14:textId="77777777" w:rsidR="00253B74" w:rsidRDefault="00B76585">
      <w:pPr>
        <w:numPr>
          <w:ilvl w:val="0"/>
          <w:numId w:val="6"/>
        </w:numPr>
        <w:tabs>
          <w:tab w:val="left" w:pos="4962"/>
        </w:tabs>
        <w:spacing w:after="0" w:line="360" w:lineRule="auto"/>
      </w:pPr>
      <w:r>
        <w:t>Las áreas donde se buscó la información;</w:t>
      </w:r>
    </w:p>
    <w:p w14:paraId="41D7806C" w14:textId="77777777" w:rsidR="00253B74" w:rsidRDefault="00B76585">
      <w:pPr>
        <w:numPr>
          <w:ilvl w:val="0"/>
          <w:numId w:val="6"/>
        </w:numPr>
        <w:tabs>
          <w:tab w:val="left" w:pos="4962"/>
        </w:tabs>
        <w:spacing w:after="0" w:line="360" w:lineRule="auto"/>
      </w:pPr>
      <w:r>
        <w:t>Tipo de archivos buscados (físicos o electrónicos);</w:t>
      </w:r>
    </w:p>
    <w:p w14:paraId="03667E10" w14:textId="77777777" w:rsidR="00253B74" w:rsidRDefault="00B76585">
      <w:pPr>
        <w:numPr>
          <w:ilvl w:val="0"/>
          <w:numId w:val="6"/>
        </w:numPr>
        <w:tabs>
          <w:tab w:val="left" w:pos="4962"/>
        </w:tabs>
        <w:spacing w:after="0" w:line="360" w:lineRule="auto"/>
      </w:pPr>
      <w:r>
        <w:t xml:space="preserve">Los criterios de búsqueda utilizados, y </w:t>
      </w:r>
    </w:p>
    <w:p w14:paraId="0DFEE297" w14:textId="77777777" w:rsidR="00253B74" w:rsidRDefault="00B76585">
      <w:pPr>
        <w:numPr>
          <w:ilvl w:val="0"/>
          <w:numId w:val="6"/>
        </w:numPr>
        <w:tabs>
          <w:tab w:val="left" w:pos="4962"/>
        </w:tabs>
        <w:spacing w:after="0" w:line="360" w:lineRule="auto"/>
      </w:pPr>
      <w:r>
        <w:t>Las circunstancias que fueron tomadas en cuenta.</w:t>
      </w:r>
      <w:r>
        <w:tab/>
      </w:r>
    </w:p>
    <w:p w14:paraId="064765DE" w14:textId="77777777" w:rsidR="00253B74" w:rsidRDefault="00253B74">
      <w:pPr>
        <w:spacing w:after="0" w:line="360" w:lineRule="auto"/>
      </w:pPr>
    </w:p>
    <w:p w14:paraId="7C1BB329" w14:textId="77777777" w:rsidR="00253B74" w:rsidRDefault="00B76585">
      <w:pPr>
        <w:spacing w:after="0" w:line="360" w:lineRule="auto"/>
      </w:pPr>
      <w:r>
        <w:t>En ese contexto, el artículo 71, fracción I, incisos d y f del Bando Municipal de Ixtapaluca, dos mil veinticuatro, precisan que el Sujeto Obligado para el ejercicio de sus funciones, contara con una Tesorería Municipal y una Dirección de Administración y Recursos Humanos, que conforme al Manual de Organización de la Dirección de Administración y Finanzas cuentan con las siguientes funciones:</w:t>
      </w:r>
    </w:p>
    <w:p w14:paraId="4DB530F7" w14:textId="77777777" w:rsidR="00253B74" w:rsidRDefault="00253B74">
      <w:pPr>
        <w:spacing w:after="0" w:line="360" w:lineRule="auto"/>
      </w:pPr>
    </w:p>
    <w:p w14:paraId="3B246459" w14:textId="77777777" w:rsidR="00253B74" w:rsidRDefault="00B76585">
      <w:pPr>
        <w:numPr>
          <w:ilvl w:val="0"/>
          <w:numId w:val="2"/>
        </w:numPr>
        <w:pBdr>
          <w:top w:val="nil"/>
          <w:left w:val="nil"/>
          <w:bottom w:val="nil"/>
          <w:right w:val="nil"/>
          <w:between w:val="nil"/>
        </w:pBdr>
        <w:spacing w:after="0" w:line="360" w:lineRule="auto"/>
        <w:rPr>
          <w:color w:val="000000"/>
        </w:rPr>
      </w:pPr>
      <w:r>
        <w:rPr>
          <w:b/>
          <w:color w:val="000000"/>
        </w:rPr>
        <w:t xml:space="preserve">Tesorería Municipal: </w:t>
      </w:r>
      <w:r>
        <w:rPr>
          <w:color w:val="000000"/>
        </w:rPr>
        <w:t xml:space="preserve">Que recauda, administra, opera, registra y glosa los recursos que compone la hacienda pública municipal, con la con la finalidad de mantener </w:t>
      </w:r>
      <w:r>
        <w:rPr>
          <w:color w:val="000000"/>
        </w:rPr>
        <w:lastRenderedPageBreak/>
        <w:t>finanzas sanas y contar con la suficiencia económica para cumplir con las obligaciones, funciones y atribuciones de la administración pública municipal.</w:t>
      </w:r>
    </w:p>
    <w:p w14:paraId="7E2A8464" w14:textId="77777777" w:rsidR="00253B74" w:rsidRDefault="00253B74">
      <w:pPr>
        <w:pBdr>
          <w:top w:val="nil"/>
          <w:left w:val="nil"/>
          <w:bottom w:val="nil"/>
          <w:right w:val="nil"/>
          <w:between w:val="nil"/>
        </w:pBdr>
        <w:spacing w:after="0" w:line="360" w:lineRule="auto"/>
        <w:ind w:left="720"/>
        <w:rPr>
          <w:color w:val="000000"/>
        </w:rPr>
      </w:pPr>
    </w:p>
    <w:p w14:paraId="4025FD45" w14:textId="77777777" w:rsidR="00253B74" w:rsidRDefault="00B76585">
      <w:pPr>
        <w:numPr>
          <w:ilvl w:val="0"/>
          <w:numId w:val="2"/>
        </w:numPr>
        <w:pBdr>
          <w:top w:val="nil"/>
          <w:left w:val="nil"/>
          <w:bottom w:val="nil"/>
          <w:right w:val="nil"/>
          <w:between w:val="nil"/>
        </w:pBdr>
        <w:spacing w:after="0" w:line="360" w:lineRule="auto"/>
        <w:rPr>
          <w:b/>
          <w:color w:val="000000"/>
        </w:rPr>
      </w:pPr>
      <w:r>
        <w:rPr>
          <w:b/>
          <w:color w:val="000000"/>
        </w:rPr>
        <w:t xml:space="preserve">Dirección de Administración y Recursos Humanos: </w:t>
      </w:r>
      <w:r>
        <w:rPr>
          <w:color w:val="000000"/>
        </w:rPr>
        <w:t>Que dirige la integración del Programa Anual de Adquisiciones; da seguimiento a las diversas solicitudes de bienes y servicios; revisa los contratos de bienes y servicios.</w:t>
      </w:r>
    </w:p>
    <w:p w14:paraId="0C720D2C" w14:textId="77777777" w:rsidR="00253B74" w:rsidRDefault="00253B74">
      <w:pPr>
        <w:spacing w:after="0" w:line="360" w:lineRule="auto"/>
      </w:pPr>
    </w:p>
    <w:p w14:paraId="0E7000F1" w14:textId="77777777" w:rsidR="00253B74" w:rsidRDefault="00B76585">
      <w:pPr>
        <w:spacing w:after="0" w:line="360" w:lineRule="auto"/>
      </w:pPr>
      <w:r>
        <w:t>De lo anterior, se logra vislumbrar que, si bien turno la solicitud a la Tesorería Municipal, tal como lo señaló esta, omitió hacerlo a la Dirección de Administración y Recursos Humanos, que también tiene competencia para conocer de la información peticionada, al conocer sobre los procedimientos de adjudicación para la obtención de bienes y servicios, por lo que, no se acredita ninguno de los requisitos establecidos para acreditar una búsqueda exhaustiva y razonable, pues inclusive la Tesorería no se pronunció si en el dos mil veinticuatro se habían celebrado contratos para la adquisición de equipos de cómputo, software, vehículos o uniformes.</w:t>
      </w:r>
    </w:p>
    <w:p w14:paraId="79E0DA9D" w14:textId="77777777" w:rsidR="00253B74" w:rsidRDefault="00253B74">
      <w:pPr>
        <w:spacing w:after="0" w:line="360" w:lineRule="auto"/>
      </w:pPr>
    </w:p>
    <w:p w14:paraId="422FBAA9" w14:textId="77777777" w:rsidR="00253B74" w:rsidRDefault="00B76585">
      <w:pPr>
        <w:tabs>
          <w:tab w:val="left" w:pos="4962"/>
        </w:tabs>
        <w:spacing w:after="0" w:line="360" w:lineRule="auto"/>
        <w:rPr>
          <w:color w:val="000000"/>
        </w:rPr>
      </w:pPr>
      <w:r>
        <w:rPr>
          <w:color w:val="000000"/>
        </w:rPr>
        <w:t xml:space="preserve">Así, este Instituto considera que, para atender el requerimiento de información, el Sujeto Obligado deberá realizar una búsqueda exhaustiva y razonable en todas las áreas competentes, entre las cuales no podrá omitir a la Tesorería Municipal y la Dirección de Administración y Recursos Humanos, conforme a los parámetros señalados en la presente Resolución, a efecto de que proporcione los contratos celebrados, con sus respectivos anexos; 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w:t>
      </w:r>
      <w:r>
        <w:rPr>
          <w:color w:val="000000"/>
        </w:rPr>
        <w:lastRenderedPageBreak/>
        <w:t>procesamiento de la misma, ni presentarla conforme al interés del Solicitante, además, que tampoco deberá generarla, resumirla, efectuar cálculos o practicar investigaciones.</w:t>
      </w:r>
    </w:p>
    <w:p w14:paraId="3C18C886" w14:textId="77777777" w:rsidR="00253B74" w:rsidRDefault="00253B74">
      <w:pPr>
        <w:tabs>
          <w:tab w:val="left" w:pos="4962"/>
        </w:tabs>
        <w:spacing w:after="0" w:line="360" w:lineRule="auto"/>
        <w:rPr>
          <w:color w:val="000000"/>
        </w:rPr>
      </w:pPr>
    </w:p>
    <w:p w14:paraId="1DD1A26F" w14:textId="77777777" w:rsidR="00253B74" w:rsidRDefault="00B76585">
      <w:pPr>
        <w:spacing w:after="0" w:line="360" w:lineRule="auto"/>
        <w:rPr>
          <w:color w:val="000000"/>
        </w:rPr>
      </w:pPr>
      <w:r>
        <w:rPr>
          <w:color w:val="000000"/>
        </w:rPr>
        <w:t xml:space="preserve">De esta manera, el derecho de acceso a la información pública se satisface en aquellos casos en que se entregue el soporte documental en el que conste la información solicitada, sin necesidad de elaborar documentos </w:t>
      </w:r>
      <w:r>
        <w:rPr>
          <w:i/>
          <w:color w:val="000000"/>
        </w:rPr>
        <w:t>ad hoc</w:t>
      </w:r>
      <w:r>
        <w:rPr>
          <w:color w:val="000000"/>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0E51496E" w14:textId="77777777" w:rsidR="00253B74" w:rsidRDefault="00253B74">
      <w:pPr>
        <w:spacing w:after="0" w:line="360" w:lineRule="auto"/>
        <w:ind w:right="-28"/>
        <w:rPr>
          <w:color w:val="000000"/>
        </w:rPr>
      </w:pPr>
    </w:p>
    <w:p w14:paraId="5F7AB0EA" w14:textId="77777777" w:rsidR="00253B74" w:rsidRDefault="00B76585">
      <w:pPr>
        <w:spacing w:after="0" w:line="360" w:lineRule="auto"/>
        <w:ind w:right="-28"/>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los contratos y sus anexos.</w:t>
      </w:r>
    </w:p>
    <w:p w14:paraId="00E1E471" w14:textId="77777777" w:rsidR="00253B74" w:rsidRDefault="00253B74">
      <w:pPr>
        <w:spacing w:after="0" w:line="360" w:lineRule="auto"/>
        <w:ind w:right="-28"/>
        <w:rPr>
          <w:color w:val="000000"/>
        </w:rPr>
      </w:pPr>
    </w:p>
    <w:p w14:paraId="750577F2" w14:textId="77777777" w:rsidR="00253B74" w:rsidRDefault="00B76585">
      <w:pPr>
        <w:spacing w:after="0" w:line="360" w:lineRule="auto"/>
        <w:ind w:right="-28"/>
        <w:rPr>
          <w:color w:val="000000"/>
        </w:rPr>
      </w:pPr>
      <w:r>
        <w:rPr>
          <w:color w:val="000000"/>
        </w:rPr>
        <w:t xml:space="preserve">Ahora bien, para el caso de que no haya celebrado contratos para la adquisición de alguno de los conceptos, como pudiera ser equipo de cómputo o </w:t>
      </w:r>
      <w:r>
        <w:rPr>
          <w:i/>
          <w:color w:val="000000"/>
        </w:rPr>
        <w:t xml:space="preserve">software, </w:t>
      </w:r>
      <w:r>
        <w:rPr>
          <w:color w:val="000000"/>
        </w:rPr>
        <w:t>en alguno de los años solicitados, deberá hacerlo del conocimiento de la parte Recurrente, de manera clara y precisa, en términos del artículo 19, párrafo segundo, de la Ley de Transparencia y Acceso a la Información Pública del Estado de México y Municipios.</w:t>
      </w:r>
    </w:p>
    <w:p w14:paraId="6DD78842" w14:textId="77777777" w:rsidR="00253B74" w:rsidRDefault="00253B74">
      <w:pPr>
        <w:spacing w:after="0" w:line="360" w:lineRule="auto"/>
        <w:ind w:right="-28"/>
        <w:rPr>
          <w:color w:val="000000"/>
        </w:rPr>
      </w:pPr>
    </w:p>
    <w:p w14:paraId="00932F69" w14:textId="77777777" w:rsidR="00253B74" w:rsidRDefault="00B76585">
      <w:pPr>
        <w:spacing w:after="0" w:line="360" w:lineRule="auto"/>
        <w:ind w:right="-28"/>
        <w:rPr>
          <w:color w:val="000000"/>
        </w:rPr>
      </w:pPr>
      <w:r>
        <w:rPr>
          <w:color w:val="000000"/>
        </w:rPr>
        <w:t xml:space="preserve">Ahora bien, este Instituto no pasa desapercibido que entre los contratos, pudiera haber información relacionada con vehículos y uniformes adquiridos para el personal de la Dirección General de Seguridad y Prevención Ciudadana, documentos que podrían contar con las  características técnicas y especiales de dichos bienes, por lo que, es necesario analizar si dicha información actualiza alguna causal de clasificación; sobre el tema, el 140, fracción I, </w:t>
      </w:r>
      <w:r>
        <w:rPr>
          <w:color w:val="000000"/>
        </w:rPr>
        <w:lastRenderedPageBreak/>
        <w:t>de la Ley de Transparencia y Acceso a la Información Pública del Estado de México y Municipios, (homólogo del artículo 113, fracción I de la Ley General de Transparencia y Acceso a la Información Pública), prevé lo siguiente:</w:t>
      </w:r>
    </w:p>
    <w:p w14:paraId="298E841F" w14:textId="77777777" w:rsidR="00253B74" w:rsidRDefault="00B76585">
      <w:pPr>
        <w:spacing w:after="0" w:line="360" w:lineRule="auto"/>
        <w:ind w:right="-28"/>
        <w:rPr>
          <w:color w:val="000000"/>
        </w:rPr>
      </w:pPr>
      <w:r>
        <w:rPr>
          <w:i/>
          <w:color w:val="000000"/>
        </w:rPr>
        <w:t> </w:t>
      </w:r>
    </w:p>
    <w:p w14:paraId="5B6F5CD9" w14:textId="77777777" w:rsidR="00253B74" w:rsidRDefault="00B76585">
      <w:pPr>
        <w:spacing w:after="0" w:line="360" w:lineRule="auto"/>
        <w:ind w:left="567" w:right="567"/>
        <w:rPr>
          <w:color w:val="000000"/>
          <w:sz w:val="20"/>
          <w:szCs w:val="20"/>
        </w:rPr>
      </w:pPr>
      <w:r>
        <w:rPr>
          <w:i/>
          <w:color w:val="000000"/>
          <w:sz w:val="20"/>
          <w:szCs w:val="20"/>
        </w:rPr>
        <w:t>“</w:t>
      </w:r>
      <w:r>
        <w:rPr>
          <w:b/>
          <w:i/>
          <w:color w:val="000000"/>
          <w:sz w:val="20"/>
          <w:szCs w:val="20"/>
        </w:rPr>
        <w:t>Artículo 140.</w:t>
      </w:r>
      <w:r>
        <w:rPr>
          <w:i/>
          <w:color w:val="000000"/>
          <w:sz w:val="20"/>
          <w:szCs w:val="20"/>
        </w:rPr>
        <w:t> El acceso a la información pública será restringido excepcionalmente, cuando por razones de interés público, ésta sea clasificada como reservada, conforme a los criterios siguientes:</w:t>
      </w:r>
    </w:p>
    <w:p w14:paraId="5A49D007" w14:textId="77777777" w:rsidR="00253B74" w:rsidRDefault="00B76585">
      <w:pPr>
        <w:spacing w:after="0" w:line="360" w:lineRule="auto"/>
        <w:ind w:left="567" w:right="567"/>
        <w:rPr>
          <w:color w:val="000000"/>
          <w:sz w:val="20"/>
          <w:szCs w:val="20"/>
        </w:rPr>
      </w:pPr>
      <w:r>
        <w:rPr>
          <w:i/>
          <w:color w:val="000000"/>
          <w:sz w:val="20"/>
          <w:szCs w:val="20"/>
        </w:rPr>
        <w:t> </w:t>
      </w:r>
    </w:p>
    <w:p w14:paraId="5CBE80F2" w14:textId="77777777" w:rsidR="00253B74" w:rsidRDefault="00B76585">
      <w:pPr>
        <w:spacing w:after="0" w:line="360" w:lineRule="auto"/>
        <w:ind w:left="567" w:right="567"/>
        <w:rPr>
          <w:color w:val="000000"/>
          <w:sz w:val="20"/>
          <w:szCs w:val="20"/>
        </w:rPr>
      </w:pPr>
      <w:r>
        <w:rPr>
          <w:i/>
          <w:color w:val="000000"/>
          <w:sz w:val="20"/>
          <w:szCs w:val="20"/>
        </w:rPr>
        <w:t>I. Comprometa la seguridad pública y cuente con un propósito genuino y un efecto demostrable;</w:t>
      </w:r>
    </w:p>
    <w:p w14:paraId="1365AD0B" w14:textId="77777777" w:rsidR="00253B74" w:rsidRDefault="00B76585">
      <w:pPr>
        <w:spacing w:after="0" w:line="360" w:lineRule="auto"/>
        <w:ind w:left="567" w:right="567"/>
        <w:rPr>
          <w:color w:val="000000"/>
          <w:sz w:val="20"/>
          <w:szCs w:val="20"/>
        </w:rPr>
      </w:pPr>
      <w:r>
        <w:rPr>
          <w:i/>
          <w:color w:val="000000"/>
          <w:sz w:val="20"/>
          <w:szCs w:val="20"/>
        </w:rPr>
        <w:t>…”</w:t>
      </w:r>
    </w:p>
    <w:p w14:paraId="3EAC2C67" w14:textId="77777777" w:rsidR="00253B74" w:rsidRDefault="00B76585">
      <w:pPr>
        <w:spacing w:after="0" w:line="360" w:lineRule="auto"/>
        <w:ind w:right="-28"/>
        <w:rPr>
          <w:color w:val="000000"/>
        </w:rPr>
      </w:pPr>
      <w:r>
        <w:rPr>
          <w:color w:val="000000"/>
        </w:rPr>
        <w:t> </w:t>
      </w:r>
    </w:p>
    <w:p w14:paraId="6E30481A" w14:textId="77777777" w:rsidR="00253B74" w:rsidRDefault="00B76585">
      <w:pPr>
        <w:spacing w:after="0" w:line="360" w:lineRule="auto"/>
        <w:ind w:right="-28"/>
        <w:rPr>
          <w:color w:val="000000"/>
        </w:rPr>
      </w:pPr>
      <w:r>
        <w:rPr>
          <w:color w:val="000000"/>
        </w:rPr>
        <w:t>De dicho precepto normativo se desprende que podrá clasificarse como información reservada aquella cuya publicación comprometa la seguridad pública y cuente con un propósito genuino y un efecto demostrable. Por su parte, los Lineamientos Generales, disponen:</w:t>
      </w:r>
    </w:p>
    <w:p w14:paraId="4D4B01BC" w14:textId="77777777" w:rsidR="00253B74" w:rsidRDefault="00B76585">
      <w:pPr>
        <w:spacing w:after="0" w:line="360" w:lineRule="auto"/>
        <w:ind w:right="-28"/>
        <w:rPr>
          <w:color w:val="000000"/>
        </w:rPr>
      </w:pPr>
      <w:r>
        <w:rPr>
          <w:color w:val="000000"/>
        </w:rPr>
        <w:t> </w:t>
      </w:r>
    </w:p>
    <w:p w14:paraId="518E5F8A" w14:textId="77777777" w:rsidR="00253B74" w:rsidRDefault="00B76585">
      <w:pPr>
        <w:spacing w:after="0" w:line="360" w:lineRule="auto"/>
        <w:ind w:left="567" w:right="567"/>
        <w:rPr>
          <w:color w:val="000000"/>
          <w:sz w:val="20"/>
          <w:szCs w:val="20"/>
        </w:rPr>
      </w:pPr>
      <w:r>
        <w:rPr>
          <w:b/>
          <w:i/>
          <w:color w:val="000000"/>
          <w:sz w:val="20"/>
          <w:szCs w:val="20"/>
        </w:rPr>
        <w:t>“Décimo octavo. </w:t>
      </w:r>
      <w:r>
        <w:rPr>
          <w:i/>
          <w:color w:val="000000"/>
          <w:sz w:val="20"/>
          <w:szCs w:val="20"/>
        </w:rPr>
        <w:t>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5DF40D98" w14:textId="77777777" w:rsidR="00253B74" w:rsidRDefault="00B76585">
      <w:pPr>
        <w:spacing w:after="0" w:line="360" w:lineRule="auto"/>
        <w:ind w:left="567" w:right="567"/>
        <w:rPr>
          <w:color w:val="000000"/>
          <w:sz w:val="20"/>
          <w:szCs w:val="20"/>
        </w:rPr>
      </w:pPr>
      <w:r>
        <w:rPr>
          <w:i/>
          <w:color w:val="000000"/>
          <w:sz w:val="20"/>
          <w:szCs w:val="20"/>
        </w:rPr>
        <w:t> </w:t>
      </w:r>
    </w:p>
    <w:p w14:paraId="76BA5F99" w14:textId="77777777" w:rsidR="00253B74" w:rsidRDefault="00B76585">
      <w:pPr>
        <w:spacing w:after="0" w:line="360" w:lineRule="auto"/>
        <w:ind w:left="567" w:right="567"/>
        <w:rPr>
          <w:color w:val="000000"/>
          <w:sz w:val="20"/>
          <w:szCs w:val="20"/>
        </w:rPr>
      </w:pPr>
      <w:r>
        <w:rPr>
          <w:i/>
          <w:color w:val="000000"/>
          <w:sz w:val="20"/>
          <w:szCs w:val="20"/>
        </w:rPr>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14:paraId="66F2798D" w14:textId="77777777" w:rsidR="00253B74" w:rsidRDefault="00B76585">
      <w:pPr>
        <w:spacing w:after="0" w:line="360" w:lineRule="auto"/>
        <w:ind w:left="567" w:right="567"/>
        <w:rPr>
          <w:color w:val="000000"/>
          <w:sz w:val="20"/>
          <w:szCs w:val="20"/>
        </w:rPr>
      </w:pPr>
      <w:r>
        <w:rPr>
          <w:i/>
          <w:color w:val="000000"/>
          <w:sz w:val="20"/>
          <w:szCs w:val="20"/>
        </w:rPr>
        <w:t> </w:t>
      </w:r>
    </w:p>
    <w:p w14:paraId="7F2DF18F" w14:textId="77777777" w:rsidR="00253B74" w:rsidRDefault="00B76585">
      <w:pPr>
        <w:spacing w:after="0" w:line="360" w:lineRule="auto"/>
        <w:ind w:left="567" w:right="567"/>
        <w:rPr>
          <w:color w:val="000000"/>
          <w:sz w:val="20"/>
          <w:szCs w:val="20"/>
        </w:rPr>
      </w:pPr>
      <w:r>
        <w:rPr>
          <w:i/>
          <w:color w:val="000000"/>
          <w:sz w:val="20"/>
          <w:szCs w:val="20"/>
        </w:rPr>
        <w:lastRenderedPageBreak/>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2098E4E6" w14:textId="77777777" w:rsidR="00253B74" w:rsidRDefault="00B76585">
      <w:pPr>
        <w:spacing w:after="0" w:line="360" w:lineRule="auto"/>
        <w:ind w:right="-28"/>
        <w:rPr>
          <w:color w:val="000000"/>
        </w:rPr>
      </w:pPr>
      <w:r>
        <w:rPr>
          <w:color w:val="000000"/>
        </w:rPr>
        <w:t> </w:t>
      </w:r>
    </w:p>
    <w:p w14:paraId="24921F67" w14:textId="77777777" w:rsidR="00253B74" w:rsidRDefault="00B76585">
      <w:pPr>
        <w:spacing w:after="0" w:line="360" w:lineRule="auto"/>
        <w:ind w:right="-28"/>
        <w:rPr>
          <w:color w:val="000000"/>
        </w:rPr>
      </w:pPr>
      <w:r>
        <w:rPr>
          <w:color w:val="000000"/>
        </w:rPr>
        <w:t>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w:t>
      </w:r>
    </w:p>
    <w:p w14:paraId="14CB6FB6" w14:textId="77777777" w:rsidR="00253B74" w:rsidRDefault="00B76585">
      <w:pPr>
        <w:spacing w:after="0" w:line="360" w:lineRule="auto"/>
        <w:ind w:right="-28"/>
        <w:rPr>
          <w:color w:val="000000"/>
        </w:rPr>
      </w:pPr>
      <w:r>
        <w:rPr>
          <w:color w:val="000000"/>
        </w:rPr>
        <w:t> </w:t>
      </w:r>
    </w:p>
    <w:p w14:paraId="5B8962EC" w14:textId="77777777" w:rsidR="00253B74" w:rsidRDefault="00B76585">
      <w:pPr>
        <w:spacing w:after="0" w:line="360" w:lineRule="auto"/>
        <w:ind w:right="-28"/>
        <w:rPr>
          <w:color w:val="000000"/>
        </w:rPr>
      </w:pPr>
      <w:r>
        <w:rPr>
          <w:color w:val="000000"/>
        </w:rPr>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40A4CE5A" w14:textId="77777777" w:rsidR="00253B74" w:rsidRDefault="00B76585">
      <w:pPr>
        <w:spacing w:after="0" w:line="360" w:lineRule="auto"/>
        <w:ind w:right="-28"/>
        <w:rPr>
          <w:color w:val="000000"/>
        </w:rPr>
      </w:pPr>
      <w:r>
        <w:rPr>
          <w:color w:val="000000"/>
        </w:rPr>
        <w:t> </w:t>
      </w:r>
    </w:p>
    <w:p w14:paraId="0D8D2BA3" w14:textId="77777777" w:rsidR="00253B74" w:rsidRDefault="00B76585">
      <w:pPr>
        <w:spacing w:after="0" w:line="360" w:lineRule="auto"/>
        <w:ind w:right="-28"/>
        <w:rPr>
          <w:color w:val="000000"/>
        </w:rPr>
      </w:pPr>
      <w:r>
        <w:rPr>
          <w:color w:val="000000"/>
        </w:rPr>
        <w:t>En ese orden de ideas, el artículo 81 de la Ley de Seguridad del Estado de México, que establece lo siguiente:</w:t>
      </w:r>
    </w:p>
    <w:p w14:paraId="7BCFD6FD" w14:textId="77777777" w:rsidR="00253B74" w:rsidRDefault="00B76585">
      <w:pPr>
        <w:spacing w:after="0" w:line="360" w:lineRule="auto"/>
        <w:ind w:right="-28"/>
        <w:rPr>
          <w:color w:val="000000"/>
        </w:rPr>
      </w:pPr>
      <w:r>
        <w:rPr>
          <w:color w:val="000000"/>
        </w:rPr>
        <w:t> </w:t>
      </w:r>
    </w:p>
    <w:p w14:paraId="6F77B2C0" w14:textId="77777777" w:rsidR="00253B74" w:rsidRDefault="00B76585">
      <w:pPr>
        <w:spacing w:after="0" w:line="360" w:lineRule="auto"/>
        <w:ind w:left="567" w:right="567"/>
        <w:rPr>
          <w:color w:val="000000"/>
          <w:sz w:val="20"/>
          <w:szCs w:val="20"/>
        </w:rPr>
      </w:pPr>
      <w:r>
        <w:rPr>
          <w:b/>
          <w:i/>
          <w:color w:val="000000"/>
          <w:sz w:val="20"/>
          <w:szCs w:val="20"/>
        </w:rPr>
        <w:t>“Artículo 81.- </w:t>
      </w:r>
      <w:r>
        <w:rPr>
          <w:i/>
          <w:color w:val="000000"/>
          <w:sz w:val="20"/>
          <w:szCs w:val="20"/>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5E115FEB" w14:textId="77777777" w:rsidR="00253B74" w:rsidRDefault="00B76585">
      <w:pPr>
        <w:spacing w:after="0" w:line="360" w:lineRule="auto"/>
        <w:ind w:left="567" w:right="567"/>
        <w:rPr>
          <w:color w:val="000000"/>
          <w:sz w:val="20"/>
          <w:szCs w:val="20"/>
        </w:rPr>
      </w:pPr>
      <w:r>
        <w:rPr>
          <w:i/>
          <w:color w:val="000000"/>
          <w:sz w:val="20"/>
          <w:szCs w:val="20"/>
        </w:rPr>
        <w:t> </w:t>
      </w:r>
    </w:p>
    <w:p w14:paraId="5B999110" w14:textId="77777777" w:rsidR="00253B74" w:rsidRDefault="00B76585">
      <w:pPr>
        <w:spacing w:after="0" w:line="360" w:lineRule="auto"/>
        <w:ind w:left="567" w:right="567"/>
        <w:rPr>
          <w:color w:val="000000"/>
          <w:sz w:val="20"/>
          <w:szCs w:val="20"/>
        </w:rPr>
      </w:pPr>
      <w:r>
        <w:rPr>
          <w:i/>
          <w:color w:val="000000"/>
          <w:sz w:val="20"/>
          <w:szCs w:val="20"/>
        </w:rPr>
        <w:t>I. Aquella cuya divulgación implique la revelación de normas, procedimientos, métodos, fuentes, especificaciones técnicas, sistemas, tecnología o equipos útiles a la generación de inteligencia para la seguridad pública o el combate a la delincuencia en el Estado de México;</w:t>
      </w:r>
    </w:p>
    <w:p w14:paraId="2D5EF2B9" w14:textId="77777777" w:rsidR="00253B74" w:rsidRDefault="00B76585">
      <w:pPr>
        <w:spacing w:after="0" w:line="360" w:lineRule="auto"/>
        <w:ind w:left="567" w:right="567"/>
        <w:rPr>
          <w:color w:val="000000"/>
          <w:sz w:val="20"/>
          <w:szCs w:val="20"/>
        </w:rPr>
      </w:pPr>
      <w:r>
        <w:rPr>
          <w:i/>
          <w:color w:val="000000"/>
          <w:sz w:val="20"/>
          <w:szCs w:val="20"/>
        </w:rPr>
        <w:t> </w:t>
      </w:r>
    </w:p>
    <w:p w14:paraId="2E9269DE" w14:textId="77777777" w:rsidR="00253B74" w:rsidRDefault="00B76585">
      <w:pPr>
        <w:spacing w:after="0" w:line="360" w:lineRule="auto"/>
        <w:ind w:left="567" w:right="567"/>
        <w:rPr>
          <w:color w:val="000000"/>
          <w:sz w:val="20"/>
          <w:szCs w:val="20"/>
        </w:rPr>
      </w:pPr>
      <w:r>
        <w:rPr>
          <w:i/>
          <w:color w:val="000000"/>
          <w:sz w:val="20"/>
          <w:szCs w:val="20"/>
        </w:rPr>
        <w:lastRenderedPageBreak/>
        <w:t>II. Aquella cuya revelación pueda ser utilizada para actualizar o potenciar una amenaza a la seguridad pública o a las instituciones del Estado de México;</w:t>
      </w:r>
    </w:p>
    <w:p w14:paraId="41F42824" w14:textId="77777777" w:rsidR="00253B74" w:rsidRDefault="00B76585">
      <w:pPr>
        <w:spacing w:after="0" w:line="360" w:lineRule="auto"/>
        <w:ind w:left="567" w:right="567"/>
        <w:rPr>
          <w:color w:val="000000"/>
          <w:sz w:val="20"/>
          <w:szCs w:val="20"/>
        </w:rPr>
      </w:pPr>
      <w:r>
        <w:rPr>
          <w:i/>
          <w:color w:val="000000"/>
          <w:sz w:val="20"/>
          <w:szCs w:val="20"/>
        </w:rPr>
        <w:t> </w:t>
      </w:r>
    </w:p>
    <w:p w14:paraId="4EB4B349" w14:textId="77777777" w:rsidR="00253B74" w:rsidRDefault="00B76585">
      <w:pPr>
        <w:spacing w:after="0" w:line="360" w:lineRule="auto"/>
        <w:ind w:left="567" w:right="567"/>
        <w:rPr>
          <w:color w:val="000000"/>
          <w:sz w:val="20"/>
          <w:szCs w:val="20"/>
        </w:rPr>
      </w:pPr>
      <w:r>
        <w:rPr>
          <w:i/>
          <w:color w:val="000000"/>
          <w:sz w:val="20"/>
          <w:szCs w:val="20"/>
        </w:rPr>
        <w:t>III. La relativa a los servidores públicos integrantes de las instituciones de seguridad pública, cuya revelación pueda poner en riesgo su vida e integridad física con motivo de sus funciones;</w:t>
      </w:r>
    </w:p>
    <w:p w14:paraId="054ED8EE" w14:textId="77777777" w:rsidR="00253B74" w:rsidRDefault="00B76585">
      <w:pPr>
        <w:spacing w:after="0" w:line="360" w:lineRule="auto"/>
        <w:ind w:left="567" w:right="567"/>
        <w:rPr>
          <w:color w:val="000000"/>
          <w:sz w:val="20"/>
          <w:szCs w:val="20"/>
        </w:rPr>
      </w:pPr>
      <w:r>
        <w:rPr>
          <w:i/>
          <w:color w:val="000000"/>
          <w:sz w:val="20"/>
          <w:szCs w:val="20"/>
        </w:rPr>
        <w:t> </w:t>
      </w:r>
    </w:p>
    <w:p w14:paraId="3CE4DB08" w14:textId="77777777" w:rsidR="00253B74" w:rsidRDefault="00B76585">
      <w:pPr>
        <w:spacing w:after="0" w:line="360" w:lineRule="auto"/>
        <w:ind w:left="567" w:right="567"/>
        <w:rPr>
          <w:color w:val="000000"/>
          <w:sz w:val="20"/>
          <w:szCs w:val="20"/>
        </w:rPr>
      </w:pPr>
      <w:r>
        <w:rPr>
          <w:i/>
          <w:color w:val="000000"/>
          <w:sz w:val="20"/>
          <w:szCs w:val="20"/>
        </w:rPr>
        <w:t>IV. La que sea producto de una intervención de comunicaciones privadas autorizadas conforme a la Constitución Federal y las disposiciones legales correspondientes; y</w:t>
      </w:r>
    </w:p>
    <w:p w14:paraId="32B3A111" w14:textId="77777777" w:rsidR="00253B74" w:rsidRDefault="00B76585">
      <w:pPr>
        <w:spacing w:after="0" w:line="360" w:lineRule="auto"/>
        <w:ind w:left="567" w:right="567"/>
        <w:rPr>
          <w:color w:val="000000"/>
          <w:sz w:val="20"/>
          <w:szCs w:val="20"/>
        </w:rPr>
      </w:pPr>
      <w:r>
        <w:rPr>
          <w:i/>
          <w:color w:val="000000"/>
          <w:sz w:val="20"/>
          <w:szCs w:val="20"/>
        </w:rPr>
        <w:t> V. La contenida en averiguaciones previas, carpetas de investigación, expedientes y demás archivos relativos a la investigación para la prevención y la investigación de los delitos y faltas administrativas, en términos de las disposiciones aplicables.”</w:t>
      </w:r>
    </w:p>
    <w:p w14:paraId="3036D6E1" w14:textId="77777777" w:rsidR="00253B74" w:rsidRDefault="00B76585">
      <w:pPr>
        <w:spacing w:after="0" w:line="360" w:lineRule="auto"/>
        <w:ind w:right="-28"/>
        <w:rPr>
          <w:color w:val="000000"/>
        </w:rPr>
      </w:pPr>
      <w:r>
        <w:rPr>
          <w:color w:val="000000"/>
        </w:rPr>
        <w:t> </w:t>
      </w:r>
    </w:p>
    <w:p w14:paraId="42DE3713" w14:textId="77777777" w:rsidR="00253B74" w:rsidRDefault="00B76585">
      <w:pPr>
        <w:spacing w:after="0" w:line="360" w:lineRule="auto"/>
        <w:ind w:right="-28"/>
        <w:rPr>
          <w:color w:val="000000"/>
        </w:rPr>
      </w:pPr>
      <w:r>
        <w:rPr>
          <w:color w:val="000000"/>
        </w:rPr>
        <w:t>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una intervención de comunicaciones privadas, o bien, la contenida en las averiguaciones previas, carpetas de investigación de los delitos y faltas administrativas.</w:t>
      </w:r>
    </w:p>
    <w:p w14:paraId="61F3BCBA" w14:textId="77777777" w:rsidR="00253B74" w:rsidRDefault="00253B74">
      <w:pPr>
        <w:spacing w:after="0" w:line="360" w:lineRule="auto"/>
        <w:ind w:right="-28"/>
        <w:rPr>
          <w:color w:val="000000"/>
        </w:rPr>
      </w:pPr>
    </w:p>
    <w:p w14:paraId="5E9C09D4" w14:textId="77777777" w:rsidR="00253B74" w:rsidRDefault="00B76585">
      <w:pPr>
        <w:spacing w:after="0" w:line="360" w:lineRule="auto"/>
        <w:ind w:right="-28"/>
        <w:rPr>
          <w:color w:val="000000"/>
        </w:rPr>
      </w:pPr>
      <w:r>
        <w:rPr>
          <w:color w:val="000000"/>
        </w:rPr>
        <w:t>Sobre el tema, este Instituto advierte que proporcionar las características o especificaciones de vehículos y de uniformes adquiridos en materia de seguridad, revelaría la nuevo equipamiento, tecnología y componentes, con los que cuenta la Dirección General de Seguridad y Prevención Ciudadana, para el combate a la delincuencia en el Municipio.</w:t>
      </w:r>
    </w:p>
    <w:p w14:paraId="2331F730" w14:textId="77777777" w:rsidR="00253B74" w:rsidRDefault="00B76585">
      <w:pPr>
        <w:spacing w:after="0" w:line="360" w:lineRule="auto"/>
        <w:ind w:right="-28"/>
        <w:rPr>
          <w:color w:val="000000"/>
        </w:rPr>
      </w:pPr>
      <w:r>
        <w:rPr>
          <w:color w:val="000000"/>
        </w:rPr>
        <w:t> </w:t>
      </w:r>
    </w:p>
    <w:p w14:paraId="4EE4B8DD" w14:textId="77777777" w:rsidR="00253B74" w:rsidRDefault="00B76585">
      <w:pPr>
        <w:spacing w:after="0" w:line="360" w:lineRule="auto"/>
        <w:ind w:right="-28"/>
        <w:rPr>
          <w:color w:val="000000"/>
        </w:rPr>
      </w:pPr>
      <w:r>
        <w:rPr>
          <w:color w:val="000000"/>
        </w:rPr>
        <w:t xml:space="preserve">Lo cual toma relevancia, pues dar a conocer las especificaciones y características especiales de dichos bienes, podría ocasionar que los entes delincuenciales busquen allegarse de instrumentos para disminuir o destruir estos, con el fin de aumentar la inseguridad del </w:t>
      </w:r>
      <w:r>
        <w:rPr>
          <w:color w:val="000000"/>
        </w:rPr>
        <w:lastRenderedPageBreak/>
        <w:t>Ayuntamiento de Ixtapaluca, al ser utilizada dicha información para buscar las debilidades de los bienes y poderse aprovechar de dichas situaciones para realizar diversos delitos, lo cual va en detrimento de la paz y orden social.</w:t>
      </w:r>
    </w:p>
    <w:p w14:paraId="3794DA9D" w14:textId="77777777" w:rsidR="00253B74" w:rsidRDefault="00B76585">
      <w:pPr>
        <w:spacing w:after="0" w:line="360" w:lineRule="auto"/>
        <w:ind w:right="-28"/>
        <w:rPr>
          <w:color w:val="000000"/>
        </w:rPr>
      </w:pPr>
      <w:r>
        <w:rPr>
          <w:color w:val="000000"/>
        </w:rPr>
        <w:t> </w:t>
      </w:r>
    </w:p>
    <w:p w14:paraId="64939B30" w14:textId="77777777" w:rsidR="00253B74" w:rsidRDefault="00B76585">
      <w:pPr>
        <w:spacing w:after="0" w:line="360" w:lineRule="auto"/>
        <w:ind w:right="-28"/>
        <w:rPr>
          <w:color w:val="000000"/>
        </w:rPr>
      </w:pPr>
      <w:r>
        <w:rPr>
          <w:color w:val="000000"/>
        </w:rPr>
        <w:t>Conforme a lo anterior, se puede colegir que proporcionar las características especiales de los vehículos y uniformes, como su blindaje, sistemas, armamentos y tecnología, podría comprometer la seguridad pública, al poner en peligro las funciones a cargo del Municipio,  tendientes a preservar y resguardar la vida, la salud, la integridad y el ejercicio de los derechos de las personas, así como para el mantenimiento del orden público, toda vez </w:t>
      </w:r>
      <w:r>
        <w:rPr>
          <w:b/>
          <w:color w:val="000000"/>
        </w:rPr>
        <w:t xml:space="preserve">que da cuenta de las tecnologías, componentes y sistemas del equipo y armamento utilizado por los elementos de la Dirección General de Seguridad y Prevención Ciudadana </w:t>
      </w:r>
      <w:r>
        <w:rPr>
          <w:color w:val="000000"/>
        </w:rPr>
        <w:t>y por lo tanto, acredita la causal de clasificación prevista en el artículo 140, fracción I de la Ley de Transparencia y Acceso a la Información Pública del Estado de México</w:t>
      </w:r>
      <w:r>
        <w:rPr>
          <w:b/>
          <w:color w:val="000000"/>
        </w:rPr>
        <w:t>.</w:t>
      </w:r>
    </w:p>
    <w:p w14:paraId="0DB57EB2" w14:textId="77777777" w:rsidR="00253B74" w:rsidRDefault="00B76585">
      <w:pPr>
        <w:spacing w:after="0" w:line="360" w:lineRule="auto"/>
        <w:ind w:right="-28"/>
        <w:rPr>
          <w:color w:val="000000"/>
        </w:rPr>
      </w:pPr>
      <w:r>
        <w:rPr>
          <w:color w:val="000000"/>
        </w:rPr>
        <w:t> </w:t>
      </w:r>
    </w:p>
    <w:p w14:paraId="06CA289E" w14:textId="77777777" w:rsidR="00253B74" w:rsidRDefault="00B76585">
      <w:pPr>
        <w:spacing w:after="0" w:line="360" w:lineRule="auto"/>
        <w:ind w:right="-28"/>
        <w:rPr>
          <w:color w:val="000000"/>
        </w:rPr>
      </w:pPr>
      <w:r>
        <w:rPr>
          <w:color w:val="000000"/>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1484E07C" w14:textId="77777777" w:rsidR="00253B74" w:rsidRDefault="00253B74">
      <w:pPr>
        <w:spacing w:after="0" w:line="360" w:lineRule="auto"/>
        <w:ind w:right="-28"/>
        <w:rPr>
          <w:color w:val="000000"/>
        </w:rPr>
      </w:pPr>
    </w:p>
    <w:p w14:paraId="48A4B988" w14:textId="77777777" w:rsidR="00253B74" w:rsidRDefault="00B76585">
      <w:pPr>
        <w:numPr>
          <w:ilvl w:val="0"/>
          <w:numId w:val="7"/>
        </w:numPr>
        <w:spacing w:after="0" w:line="360" w:lineRule="auto"/>
        <w:ind w:right="-28"/>
        <w:rPr>
          <w:color w:val="000000"/>
        </w:rPr>
      </w:pPr>
      <w:r>
        <w:rPr>
          <w:color w:val="000000"/>
        </w:rPr>
        <w:t>La divulgación de la información representa un riesgo real, demostrable e identificable de perjuicio significativo al interés público o a la seguridad nacional.</w:t>
      </w:r>
    </w:p>
    <w:p w14:paraId="726E70FE" w14:textId="77777777" w:rsidR="00253B74" w:rsidRDefault="00253B74">
      <w:pPr>
        <w:spacing w:after="0" w:line="360" w:lineRule="auto"/>
        <w:ind w:right="-28"/>
        <w:rPr>
          <w:color w:val="000000"/>
        </w:rPr>
      </w:pPr>
    </w:p>
    <w:p w14:paraId="11F1B145" w14:textId="77777777" w:rsidR="00253B74" w:rsidRDefault="00B76585">
      <w:pPr>
        <w:numPr>
          <w:ilvl w:val="0"/>
          <w:numId w:val="7"/>
        </w:numPr>
        <w:spacing w:after="0" w:line="360" w:lineRule="auto"/>
        <w:ind w:right="-28"/>
        <w:rPr>
          <w:color w:val="000000"/>
        </w:rPr>
      </w:pPr>
      <w:r>
        <w:rPr>
          <w:color w:val="000000"/>
        </w:rPr>
        <w:t>El riesgo de perjuicio supera el interés público general de que se difunda.</w:t>
      </w:r>
    </w:p>
    <w:p w14:paraId="002A5440" w14:textId="77777777" w:rsidR="00253B74" w:rsidRDefault="00253B74">
      <w:pPr>
        <w:spacing w:after="0" w:line="360" w:lineRule="auto"/>
        <w:ind w:right="-28"/>
        <w:rPr>
          <w:color w:val="000000"/>
        </w:rPr>
      </w:pPr>
    </w:p>
    <w:p w14:paraId="72EEC6DB" w14:textId="77777777" w:rsidR="00253B74" w:rsidRDefault="00B76585">
      <w:pPr>
        <w:numPr>
          <w:ilvl w:val="0"/>
          <w:numId w:val="7"/>
        </w:numPr>
        <w:spacing w:after="0" w:line="360" w:lineRule="auto"/>
        <w:ind w:right="-28"/>
        <w:rPr>
          <w:color w:val="000000"/>
        </w:rPr>
      </w:pPr>
      <w:r>
        <w:rPr>
          <w:color w:val="000000"/>
        </w:rPr>
        <w:lastRenderedPageBreak/>
        <w:t>Que la limitación se adecua al principio de proporcionalidad y representa el medio menos restrictivo disponible para evitar el perjuicio.</w:t>
      </w:r>
    </w:p>
    <w:p w14:paraId="4D4FB4D3" w14:textId="77777777" w:rsidR="00253B74" w:rsidRDefault="00B76585">
      <w:pPr>
        <w:spacing w:after="0" w:line="360" w:lineRule="auto"/>
        <w:ind w:right="-28"/>
        <w:rPr>
          <w:color w:val="000000"/>
        </w:rPr>
      </w:pPr>
      <w:r>
        <w:rPr>
          <w:color w:val="000000"/>
        </w:rPr>
        <w:t> </w:t>
      </w:r>
    </w:p>
    <w:p w14:paraId="05D8CEDC" w14:textId="77777777" w:rsidR="00253B74" w:rsidRDefault="00B76585">
      <w:pPr>
        <w:spacing w:after="0" w:line="360" w:lineRule="auto"/>
        <w:ind w:right="-28"/>
        <w:rPr>
          <w:color w:val="000000"/>
        </w:rPr>
      </w:pPr>
      <w:r>
        <w:rPr>
          <w:color w:val="000000"/>
        </w:rP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las características técnicas y especiales de los vehículos y uniformes, de manera fundada y motivada, mediante la respectiva prueba de daño.</w:t>
      </w:r>
    </w:p>
    <w:p w14:paraId="698476FB" w14:textId="77777777" w:rsidR="00253B74" w:rsidRDefault="00253B74">
      <w:pPr>
        <w:spacing w:after="0" w:line="360" w:lineRule="auto"/>
        <w:rPr>
          <w:b/>
        </w:rPr>
      </w:pPr>
    </w:p>
    <w:p w14:paraId="19D569B5" w14:textId="77777777" w:rsidR="00253B74" w:rsidRDefault="00B76585">
      <w:pPr>
        <w:spacing w:after="0" w:line="360" w:lineRule="auto"/>
        <w:rPr>
          <w:color w:val="000000"/>
        </w:rPr>
      </w:pPr>
      <w:r>
        <w:rPr>
          <w:color w:val="000000"/>
        </w:rPr>
        <w:t>Además, no pasa desapercibido para este Instituto que los documentos, pudieran contener datos o información clasificada, como pudiera ser datos bancarios de los proveedores;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B44F529" w14:textId="77777777" w:rsidR="00253B74" w:rsidRDefault="00253B74">
      <w:pPr>
        <w:spacing w:after="0" w:line="360" w:lineRule="auto"/>
        <w:rPr>
          <w:color w:val="000000"/>
        </w:rPr>
      </w:pPr>
    </w:p>
    <w:p w14:paraId="0F7DE669" w14:textId="77777777" w:rsidR="00253B74" w:rsidRDefault="00B76585">
      <w:pPr>
        <w:spacing w:after="0" w:line="360" w:lineRule="auto"/>
        <w:rPr>
          <w:color w:val="000000"/>
        </w:rPr>
      </w:pPr>
      <w:r>
        <w:rPr>
          <w:color w:val="000000"/>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BFD0CAE" w14:textId="77777777" w:rsidR="00253B74" w:rsidRDefault="00253B74">
      <w:pPr>
        <w:spacing w:after="0" w:line="360" w:lineRule="auto"/>
      </w:pPr>
    </w:p>
    <w:p w14:paraId="65DC5470" w14:textId="77777777" w:rsidR="00253B74" w:rsidRDefault="00B76585">
      <w:pPr>
        <w:pStyle w:val="Ttulo2"/>
        <w:rPr>
          <w:rFonts w:ascii="Palatino Linotype" w:eastAsia="Palatino Linotype" w:hAnsi="Palatino Linotype" w:cs="Palatino Linotype"/>
          <w:b/>
          <w:color w:val="000000"/>
          <w:sz w:val="22"/>
          <w:szCs w:val="22"/>
        </w:rPr>
      </w:pPr>
      <w:bookmarkStart w:id="20" w:name="_heading=h.1y810tw" w:colFirst="0" w:colLast="0"/>
      <w:bookmarkEnd w:id="20"/>
      <w:r>
        <w:rPr>
          <w:rFonts w:ascii="Palatino Linotype" w:eastAsia="Palatino Linotype" w:hAnsi="Palatino Linotype" w:cs="Palatino Linotype"/>
          <w:b/>
          <w:color w:val="000000"/>
          <w:sz w:val="22"/>
          <w:szCs w:val="22"/>
        </w:rPr>
        <w:t>SEXTO. Decisión</w:t>
      </w:r>
    </w:p>
    <w:p w14:paraId="50A035D0" w14:textId="77777777" w:rsidR="00253B74" w:rsidRDefault="00253B74">
      <w:pPr>
        <w:spacing w:after="0" w:line="360" w:lineRule="auto"/>
        <w:rPr>
          <w:color w:val="000000"/>
        </w:rPr>
      </w:pPr>
    </w:p>
    <w:p w14:paraId="2D3D4055" w14:textId="77777777" w:rsidR="00253B74" w:rsidRDefault="00B76585">
      <w:pPr>
        <w:spacing w:after="0" w:line="360" w:lineRule="auto"/>
        <w:rPr>
          <w:color w:val="000000"/>
        </w:rPr>
      </w:pPr>
      <w:r>
        <w:rPr>
          <w:color w:val="000000"/>
        </w:rPr>
        <w:t xml:space="preserve">Con fundamento en el artículo 186, fracción IV, de la Ley de Transparencia y Acceso a la Información Pública del Estado de México y Municipios, este Instituto considera procedente </w:t>
      </w:r>
      <w:r>
        <w:rPr>
          <w:b/>
          <w:color w:val="000000"/>
        </w:rPr>
        <w:t>ORDENAR</w:t>
      </w:r>
      <w:r>
        <w:rPr>
          <w:color w:val="000000"/>
        </w:rPr>
        <w:t xml:space="preserve"> al </w:t>
      </w:r>
      <w:r>
        <w:rPr>
          <w:color w:val="0D0D0D"/>
        </w:rPr>
        <w:t xml:space="preserve">Ayuntamiento de Ixtapaluca, a efecto de que, </w:t>
      </w:r>
      <w:r>
        <w:rPr>
          <w:color w:val="000000"/>
        </w:rPr>
        <w:t>previa búsqueda exhaustiva y razonable, en los archivos de las unidades administrativas competentes, entregue en versión pública la información solicitada.</w:t>
      </w:r>
    </w:p>
    <w:p w14:paraId="21D9D991" w14:textId="77777777" w:rsidR="00253B74" w:rsidRDefault="00253B74">
      <w:pPr>
        <w:spacing w:after="0" w:line="360" w:lineRule="auto"/>
        <w:rPr>
          <w:color w:val="FF0000"/>
        </w:rPr>
      </w:pPr>
    </w:p>
    <w:p w14:paraId="3D7C5D9A" w14:textId="77777777" w:rsidR="00253B74" w:rsidRDefault="00B76585">
      <w:pPr>
        <w:pStyle w:val="Ttulo2"/>
        <w:rPr>
          <w:rFonts w:ascii="Palatino Linotype" w:eastAsia="Palatino Linotype" w:hAnsi="Palatino Linotype" w:cs="Palatino Linotype"/>
          <w:b/>
          <w:color w:val="000000"/>
          <w:sz w:val="22"/>
          <w:szCs w:val="22"/>
        </w:rPr>
      </w:pPr>
      <w:bookmarkStart w:id="21" w:name="_heading=h.4i7ojhp" w:colFirst="0" w:colLast="0"/>
      <w:bookmarkEnd w:id="21"/>
      <w:r>
        <w:rPr>
          <w:rFonts w:ascii="Palatino Linotype" w:eastAsia="Palatino Linotype" w:hAnsi="Palatino Linotype" w:cs="Palatino Linotype"/>
          <w:b/>
          <w:color w:val="000000"/>
          <w:sz w:val="22"/>
          <w:szCs w:val="22"/>
        </w:rPr>
        <w:t>SÉPTIMO. Vista a la Secretaría Técnica del Pleno</w:t>
      </w:r>
    </w:p>
    <w:p w14:paraId="671FB330" w14:textId="77777777" w:rsidR="00253B74" w:rsidRDefault="00253B74">
      <w:pPr>
        <w:spacing w:after="0" w:line="360" w:lineRule="auto"/>
        <w:rPr>
          <w:color w:val="FF0000"/>
        </w:rPr>
      </w:pPr>
    </w:p>
    <w:p w14:paraId="462A14E6" w14:textId="77777777" w:rsidR="00253B74" w:rsidRDefault="00B76585">
      <w:pPr>
        <w:spacing w:after="0" w:line="360" w:lineRule="auto"/>
        <w:ind w:right="-93"/>
        <w:rPr>
          <w:color w:val="000000"/>
        </w:rPr>
      </w:pPr>
      <w:r>
        <w:rPr>
          <w:color w:val="000000"/>
        </w:rPr>
        <w:t xml:space="preserve">En el caso en estudio, como ha quedado señalado que el </w:t>
      </w:r>
      <w:r>
        <w:rPr>
          <w:b/>
          <w:color w:val="000000"/>
        </w:rPr>
        <w:t xml:space="preserve">Ayuntamiento de Ixtapaluca </w:t>
      </w:r>
      <w:r>
        <w:rPr>
          <w:color w:val="000000"/>
        </w:rPr>
        <w:t xml:space="preserve">omitió dar respuesta en el plazo señalado en el artículo 163 de la Ley de Transparencia y Acceso a la Información Pública del Estado de México y Municipios. </w:t>
      </w:r>
    </w:p>
    <w:p w14:paraId="57709AF0" w14:textId="77777777" w:rsidR="00253B74" w:rsidRDefault="00253B74">
      <w:pPr>
        <w:spacing w:after="0" w:line="360" w:lineRule="auto"/>
        <w:ind w:right="-93"/>
        <w:rPr>
          <w:color w:val="000000"/>
        </w:rPr>
      </w:pPr>
    </w:p>
    <w:p w14:paraId="15F4CBCC" w14:textId="77777777" w:rsidR="00253B74" w:rsidRDefault="00B76585">
      <w:pPr>
        <w:spacing w:after="0" w:line="360" w:lineRule="auto"/>
        <w:ind w:right="-93"/>
        <w:rPr>
          <w:color w:val="000000"/>
        </w:rPr>
      </w:pPr>
      <w:r>
        <w:rPr>
          <w:color w:val="000000"/>
        </w:rPr>
        <w:t xml:space="preserve">Al respecto, el artículo 36, fracción X, del ordenamiento jurídico en cita, establece que es atribución de este Instituto hacer del conocimiento del Órgano Interno de Control o equivalente de cada Sujeto Obligado las infracciones a esta Ley. </w:t>
      </w:r>
    </w:p>
    <w:p w14:paraId="6B3B0615" w14:textId="77777777" w:rsidR="00253B74" w:rsidRDefault="00253B74">
      <w:pPr>
        <w:spacing w:after="0" w:line="360" w:lineRule="auto"/>
        <w:ind w:right="-93"/>
        <w:rPr>
          <w:color w:val="000000"/>
        </w:rPr>
      </w:pPr>
    </w:p>
    <w:p w14:paraId="52653D94" w14:textId="77777777" w:rsidR="00253B74" w:rsidRDefault="00B76585">
      <w:pPr>
        <w:spacing w:after="0" w:line="360" w:lineRule="auto"/>
        <w:ind w:right="-93"/>
        <w:rPr>
          <w:color w:val="000000"/>
        </w:rPr>
      </w:pPr>
      <w:r>
        <w:rPr>
          <w:color w:val="000000"/>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w:t>
      </w:r>
      <w:r>
        <w:rPr>
          <w:color w:val="000000"/>
        </w:rPr>
        <w:lastRenderedPageBreak/>
        <w:t xml:space="preserve">las solicitudes de información en los plazos señalados, a saber, dentro de los quince días siguientes a la presentación del requerimiento. </w:t>
      </w:r>
    </w:p>
    <w:p w14:paraId="10F82A9D" w14:textId="77777777" w:rsidR="00253B74" w:rsidRDefault="00253B74">
      <w:pPr>
        <w:spacing w:after="0" w:line="360" w:lineRule="auto"/>
        <w:ind w:right="-93"/>
        <w:rPr>
          <w:color w:val="000000"/>
        </w:rPr>
      </w:pPr>
    </w:p>
    <w:p w14:paraId="1B878654" w14:textId="77777777" w:rsidR="00253B74" w:rsidRDefault="00B76585">
      <w:pPr>
        <w:spacing w:after="0" w:line="360" w:lineRule="auto"/>
        <w:ind w:right="-93"/>
        <w:rPr>
          <w:color w:val="000000"/>
        </w:rPr>
      </w:pPr>
      <w:r>
        <w:rPr>
          <w:color w:val="000000"/>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39390E52" w14:textId="77777777" w:rsidR="00253B74" w:rsidRDefault="00253B74">
      <w:pPr>
        <w:spacing w:after="0" w:line="360" w:lineRule="auto"/>
        <w:ind w:right="-93"/>
        <w:rPr>
          <w:color w:val="000000"/>
        </w:rPr>
      </w:pPr>
    </w:p>
    <w:p w14:paraId="5CE73668" w14:textId="77777777" w:rsidR="00253B74" w:rsidRDefault="00B76585">
      <w:pPr>
        <w:spacing w:after="0" w:line="360" w:lineRule="auto"/>
        <w:ind w:right="-93"/>
        <w:rPr>
          <w:color w:val="000000"/>
        </w:rPr>
      </w:pPr>
      <w:r>
        <w:rPr>
          <w:color w:val="000000"/>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2D1F0CB9" w14:textId="77777777" w:rsidR="00253B74" w:rsidRDefault="00253B74">
      <w:pPr>
        <w:spacing w:after="0" w:line="360" w:lineRule="auto"/>
        <w:ind w:right="-93"/>
        <w:rPr>
          <w:color w:val="000000"/>
        </w:rPr>
      </w:pPr>
    </w:p>
    <w:p w14:paraId="1B37DFFD" w14:textId="77777777" w:rsidR="00253B74" w:rsidRDefault="00B76585">
      <w:pPr>
        <w:spacing w:after="0" w:line="360" w:lineRule="auto"/>
        <w:ind w:right="-93"/>
        <w:rPr>
          <w:color w:val="000000"/>
        </w:rPr>
      </w:pPr>
      <w:r>
        <w:rPr>
          <w:color w:val="000000"/>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4998AB07" w14:textId="77777777" w:rsidR="00253B74" w:rsidRDefault="00253B74">
      <w:pPr>
        <w:spacing w:after="0" w:line="360" w:lineRule="auto"/>
        <w:ind w:right="-93"/>
        <w:rPr>
          <w:color w:val="000000"/>
        </w:rPr>
      </w:pPr>
    </w:p>
    <w:p w14:paraId="00E5F547" w14:textId="77777777" w:rsidR="00253B74" w:rsidRDefault="00B76585">
      <w:pPr>
        <w:pStyle w:val="Ttulo3"/>
        <w:rPr>
          <w:rFonts w:ascii="Palatino Linotype" w:eastAsia="Palatino Linotype" w:hAnsi="Palatino Linotype" w:cs="Palatino Linotype"/>
          <w:b/>
          <w:color w:val="000000"/>
          <w:sz w:val="22"/>
          <w:szCs w:val="22"/>
        </w:rPr>
      </w:pPr>
      <w:bookmarkStart w:id="22" w:name="_heading=h.2xcytpi" w:colFirst="0" w:colLast="0"/>
      <w:bookmarkEnd w:id="22"/>
      <w:r>
        <w:rPr>
          <w:rFonts w:ascii="Palatino Linotype" w:eastAsia="Palatino Linotype" w:hAnsi="Palatino Linotype" w:cs="Palatino Linotype"/>
          <w:b/>
          <w:color w:val="000000"/>
          <w:sz w:val="22"/>
          <w:szCs w:val="22"/>
        </w:rPr>
        <w:t>Términos de la Resolución para conocimiento del Particular</w:t>
      </w:r>
    </w:p>
    <w:p w14:paraId="10FF4E15" w14:textId="77777777" w:rsidR="00253B74" w:rsidRDefault="00253B74">
      <w:pPr>
        <w:widowControl w:val="0"/>
        <w:spacing w:after="0" w:line="360" w:lineRule="auto"/>
        <w:rPr>
          <w:color w:val="000000"/>
        </w:rPr>
      </w:pPr>
    </w:p>
    <w:p w14:paraId="2D633254" w14:textId="77777777" w:rsidR="00253B74" w:rsidRDefault="00B76585">
      <w:pPr>
        <w:spacing w:after="0" w:line="360" w:lineRule="auto"/>
        <w:rPr>
          <w:color w:val="000000"/>
        </w:rPr>
      </w:pPr>
      <w:r>
        <w:rPr>
          <w:color w:val="000000"/>
        </w:rPr>
        <w:t xml:space="preserve">Se le hace del conocimiento al Particular, que, en el presente caso, se le da la razón, pues </w:t>
      </w:r>
      <w:r>
        <w:t xml:space="preserve">el Ayuntamiento de Ixtapaluca </w:t>
      </w:r>
      <w:r>
        <w:rPr>
          <w:color w:val="000000"/>
        </w:rPr>
        <w:t xml:space="preserve">no emitió contestación en tiempo y si bien, durante la sustanciación emitió respuesta, no entregó la información solicitada, </w:t>
      </w:r>
      <w:r>
        <w:t>por lo que, deberá hacer entrega de la información.</w:t>
      </w:r>
    </w:p>
    <w:p w14:paraId="518E966C" w14:textId="77777777" w:rsidR="00253B74" w:rsidRDefault="00253B74">
      <w:pPr>
        <w:widowControl w:val="0"/>
        <w:spacing w:after="0" w:line="360" w:lineRule="auto"/>
        <w:rPr>
          <w:color w:val="000000"/>
        </w:rPr>
      </w:pPr>
    </w:p>
    <w:p w14:paraId="662D7D85" w14:textId="77777777" w:rsidR="00253B74" w:rsidRDefault="00B76585">
      <w:pPr>
        <w:widowControl w:val="0"/>
        <w:spacing w:after="0" w:line="360" w:lineRule="auto"/>
        <w:rPr>
          <w:color w:val="000000"/>
        </w:rPr>
      </w:pPr>
      <w:r>
        <w:rPr>
          <w:color w:val="000000"/>
        </w:rPr>
        <w:lastRenderedPageBreak/>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7A353606" w14:textId="77777777" w:rsidR="00253B74" w:rsidRDefault="00253B74">
      <w:pPr>
        <w:widowControl w:val="0"/>
        <w:spacing w:after="0" w:line="360" w:lineRule="auto"/>
        <w:rPr>
          <w:color w:val="000000"/>
        </w:rPr>
      </w:pPr>
    </w:p>
    <w:p w14:paraId="666674CB" w14:textId="77777777" w:rsidR="00253B74" w:rsidRDefault="00B76585">
      <w:pPr>
        <w:widowControl w:val="0"/>
        <w:spacing w:after="0" w:line="360" w:lineRule="auto"/>
        <w:rPr>
          <w:color w:val="000000"/>
        </w:rPr>
      </w:pPr>
      <w:r>
        <w:rPr>
          <w:color w:val="000000"/>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039B9041" w14:textId="77777777" w:rsidR="00253B74" w:rsidRDefault="00253B74">
      <w:pPr>
        <w:spacing w:after="0" w:line="360" w:lineRule="auto"/>
        <w:rPr>
          <w:color w:val="000000"/>
        </w:rPr>
      </w:pPr>
    </w:p>
    <w:p w14:paraId="01F9AE70" w14:textId="77777777" w:rsidR="00253B74" w:rsidRDefault="00B76585">
      <w:pPr>
        <w:spacing w:after="0" w:line="360" w:lineRule="auto"/>
        <w:rPr>
          <w:color w:val="000000"/>
        </w:rPr>
      </w:pPr>
      <w:r>
        <w:rPr>
          <w:color w:val="000000"/>
        </w:rPr>
        <w:t>Por lo expuesto y fundado, este Pleno:</w:t>
      </w:r>
    </w:p>
    <w:p w14:paraId="62A5A13A" w14:textId="77777777" w:rsidR="00253B74" w:rsidRDefault="00253B74">
      <w:pPr>
        <w:spacing w:after="0" w:line="360" w:lineRule="auto"/>
        <w:rPr>
          <w:color w:val="000000"/>
        </w:rPr>
      </w:pPr>
    </w:p>
    <w:p w14:paraId="0727242A" w14:textId="77777777" w:rsidR="00253B74" w:rsidRDefault="00B76585">
      <w:pPr>
        <w:pStyle w:val="Ttulo1"/>
        <w:jc w:val="center"/>
        <w:rPr>
          <w:rFonts w:ascii="Palatino Linotype" w:eastAsia="Palatino Linotype" w:hAnsi="Palatino Linotype" w:cs="Palatino Linotype"/>
          <w:b/>
          <w:color w:val="000000"/>
          <w:sz w:val="22"/>
          <w:szCs w:val="22"/>
        </w:rPr>
      </w:pPr>
      <w:bookmarkStart w:id="23" w:name="_heading=h.1ci93xb" w:colFirst="0" w:colLast="0"/>
      <w:bookmarkEnd w:id="23"/>
      <w:r>
        <w:rPr>
          <w:rFonts w:ascii="Palatino Linotype" w:eastAsia="Palatino Linotype" w:hAnsi="Palatino Linotype" w:cs="Palatino Linotype"/>
          <w:b/>
          <w:color w:val="000000"/>
          <w:sz w:val="22"/>
          <w:szCs w:val="22"/>
        </w:rPr>
        <w:t>R E S U E L V E</w:t>
      </w:r>
    </w:p>
    <w:p w14:paraId="03A30D91" w14:textId="77777777" w:rsidR="00253B74" w:rsidRDefault="00253B74">
      <w:pPr>
        <w:spacing w:after="0" w:line="360" w:lineRule="auto"/>
        <w:ind w:right="113"/>
        <w:rPr>
          <w:b/>
          <w:color w:val="FF0000"/>
        </w:rPr>
      </w:pPr>
    </w:p>
    <w:p w14:paraId="214C30E5" w14:textId="77777777" w:rsidR="00253B74" w:rsidRDefault="00B76585">
      <w:pPr>
        <w:widowControl w:val="0"/>
        <w:spacing w:after="0" w:line="360" w:lineRule="auto"/>
        <w:rPr>
          <w:color w:val="000000"/>
        </w:rPr>
      </w:pPr>
      <w:r>
        <w:rPr>
          <w:b/>
          <w:color w:val="000000"/>
        </w:rPr>
        <w:t xml:space="preserve">PRIMERO. </w:t>
      </w:r>
      <w:r>
        <w:rPr>
          <w:color w:val="000000"/>
        </w:rPr>
        <w:t xml:space="preserve">Resultan </w:t>
      </w:r>
      <w:r>
        <w:rPr>
          <w:b/>
          <w:color w:val="000000"/>
        </w:rPr>
        <w:t>FUNDADAS</w:t>
      </w:r>
      <w:r>
        <w:rPr>
          <w:color w:val="000000"/>
        </w:rPr>
        <w:t xml:space="preserve"> las razones o motivos de inconformidad hechos valer por el Particular en el Recurso de Revisión 07611/INFOEM/IP/RR/2024,</w:t>
      </w:r>
      <w:r>
        <w:rPr>
          <w:b/>
          <w:color w:val="000000"/>
        </w:rPr>
        <w:t xml:space="preserve"> </w:t>
      </w:r>
      <w:r>
        <w:rPr>
          <w:color w:val="000000"/>
        </w:rPr>
        <w:t>en términos de los considerandos QUINTO y SEXTO de la presente Resolución.</w:t>
      </w:r>
    </w:p>
    <w:p w14:paraId="02FC8408" w14:textId="77777777" w:rsidR="00253B74" w:rsidRDefault="00253B74">
      <w:pPr>
        <w:spacing w:after="0" w:line="360" w:lineRule="auto"/>
        <w:rPr>
          <w:b/>
          <w:color w:val="FF0000"/>
        </w:rPr>
      </w:pPr>
    </w:p>
    <w:p w14:paraId="2C61DB48" w14:textId="77777777" w:rsidR="00253B74" w:rsidRDefault="00B76585">
      <w:pPr>
        <w:spacing w:after="0" w:line="360" w:lineRule="auto"/>
      </w:pPr>
      <w:r>
        <w:rPr>
          <w:b/>
          <w:color w:val="000000"/>
        </w:rPr>
        <w:t>SEGUNDO.</w:t>
      </w:r>
      <w:r>
        <w:rPr>
          <w:color w:val="000000"/>
        </w:rPr>
        <w:t xml:space="preserve"> Se </w:t>
      </w:r>
      <w:r>
        <w:rPr>
          <w:b/>
          <w:color w:val="000000"/>
        </w:rPr>
        <w:t xml:space="preserve">ORDENA </w:t>
      </w:r>
      <w:r>
        <w:rPr>
          <w:color w:val="000000"/>
        </w:rPr>
        <w:t>al Sujeto Obligado</w:t>
      </w:r>
      <w:r>
        <w:rPr>
          <w:color w:val="0D0D0D"/>
        </w:rPr>
        <w:t xml:space="preserve">, a efecto de que, </w:t>
      </w:r>
      <w:r>
        <w:rPr>
          <w:color w:val="000000"/>
        </w:rPr>
        <w:t>previa búsqueda exhaustiva y razonable, en los archivos de las unidades administrativas competentes, entregue a través del Sistema de Acceso a la Información Mexiquense (SAIMEX), en versión pública</w:t>
      </w:r>
      <w:r>
        <w:t>, los contratos celebrados por el Ayuntamiento de Ixtapaluca, del primero de enero de dos mil veintidós al quince de noviembre de dos mil veinticuatro, con sus respectivos anexos, para la adquisición o arrendamiento o subcontratación de los siguientes bienes:</w:t>
      </w:r>
    </w:p>
    <w:p w14:paraId="412631B9" w14:textId="77777777" w:rsidR="00253B74" w:rsidRDefault="00253B74">
      <w:pPr>
        <w:tabs>
          <w:tab w:val="left" w:pos="4962"/>
        </w:tabs>
        <w:spacing w:after="0" w:line="360" w:lineRule="auto"/>
      </w:pPr>
    </w:p>
    <w:p w14:paraId="714E6B82" w14:textId="77777777" w:rsidR="00253B74" w:rsidRDefault="00B76585">
      <w:pPr>
        <w:numPr>
          <w:ilvl w:val="0"/>
          <w:numId w:val="4"/>
        </w:numPr>
        <w:pBdr>
          <w:top w:val="nil"/>
          <w:left w:val="nil"/>
          <w:bottom w:val="nil"/>
          <w:right w:val="nil"/>
          <w:between w:val="nil"/>
        </w:pBdr>
        <w:tabs>
          <w:tab w:val="left" w:pos="4962"/>
        </w:tabs>
        <w:spacing w:after="0" w:line="360" w:lineRule="auto"/>
      </w:pPr>
      <w:r>
        <w:rPr>
          <w:color w:val="000000"/>
        </w:rPr>
        <w:t>Equipos de cómputo;</w:t>
      </w:r>
    </w:p>
    <w:p w14:paraId="687F4A3E" w14:textId="77777777" w:rsidR="00253B74" w:rsidRDefault="00B76585">
      <w:pPr>
        <w:numPr>
          <w:ilvl w:val="0"/>
          <w:numId w:val="4"/>
        </w:numPr>
        <w:pBdr>
          <w:top w:val="nil"/>
          <w:left w:val="nil"/>
          <w:bottom w:val="nil"/>
          <w:right w:val="nil"/>
          <w:between w:val="nil"/>
        </w:pBdr>
        <w:tabs>
          <w:tab w:val="left" w:pos="4962"/>
        </w:tabs>
        <w:spacing w:after="0" w:line="360" w:lineRule="auto"/>
        <w:rPr>
          <w:i/>
          <w:color w:val="000000"/>
        </w:rPr>
      </w:pPr>
      <w:r>
        <w:rPr>
          <w:i/>
          <w:color w:val="000000"/>
        </w:rPr>
        <w:lastRenderedPageBreak/>
        <w:t>Software</w:t>
      </w:r>
      <w:r>
        <w:rPr>
          <w:color w:val="000000"/>
        </w:rPr>
        <w:t>;</w:t>
      </w:r>
    </w:p>
    <w:p w14:paraId="76501BA4" w14:textId="77777777" w:rsidR="00253B74" w:rsidRDefault="00B76585">
      <w:pPr>
        <w:numPr>
          <w:ilvl w:val="0"/>
          <w:numId w:val="4"/>
        </w:numPr>
        <w:pBdr>
          <w:top w:val="nil"/>
          <w:left w:val="nil"/>
          <w:bottom w:val="nil"/>
          <w:right w:val="nil"/>
          <w:between w:val="nil"/>
        </w:pBdr>
        <w:tabs>
          <w:tab w:val="left" w:pos="4962"/>
        </w:tabs>
        <w:spacing w:after="0" w:line="360" w:lineRule="auto"/>
      </w:pPr>
      <w:r>
        <w:rPr>
          <w:color w:val="000000"/>
        </w:rPr>
        <w:t>Vehículos;</w:t>
      </w:r>
    </w:p>
    <w:p w14:paraId="7A414ABA" w14:textId="77777777" w:rsidR="00253B74" w:rsidRDefault="00B76585">
      <w:pPr>
        <w:numPr>
          <w:ilvl w:val="0"/>
          <w:numId w:val="4"/>
        </w:numPr>
        <w:pBdr>
          <w:top w:val="nil"/>
          <w:left w:val="nil"/>
          <w:bottom w:val="nil"/>
          <w:right w:val="nil"/>
          <w:between w:val="nil"/>
        </w:pBdr>
        <w:tabs>
          <w:tab w:val="left" w:pos="4962"/>
        </w:tabs>
        <w:spacing w:after="0" w:line="360" w:lineRule="auto"/>
      </w:pPr>
      <w:r>
        <w:rPr>
          <w:color w:val="000000"/>
        </w:rPr>
        <w:t>Lámparas de alumbrado público, y</w:t>
      </w:r>
    </w:p>
    <w:p w14:paraId="35DCADFE" w14:textId="77777777" w:rsidR="00253B74" w:rsidRDefault="00B76585">
      <w:pPr>
        <w:numPr>
          <w:ilvl w:val="0"/>
          <w:numId w:val="4"/>
        </w:numPr>
        <w:pBdr>
          <w:top w:val="nil"/>
          <w:left w:val="nil"/>
          <w:bottom w:val="nil"/>
          <w:right w:val="nil"/>
          <w:between w:val="nil"/>
        </w:pBdr>
        <w:tabs>
          <w:tab w:val="left" w:pos="4962"/>
        </w:tabs>
        <w:spacing w:after="0" w:line="360" w:lineRule="auto"/>
      </w:pPr>
      <w:r>
        <w:rPr>
          <w:color w:val="000000"/>
        </w:rPr>
        <w:t>Uniformes.</w:t>
      </w:r>
    </w:p>
    <w:p w14:paraId="6E0BBCD1" w14:textId="77777777" w:rsidR="00253B74" w:rsidRDefault="00253B74">
      <w:pPr>
        <w:tabs>
          <w:tab w:val="left" w:pos="4962"/>
        </w:tabs>
        <w:spacing w:after="0" w:line="360" w:lineRule="auto"/>
      </w:pPr>
    </w:p>
    <w:p w14:paraId="53578C12" w14:textId="77777777" w:rsidR="00253B74" w:rsidRDefault="00B76585">
      <w:pPr>
        <w:spacing w:after="0" w:line="360" w:lineRule="auto"/>
      </w:pPr>
      <w:r>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60A568FA" w14:textId="77777777" w:rsidR="00253B74" w:rsidRDefault="00253B74">
      <w:pPr>
        <w:tabs>
          <w:tab w:val="left" w:pos="4962"/>
        </w:tabs>
        <w:spacing w:after="0" w:line="360" w:lineRule="auto"/>
        <w:rPr>
          <w:color w:val="000000"/>
        </w:rPr>
      </w:pPr>
    </w:p>
    <w:p w14:paraId="44B921E0" w14:textId="77777777" w:rsidR="00253B74" w:rsidRDefault="00B76585">
      <w:pPr>
        <w:tabs>
          <w:tab w:val="left" w:pos="4962"/>
        </w:tabs>
        <w:spacing w:after="0" w:line="360" w:lineRule="auto"/>
        <w:rPr>
          <w:color w:val="000000"/>
        </w:rPr>
      </w:pPr>
      <w:r>
        <w:rPr>
          <w:color w:val="000000"/>
        </w:rPr>
        <w:t>Para el caso, de que no haya adquirido o arrendado o subcontratado alguno de los bienes referidos en uno de los años solicitados, deberá hacerlo del conocimiento de la parte Recurrente de manera clara y precisa</w:t>
      </w:r>
      <w:r>
        <w:t>.</w:t>
      </w:r>
    </w:p>
    <w:p w14:paraId="0D556D2A" w14:textId="77777777" w:rsidR="00253B74" w:rsidRDefault="00253B74">
      <w:pPr>
        <w:tabs>
          <w:tab w:val="left" w:pos="4962"/>
        </w:tabs>
        <w:spacing w:after="0" w:line="360" w:lineRule="auto"/>
        <w:rPr>
          <w:color w:val="000000"/>
        </w:rPr>
      </w:pPr>
    </w:p>
    <w:p w14:paraId="21498F1E" w14:textId="77777777" w:rsidR="00253B74" w:rsidRDefault="00B76585">
      <w:pPr>
        <w:spacing w:after="0" w:line="360" w:lineRule="auto"/>
        <w:rPr>
          <w:color w:val="000000"/>
        </w:rPr>
      </w:pPr>
      <w:r>
        <w:rPr>
          <w:b/>
          <w:color w:val="000000"/>
        </w:rPr>
        <w:t xml:space="preserve">TERCERO. </w:t>
      </w:r>
      <w:r>
        <w:rPr>
          <w:color w:val="000000"/>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1E0447D8" w14:textId="77777777" w:rsidR="00253B74" w:rsidRDefault="00253B74">
      <w:pPr>
        <w:spacing w:after="0" w:line="360" w:lineRule="auto"/>
        <w:rPr>
          <w:color w:val="000000"/>
        </w:rPr>
      </w:pPr>
    </w:p>
    <w:p w14:paraId="2544EA0F" w14:textId="77777777" w:rsidR="00253B74" w:rsidRDefault="00B76585">
      <w:pPr>
        <w:spacing w:after="0" w:line="360" w:lineRule="auto"/>
        <w:rPr>
          <w:color w:val="000000"/>
        </w:rPr>
      </w:pPr>
      <w:r>
        <w:rPr>
          <w:b/>
          <w:color w:val="000000"/>
        </w:rPr>
        <w:t xml:space="preserve">CUARTO. NOTIFÍQUESE POR SAIMEX </w:t>
      </w:r>
      <w:r>
        <w:rPr>
          <w:color w:val="000000"/>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Pr>
          <w:color w:val="000000"/>
        </w:rPr>
        <w:lastRenderedPageBreak/>
        <w:t>resolución o hacerlo de manera parcial, se le impondrá una medida de apremio de conformidad con lo previsto en los artículos 198, 200, fracción III, 214, 215 y 216 de la Ley referida.</w:t>
      </w:r>
    </w:p>
    <w:p w14:paraId="5FD40AF4" w14:textId="77777777" w:rsidR="00253B74" w:rsidRDefault="00253B74">
      <w:pPr>
        <w:spacing w:after="0" w:line="360" w:lineRule="auto"/>
        <w:rPr>
          <w:color w:val="000000"/>
        </w:rPr>
      </w:pPr>
    </w:p>
    <w:p w14:paraId="64B513BF" w14:textId="77777777" w:rsidR="00253B74" w:rsidRDefault="00B76585">
      <w:pPr>
        <w:spacing w:after="0" w:line="360" w:lineRule="auto"/>
        <w:ind w:right="-93"/>
      </w:pPr>
      <w:r>
        <w:rPr>
          <w:b/>
          <w:color w:val="000000"/>
        </w:rPr>
        <w:t>QUINTO</w:t>
      </w:r>
      <w:r>
        <w:rPr>
          <w:color w:val="000000"/>
        </w:rPr>
        <w:t>.</w:t>
      </w:r>
      <w:r>
        <w:rPr>
          <w:b/>
          <w:color w:val="000000"/>
        </w:rPr>
        <w:t xml:space="preserve"> NOTIFÍQUESE POR SAIMEX </w:t>
      </w:r>
      <w:r>
        <w:rPr>
          <w:color w:val="000000"/>
        </w:rPr>
        <w:t xml:space="preserve">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 </w:t>
      </w:r>
      <w:r>
        <w:t>o, promover Recurso de Inconformidad, en términos de los artículos 159 y 160, fracción I, de la Ley General de Transparencia y Acceso a la Información Pública.</w:t>
      </w:r>
    </w:p>
    <w:p w14:paraId="11C36FD0" w14:textId="77777777" w:rsidR="00253B74" w:rsidRDefault="00253B74">
      <w:pPr>
        <w:spacing w:after="0" w:line="360" w:lineRule="auto"/>
        <w:rPr>
          <w:color w:val="000000"/>
        </w:rPr>
      </w:pPr>
    </w:p>
    <w:p w14:paraId="11A547D8" w14:textId="77777777" w:rsidR="00253B74" w:rsidRDefault="00B76585">
      <w:pPr>
        <w:spacing w:after="0" w:line="360" w:lineRule="auto"/>
        <w:rPr>
          <w:color w:val="000000"/>
        </w:rPr>
      </w:pPr>
      <w:r>
        <w:rPr>
          <w:b/>
          <w:color w:val="000000"/>
        </w:rPr>
        <w:t>SEXTO.</w:t>
      </w:r>
      <w:r>
        <w:rPr>
          <w:color w:val="000000"/>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0CC1F5AD" w14:textId="77777777" w:rsidR="00253B74" w:rsidRDefault="00253B74">
      <w:pPr>
        <w:spacing w:after="0" w:line="360" w:lineRule="auto"/>
        <w:rPr>
          <w:color w:val="000000"/>
        </w:rPr>
      </w:pPr>
    </w:p>
    <w:p w14:paraId="07FA96EA" w14:textId="77777777" w:rsidR="00253B74" w:rsidRDefault="00B76585">
      <w:pPr>
        <w:spacing w:after="0" w:line="360" w:lineRule="auto"/>
        <w:rPr>
          <w:color w:val="000000"/>
        </w:rPr>
      </w:pPr>
      <w:r>
        <w:rPr>
          <w:color w:val="000000"/>
        </w:rPr>
        <w:t xml:space="preserve">ASÍ, POR </w:t>
      </w:r>
      <w:r>
        <w:rPr>
          <w:b/>
          <w:color w:val="000000"/>
        </w:rPr>
        <w:t>UNANIMIDAD</w:t>
      </w:r>
      <w:r>
        <w:rPr>
          <w:color w:val="000000"/>
        </w:rPr>
        <w:t xml:space="preserve"> DE VOTOS, LO RESOLVIERON Y FIRMAN LOS COMISIONADOS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14:paraId="337C30CD" w14:textId="77777777" w:rsidR="00253B74" w:rsidRDefault="00253B74">
      <w:pPr>
        <w:spacing w:after="0" w:line="360" w:lineRule="auto"/>
        <w:rPr>
          <w:color w:val="000000"/>
        </w:rPr>
      </w:pPr>
    </w:p>
    <w:p w14:paraId="3E68FF3D" w14:textId="77777777" w:rsidR="00253B74" w:rsidRDefault="00253B74">
      <w:pPr>
        <w:spacing w:after="0" w:line="360" w:lineRule="auto"/>
      </w:pPr>
    </w:p>
    <w:p w14:paraId="5D14AE09" w14:textId="77777777" w:rsidR="00253B74" w:rsidRDefault="00253B74">
      <w:pPr>
        <w:spacing w:after="0" w:line="360" w:lineRule="auto"/>
      </w:pPr>
    </w:p>
    <w:p w14:paraId="7D65782A" w14:textId="77777777" w:rsidR="00253B74" w:rsidRDefault="00253B74">
      <w:pPr>
        <w:spacing w:after="0" w:line="360" w:lineRule="auto"/>
      </w:pPr>
    </w:p>
    <w:p w14:paraId="38BFEEDA" w14:textId="77777777" w:rsidR="00253B74" w:rsidRDefault="00253B74">
      <w:pPr>
        <w:spacing w:after="0" w:line="360" w:lineRule="auto"/>
      </w:pPr>
    </w:p>
    <w:p w14:paraId="363AE3F5" w14:textId="77777777" w:rsidR="00253B74" w:rsidRDefault="00253B74">
      <w:pPr>
        <w:spacing w:after="0" w:line="360" w:lineRule="auto"/>
      </w:pPr>
    </w:p>
    <w:p w14:paraId="0C4801C7" w14:textId="77777777" w:rsidR="00253B74" w:rsidRDefault="00253B74">
      <w:pPr>
        <w:spacing w:after="0" w:line="360" w:lineRule="auto"/>
      </w:pPr>
    </w:p>
    <w:p w14:paraId="4178E59E" w14:textId="77777777" w:rsidR="00253B74" w:rsidRDefault="00253B74">
      <w:pPr>
        <w:spacing w:after="0" w:line="360" w:lineRule="auto"/>
      </w:pPr>
    </w:p>
    <w:p w14:paraId="560DAC53" w14:textId="77777777" w:rsidR="00253B74" w:rsidRDefault="00253B74">
      <w:pPr>
        <w:spacing w:after="0" w:line="360" w:lineRule="auto"/>
      </w:pPr>
    </w:p>
    <w:p w14:paraId="6598C265" w14:textId="77777777" w:rsidR="00253B74" w:rsidRDefault="00253B74">
      <w:pPr>
        <w:spacing w:after="0" w:line="360" w:lineRule="auto"/>
      </w:pPr>
    </w:p>
    <w:p w14:paraId="30667927" w14:textId="77777777" w:rsidR="00253B74" w:rsidRDefault="00253B74">
      <w:pPr>
        <w:spacing w:after="0" w:line="360" w:lineRule="auto"/>
      </w:pPr>
    </w:p>
    <w:p w14:paraId="6642AC8D" w14:textId="77777777" w:rsidR="00253B74" w:rsidRDefault="00253B74">
      <w:pPr>
        <w:spacing w:after="0" w:line="360" w:lineRule="auto"/>
      </w:pPr>
    </w:p>
    <w:p w14:paraId="26E27FD5" w14:textId="77777777" w:rsidR="00253B74" w:rsidRDefault="00253B74">
      <w:pPr>
        <w:spacing w:after="0" w:line="360" w:lineRule="auto"/>
      </w:pPr>
    </w:p>
    <w:p w14:paraId="5A4EC35A" w14:textId="77777777" w:rsidR="00253B74" w:rsidRDefault="00253B74">
      <w:pPr>
        <w:spacing w:after="0" w:line="360" w:lineRule="auto"/>
      </w:pPr>
    </w:p>
    <w:p w14:paraId="1AA93DA6" w14:textId="77777777" w:rsidR="00253B74" w:rsidRDefault="00253B74">
      <w:pPr>
        <w:spacing w:after="0" w:line="360" w:lineRule="auto"/>
      </w:pPr>
    </w:p>
    <w:p w14:paraId="69AEB6A2" w14:textId="77777777" w:rsidR="00253B74" w:rsidRDefault="00253B74">
      <w:pPr>
        <w:spacing w:after="0" w:line="360" w:lineRule="auto"/>
      </w:pPr>
    </w:p>
    <w:p w14:paraId="6EA160EE" w14:textId="77777777" w:rsidR="00253B74" w:rsidRDefault="00253B74">
      <w:pPr>
        <w:spacing w:after="0" w:line="360" w:lineRule="auto"/>
      </w:pPr>
    </w:p>
    <w:p w14:paraId="401082DF" w14:textId="77777777" w:rsidR="00253B74" w:rsidRDefault="00253B74">
      <w:pPr>
        <w:spacing w:after="0" w:line="360" w:lineRule="auto"/>
      </w:pPr>
    </w:p>
    <w:p w14:paraId="54797AF4" w14:textId="77777777" w:rsidR="00253B74" w:rsidRDefault="00253B74">
      <w:pPr>
        <w:spacing w:after="0" w:line="360" w:lineRule="auto"/>
      </w:pPr>
    </w:p>
    <w:p w14:paraId="536EC997" w14:textId="77777777" w:rsidR="00253B74" w:rsidRDefault="00253B74">
      <w:pPr>
        <w:spacing w:after="0" w:line="360" w:lineRule="auto"/>
      </w:pPr>
    </w:p>
    <w:p w14:paraId="5C3895B9" w14:textId="77777777" w:rsidR="00253B74" w:rsidRDefault="00253B74">
      <w:pPr>
        <w:spacing w:after="0" w:line="360" w:lineRule="auto"/>
      </w:pPr>
    </w:p>
    <w:p w14:paraId="01D4BB51" w14:textId="77777777" w:rsidR="00253B74" w:rsidRDefault="00253B74">
      <w:pPr>
        <w:spacing w:after="0" w:line="360" w:lineRule="auto"/>
      </w:pPr>
    </w:p>
    <w:p w14:paraId="5922D57C" w14:textId="77777777" w:rsidR="00253B74" w:rsidRDefault="00253B74">
      <w:pPr>
        <w:spacing w:after="0" w:line="360" w:lineRule="auto"/>
      </w:pPr>
    </w:p>
    <w:p w14:paraId="2864E5B2" w14:textId="77777777" w:rsidR="00253B74" w:rsidRDefault="00253B74">
      <w:pPr>
        <w:spacing w:after="0" w:line="360" w:lineRule="auto"/>
      </w:pPr>
    </w:p>
    <w:p w14:paraId="41CC9A82" w14:textId="77777777" w:rsidR="00253B74" w:rsidRDefault="00253B74">
      <w:pPr>
        <w:spacing w:after="0" w:line="360" w:lineRule="auto"/>
      </w:pPr>
    </w:p>
    <w:sectPr w:rsidR="00253B74">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26267" w14:textId="77777777" w:rsidR="003A438E" w:rsidRDefault="003A438E">
      <w:pPr>
        <w:spacing w:after="0" w:line="240" w:lineRule="auto"/>
      </w:pPr>
      <w:r>
        <w:separator/>
      </w:r>
    </w:p>
  </w:endnote>
  <w:endnote w:type="continuationSeparator" w:id="0">
    <w:p w14:paraId="24602AA3" w14:textId="77777777" w:rsidR="003A438E" w:rsidRDefault="003A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CBCF" w14:textId="77777777" w:rsidR="00253B74" w:rsidRDefault="00B7658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77DD7EF1" w14:textId="77777777" w:rsidR="00253B74" w:rsidRDefault="00253B7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5C2C" w14:textId="77777777" w:rsidR="00253B74" w:rsidRDefault="00B7658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C359F">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C359F">
      <w:rPr>
        <w:b/>
        <w:noProof/>
        <w:color w:val="000000"/>
        <w:sz w:val="24"/>
        <w:szCs w:val="24"/>
      </w:rPr>
      <w:t>32</w:t>
    </w:r>
    <w:r>
      <w:rPr>
        <w:b/>
        <w:color w:val="000000"/>
        <w:sz w:val="24"/>
        <w:szCs w:val="24"/>
      </w:rPr>
      <w:fldChar w:fldCharType="end"/>
    </w:r>
  </w:p>
  <w:p w14:paraId="3283FD85" w14:textId="77777777" w:rsidR="00253B74" w:rsidRDefault="00253B7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6102" w14:textId="77777777" w:rsidR="00253B74" w:rsidRDefault="00B7658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C359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C359F">
      <w:rPr>
        <w:b/>
        <w:noProof/>
        <w:color w:val="000000"/>
        <w:sz w:val="24"/>
        <w:szCs w:val="24"/>
      </w:rPr>
      <w:t>32</w:t>
    </w:r>
    <w:r>
      <w:rPr>
        <w:b/>
        <w:color w:val="000000"/>
        <w:sz w:val="24"/>
        <w:szCs w:val="24"/>
      </w:rPr>
      <w:fldChar w:fldCharType="end"/>
    </w:r>
  </w:p>
  <w:p w14:paraId="2D436271" w14:textId="77777777" w:rsidR="00253B74" w:rsidRDefault="00253B7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66DCA" w14:textId="77777777" w:rsidR="003A438E" w:rsidRDefault="003A438E">
      <w:pPr>
        <w:spacing w:after="0" w:line="240" w:lineRule="auto"/>
      </w:pPr>
      <w:r>
        <w:separator/>
      </w:r>
    </w:p>
  </w:footnote>
  <w:footnote w:type="continuationSeparator" w:id="0">
    <w:p w14:paraId="757179FF" w14:textId="77777777" w:rsidR="003A438E" w:rsidRDefault="003A4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E016" w14:textId="77777777" w:rsidR="00253B74" w:rsidRDefault="00253B74">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253B74" w14:paraId="51383F49" w14:textId="77777777">
      <w:trPr>
        <w:trHeight w:val="132"/>
      </w:trPr>
      <w:tc>
        <w:tcPr>
          <w:tcW w:w="2691" w:type="dxa"/>
        </w:tcPr>
        <w:p w14:paraId="1F966C5C" w14:textId="77777777" w:rsidR="00253B74" w:rsidRDefault="00B76585">
          <w:pPr>
            <w:tabs>
              <w:tab w:val="right" w:pos="8838"/>
            </w:tabs>
            <w:ind w:right="-105"/>
            <w:rPr>
              <w:b/>
            </w:rPr>
          </w:pPr>
          <w:r>
            <w:rPr>
              <w:b/>
            </w:rPr>
            <w:t>Recurso de Revisión:</w:t>
          </w:r>
        </w:p>
      </w:tc>
      <w:tc>
        <w:tcPr>
          <w:tcW w:w="3405" w:type="dxa"/>
        </w:tcPr>
        <w:p w14:paraId="68C7BA05" w14:textId="77777777" w:rsidR="00253B74" w:rsidRDefault="00B76585">
          <w:pPr>
            <w:tabs>
              <w:tab w:val="right" w:pos="8838"/>
            </w:tabs>
            <w:ind w:left="-28" w:right="-32"/>
          </w:pPr>
          <w:r>
            <w:t>03846/INFOEM/IP/RR/2020</w:t>
          </w:r>
        </w:p>
      </w:tc>
    </w:tr>
    <w:tr w:rsidR="00253B74" w14:paraId="09F36B16" w14:textId="77777777">
      <w:trPr>
        <w:trHeight w:val="261"/>
      </w:trPr>
      <w:tc>
        <w:tcPr>
          <w:tcW w:w="2691" w:type="dxa"/>
        </w:tcPr>
        <w:p w14:paraId="75E0BBD1" w14:textId="77777777" w:rsidR="00253B74" w:rsidRDefault="00B76585">
          <w:pPr>
            <w:tabs>
              <w:tab w:val="right" w:pos="8838"/>
            </w:tabs>
            <w:ind w:right="-105"/>
            <w:rPr>
              <w:b/>
            </w:rPr>
          </w:pPr>
          <w:r>
            <w:rPr>
              <w:b/>
            </w:rPr>
            <w:t>Sujeto Obligado:</w:t>
          </w:r>
        </w:p>
      </w:tc>
      <w:tc>
        <w:tcPr>
          <w:tcW w:w="3405" w:type="dxa"/>
        </w:tcPr>
        <w:p w14:paraId="49923B22" w14:textId="77777777" w:rsidR="00253B74" w:rsidRDefault="00B76585">
          <w:pPr>
            <w:tabs>
              <w:tab w:val="right" w:pos="8838"/>
            </w:tabs>
            <w:ind w:right="-32"/>
          </w:pPr>
          <w:r>
            <w:t>Ayuntamiento de Valle de Chalco Solidaridad</w:t>
          </w:r>
        </w:p>
      </w:tc>
    </w:tr>
    <w:tr w:rsidR="00253B74" w14:paraId="4698C452" w14:textId="77777777">
      <w:trPr>
        <w:trHeight w:val="261"/>
      </w:trPr>
      <w:tc>
        <w:tcPr>
          <w:tcW w:w="2691" w:type="dxa"/>
        </w:tcPr>
        <w:p w14:paraId="5A5FD566" w14:textId="77777777" w:rsidR="00253B74" w:rsidRDefault="00B76585">
          <w:pPr>
            <w:tabs>
              <w:tab w:val="right" w:pos="8838"/>
            </w:tabs>
            <w:ind w:right="-105"/>
            <w:rPr>
              <w:b/>
            </w:rPr>
          </w:pPr>
          <w:r>
            <w:rPr>
              <w:b/>
            </w:rPr>
            <w:t>Comisionado Ponente:</w:t>
          </w:r>
        </w:p>
      </w:tc>
      <w:tc>
        <w:tcPr>
          <w:tcW w:w="3405" w:type="dxa"/>
        </w:tcPr>
        <w:p w14:paraId="298AA2EA" w14:textId="77777777" w:rsidR="00253B74" w:rsidRDefault="00B76585">
          <w:pPr>
            <w:tabs>
              <w:tab w:val="right" w:pos="8838"/>
            </w:tabs>
            <w:ind w:right="-32"/>
            <w:rPr>
              <w:b/>
            </w:rPr>
          </w:pPr>
          <w:r>
            <w:t>Luis Gustavo Parra Noriega</w:t>
          </w:r>
        </w:p>
      </w:tc>
    </w:tr>
  </w:tbl>
  <w:p w14:paraId="6DB06B68" w14:textId="77777777" w:rsidR="00253B74"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0951C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6A91" w14:textId="77777777" w:rsidR="00253B74" w:rsidRDefault="00000000">
    <w:r>
      <w:pict w14:anchorId="209B5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left:0;text-align:left;margin-left:-85.65pt;margin-top:-125.9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6095" w:type="dxa"/>
      <w:tblInd w:w="3686" w:type="dxa"/>
      <w:tblBorders>
        <w:top w:val="nil"/>
        <w:left w:val="nil"/>
        <w:bottom w:val="nil"/>
        <w:right w:val="nil"/>
        <w:insideH w:val="nil"/>
        <w:insideV w:val="nil"/>
      </w:tblBorders>
      <w:tblLayout w:type="fixed"/>
      <w:tblLook w:val="0400" w:firstRow="0" w:lastRow="0" w:firstColumn="0" w:lastColumn="0" w:noHBand="0" w:noVBand="1"/>
    </w:tblPr>
    <w:tblGrid>
      <w:gridCol w:w="2552"/>
      <w:gridCol w:w="3543"/>
    </w:tblGrid>
    <w:tr w:rsidR="00253B74" w14:paraId="0A72F0D7" w14:textId="77777777">
      <w:trPr>
        <w:trHeight w:val="138"/>
      </w:trPr>
      <w:tc>
        <w:tcPr>
          <w:tcW w:w="2552" w:type="dxa"/>
          <w:vAlign w:val="center"/>
        </w:tcPr>
        <w:p w14:paraId="6B802F04" w14:textId="77777777" w:rsidR="00253B74" w:rsidRDefault="00B76585">
          <w:pPr>
            <w:tabs>
              <w:tab w:val="right" w:pos="8838"/>
            </w:tabs>
            <w:ind w:right="-105"/>
            <w:jc w:val="left"/>
            <w:rPr>
              <w:b/>
            </w:rPr>
          </w:pPr>
          <w:r>
            <w:rPr>
              <w:b/>
            </w:rPr>
            <w:t>Recurso de Revisión:</w:t>
          </w:r>
        </w:p>
      </w:tc>
      <w:tc>
        <w:tcPr>
          <w:tcW w:w="3544" w:type="dxa"/>
        </w:tcPr>
        <w:p w14:paraId="2F988D56" w14:textId="77777777" w:rsidR="00253B74" w:rsidRDefault="00B76585">
          <w:pPr>
            <w:tabs>
              <w:tab w:val="right" w:pos="8838"/>
            </w:tabs>
            <w:ind w:right="-32"/>
          </w:pPr>
          <w:r>
            <w:t>07611/INFOEM/IP/RR/2024</w:t>
          </w:r>
        </w:p>
      </w:tc>
    </w:tr>
    <w:tr w:rsidR="00253B74" w14:paraId="431D83E4" w14:textId="77777777">
      <w:trPr>
        <w:trHeight w:val="273"/>
      </w:trPr>
      <w:tc>
        <w:tcPr>
          <w:tcW w:w="2552" w:type="dxa"/>
        </w:tcPr>
        <w:p w14:paraId="768E1E5A" w14:textId="77777777" w:rsidR="00253B74" w:rsidRDefault="00B76585">
          <w:pPr>
            <w:tabs>
              <w:tab w:val="right" w:pos="8838"/>
            </w:tabs>
            <w:ind w:right="-105"/>
            <w:rPr>
              <w:b/>
            </w:rPr>
          </w:pPr>
          <w:r>
            <w:rPr>
              <w:b/>
            </w:rPr>
            <w:t>Sujeto Obligado:</w:t>
          </w:r>
        </w:p>
      </w:tc>
      <w:tc>
        <w:tcPr>
          <w:tcW w:w="3544" w:type="dxa"/>
        </w:tcPr>
        <w:p w14:paraId="452F5004" w14:textId="77777777" w:rsidR="00253B74" w:rsidRDefault="00B76585">
          <w:pPr>
            <w:tabs>
              <w:tab w:val="right" w:pos="8838"/>
            </w:tabs>
            <w:ind w:left="-28" w:right="-32"/>
          </w:pPr>
          <w:r>
            <w:rPr>
              <w:color w:val="000000"/>
            </w:rPr>
            <w:t>Ayuntamiento de Ixtapaluca</w:t>
          </w:r>
        </w:p>
      </w:tc>
    </w:tr>
    <w:tr w:rsidR="00253B74" w14:paraId="0986E5B1" w14:textId="77777777">
      <w:trPr>
        <w:trHeight w:val="273"/>
      </w:trPr>
      <w:tc>
        <w:tcPr>
          <w:tcW w:w="2552" w:type="dxa"/>
        </w:tcPr>
        <w:p w14:paraId="5E59A4E2" w14:textId="77777777" w:rsidR="00253B74" w:rsidRDefault="00B76585">
          <w:pPr>
            <w:tabs>
              <w:tab w:val="right" w:pos="8838"/>
            </w:tabs>
            <w:ind w:right="-105"/>
            <w:rPr>
              <w:b/>
            </w:rPr>
          </w:pPr>
          <w:r>
            <w:rPr>
              <w:b/>
            </w:rPr>
            <w:t>Comisionado Ponente:</w:t>
          </w:r>
        </w:p>
      </w:tc>
      <w:tc>
        <w:tcPr>
          <w:tcW w:w="3544" w:type="dxa"/>
        </w:tcPr>
        <w:p w14:paraId="301750E3" w14:textId="77777777" w:rsidR="00253B74" w:rsidRDefault="00B76585">
          <w:pPr>
            <w:tabs>
              <w:tab w:val="right" w:pos="8838"/>
            </w:tabs>
            <w:ind w:left="-28" w:right="-32"/>
            <w:rPr>
              <w:b/>
            </w:rPr>
          </w:pPr>
          <w:r>
            <w:t>Luis Gustavo Parra Noriega</w:t>
          </w:r>
        </w:p>
      </w:tc>
    </w:tr>
  </w:tbl>
  <w:p w14:paraId="172666E2" w14:textId="77777777" w:rsidR="00253B74" w:rsidRDefault="00253B74">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764B" w14:textId="77777777" w:rsidR="00253B74" w:rsidRDefault="00253B74">
    <w:pPr>
      <w:widowControl w:val="0"/>
      <w:pBdr>
        <w:top w:val="nil"/>
        <w:left w:val="nil"/>
        <w:bottom w:val="nil"/>
        <w:right w:val="nil"/>
        <w:between w:val="nil"/>
      </w:pBdr>
      <w:spacing w:after="0" w:line="276" w:lineRule="auto"/>
      <w:jc w:val="left"/>
      <w:rPr>
        <w:color w:val="000000"/>
      </w:rPr>
    </w:pPr>
  </w:p>
  <w:tbl>
    <w:tblPr>
      <w:tblStyle w:val="a1"/>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2"/>
      <w:gridCol w:w="4252"/>
    </w:tblGrid>
    <w:tr w:rsidR="00253B74" w14:paraId="71B9D2C4" w14:textId="77777777">
      <w:trPr>
        <w:trHeight w:val="132"/>
      </w:trPr>
      <w:tc>
        <w:tcPr>
          <w:tcW w:w="2552" w:type="dxa"/>
        </w:tcPr>
        <w:p w14:paraId="040EEE7F" w14:textId="77777777" w:rsidR="00253B74" w:rsidRDefault="00B76585">
          <w:pPr>
            <w:tabs>
              <w:tab w:val="right" w:pos="8838"/>
            </w:tabs>
            <w:ind w:right="-105"/>
            <w:rPr>
              <w:b/>
            </w:rPr>
          </w:pPr>
          <w:r>
            <w:rPr>
              <w:b/>
            </w:rPr>
            <w:t>Recurso de Revisión:</w:t>
          </w:r>
        </w:p>
      </w:tc>
      <w:tc>
        <w:tcPr>
          <w:tcW w:w="4252" w:type="dxa"/>
        </w:tcPr>
        <w:p w14:paraId="4BE02A0B" w14:textId="77777777" w:rsidR="00253B74" w:rsidRDefault="00B76585">
          <w:pPr>
            <w:tabs>
              <w:tab w:val="right" w:pos="8838"/>
            </w:tabs>
            <w:ind w:left="-111" w:right="-32"/>
          </w:pPr>
          <w:r>
            <w:t>07611/INFOEM/IP/RR/2024</w:t>
          </w:r>
        </w:p>
      </w:tc>
    </w:tr>
    <w:tr w:rsidR="00253B74" w14:paraId="62FE029B" w14:textId="77777777">
      <w:trPr>
        <w:trHeight w:val="132"/>
      </w:trPr>
      <w:tc>
        <w:tcPr>
          <w:tcW w:w="2552" w:type="dxa"/>
        </w:tcPr>
        <w:p w14:paraId="00D7A331" w14:textId="77777777" w:rsidR="00253B74" w:rsidRDefault="00B76585">
          <w:pPr>
            <w:tabs>
              <w:tab w:val="left" w:pos="1875"/>
            </w:tabs>
            <w:ind w:right="-105"/>
            <w:rPr>
              <w:b/>
            </w:rPr>
          </w:pPr>
          <w:r>
            <w:rPr>
              <w:b/>
            </w:rPr>
            <w:t>Recurrente:</w:t>
          </w:r>
          <w:r>
            <w:rPr>
              <w:b/>
            </w:rPr>
            <w:tab/>
          </w:r>
        </w:p>
      </w:tc>
      <w:tc>
        <w:tcPr>
          <w:tcW w:w="4252" w:type="dxa"/>
        </w:tcPr>
        <w:p w14:paraId="6B9C372F" w14:textId="5919B0D6" w:rsidR="00253B74" w:rsidRDefault="00477F69">
          <w:pPr>
            <w:tabs>
              <w:tab w:val="right" w:pos="8838"/>
            </w:tabs>
            <w:ind w:left="-111" w:right="-109"/>
          </w:pPr>
          <w:r w:rsidRPr="00477F69">
            <w:rPr>
              <w:highlight w:val="black"/>
            </w:rPr>
            <w:t>XXXXXXXXXXXXXX</w:t>
          </w:r>
          <w:r w:rsidR="00B76585">
            <w:t xml:space="preserve"> </w:t>
          </w:r>
        </w:p>
      </w:tc>
    </w:tr>
    <w:tr w:rsidR="00253B74" w14:paraId="6F502C36" w14:textId="77777777">
      <w:trPr>
        <w:trHeight w:val="261"/>
      </w:trPr>
      <w:tc>
        <w:tcPr>
          <w:tcW w:w="2552" w:type="dxa"/>
        </w:tcPr>
        <w:p w14:paraId="45B6D557" w14:textId="77777777" w:rsidR="00253B74" w:rsidRDefault="00B76585">
          <w:pPr>
            <w:tabs>
              <w:tab w:val="right" w:pos="8838"/>
            </w:tabs>
            <w:ind w:right="-105"/>
            <w:rPr>
              <w:b/>
            </w:rPr>
          </w:pPr>
          <w:r>
            <w:rPr>
              <w:b/>
            </w:rPr>
            <w:t>Sujeto Obligado:</w:t>
          </w:r>
        </w:p>
      </w:tc>
      <w:tc>
        <w:tcPr>
          <w:tcW w:w="4252" w:type="dxa"/>
        </w:tcPr>
        <w:p w14:paraId="12234D10" w14:textId="77777777" w:rsidR="00253B74" w:rsidRDefault="00B76585">
          <w:pPr>
            <w:tabs>
              <w:tab w:val="right" w:pos="8838"/>
            </w:tabs>
            <w:ind w:left="-111" w:right="-32"/>
          </w:pPr>
          <w:r>
            <w:rPr>
              <w:color w:val="000000"/>
            </w:rPr>
            <w:t>Ayuntamiento de Ixtapaluca</w:t>
          </w:r>
        </w:p>
      </w:tc>
    </w:tr>
    <w:tr w:rsidR="00253B74" w14:paraId="1129CD48" w14:textId="77777777">
      <w:trPr>
        <w:trHeight w:val="261"/>
      </w:trPr>
      <w:tc>
        <w:tcPr>
          <w:tcW w:w="2552" w:type="dxa"/>
        </w:tcPr>
        <w:p w14:paraId="71BD05CE" w14:textId="77777777" w:rsidR="00253B74" w:rsidRDefault="00B76585">
          <w:pPr>
            <w:tabs>
              <w:tab w:val="right" w:pos="8838"/>
            </w:tabs>
            <w:ind w:right="-105"/>
            <w:rPr>
              <w:b/>
            </w:rPr>
          </w:pPr>
          <w:r>
            <w:rPr>
              <w:b/>
            </w:rPr>
            <w:t>Comisionado Ponente:</w:t>
          </w:r>
        </w:p>
      </w:tc>
      <w:tc>
        <w:tcPr>
          <w:tcW w:w="4252" w:type="dxa"/>
        </w:tcPr>
        <w:p w14:paraId="7B94A924" w14:textId="77777777" w:rsidR="00253B74" w:rsidRDefault="00B76585">
          <w:pPr>
            <w:tabs>
              <w:tab w:val="right" w:pos="8838"/>
            </w:tabs>
            <w:ind w:left="-111" w:right="-32"/>
            <w:rPr>
              <w:b/>
            </w:rPr>
          </w:pPr>
          <w:r>
            <w:t>Luis Gustavo Parra Noriega</w:t>
          </w:r>
        </w:p>
      </w:tc>
    </w:tr>
  </w:tbl>
  <w:p w14:paraId="0BB4F8BC" w14:textId="77777777" w:rsidR="00253B74" w:rsidRDefault="0000000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016DB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84.9pt;margin-top:-128.1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5285F"/>
    <w:multiLevelType w:val="multilevel"/>
    <w:tmpl w:val="F86AB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0F307E"/>
    <w:multiLevelType w:val="multilevel"/>
    <w:tmpl w:val="05805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994358"/>
    <w:multiLevelType w:val="multilevel"/>
    <w:tmpl w:val="92904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C81B61"/>
    <w:multiLevelType w:val="multilevel"/>
    <w:tmpl w:val="42B45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3E4C6E"/>
    <w:multiLevelType w:val="multilevel"/>
    <w:tmpl w:val="DD602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BA6F6E"/>
    <w:multiLevelType w:val="multilevel"/>
    <w:tmpl w:val="4D08C2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B43BF6"/>
    <w:multiLevelType w:val="multilevel"/>
    <w:tmpl w:val="FBA6C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2676778">
    <w:abstractNumId w:val="4"/>
  </w:num>
  <w:num w:numId="2" w16cid:durableId="133451906">
    <w:abstractNumId w:val="0"/>
  </w:num>
  <w:num w:numId="3" w16cid:durableId="1773279500">
    <w:abstractNumId w:val="1"/>
  </w:num>
  <w:num w:numId="4" w16cid:durableId="1236552636">
    <w:abstractNumId w:val="6"/>
  </w:num>
  <w:num w:numId="5" w16cid:durableId="1166436789">
    <w:abstractNumId w:val="2"/>
  </w:num>
  <w:num w:numId="6" w16cid:durableId="475268838">
    <w:abstractNumId w:val="3"/>
  </w:num>
  <w:num w:numId="7" w16cid:durableId="1312518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74"/>
    <w:rsid w:val="000D061F"/>
    <w:rsid w:val="000E5D6C"/>
    <w:rsid w:val="00253B74"/>
    <w:rsid w:val="003A438E"/>
    <w:rsid w:val="00477F69"/>
    <w:rsid w:val="00572CBB"/>
    <w:rsid w:val="009F50C5"/>
    <w:rsid w:val="00A5159C"/>
    <w:rsid w:val="00B76585"/>
    <w:rsid w:val="00DC359F"/>
    <w:rsid w:val="00F95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B65C"/>
  <w15:docId w15:val="{6F0AF7DE-527F-4AEC-9631-6FAF1D8C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9E"/>
    <w:rPr>
      <w:color w:val="000000" w:themeColor="text1"/>
    </w:rPr>
  </w:style>
  <w:style w:type="paragraph" w:styleId="Ttulo1">
    <w:name w:val="heading 1"/>
    <w:basedOn w:val="Normal"/>
    <w:next w:val="Normal"/>
    <w:link w:val="Ttulo1Car"/>
    <w:uiPriority w:val="9"/>
    <w:qFormat/>
    <w:rsid w:val="004146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72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722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505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5D5"/>
    <w:rPr>
      <w:rFonts w:ascii="Palatino Linotype" w:hAnsi="Palatino Linotype"/>
      <w:color w:val="000000" w:themeColor="text1"/>
    </w:rPr>
  </w:style>
  <w:style w:type="paragraph" w:styleId="Piedepgina">
    <w:name w:val="footer"/>
    <w:basedOn w:val="Normal"/>
    <w:link w:val="PiedepginaCar"/>
    <w:uiPriority w:val="99"/>
    <w:unhideWhenUsed/>
    <w:rsid w:val="00F505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5D5"/>
    <w:rPr>
      <w:rFonts w:ascii="Palatino Linotype" w:hAnsi="Palatino Linotype"/>
      <w:color w:val="000000" w:themeColor="text1"/>
    </w:rPr>
  </w:style>
  <w:style w:type="table" w:styleId="Tablaconcuadrcula">
    <w:name w:val="Table Grid"/>
    <w:basedOn w:val="Tablanormal"/>
    <w:uiPriority w:val="39"/>
    <w:qFormat/>
    <w:rsid w:val="00F505D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505D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505D5"/>
    <w:rPr>
      <w:rFonts w:ascii="Palatino Linotype" w:hAnsi="Palatino Linotype"/>
      <w:color w:val="000000" w:themeColor="text1"/>
    </w:rPr>
  </w:style>
  <w:style w:type="character" w:customStyle="1" w:styleId="normaltextrun">
    <w:name w:val="normaltextrun"/>
    <w:basedOn w:val="Fuentedeprrafopredeter"/>
    <w:rsid w:val="00F505D5"/>
  </w:style>
  <w:style w:type="paragraph" w:customStyle="1" w:styleId="paragraph">
    <w:name w:val="paragraph"/>
    <w:basedOn w:val="Normal"/>
    <w:rsid w:val="00F505D5"/>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F505D5"/>
  </w:style>
  <w:style w:type="character" w:styleId="Hipervnculo">
    <w:name w:val="Hyperlink"/>
    <w:basedOn w:val="Fuentedeprrafopredeter"/>
    <w:uiPriority w:val="99"/>
    <w:unhideWhenUsed/>
    <w:rsid w:val="00507F98"/>
    <w:rPr>
      <w:color w:val="0563C1" w:themeColor="hyperlink"/>
      <w:u w:val="single"/>
    </w:rPr>
  </w:style>
  <w:style w:type="character" w:customStyle="1" w:styleId="Mencinsinresolver1">
    <w:name w:val="Mención sin resolver1"/>
    <w:basedOn w:val="Fuentedeprrafopredeter"/>
    <w:uiPriority w:val="99"/>
    <w:semiHidden/>
    <w:unhideWhenUsed/>
    <w:rsid w:val="00507F98"/>
    <w:rPr>
      <w:color w:val="605E5C"/>
      <w:shd w:val="clear" w:color="auto" w:fill="E1DFDD"/>
    </w:rPr>
  </w:style>
  <w:style w:type="paragraph" w:styleId="NormalWeb">
    <w:name w:val="Normal (Web)"/>
    <w:basedOn w:val="Normal"/>
    <w:uiPriority w:val="99"/>
    <w:unhideWhenUsed/>
    <w:rsid w:val="00D2533B"/>
    <w:rPr>
      <w:rFonts w:ascii="Times New Roman" w:hAnsi="Times New Roman" w:cs="Times New Roman"/>
      <w:sz w:val="24"/>
      <w:szCs w:val="24"/>
    </w:rPr>
  </w:style>
  <w:style w:type="paragraph" w:styleId="Sinespaciado">
    <w:name w:val="No Spacing"/>
    <w:uiPriority w:val="1"/>
    <w:qFormat/>
    <w:rsid w:val="004146DC"/>
    <w:pPr>
      <w:spacing w:after="0" w:line="240" w:lineRule="auto"/>
    </w:pPr>
    <w:rPr>
      <w:color w:val="000000" w:themeColor="text1"/>
    </w:rPr>
  </w:style>
  <w:style w:type="character" w:customStyle="1" w:styleId="Ttulo1Car">
    <w:name w:val="Título 1 Car"/>
    <w:basedOn w:val="Fuentedeprrafopredeter"/>
    <w:link w:val="Ttulo1"/>
    <w:uiPriority w:val="9"/>
    <w:rsid w:val="004146D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72241"/>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772241"/>
    <w:pPr>
      <w:jc w:val="left"/>
      <w:outlineLvl w:val="9"/>
    </w:pPr>
  </w:style>
  <w:style w:type="paragraph" w:styleId="TDC1">
    <w:name w:val="toc 1"/>
    <w:basedOn w:val="Normal"/>
    <w:next w:val="Normal"/>
    <w:autoRedefine/>
    <w:uiPriority w:val="39"/>
    <w:unhideWhenUsed/>
    <w:rsid w:val="00772241"/>
    <w:pPr>
      <w:spacing w:after="100"/>
    </w:pPr>
  </w:style>
  <w:style w:type="paragraph" w:styleId="TDC2">
    <w:name w:val="toc 2"/>
    <w:basedOn w:val="Normal"/>
    <w:next w:val="Normal"/>
    <w:autoRedefine/>
    <w:uiPriority w:val="39"/>
    <w:unhideWhenUsed/>
    <w:rsid w:val="00772241"/>
    <w:pPr>
      <w:spacing w:after="100"/>
      <w:ind w:left="220"/>
    </w:pPr>
  </w:style>
  <w:style w:type="character" w:customStyle="1" w:styleId="Ttulo3Car">
    <w:name w:val="Título 3 Car"/>
    <w:basedOn w:val="Fuentedeprrafopredeter"/>
    <w:link w:val="Ttulo3"/>
    <w:uiPriority w:val="9"/>
    <w:rsid w:val="0077224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772241"/>
    <w:pPr>
      <w:spacing w:after="100"/>
      <w:ind w:left="44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bpLzzrsnoOX+aiQ1ViNRuCUl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ZUN6RXN4ci16V0N6cjBhVlMtQjZPUDdGcUxqdW9yU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7802</Words>
  <Characters>42913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HECTOR FABIAN ORDOÑEZ GARCIA</cp:lastModifiedBy>
  <cp:revision>4</cp:revision>
  <dcterms:created xsi:type="dcterms:W3CDTF">2025-01-31T16:53:00Z</dcterms:created>
  <dcterms:modified xsi:type="dcterms:W3CDTF">2025-02-19T16:40:00Z</dcterms:modified>
</cp:coreProperties>
</file>