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44F" w:rsidRPr="00A34F7B" w:rsidRDefault="003C0F32">
      <w:pPr>
        <w:spacing w:after="0" w:line="360" w:lineRule="auto"/>
        <w:ind w:right="49"/>
        <w:jc w:val="both"/>
        <w:rPr>
          <w:rFonts w:ascii="Palatino Linotype" w:eastAsia="Palatino Linotype" w:hAnsi="Palatino Linotype" w:cs="Palatino Linotype"/>
        </w:rPr>
      </w:pPr>
      <w:bookmarkStart w:id="0" w:name="_GoBack"/>
      <w:bookmarkEnd w:id="0"/>
      <w:r w:rsidRPr="00A34F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octubre de dos mil veinticinco. </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ind w:right="27"/>
        <w:jc w:val="both"/>
        <w:rPr>
          <w:rFonts w:ascii="Palatino Linotype" w:eastAsia="Palatino Linotype" w:hAnsi="Palatino Linotype" w:cs="Palatino Linotype"/>
          <w:b/>
        </w:rPr>
      </w:pPr>
      <w:r w:rsidRPr="00A34F7B">
        <w:rPr>
          <w:rFonts w:ascii="Palatino Linotype" w:eastAsia="Palatino Linotype" w:hAnsi="Palatino Linotype" w:cs="Palatino Linotype"/>
        </w:rPr>
        <w:t xml:space="preserve">Visto el expediente relativo al recurso de revisión </w:t>
      </w:r>
      <w:r w:rsidRPr="00A34F7B">
        <w:rPr>
          <w:rFonts w:ascii="Palatino Linotype" w:eastAsia="Palatino Linotype" w:hAnsi="Palatino Linotype" w:cs="Palatino Linotype"/>
          <w:b/>
        </w:rPr>
        <w:t>08049/INFOEM/IP/RR/2025</w:t>
      </w:r>
      <w:r w:rsidRPr="00A34F7B">
        <w:rPr>
          <w:rFonts w:ascii="Palatino Linotype" w:eastAsia="Palatino Linotype" w:hAnsi="Palatino Linotype" w:cs="Palatino Linotype"/>
        </w:rPr>
        <w:t>, interpuesto por</w:t>
      </w:r>
      <w:r w:rsidRPr="00A34F7B">
        <w:rPr>
          <w:rFonts w:ascii="Palatino Linotype" w:eastAsia="Palatino Linotype" w:hAnsi="Palatino Linotype" w:cs="Palatino Linotype"/>
          <w:b/>
        </w:rPr>
        <w:t xml:space="preserve"> un particular que no proporcionó nombre o seudónimo</w:t>
      </w:r>
      <w:r w:rsidRPr="00A34F7B">
        <w:rPr>
          <w:rFonts w:ascii="Palatino Linotype" w:eastAsia="Palatino Linotype" w:hAnsi="Palatino Linotype" w:cs="Palatino Linotype"/>
        </w:rPr>
        <w:t xml:space="preserve">, al cual en lo sucesivo se le denominará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en contra de la respuesta a su solicitud de información identificada con número de folio </w:t>
      </w:r>
      <w:r w:rsidRPr="00A34F7B">
        <w:rPr>
          <w:rFonts w:ascii="Palatino Linotype" w:eastAsia="Palatino Linotype" w:hAnsi="Palatino Linotype" w:cs="Palatino Linotype"/>
          <w:b/>
        </w:rPr>
        <w:t xml:space="preserve">00507/NAUCALPA/IP/2025 </w:t>
      </w:r>
      <w:r w:rsidRPr="00A34F7B">
        <w:rPr>
          <w:rFonts w:ascii="Palatino Linotype" w:eastAsia="Palatino Linotype" w:hAnsi="Palatino Linotype" w:cs="Palatino Linotype"/>
        </w:rPr>
        <w:t xml:space="preserve">proporcionada por parte del </w:t>
      </w:r>
      <w:r w:rsidRPr="00A34F7B">
        <w:rPr>
          <w:rFonts w:ascii="Palatino Linotype" w:eastAsia="Palatino Linotype" w:hAnsi="Palatino Linotype" w:cs="Palatino Linotype"/>
          <w:b/>
        </w:rPr>
        <w:t xml:space="preserve">Ayuntamiento de Naucalpan de Juárez, </w:t>
      </w:r>
      <w:r w:rsidRPr="00A34F7B">
        <w:rPr>
          <w:rFonts w:ascii="Palatino Linotype" w:eastAsia="Palatino Linotype" w:hAnsi="Palatino Linotype" w:cs="Palatino Linotype"/>
        </w:rPr>
        <w:t xml:space="preserve">en lo sucesivo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se procede a dictar la presente resolución, con base en los siguientes:</w:t>
      </w:r>
      <w:r w:rsidRPr="00A34F7B">
        <w:rPr>
          <w:rFonts w:ascii="Palatino Linotype" w:eastAsia="Palatino Linotype" w:hAnsi="Palatino Linotype" w:cs="Palatino Linotype"/>
          <w:b/>
        </w:rPr>
        <w:t xml:space="preserve"> </w:t>
      </w:r>
    </w:p>
    <w:p w:rsidR="0035444F" w:rsidRPr="00A34F7B" w:rsidRDefault="0035444F">
      <w:pPr>
        <w:spacing w:after="0" w:line="360" w:lineRule="auto"/>
        <w:ind w:right="27"/>
        <w:jc w:val="both"/>
        <w:rPr>
          <w:rFonts w:ascii="Palatino Linotype" w:eastAsia="Palatino Linotype" w:hAnsi="Palatino Linotype" w:cs="Palatino Linotype"/>
          <w:b/>
        </w:rPr>
      </w:pPr>
    </w:p>
    <w:p w:rsidR="0035444F" w:rsidRPr="00A34F7B" w:rsidRDefault="003C0F32">
      <w:pPr>
        <w:numPr>
          <w:ilvl w:val="0"/>
          <w:numId w:val="2"/>
        </w:numPr>
        <w:pBdr>
          <w:top w:val="nil"/>
          <w:left w:val="nil"/>
          <w:bottom w:val="nil"/>
          <w:right w:val="nil"/>
          <w:between w:val="nil"/>
        </w:pBdr>
        <w:spacing w:after="0" w:line="360" w:lineRule="auto"/>
        <w:ind w:right="49"/>
        <w:jc w:val="center"/>
        <w:rPr>
          <w:rFonts w:ascii="Palatino Linotype" w:eastAsia="Palatino Linotype" w:hAnsi="Palatino Linotype" w:cs="Palatino Linotype"/>
          <w:b/>
        </w:rPr>
      </w:pPr>
      <w:r w:rsidRPr="00A34F7B">
        <w:rPr>
          <w:rFonts w:ascii="Palatino Linotype" w:eastAsia="Palatino Linotype" w:hAnsi="Palatino Linotype" w:cs="Palatino Linotype"/>
          <w:b/>
        </w:rPr>
        <w:t>A N T E C E D E N T E S</w:t>
      </w:r>
    </w:p>
    <w:p w:rsidR="0035444F" w:rsidRPr="00A34F7B" w:rsidRDefault="0035444F">
      <w:pPr>
        <w:pBdr>
          <w:top w:val="nil"/>
          <w:left w:val="nil"/>
          <w:bottom w:val="nil"/>
          <w:right w:val="nil"/>
          <w:between w:val="nil"/>
        </w:pBdr>
        <w:spacing w:after="0" w:line="360" w:lineRule="auto"/>
        <w:ind w:left="1080" w:right="49"/>
        <w:rPr>
          <w:rFonts w:ascii="Palatino Linotype" w:eastAsia="Palatino Linotype" w:hAnsi="Palatino Linotype" w:cs="Palatino Linotype"/>
          <w:b/>
        </w:rPr>
      </w:pPr>
    </w:p>
    <w:p w:rsidR="0035444F" w:rsidRPr="00A34F7B" w:rsidRDefault="003C0F32">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A34F7B">
        <w:rPr>
          <w:rFonts w:ascii="Palatino Linotype" w:eastAsia="Palatino Linotype" w:hAnsi="Palatino Linotype" w:cs="Palatino Linotype"/>
          <w:b/>
        </w:rPr>
        <w:t>Solicitud de acceso a la información.</w:t>
      </w:r>
      <w:r w:rsidRPr="00A34F7B">
        <w:rPr>
          <w:rFonts w:ascii="Palatino Linotype" w:eastAsia="Palatino Linotype" w:hAnsi="Palatino Linotype" w:cs="Palatino Linotype"/>
        </w:rPr>
        <w:t xml:space="preserve"> Con fecha</w:t>
      </w:r>
      <w:r w:rsidRPr="00A34F7B">
        <w:rPr>
          <w:rFonts w:ascii="Palatino Linotype" w:eastAsia="Palatino Linotype" w:hAnsi="Palatino Linotype" w:cs="Palatino Linotype"/>
          <w:b/>
        </w:rPr>
        <w:t xml:space="preserve"> veintiuno de junio de dos mil veinticinco, </w:t>
      </w:r>
      <w:r w:rsidRPr="00A34F7B">
        <w:rPr>
          <w:rFonts w:ascii="Palatino Linotype" w:eastAsia="Palatino Linotype" w:hAnsi="Palatino Linotype" w:cs="Palatino Linotype"/>
        </w:rPr>
        <w:t xml:space="preserve">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formuló solicitud de acceso a información pública al</w:t>
      </w:r>
      <w:r w:rsidRPr="00A34F7B">
        <w:rPr>
          <w:rFonts w:ascii="Palatino Linotype" w:eastAsia="Palatino Linotype" w:hAnsi="Palatino Linotype" w:cs="Palatino Linotype"/>
          <w:b/>
        </w:rPr>
        <w:t xml:space="preserve"> Sujeto Obligado</w:t>
      </w:r>
      <w:r w:rsidRPr="00A34F7B">
        <w:rPr>
          <w:rFonts w:ascii="Palatino Linotype" w:eastAsia="Palatino Linotype" w:hAnsi="Palatino Linotype" w:cs="Palatino Linotype"/>
        </w:rPr>
        <w:t xml:space="preserve"> a través del Sistema de Acceso a la Información Mexiquense, en adelante SAIMEX; sin embargo, al corresponder a un día inhábil se tuvo por presentada el día </w:t>
      </w:r>
      <w:r w:rsidRPr="00A34F7B">
        <w:rPr>
          <w:rFonts w:ascii="Palatino Linotype" w:eastAsia="Palatino Linotype" w:hAnsi="Palatino Linotype" w:cs="Palatino Linotype"/>
          <w:b/>
        </w:rPr>
        <w:t>veintitrés de junio de dos mil veinticinco</w:t>
      </w:r>
      <w:r w:rsidRPr="00A34F7B">
        <w:rPr>
          <w:rFonts w:ascii="Palatino Linotype" w:eastAsia="Palatino Linotype" w:hAnsi="Palatino Linotype" w:cs="Palatino Linotype"/>
        </w:rPr>
        <w:t xml:space="preserve">, mediante la cual requirió lo siguiente: </w:t>
      </w:r>
    </w:p>
    <w:p w:rsidR="0035444F" w:rsidRPr="00A34F7B" w:rsidRDefault="0035444F">
      <w:pPr>
        <w:spacing w:after="0" w:line="276" w:lineRule="auto"/>
        <w:ind w:left="851" w:right="616"/>
        <w:jc w:val="both"/>
        <w:rPr>
          <w:rFonts w:ascii="Palatino Linotype" w:eastAsia="Palatino Linotype" w:hAnsi="Palatino Linotype" w:cs="Palatino Linotype"/>
          <w:i/>
        </w:rPr>
      </w:pPr>
      <w:bookmarkStart w:id="1" w:name="_heading=h.gjdgxs" w:colFirst="0" w:colLast="0"/>
      <w:bookmarkEnd w:id="1"/>
    </w:p>
    <w:p w:rsidR="0035444F" w:rsidRPr="00A34F7B" w:rsidRDefault="003C0F32">
      <w:pP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“Presupuesto designado al programa Arena recién anunciado”</w:t>
      </w:r>
    </w:p>
    <w:p w:rsidR="0035444F" w:rsidRPr="00A34F7B" w:rsidRDefault="0035444F">
      <w:pPr>
        <w:spacing w:after="0" w:line="276" w:lineRule="auto"/>
        <w:ind w:left="567" w:right="616"/>
        <w:jc w:val="both"/>
        <w:rPr>
          <w:rFonts w:ascii="Palatino Linotype" w:eastAsia="Palatino Linotype" w:hAnsi="Palatino Linotype" w:cs="Palatino Linotype"/>
          <w:i/>
        </w:rPr>
      </w:pPr>
    </w:p>
    <w:p w:rsidR="0035444F" w:rsidRPr="00A34F7B" w:rsidRDefault="003C0F32">
      <w:pPr>
        <w:spacing w:after="0"/>
        <w:ind w:right="1183"/>
        <w:jc w:val="both"/>
        <w:rPr>
          <w:rFonts w:ascii="Palatino Linotype" w:eastAsia="Palatino Linotype" w:hAnsi="Palatino Linotype" w:cs="Palatino Linotype"/>
        </w:rPr>
      </w:pPr>
      <w:r w:rsidRPr="00A34F7B">
        <w:rPr>
          <w:rFonts w:ascii="Palatino Linotype" w:eastAsia="Palatino Linotype" w:hAnsi="Palatino Linotype" w:cs="Palatino Linotype"/>
          <w:b/>
        </w:rPr>
        <w:t>Modalidad elegida para la entrega de la información:</w:t>
      </w:r>
      <w:r w:rsidRPr="00A34F7B">
        <w:rPr>
          <w:rFonts w:ascii="Palatino Linotype" w:eastAsia="Palatino Linotype" w:hAnsi="Palatino Linotype" w:cs="Palatino Linotype"/>
        </w:rPr>
        <w:t xml:space="preserve"> a través de SAIMEX.</w:t>
      </w:r>
    </w:p>
    <w:p w:rsidR="0035444F" w:rsidRPr="00A34F7B" w:rsidRDefault="0035444F">
      <w:pPr>
        <w:spacing w:after="0"/>
        <w:ind w:right="1183"/>
        <w:jc w:val="both"/>
        <w:rPr>
          <w:rFonts w:ascii="Palatino Linotype" w:eastAsia="Palatino Linotype" w:hAnsi="Palatino Linotype" w:cs="Palatino Linotype"/>
        </w:rPr>
      </w:pPr>
    </w:p>
    <w:p w:rsidR="0035444F" w:rsidRPr="00A34F7B" w:rsidRDefault="003C0F32">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A34F7B">
        <w:rPr>
          <w:rFonts w:ascii="Palatino Linotype" w:eastAsia="Palatino Linotype" w:hAnsi="Palatino Linotype" w:cs="Palatino Linotype"/>
          <w:b/>
        </w:rPr>
        <w:t>Respuesta.</w:t>
      </w:r>
      <w:r w:rsidRPr="00A34F7B">
        <w:rPr>
          <w:rFonts w:ascii="Palatino Linotype" w:eastAsia="Palatino Linotype" w:hAnsi="Palatino Linotype" w:cs="Palatino Linotype"/>
        </w:rPr>
        <w:t xml:space="preserve"> El </w:t>
      </w:r>
      <w:r w:rsidRPr="00A34F7B">
        <w:rPr>
          <w:rFonts w:ascii="Palatino Linotype" w:eastAsia="Palatino Linotype" w:hAnsi="Palatino Linotype" w:cs="Palatino Linotype"/>
          <w:b/>
        </w:rPr>
        <w:t>dos de julio de dos mil veinticinco</w:t>
      </w:r>
      <w:r w:rsidRPr="00A34F7B">
        <w:rPr>
          <w:rFonts w:ascii="Palatino Linotype" w:eastAsia="Palatino Linotype" w:hAnsi="Palatino Linotype" w:cs="Palatino Linotype"/>
        </w:rPr>
        <w:t xml:space="preserve">, el </w:t>
      </w:r>
      <w:r w:rsidRPr="00A34F7B">
        <w:rPr>
          <w:rFonts w:ascii="Palatino Linotype" w:eastAsia="Palatino Linotype" w:hAnsi="Palatino Linotype" w:cs="Palatino Linotype"/>
          <w:b/>
        </w:rPr>
        <w:t xml:space="preserve">Sujeto Obligado </w:t>
      </w:r>
      <w:r w:rsidRPr="00A34F7B">
        <w:rPr>
          <w:rFonts w:ascii="Palatino Linotype" w:eastAsia="Palatino Linotype" w:hAnsi="Palatino Linotype" w:cs="Palatino Linotype"/>
        </w:rPr>
        <w:t xml:space="preserve">emitió respuesta al tenor de lo siguiente: </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rsidR="0035444F" w:rsidRPr="00A34F7B" w:rsidRDefault="003C0F32">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35444F" w:rsidRPr="00A34F7B" w:rsidRDefault="003C0F32">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Estimado solicitante. Adjunto al presente encontrará el oficio DDU/2885/2025 de fecha 30 de junio de 2025, a través del cual se da respuesta a la solicitud de mérito. Saludos</w:t>
      </w:r>
    </w:p>
    <w:p w:rsidR="0035444F" w:rsidRPr="00A34F7B" w:rsidRDefault="003C0F32">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ATENTAMENTE</w:t>
      </w:r>
    </w:p>
    <w:p w:rsidR="0035444F" w:rsidRPr="00A34F7B" w:rsidRDefault="003C0F32">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Lic. Daniel Taboada Elías”</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Asimismo, adjuntó el archivo electrónico </w:t>
      </w:r>
      <w:r w:rsidRPr="00A34F7B">
        <w:rPr>
          <w:rFonts w:ascii="Palatino Linotype" w:eastAsia="Palatino Linotype" w:hAnsi="Palatino Linotype" w:cs="Palatino Linotype"/>
          <w:b/>
          <w:i/>
        </w:rPr>
        <w:t>“ST-00507-2025.pdf”</w:t>
      </w:r>
      <w:r w:rsidRPr="00A34F7B">
        <w:rPr>
          <w:rFonts w:ascii="Palatino Linotype" w:eastAsia="Palatino Linotype" w:hAnsi="Palatino Linotype" w:cs="Palatino Linotype"/>
        </w:rPr>
        <w:t xml:space="preserve">, mismo que se describe a continuación: </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Oficio número DDU/2885/2025 de fecha treinta de junio de dos mil veinticinco, suscrito por la Titular de la Dirección de Desarrollo Urbano en el que informó que derivado de una búsqueda exhaustiva y razonada en sus archivos, el Acuerdo por la Regeneración de Naucalpan (ARENA), no cuenta con presupuesto asignado.</w:t>
      </w:r>
    </w:p>
    <w:p w:rsidR="0035444F" w:rsidRPr="00A34F7B" w:rsidRDefault="0035444F">
      <w:pPr>
        <w:pBdr>
          <w:top w:val="nil"/>
          <w:left w:val="nil"/>
          <w:bottom w:val="nil"/>
          <w:right w:val="nil"/>
          <w:between w:val="nil"/>
        </w:pBdr>
        <w:spacing w:after="0" w:line="276" w:lineRule="auto"/>
        <w:ind w:right="616"/>
        <w:jc w:val="both"/>
        <w:rPr>
          <w:rFonts w:ascii="Palatino Linotype" w:eastAsia="Palatino Linotype" w:hAnsi="Palatino Linotype" w:cs="Palatino Linotype"/>
        </w:rPr>
      </w:pPr>
    </w:p>
    <w:p w:rsidR="0035444F" w:rsidRPr="00A34F7B" w:rsidRDefault="003C0F32">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A34F7B">
        <w:rPr>
          <w:rFonts w:ascii="Palatino Linotype" w:eastAsia="Palatino Linotype" w:hAnsi="Palatino Linotype" w:cs="Palatino Linotype"/>
          <w:b/>
        </w:rPr>
        <w:t xml:space="preserve">Recurso de Revisión.  </w:t>
      </w:r>
      <w:r w:rsidRPr="00A34F7B">
        <w:rPr>
          <w:rFonts w:ascii="Palatino Linotype" w:eastAsia="Palatino Linotype" w:hAnsi="Palatino Linotype" w:cs="Palatino Linotype"/>
        </w:rPr>
        <w:t xml:space="preserve">Inconforme la parte solicitante con la respuesta del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interpuso recurso de revisión a través del SAIMEX el </w:t>
      </w:r>
      <w:r w:rsidRPr="00A34F7B">
        <w:rPr>
          <w:rFonts w:ascii="Palatino Linotype" w:eastAsia="Palatino Linotype" w:hAnsi="Palatino Linotype" w:cs="Palatino Linotype"/>
          <w:b/>
        </w:rPr>
        <w:t>dos de julio de dos mil veinticinco,</w:t>
      </w:r>
      <w:r w:rsidRPr="00A34F7B">
        <w:rPr>
          <w:rFonts w:ascii="Palatino Linotype" w:eastAsia="Palatino Linotype" w:hAnsi="Palatino Linotype" w:cs="Palatino Linotype"/>
        </w:rPr>
        <w:t xml:space="preserve"> expresando lo siguiente:</w:t>
      </w:r>
    </w:p>
    <w:p w:rsidR="0035444F" w:rsidRPr="00A34F7B" w:rsidRDefault="0035444F">
      <w:pPr>
        <w:pBdr>
          <w:top w:val="nil"/>
          <w:left w:val="nil"/>
          <w:bottom w:val="nil"/>
          <w:right w:val="nil"/>
          <w:between w:val="nil"/>
        </w:pBdr>
        <w:spacing w:after="0" w:line="360" w:lineRule="auto"/>
        <w:ind w:left="567" w:right="49"/>
        <w:jc w:val="both"/>
        <w:rPr>
          <w:rFonts w:ascii="Palatino Linotype" w:eastAsia="Palatino Linotype" w:hAnsi="Palatino Linotype" w:cs="Palatino Linotype"/>
          <w:i/>
        </w:rPr>
      </w:pPr>
    </w:p>
    <w:p w:rsidR="0035444F" w:rsidRPr="00A34F7B" w:rsidRDefault="003C0F32">
      <w:pPr>
        <w:spacing w:after="0" w:line="360" w:lineRule="auto"/>
        <w:ind w:left="851" w:right="616"/>
        <w:jc w:val="both"/>
        <w:rPr>
          <w:rFonts w:ascii="Palatino Linotype" w:eastAsia="Palatino Linotype" w:hAnsi="Palatino Linotype" w:cs="Palatino Linotype"/>
        </w:rPr>
      </w:pPr>
      <w:r w:rsidRPr="00A34F7B">
        <w:rPr>
          <w:rFonts w:ascii="Palatino Linotype" w:eastAsia="Palatino Linotype" w:hAnsi="Palatino Linotype" w:cs="Palatino Linotype"/>
          <w:b/>
        </w:rPr>
        <w:t>Acto impugnado.</w:t>
      </w:r>
      <w:r w:rsidRPr="00A34F7B">
        <w:rPr>
          <w:rFonts w:ascii="Palatino Linotype" w:eastAsia="Palatino Linotype" w:hAnsi="Palatino Linotype" w:cs="Palatino Linotype"/>
        </w:rPr>
        <w:t xml:space="preserve"> </w:t>
      </w:r>
    </w:p>
    <w:p w:rsidR="0035444F" w:rsidRPr="00A34F7B" w:rsidRDefault="003C0F32">
      <w:pPr>
        <w:spacing w:after="0" w:line="36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“Respuesta otorgada por la Dirección de Desarrollo Urbano.”</w:t>
      </w:r>
    </w:p>
    <w:p w:rsidR="0035444F" w:rsidRPr="00A34F7B" w:rsidRDefault="0035444F">
      <w:pPr>
        <w:spacing w:after="0" w:line="360" w:lineRule="auto"/>
        <w:ind w:left="851" w:right="616"/>
        <w:jc w:val="both"/>
        <w:rPr>
          <w:rFonts w:ascii="Palatino Linotype" w:eastAsia="Palatino Linotype" w:hAnsi="Palatino Linotype" w:cs="Palatino Linotype"/>
          <w:b/>
        </w:rPr>
      </w:pPr>
    </w:p>
    <w:p w:rsidR="0035444F" w:rsidRPr="00A34F7B" w:rsidRDefault="003C0F32">
      <w:pPr>
        <w:spacing w:after="0" w:line="360" w:lineRule="auto"/>
        <w:ind w:left="851" w:right="616"/>
        <w:jc w:val="both"/>
        <w:rPr>
          <w:rFonts w:ascii="Palatino Linotype" w:eastAsia="Palatino Linotype" w:hAnsi="Palatino Linotype" w:cs="Palatino Linotype"/>
          <w:b/>
        </w:rPr>
      </w:pPr>
      <w:r w:rsidRPr="00A34F7B">
        <w:rPr>
          <w:rFonts w:ascii="Palatino Linotype" w:eastAsia="Palatino Linotype" w:hAnsi="Palatino Linotype" w:cs="Palatino Linotype"/>
          <w:b/>
        </w:rPr>
        <w:t xml:space="preserve">Motivos de inconformidad. </w:t>
      </w:r>
    </w:p>
    <w:p w:rsidR="0035444F" w:rsidRPr="00A34F7B" w:rsidRDefault="003C0F32">
      <w:pP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lastRenderedPageBreak/>
        <w:t>“Quien debió de dar respuesta es Tesorería, dado que cualquier programa de gobierno requiere de un presupuesto para poderse llevar a cabo.”</w:t>
      </w:r>
    </w:p>
    <w:p w:rsidR="0035444F" w:rsidRPr="00A34F7B" w:rsidRDefault="0035444F">
      <w:pPr>
        <w:spacing w:after="0" w:line="360" w:lineRule="auto"/>
        <w:ind w:left="567"/>
        <w:jc w:val="both"/>
        <w:rPr>
          <w:rFonts w:ascii="Palatino Linotype" w:eastAsia="Palatino Linotype" w:hAnsi="Palatino Linotype" w:cs="Palatino Linotype"/>
          <w:b/>
        </w:rPr>
      </w:pPr>
    </w:p>
    <w:p w:rsidR="0035444F" w:rsidRPr="00A34F7B" w:rsidRDefault="003C0F32">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A34F7B">
        <w:rPr>
          <w:rFonts w:ascii="Palatino Linotype" w:eastAsia="Palatino Linotype" w:hAnsi="Palatino Linotype" w:cs="Palatino Linotype"/>
          <w:b/>
        </w:rPr>
        <w:t>Turno.</w:t>
      </w:r>
      <w:r w:rsidRPr="00A34F7B">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A34F7B">
        <w:rPr>
          <w:rFonts w:ascii="Palatino Linotype" w:eastAsia="Palatino Linotype" w:hAnsi="Palatino Linotype" w:cs="Palatino Linotype"/>
          <w:b/>
        </w:rPr>
        <w:t>08049/INFOEM/IP/RR/2025</w:t>
      </w:r>
      <w:r w:rsidRPr="00A34F7B">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A34F7B">
        <w:rPr>
          <w:rFonts w:ascii="Palatino Linotype" w:eastAsia="Palatino Linotype" w:hAnsi="Palatino Linotype" w:cs="Palatino Linotype"/>
          <w:b/>
        </w:rPr>
        <w:t>Admisión del recurso de revisión</w:t>
      </w:r>
      <w:r w:rsidRPr="00A34F7B">
        <w:rPr>
          <w:rFonts w:ascii="Palatino Linotype" w:eastAsia="Palatino Linotype" w:hAnsi="Palatino Linotype" w:cs="Palatino Linotype"/>
        </w:rPr>
        <w:t>: En fecha</w:t>
      </w:r>
      <w:r w:rsidRPr="00A34F7B">
        <w:rPr>
          <w:rFonts w:ascii="Palatino Linotype" w:eastAsia="Palatino Linotype" w:hAnsi="Palatino Linotype" w:cs="Palatino Linotype"/>
          <w:b/>
        </w:rPr>
        <w:t xml:space="preserve"> siete de julio de dos mil veinticinco</w:t>
      </w:r>
      <w:r w:rsidRPr="00A34F7B">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A34F7B">
        <w:rPr>
          <w:rFonts w:ascii="Palatino Linotype" w:eastAsia="Palatino Linotype" w:hAnsi="Palatino Linotype" w:cs="Palatino Linotype"/>
          <w:b/>
        </w:rPr>
        <w:t xml:space="preserve">Manifestaciones. </w:t>
      </w:r>
      <w:r w:rsidRPr="00A34F7B">
        <w:rPr>
          <w:rFonts w:ascii="Palatino Linotype" w:eastAsia="Palatino Linotype" w:hAnsi="Palatino Linotype" w:cs="Palatino Linotype"/>
        </w:rPr>
        <w:t xml:space="preserve">En fechas </w:t>
      </w:r>
      <w:r w:rsidRPr="00A34F7B">
        <w:rPr>
          <w:rFonts w:ascii="Palatino Linotype" w:eastAsia="Palatino Linotype" w:hAnsi="Palatino Linotype" w:cs="Palatino Linotype"/>
          <w:b/>
        </w:rPr>
        <w:t>ocho y quince de julio</w:t>
      </w:r>
      <w:r w:rsidRPr="00A34F7B">
        <w:rPr>
          <w:rFonts w:ascii="Palatino Linotype" w:eastAsia="Palatino Linotype" w:hAnsi="Palatino Linotype" w:cs="Palatino Linotype"/>
        </w:rPr>
        <w:t xml:space="preserve"> </w:t>
      </w:r>
      <w:r w:rsidRPr="00A34F7B">
        <w:rPr>
          <w:rFonts w:ascii="Palatino Linotype" w:eastAsia="Palatino Linotype" w:hAnsi="Palatino Linotype" w:cs="Palatino Linotype"/>
          <w:b/>
        </w:rPr>
        <w:t>de dos mil veinticinco</w:t>
      </w:r>
      <w:r w:rsidRPr="00A34F7B">
        <w:rPr>
          <w:rFonts w:ascii="Palatino Linotype" w:eastAsia="Palatino Linotype" w:hAnsi="Palatino Linotype" w:cs="Palatino Linotype"/>
        </w:rPr>
        <w:t xml:space="preserve">,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remitió, a través del SAIMEX, los siguientes archivos electrónicos, mismos que fueron hechos del conocimiento del ahora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en fecha </w:t>
      </w:r>
      <w:r w:rsidRPr="00A34F7B">
        <w:rPr>
          <w:rFonts w:ascii="Palatino Linotype" w:eastAsia="Palatino Linotype" w:hAnsi="Palatino Linotype" w:cs="Palatino Linotype"/>
          <w:b/>
        </w:rPr>
        <w:t>primero de octubre de dos mil veinticinco</w:t>
      </w:r>
      <w:r w:rsidRPr="00A34F7B">
        <w:rPr>
          <w:rFonts w:ascii="Palatino Linotype" w:eastAsia="Palatino Linotype" w:hAnsi="Palatino Linotype" w:cs="Palatino Linotype"/>
        </w:rPr>
        <w:t>, en los que manifestó:</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b/>
          <w:i/>
        </w:rPr>
        <w:t>DDU_2997_2025.pdf</w:t>
      </w:r>
      <w:r w:rsidRPr="00A34F7B">
        <w:rPr>
          <w:rFonts w:ascii="Palatino Linotype" w:eastAsia="Palatino Linotype" w:hAnsi="Palatino Linotype" w:cs="Palatino Linotype"/>
        </w:rPr>
        <w:t xml:space="preserve">: Oficio número DDU/2997/2025 de fecha siete de julio de dos mil veinticinco, suscrito por la Directora de Desarrollo Urbano en el que reiteró su respuesta. </w:t>
      </w:r>
    </w:p>
    <w:p w:rsidR="0035444F" w:rsidRPr="00A34F7B" w:rsidRDefault="0035444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rsidR="0035444F" w:rsidRPr="00A34F7B" w:rsidRDefault="003C0F32">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A34F7B">
        <w:rPr>
          <w:rFonts w:ascii="Palatino Linotype" w:eastAsia="Palatino Linotype" w:hAnsi="Palatino Linotype" w:cs="Palatino Linotype"/>
          <w:b/>
          <w:i/>
          <w:color w:val="000000"/>
        </w:rPr>
        <w:t>TM_2659_2025.pdf</w:t>
      </w:r>
      <w:r w:rsidRPr="00A34F7B">
        <w:rPr>
          <w:rFonts w:ascii="Palatino Linotype" w:eastAsia="Palatino Linotype" w:hAnsi="Palatino Linotype" w:cs="Palatino Linotype"/>
          <w:color w:val="000000"/>
        </w:rPr>
        <w:t xml:space="preserve">: Oficio número TM/2659/2025 de fecha nueve de julio de dos mil veinticinco, signado por la Tesorera Municipal en el que informó que en cumplimiento a lo dispuesto por el artículo 125 de la Constitución Política del Estado Libre y Soberano de México, en la elaboración del Presupuesto Definitivo de Egresos del ejercicio fiscal 2025, </w:t>
      </w:r>
      <w:r w:rsidRPr="00A34F7B">
        <w:rPr>
          <w:rFonts w:ascii="Palatino Linotype" w:eastAsia="Palatino Linotype" w:hAnsi="Palatino Linotype" w:cs="Palatino Linotype"/>
          <w:b/>
          <w:color w:val="000000"/>
          <w:u w:val="single"/>
        </w:rPr>
        <w:t xml:space="preserve">ninguna dependencia municipal presupuestó ejecutar acción o acciones referentes a este programa, </w:t>
      </w:r>
      <w:r w:rsidRPr="00A34F7B">
        <w:rPr>
          <w:rFonts w:ascii="Palatino Linotype" w:eastAsia="Palatino Linotype" w:hAnsi="Palatino Linotype" w:cs="Palatino Linotype"/>
          <w:b/>
          <w:color w:val="000000"/>
        </w:rPr>
        <w:t>toda vez que como se refiere es "recién anunciado".</w:t>
      </w:r>
    </w:p>
    <w:p w:rsidR="0035444F" w:rsidRPr="00A34F7B" w:rsidRDefault="0035444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p>
    <w:p w:rsidR="0035444F" w:rsidRPr="00A34F7B" w:rsidRDefault="003C0F3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r w:rsidRPr="00A34F7B">
        <w:rPr>
          <w:rFonts w:ascii="Palatino Linotype" w:eastAsia="Palatino Linotype" w:hAnsi="Palatino Linotype" w:cs="Palatino Linotype"/>
          <w:color w:val="000000"/>
        </w:rPr>
        <w:t>Sin embargo, el propio Código Financiero del Estado de México y Municipios, si es necesario, admite la reconducción del presupuesto, acción que, de ser necesario, se ejecutará a solicitud de alguna dependencia municipal, previa autorización de la Tesorería Municipal y la Unidad de Información, Planeación, Presupuestación y Evaluación bajo el supuesto del artículo 305 del Código en mención.</w:t>
      </w:r>
    </w:p>
    <w:p w:rsidR="0035444F" w:rsidRPr="00A34F7B" w:rsidRDefault="0035444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p>
    <w:p w:rsidR="0035444F" w:rsidRPr="00A34F7B" w:rsidRDefault="003C0F32">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r w:rsidRPr="00A34F7B">
        <w:rPr>
          <w:rFonts w:ascii="Palatino Linotype" w:eastAsia="Palatino Linotype" w:hAnsi="Palatino Linotype" w:cs="Palatino Linotype"/>
          <w:color w:val="000000"/>
        </w:rPr>
        <w:t xml:space="preserve">Por lo antes expuesto se adjunta en formato PDF el presupuesto de egresos por dependencia general y auxiliar a nivel proyecto para el ejercicio fiscal 2025, en el que se visualiza que </w:t>
      </w:r>
      <w:r w:rsidRPr="00A34F7B">
        <w:rPr>
          <w:rFonts w:ascii="Palatino Linotype" w:eastAsia="Palatino Linotype" w:hAnsi="Palatino Linotype" w:cs="Palatino Linotype"/>
          <w:b/>
          <w:color w:val="000000"/>
        </w:rPr>
        <w:t>este proyecto no fue incluido</w:t>
      </w:r>
      <w:r w:rsidRPr="00A34F7B">
        <w:rPr>
          <w:rFonts w:ascii="Palatino Linotype" w:eastAsia="Palatino Linotype" w:hAnsi="Palatino Linotype" w:cs="Palatino Linotype"/>
          <w:color w:val="000000"/>
        </w:rPr>
        <w:t>.</w:t>
      </w:r>
    </w:p>
    <w:p w:rsidR="0035444F" w:rsidRPr="00A34F7B" w:rsidRDefault="0035444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p>
    <w:p w:rsidR="0035444F" w:rsidRPr="00A34F7B" w:rsidRDefault="003C0F32">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i/>
          <w:color w:val="000000"/>
        </w:rPr>
      </w:pPr>
      <w:r w:rsidRPr="00A34F7B">
        <w:rPr>
          <w:rFonts w:ascii="Palatino Linotype" w:eastAsia="Palatino Linotype" w:hAnsi="Palatino Linotype" w:cs="Palatino Linotype"/>
          <w:b/>
          <w:i/>
          <w:color w:val="000000"/>
        </w:rPr>
        <w:t>Respuesta RR08049a Saimex 00507.pdf</w:t>
      </w:r>
      <w:r w:rsidRPr="00A34F7B">
        <w:rPr>
          <w:rFonts w:ascii="Palatino Linotype" w:eastAsia="Palatino Linotype" w:hAnsi="Palatino Linotype" w:cs="Palatino Linotype"/>
          <w:color w:val="000000"/>
        </w:rPr>
        <w:t xml:space="preserve">: Contiene el PbRM 04a Presupuesto de Egresos Detallado, del primero de enero al treinta y uno de diciembre de dos mil veinticinco, consistente en 201 fojas. </w:t>
      </w:r>
    </w:p>
    <w:p w:rsidR="0035444F" w:rsidRPr="00A34F7B" w:rsidRDefault="0035444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i/>
          <w:color w:val="000000"/>
        </w:rPr>
      </w:pPr>
    </w:p>
    <w:p w:rsidR="0035444F" w:rsidRPr="00A34F7B" w:rsidRDefault="003C0F3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Documentos los anteriores, que fueron puestos a la vista de la parte </w:t>
      </w:r>
      <w:r w:rsidRPr="00A34F7B">
        <w:rPr>
          <w:rFonts w:ascii="Palatino Linotype" w:eastAsia="Palatino Linotype" w:hAnsi="Palatino Linotype" w:cs="Palatino Linotype"/>
          <w:b/>
        </w:rPr>
        <w:t xml:space="preserve">Recurrente </w:t>
      </w:r>
      <w:r w:rsidRPr="00A34F7B">
        <w:rPr>
          <w:rFonts w:ascii="Palatino Linotype" w:eastAsia="Palatino Linotype" w:hAnsi="Palatino Linotype" w:cs="Palatino Linotype"/>
        </w:rPr>
        <w:t>a fin de que hiciera valer sus manifestaciones o rindiera alegatos que conforme a derecho resultaran procedentes; no obstante, fue omisa en ejercer dicha prerrogativa.</w:t>
      </w: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b/>
        </w:rPr>
        <w:t xml:space="preserve">7. Ampliación de plazo. </w:t>
      </w:r>
      <w:r w:rsidRPr="00A34F7B">
        <w:rPr>
          <w:rFonts w:ascii="Palatino Linotype" w:eastAsia="Palatino Linotype" w:hAnsi="Palatino Linotype" w:cs="Palatino Linotype"/>
        </w:rPr>
        <w:t xml:space="preserve">El </w:t>
      </w:r>
      <w:r w:rsidRPr="00A34F7B">
        <w:rPr>
          <w:rFonts w:ascii="Palatino Linotype" w:eastAsia="Palatino Linotype" w:hAnsi="Palatino Linotype" w:cs="Palatino Linotype"/>
          <w:b/>
        </w:rPr>
        <w:t>primero de octubre de dos mil veinticinco</w:t>
      </w:r>
      <w:r w:rsidRPr="00A34F7B">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35444F" w:rsidRPr="00A34F7B" w:rsidRDefault="0035444F">
      <w:p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p>
    <w:p w:rsidR="0035444F" w:rsidRPr="00A34F7B" w:rsidRDefault="003C0F32">
      <w:pPr>
        <w:numPr>
          <w:ilvl w:val="0"/>
          <w:numId w:val="6"/>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A34F7B">
        <w:rPr>
          <w:rFonts w:ascii="Palatino Linotype" w:eastAsia="Palatino Linotype" w:hAnsi="Palatino Linotype" w:cs="Palatino Linotype"/>
          <w:b/>
        </w:rPr>
        <w:t>Complejidad del Asunto:</w:t>
      </w:r>
      <w:r w:rsidRPr="00A34F7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35444F" w:rsidRPr="00A34F7B" w:rsidRDefault="003C0F32">
      <w:pPr>
        <w:numPr>
          <w:ilvl w:val="0"/>
          <w:numId w:val="6"/>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A34F7B">
        <w:rPr>
          <w:rFonts w:ascii="Palatino Linotype" w:eastAsia="Palatino Linotype" w:hAnsi="Palatino Linotype" w:cs="Palatino Linotype"/>
          <w:b/>
        </w:rPr>
        <w:t>Actividad Procesal del interesado.</w:t>
      </w:r>
      <w:r w:rsidRPr="00A34F7B">
        <w:rPr>
          <w:rFonts w:ascii="Palatino Linotype" w:eastAsia="Palatino Linotype" w:hAnsi="Palatino Linotype" w:cs="Palatino Linotype"/>
        </w:rPr>
        <w:t xml:space="preserve"> Acciones u omisiones del interesado.</w:t>
      </w:r>
    </w:p>
    <w:p w:rsidR="0035444F" w:rsidRPr="00A34F7B" w:rsidRDefault="003C0F32">
      <w:pPr>
        <w:numPr>
          <w:ilvl w:val="0"/>
          <w:numId w:val="6"/>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A34F7B">
        <w:rPr>
          <w:rFonts w:ascii="Palatino Linotype" w:eastAsia="Palatino Linotype" w:hAnsi="Palatino Linotype" w:cs="Palatino Linotype"/>
          <w:b/>
        </w:rPr>
        <w:t>Conducta de la Autoridad:</w:t>
      </w:r>
      <w:r w:rsidRPr="00A34F7B">
        <w:rPr>
          <w:rFonts w:ascii="Palatino Linotype" w:eastAsia="Palatino Linotype" w:hAnsi="Palatino Linotype" w:cs="Palatino Linotype"/>
        </w:rPr>
        <w:t xml:space="preserve"> Las Acciones u omisiones realizadas en el procedimiento. Así como si la autoridad actuó con la debida diligencia.</w:t>
      </w:r>
    </w:p>
    <w:p w:rsidR="0035444F" w:rsidRPr="00A34F7B" w:rsidRDefault="003C0F32">
      <w:pPr>
        <w:numPr>
          <w:ilvl w:val="0"/>
          <w:numId w:val="6"/>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A34F7B">
        <w:rPr>
          <w:rFonts w:ascii="Palatino Linotype" w:eastAsia="Palatino Linotype" w:hAnsi="Palatino Linotype" w:cs="Palatino Linotype"/>
          <w:b/>
        </w:rPr>
        <w:t>La afectación generada en la situación jurídica de la persona involucrada en el proceso:</w:t>
      </w:r>
      <w:r w:rsidRPr="00A34F7B">
        <w:rPr>
          <w:rFonts w:ascii="Palatino Linotype" w:eastAsia="Palatino Linotype" w:hAnsi="Palatino Linotype" w:cs="Palatino Linotype"/>
        </w:rPr>
        <w:t xml:space="preserve"> Violación a sus derechos humanos.</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34F7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34F7B">
        <w:rPr>
          <w:rFonts w:ascii="Palatino Linotype" w:eastAsia="Palatino Linotype" w:hAnsi="Palatino Linotype" w:cs="Palatino Linotype"/>
        </w:rPr>
        <w:t>, visible en la Gaceta del Seminario Judicial de la Federación con el registro digital 205635.</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5444F" w:rsidRPr="00A34F7B" w:rsidRDefault="0035444F">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i/>
        </w:rPr>
      </w:pPr>
    </w:p>
    <w:p w:rsidR="0035444F" w:rsidRPr="00A34F7B" w:rsidRDefault="003C0F32">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A34F7B">
        <w:rPr>
          <w:rFonts w:ascii="Palatino Linotype" w:eastAsia="Palatino Linotype" w:hAnsi="Palatino Linotype" w:cs="Palatino Linotype"/>
          <w:i/>
        </w:rPr>
        <w:t>“PLAZO RAZONABLE PARA RESOLVER. DIMENSIÓN Y EFECTOS DE ESTE CONCEPTO CUANDO SE ADUCE EXCESIVA CARGA DE TRABAJO.”</w:t>
      </w:r>
      <w:r w:rsidRPr="00A34F7B">
        <w:rPr>
          <w:rFonts w:ascii="Palatino Linotype" w:eastAsia="Palatino Linotype" w:hAnsi="Palatino Linotype" w:cs="Palatino Linotype"/>
        </w:rPr>
        <w:t xml:space="preserve"> consultable en el Seminario Judicial de la Federación y su gaceta, con el registro digital 2002351.</w:t>
      </w:r>
    </w:p>
    <w:p w:rsidR="0035444F" w:rsidRPr="00A34F7B" w:rsidRDefault="0035444F">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A34F7B">
        <w:rPr>
          <w:rFonts w:ascii="Palatino Linotype" w:eastAsia="Palatino Linotype" w:hAnsi="Palatino Linotype" w:cs="Palatino Linotype"/>
          <w:i/>
        </w:rPr>
        <w:t>“PLAZO RAZONABLE PARA RESOLVER. CONCEPTO Y ELEMENTOS QUE LO INTEGRAN A LA LUZ DEL DERECHO INTERNACIONAL DE LOS DERECHOS HUMANOS.”</w:t>
      </w:r>
      <w:r w:rsidRPr="00A34F7B">
        <w:rPr>
          <w:rFonts w:ascii="Palatino Linotype" w:eastAsia="Palatino Linotype" w:hAnsi="Palatino Linotype" w:cs="Palatino Linotype"/>
        </w:rPr>
        <w:t>, visible en el Seminario Judicial de la Federación y su gaceta, con el registro digital 2002350.</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b/>
        </w:rPr>
        <w:t>8. Cierre de instrucción</w:t>
      </w:r>
      <w:r w:rsidRPr="00A34F7B">
        <w:rPr>
          <w:rFonts w:ascii="Palatino Linotype" w:eastAsia="Palatino Linotype" w:hAnsi="Palatino Linotype" w:cs="Palatino Linotype"/>
        </w:rPr>
        <w:t xml:space="preserve">. En fecha </w:t>
      </w:r>
      <w:r w:rsidRPr="00A34F7B">
        <w:rPr>
          <w:rFonts w:ascii="Palatino Linotype" w:eastAsia="Palatino Linotype" w:hAnsi="Palatino Linotype" w:cs="Palatino Linotype"/>
          <w:b/>
        </w:rPr>
        <w:t xml:space="preserve">siete de octubre de dos mil veinticinco, </w:t>
      </w:r>
      <w:r w:rsidRPr="00A34F7B">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ind w:right="49"/>
        <w:jc w:val="center"/>
        <w:rPr>
          <w:rFonts w:ascii="Palatino Linotype" w:eastAsia="Palatino Linotype" w:hAnsi="Palatino Linotype" w:cs="Palatino Linotype"/>
          <w:b/>
        </w:rPr>
      </w:pPr>
      <w:r w:rsidRPr="00A34F7B">
        <w:rPr>
          <w:rFonts w:ascii="Palatino Linotype" w:eastAsia="Palatino Linotype" w:hAnsi="Palatino Linotype" w:cs="Palatino Linotype"/>
          <w:b/>
        </w:rPr>
        <w:t>II.</w:t>
      </w:r>
      <w:r w:rsidRPr="00A34F7B">
        <w:rPr>
          <w:rFonts w:ascii="Palatino Linotype" w:eastAsia="Palatino Linotype" w:hAnsi="Palatino Linotype" w:cs="Palatino Linotype"/>
          <w:b/>
        </w:rPr>
        <w:tab/>
        <w:t>C O N S I D E R A N D O:</w:t>
      </w:r>
    </w:p>
    <w:p w:rsidR="0035444F" w:rsidRPr="00A34F7B" w:rsidRDefault="0035444F">
      <w:pPr>
        <w:spacing w:after="0" w:line="360" w:lineRule="auto"/>
        <w:ind w:right="49"/>
        <w:jc w:val="center"/>
        <w:rPr>
          <w:rFonts w:ascii="Palatino Linotype" w:eastAsia="Palatino Linotype" w:hAnsi="Palatino Linotype" w:cs="Palatino Linotype"/>
          <w:b/>
        </w:rPr>
      </w:pPr>
    </w:p>
    <w:p w:rsidR="0035444F" w:rsidRPr="00A34F7B" w:rsidRDefault="003C0F32">
      <w:pPr>
        <w:spacing w:after="0" w:line="360" w:lineRule="auto"/>
        <w:jc w:val="both"/>
        <w:rPr>
          <w:rFonts w:ascii="Palatino Linotype" w:eastAsia="Palatino Linotype" w:hAnsi="Palatino Linotype" w:cs="Palatino Linotype"/>
          <w:b/>
        </w:rPr>
      </w:pPr>
      <w:bookmarkStart w:id="2" w:name="_heading=h.30j0zll" w:colFirst="0" w:colLast="0"/>
      <w:bookmarkEnd w:id="2"/>
      <w:r w:rsidRPr="00A34F7B">
        <w:rPr>
          <w:rFonts w:ascii="Palatino Linotype" w:eastAsia="Palatino Linotype" w:hAnsi="Palatino Linotype" w:cs="Palatino Linotype"/>
          <w:b/>
        </w:rPr>
        <w:t>Primero. Competencia. </w:t>
      </w:r>
      <w:r w:rsidRPr="00A34F7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b/>
        </w:rPr>
        <w:t>Segundo. Oportunidad y Procedibilidad del Recurso de Revisión</w:t>
      </w:r>
      <w:r w:rsidRPr="00A34F7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proporcionó su respuesta a la solicitud de información el </w:t>
      </w:r>
      <w:r w:rsidRPr="00A34F7B">
        <w:rPr>
          <w:rFonts w:ascii="Palatino Linotype" w:eastAsia="Palatino Linotype" w:hAnsi="Palatino Linotype" w:cs="Palatino Linotype"/>
          <w:b/>
        </w:rPr>
        <w:t>dos de julio de dos mil veinticinco</w:t>
      </w:r>
      <w:r w:rsidRPr="00A34F7B">
        <w:rPr>
          <w:rFonts w:ascii="Palatino Linotype" w:eastAsia="Palatino Linotype" w:hAnsi="Palatino Linotype" w:cs="Palatino Linotype"/>
        </w:rPr>
        <w:t xml:space="preserve"> y la parte </w:t>
      </w:r>
      <w:r w:rsidRPr="00A34F7B">
        <w:rPr>
          <w:rFonts w:ascii="Palatino Linotype" w:eastAsia="Palatino Linotype" w:hAnsi="Palatino Linotype" w:cs="Palatino Linotype"/>
          <w:b/>
        </w:rPr>
        <w:t xml:space="preserve">Recurrente </w:t>
      </w:r>
      <w:r w:rsidRPr="00A34F7B">
        <w:rPr>
          <w:rFonts w:ascii="Palatino Linotype" w:eastAsia="Palatino Linotype" w:hAnsi="Palatino Linotype" w:cs="Palatino Linotype"/>
        </w:rPr>
        <w:t xml:space="preserve">presentó su Recurso de Revisión el </w:t>
      </w:r>
      <w:r w:rsidRPr="00A34F7B">
        <w:rPr>
          <w:rFonts w:ascii="Palatino Linotype" w:eastAsia="Palatino Linotype" w:hAnsi="Palatino Linotype" w:cs="Palatino Linotype"/>
          <w:b/>
        </w:rPr>
        <w:t>dos de julio de dos mil veinticinco</w:t>
      </w:r>
      <w:r w:rsidRPr="00A34F7B">
        <w:rPr>
          <w:rFonts w:ascii="Palatino Linotype" w:eastAsia="Palatino Linotype" w:hAnsi="Palatino Linotype" w:cs="Palatino Linotype"/>
        </w:rPr>
        <w:t>, esto es el mismo día hábil en que se tuvo conocimiento de la respuesta.</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En este sentido, al considerar la fecha en que se formuló la solicitud y la fecha en que respondió a esta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35444F" w:rsidRPr="00A34F7B" w:rsidRDefault="0035444F">
      <w:pPr>
        <w:spacing w:after="0" w:line="276" w:lineRule="auto"/>
        <w:ind w:left="851" w:right="616"/>
        <w:jc w:val="both"/>
        <w:rPr>
          <w:rFonts w:ascii="Palatino Linotype" w:eastAsia="Palatino Linotype" w:hAnsi="Palatino Linotype" w:cs="Palatino Linotype"/>
          <w:i/>
        </w:rPr>
      </w:pPr>
    </w:p>
    <w:p w:rsidR="0035444F" w:rsidRPr="00A34F7B" w:rsidRDefault="003C0F32">
      <w:pP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w:t>
      </w:r>
      <w:r w:rsidRPr="00A34F7B">
        <w:rPr>
          <w:rFonts w:ascii="Palatino Linotype" w:eastAsia="Palatino Linotype" w:hAnsi="Palatino Linotype" w:cs="Palatino Linotype"/>
          <w:b/>
          <w:i/>
        </w:rPr>
        <w:t>RECURSO DE RECLAMACIÓN. SU INTERPOSICIÓN NO ES EXTEMPORÁNEA SI SE REALIZA ANTES DE QUE INICIE EL PLAZO PARA HACERLO</w:t>
      </w:r>
      <w:r w:rsidRPr="00A34F7B">
        <w:rPr>
          <w:rFonts w:ascii="Palatino Linotype" w:eastAsia="Palatino Linotype" w:hAnsi="Palatino Linotype" w:cs="Palatino Linotype"/>
          <w:i/>
        </w:rPr>
        <w:t>.</w:t>
      </w:r>
    </w:p>
    <w:p w:rsidR="0035444F" w:rsidRPr="00A34F7B" w:rsidRDefault="003C0F32">
      <w:pPr>
        <w:spacing w:after="0" w:line="276" w:lineRule="auto"/>
        <w:ind w:left="851" w:right="616"/>
        <w:jc w:val="both"/>
        <w:rPr>
          <w:rFonts w:ascii="Palatino Linotype" w:eastAsia="Palatino Linotype" w:hAnsi="Palatino Linotype" w:cs="Palatino Linotype"/>
        </w:rPr>
      </w:pPr>
      <w:r w:rsidRPr="00A34F7B">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A34F7B">
        <w:rPr>
          <w:rFonts w:ascii="Palatino Linotype" w:eastAsia="Palatino Linotype" w:hAnsi="Palatino Linotype" w:cs="Palatino Linotype"/>
          <w:b/>
        </w:rPr>
        <w:t>SAIMEX</w:t>
      </w:r>
      <w:r w:rsidRPr="00A34F7B">
        <w:rPr>
          <w:rFonts w:ascii="Palatino Linotype" w:eastAsia="Palatino Linotype" w:hAnsi="Palatino Linotype" w:cs="Palatino Linotype"/>
        </w:rPr>
        <w:t xml:space="preserve">.  </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Es de suma importancia mencionar que, si bien,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276" w:lineRule="auto"/>
        <w:ind w:left="851" w:right="843"/>
        <w:jc w:val="both"/>
        <w:rPr>
          <w:rFonts w:ascii="Palatino Linotype" w:eastAsia="Palatino Linotype" w:hAnsi="Palatino Linotype" w:cs="Palatino Linotype"/>
          <w:i/>
        </w:rPr>
      </w:pPr>
      <w:r w:rsidRPr="00A34F7B">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Finalmente, resulta procedente la interposición del recurso de revisión al rubro anotado, toda vez que se actualizan las hipótesis previstas en el artículo 179, fracción I de la ley de la materia, que a la letra dice:</w:t>
      </w:r>
    </w:p>
    <w:p w:rsidR="0035444F" w:rsidRPr="00A34F7B" w:rsidRDefault="0035444F">
      <w:pPr>
        <w:spacing w:after="0" w:line="276" w:lineRule="auto"/>
        <w:ind w:left="567" w:right="616"/>
        <w:jc w:val="both"/>
        <w:rPr>
          <w:rFonts w:ascii="Palatino Linotype" w:eastAsia="Palatino Linotype" w:hAnsi="Palatino Linotype" w:cs="Palatino Linotype"/>
          <w:i/>
        </w:rPr>
      </w:pPr>
    </w:p>
    <w:p w:rsidR="0035444F" w:rsidRPr="00A34F7B" w:rsidRDefault="003C0F32">
      <w:pP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w:t>
      </w:r>
      <w:r w:rsidRPr="00A34F7B">
        <w:rPr>
          <w:rFonts w:ascii="Palatino Linotype" w:eastAsia="Palatino Linotype" w:hAnsi="Palatino Linotype" w:cs="Palatino Linotype"/>
          <w:b/>
          <w:i/>
        </w:rPr>
        <w:t xml:space="preserve">Artículo 179. </w:t>
      </w:r>
      <w:r w:rsidRPr="00A34F7B">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rsidR="0035444F" w:rsidRPr="00A34F7B" w:rsidRDefault="0035444F">
      <w:pPr>
        <w:spacing w:after="0" w:line="276" w:lineRule="auto"/>
        <w:ind w:left="851" w:right="616"/>
        <w:jc w:val="both"/>
        <w:rPr>
          <w:rFonts w:ascii="Palatino Linotype" w:eastAsia="Palatino Linotype" w:hAnsi="Palatino Linotype" w:cs="Palatino Linotype"/>
          <w:i/>
        </w:rPr>
      </w:pPr>
    </w:p>
    <w:p w:rsidR="0035444F" w:rsidRPr="00A34F7B" w:rsidRDefault="003C0F32">
      <w:pPr>
        <w:spacing w:after="0" w:line="276"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I. La negativa a la información solicitada; </w:t>
      </w:r>
    </w:p>
    <w:p w:rsidR="0035444F" w:rsidRPr="00A34F7B" w:rsidRDefault="003C0F32">
      <w:pPr>
        <w:spacing w:after="0" w:line="276" w:lineRule="auto"/>
        <w:ind w:left="851" w:right="616"/>
        <w:jc w:val="both"/>
        <w:rPr>
          <w:rFonts w:ascii="Palatino Linotype" w:eastAsia="Palatino Linotype" w:hAnsi="Palatino Linotype" w:cs="Palatino Linotype"/>
          <w:b/>
          <w:i/>
        </w:rPr>
      </w:pPr>
      <w:r w:rsidRPr="00A34F7B">
        <w:rPr>
          <w:rFonts w:ascii="Palatino Linotype" w:eastAsia="Palatino Linotype" w:hAnsi="Palatino Linotype" w:cs="Palatino Linotype"/>
          <w:i/>
        </w:rPr>
        <w:t xml:space="preserve">…” </w:t>
      </w:r>
    </w:p>
    <w:p w:rsidR="0035444F" w:rsidRPr="00A34F7B" w:rsidRDefault="0035444F">
      <w:pPr>
        <w:spacing w:after="0" w:line="360" w:lineRule="auto"/>
        <w:ind w:left="567" w:right="616"/>
        <w:jc w:val="both"/>
        <w:rPr>
          <w:rFonts w:ascii="Palatino Linotype" w:eastAsia="Palatino Linotype" w:hAnsi="Palatino Linotype" w:cs="Palatino Linotype"/>
          <w:b/>
          <w:i/>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b/>
        </w:rPr>
        <w:t>Tercero. Análisis de las causales de sobreseimiento del recurso de revisión</w:t>
      </w:r>
      <w:r w:rsidRPr="00A34F7B">
        <w:rPr>
          <w:rFonts w:ascii="Palatino Linotype" w:eastAsia="Palatino Linotype" w:hAnsi="Palatino Linotype" w:cs="Palatino Linotype"/>
        </w:rPr>
        <w:t>: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ind w:right="51"/>
        <w:jc w:val="both"/>
        <w:rPr>
          <w:rFonts w:ascii="Palatino Linotype" w:eastAsia="Palatino Linotype" w:hAnsi="Palatino Linotype" w:cs="Palatino Linotype"/>
        </w:rPr>
      </w:pPr>
      <w:r w:rsidRPr="00A34F7B">
        <w:rPr>
          <w:rFonts w:ascii="Palatino Linotype" w:eastAsia="Palatino Linotype" w:hAnsi="Palatino Linotype" w:cs="Palatino Linotype"/>
        </w:rPr>
        <w:t>De manera preliminar en el caso concreto conviene analizar si se actualiza alguna de las causales de sobreseimiento del recurso de revisión.</w:t>
      </w:r>
    </w:p>
    <w:p w:rsidR="0035444F" w:rsidRPr="00A34F7B" w:rsidRDefault="0035444F">
      <w:pPr>
        <w:spacing w:after="0" w:line="360" w:lineRule="auto"/>
        <w:ind w:right="51"/>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Naucalpan de Juárez, lo siguiente:</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A34F7B">
        <w:rPr>
          <w:rFonts w:ascii="Palatino Linotype" w:eastAsia="Palatino Linotype" w:hAnsi="Palatino Linotype" w:cs="Palatino Linotype"/>
          <w:b/>
          <w:color w:val="000000"/>
        </w:rPr>
        <w:t>Presupuesto designado al programa Arena recién anunciado</w:t>
      </w:r>
      <w:r w:rsidRPr="00A34F7B">
        <w:rPr>
          <w:rFonts w:ascii="Palatino Linotype" w:eastAsia="Palatino Linotype" w:hAnsi="Palatino Linotype" w:cs="Palatino Linotype"/>
          <w:color w:val="000000"/>
        </w:rPr>
        <w:t>.</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En respuesta,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a través de la Dirección de Desarrollo Urbano en el que informó que derivado de una búsqueda exhaustiva y razonada en sus archivos, el Acuerdo por la Regeneración de Naucalpan (ARENA), no cuenta con presupuesto asignado.</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Derivado de ello,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se inconformó medularmente por la falta de entrega de la información solicitada, en atención a que a su decir el área competente para conocer de la información solicitada es la Tesorería Municipal. </w:t>
      </w:r>
    </w:p>
    <w:p w:rsidR="0035444F" w:rsidRPr="00A34F7B" w:rsidRDefault="0035444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Es así que, el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no realizó manifestaciones, alegatos o pruebas que a su derecho convinieran y por su parte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en Informe Justificado a través de la Directora de Desarrollo Urbano en el que reiteró su respuesta. Mientras que la Tesorera Municipal informó que en la elaboración del Presupuesto Definitivo de Egresos del ejercicio fiscal 2025, ninguna dependencia municipal presupuestó ejecutar acción o acciones referentes a este programa, toda vez que como se refiere es "recién anunciado". Asimismo, informó la entrega del Presupuesto de Egresos por dependencia general y auxiliar a nivel proyecto para el ejercicio fiscal 2025, en el que se visualiza que este proyecto no fue incluido; sin embargo, en atención al artículo 305 del Código Financiero del Estado de México y Municipios, señala que se admite la reconducción del presupuesto, acción que, se ejecutará a solicitud de alguna dependencia municipal, previa autorización de la Tesorería Municipal y la Unidad de Información, Planeación, Presupuestación y Evaluación bajo este supuesto, situación que a la fecha no ha acontecido. </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Dicho lo anterior, es importante mencionar que las unidades administrativas que se pronunciaron fueron la Dirección de Desarrollo Urbano y la Tesorería Municipal, los cuales, de conformidad con el Manual de Organización de la Dirección de Desarrollo Urbano de Naucalpan de Juárez y el Manual de Organización de la Tesorería Municipal, contaran con las siguientes funciones:</w:t>
      </w:r>
    </w:p>
    <w:p w:rsidR="0035444F" w:rsidRPr="00A34F7B" w:rsidRDefault="0035444F">
      <w:pPr>
        <w:spacing w:after="0" w:line="240" w:lineRule="auto"/>
        <w:ind w:left="851" w:right="616"/>
        <w:jc w:val="both"/>
        <w:rPr>
          <w:rFonts w:ascii="Palatino Linotype" w:eastAsia="Palatino Linotype" w:hAnsi="Palatino Linotype" w:cs="Palatino Linotype"/>
          <w:i/>
        </w:rPr>
      </w:pPr>
    </w:p>
    <w:p w:rsidR="0035444F" w:rsidRPr="00A34F7B" w:rsidRDefault="003C0F32">
      <w:pPr>
        <w:spacing w:after="0" w:line="240" w:lineRule="auto"/>
        <w:ind w:left="851" w:right="616"/>
        <w:jc w:val="both"/>
        <w:rPr>
          <w:rFonts w:ascii="Palatino Linotype" w:eastAsia="Palatino Linotype" w:hAnsi="Palatino Linotype" w:cs="Palatino Linotype"/>
          <w:b/>
          <w:i/>
        </w:rPr>
      </w:pPr>
      <w:r w:rsidRPr="00A34F7B">
        <w:rPr>
          <w:rFonts w:ascii="Palatino Linotype" w:eastAsia="Palatino Linotype" w:hAnsi="Palatino Linotype" w:cs="Palatino Linotype"/>
          <w:i/>
        </w:rPr>
        <w:t>“</w:t>
      </w:r>
      <w:r w:rsidRPr="00A34F7B">
        <w:rPr>
          <w:rFonts w:ascii="Palatino Linotype" w:eastAsia="Palatino Linotype" w:hAnsi="Palatino Linotype" w:cs="Palatino Linotype"/>
          <w:b/>
          <w:i/>
        </w:rPr>
        <w:t>DIRECCIÓN GENERAL DE DESARROLLO URBANO</w:t>
      </w:r>
    </w:p>
    <w:p w:rsidR="0035444F" w:rsidRPr="00A34F7B" w:rsidRDefault="003C0F32">
      <w:pPr>
        <w:spacing w:after="0" w:line="240" w:lineRule="auto"/>
        <w:ind w:left="851" w:right="616"/>
        <w:jc w:val="both"/>
        <w:rPr>
          <w:rFonts w:ascii="Palatino Linotype" w:eastAsia="Palatino Linotype" w:hAnsi="Palatino Linotype" w:cs="Palatino Linotype"/>
          <w:b/>
          <w:i/>
        </w:rPr>
      </w:pPr>
      <w:r w:rsidRPr="00A34F7B">
        <w:rPr>
          <w:rFonts w:ascii="Palatino Linotype" w:eastAsia="Palatino Linotype" w:hAnsi="Palatino Linotype" w:cs="Palatino Linotype"/>
          <w:b/>
          <w:i/>
        </w:rPr>
        <w:t xml:space="preserve">OBJETO: </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Orientar el desarrollo urbano del municipio hacia un desarrollo de progreso, sustentable y planificado, mediante la implementación de programas, proyectos y acciones encaminadas a la prestación eficiente y eficaz de los diferentes conceptos solicitados por el ciudadano, garantizando la legalidad y transparencia en el procedimiento para su resolución.</w:t>
      </w:r>
    </w:p>
    <w:p w:rsidR="0035444F" w:rsidRPr="00A34F7B" w:rsidRDefault="0035444F">
      <w:pPr>
        <w:spacing w:after="0" w:line="240" w:lineRule="auto"/>
        <w:ind w:left="851" w:right="616"/>
        <w:jc w:val="both"/>
        <w:rPr>
          <w:rFonts w:ascii="Palatino Linotype" w:eastAsia="Palatino Linotype" w:hAnsi="Palatino Linotype" w:cs="Palatino Linotype"/>
          <w:i/>
        </w:rPr>
      </w:pPr>
    </w:p>
    <w:p w:rsidR="0035444F" w:rsidRPr="00A34F7B" w:rsidRDefault="003C0F32">
      <w:pPr>
        <w:spacing w:after="0" w:line="240" w:lineRule="auto"/>
        <w:ind w:left="851" w:right="616"/>
        <w:jc w:val="both"/>
        <w:rPr>
          <w:rFonts w:ascii="Palatino Linotype" w:eastAsia="Palatino Linotype" w:hAnsi="Palatino Linotype" w:cs="Palatino Linotype"/>
          <w:b/>
          <w:i/>
        </w:rPr>
      </w:pPr>
      <w:r w:rsidRPr="00A34F7B">
        <w:rPr>
          <w:rFonts w:ascii="Palatino Linotype" w:eastAsia="Palatino Linotype" w:hAnsi="Palatino Linotype" w:cs="Palatino Linotype"/>
          <w:b/>
          <w:i/>
        </w:rPr>
        <w:t>FUNCIONES:</w:t>
      </w:r>
    </w:p>
    <w:p w:rsidR="0035444F" w:rsidRPr="00A34F7B" w:rsidRDefault="003C0F32">
      <w:pPr>
        <w:numPr>
          <w:ilvl w:val="0"/>
          <w:numId w:val="1"/>
        </w:numPr>
        <w:pBdr>
          <w:top w:val="nil"/>
          <w:left w:val="nil"/>
          <w:bottom w:val="nil"/>
          <w:right w:val="nil"/>
          <w:between w:val="nil"/>
        </w:pBdr>
        <w:spacing w:after="0" w:line="240" w:lineRule="auto"/>
        <w:ind w:left="851" w:right="616" w:firstLine="0"/>
        <w:jc w:val="both"/>
        <w:rPr>
          <w:rFonts w:ascii="Palatino Linotype" w:eastAsia="Palatino Linotype" w:hAnsi="Palatino Linotype" w:cs="Palatino Linotype"/>
          <w:i/>
          <w:color w:val="000000"/>
        </w:rPr>
      </w:pPr>
      <w:r w:rsidRPr="00A34F7B">
        <w:rPr>
          <w:rFonts w:ascii="Palatino Linotype" w:eastAsia="Palatino Linotype" w:hAnsi="Palatino Linotype" w:cs="Palatino Linotype"/>
          <w:i/>
          <w:color w:val="000000"/>
        </w:rPr>
        <w:t xml:space="preserve">Corresponde a la Dirección General de Desarrollo Urbano el ejercicio de las funciones siguientes: </w:t>
      </w:r>
    </w:p>
    <w:p w:rsidR="0035444F" w:rsidRPr="00A34F7B" w:rsidRDefault="003C0F32">
      <w:pPr>
        <w:numPr>
          <w:ilvl w:val="0"/>
          <w:numId w:val="1"/>
        </w:numPr>
        <w:pBdr>
          <w:top w:val="nil"/>
          <w:left w:val="nil"/>
          <w:bottom w:val="nil"/>
          <w:right w:val="nil"/>
          <w:between w:val="nil"/>
        </w:pBdr>
        <w:spacing w:after="0" w:line="240" w:lineRule="auto"/>
        <w:ind w:left="851" w:right="616" w:firstLine="0"/>
        <w:jc w:val="both"/>
        <w:rPr>
          <w:rFonts w:ascii="Palatino Linotype" w:eastAsia="Palatino Linotype" w:hAnsi="Palatino Linotype" w:cs="Palatino Linotype"/>
          <w:i/>
          <w:color w:val="000000"/>
        </w:rPr>
      </w:pPr>
      <w:r w:rsidRPr="00A34F7B">
        <w:rPr>
          <w:rFonts w:ascii="Palatino Linotype" w:eastAsia="Palatino Linotype" w:hAnsi="Palatino Linotype" w:cs="Palatino Linotype"/>
          <w:i/>
          <w:color w:val="000000"/>
        </w:rPr>
        <w:t>Instruir la elaboración del proyecto de presupuesto anual atendiendo los principios de racionalidad y disciplina presupuestal, con base en su Programa Operativo Anual y su calendario de gasto, de conformidad con la normatividad vigente.</w:t>
      </w:r>
    </w:p>
    <w:p w:rsidR="0035444F" w:rsidRPr="00A34F7B" w:rsidRDefault="003C0F32">
      <w:pPr>
        <w:numPr>
          <w:ilvl w:val="0"/>
          <w:numId w:val="1"/>
        </w:numPr>
        <w:pBdr>
          <w:top w:val="nil"/>
          <w:left w:val="nil"/>
          <w:bottom w:val="nil"/>
          <w:right w:val="nil"/>
          <w:between w:val="nil"/>
        </w:pBdr>
        <w:spacing w:after="0" w:line="240" w:lineRule="auto"/>
        <w:ind w:left="851" w:right="616" w:firstLine="0"/>
        <w:jc w:val="both"/>
        <w:rPr>
          <w:rFonts w:ascii="Palatino Linotype" w:eastAsia="Palatino Linotype" w:hAnsi="Palatino Linotype" w:cs="Palatino Linotype"/>
          <w:i/>
          <w:color w:val="000000"/>
        </w:rPr>
      </w:pPr>
      <w:r w:rsidRPr="00A34F7B">
        <w:rPr>
          <w:rFonts w:ascii="Palatino Linotype" w:eastAsia="Palatino Linotype" w:hAnsi="Palatino Linotype" w:cs="Palatino Linotype"/>
          <w:i/>
          <w:color w:val="000000"/>
        </w:rPr>
        <w:t xml:space="preserve">Dirigir, controlar y establecer las normas, políticas, criterios, sistemas, organización y procedimientos que rijan a las unidades administrativas bajo su adscripción con apego en el presente Reglamento y el presupuesto de egresos correspondiente; </w:t>
      </w:r>
    </w:p>
    <w:p w:rsidR="0035444F" w:rsidRPr="00A34F7B" w:rsidRDefault="003C0F32">
      <w:pPr>
        <w:numPr>
          <w:ilvl w:val="0"/>
          <w:numId w:val="1"/>
        </w:numPr>
        <w:pBdr>
          <w:top w:val="nil"/>
          <w:left w:val="nil"/>
          <w:bottom w:val="nil"/>
          <w:right w:val="nil"/>
          <w:between w:val="nil"/>
        </w:pBdr>
        <w:spacing w:after="0" w:line="240" w:lineRule="auto"/>
        <w:ind w:left="851" w:right="616" w:firstLine="0"/>
        <w:jc w:val="both"/>
        <w:rPr>
          <w:rFonts w:ascii="Palatino Linotype" w:eastAsia="Palatino Linotype" w:hAnsi="Palatino Linotype" w:cs="Palatino Linotype"/>
          <w:b/>
          <w:i/>
          <w:color w:val="000000"/>
        </w:rPr>
      </w:pPr>
      <w:r w:rsidRPr="00A34F7B">
        <w:rPr>
          <w:rFonts w:ascii="Palatino Linotype" w:eastAsia="Palatino Linotype" w:hAnsi="Palatino Linotype" w:cs="Palatino Linotype"/>
          <w:b/>
          <w:i/>
          <w:color w:val="000000"/>
        </w:rPr>
        <w:t>Autorizar el proyecto de Presupuesto Anual de Egresos de la Dirección General, conforme al Programa Operativo Anual;</w:t>
      </w:r>
    </w:p>
    <w:p w:rsidR="0035444F" w:rsidRPr="00A34F7B" w:rsidRDefault="003C0F32">
      <w:pPr>
        <w:numPr>
          <w:ilvl w:val="0"/>
          <w:numId w:val="1"/>
        </w:numPr>
        <w:pBdr>
          <w:top w:val="nil"/>
          <w:left w:val="nil"/>
          <w:bottom w:val="nil"/>
          <w:right w:val="nil"/>
          <w:between w:val="nil"/>
        </w:pBdr>
        <w:spacing w:after="0" w:line="240" w:lineRule="auto"/>
        <w:ind w:left="851" w:right="616" w:firstLine="0"/>
        <w:jc w:val="both"/>
        <w:rPr>
          <w:rFonts w:ascii="Palatino Linotype" w:eastAsia="Palatino Linotype" w:hAnsi="Palatino Linotype" w:cs="Palatino Linotype"/>
          <w:i/>
          <w:color w:val="000000"/>
        </w:rPr>
      </w:pPr>
      <w:r w:rsidRPr="00A34F7B">
        <w:rPr>
          <w:rFonts w:ascii="Palatino Linotype" w:eastAsia="Palatino Linotype" w:hAnsi="Palatino Linotype" w:cs="Palatino Linotype"/>
          <w:i/>
          <w:color w:val="000000"/>
        </w:rPr>
        <w:t>Dirigir las actividades encaminadas a que la construcción de la infraestructura y equipamiento urbano, así́́ como la administración y funcionamiento de los servicios públicos, sean congruentes con el plan de Desarrollo Urbano Municipal y sus programas;</w:t>
      </w:r>
    </w:p>
    <w:p w:rsidR="0035444F" w:rsidRPr="00A34F7B" w:rsidRDefault="0035444F">
      <w:pPr>
        <w:spacing w:after="0" w:line="240" w:lineRule="auto"/>
        <w:ind w:left="851" w:right="616"/>
        <w:jc w:val="both"/>
        <w:rPr>
          <w:rFonts w:ascii="Palatino Linotype" w:eastAsia="Palatino Linotype" w:hAnsi="Palatino Linotype" w:cs="Palatino Linotype"/>
          <w:i/>
        </w:rPr>
      </w:pPr>
    </w:p>
    <w:p w:rsidR="0035444F" w:rsidRPr="00A34F7B" w:rsidRDefault="003C0F32">
      <w:pPr>
        <w:spacing w:after="0" w:line="240" w:lineRule="auto"/>
        <w:ind w:left="851" w:right="616"/>
        <w:jc w:val="both"/>
        <w:rPr>
          <w:rFonts w:ascii="Palatino Linotype" w:eastAsia="Palatino Linotype" w:hAnsi="Palatino Linotype" w:cs="Palatino Linotype"/>
          <w:b/>
          <w:i/>
        </w:rPr>
      </w:pPr>
      <w:r w:rsidRPr="00A34F7B">
        <w:rPr>
          <w:rFonts w:ascii="Palatino Linotype" w:eastAsia="Palatino Linotype" w:hAnsi="Palatino Linotype" w:cs="Palatino Linotype"/>
          <w:b/>
          <w:i/>
        </w:rPr>
        <w:t>COORDINACIÓN ADMINISTRATIVA</w:t>
      </w:r>
    </w:p>
    <w:p w:rsidR="0035444F" w:rsidRPr="00A34F7B" w:rsidRDefault="0035444F">
      <w:pPr>
        <w:spacing w:after="0" w:line="240" w:lineRule="auto"/>
        <w:ind w:left="851" w:right="616"/>
        <w:jc w:val="both"/>
        <w:rPr>
          <w:rFonts w:ascii="Palatino Linotype" w:eastAsia="Palatino Linotype" w:hAnsi="Palatino Linotype" w:cs="Palatino Linotype"/>
          <w:i/>
        </w:rPr>
      </w:pP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FUNCIONES</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Corresponde a la Coordinación Administrativa el ejercicio de las funciones siguientes:</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Coordinar la integración del anteproyecto del programa operativo anual de la Dirección General, a fin de elaborar el anteproyecto de presupuesto de egresos, previo acuerdo con el Director General;</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 </w:t>
      </w:r>
      <w:r w:rsidRPr="00A34F7B">
        <w:rPr>
          <w:rFonts w:ascii="Palatino Linotype" w:eastAsia="Palatino Linotype" w:hAnsi="Palatino Linotype" w:cs="Palatino Linotype"/>
          <w:b/>
          <w:i/>
          <w:u w:val="single"/>
        </w:rPr>
        <w:t>Vigilar que el presupuesto de egresos autorizado se ejerza</w:t>
      </w:r>
      <w:r w:rsidRPr="00A34F7B">
        <w:rPr>
          <w:rFonts w:ascii="Palatino Linotype" w:eastAsia="Palatino Linotype" w:hAnsi="Palatino Linotype" w:cs="Palatino Linotype"/>
          <w:b/>
          <w:i/>
        </w:rPr>
        <w:t xml:space="preserve"> en estricto apego a los principios de racionalidad, austeridad y disciplina presupuestal, conforme a lineamientos establecidos en la normatividad aplicable</w:t>
      </w:r>
      <w:r w:rsidRPr="00A34F7B">
        <w:rPr>
          <w:rFonts w:ascii="Palatino Linotype" w:eastAsia="Palatino Linotype" w:hAnsi="Palatino Linotype" w:cs="Palatino Linotype"/>
          <w:i/>
        </w:rPr>
        <w:t>;</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 </w:t>
      </w:r>
      <w:r w:rsidRPr="00A34F7B">
        <w:rPr>
          <w:rFonts w:ascii="Palatino Linotype" w:eastAsia="Palatino Linotype" w:hAnsi="Palatino Linotype" w:cs="Palatino Linotype"/>
          <w:b/>
          <w:i/>
          <w:u w:val="single"/>
        </w:rPr>
        <w:t>Proponer las adecuaciones al presupuesto de egresos, conforme a las necesidades de los programas y acciones que le corresponda a la Dirección General</w:t>
      </w:r>
      <w:r w:rsidRPr="00A34F7B">
        <w:rPr>
          <w:rFonts w:ascii="Palatino Linotype" w:eastAsia="Palatino Linotype" w:hAnsi="Palatino Linotype" w:cs="Palatino Linotype"/>
          <w:i/>
        </w:rPr>
        <w:t>;</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Gestionar los recursos humanos, materiales y servicios, necesarios en el desarrollo de las actividades de la Dirección General;</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Administrar y ministrar, bajo los principios de austeridad y racionalidad, los recursos humanos, materiales y servicios, conforme a las necesidades de las áreas que conforman la Dirección General;</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 </w:t>
      </w:r>
      <w:r w:rsidRPr="00A34F7B">
        <w:rPr>
          <w:rFonts w:ascii="Palatino Linotype" w:eastAsia="Palatino Linotype" w:hAnsi="Palatino Linotype" w:cs="Palatino Linotype"/>
          <w:b/>
          <w:i/>
          <w:u w:val="single"/>
        </w:rPr>
        <w:t>Tramitar los requerimientos de bienes y servicios necesarios mediante el ejercicio del presupuesto autorizado para el cumplimiento de las metas establecidas</w:t>
      </w:r>
      <w:r w:rsidRPr="00A34F7B">
        <w:rPr>
          <w:rFonts w:ascii="Palatino Linotype" w:eastAsia="Palatino Linotype" w:hAnsi="Palatino Linotype" w:cs="Palatino Linotype"/>
          <w:i/>
        </w:rPr>
        <w:t>;</w:t>
      </w:r>
    </w:p>
    <w:p w:rsidR="0035444F" w:rsidRPr="00A34F7B" w:rsidRDefault="0035444F">
      <w:pPr>
        <w:spacing w:after="0" w:line="240" w:lineRule="auto"/>
        <w:ind w:left="851" w:right="616"/>
        <w:jc w:val="both"/>
        <w:rPr>
          <w:rFonts w:ascii="Palatino Linotype" w:eastAsia="Palatino Linotype" w:hAnsi="Palatino Linotype" w:cs="Palatino Linotype"/>
          <w:i/>
        </w:rPr>
      </w:pPr>
    </w:p>
    <w:p w:rsidR="0035444F" w:rsidRPr="00A34F7B" w:rsidRDefault="003C0F32">
      <w:pPr>
        <w:spacing w:after="0" w:line="240" w:lineRule="auto"/>
        <w:ind w:left="851" w:right="616"/>
        <w:jc w:val="both"/>
        <w:rPr>
          <w:rFonts w:ascii="Palatino Linotype" w:eastAsia="Palatino Linotype" w:hAnsi="Palatino Linotype" w:cs="Palatino Linotype"/>
          <w:b/>
          <w:i/>
        </w:rPr>
      </w:pPr>
      <w:r w:rsidRPr="00A34F7B">
        <w:rPr>
          <w:rFonts w:ascii="Palatino Linotype" w:eastAsia="Palatino Linotype" w:hAnsi="Palatino Linotype" w:cs="Palatino Linotype"/>
          <w:b/>
          <w:i/>
        </w:rPr>
        <w:t>TESORERÍA MUNICIPAL</w:t>
      </w:r>
    </w:p>
    <w:p w:rsidR="0035444F" w:rsidRPr="00A34F7B" w:rsidRDefault="0035444F">
      <w:pPr>
        <w:spacing w:after="0" w:line="240" w:lineRule="auto"/>
        <w:ind w:left="851" w:right="616"/>
        <w:jc w:val="both"/>
        <w:rPr>
          <w:rFonts w:ascii="Palatino Linotype" w:eastAsia="Palatino Linotype" w:hAnsi="Palatino Linotype" w:cs="Palatino Linotype"/>
          <w:b/>
          <w:i/>
        </w:rPr>
      </w:pP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OBJETIVO</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Administrar, controlar, organizar y verificar que todos los recursos humanos, materiales, tecnológicos y financieros, sean los óptimos para las funciones de cada una de las áreas, así como gestionar que se apliquen de manera correcta para el mejor aprovechamiento, con eficacia y transparencia.</w:t>
      </w:r>
    </w:p>
    <w:p w:rsidR="0035444F" w:rsidRPr="00A34F7B" w:rsidRDefault="0035444F">
      <w:pPr>
        <w:spacing w:after="0" w:line="240" w:lineRule="auto"/>
        <w:ind w:left="851" w:right="616"/>
        <w:jc w:val="both"/>
        <w:rPr>
          <w:rFonts w:ascii="Palatino Linotype" w:eastAsia="Palatino Linotype" w:hAnsi="Palatino Linotype" w:cs="Palatino Linotype"/>
          <w:i/>
        </w:rPr>
      </w:pP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FUNCIONES</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 </w:t>
      </w:r>
      <w:r w:rsidRPr="00A34F7B">
        <w:rPr>
          <w:rFonts w:ascii="Palatino Linotype" w:eastAsia="Palatino Linotype" w:hAnsi="Palatino Linotype" w:cs="Palatino Linotype"/>
          <w:b/>
          <w:i/>
          <w:u w:val="single"/>
        </w:rPr>
        <w:t>Administrar la hacienda pública municipal, de conformidad con las disposiciones legales aplicables;</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 </w:t>
      </w:r>
      <w:r w:rsidRPr="00A34F7B">
        <w:rPr>
          <w:rFonts w:ascii="Palatino Linotype" w:eastAsia="Palatino Linotype" w:hAnsi="Palatino Linotype" w:cs="Palatino Linotype"/>
          <w:b/>
          <w:i/>
        </w:rPr>
        <w:t>Presentar anualmente al ayuntamiento un informe de la situación contable financiera de la Tesorería Municipal</w:t>
      </w:r>
      <w:r w:rsidRPr="00A34F7B">
        <w:rPr>
          <w:rFonts w:ascii="Palatino Linotype" w:eastAsia="Palatino Linotype" w:hAnsi="Palatino Linotype" w:cs="Palatino Linotype"/>
          <w:i/>
        </w:rPr>
        <w:t>;</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Participar en la formulación de Convenios Fiscales y ejercer las atribuciones que le correspondan en el ámbito de su competencia;</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Proponer la política de ingresos de la tesorería municipal;</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xml:space="preserve"> </w:t>
      </w:r>
      <w:r w:rsidRPr="00A34F7B">
        <w:rPr>
          <w:rFonts w:ascii="Palatino Linotype" w:eastAsia="Palatino Linotype" w:hAnsi="Palatino Linotype" w:cs="Palatino Linotype"/>
          <w:b/>
          <w:i/>
        </w:rPr>
        <w:t>Intervenir en la elaboración del programa financiero municipal;</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Presentar anualmente al ayuntamiento un informe de la situación contable financiera de la Tesorería Municipal;</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 Supervisar y vigilar por medio de sus subalternos, la recaudación de las contribuciones municipales, de acuerdo con la normatividad aplicable.”</w:t>
      </w:r>
    </w:p>
    <w:p w:rsidR="0035444F" w:rsidRPr="00A34F7B" w:rsidRDefault="003C0F32">
      <w:pPr>
        <w:spacing w:after="0" w:line="240" w:lineRule="auto"/>
        <w:ind w:left="851" w:right="616"/>
        <w:jc w:val="both"/>
        <w:rPr>
          <w:rFonts w:ascii="Palatino Linotype" w:eastAsia="Palatino Linotype" w:hAnsi="Palatino Linotype" w:cs="Palatino Linotype"/>
          <w:i/>
        </w:rPr>
      </w:pPr>
      <w:r w:rsidRPr="00A34F7B">
        <w:rPr>
          <w:rFonts w:ascii="Palatino Linotype" w:eastAsia="Palatino Linotype" w:hAnsi="Palatino Linotype" w:cs="Palatino Linotype"/>
          <w:i/>
        </w:rPr>
        <w:t>(Énfasis Añadido)</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De los preceptos previamente insertados, se aprecia que la </w:t>
      </w:r>
      <w:r w:rsidRPr="00A34F7B">
        <w:rPr>
          <w:rFonts w:ascii="Palatino Linotype" w:eastAsia="Palatino Linotype" w:hAnsi="Palatino Linotype" w:cs="Palatino Linotype"/>
          <w:b/>
        </w:rPr>
        <w:t xml:space="preserve">Tesorería Municipal </w:t>
      </w:r>
      <w:r w:rsidRPr="00A34F7B">
        <w:rPr>
          <w:rFonts w:ascii="Palatino Linotype" w:eastAsia="Palatino Linotype" w:hAnsi="Palatino Linotype" w:cs="Palatino Linotype"/>
        </w:rPr>
        <w:t xml:space="preserve">es la unidad administrativa encargada de administrar la hacienda pública municipal, de conformidad con las disposiciones legales aplicables; así como intervenir en la elaboración del programa financiero municipal; mientras que la Dirección de Desarrollo Urbano será la encargada de vigilar que el presupuesto de egresos autorizado se ejerza en estricto apego a los principios de racionalidad, austeridad y disciplina presupuestal, conforme a lineamientos establecidos en la normatividad aplicable; así como, proponer las adecuaciones al presupuesto de egresos, conforme a las necesidades de los programas y acciones que le corresponda a la Dirección General de Desarrollo Urbano, por consiguiente se determina que sí se turnó el requerimiento de información a las unidades administrativas competentes, las cuales se pronunciaron en respuesta e informe justificado respectivamente, determinando con ello que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35444F" w:rsidRPr="00A34F7B" w:rsidRDefault="0035444F">
      <w:pPr>
        <w:pBdr>
          <w:top w:val="nil"/>
          <w:left w:val="nil"/>
          <w:bottom w:val="nil"/>
          <w:right w:val="nil"/>
          <w:between w:val="nil"/>
        </w:pBdr>
        <w:spacing w:after="0"/>
        <w:ind w:left="864" w:right="864"/>
        <w:jc w:val="both"/>
        <w:rPr>
          <w:rFonts w:ascii="Palatino Linotype" w:eastAsia="Palatino Linotype" w:hAnsi="Palatino Linotype" w:cs="Palatino Linotype"/>
          <w:i/>
        </w:rPr>
      </w:pPr>
    </w:p>
    <w:p w:rsidR="0035444F" w:rsidRPr="00A34F7B" w:rsidRDefault="003C0F32">
      <w:pPr>
        <w:pBdr>
          <w:top w:val="nil"/>
          <w:left w:val="nil"/>
          <w:bottom w:val="nil"/>
          <w:right w:val="nil"/>
          <w:between w:val="nil"/>
        </w:pBdr>
        <w:spacing w:after="0" w:line="276" w:lineRule="auto"/>
        <w:ind w:left="864" w:right="864"/>
        <w:jc w:val="both"/>
        <w:rPr>
          <w:rFonts w:ascii="Palatino Linotype" w:eastAsia="Palatino Linotype" w:hAnsi="Palatino Linotype" w:cs="Palatino Linotype"/>
        </w:rPr>
      </w:pPr>
      <w:r w:rsidRPr="00A34F7B">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35444F" w:rsidRPr="00A34F7B" w:rsidRDefault="0035444F">
      <w:pPr>
        <w:spacing w:after="0"/>
        <w:rPr>
          <w:rFonts w:ascii="Palatino Linotype" w:eastAsia="Palatino Linotype" w:hAnsi="Palatino Linotype" w:cs="Palatino Linotype"/>
        </w:rPr>
      </w:pPr>
    </w:p>
    <w:p w:rsidR="0035444F" w:rsidRPr="00A34F7B" w:rsidRDefault="003C0F32">
      <w:pPr>
        <w:spacing w:after="0" w:line="360" w:lineRule="auto"/>
        <w:ind w:right="51"/>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Acotado lo anterior, en cuanto hace al agravio hecho valer por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en primera instancia es de mencionar que en respuesta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informó que derivado de una búsqueda exhaustiva y razonada en sus archivos, el Acuerdo por la Regeneración de Naucalpan (ARENA), no cuenta con presupuesto asignado, motivo por el cual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se adoleció, puesto que a su consideración, la unidad administrativa competente para conocer de lo solicitado es la Tesorería Municipal. </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No obstante, en aras de garantizar el Derecho de Acceso a la Información de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en la presentación de su Informe Justificado la Tesorería Municipal informó que dentro del Presupuesto Definitivo de Egresos del ejercicio fiscal 2025, ninguna dependencia municipal presupuestó la ejecución de acciones referentes a este programa, toda vez que como se refiere es "recién anunciado", lo cual robustece con la entrega del presupuesto de egresos por dependencia general y auxiliar a nivel proyecto para el ejercicio fiscal 2025, en el que se visualiza que este proyecto no fue incluido, tal y como se muestra a continuación: </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noProof/>
        </w:rPr>
        <w:drawing>
          <wp:inline distT="0" distB="0" distL="0" distR="0" wp14:anchorId="2314274C" wp14:editId="573453C4">
            <wp:extent cx="5612130" cy="3312160"/>
            <wp:effectExtent l="0" t="0" r="0" b="0"/>
            <wp:docPr id="15517780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3312160"/>
                    </a:xfrm>
                    <a:prstGeom prst="rect">
                      <a:avLst/>
                    </a:prstGeom>
                    <a:ln/>
                  </pic:spPr>
                </pic:pic>
              </a:graphicData>
            </a:graphic>
          </wp:inline>
        </w:drawing>
      </w: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No obstante, destacó que en atención al artículo 305 del Código Financiero del Estado de México y Municipios, se admite la reconducción del presupuesto, acción que, se ejecutará a solicitud de alguna dependencia municipal, previa autorización de la Tesorería Municipal y la Unidad de Información, Planeación, Presupuestación y Evaluación bajo este supuesto, situación que a la fecha no aconteció. </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Mientras que la Dirección de Desarrollo Urbano reiteró su respuesta inicial.</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Ahora bien, es de resaltar que este Organismo Garante localizó una nota publicada el veinte de junio de dos mil veinticinco (un día antes de la solicitud de información), dentro de la página oficial del Ayuntamiento de Naucalpan</w:t>
      </w:r>
      <w:r w:rsidRPr="00A34F7B">
        <w:rPr>
          <w:rFonts w:ascii="Palatino Linotype" w:eastAsia="Palatino Linotype" w:hAnsi="Palatino Linotype" w:cs="Palatino Linotype"/>
          <w:vertAlign w:val="superscript"/>
        </w:rPr>
        <w:footnoteReference w:id="1"/>
      </w:r>
      <w:r w:rsidRPr="00A34F7B">
        <w:rPr>
          <w:rFonts w:ascii="Palatino Linotype" w:eastAsia="Palatino Linotype" w:hAnsi="Palatino Linotype" w:cs="Palatino Linotype"/>
        </w:rPr>
        <w:t>, de la que se desprende que el Presidente Municipal, presentó el Acuerdo por la Regeneración de Naucalpan (ARENA), donde destacó que, el municipio busca atraer inversión, retener la existente y hacer de la localidad, la Ciudad de la Transformación con alianzas público-privadas, garantizando certeza jurídica para quienes apuesten por el desarrollo, de la que se inserta lo siguiente para mejor proveer del presente asunto:</w:t>
      </w:r>
    </w:p>
    <w:p w:rsidR="0035444F" w:rsidRPr="00A34F7B" w:rsidRDefault="003C0F32">
      <w:pPr>
        <w:spacing w:after="0" w:line="360" w:lineRule="auto"/>
        <w:jc w:val="center"/>
        <w:rPr>
          <w:rFonts w:ascii="Palatino Linotype" w:eastAsia="Palatino Linotype" w:hAnsi="Palatino Linotype" w:cs="Palatino Linotype"/>
        </w:rPr>
      </w:pPr>
      <w:r w:rsidRPr="00A34F7B">
        <w:rPr>
          <w:rFonts w:ascii="Palatino Linotype" w:eastAsia="Palatino Linotype" w:hAnsi="Palatino Linotype" w:cs="Palatino Linotype"/>
          <w:noProof/>
        </w:rPr>
        <w:drawing>
          <wp:inline distT="0" distB="0" distL="0" distR="0" wp14:anchorId="0D7E7926" wp14:editId="47FA4C58">
            <wp:extent cx="4396800" cy="1439831"/>
            <wp:effectExtent l="0" t="0" r="0" b="0"/>
            <wp:docPr id="15517780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396800" cy="1439831"/>
                    </a:xfrm>
                    <a:prstGeom prst="rect">
                      <a:avLst/>
                    </a:prstGeom>
                    <a:ln/>
                  </pic:spPr>
                </pic:pic>
              </a:graphicData>
            </a:graphic>
          </wp:inline>
        </w:drawing>
      </w:r>
    </w:p>
    <w:p w:rsidR="0035444F" w:rsidRPr="00A34F7B" w:rsidRDefault="003C0F32">
      <w:pPr>
        <w:spacing w:after="0" w:line="360" w:lineRule="auto"/>
        <w:jc w:val="center"/>
        <w:rPr>
          <w:rFonts w:ascii="Palatino Linotype" w:eastAsia="Palatino Linotype" w:hAnsi="Palatino Linotype" w:cs="Palatino Linotype"/>
        </w:rPr>
      </w:pPr>
      <w:r w:rsidRPr="00A34F7B">
        <w:rPr>
          <w:rFonts w:ascii="Palatino Linotype" w:eastAsia="Palatino Linotype" w:hAnsi="Palatino Linotype" w:cs="Palatino Linotype"/>
          <w:noProof/>
        </w:rPr>
        <w:drawing>
          <wp:inline distT="0" distB="0" distL="0" distR="0" wp14:anchorId="684FA5E1" wp14:editId="529BA7BE">
            <wp:extent cx="4625460" cy="3137202"/>
            <wp:effectExtent l="0" t="0" r="0" b="0"/>
            <wp:docPr id="15517780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34538"/>
                    <a:stretch>
                      <a:fillRect/>
                    </a:stretch>
                  </pic:blipFill>
                  <pic:spPr>
                    <a:xfrm>
                      <a:off x="0" y="0"/>
                      <a:ext cx="4625460" cy="3137202"/>
                    </a:xfrm>
                    <a:prstGeom prst="rect">
                      <a:avLst/>
                    </a:prstGeom>
                    <a:ln/>
                  </pic:spPr>
                </pic:pic>
              </a:graphicData>
            </a:graphic>
          </wp:inline>
        </w:drawing>
      </w:r>
      <w:r w:rsidRPr="00A34F7B">
        <w:rPr>
          <w:noProof/>
        </w:rPr>
        <mc:AlternateContent>
          <mc:Choice Requires="wps">
            <w:drawing>
              <wp:anchor distT="0" distB="0" distL="114300" distR="114300" simplePos="0" relativeHeight="251658240" behindDoc="0" locked="0" layoutInCell="1" hidden="0" allowOverlap="1" wp14:anchorId="387EF94B" wp14:editId="7A2E80D8">
                <wp:simplePos x="0" y="0"/>
                <wp:positionH relativeFrom="column">
                  <wp:posOffset>491490</wp:posOffset>
                </wp:positionH>
                <wp:positionV relativeFrom="paragraph">
                  <wp:posOffset>2167890</wp:posOffset>
                </wp:positionV>
                <wp:extent cx="4625229" cy="1066800"/>
                <wp:effectExtent l="0" t="0" r="0" b="0"/>
                <wp:wrapNone/>
                <wp:docPr id="1551778000" name="1551778000 Rectángulo"/>
                <wp:cNvGraphicFramePr/>
                <a:graphic xmlns:a="http://schemas.openxmlformats.org/drawingml/2006/main">
                  <a:graphicData uri="http://schemas.microsoft.com/office/word/2010/wordprocessingShape">
                    <wps:wsp>
                      <wps:cNvSpPr/>
                      <wps:spPr>
                        <a:xfrm>
                          <a:off x="3042911" y="3256125"/>
                          <a:ext cx="4606179" cy="1047750"/>
                        </a:xfrm>
                        <a:prstGeom prst="rect">
                          <a:avLst/>
                        </a:prstGeom>
                        <a:noFill/>
                        <a:ln w="19050" cap="flat" cmpd="sng">
                          <a:solidFill>
                            <a:srgbClr val="EE0000"/>
                          </a:solidFill>
                          <a:prstDash val="solid"/>
                          <a:miter lim="800000"/>
                          <a:headEnd type="none" w="sm" len="sm"/>
                          <a:tailEnd type="none" w="sm" len="sm"/>
                        </a:ln>
                      </wps:spPr>
                      <wps:txbx>
                        <w:txbxContent>
                          <w:p w:rsidR="0035444F" w:rsidRDefault="003544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7EF94B" id="1551778000 Rectángulo" o:spid="_x0000_s1026" style="position:absolute;left:0;text-align:left;margin-left:38.7pt;margin-top:170.7pt;width:364.2pt;height: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gVPwIAAGAEAAAOAAAAZHJzL2Uyb0RvYy54bWysVNuO0zAQfUfiHyy/0ySll23UdIW2LUJa&#10;QcXCB0wdJ7HkG7bbtJ/Dt/BjjJ3utsADEuLFnYnHM2fOmeny/qQkOXLnhdEVLUY5JVwzUwvdVvTr&#10;l+2bO0p8AF2DNJpX9Mw9vV+9frXsbcnHpjOy5o5gEu3L3la0C8GWWeZZxxX4kbFc42VjnIKArmuz&#10;2kGP2ZXMxnk+y3rjausM497j1/VwSVcpf9NwFj41jeeByIoitpBOl859PLPVEsrWge0Eu8CAf0Ch&#10;QGgs+pJqDQHIwYk/UinBnPGmCSNmVGaaRjCeesBuivy3bp46sDz1guR4+0KT/39p2cfjzhFRo3bT&#10;aTGf3+U50qRBoVbXL+QzEvnju24P0kTKeutLfPlkd+7ieTRj/6fGqfiLnZFTRd/mk/GiKCg5oz2e&#10;zorxdKCcnwJhGDCZ5bNivqCEYUSRT+bzaRIlu6ayzof33CgSjYo6hJKohuOjD1geQ59DYmVttkLK&#10;pKvUpMesixxzEgY4Xo2EgKay2LDXbcrjjRR1fBNfe9fuH6QjR8CB2WyQjWc4v4TFgmvw3RCXroa+&#10;lAg4z1KoikYqh9dQdhzqja5JOFskVuMq0AjNK0okx8VBIyEOIOTf47BjqbHxKMNAfLTCaX+6qLE3&#10;9Rll9ZZtBSJ9BB924HCwUYkehx0LfjuAQxDyg8ZpWhQTFIaEW8fdOvtbBzTrDO4QC46SwXkIaacG&#10;/t8dgmlEkibiGsBc4OIYJ8UuKxf35NZPUdc/htVPAAAA//8DAFBLAwQUAAYACAAAACEA9q6zreEA&#10;AAAKAQAADwAAAGRycy9kb3ducmV2LnhtbEyPwU6DQBCG7ya+w2ZMvNndKliKLI0x8WBMDNRevG1h&#10;BCI7S9iFok/veKq3mcyXf74/2y22FzOOvnOkYb1SIJAqV3fUaDi8P98kIHwwVJveEWr4Rg+7/PIi&#10;M2ntTlTivA+N4BDyqdHQhjCkUvqqRWv8yg1IfPt0ozWB17GR9WhOHG57eavUvbSmI/7QmgGfWqy+&#10;9pPVMKnhMIePl238mkT2LSmLsvgptL6+Wh4fQARcwhmGP31Wh5ydjm6i2otew2YTManhLlrzwECi&#10;Yu5y1BCrbQQyz+T/CvkvAAAA//8DAFBLAQItABQABgAIAAAAIQC2gziS/gAAAOEBAAATAAAAAAAA&#10;AAAAAAAAAAAAAABbQ29udGVudF9UeXBlc10ueG1sUEsBAi0AFAAGAAgAAAAhADj9If/WAAAAlAEA&#10;AAsAAAAAAAAAAAAAAAAALwEAAF9yZWxzLy5yZWxzUEsBAi0AFAAGAAgAAAAhACTjKBU/AgAAYAQA&#10;AA4AAAAAAAAAAAAAAAAALgIAAGRycy9lMm9Eb2MueG1sUEsBAi0AFAAGAAgAAAAhAPaus63hAAAA&#10;CgEAAA8AAAAAAAAAAAAAAAAAmQQAAGRycy9kb3ducmV2LnhtbFBLBQYAAAAABAAEAPMAAACnBQAA&#10;AAA=&#10;" filled="f" strokecolor="#e00" strokeweight="1.5pt">
                <v:stroke startarrowwidth="narrow" startarrowlength="short" endarrowwidth="narrow" endarrowlength="short"/>
                <v:textbox inset="2.53958mm,2.53958mm,2.53958mm,2.53958mm">
                  <w:txbxContent>
                    <w:p w:rsidR="0035444F" w:rsidRDefault="0035444F">
                      <w:pPr>
                        <w:spacing w:after="0" w:line="240" w:lineRule="auto"/>
                        <w:textDirection w:val="btLr"/>
                      </w:pPr>
                    </w:p>
                  </w:txbxContent>
                </v:textbox>
              </v:rect>
            </w:pict>
          </mc:Fallback>
        </mc:AlternateContent>
      </w:r>
    </w:p>
    <w:p w:rsidR="0035444F" w:rsidRPr="00A34F7B" w:rsidRDefault="003C0F32">
      <w:pPr>
        <w:spacing w:after="0" w:line="360" w:lineRule="auto"/>
        <w:jc w:val="center"/>
        <w:rPr>
          <w:rFonts w:ascii="Palatino Linotype" w:eastAsia="Palatino Linotype" w:hAnsi="Palatino Linotype" w:cs="Palatino Linotype"/>
        </w:rPr>
      </w:pPr>
      <w:r w:rsidRPr="00A34F7B">
        <w:rPr>
          <w:rFonts w:ascii="Palatino Linotype" w:eastAsia="Palatino Linotype" w:hAnsi="Palatino Linotype" w:cs="Palatino Linotype"/>
          <w:noProof/>
        </w:rPr>
        <w:drawing>
          <wp:inline distT="0" distB="0" distL="0" distR="0" wp14:anchorId="6511CD10" wp14:editId="76F4BC8B">
            <wp:extent cx="4298945" cy="3410749"/>
            <wp:effectExtent l="0" t="0" r="0" b="0"/>
            <wp:docPr id="15517780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98945" cy="3410749"/>
                    </a:xfrm>
                    <a:prstGeom prst="rect">
                      <a:avLst/>
                    </a:prstGeom>
                    <a:ln/>
                  </pic:spPr>
                </pic:pic>
              </a:graphicData>
            </a:graphic>
          </wp:inline>
        </w:drawing>
      </w:r>
      <w:r w:rsidRPr="00A34F7B">
        <w:rPr>
          <w:noProof/>
        </w:rPr>
        <mc:AlternateContent>
          <mc:Choice Requires="wps">
            <w:drawing>
              <wp:anchor distT="0" distB="0" distL="114300" distR="114300" simplePos="0" relativeHeight="251659264" behindDoc="0" locked="0" layoutInCell="1" hidden="0" allowOverlap="1" wp14:anchorId="25F2299E" wp14:editId="5633554F">
                <wp:simplePos x="0" y="0"/>
                <wp:positionH relativeFrom="column">
                  <wp:posOffset>653415</wp:posOffset>
                </wp:positionH>
                <wp:positionV relativeFrom="paragraph">
                  <wp:posOffset>681990</wp:posOffset>
                </wp:positionV>
                <wp:extent cx="4304665" cy="1181100"/>
                <wp:effectExtent l="0" t="0" r="0" b="0"/>
                <wp:wrapNone/>
                <wp:docPr id="1551778002" name="1551778002 Rectángulo"/>
                <wp:cNvGraphicFramePr/>
                <a:graphic xmlns:a="http://schemas.openxmlformats.org/drawingml/2006/main">
                  <a:graphicData uri="http://schemas.microsoft.com/office/word/2010/wordprocessingShape">
                    <wps:wsp>
                      <wps:cNvSpPr/>
                      <wps:spPr>
                        <a:xfrm>
                          <a:off x="3203193" y="3198975"/>
                          <a:ext cx="4285615" cy="1162050"/>
                        </a:xfrm>
                        <a:prstGeom prst="rect">
                          <a:avLst/>
                        </a:prstGeom>
                        <a:noFill/>
                        <a:ln w="19050" cap="flat" cmpd="sng">
                          <a:solidFill>
                            <a:srgbClr val="EE0000"/>
                          </a:solidFill>
                          <a:prstDash val="solid"/>
                          <a:miter lim="800000"/>
                          <a:headEnd type="none" w="sm" len="sm"/>
                          <a:tailEnd type="none" w="sm" len="sm"/>
                        </a:ln>
                      </wps:spPr>
                      <wps:txbx>
                        <w:txbxContent>
                          <w:p w:rsidR="0035444F" w:rsidRDefault="003544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F2299E" id="1551778002 Rectángulo" o:spid="_x0000_s1027" style="position:absolute;left:0;text-align:left;margin-left:51.45pt;margin-top:53.7pt;width:338.95pt;height: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gQQIAAGcEAAAOAAAAZHJzL2Uyb0RvYy54bWysVN2uEjEQvjfxHZrey/5w4ABhOTEHMCYn&#10;Sjz6AEO3yzbpn21hl8fxWXwxp108oF6YGLkoM+3MN9/87fKhV5KcuPPC6IoWo5wSrpmphT5U9Mvn&#10;7ZsZJT6ArkEazSt65p4+rF6/WnZ2wUvTGllzRxBE+0VnK9qGYBdZ5lnLFfiRsVzjY2OcgoCqO2S1&#10;gw7RlczKPJ9mnXG1dYZx7/F2PTzSVcJvGs7Cx6bxPBBZUeQW0unSuY9ntlrC4uDAtoJdaMA/sFAg&#10;NAZ9gVpDAHJ04g8oJZgz3jRhxIzKTNMIxlMOmE2R/5bNcwuWp1ywON6+lMn/P1j24bRzRNTYu8mk&#10;uL+f5XlJiQaFvbrekE9YyO/f9OEoTSxZZ/0CPZ/tzl00j2LMv2+civ+YGekrOi7zcTEfU3JGuZjP&#10;5veToeS8D4ShwV05m0yLCSUMLYpiWuaT1JTsCmWdD++4USQKFXVIJZUaTk8+YHg0/WkSI2uzFVKm&#10;vkpNOkSdR0zCAMerkRBQVBYT9vqQcLyRoo4+0du7w/5ROnICHJjNJsdfJIwxfjGLAdfg28EuPQ15&#10;KRFwnqVQFcVSXrxh0XKoN7om4WyxsBpXgUZqXlEiOS4OColxACH/bodspEZSsQ1D4aMU+n0/dDJi&#10;xZu9qc/YXW/ZViDhJ/BhBw7nu8DoOPMY9+sRHHKR7zUO1by4K7EV4VZxt8r+VgHNWoOrxIKjZFAe&#10;Q1qtoQ1vj8E0InXoSubCGqc5FfWyeXFdbvVkdf0+rH4AAAD//wMAUEsDBBQABgAIAAAAIQAfLYs0&#10;4AAAAAsBAAAPAAAAZHJzL2Rvd25yZXYueG1sTI9NT4QwEIbvJv6HZky8ua2ILrCUjTHxYEwMrHvx&#10;1qVdINIpoYVFf72zp/U2b+bJ+5FvF9uz2Yy+cyjhfiWAGayd7rCRsP98vUuA+aBQq96hkfBjPGyL&#10;66tcZdqdsDLzLjSMTNBnSkIbwpBx7uvWWOVXbjBIv6MbrQokx4brUZ3I3PY8EuKJW9UhJbRqMC+t&#10;qb93k5UwiWE/h6+39PE9ie1HUpVV+VtKeXuzPG+ABbOECwzn+lQdCup0cBNqz3rSIkoJPR/rGBgR&#10;60TQmIOEKH2IgRc5/7+h+AMAAP//AwBQSwECLQAUAAYACAAAACEAtoM4kv4AAADhAQAAEwAAAAAA&#10;AAAAAAAAAAAAAAAAW0NvbnRlbnRfVHlwZXNdLnhtbFBLAQItABQABgAIAAAAIQA4/SH/1gAAAJQB&#10;AAALAAAAAAAAAAAAAAAAAC8BAABfcmVscy8ucmVsc1BLAQItABQABgAIAAAAIQB+j6NgQQIAAGcE&#10;AAAOAAAAAAAAAAAAAAAAAC4CAABkcnMvZTJvRG9jLnhtbFBLAQItABQABgAIAAAAIQAfLYs04AAA&#10;AAsBAAAPAAAAAAAAAAAAAAAAAJsEAABkcnMvZG93bnJldi54bWxQSwUGAAAAAAQABADzAAAAqAUA&#10;AAAA&#10;" filled="f" strokecolor="#e00" strokeweight="1.5pt">
                <v:stroke startarrowwidth="narrow" startarrowlength="short" endarrowwidth="narrow" endarrowlength="short"/>
                <v:textbox inset="2.53958mm,2.53958mm,2.53958mm,2.53958mm">
                  <w:txbxContent>
                    <w:p w:rsidR="0035444F" w:rsidRDefault="0035444F">
                      <w:pPr>
                        <w:spacing w:after="0" w:line="240" w:lineRule="auto"/>
                        <w:textDirection w:val="btLr"/>
                      </w:pPr>
                    </w:p>
                  </w:txbxContent>
                </v:textbox>
              </v:rect>
            </w:pict>
          </mc:Fallback>
        </mc:AlternateContent>
      </w:r>
    </w:p>
    <w:p w:rsidR="0035444F" w:rsidRPr="00A34F7B" w:rsidRDefault="003C0F32">
      <w:pPr>
        <w:spacing w:after="0" w:line="360" w:lineRule="auto"/>
        <w:jc w:val="center"/>
        <w:rPr>
          <w:rFonts w:ascii="Palatino Linotype" w:eastAsia="Palatino Linotype" w:hAnsi="Palatino Linotype" w:cs="Palatino Linotype"/>
        </w:rPr>
      </w:pPr>
      <w:r w:rsidRPr="00A34F7B">
        <w:rPr>
          <w:rFonts w:ascii="Palatino Linotype" w:eastAsia="Palatino Linotype" w:hAnsi="Palatino Linotype" w:cs="Palatino Linotype"/>
          <w:noProof/>
        </w:rPr>
        <w:drawing>
          <wp:inline distT="0" distB="0" distL="0" distR="0" wp14:anchorId="0A5C9969" wp14:editId="1D75FF3A">
            <wp:extent cx="4547641" cy="2606224"/>
            <wp:effectExtent l="0" t="0" r="0" b="0"/>
            <wp:docPr id="15517780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547641" cy="2606224"/>
                    </a:xfrm>
                    <a:prstGeom prst="rect">
                      <a:avLst/>
                    </a:prstGeom>
                    <a:ln/>
                  </pic:spPr>
                </pic:pic>
              </a:graphicData>
            </a:graphic>
          </wp:inline>
        </w:drawing>
      </w:r>
      <w:r w:rsidRPr="00A34F7B">
        <w:rPr>
          <w:noProof/>
        </w:rPr>
        <mc:AlternateContent>
          <mc:Choice Requires="wps">
            <w:drawing>
              <wp:anchor distT="0" distB="0" distL="114300" distR="114300" simplePos="0" relativeHeight="251660288" behindDoc="0" locked="0" layoutInCell="1" hidden="0" allowOverlap="1" wp14:anchorId="52CD22BF" wp14:editId="22BAC897">
                <wp:simplePos x="0" y="0"/>
                <wp:positionH relativeFrom="column">
                  <wp:posOffset>529590</wp:posOffset>
                </wp:positionH>
                <wp:positionV relativeFrom="paragraph">
                  <wp:posOffset>-13334</wp:posOffset>
                </wp:positionV>
                <wp:extent cx="4428490" cy="676275"/>
                <wp:effectExtent l="0" t="0" r="0" b="0"/>
                <wp:wrapNone/>
                <wp:docPr id="1551778001" name="1551778001 Rectángulo"/>
                <wp:cNvGraphicFramePr/>
                <a:graphic xmlns:a="http://schemas.openxmlformats.org/drawingml/2006/main">
                  <a:graphicData uri="http://schemas.microsoft.com/office/word/2010/wordprocessingShape">
                    <wps:wsp>
                      <wps:cNvSpPr/>
                      <wps:spPr>
                        <a:xfrm>
                          <a:off x="3141280" y="3451388"/>
                          <a:ext cx="4409440" cy="657225"/>
                        </a:xfrm>
                        <a:prstGeom prst="rect">
                          <a:avLst/>
                        </a:prstGeom>
                        <a:noFill/>
                        <a:ln w="19050" cap="flat" cmpd="sng">
                          <a:solidFill>
                            <a:srgbClr val="EE0000"/>
                          </a:solidFill>
                          <a:prstDash val="solid"/>
                          <a:miter lim="800000"/>
                          <a:headEnd type="none" w="sm" len="sm"/>
                          <a:tailEnd type="none" w="sm" len="sm"/>
                        </a:ln>
                      </wps:spPr>
                      <wps:txbx>
                        <w:txbxContent>
                          <w:p w:rsidR="0035444F" w:rsidRDefault="003544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CD22BF" id="1551778001 Rectángulo" o:spid="_x0000_s1028" style="position:absolute;left:0;text-align:left;margin-left:41.7pt;margin-top:-1.05pt;width:348.7pt;height:5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X5QAIAAGYEAAAOAAAAZHJzL2Uyb0RvYy54bWysVO2uEjEQ/W/iOzT9L/tx4QIblhtzAWNy&#10;o8SrDzB0u2yTftkWFh7HZ/HFnHbxgvrDxEhCmWmnp2fOzLB4OClJjtx5YXRNi1FOCdfMNELva/rl&#10;8+bNjBIfQDcgjeY1PXNPH5avXy16W/HSdEY23BEE0b7qbU27EGyVZZ51XIEfGcs1HrbGKQjoun3W&#10;OOgRXcmszPP7rDeusc4w7j3uroZDukz4bctZ+Ni2ngcia4rcQlpdWndxzZYLqPYObCfYhQb8AwsF&#10;QuOjL1ArCEAOTvwBpQRzxps2jJhRmWlbwXjKAbMp8t+yee7A8pQLiuPti0z+/8GyD8etI6LB2k0m&#10;xXQ6y/OCEg0Ka3XdIZ9QyO/f9P4gTZSst77Cm8926y6eRzPmf2qdir+YGTnV9K4YF+UMhT+jPZ4U&#10;d7PZIDk/BcIwYDzO5/ilhGHE/WRalpMYkF2RrPPhHTeKRKOmDpkkpeH45MMQ+jMkPqzNRkiJ+1BJ&#10;TXrMYp5PIj5gd7USAprKYr5e7xOON1I08U684t1+9ygdOQL2y3qd4+dC55ew+OAKfDfEpaMhLSUC&#10;trMUqqao5OU2VB2HZq0bEs4WddU4CTRS84oSyXFu0EiMAwj59zgUR2rUKFZh0D1a4bQ7pUKWESvu&#10;7ExzxuJ6yzYCCT+BD1tw2N5Y4R5bHt/9egCHXOR7jT01L8aoPgm3jrt1drcOaNYZnCQWHCWD8xjS&#10;ZA1leHsIphWpQlcyF9bYzKnGl8GL03Lrp6jr38PyBwAAAP//AwBQSwMEFAAGAAgAAAAhAIdWtAzf&#10;AAAACQEAAA8AAABkcnMvZG93bnJldi54bWxMj0FPhDAQhe8m/odmTLzttruiVqRsjIkHY2Jg3Yu3&#10;LoxApFNCC4v+eseTHifvy5vvZbvF9WLGMXSeDGzWCgRS5euOGgOHt6eVBhGipdr2ntDAFwbY5edn&#10;mU1rf6IS531sBJdQSK2BNsYhlTJULTob1n5A4uzDj85GPsdG1qM9cbnr5VapG+lsR/yhtQM+tlh9&#10;7idnYFLDYY7vz3fXLzpxr7osyuK7MObyYnm4BxFxiX8w/OqzOuTsdPQT1UH0BvRVwqSB1XYDgvNb&#10;rXjKkUGVJCDzTP5fkP8AAAD//wMAUEsBAi0AFAAGAAgAAAAhALaDOJL+AAAA4QEAABMAAAAAAAAA&#10;AAAAAAAAAAAAAFtDb250ZW50X1R5cGVzXS54bWxQSwECLQAUAAYACAAAACEAOP0h/9YAAACUAQAA&#10;CwAAAAAAAAAAAAAAAAAvAQAAX3JlbHMvLnJlbHNQSwECLQAUAAYACAAAACEAOtS1+UACAABmBAAA&#10;DgAAAAAAAAAAAAAAAAAuAgAAZHJzL2Uyb0RvYy54bWxQSwECLQAUAAYACAAAACEAh1a0DN8AAAAJ&#10;AQAADwAAAAAAAAAAAAAAAACaBAAAZHJzL2Rvd25yZXYueG1sUEsFBgAAAAAEAAQA8wAAAKYFAAAA&#10;AA==&#10;" filled="f" strokecolor="#e00" strokeweight="1.5pt">
                <v:stroke startarrowwidth="narrow" startarrowlength="short" endarrowwidth="narrow" endarrowlength="short"/>
                <v:textbox inset="2.53958mm,2.53958mm,2.53958mm,2.53958mm">
                  <w:txbxContent>
                    <w:p w:rsidR="0035444F" w:rsidRDefault="0035444F">
                      <w:pPr>
                        <w:spacing w:after="0" w:line="240" w:lineRule="auto"/>
                        <w:textDirection w:val="btLr"/>
                      </w:pPr>
                    </w:p>
                  </w:txbxContent>
                </v:textbox>
              </v:rect>
            </w:pict>
          </mc:Fallback>
        </mc:AlternateConten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De las imágenes insertadas con anterioridad se advierte que, en efecto el Acuerdo por la Regeneración de Naucalpan (ARENA), no cuenta con presupuesto asignado, toda vez que, su finalidad es atraer inversionistas del sector público y privado, para lograr regenerar las zonas urbanas que han estado deterioradas y olvidadas; asimismo se advierte que dicho proyecto se encuentra encabezado por la Dirección de Desarrollo Urbano, unidad administrativa que informó que el proyecto no cuenta con un presupuesto asignado.</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Lo cual se robustece con lo manifestado por la Tesorería Municipal, en la presentación del informe justificado en el que manifiesta que en el </w:t>
      </w:r>
      <w:r w:rsidRPr="00A34F7B">
        <w:rPr>
          <w:rFonts w:ascii="Palatino Linotype" w:eastAsia="Palatino Linotype" w:hAnsi="Palatino Linotype" w:cs="Palatino Linotype"/>
          <w:b/>
          <w:u w:val="single"/>
        </w:rPr>
        <w:t>Presupuesto Definitivo de Egresos del ejercicio fiscal 2025, ninguna dependencia municipal presupuestó la ejecución de acciones referentes a este programa; asimismo, por lo que dicho proyecto no fue incluido,</w:t>
      </w:r>
      <w:r w:rsidRPr="00A34F7B">
        <w:rPr>
          <w:rFonts w:ascii="Palatino Linotype" w:eastAsia="Palatino Linotype" w:hAnsi="Palatino Linotype" w:cs="Palatino Linotype"/>
        </w:rPr>
        <w:t xml:space="preserve"> </w:t>
      </w:r>
    </w:p>
    <w:p w:rsidR="0035444F" w:rsidRPr="00A34F7B" w:rsidRDefault="0035444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Robusteciendo su dicho, informó que el propio Código Financiero del Estado de México y Municipios, establece la reconducción del presupuesto, acción que, de ser necesario, se ejecutará a solicitud de alguna dependencia municipal, previa autorización de la Tesorería Municipal y la Unidad de Información, Planeación, Presupuestación y Evaluación bajo el supuesto del artículo 305 del Código en mención, situación que a la fecha no aconteció, circunstancia que nos lleva a determinar que estamos en presencia de un </w:t>
      </w:r>
      <w:r w:rsidRPr="00A34F7B">
        <w:rPr>
          <w:rFonts w:ascii="Palatino Linotype" w:eastAsia="Palatino Linotype" w:hAnsi="Palatino Linotype" w:cs="Palatino Linotype"/>
          <w:i/>
        </w:rPr>
        <w:t xml:space="preserve">hecho negativo, </w:t>
      </w:r>
      <w:r w:rsidRPr="00A34F7B">
        <w:rPr>
          <w:rFonts w:ascii="Palatino Linotype" w:eastAsia="Palatino Linotype" w:hAnsi="Palatino Linotype" w:cs="Palatino Linotype"/>
        </w:rPr>
        <w:t xml:space="preserve">esto es que, es obvio que la información no puede fácticamente obrar en los archivos del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ya que no puede probarse por ser lógica y materialmente imposible.</w:t>
      </w:r>
    </w:p>
    <w:p w:rsidR="0035444F" w:rsidRPr="00A34F7B" w:rsidRDefault="0035444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 </w:t>
      </w:r>
      <w:r w:rsidRPr="00A34F7B">
        <w:rPr>
          <w:rFonts w:ascii="Palatino Linotype" w:eastAsia="Palatino Linotype" w:hAnsi="Palatino Linotype" w:cs="Palatino Linotype"/>
          <w:b/>
          <w:i/>
        </w:rPr>
        <w:t xml:space="preserve">HECHOS NEGATIVOS, NO SON SUSCEPTIBLES DE DEMOSTRACIÓN. </w:t>
      </w:r>
      <w:r w:rsidRPr="00A34F7B">
        <w:rPr>
          <w:rFonts w:ascii="Palatino Linotype" w:eastAsia="Palatino Linotype" w:hAnsi="Palatino Linotype" w:cs="Palatino Linotype"/>
        </w:rPr>
        <w:t xml:space="preserve"> </w:t>
      </w:r>
      <w:r w:rsidRPr="00A34F7B">
        <w:rPr>
          <w:rFonts w:ascii="Palatino Linotype" w:eastAsia="Palatino Linotype" w:hAnsi="Palatino Linotype" w:cs="Palatino Linotype"/>
          <w:i/>
        </w:rPr>
        <w:t>Tratándose de un hecho negativo, el Juez no tiene por qué invocar prueba alguna de la que se desprenda, ya que es bien sabido que esta clase de hechos no son susceptibles de demostración.</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Por lo anterior, se colige que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xml:space="preserve"> no puede hacer entrega de información que no obra en sus archivos de conformidad con el artículo 12 de la Ley de Transparencia de la Entidad.</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bookmarkStart w:id="3" w:name="_heading=h.ugman15bqqb4" w:colFirst="0" w:colLast="0"/>
      <w:bookmarkEnd w:id="3"/>
      <w:r w:rsidRPr="00A34F7B">
        <w:rPr>
          <w:rFonts w:ascii="Palatino Linotype" w:eastAsia="Palatino Linotype" w:hAnsi="Palatino Linotype" w:cs="Palatino Linotype"/>
        </w:rPr>
        <w:t xml:space="preserve">Por otro lado, debido a que, el </w:t>
      </w:r>
      <w:r w:rsidRPr="00A34F7B">
        <w:rPr>
          <w:rFonts w:ascii="Palatino Linotype" w:eastAsia="Palatino Linotype" w:hAnsi="Palatino Linotype" w:cs="Palatino Linotype"/>
          <w:b/>
        </w:rPr>
        <w:t>Sujeto Obligado</w:t>
      </w:r>
      <w:r w:rsidRPr="00A34F7B">
        <w:rPr>
          <w:rFonts w:ascii="Palatino Linotype" w:eastAsia="Palatino Linotype" w:hAnsi="Palatino Linotype" w:cs="Palatino Linotype"/>
        </w:rPr>
        <w:t>, cumplió con la búsqueda exhaustiva y razonable de la información mediante informe justificado; se actualiza la causal prevista en la fracción III del artículo 192 de la Ley de Transparencia y Acceso a la Información Pública del Estado de México y Municipios, que establece que el sobreseimiento del recurso de revisión procede en los siguientes casos:</w:t>
      </w:r>
    </w:p>
    <w:p w:rsidR="0035444F" w:rsidRPr="00A34F7B" w:rsidRDefault="0035444F">
      <w:pPr>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ind w:right="900" w:firstLine="567"/>
        <w:jc w:val="both"/>
        <w:rPr>
          <w:rFonts w:ascii="Palatino Linotype" w:eastAsia="Palatino Linotype" w:hAnsi="Palatino Linotype" w:cs="Palatino Linotype"/>
        </w:rPr>
      </w:pPr>
      <w:r w:rsidRPr="00A34F7B">
        <w:rPr>
          <w:rFonts w:ascii="Palatino Linotype" w:eastAsia="Palatino Linotype" w:hAnsi="Palatino Linotype" w:cs="Palatino Linotype"/>
        </w:rPr>
        <w:t>a) Cuando el sujeto obligado modifique el acto impugnado y;</w:t>
      </w:r>
    </w:p>
    <w:p w:rsidR="0035444F" w:rsidRPr="00A34F7B" w:rsidRDefault="003C0F32">
      <w:pPr>
        <w:spacing w:after="0" w:line="360" w:lineRule="auto"/>
        <w:ind w:right="900" w:firstLine="567"/>
        <w:jc w:val="both"/>
        <w:rPr>
          <w:rFonts w:ascii="Palatino Linotype" w:eastAsia="Palatino Linotype" w:hAnsi="Palatino Linotype" w:cs="Palatino Linotype"/>
        </w:rPr>
      </w:pPr>
      <w:r w:rsidRPr="00A34F7B">
        <w:rPr>
          <w:rFonts w:ascii="Palatino Linotype" w:eastAsia="Palatino Linotype" w:hAnsi="Palatino Linotype" w:cs="Palatino Linotype"/>
        </w:rPr>
        <w:t>b) Cuando el sujeto obligado revoque el acto impugnado.</w:t>
      </w:r>
    </w:p>
    <w:p w:rsidR="0035444F" w:rsidRPr="00A34F7B" w:rsidRDefault="0035444F">
      <w:pPr>
        <w:spacing w:after="0" w:line="360" w:lineRule="auto"/>
        <w:ind w:right="900" w:firstLine="567"/>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Quedando en ambos casos el acto combatido sin materia o sin efectos.</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Como se observa de lo anterior, un acto impugnado es </w:t>
      </w:r>
      <w:r w:rsidRPr="00A34F7B">
        <w:rPr>
          <w:rFonts w:ascii="Palatino Linotype" w:eastAsia="Palatino Linotype" w:hAnsi="Palatino Linotype" w:cs="Palatino Linotype"/>
          <w:b/>
        </w:rPr>
        <w:t>modificado</w:t>
      </w:r>
      <w:r w:rsidRPr="00A34F7B">
        <w:rPr>
          <w:rFonts w:ascii="Palatino Linotype" w:eastAsia="Palatino Linotype" w:hAnsi="Palatino Linotype" w:cs="Palatino Linotype"/>
        </w:rPr>
        <w:t xml:space="preserve"> en aquellos casos en los que el sujeto obligado </w:t>
      </w:r>
      <w:r w:rsidRPr="00A34F7B">
        <w:rPr>
          <w:rFonts w:ascii="Palatino Linotype" w:eastAsia="Palatino Linotype" w:hAnsi="Palatino Linotype" w:cs="Palatino Linotype"/>
          <w:b/>
          <w:u w:val="single"/>
        </w:rPr>
        <w:t>subsana las deficiencias que hubiera tenido en primer momento</w:t>
      </w:r>
      <w:r w:rsidRPr="00A34F7B">
        <w:rPr>
          <w:rFonts w:ascii="Palatino Linotype" w:eastAsia="Palatino Linotype" w:hAnsi="Palatino Linotype" w:cs="Palatino Linotype"/>
          <w:b/>
        </w:rPr>
        <w:t>,</w:t>
      </w:r>
      <w:r w:rsidRPr="00A34F7B">
        <w:rPr>
          <w:rFonts w:ascii="Palatino Linotype" w:eastAsia="Palatino Linotype" w:hAnsi="Palatino Linotype" w:cs="Palatino Linotype"/>
        </w:rPr>
        <w:t xml:space="preserve"> quedando satisfecho el derecho subjetivo accionado por la parte recurrente. </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Por lo que hace a la</w:t>
      </w:r>
      <w:r w:rsidRPr="00A34F7B">
        <w:rPr>
          <w:rFonts w:ascii="Palatino Linotype" w:eastAsia="Palatino Linotype" w:hAnsi="Palatino Linotype" w:cs="Palatino Linotype"/>
          <w:b/>
        </w:rPr>
        <w:t xml:space="preserve"> revocación</w:t>
      </w:r>
      <w:r w:rsidRPr="00A34F7B">
        <w:rPr>
          <w:rFonts w:ascii="Palatino Linotype" w:eastAsia="Palatino Linotype" w:hAnsi="Palatino Linotype" w:cs="Palatino Linotype"/>
        </w:rPr>
        <w:t>, esta se actualiza cuando el sujeto obligado</w:t>
      </w:r>
      <w:r w:rsidRPr="00A34F7B">
        <w:rPr>
          <w:rFonts w:ascii="Palatino Linotype" w:eastAsia="Palatino Linotype" w:hAnsi="Palatino Linotype" w:cs="Palatino Linotype"/>
          <w:b/>
        </w:rPr>
        <w:t xml:space="preserve"> </w:t>
      </w:r>
      <w:r w:rsidRPr="00A34F7B">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En ese tenor, un acto impugnado queda sin efectos, cuando aun existiendo jurídicamente ya no genera ninguna consecuencia legal.</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ind w:right="49"/>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En tanto, en el presente caso, derivado del pronunciamiento de la unidad administrativa competente, mediante informe justificado; dejó sin materia el presente recurso de revisión, actualizándose entonces la causal prevista en la fracción III del artículo 192 de la Ley de la Materia vigente en la Entidad. </w:t>
      </w:r>
    </w:p>
    <w:p w:rsidR="0035444F" w:rsidRPr="00A34F7B" w:rsidRDefault="0035444F">
      <w:pPr>
        <w:pBdr>
          <w:top w:val="nil"/>
          <w:left w:val="nil"/>
          <w:bottom w:val="nil"/>
          <w:right w:val="nil"/>
          <w:between w:val="nil"/>
        </w:pBdr>
        <w:tabs>
          <w:tab w:val="left" w:pos="4962"/>
        </w:tabs>
        <w:spacing w:after="0" w:line="360" w:lineRule="auto"/>
        <w:ind w:right="49"/>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 </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A34F7B">
        <w:rPr>
          <w:rFonts w:ascii="Palatino Linotype" w:eastAsia="Palatino Linotype" w:hAnsi="Palatino Linotype" w:cs="Palatino Linotype"/>
          <w:b/>
        </w:rPr>
        <w:t>III. R E S U E L V E:</w:t>
      </w:r>
    </w:p>
    <w:p w:rsidR="0035444F" w:rsidRPr="00A34F7B" w:rsidRDefault="003C0F32">
      <w:pPr>
        <w:spacing w:after="0" w:line="360" w:lineRule="auto"/>
        <w:jc w:val="both"/>
        <w:rPr>
          <w:rFonts w:ascii="Palatino Linotype" w:eastAsia="Palatino Linotype" w:hAnsi="Palatino Linotype" w:cs="Palatino Linotype"/>
        </w:rPr>
      </w:pPr>
      <w:bookmarkStart w:id="4" w:name="_heading=h.3dy6vkm" w:colFirst="0" w:colLast="0"/>
      <w:bookmarkEnd w:id="4"/>
      <w:r w:rsidRPr="00A34F7B">
        <w:rPr>
          <w:rFonts w:ascii="Palatino Linotype" w:eastAsia="Palatino Linotype" w:hAnsi="Palatino Linotype" w:cs="Palatino Linotype"/>
          <w:b/>
        </w:rPr>
        <w:t xml:space="preserve">PRIMERO. </w:t>
      </w:r>
      <w:r w:rsidRPr="00A34F7B">
        <w:rPr>
          <w:rFonts w:ascii="Palatino Linotype" w:eastAsia="Palatino Linotype" w:hAnsi="Palatino Linotype" w:cs="Palatino Linotype"/>
        </w:rPr>
        <w:t xml:space="preserve">Se </w:t>
      </w:r>
      <w:r w:rsidRPr="00A34F7B">
        <w:rPr>
          <w:rFonts w:ascii="Palatino Linotype" w:eastAsia="Palatino Linotype" w:hAnsi="Palatino Linotype" w:cs="Palatino Linotype"/>
          <w:b/>
        </w:rPr>
        <w:t xml:space="preserve">Sobresee </w:t>
      </w:r>
      <w:r w:rsidRPr="00A34F7B">
        <w:rPr>
          <w:rFonts w:ascii="Palatino Linotype" w:eastAsia="Palatino Linotype" w:hAnsi="Palatino Linotype" w:cs="Palatino Linotype"/>
        </w:rPr>
        <w:t>el Recurso de Revisión número</w:t>
      </w:r>
      <w:r w:rsidRPr="00A34F7B">
        <w:rPr>
          <w:rFonts w:ascii="Palatino Linotype" w:eastAsia="Palatino Linotype" w:hAnsi="Palatino Linotype" w:cs="Palatino Linotype"/>
          <w:b/>
        </w:rPr>
        <w:t xml:space="preserve"> 08049/INFOEM/IP/RR/2025</w:t>
      </w:r>
      <w:r w:rsidRPr="00A34F7B">
        <w:rPr>
          <w:rFonts w:ascii="Palatino Linotype" w:eastAsia="Palatino Linotype" w:hAnsi="Palatino Linotype" w:cs="Palatino Linotype"/>
        </w:rPr>
        <w:t xml:space="preserve">, porque el </w:t>
      </w:r>
      <w:r w:rsidRPr="00A34F7B">
        <w:rPr>
          <w:rFonts w:ascii="Palatino Linotype" w:eastAsia="Palatino Linotype" w:hAnsi="Palatino Linotype" w:cs="Palatino Linotype"/>
          <w:b/>
        </w:rPr>
        <w:t xml:space="preserve">Sujeto Obligado </w:t>
      </w:r>
      <w:r w:rsidRPr="00A34F7B">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A34F7B">
        <w:rPr>
          <w:rFonts w:ascii="Palatino Linotype" w:eastAsia="Palatino Linotype" w:hAnsi="Palatino Linotype" w:cs="Palatino Linotype"/>
          <w:b/>
        </w:rPr>
        <w:t>Considerando Tercero</w:t>
      </w:r>
      <w:r w:rsidRPr="00A34F7B">
        <w:rPr>
          <w:rFonts w:ascii="Palatino Linotype" w:eastAsia="Palatino Linotype" w:hAnsi="Palatino Linotype" w:cs="Palatino Linotype"/>
        </w:rPr>
        <w:t xml:space="preserve"> de la presente resolución.</w:t>
      </w:r>
    </w:p>
    <w:p w:rsidR="0035444F" w:rsidRPr="00A34F7B" w:rsidRDefault="0035444F">
      <w:pPr>
        <w:spacing w:after="0" w:line="360" w:lineRule="auto"/>
        <w:jc w:val="both"/>
        <w:rPr>
          <w:rFonts w:ascii="Palatino Linotype" w:eastAsia="Palatino Linotype" w:hAnsi="Palatino Linotype" w:cs="Palatino Linotype"/>
        </w:rPr>
      </w:pPr>
    </w:p>
    <w:p w:rsidR="0035444F" w:rsidRPr="00A34F7B" w:rsidRDefault="003C0F32">
      <w:pPr>
        <w:spacing w:after="0" w:line="360" w:lineRule="auto"/>
        <w:jc w:val="both"/>
        <w:rPr>
          <w:rFonts w:ascii="Palatino Linotype" w:eastAsia="Palatino Linotype" w:hAnsi="Palatino Linotype" w:cs="Palatino Linotype"/>
          <w:b/>
        </w:rPr>
      </w:pPr>
      <w:r w:rsidRPr="00A34F7B">
        <w:rPr>
          <w:rFonts w:ascii="Palatino Linotype" w:eastAsia="Palatino Linotype" w:hAnsi="Palatino Linotype" w:cs="Palatino Linotype"/>
          <w:b/>
        </w:rPr>
        <w:t xml:space="preserve">SEGUNDO. Notifíquese </w:t>
      </w:r>
      <w:r w:rsidRPr="00A34F7B">
        <w:rPr>
          <w:rFonts w:ascii="Palatino Linotype" w:eastAsia="Palatino Linotype" w:hAnsi="Palatino Linotype" w:cs="Palatino Linotype"/>
        </w:rPr>
        <w:t>a través del</w:t>
      </w:r>
      <w:r w:rsidRPr="00A34F7B">
        <w:rPr>
          <w:rFonts w:ascii="Palatino Linotype" w:eastAsia="Palatino Linotype" w:hAnsi="Palatino Linotype" w:cs="Palatino Linotype"/>
          <w:b/>
        </w:rPr>
        <w:t xml:space="preserve"> Sistema de Acceso a la Información Mexiquense</w:t>
      </w:r>
      <w:r w:rsidRPr="00A34F7B">
        <w:rPr>
          <w:rFonts w:ascii="Palatino Linotype" w:eastAsia="Palatino Linotype" w:hAnsi="Palatino Linotype" w:cs="Palatino Linotype"/>
        </w:rPr>
        <w:t xml:space="preserve"> </w:t>
      </w:r>
      <w:r w:rsidRPr="00A34F7B">
        <w:rPr>
          <w:rFonts w:ascii="Palatino Linotype" w:eastAsia="Palatino Linotype" w:hAnsi="Palatino Linotype" w:cs="Palatino Linotype"/>
          <w:b/>
        </w:rPr>
        <w:t xml:space="preserve">(SAIMEX) </w:t>
      </w:r>
      <w:r w:rsidRPr="00A34F7B">
        <w:rPr>
          <w:rFonts w:ascii="Palatino Linotype" w:eastAsia="Palatino Linotype" w:hAnsi="Palatino Linotype" w:cs="Palatino Linotype"/>
        </w:rPr>
        <w:t>la presente resolución a la Titular de la Unidad de Transparencia del</w:t>
      </w:r>
      <w:r w:rsidRPr="00A34F7B">
        <w:rPr>
          <w:rFonts w:ascii="Palatino Linotype" w:eastAsia="Palatino Linotype" w:hAnsi="Palatino Linotype" w:cs="Palatino Linotype"/>
          <w:b/>
        </w:rPr>
        <w:t xml:space="preserve"> Sujeto Obligado. </w:t>
      </w:r>
    </w:p>
    <w:p w:rsidR="0035444F" w:rsidRPr="00A34F7B" w:rsidRDefault="0035444F">
      <w:pPr>
        <w:spacing w:after="0" w:line="360" w:lineRule="auto"/>
        <w:jc w:val="both"/>
        <w:rPr>
          <w:rFonts w:ascii="Palatino Linotype" w:eastAsia="Palatino Linotype" w:hAnsi="Palatino Linotype" w:cs="Palatino Linotype"/>
          <w:b/>
        </w:rPr>
      </w:pPr>
    </w:p>
    <w:p w:rsidR="0035444F" w:rsidRPr="00A34F7B" w:rsidRDefault="003C0F32">
      <w:pPr>
        <w:spacing w:after="0" w:line="360" w:lineRule="auto"/>
        <w:jc w:val="both"/>
        <w:rPr>
          <w:rFonts w:ascii="Palatino Linotype" w:eastAsia="Palatino Linotype" w:hAnsi="Palatino Linotype" w:cs="Palatino Linotype"/>
        </w:rPr>
      </w:pPr>
      <w:r w:rsidRPr="00A34F7B">
        <w:rPr>
          <w:rFonts w:ascii="Palatino Linotype" w:eastAsia="Palatino Linotype" w:hAnsi="Palatino Linotype" w:cs="Palatino Linotype"/>
          <w:b/>
        </w:rPr>
        <w:t xml:space="preserve">TERCERO. Notifíquese a través del Sistema de Acceso a la Información Mexiquense (SAIMEX) </w:t>
      </w:r>
      <w:r w:rsidRPr="00A34F7B">
        <w:rPr>
          <w:rFonts w:ascii="Palatino Linotype" w:eastAsia="Palatino Linotype" w:hAnsi="Palatino Linotype" w:cs="Palatino Linotype"/>
        </w:rPr>
        <w:t xml:space="preserve">a la parte </w:t>
      </w:r>
      <w:r w:rsidRPr="00A34F7B">
        <w:rPr>
          <w:rFonts w:ascii="Palatino Linotype" w:eastAsia="Palatino Linotype" w:hAnsi="Palatino Linotype" w:cs="Palatino Linotype"/>
          <w:b/>
        </w:rPr>
        <w:t>Recurrente,</w:t>
      </w:r>
      <w:r w:rsidRPr="00A34F7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35444F" w:rsidRPr="00A34F7B" w:rsidRDefault="0035444F">
      <w:pPr>
        <w:spacing w:after="0" w:line="360" w:lineRule="auto"/>
        <w:jc w:val="both"/>
        <w:rPr>
          <w:rFonts w:ascii="Palatino Linotype" w:eastAsia="Palatino Linotype" w:hAnsi="Palatino Linotype" w:cs="Palatino Linotype"/>
        </w:rPr>
      </w:pPr>
    </w:p>
    <w:p w:rsidR="0035444F" w:rsidRDefault="003C0F32">
      <w:pPr>
        <w:spacing w:after="0" w:line="360" w:lineRule="auto"/>
        <w:jc w:val="both"/>
        <w:rPr>
          <w:rFonts w:ascii="Palatino Linotype" w:eastAsia="Palatino Linotype" w:hAnsi="Palatino Linotype" w:cs="Palatino Linotype"/>
        </w:rPr>
      </w:pPr>
      <w:bookmarkStart w:id="5" w:name="_heading=h.1fob9te" w:colFirst="0" w:colLast="0"/>
      <w:bookmarkEnd w:id="5"/>
      <w:r w:rsidRPr="00A34F7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r w:rsidR="00A34F7B">
        <w:rPr>
          <w:rFonts w:ascii="Palatino Linotype" w:eastAsia="Palatino Linotype" w:hAnsi="Palatino Linotype" w:cs="Palatino Linotype"/>
        </w:rPr>
        <w:t>.</w:t>
      </w:r>
    </w:p>
    <w:p w:rsidR="00A34F7B" w:rsidRDefault="00A34F7B">
      <w:pPr>
        <w:spacing w:after="0" w:line="360" w:lineRule="auto"/>
        <w:jc w:val="both"/>
        <w:rPr>
          <w:rFonts w:ascii="Palatino Linotype" w:eastAsia="Palatino Linotype" w:hAnsi="Palatino Linotype" w:cs="Palatino Linotype"/>
        </w:rPr>
      </w:pPr>
    </w:p>
    <w:p w:rsidR="00A34F7B" w:rsidRDefault="00A34F7B">
      <w:pPr>
        <w:spacing w:after="0" w:line="360" w:lineRule="auto"/>
        <w:jc w:val="both"/>
        <w:rPr>
          <w:rFonts w:ascii="Palatino Linotype" w:eastAsia="Palatino Linotype" w:hAnsi="Palatino Linotype" w:cs="Palatino Linotype"/>
        </w:rPr>
        <w:sectPr w:rsidR="00A34F7B">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p>
    <w:p w:rsidR="0035444F" w:rsidRDefault="0035444F">
      <w:pPr>
        <w:spacing w:after="0" w:line="360" w:lineRule="auto"/>
        <w:ind w:right="60"/>
        <w:jc w:val="both"/>
        <w:rPr>
          <w:rFonts w:ascii="Palatino Linotype" w:eastAsia="Palatino Linotype" w:hAnsi="Palatino Linotype" w:cs="Palatino Linotype"/>
          <w:b/>
        </w:rPr>
      </w:pPr>
    </w:p>
    <w:sectPr w:rsidR="0035444F">
      <w:headerReference w:type="default" r:id="rId17"/>
      <w:headerReference w:type="first" r:id="rId18"/>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AC9" w:rsidRDefault="00D94AC9">
      <w:pPr>
        <w:spacing w:after="0" w:line="240" w:lineRule="auto"/>
      </w:pPr>
      <w:r>
        <w:separator/>
      </w:r>
    </w:p>
  </w:endnote>
  <w:endnote w:type="continuationSeparator" w:id="0">
    <w:p w:rsidR="00D94AC9" w:rsidRDefault="00D9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44F" w:rsidRDefault="003C0F3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B50CF">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B50CF">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rsidR="0035444F" w:rsidRDefault="0035444F">
    <w:pPr>
      <w:pBdr>
        <w:top w:val="nil"/>
        <w:left w:val="nil"/>
        <w:bottom w:val="nil"/>
        <w:right w:val="nil"/>
        <w:between w:val="nil"/>
      </w:pBdr>
      <w:tabs>
        <w:tab w:val="center" w:pos="4252"/>
        <w:tab w:val="right" w:pos="8504"/>
      </w:tabs>
      <w:rPr>
        <w:color w:val="000000"/>
      </w:rPr>
    </w:pPr>
  </w:p>
  <w:p w:rsidR="0035444F" w:rsidRDefault="0035444F">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44F" w:rsidRDefault="003C0F3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B50C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B50CF">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rsidR="0035444F" w:rsidRDefault="0035444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AC9" w:rsidRDefault="00D94AC9">
      <w:pPr>
        <w:spacing w:after="0" w:line="240" w:lineRule="auto"/>
      </w:pPr>
      <w:r>
        <w:separator/>
      </w:r>
    </w:p>
  </w:footnote>
  <w:footnote w:type="continuationSeparator" w:id="0">
    <w:p w:rsidR="00D94AC9" w:rsidRDefault="00D94AC9">
      <w:pPr>
        <w:spacing w:after="0" w:line="240" w:lineRule="auto"/>
      </w:pPr>
      <w:r>
        <w:continuationSeparator/>
      </w:r>
    </w:p>
  </w:footnote>
  <w:footnote w:id="1">
    <w:p w:rsidR="0035444F" w:rsidRDefault="003C0F3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 xml:space="preserve">Consultable en: </w:t>
      </w:r>
      <w:hyperlink r:id="rId1">
        <w:r>
          <w:rPr>
            <w:rFonts w:ascii="Palatino Linotype" w:eastAsia="Palatino Linotype" w:hAnsi="Palatino Linotype" w:cs="Palatino Linotype"/>
            <w:color w:val="0000FF"/>
            <w:sz w:val="20"/>
            <w:szCs w:val="20"/>
            <w:u w:val="single"/>
          </w:rPr>
          <w:t>https://naucalpan.gob.mx/gobierno-de-isaac-montoya-con-arena-hara-de-naucalpan-la-ciudad-de-la-transformacion-con-alianzas-publico-privadas/</w:t>
        </w:r>
      </w:hyperlink>
      <w:r>
        <w:rPr>
          <w:rFonts w:ascii="Palatino Linotype" w:eastAsia="Palatino Linotype" w:hAnsi="Palatino Linotype" w:cs="Palatino Linotype"/>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44F" w:rsidRDefault="003C0F32">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504A245" wp14:editId="7DD21E4F">
          <wp:simplePos x="0" y="0"/>
          <wp:positionH relativeFrom="column">
            <wp:posOffset>-718182</wp:posOffset>
          </wp:positionH>
          <wp:positionV relativeFrom="paragraph">
            <wp:posOffset>-269872</wp:posOffset>
          </wp:positionV>
          <wp:extent cx="7809876" cy="10165823"/>
          <wp:effectExtent l="0" t="0" r="0" b="0"/>
          <wp:wrapNone/>
          <wp:docPr id="1551778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7229" w:type="dxa"/>
      <w:tblInd w:w="3309" w:type="dxa"/>
      <w:tblLayout w:type="fixed"/>
      <w:tblLook w:val="0400" w:firstRow="0" w:lastRow="0" w:firstColumn="0" w:lastColumn="0" w:noHBand="0" w:noVBand="1"/>
    </w:tblPr>
    <w:tblGrid>
      <w:gridCol w:w="2551"/>
      <w:gridCol w:w="4678"/>
    </w:tblGrid>
    <w:tr w:rsidR="0035444F">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678" w:type="dxa"/>
          <w:vAlign w:val="center"/>
        </w:tcPr>
        <w:p w:rsidR="0035444F" w:rsidRDefault="003C0F32">
          <w:pPr>
            <w:tabs>
              <w:tab w:val="left" w:pos="3153"/>
            </w:tabs>
            <w:spacing w:after="0" w:line="240" w:lineRule="auto"/>
            <w:ind w:left="-45" w:right="1758"/>
            <w:jc w:val="both"/>
            <w:rPr>
              <w:rFonts w:ascii="Palatino Linotype" w:eastAsia="Palatino Linotype" w:hAnsi="Palatino Linotype" w:cs="Palatino Linotype"/>
              <w:b/>
            </w:rPr>
          </w:pPr>
          <w:r>
            <w:rPr>
              <w:rFonts w:ascii="Palatino Linotype" w:eastAsia="Palatino Linotype" w:hAnsi="Palatino Linotype" w:cs="Palatino Linotype"/>
              <w:b/>
            </w:rPr>
            <w:t>08049/INFOEM/IP/RR/2025</w:t>
          </w:r>
        </w:p>
      </w:tc>
    </w:tr>
    <w:tr w:rsidR="0035444F">
      <w:trPr>
        <w:trHeight w:val="228"/>
      </w:trPr>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78" w:type="dxa"/>
          <w:vAlign w:val="center"/>
        </w:tcPr>
        <w:p w:rsidR="0035444F" w:rsidRDefault="003C0F32">
          <w:pPr>
            <w:spacing w:after="0" w:line="240" w:lineRule="auto"/>
            <w:ind w:left="-45" w:right="1351"/>
            <w:jc w:val="both"/>
            <w:rPr>
              <w:rFonts w:ascii="Palatino Linotype" w:eastAsia="Palatino Linotype" w:hAnsi="Palatino Linotype" w:cs="Palatino Linotype"/>
              <w:b/>
            </w:rPr>
          </w:pPr>
          <w:r>
            <w:rPr>
              <w:rFonts w:ascii="Palatino Linotype" w:eastAsia="Palatino Linotype" w:hAnsi="Palatino Linotype" w:cs="Palatino Linotype"/>
              <w:b/>
            </w:rPr>
            <w:t>Ayuntamiento de Naucalpan de Juárez</w:t>
          </w:r>
        </w:p>
      </w:tc>
    </w:tr>
    <w:tr w:rsidR="0035444F">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78" w:type="dxa"/>
          <w:vAlign w:val="center"/>
        </w:tcPr>
        <w:p w:rsidR="0035444F" w:rsidRDefault="003C0F32">
          <w:pPr>
            <w:spacing w:after="0" w:line="240" w:lineRule="auto"/>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5444F" w:rsidRDefault="003C0F32">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44F" w:rsidRDefault="003C0F32">
    <w:pPr>
      <w:widowControl w:val="0"/>
      <w:pBdr>
        <w:top w:val="nil"/>
        <w:left w:val="nil"/>
        <w:bottom w:val="nil"/>
        <w:right w:val="nil"/>
        <w:between w:val="nil"/>
      </w:pBdr>
      <w:spacing w:after="0" w:line="276" w:lineRule="auto"/>
      <w:rPr>
        <w:rFonts w:ascii="Cambria" w:eastAsia="Cambria" w:hAnsi="Cambria" w:cs="Cambria"/>
        <w:color w:val="000000"/>
        <w:sz w:val="16"/>
        <w:szCs w:val="16"/>
      </w:rPr>
    </w:pPr>
    <w:r>
      <w:rPr>
        <w:noProof/>
      </w:rPr>
      <w:drawing>
        <wp:anchor distT="0" distB="0" distL="0" distR="0" simplePos="0" relativeHeight="251659264" behindDoc="1" locked="0" layoutInCell="1" hidden="0" allowOverlap="1" wp14:anchorId="00E1B676" wp14:editId="6E2186C9">
          <wp:simplePos x="0" y="0"/>
          <wp:positionH relativeFrom="column">
            <wp:posOffset>-711197</wp:posOffset>
          </wp:positionH>
          <wp:positionV relativeFrom="paragraph">
            <wp:posOffset>-71117</wp:posOffset>
          </wp:positionV>
          <wp:extent cx="7809876" cy="10165823"/>
          <wp:effectExtent l="0" t="0" r="0" b="0"/>
          <wp:wrapNone/>
          <wp:docPr id="1551778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6404" w:type="dxa"/>
      <w:tblInd w:w="2694" w:type="dxa"/>
      <w:tblLayout w:type="fixed"/>
      <w:tblLook w:val="0400" w:firstRow="0" w:lastRow="0" w:firstColumn="0" w:lastColumn="0" w:noHBand="0" w:noVBand="1"/>
    </w:tblPr>
    <w:tblGrid>
      <w:gridCol w:w="2551"/>
      <w:gridCol w:w="3853"/>
    </w:tblGrid>
    <w:tr w:rsidR="0035444F">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53" w:type="dxa"/>
          <w:vAlign w:val="center"/>
        </w:tcPr>
        <w:p w:rsidR="0035444F" w:rsidRDefault="003C0F32">
          <w:pPr>
            <w:tabs>
              <w:tab w:val="left" w:pos="3153"/>
            </w:tabs>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08049/INFOEM/IP/RR/2025</w:t>
          </w:r>
        </w:p>
      </w:tc>
    </w:tr>
    <w:tr w:rsidR="0035444F">
      <w:trPr>
        <w:trHeight w:val="130"/>
      </w:trPr>
      <w:tc>
        <w:tcPr>
          <w:tcW w:w="2551" w:type="dxa"/>
          <w:vAlign w:val="center"/>
        </w:tcPr>
        <w:p w:rsidR="0035444F" w:rsidRDefault="003C0F32">
          <w:pPr>
            <w:spacing w:after="0" w:line="240" w:lineRule="auto"/>
            <w:rPr>
              <w:rFonts w:ascii="Palatino Linotype" w:eastAsia="Palatino Linotype" w:hAnsi="Palatino Linotype" w:cs="Palatino Linotype"/>
              <w:b/>
            </w:rPr>
          </w:pPr>
          <w:bookmarkStart w:id="6" w:name="_heading=h.3znysh7" w:colFirst="0" w:colLast="0"/>
          <w:bookmarkEnd w:id="6"/>
          <w:r>
            <w:rPr>
              <w:rFonts w:ascii="Palatino Linotype" w:eastAsia="Palatino Linotype" w:hAnsi="Palatino Linotype" w:cs="Palatino Linotype"/>
              <w:b/>
            </w:rPr>
            <w:t>Recurrente:</w:t>
          </w:r>
        </w:p>
      </w:tc>
      <w:tc>
        <w:tcPr>
          <w:tcW w:w="3853" w:type="dxa"/>
          <w:vAlign w:val="center"/>
        </w:tcPr>
        <w:p w:rsidR="0035444F" w:rsidRDefault="0035444F">
          <w:pPr>
            <w:spacing w:after="0" w:line="240" w:lineRule="auto"/>
            <w:ind w:left="-45" w:right="62"/>
            <w:jc w:val="both"/>
            <w:rPr>
              <w:rFonts w:ascii="Palatino Linotype" w:eastAsia="Palatino Linotype" w:hAnsi="Palatino Linotype" w:cs="Palatino Linotype"/>
              <w:b/>
            </w:rPr>
          </w:pPr>
        </w:p>
      </w:tc>
    </w:tr>
    <w:tr w:rsidR="0035444F">
      <w:trPr>
        <w:trHeight w:val="228"/>
      </w:trPr>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53" w:type="dxa"/>
          <w:vAlign w:val="center"/>
        </w:tcPr>
        <w:p w:rsidR="0035444F" w:rsidRDefault="003C0F32">
          <w:pPr>
            <w:spacing w:after="0" w:line="240" w:lineRule="auto"/>
            <w:ind w:left="-45" w:right="34"/>
            <w:jc w:val="both"/>
            <w:rPr>
              <w:rFonts w:ascii="Palatino Linotype" w:eastAsia="Palatino Linotype" w:hAnsi="Palatino Linotype" w:cs="Palatino Linotype"/>
              <w:b/>
            </w:rPr>
          </w:pPr>
          <w:r>
            <w:rPr>
              <w:rFonts w:ascii="Palatino Linotype" w:eastAsia="Palatino Linotype" w:hAnsi="Palatino Linotype" w:cs="Palatino Linotype"/>
              <w:b/>
            </w:rPr>
            <w:t>Ayuntamiento de Naucalpan de Juárez</w:t>
          </w:r>
        </w:p>
      </w:tc>
    </w:tr>
    <w:tr w:rsidR="0035444F">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53" w:type="dxa"/>
          <w:vAlign w:val="center"/>
        </w:tcPr>
        <w:p w:rsidR="0035444F" w:rsidRDefault="003C0F32">
          <w:pPr>
            <w:spacing w:after="0" w:line="240" w:lineRule="auto"/>
            <w:ind w:left="-45" w:right="1386"/>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5444F" w:rsidRDefault="0035444F">
    <w:pPr>
      <w:pBdr>
        <w:top w:val="nil"/>
        <w:left w:val="nil"/>
        <w:bottom w:val="nil"/>
        <w:right w:val="nil"/>
        <w:between w:val="nil"/>
      </w:pBdr>
      <w:tabs>
        <w:tab w:val="left" w:pos="3240"/>
      </w:tabs>
      <w:jc w:val="both"/>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44F" w:rsidRDefault="0035444F">
    <w:pPr>
      <w:widowControl w:val="0"/>
      <w:pBdr>
        <w:top w:val="nil"/>
        <w:left w:val="nil"/>
        <w:bottom w:val="nil"/>
        <w:right w:val="nil"/>
        <w:between w:val="nil"/>
      </w:pBdr>
      <w:spacing w:after="0" w:line="276" w:lineRule="auto"/>
      <w:rPr>
        <w:color w:val="000000"/>
      </w:rPr>
    </w:pPr>
  </w:p>
  <w:tbl>
    <w:tblPr>
      <w:tblStyle w:val="a9"/>
      <w:tblW w:w="6099" w:type="dxa"/>
      <w:tblInd w:w="2950" w:type="dxa"/>
      <w:tblLayout w:type="fixed"/>
      <w:tblLook w:val="0400" w:firstRow="0" w:lastRow="0" w:firstColumn="0" w:lastColumn="0" w:noHBand="0" w:noVBand="1"/>
    </w:tblPr>
    <w:tblGrid>
      <w:gridCol w:w="2541"/>
      <w:gridCol w:w="3558"/>
    </w:tblGrid>
    <w:tr w:rsidR="0035444F">
      <w:trPr>
        <w:trHeight w:val="496"/>
      </w:trPr>
      <w:tc>
        <w:tcPr>
          <w:tcW w:w="2541" w:type="dxa"/>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58" w:type="dxa"/>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00154/INFOEM/IP/RR/2024</w:t>
          </w:r>
        </w:p>
      </w:tc>
    </w:tr>
    <w:tr w:rsidR="0035444F">
      <w:trPr>
        <w:trHeight w:val="223"/>
      </w:trPr>
      <w:tc>
        <w:tcPr>
          <w:tcW w:w="254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rsidR="0035444F" w:rsidRDefault="0035444F">
          <w:pPr>
            <w:spacing w:after="0" w:line="240" w:lineRule="auto"/>
            <w:rPr>
              <w:rFonts w:ascii="Palatino Linotype" w:eastAsia="Palatino Linotype" w:hAnsi="Palatino Linotype" w:cs="Palatino Linotype"/>
              <w:b/>
            </w:rPr>
          </w:pPr>
        </w:p>
        <w:p w:rsidR="0035444F" w:rsidRDefault="0035444F">
          <w:pPr>
            <w:spacing w:after="0" w:line="240" w:lineRule="auto"/>
            <w:rPr>
              <w:rFonts w:ascii="Palatino Linotype" w:eastAsia="Palatino Linotype" w:hAnsi="Palatino Linotype" w:cs="Palatino Linotype"/>
              <w:b/>
            </w:rPr>
          </w:pPr>
        </w:p>
        <w:p w:rsidR="0035444F" w:rsidRDefault="0035444F">
          <w:pPr>
            <w:spacing w:after="0" w:line="240" w:lineRule="auto"/>
            <w:rPr>
              <w:rFonts w:ascii="Palatino Linotype" w:eastAsia="Palatino Linotype" w:hAnsi="Palatino Linotype" w:cs="Palatino Linotype"/>
              <w:b/>
            </w:rPr>
          </w:pPr>
        </w:p>
        <w:p w:rsidR="0035444F" w:rsidRDefault="0035444F">
          <w:pPr>
            <w:spacing w:after="0" w:line="240" w:lineRule="auto"/>
            <w:rPr>
              <w:rFonts w:ascii="Palatino Linotype" w:eastAsia="Palatino Linotype" w:hAnsi="Palatino Linotype" w:cs="Palatino Linotype"/>
              <w:b/>
            </w:rPr>
          </w:pPr>
        </w:p>
      </w:tc>
      <w:tc>
        <w:tcPr>
          <w:tcW w:w="3558" w:type="dxa"/>
          <w:vAlign w:val="center"/>
        </w:tcPr>
        <w:p w:rsidR="0035444F" w:rsidRDefault="003C0F32">
          <w:pPr>
            <w:spacing w:after="0" w:line="240" w:lineRule="auto"/>
            <w:ind w:right="10"/>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35444F">
      <w:trPr>
        <w:trHeight w:val="249"/>
      </w:trPr>
      <w:tc>
        <w:tcPr>
          <w:tcW w:w="254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58" w:type="dxa"/>
          <w:vAlign w:val="center"/>
        </w:tcPr>
        <w:p w:rsidR="0035444F" w:rsidRDefault="003C0F32">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5444F" w:rsidRDefault="003C0F3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-669285</wp:posOffset>
          </wp:positionH>
          <wp:positionV relativeFrom="paragraph">
            <wp:posOffset>-1515739</wp:posOffset>
          </wp:positionV>
          <wp:extent cx="7809865" cy="10165715"/>
          <wp:effectExtent l="0" t="0" r="0" b="0"/>
          <wp:wrapNone/>
          <wp:docPr id="1551778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44F" w:rsidRDefault="0035444F">
    <w:pPr>
      <w:widowControl w:val="0"/>
      <w:pBdr>
        <w:top w:val="nil"/>
        <w:left w:val="nil"/>
        <w:bottom w:val="nil"/>
        <w:right w:val="nil"/>
        <w:between w:val="nil"/>
      </w:pBdr>
      <w:spacing w:after="0" w:line="276" w:lineRule="auto"/>
      <w:rPr>
        <w:color w:val="000000"/>
      </w:rPr>
    </w:pPr>
  </w:p>
  <w:tbl>
    <w:tblPr>
      <w:tblStyle w:val="aa"/>
      <w:tblW w:w="5892" w:type="dxa"/>
      <w:tblInd w:w="3834" w:type="dxa"/>
      <w:tblLayout w:type="fixed"/>
      <w:tblLook w:val="0400" w:firstRow="0" w:lastRow="0" w:firstColumn="0" w:lastColumn="0" w:noHBand="0" w:noVBand="1"/>
    </w:tblPr>
    <w:tblGrid>
      <w:gridCol w:w="2551"/>
      <w:gridCol w:w="3341"/>
    </w:tblGrid>
    <w:tr w:rsidR="0035444F">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41" w:type="dxa"/>
          <w:vAlign w:val="center"/>
        </w:tcPr>
        <w:p w:rsidR="0035444F" w:rsidRDefault="003C0F32">
          <w:pPr>
            <w:tabs>
              <w:tab w:val="left" w:pos="3153"/>
            </w:tabs>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08049/INFOEM/IP/RR/2024</w:t>
          </w:r>
        </w:p>
      </w:tc>
    </w:tr>
    <w:tr w:rsidR="0035444F">
      <w:trPr>
        <w:trHeight w:val="228"/>
      </w:trPr>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rsidR="0035444F" w:rsidRDefault="0035444F">
          <w:pPr>
            <w:spacing w:after="0" w:line="240" w:lineRule="auto"/>
            <w:rPr>
              <w:rFonts w:ascii="Palatino Linotype" w:eastAsia="Palatino Linotype" w:hAnsi="Palatino Linotype" w:cs="Palatino Linotype"/>
              <w:b/>
            </w:rPr>
          </w:pPr>
        </w:p>
      </w:tc>
      <w:tc>
        <w:tcPr>
          <w:tcW w:w="3341" w:type="dxa"/>
          <w:vAlign w:val="center"/>
        </w:tcPr>
        <w:p w:rsidR="0035444F" w:rsidRDefault="003C0F32">
          <w:pPr>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Ayuntamiento de Naucalpan de Juárez.</w:t>
          </w:r>
        </w:p>
      </w:tc>
    </w:tr>
    <w:tr w:rsidR="0035444F">
      <w:tc>
        <w:tcPr>
          <w:tcW w:w="2551" w:type="dxa"/>
          <w:vAlign w:val="center"/>
        </w:tcPr>
        <w:p w:rsidR="0035444F" w:rsidRDefault="003C0F32">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41" w:type="dxa"/>
          <w:vAlign w:val="center"/>
        </w:tcPr>
        <w:p w:rsidR="0035444F" w:rsidRDefault="003C0F32">
          <w:pPr>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5444F" w:rsidRDefault="003C0F32">
    <w:pPr>
      <w:widowControl w:val="0"/>
      <w:pBdr>
        <w:top w:val="nil"/>
        <w:left w:val="nil"/>
        <w:bottom w:val="nil"/>
        <w:right w:val="nil"/>
        <w:between w:val="nil"/>
      </w:pBdr>
      <w:rPr>
        <w:color w:val="000000"/>
      </w:rPr>
    </w:pPr>
    <w:r>
      <w:rPr>
        <w:noProof/>
      </w:rPr>
      <w:drawing>
        <wp:anchor distT="0" distB="0" distL="0" distR="0" simplePos="0" relativeHeight="251661312" behindDoc="1" locked="0" layoutInCell="1" hidden="0" allowOverlap="1">
          <wp:simplePos x="0" y="0"/>
          <wp:positionH relativeFrom="column">
            <wp:posOffset>-713102</wp:posOffset>
          </wp:positionH>
          <wp:positionV relativeFrom="paragraph">
            <wp:posOffset>-1203322</wp:posOffset>
          </wp:positionV>
          <wp:extent cx="7809876" cy="10165823"/>
          <wp:effectExtent l="0" t="0" r="0" b="0"/>
          <wp:wrapNone/>
          <wp:docPr id="15517780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35444F" w:rsidRDefault="003C0F32">
    <w:pPr>
      <w:pBdr>
        <w:top w:val="nil"/>
        <w:left w:val="nil"/>
        <w:bottom w:val="nil"/>
        <w:right w:val="nil"/>
        <w:between w:val="nil"/>
      </w:pBdr>
      <w:tabs>
        <w:tab w:val="center" w:pos="4252"/>
        <w:tab w:val="right" w:pos="8504"/>
        <w:tab w:val="left" w:pos="2326"/>
      </w:tabs>
      <w:rPr>
        <w:color w:val="000000"/>
      </w:rPr>
    </w:pPr>
    <w:r>
      <w:rPr>
        <w:color w:val="000000"/>
      </w:rPr>
      <w:tab/>
    </w:r>
  </w:p>
  <w:p w:rsidR="0035444F" w:rsidRDefault="0035444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6A8"/>
    <w:multiLevelType w:val="multilevel"/>
    <w:tmpl w:val="CE2C11E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60E196B"/>
    <w:multiLevelType w:val="multilevel"/>
    <w:tmpl w:val="AC8C287C"/>
    <w:lvl w:ilvl="0">
      <w:start w:val="1"/>
      <w:numFmt w:val="decimal"/>
      <w:lvlText w:val="%1."/>
      <w:lvlJc w:val="left"/>
      <w:pPr>
        <w:ind w:left="2062"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641C76"/>
    <w:multiLevelType w:val="multilevel"/>
    <w:tmpl w:val="198C7D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4C4457"/>
    <w:multiLevelType w:val="multilevel"/>
    <w:tmpl w:val="1348F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D50BEE"/>
    <w:multiLevelType w:val="multilevel"/>
    <w:tmpl w:val="D2FE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4B6896"/>
    <w:multiLevelType w:val="multilevel"/>
    <w:tmpl w:val="437A1D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C41EFF"/>
    <w:multiLevelType w:val="multilevel"/>
    <w:tmpl w:val="9A6EE07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6"/>
  </w:num>
  <w:num w:numId="2">
    <w:abstractNumId w:val="5"/>
  </w:num>
  <w:num w:numId="3">
    <w:abstractNumId w:val="1"/>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44F"/>
    <w:rsid w:val="0035444F"/>
    <w:rsid w:val="003C0F32"/>
    <w:rsid w:val="00613A51"/>
    <w:rsid w:val="00A34F7B"/>
    <w:rsid w:val="00CB50CF"/>
    <w:rsid w:val="00D94A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43ECE-F4B3-4BC0-AA23-9AAD509A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C8C"/>
    <w:rPr>
      <w:rFonts w:ascii="Calibri" w:eastAsia="Calibri" w:hAnsi="Calibri" w:cs="Calibri"/>
      <w:lang w:eastAsia="es-MX"/>
    </w:rPr>
  </w:style>
  <w:style w:type="paragraph" w:styleId="Piedepgina">
    <w:name w:val="footer"/>
    <w:basedOn w:val="Normal"/>
    <w:link w:val="PiedepginaCar"/>
    <w:uiPriority w:val="99"/>
    <w:unhideWhenUsed/>
    <w:rsid w:val="00DB3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C8C"/>
    <w:rPr>
      <w:rFonts w:ascii="Calibri" w:eastAsia="Calibri" w:hAnsi="Calibri" w:cs="Calibri"/>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6C2D"/>
    <w:pPr>
      <w:spacing w:after="200" w:line="276" w:lineRule="auto"/>
      <w:ind w:left="720"/>
      <w:contextualSpacing/>
    </w:pPr>
    <w:rPr>
      <w:rFonts w:eastAsia="Times New Roman" w:cs="Times New Roman"/>
    </w:rPr>
  </w:style>
  <w:style w:type="character" w:styleId="Hipervnculo">
    <w:name w:val="Hyperlink"/>
    <w:basedOn w:val="Fuentedeprrafopredeter"/>
    <w:uiPriority w:val="99"/>
    <w:unhideWhenUsed/>
    <w:rsid w:val="001D6C2D"/>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6C2D"/>
    <w:rPr>
      <w:rFonts w:ascii="Calibri" w:eastAsia="Times New Roman" w:hAnsi="Calibri" w:cs="Times New Roman"/>
      <w:lang w:eastAsia="es-MX"/>
    </w:rPr>
  </w:style>
  <w:style w:type="paragraph" w:styleId="Listaconvietas3">
    <w:name w:val="List Bullet 3"/>
    <w:basedOn w:val="Normal"/>
    <w:uiPriority w:val="99"/>
    <w:unhideWhenUsed/>
    <w:rsid w:val="00C62FEB"/>
    <w:pPr>
      <w:tabs>
        <w:tab w:val="num" w:pos="720"/>
      </w:tabs>
      <w:spacing w:after="0" w:line="240" w:lineRule="auto"/>
      <w:ind w:left="720" w:hanging="720"/>
      <w:contextualSpacing/>
    </w:pPr>
    <w:rPr>
      <w:rFonts w:ascii="Times New Roman" w:eastAsia="Times New Roman" w:hAnsi="Times New Roman" w:cs="Times New Roman"/>
      <w:sz w:val="24"/>
      <w:szCs w:val="24"/>
      <w:lang w:val="es-ES"/>
    </w:rPr>
  </w:style>
  <w:style w:type="paragraph" w:styleId="NormalWeb">
    <w:name w:val="Normal (Web)"/>
    <w:basedOn w:val="Normal"/>
    <w:uiPriority w:val="99"/>
    <w:semiHidden/>
    <w:unhideWhenUsed/>
    <w:rsid w:val="00D82D5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04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FC6540"/>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C6540"/>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9346D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46D4"/>
    <w:rPr>
      <w:sz w:val="20"/>
      <w:szCs w:val="20"/>
    </w:rPr>
  </w:style>
  <w:style w:type="character" w:styleId="Refdenotaalpie">
    <w:name w:val="footnote reference"/>
    <w:basedOn w:val="Fuentedeprrafopredeter"/>
    <w:uiPriority w:val="99"/>
    <w:semiHidden/>
    <w:unhideWhenUsed/>
    <w:rsid w:val="009346D4"/>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A34F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naucalpan.gob.mx/gobierno-de-isaac-montoya-con-arena-hara-de-naucalpan-la-ciudad-de-la-transformacion-con-alianzas-publico-priva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9/Vnz1k/4RceCgi/XJFFWDTVAQ==">CgMxLjAyCGguZ2pkZ3hzMgloLjMwajB6bGwyDmgudWdtYW4xNWJxcWI0MgloLjNkeTZ2a20yCWguMWZvYjl0ZTIJaC4zem55c2g3OAByITFCblZENVhxcXVkb1BDcFBWdVJPYno1OGpOR3VUcU1fMg==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5188</Words>
  <Characters>28540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2025-10-17T01:00:00Z</cp:lastPrinted>
  <dcterms:created xsi:type="dcterms:W3CDTF">2025-11-14T18:56:00Z</dcterms:created>
  <dcterms:modified xsi:type="dcterms:W3CDTF">2025-11-14T18:56:00Z</dcterms:modified>
</cp:coreProperties>
</file>