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35756D" w14:textId="77777777" w:rsidR="00B977D3" w:rsidRPr="00B4157D" w:rsidRDefault="00D92C13">
      <w:pPr>
        <w:spacing w:before="240" w:after="240" w:line="360" w:lineRule="auto"/>
        <w:jc w:val="both"/>
        <w:rPr>
          <w:rFonts w:ascii="Palatino Linotype" w:eastAsia="Palatino Linotype" w:hAnsi="Palatino Linotype" w:cs="Palatino Linotype"/>
          <w:sz w:val="22"/>
          <w:szCs w:val="22"/>
        </w:rPr>
      </w:pPr>
      <w:bookmarkStart w:id="0" w:name="_heading=h.3rdcrjn" w:colFirst="0" w:colLast="0"/>
      <w:bookmarkEnd w:id="0"/>
      <w:r w:rsidRPr="00B4157D">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000E3FE0" w:rsidRPr="00B4157D">
        <w:rPr>
          <w:rFonts w:ascii="Palatino Linotype" w:eastAsia="Palatino Linotype" w:hAnsi="Palatino Linotype" w:cs="Palatino Linotype"/>
          <w:sz w:val="22"/>
          <w:szCs w:val="22"/>
        </w:rPr>
        <w:t xml:space="preserve">doce de noviembre </w:t>
      </w:r>
      <w:r w:rsidRPr="00B4157D">
        <w:rPr>
          <w:rFonts w:ascii="Palatino Linotype" w:eastAsia="Palatino Linotype" w:hAnsi="Palatino Linotype" w:cs="Palatino Linotype"/>
          <w:sz w:val="22"/>
          <w:szCs w:val="22"/>
        </w:rPr>
        <w:t xml:space="preserve">de dos mil veinticinco. </w:t>
      </w:r>
    </w:p>
    <w:p w14:paraId="33E6983C" w14:textId="0EC68862" w:rsidR="00B977D3" w:rsidRPr="00B4157D" w:rsidRDefault="00D92C13">
      <w:pPr>
        <w:tabs>
          <w:tab w:val="left" w:pos="5812"/>
        </w:tabs>
        <w:spacing w:before="240" w:after="240" w:line="360" w:lineRule="auto"/>
        <w:jc w:val="both"/>
        <w:rPr>
          <w:rFonts w:ascii="Palatino Linotype" w:eastAsia="Palatino Linotype" w:hAnsi="Palatino Linotype" w:cs="Palatino Linotype"/>
          <w:sz w:val="22"/>
          <w:szCs w:val="22"/>
        </w:rPr>
      </w:pPr>
      <w:bookmarkStart w:id="1" w:name="_heading=h.daj3j2xo6q66" w:colFirst="0" w:colLast="0"/>
      <w:bookmarkEnd w:id="1"/>
      <w:r w:rsidRPr="00B4157D">
        <w:rPr>
          <w:rFonts w:ascii="Palatino Linotype" w:eastAsia="Palatino Linotype" w:hAnsi="Palatino Linotype" w:cs="Palatino Linotype"/>
          <w:b/>
          <w:sz w:val="22"/>
          <w:szCs w:val="22"/>
        </w:rPr>
        <w:t>VISTO</w:t>
      </w:r>
      <w:r w:rsidRPr="00B4157D">
        <w:rPr>
          <w:rFonts w:ascii="Palatino Linotype" w:eastAsia="Palatino Linotype" w:hAnsi="Palatino Linotype" w:cs="Palatino Linotype"/>
          <w:sz w:val="22"/>
          <w:szCs w:val="22"/>
        </w:rPr>
        <w:t xml:space="preserve"> el expediente formado con motivo del recurso de revisión </w:t>
      </w:r>
      <w:r w:rsidRPr="00B4157D">
        <w:rPr>
          <w:rFonts w:ascii="Palatino Linotype" w:eastAsia="Palatino Linotype" w:hAnsi="Palatino Linotype" w:cs="Palatino Linotype"/>
          <w:b/>
          <w:sz w:val="22"/>
          <w:szCs w:val="22"/>
        </w:rPr>
        <w:t>0</w:t>
      </w:r>
      <w:r w:rsidR="000E3FE0" w:rsidRPr="00B4157D">
        <w:rPr>
          <w:rFonts w:ascii="Palatino Linotype" w:eastAsia="Palatino Linotype" w:hAnsi="Palatino Linotype" w:cs="Palatino Linotype"/>
          <w:b/>
          <w:sz w:val="22"/>
          <w:szCs w:val="22"/>
        </w:rPr>
        <w:t>850</w:t>
      </w:r>
      <w:r w:rsidRPr="00B4157D">
        <w:rPr>
          <w:rFonts w:ascii="Palatino Linotype" w:eastAsia="Palatino Linotype" w:hAnsi="Palatino Linotype" w:cs="Palatino Linotype"/>
          <w:b/>
          <w:sz w:val="22"/>
          <w:szCs w:val="22"/>
        </w:rPr>
        <w:t>4/INFOEM/IP/RR/2025</w:t>
      </w:r>
      <w:r w:rsidRPr="00B4157D">
        <w:rPr>
          <w:rFonts w:ascii="Palatino Linotype" w:eastAsia="Palatino Linotype" w:hAnsi="Palatino Linotype" w:cs="Palatino Linotype"/>
          <w:sz w:val="22"/>
          <w:szCs w:val="22"/>
        </w:rPr>
        <w:t>, interpuesto por</w:t>
      </w:r>
      <w:r w:rsidRPr="00B4157D">
        <w:rPr>
          <w:rFonts w:ascii="Palatino Linotype" w:eastAsia="Palatino Linotype" w:hAnsi="Palatino Linotype" w:cs="Palatino Linotype"/>
          <w:b/>
          <w:sz w:val="22"/>
          <w:szCs w:val="22"/>
        </w:rPr>
        <w:t xml:space="preserve"> </w:t>
      </w:r>
      <w:r w:rsidR="00C55C97" w:rsidRPr="00C55C97">
        <w:rPr>
          <w:rFonts w:ascii="Palatino Linotype" w:eastAsia="Palatino Linotype" w:hAnsi="Palatino Linotype" w:cs="Palatino Linotype"/>
          <w:b/>
          <w:sz w:val="22"/>
          <w:szCs w:val="22"/>
        </w:rPr>
        <w:t>XXXX XXXXXXX XXXXXX</w:t>
      </w:r>
      <w:r w:rsidRPr="00C55C97">
        <w:rPr>
          <w:rFonts w:ascii="Palatino Linotype" w:eastAsia="Palatino Linotype" w:hAnsi="Palatino Linotype" w:cs="Palatino Linotype"/>
          <w:b/>
          <w:sz w:val="22"/>
          <w:szCs w:val="22"/>
        </w:rPr>
        <w:t>,</w:t>
      </w:r>
      <w:bookmarkStart w:id="2" w:name="_GoBack"/>
      <w:bookmarkEnd w:id="2"/>
      <w:r w:rsidRPr="00B4157D">
        <w:rPr>
          <w:rFonts w:ascii="Palatino Linotype" w:eastAsia="Palatino Linotype" w:hAnsi="Palatino Linotype" w:cs="Palatino Linotype"/>
          <w:sz w:val="22"/>
          <w:szCs w:val="22"/>
        </w:rPr>
        <w:t xml:space="preserve"> en lo sucesivo</w:t>
      </w:r>
      <w:r w:rsidRPr="00B4157D">
        <w:rPr>
          <w:rFonts w:ascii="Palatino Linotype" w:eastAsia="Palatino Linotype" w:hAnsi="Palatino Linotype" w:cs="Palatino Linotype"/>
          <w:b/>
          <w:sz w:val="22"/>
          <w:szCs w:val="22"/>
        </w:rPr>
        <w:t xml:space="preserve"> </w:t>
      </w:r>
      <w:r w:rsidRPr="00B4157D">
        <w:rPr>
          <w:rFonts w:ascii="Palatino Linotype" w:eastAsia="Palatino Linotype" w:hAnsi="Palatino Linotype" w:cs="Palatino Linotype"/>
          <w:sz w:val="22"/>
          <w:szCs w:val="22"/>
        </w:rPr>
        <w:t xml:space="preserve">la parte </w:t>
      </w:r>
      <w:r w:rsidRPr="00B4157D">
        <w:rPr>
          <w:rFonts w:ascii="Palatino Linotype" w:eastAsia="Palatino Linotype" w:hAnsi="Palatino Linotype" w:cs="Palatino Linotype"/>
          <w:b/>
          <w:sz w:val="22"/>
          <w:szCs w:val="22"/>
        </w:rPr>
        <w:t>Recurrente,</w:t>
      </w:r>
      <w:r w:rsidRPr="00B4157D">
        <w:rPr>
          <w:rFonts w:ascii="Palatino Linotype" w:eastAsia="Palatino Linotype" w:hAnsi="Palatino Linotype" w:cs="Palatino Linotype"/>
          <w:sz w:val="22"/>
          <w:szCs w:val="22"/>
        </w:rPr>
        <w:t xml:space="preserve"> en contra de la respuesta a la solicitud de información con número de folio</w:t>
      </w:r>
      <w:r w:rsidRPr="00B4157D">
        <w:rPr>
          <w:rFonts w:ascii="Palatino Linotype" w:eastAsia="Palatino Linotype" w:hAnsi="Palatino Linotype" w:cs="Palatino Linotype"/>
          <w:b/>
          <w:sz w:val="22"/>
          <w:szCs w:val="22"/>
        </w:rPr>
        <w:t xml:space="preserve"> </w:t>
      </w:r>
      <w:r w:rsidR="000E3FE0" w:rsidRPr="00B4157D">
        <w:rPr>
          <w:rFonts w:ascii="Palatino Linotype" w:eastAsia="Palatino Linotype" w:hAnsi="Palatino Linotype" w:cs="Palatino Linotype"/>
          <w:b/>
          <w:sz w:val="22"/>
          <w:szCs w:val="22"/>
        </w:rPr>
        <w:t>00003/IMCUFIDECHICOLO/IP/2025</w:t>
      </w:r>
      <w:r w:rsidRPr="00B4157D">
        <w:rPr>
          <w:rFonts w:ascii="Palatino Linotype" w:eastAsia="Palatino Linotype" w:hAnsi="Palatino Linotype" w:cs="Palatino Linotype"/>
          <w:b/>
          <w:sz w:val="22"/>
          <w:szCs w:val="22"/>
        </w:rPr>
        <w:t xml:space="preserve">, </w:t>
      </w:r>
      <w:r w:rsidRPr="00B4157D">
        <w:rPr>
          <w:rFonts w:ascii="Palatino Linotype" w:eastAsia="Palatino Linotype" w:hAnsi="Palatino Linotype" w:cs="Palatino Linotype"/>
          <w:sz w:val="22"/>
          <w:szCs w:val="22"/>
        </w:rPr>
        <w:t xml:space="preserve">por parte de la </w:t>
      </w:r>
      <w:r w:rsidR="000E3FE0" w:rsidRPr="00B4157D">
        <w:rPr>
          <w:rFonts w:ascii="Palatino Linotype" w:eastAsia="Palatino Linotype" w:hAnsi="Palatino Linotype" w:cs="Palatino Linotype"/>
          <w:b/>
          <w:sz w:val="22"/>
          <w:szCs w:val="22"/>
        </w:rPr>
        <w:t>Instituto Municipal de Cultura Física y Deporte de Chicoloapan</w:t>
      </w:r>
      <w:r w:rsidRPr="00B4157D">
        <w:rPr>
          <w:rFonts w:ascii="Palatino Linotype" w:eastAsia="Palatino Linotype" w:hAnsi="Palatino Linotype" w:cs="Palatino Linotype"/>
          <w:b/>
          <w:sz w:val="22"/>
          <w:szCs w:val="22"/>
        </w:rPr>
        <w:t xml:space="preserve">, </w:t>
      </w:r>
      <w:r w:rsidRPr="00B4157D">
        <w:rPr>
          <w:rFonts w:ascii="Palatino Linotype" w:eastAsia="Palatino Linotype" w:hAnsi="Palatino Linotype" w:cs="Palatino Linotype"/>
          <w:sz w:val="22"/>
          <w:szCs w:val="22"/>
        </w:rPr>
        <w:t xml:space="preserve">en lo sucesivo el </w:t>
      </w:r>
      <w:r w:rsidRPr="00B4157D">
        <w:rPr>
          <w:rFonts w:ascii="Palatino Linotype" w:eastAsia="Palatino Linotype" w:hAnsi="Palatino Linotype" w:cs="Palatino Linotype"/>
          <w:b/>
          <w:sz w:val="22"/>
          <w:szCs w:val="22"/>
        </w:rPr>
        <w:t xml:space="preserve">Sujeto Obligado, </w:t>
      </w:r>
      <w:r w:rsidRPr="00B4157D">
        <w:rPr>
          <w:rFonts w:ascii="Palatino Linotype" w:eastAsia="Palatino Linotype" w:hAnsi="Palatino Linotype" w:cs="Palatino Linotype"/>
          <w:sz w:val="22"/>
          <w:szCs w:val="22"/>
        </w:rPr>
        <w:t xml:space="preserve">se procede a dictar la presente resolución con base en los siguientes: </w:t>
      </w:r>
    </w:p>
    <w:p w14:paraId="306B1422" w14:textId="77777777" w:rsidR="00B977D3" w:rsidRPr="00B4157D" w:rsidRDefault="00D92C13">
      <w:pPr>
        <w:spacing w:before="240" w:after="240" w:line="360" w:lineRule="auto"/>
        <w:jc w:val="center"/>
        <w:rPr>
          <w:rFonts w:ascii="Palatino Linotype" w:eastAsia="Palatino Linotype" w:hAnsi="Palatino Linotype" w:cs="Palatino Linotype"/>
          <w:b/>
          <w:sz w:val="22"/>
          <w:szCs w:val="22"/>
        </w:rPr>
      </w:pPr>
      <w:r w:rsidRPr="00B4157D">
        <w:rPr>
          <w:rFonts w:ascii="Palatino Linotype" w:eastAsia="Palatino Linotype" w:hAnsi="Palatino Linotype" w:cs="Palatino Linotype"/>
          <w:b/>
          <w:sz w:val="22"/>
          <w:szCs w:val="22"/>
        </w:rPr>
        <w:t>I. A N T E C E D E N T E S</w:t>
      </w:r>
    </w:p>
    <w:p w14:paraId="16F02A21" w14:textId="77777777" w:rsidR="00B977D3" w:rsidRPr="00B4157D" w:rsidRDefault="00D92C13">
      <w:pPr>
        <w:spacing w:before="240" w:after="240" w:line="360" w:lineRule="auto"/>
        <w:jc w:val="both"/>
        <w:rPr>
          <w:rFonts w:ascii="Palatino Linotype" w:eastAsia="Palatino Linotype" w:hAnsi="Palatino Linotype" w:cs="Palatino Linotype"/>
          <w:sz w:val="22"/>
          <w:szCs w:val="22"/>
        </w:rPr>
      </w:pPr>
      <w:bookmarkStart w:id="3" w:name="_heading=h.gjdgxs" w:colFirst="0" w:colLast="0"/>
      <w:bookmarkEnd w:id="3"/>
      <w:r w:rsidRPr="00B4157D">
        <w:rPr>
          <w:rFonts w:ascii="Palatino Linotype" w:eastAsia="Palatino Linotype" w:hAnsi="Palatino Linotype" w:cs="Palatino Linotype"/>
          <w:b/>
          <w:sz w:val="22"/>
          <w:szCs w:val="22"/>
        </w:rPr>
        <w:t>1. Solicitud de acceso a la información.</w:t>
      </w:r>
      <w:r w:rsidRPr="00B4157D">
        <w:rPr>
          <w:rFonts w:ascii="Palatino Linotype" w:eastAsia="Palatino Linotype" w:hAnsi="Palatino Linotype" w:cs="Palatino Linotype"/>
          <w:sz w:val="22"/>
          <w:szCs w:val="22"/>
        </w:rPr>
        <w:t xml:space="preserve"> El </w:t>
      </w:r>
      <w:r w:rsidR="000E3FE0" w:rsidRPr="00B4157D">
        <w:rPr>
          <w:rFonts w:ascii="Palatino Linotype" w:eastAsia="Palatino Linotype" w:hAnsi="Palatino Linotype" w:cs="Palatino Linotype"/>
          <w:b/>
          <w:sz w:val="22"/>
          <w:szCs w:val="22"/>
        </w:rPr>
        <w:t>veinte de junio</w:t>
      </w:r>
      <w:r w:rsidRPr="00B4157D">
        <w:rPr>
          <w:rFonts w:ascii="Palatino Linotype" w:eastAsia="Palatino Linotype" w:hAnsi="Palatino Linotype" w:cs="Palatino Linotype"/>
          <w:b/>
          <w:sz w:val="22"/>
          <w:szCs w:val="22"/>
        </w:rPr>
        <w:t xml:space="preserve"> de dos mil veinticinco,</w:t>
      </w:r>
      <w:r w:rsidRPr="00B4157D">
        <w:rPr>
          <w:rFonts w:ascii="Palatino Linotype" w:eastAsia="Palatino Linotype" w:hAnsi="Palatino Linotype" w:cs="Palatino Linotype"/>
          <w:sz w:val="22"/>
          <w:szCs w:val="22"/>
        </w:rPr>
        <w:t xml:space="preserve"> la parte </w:t>
      </w:r>
      <w:r w:rsidRPr="00B4157D">
        <w:rPr>
          <w:rFonts w:ascii="Palatino Linotype" w:eastAsia="Palatino Linotype" w:hAnsi="Palatino Linotype" w:cs="Palatino Linotype"/>
          <w:b/>
          <w:sz w:val="22"/>
          <w:szCs w:val="22"/>
        </w:rPr>
        <w:t xml:space="preserve">Recurrente </w:t>
      </w:r>
      <w:r w:rsidRPr="00B4157D">
        <w:rPr>
          <w:rFonts w:ascii="Palatino Linotype" w:eastAsia="Palatino Linotype" w:hAnsi="Palatino Linotype" w:cs="Palatino Linotype"/>
          <w:sz w:val="22"/>
          <w:szCs w:val="22"/>
        </w:rPr>
        <w:t xml:space="preserve">presentó la solicitud de acceso a la información pública ante el </w:t>
      </w:r>
      <w:r w:rsidRPr="00B4157D">
        <w:rPr>
          <w:rFonts w:ascii="Palatino Linotype" w:eastAsia="Palatino Linotype" w:hAnsi="Palatino Linotype" w:cs="Palatino Linotype"/>
          <w:b/>
          <w:sz w:val="22"/>
          <w:szCs w:val="22"/>
        </w:rPr>
        <w:t>Sujeto Obligado</w:t>
      </w:r>
      <w:r w:rsidRPr="00B4157D">
        <w:rPr>
          <w:rFonts w:ascii="Palatino Linotype" w:eastAsia="Palatino Linotype" w:hAnsi="Palatino Linotype" w:cs="Palatino Linotype"/>
          <w:sz w:val="22"/>
          <w:szCs w:val="22"/>
        </w:rPr>
        <w:t xml:space="preserve">, a través del Sistema de Acceso a la Información Mexiquense, en lo subsecuente el </w:t>
      </w:r>
      <w:r w:rsidRPr="00B4157D">
        <w:rPr>
          <w:rFonts w:ascii="Palatino Linotype" w:eastAsia="Palatino Linotype" w:hAnsi="Palatino Linotype" w:cs="Palatino Linotype"/>
          <w:b/>
          <w:sz w:val="22"/>
          <w:szCs w:val="22"/>
        </w:rPr>
        <w:t>SAIMEX,</w:t>
      </w:r>
      <w:r w:rsidRPr="00B4157D">
        <w:rPr>
          <w:rFonts w:ascii="Palatino Linotype" w:eastAsia="Palatino Linotype" w:hAnsi="Palatino Linotype" w:cs="Palatino Linotype"/>
          <w:sz w:val="22"/>
          <w:szCs w:val="22"/>
        </w:rPr>
        <w:t xml:space="preserve"> mediante la cual requirió lo siguiente:</w:t>
      </w:r>
    </w:p>
    <w:p w14:paraId="168CFC4C" w14:textId="77777777" w:rsidR="00B977D3" w:rsidRPr="00B4157D" w:rsidRDefault="00D92C13">
      <w:pPr>
        <w:spacing w:before="120" w:after="120"/>
        <w:ind w:left="851" w:right="902"/>
        <w:jc w:val="both"/>
        <w:rPr>
          <w:rFonts w:ascii="Palatino Linotype" w:eastAsia="Palatino Linotype" w:hAnsi="Palatino Linotype" w:cs="Palatino Linotype"/>
          <w:b/>
          <w:i/>
          <w:sz w:val="22"/>
          <w:szCs w:val="22"/>
        </w:rPr>
      </w:pPr>
      <w:bookmarkStart w:id="4" w:name="_heading=h.mn9zncrv1bzx" w:colFirst="0" w:colLast="0"/>
      <w:bookmarkEnd w:id="4"/>
      <w:r w:rsidRPr="00B4157D">
        <w:rPr>
          <w:rFonts w:ascii="Palatino Linotype" w:eastAsia="Palatino Linotype" w:hAnsi="Palatino Linotype" w:cs="Palatino Linotype"/>
          <w:i/>
          <w:sz w:val="22"/>
          <w:szCs w:val="22"/>
        </w:rPr>
        <w:t xml:space="preserve"> “</w:t>
      </w:r>
      <w:r w:rsidR="000E3FE0" w:rsidRPr="00B4157D">
        <w:rPr>
          <w:rFonts w:ascii="Palatino Linotype" w:eastAsia="Palatino Linotype" w:hAnsi="Palatino Linotype" w:cs="Palatino Linotype"/>
          <w:i/>
          <w:sz w:val="22"/>
          <w:szCs w:val="22"/>
        </w:rPr>
        <w:t xml:space="preserve">Se le solicita al gobierno del municipio de Chicoloapan, Estado de México, a través del INCUFIDE, proporcione por este medio el convenio que se tiene con el club de futbol Halcones Negros para ocupar el inmueble denominado Deportivo San José; o en su defecto proporcionar copia simple de la documentación que acredita el permiso para poder utilizar el inmueble antes </w:t>
      </w:r>
      <w:proofErr w:type="spellStart"/>
      <w:r w:rsidR="000E3FE0" w:rsidRPr="00B4157D">
        <w:rPr>
          <w:rFonts w:ascii="Palatino Linotype" w:eastAsia="Palatino Linotype" w:hAnsi="Palatino Linotype" w:cs="Palatino Linotype"/>
          <w:i/>
          <w:sz w:val="22"/>
          <w:szCs w:val="22"/>
        </w:rPr>
        <w:t>menciondo</w:t>
      </w:r>
      <w:proofErr w:type="spellEnd"/>
      <w:r w:rsidR="000E3FE0" w:rsidRPr="00B4157D">
        <w:rPr>
          <w:rFonts w:ascii="Palatino Linotype" w:eastAsia="Palatino Linotype" w:hAnsi="Palatino Linotype" w:cs="Palatino Linotype"/>
          <w:i/>
          <w:sz w:val="22"/>
          <w:szCs w:val="22"/>
        </w:rPr>
        <w:t>.</w:t>
      </w:r>
      <w:r w:rsidRPr="00B4157D">
        <w:rPr>
          <w:rFonts w:ascii="Palatino Linotype" w:eastAsia="Palatino Linotype" w:hAnsi="Palatino Linotype" w:cs="Palatino Linotype"/>
          <w:b/>
          <w:i/>
          <w:sz w:val="22"/>
          <w:szCs w:val="22"/>
        </w:rPr>
        <w:t>”</w:t>
      </w:r>
      <w:r w:rsidRPr="00B4157D">
        <w:rPr>
          <w:rFonts w:ascii="Palatino Linotype" w:eastAsia="Palatino Linotype" w:hAnsi="Palatino Linotype" w:cs="Palatino Linotype"/>
          <w:i/>
          <w:sz w:val="22"/>
          <w:szCs w:val="22"/>
        </w:rPr>
        <w:t xml:space="preserve"> (sic) </w:t>
      </w:r>
    </w:p>
    <w:p w14:paraId="39B7ADF3" w14:textId="77777777" w:rsidR="00B977D3" w:rsidRPr="00B4157D" w:rsidRDefault="00D92C13">
      <w:pPr>
        <w:spacing w:before="240" w:after="240" w:line="360" w:lineRule="auto"/>
        <w:jc w:val="both"/>
        <w:rPr>
          <w:rFonts w:ascii="Palatino Linotype" w:eastAsia="Palatino Linotype" w:hAnsi="Palatino Linotype" w:cs="Palatino Linotype"/>
          <w:sz w:val="22"/>
          <w:szCs w:val="22"/>
        </w:rPr>
      </w:pPr>
      <w:bookmarkStart w:id="5" w:name="_heading=h.3dy6vkm" w:colFirst="0" w:colLast="0"/>
      <w:bookmarkEnd w:id="5"/>
      <w:r w:rsidRPr="00B4157D">
        <w:rPr>
          <w:rFonts w:ascii="Palatino Linotype" w:eastAsia="Palatino Linotype" w:hAnsi="Palatino Linotype" w:cs="Palatino Linotype"/>
          <w:b/>
          <w:sz w:val="22"/>
          <w:szCs w:val="22"/>
        </w:rPr>
        <w:t>Modalidad de Entrega:</w:t>
      </w:r>
      <w:r w:rsidRPr="00B4157D">
        <w:rPr>
          <w:rFonts w:ascii="Palatino Linotype" w:eastAsia="Palatino Linotype" w:hAnsi="Palatino Linotype" w:cs="Palatino Linotype"/>
          <w:sz w:val="22"/>
          <w:szCs w:val="22"/>
        </w:rPr>
        <w:t xml:space="preserve"> a través del</w:t>
      </w:r>
      <w:r w:rsidRPr="00B4157D">
        <w:rPr>
          <w:rFonts w:ascii="Palatino Linotype" w:eastAsia="Palatino Linotype" w:hAnsi="Palatino Linotype" w:cs="Palatino Linotype"/>
          <w:b/>
          <w:sz w:val="22"/>
          <w:szCs w:val="22"/>
        </w:rPr>
        <w:t xml:space="preserve"> SAIMEX.</w:t>
      </w:r>
    </w:p>
    <w:p w14:paraId="569921E9" w14:textId="77777777" w:rsidR="00B977D3" w:rsidRPr="00B4157D" w:rsidRDefault="00D92C13" w:rsidP="000E3FE0">
      <w:pPr>
        <w:pBdr>
          <w:top w:val="nil"/>
          <w:left w:val="nil"/>
          <w:bottom w:val="nil"/>
          <w:right w:val="nil"/>
          <w:between w:val="nil"/>
        </w:pBdr>
        <w:tabs>
          <w:tab w:val="left" w:pos="3119"/>
        </w:tabs>
        <w:spacing w:before="240" w:after="240" w:line="360" w:lineRule="auto"/>
        <w:jc w:val="both"/>
        <w:rPr>
          <w:rFonts w:ascii="Palatino Linotype" w:eastAsia="Palatino Linotype" w:hAnsi="Palatino Linotype" w:cs="Palatino Linotype"/>
          <w:sz w:val="22"/>
          <w:szCs w:val="22"/>
        </w:rPr>
      </w:pPr>
      <w:r w:rsidRPr="00B4157D">
        <w:rPr>
          <w:rFonts w:ascii="Palatino Linotype" w:eastAsia="Palatino Linotype" w:hAnsi="Palatino Linotype" w:cs="Palatino Linotype"/>
          <w:b/>
          <w:sz w:val="22"/>
          <w:szCs w:val="22"/>
        </w:rPr>
        <w:t xml:space="preserve">2. Respuesta. </w:t>
      </w:r>
      <w:r w:rsidRPr="00B4157D">
        <w:rPr>
          <w:rFonts w:ascii="Palatino Linotype" w:eastAsia="Palatino Linotype" w:hAnsi="Palatino Linotype" w:cs="Palatino Linotype"/>
          <w:sz w:val="22"/>
          <w:szCs w:val="22"/>
        </w:rPr>
        <w:t xml:space="preserve">El </w:t>
      </w:r>
      <w:r w:rsidR="000E3FE0" w:rsidRPr="00B4157D">
        <w:rPr>
          <w:rFonts w:ascii="Palatino Linotype" w:eastAsia="Palatino Linotype" w:hAnsi="Palatino Linotype" w:cs="Palatino Linotype"/>
          <w:b/>
          <w:sz w:val="22"/>
          <w:szCs w:val="22"/>
        </w:rPr>
        <w:t>diez de julio</w:t>
      </w:r>
      <w:r w:rsidRPr="00B4157D">
        <w:rPr>
          <w:rFonts w:ascii="Palatino Linotype" w:eastAsia="Palatino Linotype" w:hAnsi="Palatino Linotype" w:cs="Palatino Linotype"/>
          <w:b/>
          <w:sz w:val="22"/>
          <w:szCs w:val="22"/>
        </w:rPr>
        <w:t xml:space="preserve"> de dos mil veinticinco,</w:t>
      </w:r>
      <w:r w:rsidRPr="00B4157D">
        <w:rPr>
          <w:rFonts w:ascii="Palatino Linotype" w:eastAsia="Palatino Linotype" w:hAnsi="Palatino Linotype" w:cs="Palatino Linotype"/>
          <w:sz w:val="22"/>
          <w:szCs w:val="22"/>
        </w:rPr>
        <w:t xml:space="preserve"> el </w:t>
      </w:r>
      <w:r w:rsidRPr="00B4157D">
        <w:rPr>
          <w:rFonts w:ascii="Palatino Linotype" w:eastAsia="Palatino Linotype" w:hAnsi="Palatino Linotype" w:cs="Palatino Linotype"/>
          <w:b/>
          <w:sz w:val="22"/>
          <w:szCs w:val="22"/>
        </w:rPr>
        <w:t xml:space="preserve">Sujeto Obligado </w:t>
      </w:r>
      <w:r w:rsidRPr="00B4157D">
        <w:rPr>
          <w:rFonts w:ascii="Palatino Linotype" w:eastAsia="Palatino Linotype" w:hAnsi="Palatino Linotype" w:cs="Palatino Linotype"/>
          <w:sz w:val="22"/>
          <w:szCs w:val="22"/>
        </w:rPr>
        <w:t xml:space="preserve">envió su respuesta a la solicitud de acceso a la información a través del SAIMEX, sustancialmente en los términos siguientes:   </w:t>
      </w:r>
    </w:p>
    <w:p w14:paraId="4BB6D14B" w14:textId="77777777" w:rsidR="00B977D3" w:rsidRPr="00B4157D" w:rsidRDefault="00D92C13">
      <w:pPr>
        <w:spacing w:before="240" w:after="240"/>
        <w:ind w:left="851" w:right="902"/>
        <w:jc w:val="both"/>
        <w:rPr>
          <w:rFonts w:ascii="Palatino Linotype" w:eastAsia="Palatino Linotype" w:hAnsi="Palatino Linotype" w:cs="Palatino Linotype"/>
          <w:i/>
          <w:sz w:val="22"/>
          <w:szCs w:val="22"/>
        </w:rPr>
      </w:pPr>
      <w:r w:rsidRPr="00B4157D">
        <w:rPr>
          <w:rFonts w:ascii="Palatino Linotype" w:eastAsia="Palatino Linotype" w:hAnsi="Palatino Linotype" w:cs="Palatino Linotype"/>
          <w:i/>
          <w:sz w:val="22"/>
          <w:szCs w:val="22"/>
        </w:rPr>
        <w:lastRenderedPageBreak/>
        <w:t>“…</w:t>
      </w:r>
      <w:r w:rsidR="000E3FE0" w:rsidRPr="00B4157D">
        <w:rPr>
          <w:rFonts w:ascii="Palatino Linotype" w:eastAsia="Palatino Linotype" w:hAnsi="Palatino Linotype" w:cs="Palatino Linotype"/>
          <w:i/>
          <w:sz w:val="22"/>
          <w:szCs w:val="22"/>
        </w:rPr>
        <w:t>En contestación a la solicitud con número de folio 00003/IMCUFIDECHICOLO/IP/2025, recibida por el medio el sistema de acceso a la información mexiquense (SAIMEX), que a la letra dice: se le solicita al gobierno del municipio de Chicoloapan, Estado de México, a través del IMCUFIDE Chicoloapan, proporcione por este el convenio que se tiene con el club de futbol Halcones Negros para ocupar el inmueble denominado deportivo san José; o en su defecto proporcionar copia simple de la documentación que acredita el permiso para poder utilizar el inmueble antes mencionado. me permito comunicarle a usted lo siguiente: PRIMERO. – En el mes de enero del presente año, el presidente de equipo Halcones Negros solicito permiso para poder entrenar en las canchas de futbol del deportivo san José por ser un equipo de cuarta división la cancha cubre con las características profesionales que se requiere, así mismo anexo copia simple del premiso que se brindó para fomentar el deporte en el municipio. Sin otro particular por el momento, quedo de usted. ATENTAMENTE LIC. ANTONIO FERNANDO LEYVA GONZALEZ DIRECTOR DE ADMINISTRACION DEL INSTITUTO MUNICIPAL DE CULTURA FISICA Y DEPORTE</w:t>
      </w:r>
      <w:r w:rsidRPr="00B4157D">
        <w:rPr>
          <w:rFonts w:ascii="Palatino Linotype" w:eastAsia="Palatino Linotype" w:hAnsi="Palatino Linotype" w:cs="Palatino Linotype"/>
          <w:i/>
          <w:sz w:val="22"/>
          <w:szCs w:val="22"/>
        </w:rPr>
        <w:t>...” (sic)</w:t>
      </w:r>
    </w:p>
    <w:p w14:paraId="3F88086E" w14:textId="77777777" w:rsidR="000E3FE0" w:rsidRPr="00B4157D" w:rsidRDefault="00D92C13">
      <w:pPr>
        <w:spacing w:before="240" w:after="240" w:line="360" w:lineRule="auto"/>
        <w:ind w:right="49"/>
        <w:jc w:val="both"/>
        <w:rPr>
          <w:rFonts w:ascii="Palatino Linotype" w:eastAsia="Palatino Linotype" w:hAnsi="Palatino Linotype" w:cs="Palatino Linotype"/>
          <w:sz w:val="22"/>
          <w:szCs w:val="22"/>
        </w:rPr>
      </w:pPr>
      <w:r w:rsidRPr="00B4157D">
        <w:rPr>
          <w:rFonts w:ascii="Palatino Linotype" w:eastAsia="Palatino Linotype" w:hAnsi="Palatino Linotype" w:cs="Palatino Linotype"/>
          <w:sz w:val="22"/>
          <w:szCs w:val="22"/>
        </w:rPr>
        <w:t xml:space="preserve">El </w:t>
      </w:r>
      <w:r w:rsidRPr="00B4157D">
        <w:rPr>
          <w:rFonts w:ascii="Palatino Linotype" w:eastAsia="Palatino Linotype" w:hAnsi="Palatino Linotype" w:cs="Palatino Linotype"/>
          <w:b/>
          <w:sz w:val="22"/>
          <w:szCs w:val="22"/>
        </w:rPr>
        <w:t xml:space="preserve">Sujeto Obligado </w:t>
      </w:r>
      <w:r w:rsidR="000E3FE0" w:rsidRPr="00B4157D">
        <w:rPr>
          <w:rFonts w:ascii="Palatino Linotype" w:eastAsia="Palatino Linotype" w:hAnsi="Palatino Linotype" w:cs="Palatino Linotype"/>
          <w:sz w:val="22"/>
          <w:szCs w:val="22"/>
        </w:rPr>
        <w:t xml:space="preserve">no </w:t>
      </w:r>
      <w:r w:rsidRPr="00B4157D">
        <w:rPr>
          <w:rFonts w:ascii="Palatino Linotype" w:eastAsia="Palatino Linotype" w:hAnsi="Palatino Linotype" w:cs="Palatino Linotype"/>
          <w:sz w:val="22"/>
          <w:szCs w:val="22"/>
        </w:rPr>
        <w:t xml:space="preserve">adjuntó </w:t>
      </w:r>
      <w:r w:rsidR="000E3FE0" w:rsidRPr="00B4157D">
        <w:rPr>
          <w:rFonts w:ascii="Palatino Linotype" w:eastAsia="Palatino Linotype" w:hAnsi="Palatino Linotype" w:cs="Palatino Linotype"/>
          <w:sz w:val="22"/>
          <w:szCs w:val="22"/>
        </w:rPr>
        <w:t>archivos.</w:t>
      </w:r>
    </w:p>
    <w:p w14:paraId="60B84A29" w14:textId="77777777" w:rsidR="00B977D3" w:rsidRPr="00B4157D" w:rsidRDefault="000E3FE0">
      <w:pPr>
        <w:spacing w:before="240" w:after="240" w:line="360" w:lineRule="auto"/>
        <w:ind w:right="49"/>
        <w:jc w:val="both"/>
        <w:rPr>
          <w:rFonts w:ascii="Palatino Linotype" w:eastAsia="Palatino Linotype" w:hAnsi="Palatino Linotype" w:cs="Palatino Linotype"/>
          <w:sz w:val="22"/>
          <w:szCs w:val="22"/>
        </w:rPr>
      </w:pPr>
      <w:r w:rsidRPr="00B4157D">
        <w:rPr>
          <w:rFonts w:ascii="Palatino Linotype" w:eastAsia="Palatino Linotype" w:hAnsi="Palatino Linotype" w:cs="Palatino Linotype"/>
          <w:b/>
          <w:sz w:val="22"/>
          <w:szCs w:val="22"/>
        </w:rPr>
        <w:t>3</w:t>
      </w:r>
      <w:r w:rsidR="00D92C13" w:rsidRPr="00B4157D">
        <w:rPr>
          <w:rFonts w:ascii="Palatino Linotype" w:eastAsia="Palatino Linotype" w:hAnsi="Palatino Linotype" w:cs="Palatino Linotype"/>
          <w:b/>
          <w:sz w:val="22"/>
          <w:szCs w:val="22"/>
        </w:rPr>
        <w:t xml:space="preserve">. Interposición del recurso de revisión. </w:t>
      </w:r>
      <w:r w:rsidR="00D92C13" w:rsidRPr="00B4157D">
        <w:rPr>
          <w:rFonts w:ascii="Palatino Linotype" w:eastAsia="Palatino Linotype" w:hAnsi="Palatino Linotype" w:cs="Palatino Linotype"/>
          <w:sz w:val="22"/>
          <w:szCs w:val="22"/>
        </w:rPr>
        <w:t xml:space="preserve">Inconforme con los términos de la respuesta emitida por parte del </w:t>
      </w:r>
      <w:r w:rsidR="00D92C13" w:rsidRPr="00B4157D">
        <w:rPr>
          <w:rFonts w:ascii="Palatino Linotype" w:eastAsia="Palatino Linotype" w:hAnsi="Palatino Linotype" w:cs="Palatino Linotype"/>
          <w:b/>
          <w:sz w:val="22"/>
          <w:szCs w:val="22"/>
        </w:rPr>
        <w:t>Sujeto Obligado</w:t>
      </w:r>
      <w:r w:rsidR="00D92C13" w:rsidRPr="00B4157D">
        <w:rPr>
          <w:rFonts w:ascii="Palatino Linotype" w:eastAsia="Palatino Linotype" w:hAnsi="Palatino Linotype" w:cs="Palatino Linotype"/>
          <w:sz w:val="22"/>
          <w:szCs w:val="22"/>
        </w:rPr>
        <w:t xml:space="preserve">, el </w:t>
      </w:r>
      <w:r w:rsidRPr="00B4157D">
        <w:rPr>
          <w:rFonts w:ascii="Palatino Linotype" w:eastAsia="Palatino Linotype" w:hAnsi="Palatino Linotype" w:cs="Palatino Linotype"/>
          <w:b/>
          <w:sz w:val="22"/>
          <w:szCs w:val="22"/>
        </w:rPr>
        <w:t>trece de julio</w:t>
      </w:r>
      <w:r w:rsidR="00D92C13" w:rsidRPr="00B4157D">
        <w:rPr>
          <w:rFonts w:ascii="Palatino Linotype" w:eastAsia="Palatino Linotype" w:hAnsi="Palatino Linotype" w:cs="Palatino Linotype"/>
          <w:b/>
          <w:sz w:val="22"/>
          <w:szCs w:val="22"/>
        </w:rPr>
        <w:t xml:space="preserve"> de dos mil veinticinco,</w:t>
      </w:r>
      <w:r w:rsidR="00D92C13" w:rsidRPr="00B4157D">
        <w:rPr>
          <w:rFonts w:ascii="Palatino Linotype" w:eastAsia="Palatino Linotype" w:hAnsi="Palatino Linotype" w:cs="Palatino Linotype"/>
          <w:sz w:val="22"/>
          <w:szCs w:val="22"/>
        </w:rPr>
        <w:t xml:space="preserve"> la parte </w:t>
      </w:r>
      <w:r w:rsidR="00D92C13" w:rsidRPr="00B4157D">
        <w:rPr>
          <w:rFonts w:ascii="Palatino Linotype" w:eastAsia="Palatino Linotype" w:hAnsi="Palatino Linotype" w:cs="Palatino Linotype"/>
          <w:b/>
          <w:sz w:val="22"/>
          <w:szCs w:val="22"/>
        </w:rPr>
        <w:t>Recurrente</w:t>
      </w:r>
      <w:r w:rsidR="00D92C13" w:rsidRPr="00B4157D">
        <w:rPr>
          <w:rFonts w:ascii="Palatino Linotype" w:eastAsia="Palatino Linotype" w:hAnsi="Palatino Linotype" w:cs="Palatino Linotype"/>
          <w:sz w:val="22"/>
          <w:szCs w:val="22"/>
        </w:rPr>
        <w:t xml:space="preserve"> interpuso el recurso de revisión a través de </w:t>
      </w:r>
      <w:r w:rsidR="00D92C13" w:rsidRPr="00B4157D">
        <w:rPr>
          <w:rFonts w:ascii="Palatino Linotype" w:eastAsia="Palatino Linotype" w:hAnsi="Palatino Linotype" w:cs="Palatino Linotype"/>
          <w:b/>
          <w:sz w:val="22"/>
          <w:szCs w:val="22"/>
        </w:rPr>
        <w:t>SAIMEX,</w:t>
      </w:r>
      <w:r w:rsidRPr="00B4157D">
        <w:rPr>
          <w:rFonts w:ascii="Palatino Linotype" w:eastAsia="Palatino Linotype" w:hAnsi="Palatino Linotype" w:cs="Palatino Linotype"/>
          <w:b/>
          <w:sz w:val="22"/>
          <w:szCs w:val="22"/>
        </w:rPr>
        <w:t xml:space="preserve"> </w:t>
      </w:r>
      <w:r w:rsidRPr="00B4157D">
        <w:rPr>
          <w:rFonts w:ascii="Palatino Linotype" w:eastAsia="Palatino Linotype" w:hAnsi="Palatino Linotype" w:cs="Palatino Linotype"/>
          <w:sz w:val="22"/>
          <w:szCs w:val="22"/>
        </w:rPr>
        <w:t xml:space="preserve">sin embargo, al corresponder con un día inhábil se tuvo por interpuesto el </w:t>
      </w:r>
      <w:r w:rsidRPr="00B4157D">
        <w:rPr>
          <w:rFonts w:ascii="Palatino Linotype" w:eastAsia="Palatino Linotype" w:hAnsi="Palatino Linotype" w:cs="Palatino Linotype"/>
          <w:b/>
          <w:sz w:val="22"/>
          <w:szCs w:val="22"/>
        </w:rPr>
        <w:t>catorce de julio de dos mil veinticinco</w:t>
      </w:r>
      <w:r w:rsidR="00D92C13" w:rsidRPr="00B4157D">
        <w:rPr>
          <w:rFonts w:ascii="Palatino Linotype" w:eastAsia="Palatino Linotype" w:hAnsi="Palatino Linotype" w:cs="Palatino Linotype"/>
          <w:b/>
          <w:sz w:val="22"/>
          <w:szCs w:val="22"/>
        </w:rPr>
        <w:t xml:space="preserve"> </w:t>
      </w:r>
      <w:r w:rsidR="00D92C13" w:rsidRPr="00B4157D">
        <w:rPr>
          <w:rFonts w:ascii="Palatino Linotype" w:eastAsia="Palatino Linotype" w:hAnsi="Palatino Linotype" w:cs="Palatino Linotype"/>
          <w:sz w:val="22"/>
          <w:szCs w:val="22"/>
        </w:rPr>
        <w:t>en donde se manifestó de la siguiente manera:</w:t>
      </w:r>
    </w:p>
    <w:p w14:paraId="1901FDCF" w14:textId="77777777" w:rsidR="00B977D3" w:rsidRPr="00B4157D" w:rsidRDefault="00D92C13">
      <w:pPr>
        <w:spacing w:before="240" w:after="240" w:line="360" w:lineRule="auto"/>
        <w:ind w:right="49"/>
        <w:jc w:val="both"/>
        <w:rPr>
          <w:rFonts w:ascii="Palatino Linotype" w:eastAsia="Palatino Linotype" w:hAnsi="Palatino Linotype" w:cs="Palatino Linotype"/>
          <w:b/>
          <w:sz w:val="22"/>
          <w:szCs w:val="22"/>
        </w:rPr>
      </w:pPr>
      <w:r w:rsidRPr="00B4157D">
        <w:rPr>
          <w:rFonts w:ascii="Palatino Linotype" w:eastAsia="Palatino Linotype" w:hAnsi="Palatino Linotype" w:cs="Palatino Linotype"/>
          <w:b/>
          <w:sz w:val="22"/>
          <w:szCs w:val="22"/>
        </w:rPr>
        <w:t xml:space="preserve">Acto impugnado: </w:t>
      </w:r>
    </w:p>
    <w:p w14:paraId="7C72ABC9" w14:textId="77777777" w:rsidR="00B977D3" w:rsidRPr="00B4157D" w:rsidRDefault="00D92C13">
      <w:pPr>
        <w:tabs>
          <w:tab w:val="left" w:pos="2745"/>
        </w:tabs>
        <w:spacing w:before="240" w:after="240"/>
        <w:ind w:left="851" w:right="900"/>
        <w:jc w:val="both"/>
        <w:rPr>
          <w:rFonts w:ascii="Palatino Linotype" w:eastAsia="Palatino Linotype" w:hAnsi="Palatino Linotype" w:cs="Palatino Linotype"/>
          <w:i/>
          <w:sz w:val="22"/>
          <w:szCs w:val="22"/>
        </w:rPr>
      </w:pPr>
      <w:r w:rsidRPr="00B4157D">
        <w:rPr>
          <w:rFonts w:ascii="Palatino Linotype" w:eastAsia="Palatino Linotype" w:hAnsi="Palatino Linotype" w:cs="Palatino Linotype"/>
          <w:i/>
          <w:sz w:val="22"/>
          <w:szCs w:val="22"/>
        </w:rPr>
        <w:t>“</w:t>
      </w:r>
      <w:r w:rsidR="000E3FE0" w:rsidRPr="00B4157D">
        <w:rPr>
          <w:rFonts w:ascii="Palatino Linotype" w:eastAsia="Palatino Linotype" w:hAnsi="Palatino Linotype" w:cs="Palatino Linotype"/>
          <w:i/>
          <w:sz w:val="22"/>
          <w:szCs w:val="22"/>
        </w:rPr>
        <w:t xml:space="preserve">no hay anexo del documento que avala el permiso para el uso de la cancha, </w:t>
      </w:r>
      <w:proofErr w:type="spellStart"/>
      <w:r w:rsidR="000E3FE0" w:rsidRPr="00B4157D">
        <w:rPr>
          <w:rFonts w:ascii="Palatino Linotype" w:eastAsia="Palatino Linotype" w:hAnsi="Palatino Linotype" w:cs="Palatino Linotype"/>
          <w:i/>
          <w:sz w:val="22"/>
          <w:szCs w:val="22"/>
        </w:rPr>
        <w:t>asi</w:t>
      </w:r>
      <w:proofErr w:type="spellEnd"/>
      <w:r w:rsidR="000E3FE0" w:rsidRPr="00B4157D">
        <w:rPr>
          <w:rFonts w:ascii="Palatino Linotype" w:eastAsia="Palatino Linotype" w:hAnsi="Palatino Linotype" w:cs="Palatino Linotype"/>
          <w:i/>
          <w:sz w:val="22"/>
          <w:szCs w:val="22"/>
        </w:rPr>
        <w:t xml:space="preserve"> como la </w:t>
      </w:r>
      <w:proofErr w:type="spellStart"/>
      <w:r w:rsidR="000E3FE0" w:rsidRPr="00B4157D">
        <w:rPr>
          <w:rFonts w:ascii="Palatino Linotype" w:eastAsia="Palatino Linotype" w:hAnsi="Palatino Linotype" w:cs="Palatino Linotype"/>
          <w:i/>
          <w:sz w:val="22"/>
          <w:szCs w:val="22"/>
        </w:rPr>
        <w:t>peticion</w:t>
      </w:r>
      <w:proofErr w:type="spellEnd"/>
      <w:r w:rsidR="000E3FE0" w:rsidRPr="00B4157D">
        <w:rPr>
          <w:rFonts w:ascii="Palatino Linotype" w:eastAsia="Palatino Linotype" w:hAnsi="Palatino Linotype" w:cs="Palatino Linotype"/>
          <w:i/>
          <w:sz w:val="22"/>
          <w:szCs w:val="22"/>
        </w:rPr>
        <w:t xml:space="preserve"> para el mismo</w:t>
      </w:r>
      <w:r w:rsidRPr="00B4157D">
        <w:rPr>
          <w:rFonts w:ascii="Palatino Linotype" w:eastAsia="Palatino Linotype" w:hAnsi="Palatino Linotype" w:cs="Palatino Linotype"/>
          <w:i/>
          <w:sz w:val="22"/>
          <w:szCs w:val="22"/>
        </w:rPr>
        <w:t>” (sic)</w:t>
      </w:r>
    </w:p>
    <w:p w14:paraId="56354A0F" w14:textId="77777777" w:rsidR="00B977D3" w:rsidRPr="00B4157D" w:rsidRDefault="00D92C13">
      <w:pPr>
        <w:spacing w:line="360" w:lineRule="auto"/>
        <w:jc w:val="both"/>
        <w:rPr>
          <w:rFonts w:ascii="Palatino Linotype" w:eastAsia="Palatino Linotype" w:hAnsi="Palatino Linotype" w:cs="Palatino Linotype"/>
          <w:sz w:val="22"/>
          <w:szCs w:val="22"/>
        </w:rPr>
      </w:pPr>
      <w:bookmarkStart w:id="6" w:name="_heading=h.30j0zll" w:colFirst="0" w:colLast="0"/>
      <w:bookmarkEnd w:id="6"/>
      <w:r w:rsidRPr="00B4157D">
        <w:rPr>
          <w:rFonts w:ascii="Palatino Linotype" w:eastAsia="Palatino Linotype" w:hAnsi="Palatino Linotype" w:cs="Palatino Linotype"/>
          <w:b/>
          <w:sz w:val="22"/>
          <w:szCs w:val="22"/>
        </w:rPr>
        <w:t>Y, Razones o motivos de inconformidad</w:t>
      </w:r>
      <w:r w:rsidRPr="00B4157D">
        <w:rPr>
          <w:rFonts w:ascii="Palatino Linotype" w:eastAsia="Palatino Linotype" w:hAnsi="Palatino Linotype" w:cs="Palatino Linotype"/>
          <w:sz w:val="22"/>
          <w:szCs w:val="22"/>
        </w:rPr>
        <w:t>:</w:t>
      </w:r>
    </w:p>
    <w:p w14:paraId="55670E05" w14:textId="77777777" w:rsidR="00B977D3" w:rsidRPr="00B4157D" w:rsidRDefault="00D92C13">
      <w:pPr>
        <w:tabs>
          <w:tab w:val="left" w:pos="2745"/>
        </w:tabs>
        <w:spacing w:before="240" w:after="240"/>
        <w:ind w:left="851" w:right="900"/>
        <w:jc w:val="both"/>
        <w:rPr>
          <w:rFonts w:ascii="Palatino Linotype" w:eastAsia="Palatino Linotype" w:hAnsi="Palatino Linotype" w:cs="Palatino Linotype"/>
          <w:i/>
          <w:sz w:val="22"/>
          <w:szCs w:val="22"/>
        </w:rPr>
      </w:pPr>
      <w:r w:rsidRPr="00B4157D">
        <w:rPr>
          <w:rFonts w:ascii="Palatino Linotype" w:eastAsia="Palatino Linotype" w:hAnsi="Palatino Linotype" w:cs="Palatino Linotype"/>
          <w:i/>
          <w:sz w:val="22"/>
          <w:szCs w:val="22"/>
        </w:rPr>
        <w:lastRenderedPageBreak/>
        <w:t>“</w:t>
      </w:r>
      <w:r w:rsidR="000E3FE0" w:rsidRPr="00B4157D">
        <w:rPr>
          <w:rFonts w:ascii="Palatino Linotype" w:eastAsia="Palatino Linotype" w:hAnsi="Palatino Linotype" w:cs="Palatino Linotype"/>
          <w:i/>
          <w:sz w:val="22"/>
          <w:szCs w:val="22"/>
        </w:rPr>
        <w:t>No hay entrega de los documentos que según el oficio dicen que están como anexo, ni de la solicitud ni de la respuesta al permiso para usar la cancha del deportivo</w:t>
      </w:r>
      <w:r w:rsidRPr="00B4157D">
        <w:rPr>
          <w:rFonts w:ascii="Palatino Linotype" w:eastAsia="Palatino Linotype" w:hAnsi="Palatino Linotype" w:cs="Palatino Linotype"/>
          <w:i/>
          <w:sz w:val="22"/>
          <w:szCs w:val="22"/>
        </w:rPr>
        <w:t>” (sic)</w:t>
      </w:r>
    </w:p>
    <w:p w14:paraId="6D91B739" w14:textId="77777777" w:rsidR="00B977D3" w:rsidRPr="00B4157D" w:rsidRDefault="001A7518">
      <w:pPr>
        <w:spacing w:before="240" w:after="240" w:line="360" w:lineRule="auto"/>
        <w:jc w:val="both"/>
        <w:rPr>
          <w:rFonts w:ascii="Palatino Linotype" w:eastAsia="Palatino Linotype" w:hAnsi="Palatino Linotype" w:cs="Palatino Linotype"/>
          <w:sz w:val="22"/>
          <w:szCs w:val="22"/>
        </w:rPr>
      </w:pPr>
      <w:r w:rsidRPr="00B4157D">
        <w:rPr>
          <w:rFonts w:ascii="Palatino Linotype" w:eastAsia="Palatino Linotype" w:hAnsi="Palatino Linotype" w:cs="Palatino Linotype"/>
          <w:b/>
          <w:sz w:val="22"/>
          <w:szCs w:val="22"/>
        </w:rPr>
        <w:t>4</w:t>
      </w:r>
      <w:r w:rsidR="00D92C13" w:rsidRPr="00B4157D">
        <w:rPr>
          <w:rFonts w:ascii="Palatino Linotype" w:eastAsia="Palatino Linotype" w:hAnsi="Palatino Linotype" w:cs="Palatino Linotype"/>
          <w:b/>
          <w:sz w:val="22"/>
          <w:szCs w:val="22"/>
        </w:rPr>
        <w:t xml:space="preserve">. Turno. </w:t>
      </w:r>
      <w:r w:rsidR="00D92C13" w:rsidRPr="00B4157D">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D92C13" w:rsidRPr="00B4157D">
        <w:rPr>
          <w:rFonts w:ascii="Palatino Linotype" w:eastAsia="Palatino Linotype" w:hAnsi="Palatino Linotype" w:cs="Palatino Linotype"/>
          <w:b/>
          <w:sz w:val="22"/>
          <w:szCs w:val="22"/>
        </w:rPr>
        <w:t xml:space="preserve">Guadalupe Ramírez Peña, </w:t>
      </w:r>
      <w:r w:rsidR="00D92C13" w:rsidRPr="00B4157D">
        <w:rPr>
          <w:rFonts w:ascii="Palatino Linotype" w:eastAsia="Palatino Linotype" w:hAnsi="Palatino Linotype" w:cs="Palatino Linotype"/>
          <w:sz w:val="22"/>
          <w:szCs w:val="22"/>
        </w:rPr>
        <w:t xml:space="preserve">a efecto de que analizara sobre su admisión o su </w:t>
      </w:r>
      <w:proofErr w:type="spellStart"/>
      <w:r w:rsidR="00D92C13" w:rsidRPr="00B4157D">
        <w:rPr>
          <w:rFonts w:ascii="Palatino Linotype" w:eastAsia="Palatino Linotype" w:hAnsi="Palatino Linotype" w:cs="Palatino Linotype"/>
          <w:sz w:val="22"/>
          <w:szCs w:val="22"/>
        </w:rPr>
        <w:t>desechamiento</w:t>
      </w:r>
      <w:proofErr w:type="spellEnd"/>
      <w:r w:rsidR="00D92C13" w:rsidRPr="00B4157D">
        <w:rPr>
          <w:rFonts w:ascii="Palatino Linotype" w:eastAsia="Palatino Linotype" w:hAnsi="Palatino Linotype" w:cs="Palatino Linotype"/>
          <w:sz w:val="22"/>
          <w:szCs w:val="22"/>
        </w:rPr>
        <w:t>.</w:t>
      </w:r>
    </w:p>
    <w:p w14:paraId="0A2EE4A5" w14:textId="77777777" w:rsidR="00B977D3" w:rsidRPr="00B4157D" w:rsidRDefault="001A7518">
      <w:pPr>
        <w:spacing w:before="240" w:after="240" w:line="360" w:lineRule="auto"/>
        <w:jc w:val="both"/>
        <w:rPr>
          <w:rFonts w:ascii="Palatino Linotype" w:eastAsia="Palatino Linotype" w:hAnsi="Palatino Linotype" w:cs="Palatino Linotype"/>
          <w:b/>
          <w:sz w:val="22"/>
          <w:szCs w:val="22"/>
        </w:rPr>
      </w:pPr>
      <w:r w:rsidRPr="00B4157D">
        <w:rPr>
          <w:rFonts w:ascii="Palatino Linotype" w:eastAsia="Palatino Linotype" w:hAnsi="Palatino Linotype" w:cs="Palatino Linotype"/>
          <w:b/>
          <w:sz w:val="22"/>
          <w:szCs w:val="22"/>
        </w:rPr>
        <w:t>5</w:t>
      </w:r>
      <w:r w:rsidR="00D92C13" w:rsidRPr="00B4157D">
        <w:rPr>
          <w:rFonts w:ascii="Palatino Linotype" w:eastAsia="Palatino Linotype" w:hAnsi="Palatino Linotype" w:cs="Palatino Linotype"/>
          <w:b/>
          <w:sz w:val="22"/>
          <w:szCs w:val="22"/>
        </w:rPr>
        <w:t>. Admisión del Recurso de revisión.</w:t>
      </w:r>
      <w:r w:rsidR="00D92C13" w:rsidRPr="00B4157D">
        <w:rPr>
          <w:rFonts w:ascii="Palatino Linotype" w:eastAsia="Palatino Linotype" w:hAnsi="Palatino Linotype" w:cs="Palatino Linotype"/>
          <w:sz w:val="22"/>
          <w:szCs w:val="22"/>
        </w:rPr>
        <w:t xml:space="preserve"> El</w:t>
      </w:r>
      <w:r w:rsidR="00D92C13" w:rsidRPr="00B4157D">
        <w:rPr>
          <w:rFonts w:ascii="Palatino Linotype" w:eastAsia="Palatino Linotype" w:hAnsi="Palatino Linotype" w:cs="Palatino Linotype"/>
          <w:b/>
          <w:sz w:val="22"/>
          <w:szCs w:val="22"/>
        </w:rPr>
        <w:t xml:space="preserve"> </w:t>
      </w:r>
      <w:r w:rsidRPr="00B4157D">
        <w:rPr>
          <w:rFonts w:ascii="Palatino Linotype" w:eastAsia="Palatino Linotype" w:hAnsi="Palatino Linotype" w:cs="Palatino Linotype"/>
          <w:b/>
          <w:sz w:val="22"/>
          <w:szCs w:val="22"/>
        </w:rPr>
        <w:t>diecisiete de julio</w:t>
      </w:r>
      <w:r w:rsidR="00D92C13" w:rsidRPr="00B4157D">
        <w:rPr>
          <w:rFonts w:ascii="Palatino Linotype" w:eastAsia="Palatino Linotype" w:hAnsi="Palatino Linotype" w:cs="Palatino Linotype"/>
          <w:b/>
          <w:sz w:val="22"/>
          <w:szCs w:val="22"/>
        </w:rPr>
        <w:t xml:space="preserve"> de dos mil veinticinco, </w:t>
      </w:r>
      <w:r w:rsidR="00D92C13" w:rsidRPr="00B4157D">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D92C13" w:rsidRPr="00B4157D">
        <w:rPr>
          <w:rFonts w:ascii="Palatino Linotype" w:eastAsia="Palatino Linotype" w:hAnsi="Palatino Linotype" w:cs="Palatino Linotype"/>
          <w:b/>
          <w:sz w:val="22"/>
          <w:szCs w:val="22"/>
        </w:rPr>
        <w:t xml:space="preserve">Sujeto Obligado </w:t>
      </w:r>
      <w:r w:rsidR="00D92C13" w:rsidRPr="00B4157D">
        <w:rPr>
          <w:rFonts w:ascii="Palatino Linotype" w:eastAsia="Palatino Linotype" w:hAnsi="Palatino Linotype" w:cs="Palatino Linotype"/>
          <w:sz w:val="22"/>
          <w:szCs w:val="22"/>
        </w:rPr>
        <w:t>presentara su informe justificado.</w:t>
      </w:r>
    </w:p>
    <w:p w14:paraId="440646D0" w14:textId="77777777" w:rsidR="005A697C" w:rsidRPr="00B4157D" w:rsidRDefault="00D92C13">
      <w:pPr>
        <w:spacing w:before="240" w:after="240" w:line="360" w:lineRule="auto"/>
        <w:jc w:val="both"/>
        <w:rPr>
          <w:rFonts w:ascii="Palatino Linotype" w:hAnsi="Palatino Linotype"/>
          <w:sz w:val="22"/>
          <w:szCs w:val="22"/>
        </w:rPr>
      </w:pPr>
      <w:bookmarkStart w:id="7" w:name="_heading=h.2s8eyo1" w:colFirst="0" w:colLast="0"/>
      <w:bookmarkEnd w:id="7"/>
      <w:r w:rsidRPr="00B4157D">
        <w:rPr>
          <w:rFonts w:ascii="Palatino Linotype" w:eastAsia="Palatino Linotype" w:hAnsi="Palatino Linotype" w:cs="Palatino Linotype"/>
          <w:b/>
          <w:sz w:val="22"/>
          <w:szCs w:val="22"/>
        </w:rPr>
        <w:t>7. Manifestaciones</w:t>
      </w:r>
      <w:r w:rsidRPr="00B4157D">
        <w:rPr>
          <w:rFonts w:ascii="Palatino Linotype" w:eastAsia="Palatino Linotype" w:hAnsi="Palatino Linotype" w:cs="Palatino Linotype"/>
          <w:sz w:val="22"/>
          <w:szCs w:val="22"/>
        </w:rPr>
        <w:t xml:space="preserve">. El </w:t>
      </w:r>
      <w:r w:rsidR="001A7518" w:rsidRPr="00B4157D">
        <w:rPr>
          <w:rFonts w:ascii="Palatino Linotype" w:eastAsia="Palatino Linotype" w:hAnsi="Palatino Linotype" w:cs="Palatino Linotype"/>
          <w:b/>
          <w:sz w:val="22"/>
          <w:szCs w:val="22"/>
        </w:rPr>
        <w:t>veintiocho de julio</w:t>
      </w:r>
      <w:r w:rsidR="001A7518" w:rsidRPr="00B4157D">
        <w:rPr>
          <w:rFonts w:ascii="Palatino Linotype" w:eastAsia="Palatino Linotype" w:hAnsi="Palatino Linotype" w:cs="Palatino Linotype"/>
          <w:sz w:val="22"/>
          <w:szCs w:val="22"/>
        </w:rPr>
        <w:t xml:space="preserve"> y </w:t>
      </w:r>
      <w:r w:rsidR="001A7518" w:rsidRPr="00B4157D">
        <w:rPr>
          <w:rFonts w:ascii="Palatino Linotype" w:eastAsia="Palatino Linotype" w:hAnsi="Palatino Linotype" w:cs="Palatino Linotype"/>
          <w:b/>
          <w:sz w:val="22"/>
          <w:szCs w:val="22"/>
        </w:rPr>
        <w:t xml:space="preserve">seis de agosto de dos mil veinticinco, </w:t>
      </w:r>
      <w:r w:rsidRPr="00B4157D">
        <w:rPr>
          <w:rFonts w:ascii="Palatino Linotype" w:eastAsia="Palatino Linotype" w:hAnsi="Palatino Linotype" w:cs="Palatino Linotype"/>
          <w:sz w:val="22"/>
          <w:szCs w:val="22"/>
        </w:rPr>
        <w:t xml:space="preserve">el </w:t>
      </w:r>
      <w:r w:rsidRPr="00B4157D">
        <w:rPr>
          <w:rFonts w:ascii="Palatino Linotype" w:eastAsia="Palatino Linotype" w:hAnsi="Palatino Linotype" w:cs="Palatino Linotype"/>
          <w:b/>
          <w:sz w:val="22"/>
          <w:szCs w:val="22"/>
        </w:rPr>
        <w:t>Sujeto Obligado</w:t>
      </w:r>
      <w:r w:rsidRPr="00B4157D">
        <w:rPr>
          <w:rFonts w:ascii="Palatino Linotype" w:eastAsia="Palatino Linotype" w:hAnsi="Palatino Linotype" w:cs="Palatino Linotype"/>
          <w:sz w:val="22"/>
          <w:szCs w:val="22"/>
        </w:rPr>
        <w:t xml:space="preserve"> remitió, a través del SAIMEX, </w:t>
      </w:r>
      <w:r w:rsidR="003D4A29" w:rsidRPr="00B4157D">
        <w:rPr>
          <w:rFonts w:ascii="Palatino Linotype" w:eastAsia="Palatino Linotype" w:hAnsi="Palatino Linotype" w:cs="Palatino Linotype"/>
          <w:sz w:val="22"/>
          <w:szCs w:val="22"/>
        </w:rPr>
        <w:t xml:space="preserve">su informe justificado, mediante el cual, </w:t>
      </w:r>
      <w:r w:rsidR="005A697C" w:rsidRPr="00B4157D">
        <w:rPr>
          <w:rFonts w:ascii="Palatino Linotype" w:eastAsia="Palatino Linotype" w:hAnsi="Palatino Linotype" w:cs="Palatino Linotype"/>
          <w:sz w:val="22"/>
          <w:szCs w:val="22"/>
        </w:rPr>
        <w:t>en atención</w:t>
      </w:r>
      <w:r w:rsidR="003D4A29" w:rsidRPr="00B4157D">
        <w:rPr>
          <w:rFonts w:ascii="Palatino Linotype" w:eastAsia="Palatino Linotype" w:hAnsi="Palatino Linotype" w:cs="Palatino Linotype"/>
          <w:sz w:val="22"/>
          <w:szCs w:val="22"/>
        </w:rPr>
        <w:t xml:space="preserve"> a</w:t>
      </w:r>
      <w:r w:rsidR="005A697C" w:rsidRPr="00B4157D">
        <w:rPr>
          <w:rFonts w:ascii="Palatino Linotype" w:eastAsia="Palatino Linotype" w:hAnsi="Palatino Linotype" w:cs="Palatino Linotype"/>
          <w:sz w:val="22"/>
          <w:szCs w:val="22"/>
        </w:rPr>
        <w:t xml:space="preserve"> </w:t>
      </w:r>
      <w:r w:rsidR="003D4A29" w:rsidRPr="00B4157D">
        <w:rPr>
          <w:rFonts w:ascii="Palatino Linotype" w:eastAsia="Palatino Linotype" w:hAnsi="Palatino Linotype" w:cs="Palatino Linotype"/>
          <w:sz w:val="22"/>
          <w:szCs w:val="22"/>
        </w:rPr>
        <w:t>l</w:t>
      </w:r>
      <w:r w:rsidR="005A697C" w:rsidRPr="00B4157D">
        <w:rPr>
          <w:rFonts w:ascii="Palatino Linotype" w:eastAsia="Palatino Linotype" w:hAnsi="Palatino Linotype" w:cs="Palatino Linotype"/>
          <w:sz w:val="22"/>
          <w:szCs w:val="22"/>
        </w:rPr>
        <w:t>os</w:t>
      </w:r>
      <w:r w:rsidR="003D4A29" w:rsidRPr="00B4157D">
        <w:rPr>
          <w:rFonts w:ascii="Palatino Linotype" w:eastAsia="Palatino Linotype" w:hAnsi="Palatino Linotype" w:cs="Palatino Linotype"/>
          <w:sz w:val="22"/>
          <w:szCs w:val="22"/>
        </w:rPr>
        <w:t xml:space="preserve"> motivo</w:t>
      </w:r>
      <w:r w:rsidR="005A697C" w:rsidRPr="00B4157D">
        <w:rPr>
          <w:rFonts w:ascii="Palatino Linotype" w:eastAsia="Palatino Linotype" w:hAnsi="Palatino Linotype" w:cs="Palatino Linotype"/>
          <w:sz w:val="22"/>
          <w:szCs w:val="22"/>
        </w:rPr>
        <w:t>s</w:t>
      </w:r>
      <w:r w:rsidR="003D4A29" w:rsidRPr="00B4157D">
        <w:rPr>
          <w:rFonts w:ascii="Palatino Linotype" w:eastAsia="Palatino Linotype" w:hAnsi="Palatino Linotype" w:cs="Palatino Linotype"/>
          <w:sz w:val="22"/>
          <w:szCs w:val="22"/>
        </w:rPr>
        <w:t xml:space="preserve"> de inconformidad alegado por la persona solicitante, </w:t>
      </w:r>
      <w:r w:rsidR="00D40C85" w:rsidRPr="00B4157D">
        <w:rPr>
          <w:rFonts w:ascii="Palatino Linotype" w:eastAsia="Palatino Linotype" w:hAnsi="Palatino Linotype" w:cs="Palatino Linotype"/>
          <w:sz w:val="22"/>
          <w:szCs w:val="22"/>
        </w:rPr>
        <w:t xml:space="preserve">proporcionó la digitalización del oficio </w:t>
      </w:r>
      <w:r w:rsidR="00D40C85" w:rsidRPr="00B4157D">
        <w:rPr>
          <w:rFonts w:ascii="Palatino Linotype" w:hAnsi="Palatino Linotype"/>
          <w:sz w:val="22"/>
          <w:szCs w:val="22"/>
        </w:rPr>
        <w:t>número CHIC/IMCUFIDE/DG/011/2025 emitido por el Director General del Instituto Municipal de Cultura Física y Deporte en el Municipio de Chicoloapan, mediante el cual se autorizó el uso temporal del Deportivo “San José” al Club de Futbol Halcones Negros, F. C</w:t>
      </w:r>
      <w:r w:rsidR="007C73B7" w:rsidRPr="00B4157D">
        <w:rPr>
          <w:rFonts w:ascii="Palatino Linotype" w:hAnsi="Palatino Linotype"/>
          <w:sz w:val="22"/>
          <w:szCs w:val="22"/>
        </w:rPr>
        <w:t>.</w:t>
      </w:r>
      <w:r w:rsidR="00D40C85" w:rsidRPr="00B4157D">
        <w:rPr>
          <w:rFonts w:ascii="Palatino Linotype" w:hAnsi="Palatino Linotype"/>
          <w:sz w:val="22"/>
          <w:szCs w:val="22"/>
        </w:rPr>
        <w:t>, para el desarrollo de sus entrenamientos, encuentros deportivos y actividades a fines</w:t>
      </w:r>
      <w:r w:rsidR="00076AD8" w:rsidRPr="00B4157D">
        <w:rPr>
          <w:rFonts w:ascii="Palatino Linotype" w:hAnsi="Palatino Linotype"/>
          <w:sz w:val="22"/>
          <w:szCs w:val="22"/>
        </w:rPr>
        <w:t>, documento que cumple con los extremos de la solicitud.</w:t>
      </w:r>
    </w:p>
    <w:p w14:paraId="3FD76E3B" w14:textId="77777777" w:rsidR="00F30806" w:rsidRPr="00B4157D" w:rsidRDefault="007C73B7" w:rsidP="00F30806">
      <w:pPr>
        <w:spacing w:before="240" w:after="240" w:line="360" w:lineRule="auto"/>
        <w:jc w:val="both"/>
        <w:rPr>
          <w:rFonts w:ascii="Palatino Linotype" w:eastAsia="Palatino Linotype" w:hAnsi="Palatino Linotype" w:cs="Palatino Linotype"/>
          <w:sz w:val="22"/>
          <w:szCs w:val="22"/>
        </w:rPr>
      </w:pPr>
      <w:r w:rsidRPr="00B4157D">
        <w:rPr>
          <w:rFonts w:ascii="Palatino Linotype" w:hAnsi="Palatino Linotype"/>
          <w:sz w:val="22"/>
          <w:szCs w:val="22"/>
        </w:rPr>
        <w:t xml:space="preserve">Asimismo, por lo que se refiere a la petición o solicitud del permiso, por parte del Club de Futbol Halcones Negros, F. C., indicó que corresponde a un nuevo elemento, ya que el mismo o formó parte del requerimiento </w:t>
      </w:r>
      <w:r w:rsidR="00F30806" w:rsidRPr="00B4157D">
        <w:rPr>
          <w:rFonts w:ascii="Palatino Linotype" w:hAnsi="Palatino Linotype"/>
          <w:sz w:val="22"/>
          <w:szCs w:val="22"/>
        </w:rPr>
        <w:t xml:space="preserve">inicial, por lo que </w:t>
      </w:r>
      <w:r w:rsidR="00F30806" w:rsidRPr="00B4157D">
        <w:rPr>
          <w:rFonts w:ascii="Palatino Linotype" w:eastAsia="Palatino Linotype" w:hAnsi="Palatino Linotype" w:cs="Palatino Linotype"/>
          <w:sz w:val="22"/>
          <w:szCs w:val="22"/>
        </w:rPr>
        <w:t xml:space="preserve">no estaba obligado a anexar la petición del uso del inmueble como refiere la parte </w:t>
      </w:r>
      <w:r w:rsidR="00F30806" w:rsidRPr="00B4157D">
        <w:rPr>
          <w:rFonts w:ascii="Palatino Linotype" w:eastAsia="Palatino Linotype" w:hAnsi="Palatino Linotype" w:cs="Palatino Linotype"/>
          <w:b/>
          <w:sz w:val="22"/>
          <w:szCs w:val="22"/>
        </w:rPr>
        <w:t>Recurrente</w:t>
      </w:r>
      <w:r w:rsidR="00F30806" w:rsidRPr="00B4157D">
        <w:rPr>
          <w:rFonts w:ascii="Palatino Linotype" w:eastAsia="Palatino Linotype" w:hAnsi="Palatino Linotype" w:cs="Palatino Linotype"/>
          <w:sz w:val="22"/>
          <w:szCs w:val="22"/>
        </w:rPr>
        <w:t>, en virtud de que la petición iba encaminada a saber por qué medio el Sujeto Obligado había concedido el uso de las instalaciones; lo cual fue contestado en tiempo y forma.</w:t>
      </w:r>
    </w:p>
    <w:p w14:paraId="46ACB103" w14:textId="77777777" w:rsidR="00B977D3" w:rsidRPr="00B4157D" w:rsidRDefault="00D92C13">
      <w:pPr>
        <w:spacing w:before="240" w:after="240" w:line="360" w:lineRule="auto"/>
        <w:jc w:val="both"/>
        <w:rPr>
          <w:rFonts w:ascii="Palatino Linotype" w:eastAsia="Palatino Linotype" w:hAnsi="Palatino Linotype" w:cs="Palatino Linotype"/>
          <w:sz w:val="22"/>
          <w:szCs w:val="22"/>
        </w:rPr>
      </w:pPr>
      <w:r w:rsidRPr="00B4157D">
        <w:rPr>
          <w:rFonts w:ascii="Palatino Linotype" w:eastAsia="Palatino Linotype" w:hAnsi="Palatino Linotype" w:cs="Palatino Linotype"/>
          <w:sz w:val="22"/>
          <w:szCs w:val="22"/>
        </w:rPr>
        <w:t>Una vez analizada la información, se hizo del conocimiento de la persona solicitante a efecto de que manifestara lo que a su derecho estimara conveniente, siendo omisa en ejercer dicha prerrogativa.</w:t>
      </w:r>
    </w:p>
    <w:p w14:paraId="6A0FA949" w14:textId="77777777" w:rsidR="00F30806" w:rsidRPr="00B4157D" w:rsidRDefault="00F30806" w:rsidP="00F30806">
      <w:pPr>
        <w:spacing w:before="240" w:after="240" w:line="360" w:lineRule="auto"/>
        <w:jc w:val="both"/>
        <w:rPr>
          <w:rFonts w:ascii="Palatino Linotype" w:eastAsia="Palatino Linotype" w:hAnsi="Palatino Linotype" w:cs="Palatino Linotype"/>
          <w:sz w:val="22"/>
          <w:szCs w:val="22"/>
        </w:rPr>
      </w:pPr>
      <w:r w:rsidRPr="00B4157D">
        <w:rPr>
          <w:rFonts w:ascii="Palatino Linotype" w:eastAsia="Palatino Linotype" w:hAnsi="Palatino Linotype" w:cs="Palatino Linotype"/>
          <w:b/>
          <w:sz w:val="22"/>
          <w:szCs w:val="22"/>
        </w:rPr>
        <w:t xml:space="preserve">7. Cierre de instrucción. </w:t>
      </w:r>
      <w:r w:rsidRPr="00B4157D">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mediante acuerdo del </w:t>
      </w:r>
      <w:r w:rsidRPr="00B4157D">
        <w:rPr>
          <w:rFonts w:ascii="Palatino Linotype" w:eastAsia="Palatino Linotype" w:hAnsi="Palatino Linotype" w:cs="Palatino Linotype"/>
          <w:b/>
          <w:sz w:val="22"/>
          <w:szCs w:val="22"/>
        </w:rPr>
        <w:t>cuatro de noviembre de dos mil veinticinco</w:t>
      </w:r>
      <w:r w:rsidRPr="00B4157D">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 </w:t>
      </w:r>
    </w:p>
    <w:p w14:paraId="75DE569E" w14:textId="77777777" w:rsidR="00F30806" w:rsidRPr="00B4157D" w:rsidRDefault="00D92C13" w:rsidP="00F30806">
      <w:pPr>
        <w:widowControl w:val="0"/>
        <w:spacing w:before="240" w:line="360" w:lineRule="auto"/>
        <w:jc w:val="both"/>
        <w:rPr>
          <w:rFonts w:ascii="Palatino Linotype" w:eastAsia="Palatino Linotype" w:hAnsi="Palatino Linotype" w:cs="Palatino Linotype"/>
          <w:sz w:val="22"/>
          <w:szCs w:val="22"/>
        </w:rPr>
      </w:pPr>
      <w:r w:rsidRPr="00B4157D">
        <w:rPr>
          <w:rFonts w:ascii="Palatino Linotype" w:eastAsia="Palatino Linotype" w:hAnsi="Palatino Linotype" w:cs="Palatino Linotype"/>
          <w:b/>
          <w:sz w:val="22"/>
          <w:szCs w:val="22"/>
        </w:rPr>
        <w:t xml:space="preserve">8. Ampliación del término para resolver. </w:t>
      </w:r>
      <w:r w:rsidR="00F30806" w:rsidRPr="00B4157D">
        <w:rPr>
          <w:rFonts w:ascii="Palatino Linotype" w:eastAsia="Palatino Linotype" w:hAnsi="Palatino Linotype" w:cs="Palatino Linotype"/>
          <w:sz w:val="22"/>
          <w:szCs w:val="22"/>
        </w:rPr>
        <w:t>El</w:t>
      </w:r>
      <w:r w:rsidR="00F30806" w:rsidRPr="00B4157D">
        <w:rPr>
          <w:rFonts w:ascii="Palatino Linotype" w:eastAsia="Palatino Linotype" w:hAnsi="Palatino Linotype" w:cs="Palatino Linotype"/>
          <w:b/>
          <w:sz w:val="22"/>
          <w:szCs w:val="22"/>
        </w:rPr>
        <w:t xml:space="preserve"> cinco de noviembre de dos mil veinticinco</w:t>
      </w:r>
      <w:r w:rsidR="00F30806" w:rsidRPr="00B4157D">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6DADEA53" w14:textId="77777777" w:rsidR="00F30806" w:rsidRPr="00B4157D" w:rsidRDefault="00F30806" w:rsidP="00F30806">
      <w:pPr>
        <w:spacing w:before="240" w:after="240" w:line="360" w:lineRule="auto"/>
        <w:jc w:val="both"/>
        <w:rPr>
          <w:rFonts w:ascii="Palatino Linotype" w:eastAsia="Palatino Linotype" w:hAnsi="Palatino Linotype" w:cs="Palatino Linotype"/>
          <w:sz w:val="22"/>
          <w:szCs w:val="22"/>
        </w:rPr>
      </w:pPr>
      <w:r w:rsidRPr="00B4157D">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440366F7" w14:textId="77777777" w:rsidR="00F30806" w:rsidRPr="00B4157D" w:rsidRDefault="00F30806" w:rsidP="00F30806">
      <w:pPr>
        <w:spacing w:before="240" w:after="240" w:line="360" w:lineRule="auto"/>
        <w:jc w:val="both"/>
        <w:rPr>
          <w:rFonts w:ascii="Palatino Linotype" w:eastAsia="Palatino Linotype" w:hAnsi="Palatino Linotype" w:cs="Palatino Linotype"/>
          <w:sz w:val="22"/>
          <w:szCs w:val="22"/>
        </w:rPr>
      </w:pPr>
      <w:r w:rsidRPr="00B4157D">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5191F276" w14:textId="77777777" w:rsidR="00F30806" w:rsidRPr="00B4157D" w:rsidRDefault="00F30806" w:rsidP="00F30806">
      <w:pPr>
        <w:spacing w:before="240" w:after="240" w:line="360" w:lineRule="auto"/>
        <w:jc w:val="both"/>
        <w:rPr>
          <w:rFonts w:ascii="Palatino Linotype" w:eastAsia="Palatino Linotype" w:hAnsi="Palatino Linotype" w:cs="Palatino Linotype"/>
          <w:sz w:val="22"/>
          <w:szCs w:val="22"/>
        </w:rPr>
      </w:pPr>
      <w:r w:rsidRPr="00B4157D">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70F85D0" w14:textId="77777777" w:rsidR="00F30806" w:rsidRPr="00B4157D" w:rsidRDefault="00F30806" w:rsidP="00F30806">
      <w:pPr>
        <w:spacing w:before="240" w:after="240" w:line="360" w:lineRule="auto"/>
        <w:jc w:val="both"/>
        <w:rPr>
          <w:rFonts w:ascii="Palatino Linotype" w:eastAsia="Palatino Linotype" w:hAnsi="Palatino Linotype" w:cs="Palatino Linotype"/>
          <w:sz w:val="22"/>
          <w:szCs w:val="22"/>
        </w:rPr>
      </w:pPr>
      <w:r w:rsidRPr="00B4157D">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98D5A72" w14:textId="77777777" w:rsidR="00F30806" w:rsidRPr="00B4157D" w:rsidRDefault="00F30806" w:rsidP="00F30806">
      <w:pPr>
        <w:spacing w:before="240" w:after="240" w:line="360" w:lineRule="auto"/>
        <w:jc w:val="both"/>
        <w:rPr>
          <w:rFonts w:ascii="Palatino Linotype" w:eastAsia="Palatino Linotype" w:hAnsi="Palatino Linotype" w:cs="Palatino Linotype"/>
          <w:strike/>
          <w:sz w:val="22"/>
          <w:szCs w:val="22"/>
        </w:rPr>
      </w:pPr>
      <w:r w:rsidRPr="00B4157D">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1ED3B81C" w14:textId="77777777" w:rsidR="00F30806" w:rsidRPr="00B4157D" w:rsidRDefault="00F30806" w:rsidP="00F30806">
      <w:pPr>
        <w:numPr>
          <w:ilvl w:val="0"/>
          <w:numId w:val="2"/>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B4157D">
        <w:rPr>
          <w:rFonts w:ascii="Palatino Linotype" w:eastAsia="Palatino Linotype" w:hAnsi="Palatino Linotype" w:cs="Palatino Linotype"/>
          <w:sz w:val="22"/>
          <w:szCs w:val="22"/>
        </w:rPr>
        <w:t xml:space="preserve">Complejidad del Asunto: La complejidad de la prueba, la pluralidad de sujetos procesales, el tiempo transcurrido, las características y contexto del recurso. </w:t>
      </w:r>
    </w:p>
    <w:p w14:paraId="3B4AC4D7" w14:textId="77777777" w:rsidR="00F30806" w:rsidRPr="00B4157D" w:rsidRDefault="00F30806" w:rsidP="00F30806">
      <w:pPr>
        <w:numPr>
          <w:ilvl w:val="0"/>
          <w:numId w:val="2"/>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B4157D">
        <w:rPr>
          <w:rFonts w:ascii="Palatino Linotype" w:eastAsia="Palatino Linotype" w:hAnsi="Palatino Linotype" w:cs="Palatino Linotype"/>
          <w:sz w:val="22"/>
          <w:szCs w:val="22"/>
        </w:rPr>
        <w:t>Actividad Procesal del interesado. Acciones u omisiones del interesado.</w:t>
      </w:r>
    </w:p>
    <w:p w14:paraId="3E6E4E90" w14:textId="77777777" w:rsidR="00F30806" w:rsidRPr="00B4157D" w:rsidRDefault="00F30806" w:rsidP="00F30806">
      <w:pPr>
        <w:numPr>
          <w:ilvl w:val="0"/>
          <w:numId w:val="2"/>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B4157D">
        <w:rPr>
          <w:rFonts w:ascii="Palatino Linotype" w:eastAsia="Palatino Linotype" w:hAnsi="Palatino Linotype" w:cs="Palatino Linotype"/>
          <w:sz w:val="22"/>
          <w:szCs w:val="22"/>
        </w:rPr>
        <w:t>Conducta de la Autoridad: Las Acciones u omisiones realizadas en el procedimiento. Así como si la autoridad actuó con la debida diligencia.</w:t>
      </w:r>
    </w:p>
    <w:p w14:paraId="28C8B7B7" w14:textId="77777777" w:rsidR="00F30806" w:rsidRPr="00B4157D" w:rsidRDefault="00F30806" w:rsidP="00F30806">
      <w:pPr>
        <w:tabs>
          <w:tab w:val="left" w:pos="567"/>
        </w:tabs>
        <w:spacing w:before="240" w:after="240" w:line="360" w:lineRule="auto"/>
        <w:ind w:left="284"/>
        <w:jc w:val="both"/>
        <w:rPr>
          <w:rFonts w:ascii="Palatino Linotype" w:eastAsia="Palatino Linotype" w:hAnsi="Palatino Linotype" w:cs="Palatino Linotype"/>
          <w:sz w:val="22"/>
          <w:szCs w:val="22"/>
        </w:rPr>
      </w:pPr>
      <w:r w:rsidRPr="00B4157D">
        <w:rPr>
          <w:rFonts w:ascii="Palatino Linotype" w:eastAsia="Palatino Linotype" w:hAnsi="Palatino Linotype" w:cs="Palatino Linotype"/>
          <w:sz w:val="22"/>
          <w:szCs w:val="22"/>
        </w:rPr>
        <w:t>d) La afectación generada en la situación jurídica de la persona involucrada en el proceso: Violación a sus derechos humanos.</w:t>
      </w:r>
    </w:p>
    <w:p w14:paraId="373CB34F" w14:textId="77777777" w:rsidR="00F30806" w:rsidRPr="00B4157D" w:rsidRDefault="00F30806" w:rsidP="00F30806">
      <w:pPr>
        <w:spacing w:before="240" w:after="240" w:line="360" w:lineRule="auto"/>
        <w:jc w:val="both"/>
        <w:rPr>
          <w:rFonts w:ascii="Palatino Linotype" w:eastAsia="Palatino Linotype" w:hAnsi="Palatino Linotype" w:cs="Palatino Linotype"/>
          <w:sz w:val="22"/>
          <w:szCs w:val="22"/>
        </w:rPr>
      </w:pPr>
      <w:r w:rsidRPr="00B4157D">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EB7B0A5" w14:textId="77777777" w:rsidR="00F30806" w:rsidRPr="00B4157D" w:rsidRDefault="00F30806" w:rsidP="00F30806">
      <w:pPr>
        <w:spacing w:before="240" w:after="240" w:line="360" w:lineRule="auto"/>
        <w:jc w:val="both"/>
        <w:rPr>
          <w:rFonts w:ascii="Palatino Linotype" w:eastAsia="Palatino Linotype" w:hAnsi="Palatino Linotype" w:cs="Palatino Linotype"/>
          <w:b/>
          <w:sz w:val="22"/>
          <w:szCs w:val="22"/>
        </w:rPr>
      </w:pPr>
      <w:r w:rsidRPr="00B4157D">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B4157D">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B4157D">
        <w:rPr>
          <w:rFonts w:ascii="Palatino Linotype" w:eastAsia="Palatino Linotype" w:hAnsi="Palatino Linotype" w:cs="Palatino Linotype"/>
          <w:sz w:val="22"/>
          <w:szCs w:val="22"/>
        </w:rPr>
        <w:t>, visible en la Gaceta del Seminario Judicial de la Federación con el registro digital 205635.</w:t>
      </w:r>
    </w:p>
    <w:p w14:paraId="580086B4" w14:textId="77777777" w:rsidR="00F30806" w:rsidRPr="00B4157D" w:rsidRDefault="00F30806" w:rsidP="00F30806">
      <w:pPr>
        <w:spacing w:before="240" w:after="240" w:line="360" w:lineRule="auto"/>
        <w:jc w:val="both"/>
        <w:rPr>
          <w:rFonts w:ascii="Palatino Linotype" w:eastAsia="Palatino Linotype" w:hAnsi="Palatino Linotype" w:cs="Palatino Linotype"/>
          <w:sz w:val="22"/>
          <w:szCs w:val="22"/>
        </w:rPr>
      </w:pPr>
      <w:r w:rsidRPr="00B4157D">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73C7C49" w14:textId="77777777" w:rsidR="00F30806" w:rsidRPr="00B4157D" w:rsidRDefault="00F30806" w:rsidP="00F30806">
      <w:pPr>
        <w:spacing w:before="240" w:after="240" w:line="360" w:lineRule="auto"/>
        <w:jc w:val="both"/>
        <w:rPr>
          <w:rFonts w:ascii="Palatino Linotype" w:eastAsia="Palatino Linotype" w:hAnsi="Palatino Linotype" w:cs="Palatino Linotype"/>
          <w:sz w:val="22"/>
          <w:szCs w:val="22"/>
        </w:rPr>
      </w:pPr>
      <w:r w:rsidRPr="00B4157D">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5678CEA4" w14:textId="77777777" w:rsidR="00F30806" w:rsidRPr="00B4157D" w:rsidRDefault="00F30806" w:rsidP="00F30806">
      <w:pPr>
        <w:spacing w:before="120" w:after="120"/>
        <w:ind w:left="851" w:right="902"/>
        <w:jc w:val="both"/>
        <w:rPr>
          <w:rFonts w:ascii="Palatino Linotype" w:eastAsia="Palatino Linotype" w:hAnsi="Palatino Linotype" w:cs="Palatino Linotype"/>
          <w:sz w:val="22"/>
          <w:szCs w:val="22"/>
        </w:rPr>
      </w:pPr>
      <w:r w:rsidRPr="00B4157D">
        <w:rPr>
          <w:rFonts w:ascii="Palatino Linotype" w:eastAsia="Palatino Linotype" w:hAnsi="Palatino Linotype" w:cs="Palatino Linotype"/>
          <w:sz w:val="22"/>
          <w:szCs w:val="22"/>
        </w:rPr>
        <w:t xml:space="preserve"> </w:t>
      </w:r>
      <w:r w:rsidRPr="00B4157D">
        <w:rPr>
          <w:rFonts w:ascii="Palatino Linotype" w:eastAsia="Palatino Linotype" w:hAnsi="Palatino Linotype" w:cs="Palatino Linotype"/>
          <w:i/>
          <w:sz w:val="22"/>
          <w:szCs w:val="22"/>
        </w:rPr>
        <w:t>“</w:t>
      </w:r>
      <w:r w:rsidRPr="00B4157D">
        <w:rPr>
          <w:rFonts w:ascii="Palatino Linotype" w:eastAsia="Palatino Linotype" w:hAnsi="Palatino Linotype" w:cs="Palatino Linotype"/>
          <w:b/>
          <w:i/>
          <w:sz w:val="22"/>
          <w:szCs w:val="22"/>
        </w:rPr>
        <w:t>PLAZO RAZONABLE PARA RESOLVER. DIMENSIÓN Y EFECTOS DE ESTE CONCEPTO CUANDO SE ADUCE EXCESIVA CARGA DE TRABAJO</w:t>
      </w:r>
      <w:r w:rsidRPr="00B4157D">
        <w:rPr>
          <w:rFonts w:ascii="Palatino Linotype" w:eastAsia="Palatino Linotype" w:hAnsi="Palatino Linotype" w:cs="Palatino Linotype"/>
          <w:i/>
          <w:sz w:val="22"/>
          <w:szCs w:val="22"/>
        </w:rPr>
        <w:t>.”</w:t>
      </w:r>
      <w:r w:rsidRPr="00B4157D">
        <w:rPr>
          <w:rFonts w:ascii="Palatino Linotype" w:eastAsia="Palatino Linotype" w:hAnsi="Palatino Linotype" w:cs="Palatino Linotype"/>
          <w:sz w:val="22"/>
          <w:szCs w:val="22"/>
        </w:rPr>
        <w:t xml:space="preserve"> consultable en el Seminario Judicial de la Federación y su gaceta, con el registro digital 2002351.</w:t>
      </w:r>
    </w:p>
    <w:p w14:paraId="739C4669" w14:textId="77777777" w:rsidR="00F30806" w:rsidRPr="00B4157D" w:rsidRDefault="00F30806" w:rsidP="00F30806">
      <w:pPr>
        <w:spacing w:before="120" w:after="120"/>
        <w:ind w:left="851" w:right="902"/>
        <w:jc w:val="both"/>
        <w:rPr>
          <w:rFonts w:ascii="Palatino Linotype" w:eastAsia="Palatino Linotype" w:hAnsi="Palatino Linotype" w:cs="Palatino Linotype"/>
          <w:sz w:val="22"/>
          <w:szCs w:val="22"/>
        </w:rPr>
      </w:pPr>
      <w:r w:rsidRPr="00B4157D">
        <w:rPr>
          <w:rFonts w:ascii="Palatino Linotype" w:eastAsia="Palatino Linotype" w:hAnsi="Palatino Linotype" w:cs="Palatino Linotype"/>
          <w:i/>
          <w:sz w:val="22"/>
          <w:szCs w:val="22"/>
        </w:rPr>
        <w:t>“</w:t>
      </w:r>
      <w:r w:rsidRPr="00B4157D">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B4157D">
        <w:rPr>
          <w:rFonts w:ascii="Palatino Linotype" w:eastAsia="Palatino Linotype" w:hAnsi="Palatino Linotype" w:cs="Palatino Linotype"/>
          <w:i/>
          <w:sz w:val="22"/>
          <w:szCs w:val="22"/>
        </w:rPr>
        <w:t>.”</w:t>
      </w:r>
      <w:r w:rsidRPr="00B4157D">
        <w:rPr>
          <w:rFonts w:ascii="Palatino Linotype" w:eastAsia="Palatino Linotype" w:hAnsi="Palatino Linotype" w:cs="Palatino Linotype"/>
          <w:sz w:val="22"/>
          <w:szCs w:val="22"/>
        </w:rPr>
        <w:t>, visible en el Seminario Judicial de la Federación y su gaceta, con el registro digital 2002350.</w:t>
      </w:r>
    </w:p>
    <w:p w14:paraId="4D462C5F" w14:textId="77777777" w:rsidR="00F30806" w:rsidRPr="00B4157D" w:rsidRDefault="00F30806" w:rsidP="00F30806">
      <w:pPr>
        <w:spacing w:before="240" w:after="240" w:line="360" w:lineRule="auto"/>
        <w:jc w:val="both"/>
        <w:rPr>
          <w:rFonts w:ascii="Palatino Linotype" w:eastAsia="Palatino Linotype" w:hAnsi="Palatino Linotype" w:cs="Palatino Linotype"/>
          <w:sz w:val="22"/>
          <w:szCs w:val="22"/>
        </w:rPr>
      </w:pPr>
      <w:r w:rsidRPr="00B4157D">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14:paraId="182106AA" w14:textId="77777777" w:rsidR="00B977D3" w:rsidRPr="00B4157D" w:rsidRDefault="00D92C13">
      <w:pPr>
        <w:spacing w:before="240" w:after="240" w:line="360" w:lineRule="auto"/>
        <w:jc w:val="both"/>
        <w:rPr>
          <w:rFonts w:ascii="Palatino Linotype" w:eastAsia="Palatino Linotype" w:hAnsi="Palatino Linotype" w:cs="Palatino Linotype"/>
          <w:sz w:val="22"/>
          <w:szCs w:val="22"/>
        </w:rPr>
      </w:pPr>
      <w:r w:rsidRPr="00B4157D">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6096C8B" w14:textId="77777777" w:rsidR="00B977D3" w:rsidRPr="00B4157D" w:rsidRDefault="00D92C13">
      <w:pPr>
        <w:widowControl w:val="0"/>
        <w:spacing w:before="240" w:after="240" w:line="360" w:lineRule="auto"/>
        <w:jc w:val="center"/>
        <w:rPr>
          <w:rFonts w:ascii="Palatino Linotype" w:eastAsia="Palatino Linotype" w:hAnsi="Palatino Linotype" w:cs="Palatino Linotype"/>
          <w:b/>
          <w:sz w:val="22"/>
          <w:szCs w:val="22"/>
        </w:rPr>
      </w:pPr>
      <w:r w:rsidRPr="00B4157D">
        <w:rPr>
          <w:rFonts w:ascii="Palatino Linotype" w:eastAsia="Palatino Linotype" w:hAnsi="Palatino Linotype" w:cs="Palatino Linotype"/>
          <w:b/>
          <w:sz w:val="22"/>
          <w:szCs w:val="22"/>
        </w:rPr>
        <w:t>II. C O N S I D E R A N D O S</w:t>
      </w:r>
    </w:p>
    <w:p w14:paraId="7295E097" w14:textId="77777777" w:rsidR="00B977D3" w:rsidRPr="00B4157D" w:rsidRDefault="00D92C13">
      <w:pPr>
        <w:spacing w:before="240" w:after="240" w:line="360" w:lineRule="auto"/>
        <w:jc w:val="both"/>
        <w:rPr>
          <w:rFonts w:ascii="Palatino Linotype" w:eastAsia="Palatino Linotype" w:hAnsi="Palatino Linotype" w:cs="Palatino Linotype"/>
          <w:sz w:val="22"/>
          <w:szCs w:val="22"/>
        </w:rPr>
      </w:pPr>
      <w:r w:rsidRPr="00B4157D">
        <w:rPr>
          <w:rFonts w:ascii="Palatino Linotype" w:eastAsia="Palatino Linotype" w:hAnsi="Palatino Linotype" w:cs="Palatino Linotype"/>
          <w:b/>
          <w:sz w:val="22"/>
          <w:szCs w:val="22"/>
        </w:rPr>
        <w:t>Primero. Competencia.</w:t>
      </w:r>
      <w:r w:rsidRPr="00B4157D">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ED3223" w:rsidRPr="00B4157D">
        <w:rPr>
          <w:rFonts w:ascii="Palatino Linotype" w:eastAsia="Palatino Linotype" w:hAnsi="Palatino Linotype" w:cs="Palatino Linotype"/>
          <w:sz w:val="22"/>
          <w:szCs w:val="22"/>
        </w:rPr>
        <w:t>c</w:t>
      </w:r>
      <w:r w:rsidRPr="00B4157D">
        <w:rPr>
          <w:rFonts w:ascii="Palatino Linotype" w:eastAsia="Palatino Linotype" w:hAnsi="Palatino Linotype" w:cs="Palatino Linotype"/>
          <w:sz w:val="22"/>
          <w:szCs w:val="22"/>
        </w:rPr>
        <w:t xml:space="preserve">uadragésimo </w:t>
      </w:r>
      <w:r w:rsidR="00ED3223" w:rsidRPr="00B4157D">
        <w:rPr>
          <w:rFonts w:ascii="Palatino Linotype" w:eastAsia="Palatino Linotype" w:hAnsi="Palatino Linotype" w:cs="Palatino Linotype"/>
          <w:sz w:val="22"/>
          <w:szCs w:val="22"/>
        </w:rPr>
        <w:t>cuarto, cuadragésimo quinto y cuadragésimo sexto</w:t>
      </w:r>
      <w:r w:rsidRPr="00B4157D">
        <w:rPr>
          <w:rFonts w:ascii="Palatino Linotype" w:eastAsia="Palatino Linotype" w:hAnsi="Palatino Linotype" w:cs="Palatino Linotype"/>
          <w:sz w:val="22"/>
          <w:szCs w:val="22"/>
        </w:rPr>
        <w:t>, fracciones IV y V de la Constitución Política del Estado Libre y Soberano de México;</w:t>
      </w:r>
      <w:r w:rsidR="00ED3223" w:rsidRPr="00B4157D">
        <w:rPr>
          <w:rFonts w:ascii="Palatino Linotype" w:eastAsia="Palatino Linotype" w:hAnsi="Palatino Linotype" w:cs="Palatino Linotype"/>
          <w:sz w:val="22"/>
          <w:szCs w:val="22"/>
        </w:rPr>
        <w:t xml:space="preserve"> Transitorio Cuarto, párrafo segundo del Decreto número 198 de la “LXII” Legislatura del Estado de México; </w:t>
      </w:r>
      <w:r w:rsidRPr="00B4157D">
        <w:rPr>
          <w:rFonts w:ascii="Palatino Linotype" w:eastAsia="Palatino Linotype" w:hAnsi="Palatino Linotype" w:cs="Palatino Linotype"/>
          <w:sz w:val="22"/>
          <w:szCs w:val="22"/>
        </w:rPr>
        <w:t>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7AD607B9" w14:textId="77777777" w:rsidR="00B977D3" w:rsidRPr="00B4157D" w:rsidRDefault="00D92C13">
      <w:pPr>
        <w:spacing w:before="240" w:after="240" w:line="360" w:lineRule="auto"/>
        <w:jc w:val="both"/>
        <w:rPr>
          <w:rFonts w:ascii="Palatino Linotype" w:eastAsia="Palatino Linotype" w:hAnsi="Palatino Linotype" w:cs="Palatino Linotype"/>
          <w:sz w:val="22"/>
          <w:szCs w:val="22"/>
        </w:rPr>
      </w:pPr>
      <w:bookmarkStart w:id="8" w:name="_heading=h.tyjcwt" w:colFirst="0" w:colLast="0"/>
      <w:bookmarkEnd w:id="8"/>
      <w:r w:rsidRPr="00B4157D">
        <w:rPr>
          <w:rFonts w:ascii="Palatino Linotype" w:eastAsia="Palatino Linotype" w:hAnsi="Palatino Linotype" w:cs="Palatino Linotype"/>
          <w:b/>
          <w:sz w:val="22"/>
          <w:szCs w:val="22"/>
        </w:rPr>
        <w:t>Segundo. Oportunidad y Procedibilidad del Recurso de Revisión</w:t>
      </w:r>
      <w:r w:rsidRPr="00B4157D">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FF3429C" w14:textId="77777777" w:rsidR="00B977D3" w:rsidRPr="00B4157D" w:rsidRDefault="00D92C13">
      <w:pPr>
        <w:spacing w:before="240" w:after="240" w:line="360" w:lineRule="auto"/>
        <w:jc w:val="both"/>
        <w:rPr>
          <w:rFonts w:ascii="Palatino Linotype" w:eastAsia="Palatino Linotype" w:hAnsi="Palatino Linotype" w:cs="Palatino Linotype"/>
          <w:sz w:val="22"/>
          <w:szCs w:val="22"/>
        </w:rPr>
      </w:pPr>
      <w:r w:rsidRPr="00B4157D">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B4157D">
        <w:rPr>
          <w:rFonts w:ascii="Palatino Linotype" w:eastAsia="Palatino Linotype" w:hAnsi="Palatino Linotype" w:cs="Palatino Linotype"/>
          <w:b/>
          <w:sz w:val="22"/>
          <w:szCs w:val="22"/>
        </w:rPr>
        <w:t xml:space="preserve">Sujeto Obligado </w:t>
      </w:r>
      <w:r w:rsidRPr="00B4157D">
        <w:rPr>
          <w:rFonts w:ascii="Palatino Linotype" w:eastAsia="Palatino Linotype" w:hAnsi="Palatino Linotype" w:cs="Palatino Linotype"/>
          <w:sz w:val="22"/>
          <w:szCs w:val="22"/>
        </w:rPr>
        <w:t xml:space="preserve">remitió la respuesta a la solicitud de información el día </w:t>
      </w:r>
      <w:r w:rsidR="00373ACA" w:rsidRPr="00B4157D">
        <w:rPr>
          <w:rFonts w:ascii="Palatino Linotype" w:eastAsia="Palatino Linotype" w:hAnsi="Palatino Linotype" w:cs="Palatino Linotype"/>
          <w:b/>
          <w:sz w:val="22"/>
          <w:szCs w:val="22"/>
        </w:rPr>
        <w:t>diez de julio</w:t>
      </w:r>
      <w:r w:rsidRPr="00B4157D">
        <w:rPr>
          <w:rFonts w:ascii="Palatino Linotype" w:eastAsia="Palatino Linotype" w:hAnsi="Palatino Linotype" w:cs="Palatino Linotype"/>
          <w:b/>
          <w:sz w:val="22"/>
          <w:szCs w:val="22"/>
        </w:rPr>
        <w:t xml:space="preserve"> de dos mil veinticinco, </w:t>
      </w:r>
      <w:r w:rsidRPr="00B4157D">
        <w:rPr>
          <w:rFonts w:ascii="Palatino Linotype" w:eastAsia="Palatino Linotype" w:hAnsi="Palatino Linotype" w:cs="Palatino Linotype"/>
          <w:sz w:val="22"/>
          <w:szCs w:val="22"/>
        </w:rPr>
        <w:t xml:space="preserve">mientras que el recurso de revisión interpuesto por la parte </w:t>
      </w:r>
      <w:r w:rsidRPr="00B4157D">
        <w:rPr>
          <w:rFonts w:ascii="Palatino Linotype" w:eastAsia="Palatino Linotype" w:hAnsi="Palatino Linotype" w:cs="Palatino Linotype"/>
          <w:b/>
          <w:sz w:val="22"/>
          <w:szCs w:val="22"/>
        </w:rPr>
        <w:t xml:space="preserve">Recurrente, </w:t>
      </w:r>
      <w:r w:rsidRPr="00B4157D">
        <w:rPr>
          <w:rFonts w:ascii="Palatino Linotype" w:eastAsia="Palatino Linotype" w:hAnsi="Palatino Linotype" w:cs="Palatino Linotype"/>
          <w:sz w:val="22"/>
          <w:szCs w:val="22"/>
        </w:rPr>
        <w:t>se tuvo por presentado el día</w:t>
      </w:r>
      <w:r w:rsidRPr="00B4157D">
        <w:rPr>
          <w:rFonts w:ascii="Palatino Linotype" w:eastAsia="Palatino Linotype" w:hAnsi="Palatino Linotype" w:cs="Palatino Linotype"/>
          <w:b/>
          <w:sz w:val="22"/>
          <w:szCs w:val="22"/>
        </w:rPr>
        <w:t xml:space="preserve"> </w:t>
      </w:r>
      <w:r w:rsidR="00373ACA" w:rsidRPr="00B4157D">
        <w:rPr>
          <w:rFonts w:ascii="Palatino Linotype" w:eastAsia="Palatino Linotype" w:hAnsi="Palatino Linotype" w:cs="Palatino Linotype"/>
          <w:b/>
          <w:sz w:val="22"/>
          <w:szCs w:val="22"/>
        </w:rPr>
        <w:t>catorce de julio</w:t>
      </w:r>
      <w:r w:rsidRPr="00B4157D">
        <w:rPr>
          <w:rFonts w:ascii="Palatino Linotype" w:eastAsia="Palatino Linotype" w:hAnsi="Palatino Linotype" w:cs="Palatino Linotype"/>
          <w:b/>
          <w:sz w:val="22"/>
          <w:szCs w:val="22"/>
        </w:rPr>
        <w:t xml:space="preserve"> de dos mil veinticinco, </w:t>
      </w:r>
      <w:r w:rsidRPr="00B4157D">
        <w:rPr>
          <w:rFonts w:ascii="Palatino Linotype" w:eastAsia="Palatino Linotype" w:hAnsi="Palatino Linotype" w:cs="Palatino Linotype"/>
          <w:sz w:val="22"/>
          <w:szCs w:val="22"/>
        </w:rPr>
        <w:t>esto es, al segundo día hábil posterior a aquel en el que tuvo conocimiento de la respuesta impugnada. En este sentido, se concluye que el presente recurso de revisión se encuentra dentro de los márgenes temporales previstos en las disposiciones legales referidas.</w:t>
      </w:r>
    </w:p>
    <w:p w14:paraId="324F44FF" w14:textId="77777777" w:rsidR="00B977D3" w:rsidRPr="00B4157D" w:rsidRDefault="00D92C13">
      <w:pPr>
        <w:spacing w:before="240" w:after="240" w:line="360" w:lineRule="auto"/>
        <w:jc w:val="both"/>
        <w:rPr>
          <w:rFonts w:ascii="Palatino Linotype" w:eastAsia="Palatino Linotype" w:hAnsi="Palatino Linotype" w:cs="Palatino Linotype"/>
          <w:sz w:val="22"/>
          <w:szCs w:val="22"/>
        </w:rPr>
      </w:pPr>
      <w:r w:rsidRPr="00B4157D">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616BAE3" w14:textId="77777777" w:rsidR="00B977D3" w:rsidRPr="00B4157D" w:rsidRDefault="00D92C13">
      <w:pPr>
        <w:spacing w:before="240" w:after="240" w:line="360" w:lineRule="auto"/>
        <w:jc w:val="both"/>
        <w:rPr>
          <w:rFonts w:ascii="Palatino Linotype" w:eastAsia="Palatino Linotype" w:hAnsi="Palatino Linotype" w:cs="Palatino Linotype"/>
          <w:sz w:val="22"/>
          <w:szCs w:val="22"/>
        </w:rPr>
      </w:pPr>
      <w:r w:rsidRPr="00B4157D">
        <w:rPr>
          <w:rFonts w:ascii="Palatino Linotype" w:eastAsia="Palatino Linotype" w:hAnsi="Palatino Linotype" w:cs="Palatino Linotype"/>
          <w:sz w:val="22"/>
          <w:szCs w:val="22"/>
        </w:rPr>
        <w:t xml:space="preserve">Finalmente, se advierte que resulta procedente la interposición del recurso, según lo manifestado por la parte </w:t>
      </w:r>
      <w:r w:rsidRPr="00B4157D">
        <w:rPr>
          <w:rFonts w:ascii="Palatino Linotype" w:eastAsia="Palatino Linotype" w:hAnsi="Palatino Linotype" w:cs="Palatino Linotype"/>
          <w:b/>
          <w:sz w:val="22"/>
          <w:szCs w:val="22"/>
        </w:rPr>
        <w:t>Recurrente</w:t>
      </w:r>
      <w:r w:rsidRPr="00B4157D">
        <w:rPr>
          <w:rFonts w:ascii="Palatino Linotype" w:eastAsia="Palatino Linotype" w:hAnsi="Palatino Linotype" w:cs="Palatino Linotype"/>
          <w:sz w:val="22"/>
          <w:szCs w:val="22"/>
        </w:rPr>
        <w:t xml:space="preserve"> en sus motivos de inconformidad, de acuerdo al artículo 179, fra</w:t>
      </w:r>
      <w:r w:rsidR="00373ACA" w:rsidRPr="00B4157D">
        <w:rPr>
          <w:rFonts w:ascii="Palatino Linotype" w:eastAsia="Palatino Linotype" w:hAnsi="Palatino Linotype" w:cs="Palatino Linotype"/>
          <w:sz w:val="22"/>
          <w:szCs w:val="22"/>
        </w:rPr>
        <w:t>cción V</w:t>
      </w:r>
      <w:r w:rsidRPr="00B4157D">
        <w:rPr>
          <w:rFonts w:ascii="Palatino Linotype" w:eastAsia="Palatino Linotype" w:hAnsi="Palatino Linotype" w:cs="Palatino Linotype"/>
          <w:sz w:val="22"/>
          <w:szCs w:val="22"/>
        </w:rPr>
        <w:t xml:space="preserve"> del ordenamiento legal citado, que a la letra dice: </w:t>
      </w:r>
    </w:p>
    <w:p w14:paraId="510C5E8C" w14:textId="77777777" w:rsidR="00B977D3" w:rsidRPr="00B4157D" w:rsidRDefault="00D92C13">
      <w:pPr>
        <w:tabs>
          <w:tab w:val="left" w:pos="7938"/>
        </w:tabs>
        <w:spacing w:before="120" w:after="120"/>
        <w:ind w:left="851" w:right="902"/>
        <w:jc w:val="both"/>
        <w:rPr>
          <w:rFonts w:ascii="Palatino Linotype" w:eastAsia="Palatino Linotype" w:hAnsi="Palatino Linotype" w:cs="Palatino Linotype"/>
          <w:i/>
          <w:sz w:val="22"/>
          <w:szCs w:val="22"/>
        </w:rPr>
      </w:pPr>
      <w:r w:rsidRPr="00B4157D">
        <w:rPr>
          <w:rFonts w:ascii="Palatino Linotype" w:eastAsia="Palatino Linotype" w:hAnsi="Palatino Linotype" w:cs="Palatino Linotype"/>
          <w:i/>
          <w:sz w:val="22"/>
          <w:szCs w:val="22"/>
        </w:rPr>
        <w:t>“</w:t>
      </w:r>
      <w:r w:rsidRPr="00B4157D">
        <w:rPr>
          <w:rFonts w:ascii="Palatino Linotype" w:eastAsia="Palatino Linotype" w:hAnsi="Palatino Linotype" w:cs="Palatino Linotype"/>
          <w:b/>
          <w:i/>
          <w:sz w:val="22"/>
          <w:szCs w:val="22"/>
        </w:rPr>
        <w:t>Artículo 179.</w:t>
      </w:r>
      <w:r w:rsidRPr="00B4157D">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6293F0A8" w14:textId="77777777" w:rsidR="00373ACA" w:rsidRPr="00B4157D" w:rsidRDefault="00373ACA">
      <w:pPr>
        <w:tabs>
          <w:tab w:val="left" w:pos="7938"/>
        </w:tabs>
        <w:spacing w:before="120" w:after="120"/>
        <w:ind w:left="851" w:right="902"/>
        <w:jc w:val="both"/>
        <w:rPr>
          <w:rFonts w:ascii="Palatino Linotype" w:eastAsia="Palatino Linotype" w:hAnsi="Palatino Linotype" w:cs="Palatino Linotype"/>
          <w:b/>
          <w:i/>
          <w:sz w:val="22"/>
          <w:szCs w:val="22"/>
        </w:rPr>
      </w:pPr>
      <w:r w:rsidRPr="00B4157D">
        <w:rPr>
          <w:rFonts w:ascii="Palatino Linotype" w:eastAsia="Palatino Linotype" w:hAnsi="Palatino Linotype" w:cs="Palatino Linotype"/>
          <w:b/>
          <w:i/>
          <w:sz w:val="22"/>
          <w:szCs w:val="22"/>
        </w:rPr>
        <w:t>...</w:t>
      </w:r>
    </w:p>
    <w:p w14:paraId="60844807" w14:textId="77777777" w:rsidR="00B977D3" w:rsidRPr="00B4157D" w:rsidRDefault="00373ACA" w:rsidP="00373ACA">
      <w:pPr>
        <w:tabs>
          <w:tab w:val="left" w:pos="7938"/>
        </w:tabs>
        <w:spacing w:before="120" w:after="120"/>
        <w:ind w:left="851" w:right="902"/>
        <w:jc w:val="both"/>
        <w:rPr>
          <w:rFonts w:ascii="Palatino Linotype" w:eastAsia="Palatino Linotype" w:hAnsi="Palatino Linotype" w:cs="Palatino Linotype"/>
          <w:i/>
          <w:sz w:val="22"/>
          <w:szCs w:val="22"/>
        </w:rPr>
      </w:pPr>
      <w:r w:rsidRPr="00B4157D">
        <w:rPr>
          <w:rFonts w:ascii="Palatino Linotype" w:eastAsia="Palatino Linotype" w:hAnsi="Palatino Linotype" w:cs="Palatino Linotype"/>
          <w:b/>
          <w:i/>
          <w:sz w:val="22"/>
          <w:szCs w:val="22"/>
        </w:rPr>
        <w:t>V.</w:t>
      </w:r>
      <w:r w:rsidRPr="00B4157D">
        <w:rPr>
          <w:rFonts w:ascii="Palatino Linotype" w:hAnsi="Palatino Linotype"/>
          <w:sz w:val="22"/>
          <w:szCs w:val="22"/>
        </w:rPr>
        <w:t xml:space="preserve"> </w:t>
      </w:r>
      <w:r w:rsidRPr="00B4157D">
        <w:rPr>
          <w:rFonts w:ascii="Palatino Linotype" w:eastAsia="Palatino Linotype" w:hAnsi="Palatino Linotype" w:cs="Palatino Linotype"/>
          <w:i/>
          <w:sz w:val="22"/>
          <w:szCs w:val="22"/>
        </w:rPr>
        <w:t>La entrega de información incompleta;”</w:t>
      </w:r>
    </w:p>
    <w:p w14:paraId="4DCC1D11" w14:textId="77777777" w:rsidR="00B977D3" w:rsidRPr="00B4157D" w:rsidRDefault="00D92C13">
      <w:pPr>
        <w:spacing w:before="240" w:after="240" w:line="360" w:lineRule="auto"/>
        <w:jc w:val="both"/>
        <w:rPr>
          <w:rFonts w:ascii="Palatino Linotype" w:eastAsia="Palatino Linotype" w:hAnsi="Palatino Linotype" w:cs="Palatino Linotype"/>
          <w:sz w:val="22"/>
          <w:szCs w:val="22"/>
        </w:rPr>
      </w:pPr>
      <w:r w:rsidRPr="00B4157D">
        <w:rPr>
          <w:rFonts w:ascii="Palatino Linotype" w:eastAsia="Palatino Linotype" w:hAnsi="Palatino Linotype" w:cs="Palatino Linotype"/>
          <w:b/>
          <w:sz w:val="22"/>
          <w:szCs w:val="22"/>
        </w:rPr>
        <w:t>Tercero. Análisis de las causales de sobreseimiento de los recursos de revisión.</w:t>
      </w:r>
      <w:r w:rsidRPr="00B4157D">
        <w:rPr>
          <w:rFonts w:ascii="Palatino Linotype" w:eastAsia="Palatino Linotype" w:hAnsi="Palatino Linotype" w:cs="Palatino Linotype"/>
          <w:sz w:val="22"/>
          <w:szCs w:val="22"/>
        </w:rPr>
        <w:t xml:space="preserve"> 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A83FDED" w14:textId="77777777" w:rsidR="00B977D3" w:rsidRPr="00B4157D" w:rsidRDefault="00D92C13">
      <w:pPr>
        <w:spacing w:before="240" w:after="240" w:line="360" w:lineRule="auto"/>
        <w:jc w:val="both"/>
        <w:rPr>
          <w:rFonts w:ascii="Palatino Linotype" w:eastAsia="Palatino Linotype" w:hAnsi="Palatino Linotype" w:cs="Palatino Linotype"/>
          <w:sz w:val="22"/>
          <w:szCs w:val="22"/>
        </w:rPr>
      </w:pPr>
      <w:r w:rsidRPr="00B4157D">
        <w:rPr>
          <w:rFonts w:ascii="Palatino Linotype" w:eastAsia="Palatino Linotype" w:hAnsi="Palatino Linotype" w:cs="Palatino Linotype"/>
          <w:sz w:val="22"/>
          <w:szCs w:val="22"/>
        </w:rPr>
        <w:t>Es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este no se coarta por regular causas de improcedencia y sobreseimiento con tales fines.</w:t>
      </w:r>
    </w:p>
    <w:p w14:paraId="24B14464" w14:textId="77777777" w:rsidR="00B977D3" w:rsidRPr="00B4157D" w:rsidRDefault="00D92C13">
      <w:pPr>
        <w:spacing w:before="240" w:after="240" w:line="360" w:lineRule="auto"/>
        <w:jc w:val="both"/>
        <w:rPr>
          <w:rFonts w:ascii="Palatino Linotype" w:eastAsia="Palatino Linotype" w:hAnsi="Palatino Linotype" w:cs="Palatino Linotype"/>
          <w:sz w:val="22"/>
          <w:szCs w:val="22"/>
        </w:rPr>
      </w:pPr>
      <w:r w:rsidRPr="00B4157D">
        <w:rPr>
          <w:rFonts w:ascii="Palatino Linotype" w:eastAsia="Palatino Linotype" w:hAnsi="Palatino Linotype" w:cs="Palatino Linotype"/>
          <w:sz w:val="22"/>
          <w:szCs w:val="22"/>
        </w:rPr>
        <w:t>De manera preliminar en el caso concreto conviene analizar si se actualiza alguna de las causales de sobreseimiento del recurso de revisión.</w:t>
      </w:r>
    </w:p>
    <w:p w14:paraId="3F997B42" w14:textId="77777777" w:rsidR="00B977D3" w:rsidRPr="00B4157D" w:rsidRDefault="00D92C13">
      <w:pPr>
        <w:spacing w:before="240" w:after="240" w:line="360" w:lineRule="auto"/>
        <w:jc w:val="both"/>
        <w:rPr>
          <w:rFonts w:ascii="Palatino Linotype" w:eastAsia="Palatino Linotype" w:hAnsi="Palatino Linotype" w:cs="Palatino Linotype"/>
          <w:sz w:val="22"/>
          <w:szCs w:val="22"/>
        </w:rPr>
      </w:pPr>
      <w:r w:rsidRPr="00B4157D">
        <w:rPr>
          <w:rFonts w:ascii="Palatino Linotype" w:eastAsia="Palatino Linotype" w:hAnsi="Palatino Linotype" w:cs="Palatino Linotype"/>
          <w:sz w:val="22"/>
          <w:szCs w:val="22"/>
        </w:rPr>
        <w:t xml:space="preserve">En tal contexto, del análisis de la solicitud de información motivo del recurso de revisión que ahora se resuelve, se advierte que la parte </w:t>
      </w:r>
      <w:r w:rsidRPr="00B4157D">
        <w:rPr>
          <w:rFonts w:ascii="Palatino Linotype" w:eastAsia="Palatino Linotype" w:hAnsi="Palatino Linotype" w:cs="Palatino Linotype"/>
          <w:b/>
          <w:sz w:val="22"/>
          <w:szCs w:val="22"/>
        </w:rPr>
        <w:t>Recurrente</w:t>
      </w:r>
      <w:r w:rsidRPr="00B4157D">
        <w:rPr>
          <w:rFonts w:ascii="Palatino Linotype" w:eastAsia="Palatino Linotype" w:hAnsi="Palatino Linotype" w:cs="Palatino Linotype"/>
          <w:sz w:val="22"/>
          <w:szCs w:val="22"/>
        </w:rPr>
        <w:t xml:space="preserve"> requirió al </w:t>
      </w:r>
      <w:r w:rsidRPr="00B4157D">
        <w:rPr>
          <w:rFonts w:ascii="Palatino Linotype" w:eastAsia="Palatino Linotype" w:hAnsi="Palatino Linotype" w:cs="Palatino Linotype"/>
          <w:b/>
          <w:sz w:val="22"/>
          <w:szCs w:val="22"/>
        </w:rPr>
        <w:t>Sujeto Obligado</w:t>
      </w:r>
      <w:r w:rsidRPr="00B4157D">
        <w:rPr>
          <w:rFonts w:ascii="Palatino Linotype" w:eastAsia="Palatino Linotype" w:hAnsi="Palatino Linotype" w:cs="Palatino Linotype"/>
          <w:sz w:val="22"/>
          <w:szCs w:val="22"/>
        </w:rPr>
        <w:t xml:space="preserve"> le proporcione información que consiste en lo siguiente:</w:t>
      </w:r>
    </w:p>
    <w:p w14:paraId="7E1A5F06" w14:textId="77777777" w:rsidR="00F92A46" w:rsidRPr="00B4157D" w:rsidRDefault="00F92A46" w:rsidP="00F92A46">
      <w:pPr>
        <w:spacing w:before="240" w:after="240" w:line="360" w:lineRule="auto"/>
        <w:ind w:left="284"/>
        <w:jc w:val="both"/>
        <w:rPr>
          <w:rFonts w:ascii="Palatino Linotype" w:eastAsia="Palatino Linotype" w:hAnsi="Palatino Linotype" w:cs="Palatino Linotype"/>
          <w:sz w:val="22"/>
          <w:szCs w:val="22"/>
        </w:rPr>
      </w:pPr>
      <w:r w:rsidRPr="00B4157D">
        <w:rPr>
          <w:rFonts w:ascii="Palatino Linotype" w:eastAsia="Palatino Linotype" w:hAnsi="Palatino Linotype" w:cs="Palatino Linotype"/>
          <w:sz w:val="22"/>
          <w:szCs w:val="22"/>
        </w:rPr>
        <w:t>1. El convenio que se tiene con el Club de Futbol Halcones Negros para ocupar el inmueble denominado Deportivo “San José”, o en su defecto, la documentación que acredita el permiso para poder utilizar el inmueble mencionado.</w:t>
      </w:r>
    </w:p>
    <w:p w14:paraId="54BC7765" w14:textId="77777777" w:rsidR="00FB6709" w:rsidRPr="00B4157D" w:rsidRDefault="00D92C13">
      <w:pPr>
        <w:spacing w:before="240" w:after="240" w:line="360" w:lineRule="auto"/>
        <w:jc w:val="both"/>
        <w:rPr>
          <w:rFonts w:ascii="Palatino Linotype" w:eastAsia="Palatino Linotype" w:hAnsi="Palatino Linotype" w:cs="Palatino Linotype"/>
          <w:b/>
          <w:sz w:val="22"/>
          <w:szCs w:val="22"/>
        </w:rPr>
      </w:pPr>
      <w:r w:rsidRPr="00B4157D">
        <w:rPr>
          <w:rFonts w:ascii="Palatino Linotype" w:eastAsia="Palatino Linotype" w:hAnsi="Palatino Linotype" w:cs="Palatino Linotype"/>
          <w:sz w:val="22"/>
          <w:szCs w:val="22"/>
        </w:rPr>
        <w:t xml:space="preserve">En respuesta, el </w:t>
      </w:r>
      <w:r w:rsidRPr="00B4157D">
        <w:rPr>
          <w:rFonts w:ascii="Palatino Linotype" w:eastAsia="Palatino Linotype" w:hAnsi="Palatino Linotype" w:cs="Palatino Linotype"/>
          <w:b/>
          <w:sz w:val="22"/>
          <w:szCs w:val="22"/>
        </w:rPr>
        <w:t xml:space="preserve">Sujeto Obligado </w:t>
      </w:r>
      <w:r w:rsidRPr="00B4157D">
        <w:rPr>
          <w:rFonts w:ascii="Palatino Linotype" w:eastAsia="Palatino Linotype" w:hAnsi="Palatino Linotype" w:cs="Palatino Linotype"/>
          <w:sz w:val="22"/>
          <w:szCs w:val="22"/>
        </w:rPr>
        <w:t>por conducto de</w:t>
      </w:r>
      <w:r w:rsidR="00F92A46" w:rsidRPr="00B4157D">
        <w:rPr>
          <w:rFonts w:ascii="Palatino Linotype" w:eastAsia="Palatino Linotype" w:hAnsi="Palatino Linotype" w:cs="Palatino Linotype"/>
          <w:sz w:val="22"/>
          <w:szCs w:val="22"/>
        </w:rPr>
        <w:t xml:space="preserve">l Director de Administración informó que en el mes de enero de dos mil veinticinco, el </w:t>
      </w:r>
      <w:r w:rsidRPr="00B4157D">
        <w:rPr>
          <w:rFonts w:ascii="Palatino Linotype" w:eastAsia="Palatino Linotype" w:hAnsi="Palatino Linotype" w:cs="Palatino Linotype"/>
          <w:sz w:val="22"/>
          <w:szCs w:val="22"/>
        </w:rPr>
        <w:t xml:space="preserve"> </w:t>
      </w:r>
      <w:r w:rsidR="00F92A46" w:rsidRPr="00B4157D">
        <w:rPr>
          <w:rFonts w:ascii="Palatino Linotype" w:eastAsia="Palatino Linotype" w:hAnsi="Palatino Linotype" w:cs="Palatino Linotype"/>
          <w:sz w:val="22"/>
          <w:szCs w:val="22"/>
        </w:rPr>
        <w:t>presidente de equipo Halcones Negros solicito permiso para poder entrenar en las canchas de futbol del Deportivo “San José”</w:t>
      </w:r>
      <w:r w:rsidR="00FB6709" w:rsidRPr="00B4157D">
        <w:rPr>
          <w:rFonts w:ascii="Palatino Linotype" w:eastAsia="Palatino Linotype" w:hAnsi="Palatino Linotype" w:cs="Palatino Linotype"/>
          <w:sz w:val="22"/>
          <w:szCs w:val="22"/>
        </w:rPr>
        <w:t xml:space="preserve"> ya que al </w:t>
      </w:r>
      <w:r w:rsidR="00F92A46" w:rsidRPr="00B4157D">
        <w:rPr>
          <w:rFonts w:ascii="Palatino Linotype" w:eastAsia="Palatino Linotype" w:hAnsi="Palatino Linotype" w:cs="Palatino Linotype"/>
          <w:sz w:val="22"/>
          <w:szCs w:val="22"/>
        </w:rPr>
        <w:t xml:space="preserve">ser un equipo de cuarta división la cancha cubre con las características profesionales que requiere, así mismo </w:t>
      </w:r>
      <w:r w:rsidR="00FB6709" w:rsidRPr="00B4157D">
        <w:rPr>
          <w:rFonts w:ascii="Palatino Linotype" w:eastAsia="Palatino Linotype" w:hAnsi="Palatino Linotype" w:cs="Palatino Linotype"/>
          <w:sz w:val="22"/>
          <w:szCs w:val="22"/>
        </w:rPr>
        <w:t xml:space="preserve">indicó que </w:t>
      </w:r>
      <w:r w:rsidR="00FB6709" w:rsidRPr="00B4157D">
        <w:rPr>
          <w:rFonts w:ascii="Palatino Linotype" w:eastAsia="Palatino Linotype" w:hAnsi="Palatino Linotype" w:cs="Palatino Linotype"/>
          <w:b/>
          <w:sz w:val="22"/>
          <w:szCs w:val="22"/>
        </w:rPr>
        <w:t>anexaría a la respuesta c</w:t>
      </w:r>
      <w:r w:rsidR="00F92A46" w:rsidRPr="00B4157D">
        <w:rPr>
          <w:rFonts w:ascii="Palatino Linotype" w:eastAsia="Palatino Linotype" w:hAnsi="Palatino Linotype" w:cs="Palatino Linotype"/>
          <w:b/>
          <w:sz w:val="22"/>
          <w:szCs w:val="22"/>
        </w:rPr>
        <w:t xml:space="preserve">opia simple del </w:t>
      </w:r>
      <w:r w:rsidR="00FB6709" w:rsidRPr="00B4157D">
        <w:rPr>
          <w:rFonts w:ascii="Palatino Linotype" w:eastAsia="Palatino Linotype" w:hAnsi="Palatino Linotype" w:cs="Palatino Linotype"/>
          <w:b/>
          <w:sz w:val="22"/>
          <w:szCs w:val="22"/>
        </w:rPr>
        <w:t>permiso</w:t>
      </w:r>
      <w:r w:rsidR="00F92A46" w:rsidRPr="00B4157D">
        <w:rPr>
          <w:rFonts w:ascii="Palatino Linotype" w:eastAsia="Palatino Linotype" w:hAnsi="Palatino Linotype" w:cs="Palatino Linotype"/>
          <w:b/>
          <w:sz w:val="22"/>
          <w:szCs w:val="22"/>
        </w:rPr>
        <w:t xml:space="preserve"> </w:t>
      </w:r>
      <w:r w:rsidR="00FB6709" w:rsidRPr="00B4157D">
        <w:rPr>
          <w:rFonts w:ascii="Palatino Linotype" w:eastAsia="Palatino Linotype" w:hAnsi="Palatino Linotype" w:cs="Palatino Linotype"/>
          <w:b/>
          <w:sz w:val="22"/>
          <w:szCs w:val="22"/>
        </w:rPr>
        <w:t>otorgado.</w:t>
      </w:r>
    </w:p>
    <w:p w14:paraId="5D3D2E3D" w14:textId="77777777" w:rsidR="00FB6709" w:rsidRPr="00B4157D" w:rsidRDefault="00FB6709">
      <w:pPr>
        <w:spacing w:before="240" w:after="240" w:line="360" w:lineRule="auto"/>
        <w:jc w:val="both"/>
        <w:rPr>
          <w:rFonts w:ascii="Palatino Linotype" w:eastAsia="Palatino Linotype" w:hAnsi="Palatino Linotype" w:cs="Palatino Linotype"/>
          <w:sz w:val="22"/>
          <w:szCs w:val="22"/>
        </w:rPr>
      </w:pPr>
      <w:r w:rsidRPr="00B4157D">
        <w:rPr>
          <w:rFonts w:ascii="Palatino Linotype" w:eastAsia="Palatino Linotype" w:hAnsi="Palatino Linotype" w:cs="Palatino Linotype"/>
          <w:sz w:val="22"/>
          <w:szCs w:val="22"/>
        </w:rPr>
        <w:t xml:space="preserve">Sin embargo, es de señalar que dicho oficio no fue anexado a la respuesta, motivando así la interposición del recurso de revisión que nos ocupa, donde la parte </w:t>
      </w:r>
      <w:r w:rsidRPr="00B4157D">
        <w:rPr>
          <w:rFonts w:ascii="Palatino Linotype" w:eastAsia="Palatino Linotype" w:hAnsi="Palatino Linotype" w:cs="Palatino Linotype"/>
          <w:b/>
          <w:sz w:val="22"/>
          <w:szCs w:val="22"/>
        </w:rPr>
        <w:t xml:space="preserve">Recurrente </w:t>
      </w:r>
      <w:r w:rsidRPr="00B4157D">
        <w:rPr>
          <w:rFonts w:ascii="Palatino Linotype" w:eastAsia="Palatino Linotype" w:hAnsi="Palatino Linotype" w:cs="Palatino Linotype"/>
          <w:sz w:val="22"/>
          <w:szCs w:val="22"/>
        </w:rPr>
        <w:t>alegó que no se anexo el documento que avala el permiso para el uso de la cancha, así como la petición para obtener el mismo.</w:t>
      </w:r>
    </w:p>
    <w:p w14:paraId="0F23BE1E" w14:textId="77777777" w:rsidR="00FB6709" w:rsidRPr="00B4157D" w:rsidRDefault="00FB6709" w:rsidP="00BC1727">
      <w:pPr>
        <w:spacing w:before="240" w:after="240" w:line="360" w:lineRule="auto"/>
        <w:ind w:right="51"/>
        <w:jc w:val="both"/>
        <w:rPr>
          <w:rFonts w:ascii="Palatino Linotype" w:hAnsi="Palatino Linotype"/>
          <w:i/>
          <w:sz w:val="22"/>
          <w:szCs w:val="22"/>
        </w:rPr>
      </w:pPr>
      <w:r w:rsidRPr="00B4157D">
        <w:rPr>
          <w:rFonts w:ascii="Palatino Linotype" w:eastAsia="Palatino Linotype" w:hAnsi="Palatino Linotype" w:cs="Palatino Linotype"/>
          <w:sz w:val="22"/>
          <w:szCs w:val="22"/>
        </w:rPr>
        <w:t xml:space="preserve">Al respecto es de señalar que no escapa de la óptica de este Organismo Garante que la parte </w:t>
      </w:r>
      <w:r w:rsidRPr="00B4157D">
        <w:rPr>
          <w:rFonts w:ascii="Palatino Linotype" w:eastAsia="Palatino Linotype" w:hAnsi="Palatino Linotype" w:cs="Palatino Linotype"/>
          <w:b/>
          <w:sz w:val="22"/>
          <w:szCs w:val="22"/>
        </w:rPr>
        <w:t>Recurrente</w:t>
      </w:r>
      <w:r w:rsidRPr="00B4157D">
        <w:rPr>
          <w:rFonts w:ascii="Palatino Linotype" w:eastAsia="Palatino Linotype" w:hAnsi="Palatino Linotype" w:cs="Palatino Linotype"/>
          <w:sz w:val="22"/>
          <w:szCs w:val="22"/>
        </w:rPr>
        <w:t xml:space="preserve"> pretendió ampliar su solicitud a través de su recurso de revisión, pues señaló que no le fue entregad</w:t>
      </w:r>
      <w:r w:rsidR="00BC1727" w:rsidRPr="00B4157D">
        <w:rPr>
          <w:rFonts w:ascii="Palatino Linotype" w:eastAsia="Palatino Linotype" w:hAnsi="Palatino Linotype" w:cs="Palatino Linotype"/>
          <w:sz w:val="22"/>
          <w:szCs w:val="22"/>
        </w:rPr>
        <w:t xml:space="preserve">a la petición o la solicitud para obtener el permiso para usar la cancha del Deportivo señalado, </w:t>
      </w:r>
      <w:r w:rsidRPr="00B4157D">
        <w:rPr>
          <w:rFonts w:ascii="Palatino Linotype" w:eastAsia="Palatino Linotype" w:hAnsi="Palatino Linotype" w:cs="Palatino Linotype"/>
          <w:sz w:val="22"/>
          <w:szCs w:val="22"/>
        </w:rPr>
        <w:t xml:space="preserve">no obstante, como se advierte en el antecedente 1 de la presente resolución, dicha información no fue solicitada, </w:t>
      </w:r>
      <w:r w:rsidR="00BC1727" w:rsidRPr="00B4157D">
        <w:rPr>
          <w:rFonts w:ascii="Palatino Linotype" w:hAnsi="Palatino Linotype"/>
          <w:sz w:val="22"/>
          <w:szCs w:val="22"/>
        </w:rPr>
        <w:t>por lo que dicho</w:t>
      </w:r>
      <w:r w:rsidRPr="00B4157D">
        <w:rPr>
          <w:rFonts w:ascii="Palatino Linotype" w:hAnsi="Palatino Linotype"/>
          <w:sz w:val="22"/>
          <w:szCs w:val="22"/>
        </w:rPr>
        <w:t xml:space="preserve"> pronunciamiento se traducen como una </w:t>
      </w:r>
      <w:r w:rsidRPr="00B4157D">
        <w:rPr>
          <w:rFonts w:ascii="Palatino Linotype" w:hAnsi="Palatino Linotype"/>
          <w:i/>
          <w:sz w:val="22"/>
          <w:szCs w:val="22"/>
        </w:rPr>
        <w:t xml:space="preserve">plus </w:t>
      </w:r>
      <w:proofErr w:type="spellStart"/>
      <w:r w:rsidRPr="00B4157D">
        <w:rPr>
          <w:rFonts w:ascii="Palatino Linotype" w:hAnsi="Palatino Linotype"/>
          <w:i/>
          <w:sz w:val="22"/>
          <w:szCs w:val="22"/>
        </w:rPr>
        <w:t>petitio</w:t>
      </w:r>
      <w:proofErr w:type="spellEnd"/>
      <w:r w:rsidRPr="00B4157D">
        <w:rPr>
          <w:rFonts w:ascii="Palatino Linotype" w:hAnsi="Palatino Linotype"/>
          <w:b/>
          <w:i/>
          <w:sz w:val="22"/>
          <w:szCs w:val="22"/>
        </w:rPr>
        <w:t xml:space="preserve">, </w:t>
      </w:r>
      <w:r w:rsidRPr="00B4157D">
        <w:rPr>
          <w:rFonts w:ascii="Palatino Linotype" w:hAnsi="Palatino Linotype"/>
          <w:sz w:val="22"/>
          <w:szCs w:val="22"/>
        </w:rPr>
        <w:t xml:space="preserve">y por tanto inatendibles a través del recurso de revisión. </w:t>
      </w:r>
    </w:p>
    <w:p w14:paraId="69414436" w14:textId="77777777" w:rsidR="00FB6709" w:rsidRPr="00B4157D" w:rsidRDefault="00FB6709" w:rsidP="00FB6709">
      <w:pPr>
        <w:spacing w:before="240" w:after="240" w:line="360" w:lineRule="auto"/>
        <w:jc w:val="both"/>
        <w:rPr>
          <w:rFonts w:ascii="Palatino Linotype" w:hAnsi="Palatino Linotype"/>
          <w:sz w:val="22"/>
          <w:szCs w:val="22"/>
        </w:rPr>
      </w:pPr>
      <w:r w:rsidRPr="00B4157D">
        <w:rPr>
          <w:rFonts w:ascii="Palatino Linotype" w:hAnsi="Palatino Linotype"/>
          <w:sz w:val="22"/>
          <w:szCs w:val="22"/>
        </w:rPr>
        <w:t>En este orden de ideas, una vez formulada su solicitud inicial,</w:t>
      </w:r>
      <w:r w:rsidRPr="00B4157D">
        <w:rPr>
          <w:rFonts w:ascii="Palatino Linotype" w:hAnsi="Palatino Linotype"/>
          <w:i/>
          <w:sz w:val="22"/>
          <w:szCs w:val="22"/>
        </w:rPr>
        <w:t xml:space="preserve"> </w:t>
      </w:r>
      <w:r w:rsidRPr="00B4157D">
        <w:rPr>
          <w:rFonts w:ascii="Palatino Linotype" w:hAnsi="Palatino Linotype"/>
          <w:sz w:val="22"/>
          <w:szCs w:val="22"/>
        </w:rPr>
        <w:t>las personas solicitantes no pueden modificarla o ampliarla a través de posteriores promociones o en el momento de ingresar su recurso de revisión y menos aún si les fue otorgada la oportunidad para su ampliación, por tanto, la materia de las solicitudes de información se circunscribe a que se permita el acceso a los documentos inicialmente solicitados, y, en su caso, a los aclarados o corregidos mediante el requerimiento de aclaración que formule el Sujeto Obligado.</w:t>
      </w:r>
    </w:p>
    <w:p w14:paraId="07E2B81E" w14:textId="77777777" w:rsidR="00FB6709" w:rsidRPr="00B4157D" w:rsidRDefault="00BC1727" w:rsidP="00FB6709">
      <w:pPr>
        <w:pStyle w:val="NormalWeb"/>
        <w:spacing w:line="360" w:lineRule="auto"/>
        <w:jc w:val="both"/>
        <w:rPr>
          <w:rFonts w:ascii="Palatino Linotype" w:hAnsi="Palatino Linotype"/>
          <w:sz w:val="22"/>
          <w:szCs w:val="22"/>
        </w:rPr>
      </w:pPr>
      <w:r w:rsidRPr="00B4157D">
        <w:rPr>
          <w:rFonts w:ascii="Palatino Linotype" w:hAnsi="Palatino Linotype"/>
          <w:sz w:val="22"/>
          <w:szCs w:val="22"/>
        </w:rPr>
        <w:t>Sobre el tema</w:t>
      </w:r>
      <w:r w:rsidR="00FB6709" w:rsidRPr="00B4157D">
        <w:rPr>
          <w:rFonts w:ascii="Palatino Linotype" w:hAnsi="Palatino Linotype"/>
          <w:sz w:val="22"/>
          <w:szCs w:val="22"/>
        </w:rPr>
        <w:t>, el entonces Instituto Nacional de Transparencia, Acceso a la Información y Protección de Datos Personales, INAI, se pronunció en los siguientes términos mediante el criterio orientador con clave de control SO/001/2017, que lleva por rubro y texto lo que a continuación se transcribe:</w:t>
      </w:r>
    </w:p>
    <w:p w14:paraId="1FBE0AFA" w14:textId="77777777" w:rsidR="00FB6709" w:rsidRPr="00B4157D" w:rsidRDefault="00FB6709" w:rsidP="00FB6709">
      <w:pPr>
        <w:spacing w:before="240" w:after="240"/>
        <w:ind w:left="851" w:right="900"/>
        <w:jc w:val="both"/>
        <w:rPr>
          <w:rFonts w:ascii="Palatino Linotype" w:hAnsi="Palatino Linotype"/>
          <w:sz w:val="22"/>
          <w:szCs w:val="22"/>
        </w:rPr>
      </w:pPr>
      <w:r w:rsidRPr="00B4157D">
        <w:rPr>
          <w:rFonts w:ascii="Palatino Linotype" w:hAnsi="Palatino Linotype"/>
          <w:i/>
          <w:sz w:val="22"/>
          <w:szCs w:val="22"/>
        </w:rPr>
        <w:t xml:space="preserve"> “</w:t>
      </w:r>
      <w:r w:rsidRPr="00B4157D">
        <w:rPr>
          <w:rFonts w:ascii="Palatino Linotype" w:hAnsi="Palatino Linotype"/>
          <w:b/>
          <w:i/>
          <w:sz w:val="22"/>
          <w:szCs w:val="22"/>
        </w:rPr>
        <w:t xml:space="preserve">Es improcedente ampliar las solicitudes de acceso a información, a través de la interposición del recurso de revisión. </w:t>
      </w:r>
      <w:r w:rsidRPr="00B4157D">
        <w:rPr>
          <w:rFonts w:ascii="Palatino Linotype" w:hAnsi="Palatino Linotype"/>
          <w:bCs/>
          <w:i/>
          <w:sz w:val="22"/>
          <w:szCs w:val="22"/>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r w:rsidRPr="00B4157D">
        <w:rPr>
          <w:rFonts w:ascii="Palatino Linotype" w:hAnsi="Palatino Linotype"/>
          <w:b/>
          <w:i/>
          <w:sz w:val="22"/>
          <w:szCs w:val="22"/>
        </w:rPr>
        <w:t>.</w:t>
      </w:r>
      <w:r w:rsidRPr="00B4157D">
        <w:rPr>
          <w:rFonts w:ascii="Palatino Linotype" w:hAnsi="Palatino Linotype"/>
          <w:i/>
          <w:sz w:val="22"/>
          <w:szCs w:val="22"/>
        </w:rPr>
        <w:t>”</w:t>
      </w:r>
    </w:p>
    <w:p w14:paraId="58B7D583" w14:textId="77777777" w:rsidR="00FB6709" w:rsidRPr="00B4157D" w:rsidRDefault="00FB6709" w:rsidP="00FB6709">
      <w:pPr>
        <w:spacing w:before="240" w:after="240" w:line="360" w:lineRule="auto"/>
        <w:jc w:val="both"/>
        <w:rPr>
          <w:rFonts w:ascii="Palatino Linotype" w:hAnsi="Palatino Linotype"/>
          <w:sz w:val="22"/>
          <w:szCs w:val="22"/>
        </w:rPr>
      </w:pPr>
      <w:r w:rsidRPr="00B4157D">
        <w:rPr>
          <w:rFonts w:ascii="Palatino Linotype" w:hAnsi="Palatino Linotype"/>
          <w:sz w:val="22"/>
          <w:szCs w:val="22"/>
        </w:rPr>
        <w:t>No obstante, de lo anterior, se dejan a salvo los derechos de la persona solicitante, para que, en caso de considerar conveniente a sus intereses, el conocer la información que fue señalada, la requiera a través de una nueva solicitud de información.</w:t>
      </w:r>
    </w:p>
    <w:p w14:paraId="1F86E160" w14:textId="77777777" w:rsidR="00BC1727" w:rsidRPr="00B4157D" w:rsidRDefault="00BC1727">
      <w:pPr>
        <w:spacing w:before="240" w:after="240" w:line="360" w:lineRule="auto"/>
        <w:ind w:right="49"/>
        <w:jc w:val="both"/>
        <w:rPr>
          <w:rFonts w:ascii="Palatino Linotype" w:hAnsi="Palatino Linotype"/>
          <w:sz w:val="22"/>
          <w:szCs w:val="22"/>
        </w:rPr>
      </w:pPr>
      <w:r w:rsidRPr="00B4157D">
        <w:rPr>
          <w:rFonts w:ascii="Palatino Linotype" w:eastAsia="Palatino Linotype" w:hAnsi="Palatino Linotype" w:cs="Palatino Linotype"/>
          <w:sz w:val="22"/>
          <w:szCs w:val="22"/>
        </w:rPr>
        <w:t>Ahora bien, d</w:t>
      </w:r>
      <w:r w:rsidR="00D92C13" w:rsidRPr="00B4157D">
        <w:rPr>
          <w:rFonts w:ascii="Palatino Linotype" w:eastAsia="Palatino Linotype" w:hAnsi="Palatino Linotype" w:cs="Palatino Linotype"/>
          <w:sz w:val="22"/>
          <w:szCs w:val="22"/>
        </w:rPr>
        <w:t xml:space="preserve">urante la etapa de manifestaciones, </w:t>
      </w:r>
      <w:r w:rsidR="00FB6709" w:rsidRPr="00B4157D">
        <w:rPr>
          <w:rFonts w:ascii="Palatino Linotype" w:eastAsia="Palatino Linotype" w:hAnsi="Palatino Linotype" w:cs="Palatino Linotype"/>
          <w:sz w:val="22"/>
          <w:szCs w:val="22"/>
        </w:rPr>
        <w:t>el</w:t>
      </w:r>
      <w:r w:rsidRPr="00B4157D">
        <w:rPr>
          <w:rFonts w:ascii="Palatino Linotype" w:eastAsia="Palatino Linotype" w:hAnsi="Palatino Linotype" w:cs="Palatino Linotype"/>
          <w:sz w:val="22"/>
          <w:szCs w:val="22"/>
        </w:rPr>
        <w:t xml:space="preserve"> </w:t>
      </w:r>
      <w:r w:rsidRPr="00B4157D">
        <w:rPr>
          <w:rFonts w:ascii="Palatino Linotype" w:eastAsia="Palatino Linotype" w:hAnsi="Palatino Linotype" w:cs="Palatino Linotype"/>
          <w:b/>
          <w:sz w:val="22"/>
          <w:szCs w:val="22"/>
        </w:rPr>
        <w:t xml:space="preserve">Sujeto Obligado </w:t>
      </w:r>
      <w:r w:rsidRPr="00B4157D">
        <w:rPr>
          <w:rFonts w:ascii="Palatino Linotype" w:eastAsia="Palatino Linotype" w:hAnsi="Palatino Linotype" w:cs="Palatino Linotype"/>
          <w:sz w:val="22"/>
          <w:szCs w:val="22"/>
        </w:rPr>
        <w:t xml:space="preserve">refirió que a la respuesta </w:t>
      </w:r>
      <w:r w:rsidRPr="00B4157D">
        <w:rPr>
          <w:rFonts w:ascii="Palatino Linotype" w:hAnsi="Palatino Linotype"/>
          <w:sz w:val="22"/>
          <w:szCs w:val="22"/>
        </w:rPr>
        <w:t>se anexo la autorización para utilizar el Deportivo “San José”, contenida en el oficio número CHIC/IMCUFIDE/DG/011/2025 emitido por el Director General del Instituto Municipal de Cultura Física y Deporte en el Municipio de Chicoloapan, Estado de México, lo cual pretendió acreditar con la captura de pantalla del apartado “Análisis de datos proporcionados para la solicitud” del SAIMEX, como se ilustra en seguida:</w:t>
      </w:r>
    </w:p>
    <w:p w14:paraId="1480F11A" w14:textId="77777777" w:rsidR="00064344" w:rsidRPr="00B4157D" w:rsidRDefault="00064344">
      <w:pPr>
        <w:spacing w:before="240" w:after="240" w:line="360" w:lineRule="auto"/>
        <w:ind w:right="49"/>
        <w:jc w:val="both"/>
        <w:rPr>
          <w:rFonts w:ascii="Palatino Linotype" w:hAnsi="Palatino Linotype"/>
          <w:sz w:val="22"/>
          <w:szCs w:val="22"/>
        </w:rPr>
      </w:pPr>
      <w:r w:rsidRPr="00B4157D">
        <w:rPr>
          <w:rFonts w:ascii="Palatino Linotype" w:hAnsi="Palatino Linotype"/>
          <w:noProof/>
          <w:sz w:val="22"/>
          <w:szCs w:val="22"/>
        </w:rPr>
        <w:drawing>
          <wp:inline distT="0" distB="0" distL="0" distR="0" wp14:anchorId="63C8AEB3" wp14:editId="24E30749">
            <wp:extent cx="5612130" cy="985520"/>
            <wp:effectExtent l="0" t="0" r="762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985520"/>
                    </a:xfrm>
                    <a:prstGeom prst="rect">
                      <a:avLst/>
                    </a:prstGeom>
                  </pic:spPr>
                </pic:pic>
              </a:graphicData>
            </a:graphic>
          </wp:inline>
        </w:drawing>
      </w:r>
    </w:p>
    <w:p w14:paraId="31AE2207" w14:textId="77777777" w:rsidR="00BC1727" w:rsidRPr="00B4157D" w:rsidRDefault="00064344">
      <w:pPr>
        <w:spacing w:before="240" w:after="240" w:line="360" w:lineRule="auto"/>
        <w:ind w:right="49"/>
        <w:jc w:val="both"/>
        <w:rPr>
          <w:rFonts w:ascii="Palatino Linotype" w:eastAsia="Palatino Linotype" w:hAnsi="Palatino Linotype" w:cs="Palatino Linotype"/>
          <w:sz w:val="22"/>
          <w:szCs w:val="22"/>
        </w:rPr>
      </w:pPr>
      <w:r w:rsidRPr="00B4157D">
        <w:rPr>
          <w:rFonts w:ascii="Palatino Linotype" w:eastAsia="Palatino Linotype" w:hAnsi="Palatino Linotype" w:cs="Palatino Linotype"/>
          <w:sz w:val="22"/>
          <w:szCs w:val="22"/>
        </w:rPr>
        <w:t xml:space="preserve">Cabe señalar que </w:t>
      </w:r>
      <w:r w:rsidRPr="00B4157D">
        <w:rPr>
          <w:rFonts w:ascii="Palatino Linotype" w:eastAsia="Palatino Linotype" w:hAnsi="Palatino Linotype" w:cs="Palatino Linotype"/>
          <w:b/>
          <w:sz w:val="22"/>
          <w:szCs w:val="22"/>
          <w:u w:val="single"/>
        </w:rPr>
        <w:t>dicho apartado NO es visible para las personas solicitantes</w:t>
      </w:r>
      <w:r w:rsidRPr="00B4157D">
        <w:rPr>
          <w:rFonts w:ascii="Palatino Linotype" w:eastAsia="Palatino Linotype" w:hAnsi="Palatino Linotype" w:cs="Palatino Linotype"/>
          <w:b/>
          <w:sz w:val="22"/>
          <w:szCs w:val="22"/>
        </w:rPr>
        <w:t xml:space="preserve">, </w:t>
      </w:r>
      <w:r w:rsidRPr="00B4157D">
        <w:rPr>
          <w:rFonts w:ascii="Palatino Linotype" w:eastAsia="Palatino Linotype" w:hAnsi="Palatino Linotype" w:cs="Palatino Linotype"/>
          <w:sz w:val="22"/>
          <w:szCs w:val="22"/>
        </w:rPr>
        <w:t xml:space="preserve">sino que su función consiste en facilitar la comunicación interna de las Unidades de Transparencia, con las demás dependencias de la estructura orgánica de los Sujetos Obligados, a efecto de dar atención a las solicitudes de información que les sean formuladas, por lo que es necesario que </w:t>
      </w:r>
      <w:r w:rsidR="00DA5358" w:rsidRPr="00B4157D">
        <w:rPr>
          <w:rFonts w:ascii="Palatino Linotype" w:eastAsia="Palatino Linotype" w:hAnsi="Palatino Linotype" w:cs="Palatino Linotype"/>
          <w:sz w:val="22"/>
          <w:szCs w:val="22"/>
        </w:rPr>
        <w:t xml:space="preserve">las Unidades de Transparencia, en cumplimiento de las atribuciones conferidas en el artículo 53, fracciones V y VI de la </w:t>
      </w:r>
      <w:r w:rsidR="00DA5358" w:rsidRPr="00B4157D">
        <w:rPr>
          <w:rFonts w:ascii="Palatino Linotype" w:hAnsi="Palatino Linotype"/>
          <w:sz w:val="22"/>
          <w:szCs w:val="22"/>
        </w:rPr>
        <w:t>Ley de Transparencia y Acceso a la Información Pública del Estado de México y Municipios, hagan entrega de la información que sea proporcionada por los servidores públicos habilitados a través de dicho apartado, al momento de notificar la respuesta correspondiente.</w:t>
      </w:r>
    </w:p>
    <w:p w14:paraId="005C2723" w14:textId="77777777" w:rsidR="00064344" w:rsidRPr="00B4157D" w:rsidRDefault="00DA5358">
      <w:pPr>
        <w:spacing w:before="240" w:after="240" w:line="360" w:lineRule="auto"/>
        <w:ind w:right="49"/>
        <w:jc w:val="both"/>
        <w:rPr>
          <w:rFonts w:ascii="Palatino Linotype" w:hAnsi="Palatino Linotype"/>
          <w:sz w:val="22"/>
          <w:szCs w:val="22"/>
        </w:rPr>
      </w:pPr>
      <w:r w:rsidRPr="00B4157D">
        <w:rPr>
          <w:rFonts w:ascii="Palatino Linotype" w:eastAsia="Palatino Linotype" w:hAnsi="Palatino Linotype" w:cs="Palatino Linotype"/>
          <w:sz w:val="22"/>
          <w:szCs w:val="22"/>
        </w:rPr>
        <w:t xml:space="preserve">No obstante, mediante el informe justificado la Unidad de Transparencia </w:t>
      </w:r>
      <w:r w:rsidR="004E5B25" w:rsidRPr="00B4157D">
        <w:rPr>
          <w:rFonts w:ascii="Palatino Linotype" w:eastAsia="Palatino Linotype" w:hAnsi="Palatino Linotype" w:cs="Palatino Linotype"/>
          <w:sz w:val="22"/>
          <w:szCs w:val="22"/>
        </w:rPr>
        <w:t xml:space="preserve">proporcionó el oficio </w:t>
      </w:r>
      <w:r w:rsidR="004E5B25" w:rsidRPr="00B4157D">
        <w:rPr>
          <w:rFonts w:ascii="Palatino Linotype" w:hAnsi="Palatino Linotype"/>
          <w:sz w:val="22"/>
          <w:szCs w:val="22"/>
        </w:rPr>
        <w:t>número CHIC/IMCUFIDE/DG/011/2025, digitalizado, el cual se agrega a continuación para mejor referencia:</w:t>
      </w:r>
    </w:p>
    <w:p w14:paraId="6A560CDB" w14:textId="77777777" w:rsidR="00B977D3" w:rsidRPr="00B4157D" w:rsidRDefault="004E5B25">
      <w:pPr>
        <w:spacing w:before="240" w:after="240" w:line="360" w:lineRule="auto"/>
        <w:ind w:right="49"/>
        <w:jc w:val="both"/>
        <w:rPr>
          <w:rFonts w:ascii="Palatino Linotype" w:hAnsi="Palatino Linotype"/>
          <w:sz w:val="22"/>
          <w:szCs w:val="22"/>
        </w:rPr>
      </w:pPr>
      <w:r w:rsidRPr="00B4157D">
        <w:rPr>
          <w:rFonts w:ascii="Palatino Linotype" w:hAnsi="Palatino Linotype"/>
          <w:noProof/>
          <w:sz w:val="22"/>
          <w:szCs w:val="22"/>
        </w:rPr>
        <w:drawing>
          <wp:inline distT="0" distB="0" distL="0" distR="0" wp14:anchorId="349B3178" wp14:editId="40C59A0B">
            <wp:extent cx="5612130" cy="7025005"/>
            <wp:effectExtent l="0" t="0" r="762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7025005"/>
                    </a:xfrm>
                    <a:prstGeom prst="rect">
                      <a:avLst/>
                    </a:prstGeom>
                  </pic:spPr>
                </pic:pic>
              </a:graphicData>
            </a:graphic>
          </wp:inline>
        </w:drawing>
      </w:r>
      <w:r w:rsidRPr="00B4157D">
        <w:rPr>
          <w:rFonts w:ascii="Palatino Linotype" w:eastAsia="Palatino Linotype" w:hAnsi="Palatino Linotype" w:cs="Palatino Linotype"/>
          <w:sz w:val="22"/>
          <w:szCs w:val="22"/>
        </w:rPr>
        <w:t>I</w:t>
      </w:r>
      <w:r w:rsidR="00D92C13" w:rsidRPr="00B4157D">
        <w:rPr>
          <w:rFonts w:ascii="Palatino Linotype" w:eastAsia="Palatino Linotype" w:hAnsi="Palatino Linotype" w:cs="Palatino Linotype"/>
          <w:sz w:val="22"/>
          <w:szCs w:val="22"/>
        </w:rPr>
        <w:t xml:space="preserve">nformación </w:t>
      </w:r>
      <w:r w:rsidRPr="00B4157D">
        <w:rPr>
          <w:rFonts w:ascii="Palatino Linotype" w:eastAsia="Palatino Linotype" w:hAnsi="Palatino Linotype" w:cs="Palatino Linotype"/>
          <w:sz w:val="22"/>
          <w:szCs w:val="22"/>
        </w:rPr>
        <w:t>que</w:t>
      </w:r>
      <w:r w:rsidR="00D92C13" w:rsidRPr="00B4157D">
        <w:rPr>
          <w:rFonts w:ascii="Palatino Linotype" w:eastAsia="Palatino Linotype" w:hAnsi="Palatino Linotype" w:cs="Palatino Linotype"/>
          <w:sz w:val="22"/>
          <w:szCs w:val="22"/>
        </w:rPr>
        <w:t xml:space="preserve"> se hizo del conocimiento de la parte </w:t>
      </w:r>
      <w:r w:rsidR="00D92C13" w:rsidRPr="00B4157D">
        <w:rPr>
          <w:rFonts w:ascii="Palatino Linotype" w:eastAsia="Palatino Linotype" w:hAnsi="Palatino Linotype" w:cs="Palatino Linotype"/>
          <w:b/>
          <w:sz w:val="22"/>
          <w:szCs w:val="22"/>
        </w:rPr>
        <w:t xml:space="preserve">Recurrente, </w:t>
      </w:r>
      <w:r w:rsidR="00D92C13" w:rsidRPr="00B4157D">
        <w:rPr>
          <w:rFonts w:ascii="Palatino Linotype" w:eastAsia="Palatino Linotype" w:hAnsi="Palatino Linotype" w:cs="Palatino Linotype"/>
          <w:sz w:val="22"/>
          <w:szCs w:val="22"/>
        </w:rPr>
        <w:t>sin embargo, esta fue omisa en manifestar lo que a su derecho estimara conveniente, por lo que se tiene por precluido su derecho para tal efecto y se procede a emitir la resolución que conforme a derecho corresponda.</w:t>
      </w:r>
    </w:p>
    <w:p w14:paraId="02380EAC" w14:textId="77777777" w:rsidR="00B977D3" w:rsidRPr="00B4157D" w:rsidRDefault="00D92C13">
      <w:pPr>
        <w:spacing w:before="240" w:after="240" w:line="360" w:lineRule="auto"/>
        <w:ind w:right="49"/>
        <w:jc w:val="both"/>
        <w:rPr>
          <w:rFonts w:ascii="Palatino Linotype" w:eastAsia="Palatino Linotype" w:hAnsi="Palatino Linotype" w:cs="Palatino Linotype"/>
          <w:sz w:val="22"/>
          <w:szCs w:val="22"/>
        </w:rPr>
      </w:pPr>
      <w:r w:rsidRPr="00B4157D">
        <w:rPr>
          <w:rFonts w:ascii="Palatino Linotype" w:eastAsia="Palatino Linotype" w:hAnsi="Palatino Linotype" w:cs="Palatino Linotype"/>
          <w:sz w:val="22"/>
          <w:szCs w:val="22"/>
        </w:rPr>
        <w:t xml:space="preserve">Bajo </w:t>
      </w:r>
      <w:r w:rsidR="004E5B25" w:rsidRPr="00B4157D">
        <w:rPr>
          <w:rFonts w:ascii="Palatino Linotype" w:eastAsia="Palatino Linotype" w:hAnsi="Palatino Linotype" w:cs="Palatino Linotype"/>
          <w:sz w:val="22"/>
          <w:szCs w:val="22"/>
        </w:rPr>
        <w:t>esta línea de pensamiento</w:t>
      </w:r>
      <w:r w:rsidRPr="00B4157D">
        <w:rPr>
          <w:rFonts w:ascii="Palatino Linotype" w:eastAsia="Palatino Linotype" w:hAnsi="Palatino Linotype" w:cs="Palatino Linotype"/>
          <w:sz w:val="22"/>
          <w:szCs w:val="22"/>
        </w:rPr>
        <w:t xml:space="preserve">, se estima que la información remitida por el </w:t>
      </w:r>
      <w:r w:rsidRPr="00B4157D">
        <w:rPr>
          <w:rFonts w:ascii="Palatino Linotype" w:eastAsia="Palatino Linotype" w:hAnsi="Palatino Linotype" w:cs="Palatino Linotype"/>
          <w:b/>
          <w:sz w:val="22"/>
          <w:szCs w:val="22"/>
        </w:rPr>
        <w:t xml:space="preserve">Sujeto Obligado </w:t>
      </w:r>
      <w:r w:rsidRPr="00B4157D">
        <w:rPr>
          <w:rFonts w:ascii="Palatino Linotype" w:eastAsia="Palatino Linotype" w:hAnsi="Palatino Linotype" w:cs="Palatino Linotype"/>
          <w:sz w:val="22"/>
          <w:szCs w:val="22"/>
        </w:rPr>
        <w:t>en la etapa de manifestaciones</w:t>
      </w:r>
      <w:r w:rsidRPr="00B4157D">
        <w:rPr>
          <w:rFonts w:ascii="Palatino Linotype" w:eastAsia="Palatino Linotype" w:hAnsi="Palatino Linotype" w:cs="Palatino Linotype"/>
          <w:b/>
          <w:sz w:val="22"/>
          <w:szCs w:val="22"/>
        </w:rPr>
        <w:t xml:space="preserve"> </w:t>
      </w:r>
      <w:r w:rsidRPr="00B4157D">
        <w:rPr>
          <w:rFonts w:ascii="Palatino Linotype" w:eastAsia="Palatino Linotype" w:hAnsi="Palatino Linotype" w:cs="Palatino Linotype"/>
          <w:sz w:val="22"/>
          <w:szCs w:val="22"/>
        </w:rPr>
        <w:t xml:space="preserve">es suficiente para tener por atendido el derecho de acceso a la información de la parte </w:t>
      </w:r>
      <w:r w:rsidRPr="00B4157D">
        <w:rPr>
          <w:rFonts w:ascii="Palatino Linotype" w:eastAsia="Palatino Linotype" w:hAnsi="Palatino Linotype" w:cs="Palatino Linotype"/>
          <w:b/>
          <w:sz w:val="22"/>
          <w:szCs w:val="22"/>
        </w:rPr>
        <w:t>Recurrente</w:t>
      </w:r>
      <w:r w:rsidRPr="00B4157D">
        <w:rPr>
          <w:rFonts w:ascii="Palatino Linotype" w:eastAsia="Palatino Linotype" w:hAnsi="Palatino Linotype" w:cs="Palatino Linotype"/>
          <w:sz w:val="22"/>
          <w:szCs w:val="22"/>
        </w:rPr>
        <w:t>, siendo importante dejar claro que este Pleno no está facultado para manifestarse sobre la veracidad de la información proporcionada, conforme lo prevé el artículo 36 de la Ley de Transparencia y Acceso a la Información Pública del Estado de México y Municipios.</w:t>
      </w:r>
    </w:p>
    <w:p w14:paraId="3B978792" w14:textId="77777777" w:rsidR="00B977D3" w:rsidRPr="00B4157D" w:rsidRDefault="00D92C13">
      <w:pPr>
        <w:spacing w:before="240" w:after="240" w:line="360" w:lineRule="auto"/>
        <w:ind w:right="49"/>
        <w:jc w:val="both"/>
        <w:rPr>
          <w:rFonts w:ascii="Palatino Linotype" w:eastAsia="Palatino Linotype" w:hAnsi="Palatino Linotype" w:cs="Palatino Linotype"/>
          <w:sz w:val="22"/>
          <w:szCs w:val="22"/>
        </w:rPr>
      </w:pPr>
      <w:r w:rsidRPr="00B4157D">
        <w:rPr>
          <w:rFonts w:ascii="Palatino Linotype" w:eastAsia="Palatino Linotype" w:hAnsi="Palatino Linotype" w:cs="Palatino Linotype"/>
          <w:sz w:val="22"/>
          <w:szCs w:val="22"/>
        </w:rPr>
        <w:t>Por ende, se considera que en el presente asunto se actualiza la hipótesis prevista en el artículo 192, fracción III de la Ley de Transparencia y Acceso a la Información Pública del Estado de México y Municipios vigente, a saber:</w:t>
      </w:r>
    </w:p>
    <w:p w14:paraId="3F38B087" w14:textId="77777777" w:rsidR="00B977D3" w:rsidRPr="00B4157D" w:rsidRDefault="00D92C13">
      <w:pPr>
        <w:tabs>
          <w:tab w:val="left" w:pos="8080"/>
        </w:tabs>
        <w:spacing w:before="120" w:after="120"/>
        <w:ind w:left="851" w:right="902"/>
        <w:jc w:val="both"/>
        <w:rPr>
          <w:rFonts w:ascii="Palatino Linotype" w:eastAsia="Palatino Linotype" w:hAnsi="Palatino Linotype" w:cs="Palatino Linotype"/>
          <w:i/>
          <w:sz w:val="22"/>
          <w:szCs w:val="22"/>
        </w:rPr>
      </w:pPr>
      <w:r w:rsidRPr="00B4157D">
        <w:rPr>
          <w:rFonts w:ascii="Palatino Linotype" w:eastAsia="Palatino Linotype" w:hAnsi="Palatino Linotype" w:cs="Palatino Linotype"/>
          <w:i/>
          <w:sz w:val="22"/>
          <w:szCs w:val="22"/>
        </w:rPr>
        <w:t>“</w:t>
      </w:r>
      <w:r w:rsidRPr="00B4157D">
        <w:rPr>
          <w:rFonts w:ascii="Palatino Linotype" w:eastAsia="Palatino Linotype" w:hAnsi="Palatino Linotype" w:cs="Palatino Linotype"/>
          <w:b/>
          <w:i/>
          <w:sz w:val="22"/>
          <w:szCs w:val="22"/>
        </w:rPr>
        <w:t>Artículo 192.</w:t>
      </w:r>
      <w:r w:rsidRPr="00B4157D">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 </w:t>
      </w:r>
    </w:p>
    <w:p w14:paraId="7CD8F645" w14:textId="77777777" w:rsidR="00B977D3" w:rsidRPr="00B4157D" w:rsidRDefault="00D92C13">
      <w:pPr>
        <w:tabs>
          <w:tab w:val="left" w:pos="8080"/>
        </w:tabs>
        <w:spacing w:before="120" w:after="120"/>
        <w:ind w:left="851" w:right="902"/>
        <w:jc w:val="both"/>
        <w:rPr>
          <w:rFonts w:ascii="Palatino Linotype" w:eastAsia="Palatino Linotype" w:hAnsi="Palatino Linotype" w:cs="Palatino Linotype"/>
          <w:i/>
          <w:sz w:val="22"/>
          <w:szCs w:val="22"/>
        </w:rPr>
      </w:pPr>
      <w:r w:rsidRPr="00B4157D">
        <w:rPr>
          <w:rFonts w:ascii="Palatino Linotype" w:eastAsia="Palatino Linotype" w:hAnsi="Palatino Linotype" w:cs="Palatino Linotype"/>
          <w:i/>
          <w:sz w:val="22"/>
          <w:szCs w:val="22"/>
        </w:rPr>
        <w:t>…</w:t>
      </w:r>
    </w:p>
    <w:p w14:paraId="2A6C9CFE" w14:textId="77777777" w:rsidR="00B977D3" w:rsidRPr="00B4157D" w:rsidRDefault="00D92C13">
      <w:pPr>
        <w:tabs>
          <w:tab w:val="left" w:pos="8080"/>
        </w:tabs>
        <w:spacing w:before="120" w:after="120"/>
        <w:ind w:left="851" w:right="902"/>
        <w:jc w:val="both"/>
        <w:rPr>
          <w:rFonts w:ascii="Palatino Linotype" w:eastAsia="Palatino Linotype" w:hAnsi="Palatino Linotype" w:cs="Palatino Linotype"/>
          <w:i/>
          <w:sz w:val="22"/>
          <w:szCs w:val="22"/>
        </w:rPr>
      </w:pPr>
      <w:r w:rsidRPr="00B4157D">
        <w:rPr>
          <w:rFonts w:ascii="Palatino Linotype" w:eastAsia="Palatino Linotype" w:hAnsi="Palatino Linotype" w:cs="Palatino Linotype"/>
          <w:b/>
          <w:i/>
          <w:sz w:val="22"/>
          <w:szCs w:val="22"/>
        </w:rPr>
        <w:t>III</w:t>
      </w:r>
      <w:r w:rsidRPr="00B4157D">
        <w:rPr>
          <w:rFonts w:ascii="Palatino Linotype" w:eastAsia="Palatino Linotype" w:hAnsi="Palatino Linotype" w:cs="Palatino Linotype"/>
          <w:i/>
          <w:sz w:val="22"/>
          <w:szCs w:val="22"/>
        </w:rPr>
        <w:t>. El sujeto obligado responsable del acto, lo modifique o revoque de tal manera que el recurso de revisión quede sin materia...”</w:t>
      </w:r>
    </w:p>
    <w:p w14:paraId="23CF93B8" w14:textId="77777777" w:rsidR="00B977D3" w:rsidRPr="00B4157D" w:rsidRDefault="00D92C13">
      <w:pPr>
        <w:spacing w:before="240" w:after="240" w:line="360" w:lineRule="auto"/>
        <w:ind w:right="49"/>
        <w:jc w:val="both"/>
        <w:rPr>
          <w:rFonts w:ascii="Palatino Linotype" w:eastAsia="Palatino Linotype" w:hAnsi="Palatino Linotype" w:cs="Palatino Linotype"/>
          <w:sz w:val="22"/>
          <w:szCs w:val="22"/>
        </w:rPr>
      </w:pPr>
      <w:r w:rsidRPr="00B4157D">
        <w:rPr>
          <w:rFonts w:ascii="Palatino Linotype" w:eastAsia="Palatino Linotype" w:hAnsi="Palatino Linotype" w:cs="Palatino Linotype"/>
          <w:sz w:val="22"/>
          <w:szCs w:val="22"/>
        </w:rPr>
        <w:t>De lo establecido en el precepto legal citado se advierte que el sobreseimiento del recurso de revisión procede en los siguientes casos</w:t>
      </w:r>
    </w:p>
    <w:p w14:paraId="6D62AC58" w14:textId="77777777" w:rsidR="00B977D3" w:rsidRPr="00B4157D" w:rsidRDefault="00D92C13">
      <w:pPr>
        <w:spacing w:before="240" w:after="240" w:line="360" w:lineRule="auto"/>
        <w:ind w:right="49"/>
        <w:jc w:val="both"/>
        <w:rPr>
          <w:rFonts w:ascii="Palatino Linotype" w:eastAsia="Palatino Linotype" w:hAnsi="Palatino Linotype" w:cs="Palatino Linotype"/>
          <w:sz w:val="22"/>
          <w:szCs w:val="22"/>
        </w:rPr>
      </w:pPr>
      <w:r w:rsidRPr="00B4157D">
        <w:rPr>
          <w:rFonts w:ascii="Palatino Linotype" w:eastAsia="Palatino Linotype" w:hAnsi="Palatino Linotype" w:cs="Palatino Linotype"/>
          <w:sz w:val="22"/>
          <w:szCs w:val="22"/>
        </w:rPr>
        <w:t xml:space="preserve">a) Cuando el sujeto obligado modifique el acto impugnado. </w:t>
      </w:r>
    </w:p>
    <w:p w14:paraId="7D7A9624" w14:textId="77777777" w:rsidR="00B977D3" w:rsidRPr="00B4157D" w:rsidRDefault="00D92C13">
      <w:pPr>
        <w:spacing w:before="240" w:after="240" w:line="360" w:lineRule="auto"/>
        <w:ind w:right="49"/>
        <w:jc w:val="both"/>
        <w:rPr>
          <w:rFonts w:ascii="Palatino Linotype" w:eastAsia="Palatino Linotype" w:hAnsi="Palatino Linotype" w:cs="Palatino Linotype"/>
          <w:sz w:val="22"/>
          <w:szCs w:val="22"/>
        </w:rPr>
      </w:pPr>
      <w:r w:rsidRPr="00B4157D">
        <w:rPr>
          <w:rFonts w:ascii="Palatino Linotype" w:eastAsia="Palatino Linotype" w:hAnsi="Palatino Linotype" w:cs="Palatino Linotype"/>
          <w:sz w:val="22"/>
          <w:szCs w:val="22"/>
        </w:rPr>
        <w:t xml:space="preserve">b) Cuando el sujeto obligado revoque el acto impugnado; </w:t>
      </w:r>
    </w:p>
    <w:p w14:paraId="62DECBC0" w14:textId="77777777" w:rsidR="00B977D3" w:rsidRPr="00B4157D" w:rsidRDefault="00D92C13">
      <w:pPr>
        <w:spacing w:before="240" w:after="240" w:line="360" w:lineRule="auto"/>
        <w:ind w:right="49"/>
        <w:jc w:val="both"/>
        <w:rPr>
          <w:rFonts w:ascii="Palatino Linotype" w:eastAsia="Palatino Linotype" w:hAnsi="Palatino Linotype" w:cs="Palatino Linotype"/>
          <w:sz w:val="22"/>
          <w:szCs w:val="22"/>
        </w:rPr>
      </w:pPr>
      <w:r w:rsidRPr="00B4157D">
        <w:rPr>
          <w:rFonts w:ascii="Palatino Linotype" w:eastAsia="Palatino Linotype" w:hAnsi="Palatino Linotype" w:cs="Palatino Linotype"/>
          <w:sz w:val="22"/>
          <w:szCs w:val="22"/>
        </w:rPr>
        <w:t>Quedando en ambos casos el acto combatido sin materia o sin efectos.</w:t>
      </w:r>
    </w:p>
    <w:p w14:paraId="183B7B84" w14:textId="77777777" w:rsidR="00B977D3" w:rsidRPr="00B4157D" w:rsidRDefault="00D92C13">
      <w:pPr>
        <w:spacing w:before="240" w:after="240" w:line="360" w:lineRule="auto"/>
        <w:ind w:right="49"/>
        <w:jc w:val="both"/>
        <w:rPr>
          <w:rFonts w:ascii="Palatino Linotype" w:eastAsia="Palatino Linotype" w:hAnsi="Palatino Linotype" w:cs="Palatino Linotype"/>
          <w:sz w:val="22"/>
          <w:szCs w:val="22"/>
        </w:rPr>
      </w:pPr>
      <w:r w:rsidRPr="00B4157D">
        <w:rPr>
          <w:rFonts w:ascii="Palatino Linotype" w:eastAsia="Palatino Linotype" w:hAnsi="Palatino Linotype" w:cs="Palatino Linotype"/>
          <w:sz w:val="22"/>
          <w:szCs w:val="22"/>
        </w:rPr>
        <w:t xml:space="preserve">En otras palabras, un acto impugnado es modificado en aquellos casos en los que el Sujeto Obligado </w:t>
      </w:r>
      <w:r w:rsidRPr="00B4157D">
        <w:rPr>
          <w:rFonts w:ascii="Palatino Linotype" w:eastAsia="Palatino Linotype" w:hAnsi="Palatino Linotype" w:cs="Palatino Linotype"/>
          <w:b/>
          <w:sz w:val="22"/>
          <w:szCs w:val="22"/>
        </w:rPr>
        <w:t>después de haber otorgado una respuesta</w:t>
      </w:r>
      <w:r w:rsidRPr="00B4157D">
        <w:rPr>
          <w:rFonts w:ascii="Palatino Linotype" w:eastAsia="Palatino Linotype" w:hAnsi="Palatino Linotype" w:cs="Palatino Linotype"/>
          <w:sz w:val="22"/>
          <w:szCs w:val="22"/>
        </w:rPr>
        <w:t xml:space="preserve">, o haber omitido hacerlo (acto de no hacer), </w:t>
      </w:r>
      <w:r w:rsidRPr="00B4157D">
        <w:rPr>
          <w:rFonts w:ascii="Palatino Linotype" w:eastAsia="Palatino Linotype" w:hAnsi="Palatino Linotype" w:cs="Palatino Linotype"/>
          <w:b/>
          <w:sz w:val="22"/>
          <w:szCs w:val="22"/>
        </w:rPr>
        <w:t>emite una o una diversa de manera posterior y en ésta subsana las deficiencias que hubiera tenido</w:t>
      </w:r>
      <w:r w:rsidRPr="00B4157D">
        <w:rPr>
          <w:rFonts w:ascii="Palatino Linotype" w:eastAsia="Palatino Linotype" w:hAnsi="Palatino Linotype" w:cs="Palatino Linotype"/>
          <w:sz w:val="22"/>
          <w:szCs w:val="22"/>
        </w:rPr>
        <w:t>, quedando satisfecho el derecho subjetivo accionado por la parte Recurrente.</w:t>
      </w:r>
    </w:p>
    <w:p w14:paraId="3CFE269C" w14:textId="77777777" w:rsidR="00B977D3" w:rsidRPr="00B4157D" w:rsidRDefault="00D92C13">
      <w:pPr>
        <w:spacing w:before="240" w:after="240" w:line="360" w:lineRule="auto"/>
        <w:ind w:right="49"/>
        <w:jc w:val="both"/>
        <w:rPr>
          <w:rFonts w:ascii="Palatino Linotype" w:eastAsia="Palatino Linotype" w:hAnsi="Palatino Linotype" w:cs="Palatino Linotype"/>
          <w:sz w:val="22"/>
          <w:szCs w:val="22"/>
        </w:rPr>
      </w:pPr>
      <w:r w:rsidRPr="00B4157D">
        <w:rPr>
          <w:rFonts w:ascii="Palatino Linotype" w:eastAsia="Palatino Linotype" w:hAnsi="Palatino Linotype" w:cs="Palatino Linotype"/>
          <w:sz w:val="22"/>
          <w:szCs w:val="22"/>
        </w:rPr>
        <w:t>Por lo que hace a la revocación, esta se actualiza cuando el Sujeto Obligado deja sin efectos la primera respuesta o su primer acto y en su lugar emite otro con las características y cualidades suficientes para dejar satisfecho el ejercicio del derecho al acceso a la información pública.</w:t>
      </w:r>
    </w:p>
    <w:p w14:paraId="7D1BF63A" w14:textId="77777777" w:rsidR="00B977D3" w:rsidRPr="00B4157D" w:rsidRDefault="00D92C13">
      <w:pPr>
        <w:spacing w:before="240" w:after="240" w:line="360" w:lineRule="auto"/>
        <w:ind w:right="49"/>
        <w:jc w:val="both"/>
        <w:rPr>
          <w:rFonts w:ascii="Palatino Linotype" w:eastAsia="Palatino Linotype" w:hAnsi="Palatino Linotype" w:cs="Palatino Linotype"/>
          <w:sz w:val="22"/>
          <w:szCs w:val="22"/>
        </w:rPr>
      </w:pPr>
      <w:r w:rsidRPr="00B4157D">
        <w:rPr>
          <w:rFonts w:ascii="Palatino Linotype" w:eastAsia="Palatino Linotype" w:hAnsi="Palatino Linotype" w:cs="Palatino Linotype"/>
          <w:sz w:val="22"/>
          <w:szCs w:val="22"/>
        </w:rPr>
        <w:t>En este orden de ideas, un acto impugnado queda sin efectos, cuando aun existiendo jurídicamente (esto es, que no se ha modificado, ni revocado) ya no genera ninguna consecuencia legal.</w:t>
      </w:r>
    </w:p>
    <w:p w14:paraId="34C1FAD1" w14:textId="77777777" w:rsidR="00B977D3" w:rsidRPr="00B4157D" w:rsidRDefault="00D92C13">
      <w:pPr>
        <w:spacing w:before="240" w:after="240" w:line="360" w:lineRule="auto"/>
        <w:ind w:right="49"/>
        <w:jc w:val="both"/>
        <w:rPr>
          <w:rFonts w:ascii="Palatino Linotype" w:eastAsia="Palatino Linotype" w:hAnsi="Palatino Linotype" w:cs="Palatino Linotype"/>
          <w:sz w:val="22"/>
          <w:szCs w:val="22"/>
        </w:rPr>
      </w:pPr>
      <w:r w:rsidRPr="00B4157D">
        <w:rPr>
          <w:rFonts w:ascii="Palatino Linotype" w:eastAsia="Palatino Linotype" w:hAnsi="Palatino Linotype" w:cs="Palatino Linotype"/>
          <w:sz w:val="22"/>
          <w:szCs w:val="22"/>
        </w:rPr>
        <w:t>En tanto que, un acto impugnado queda sin materia, cuando ha sido satisfecha la pretensión de la parte Recurrente de manera que el Sujeto Obligado entrega una respuesta aunque sea posterior a los términos previstos en la ley y mediante esta concede la información solicitada.</w:t>
      </w:r>
    </w:p>
    <w:p w14:paraId="10C00590" w14:textId="77777777" w:rsidR="00B977D3" w:rsidRPr="00B4157D" w:rsidRDefault="00D92C13">
      <w:pPr>
        <w:spacing w:before="240" w:after="240" w:line="360" w:lineRule="auto"/>
        <w:ind w:right="49"/>
        <w:jc w:val="both"/>
        <w:rPr>
          <w:rFonts w:ascii="Palatino Linotype" w:eastAsia="Palatino Linotype" w:hAnsi="Palatino Linotype" w:cs="Palatino Linotype"/>
          <w:sz w:val="22"/>
          <w:szCs w:val="22"/>
        </w:rPr>
      </w:pPr>
      <w:r w:rsidRPr="00B4157D">
        <w:rPr>
          <w:rFonts w:ascii="Palatino Linotype" w:eastAsia="Palatino Linotype" w:hAnsi="Palatino Linotype" w:cs="Palatino Linotype"/>
          <w:sz w:val="22"/>
          <w:szCs w:val="22"/>
        </w:rPr>
        <w:t xml:space="preserve">Con base en los argumentos expuestos, resulta evidente que el </w:t>
      </w:r>
      <w:r w:rsidRPr="00B4157D">
        <w:rPr>
          <w:rFonts w:ascii="Palatino Linotype" w:eastAsia="Palatino Linotype" w:hAnsi="Palatino Linotype" w:cs="Palatino Linotype"/>
          <w:b/>
          <w:sz w:val="22"/>
          <w:szCs w:val="22"/>
        </w:rPr>
        <w:t>Sujeto Obligado</w:t>
      </w:r>
      <w:r w:rsidRPr="00B4157D">
        <w:rPr>
          <w:rFonts w:ascii="Palatino Linotype" w:eastAsia="Palatino Linotype" w:hAnsi="Palatino Linotype" w:cs="Palatino Linotype"/>
          <w:sz w:val="22"/>
          <w:szCs w:val="22"/>
        </w:rPr>
        <w:t xml:space="preserve">, aunque haya sido de manera posterior, emitió respuesta a la solicitud de acceso a la información pública de la persona solicitante, al haber proporcionado </w:t>
      </w:r>
      <w:r w:rsidR="004E5B25" w:rsidRPr="00B4157D">
        <w:rPr>
          <w:rFonts w:ascii="Palatino Linotype" w:eastAsia="Palatino Linotype" w:hAnsi="Palatino Linotype" w:cs="Palatino Linotype"/>
          <w:sz w:val="22"/>
          <w:szCs w:val="22"/>
        </w:rPr>
        <w:t xml:space="preserve">el oficio </w:t>
      </w:r>
      <w:r w:rsidR="004E5B25" w:rsidRPr="00B4157D">
        <w:rPr>
          <w:rFonts w:ascii="Palatino Linotype" w:hAnsi="Palatino Linotype"/>
          <w:sz w:val="22"/>
          <w:szCs w:val="22"/>
        </w:rPr>
        <w:t>número CHIC/IMCUFIDE/DG/011/2025 emitido por el Director General del Instituto Municipal de Cultura Física y Deporte en el Municipio de Chicoloapan, mediante el cual se autorizó el uso temporal del Deportivo “San José” al Club de Futbol Halcones Negros, F. C., para el desarrollo de sus entrenamientos, encuentros deportivos y actividades a fines</w:t>
      </w:r>
      <w:r w:rsidRPr="00B4157D">
        <w:rPr>
          <w:rFonts w:ascii="Palatino Linotype" w:eastAsia="Palatino Linotype" w:hAnsi="Palatino Linotype" w:cs="Palatino Linotype"/>
          <w:sz w:val="22"/>
          <w:szCs w:val="22"/>
        </w:rPr>
        <w:t>, por tal motivo, debe tenerse que con lo entregado</w:t>
      </w:r>
      <w:r w:rsidRPr="00B4157D">
        <w:rPr>
          <w:rFonts w:ascii="Palatino Linotype" w:eastAsia="Palatino Linotype" w:hAnsi="Palatino Linotype" w:cs="Palatino Linotype"/>
          <w:b/>
          <w:sz w:val="22"/>
          <w:szCs w:val="22"/>
        </w:rPr>
        <w:t>,</w:t>
      </w:r>
      <w:r w:rsidRPr="00B4157D">
        <w:rPr>
          <w:rFonts w:ascii="Palatino Linotype" w:eastAsia="Palatino Linotype" w:hAnsi="Palatino Linotype" w:cs="Palatino Linotype"/>
          <w:sz w:val="22"/>
          <w:szCs w:val="22"/>
        </w:rPr>
        <w:t xml:space="preserve"> se satisface la solicitud planteada, con lo cual quedo sin materia el presente recurso de revisión, actualizándose entonces, la causal prevista en la fracción III del artículo 192 de la Ley de la Materia vigente en la Entidad, antes transcrita. </w:t>
      </w:r>
    </w:p>
    <w:p w14:paraId="31A20C6D" w14:textId="77777777" w:rsidR="00B977D3" w:rsidRPr="00B4157D" w:rsidRDefault="00D92C13">
      <w:pPr>
        <w:spacing w:before="240" w:after="240" w:line="360" w:lineRule="auto"/>
        <w:ind w:right="49"/>
        <w:jc w:val="both"/>
        <w:rPr>
          <w:rFonts w:ascii="Palatino Linotype" w:eastAsia="Palatino Linotype" w:hAnsi="Palatino Linotype" w:cs="Palatino Linotype"/>
          <w:b/>
          <w:sz w:val="22"/>
          <w:szCs w:val="22"/>
        </w:rPr>
      </w:pPr>
      <w:r w:rsidRPr="00B4157D">
        <w:rPr>
          <w:rFonts w:ascii="Palatino Linotype" w:eastAsia="Palatino Linotype" w:hAnsi="Palatino Linotype" w:cs="Palatino Linotype"/>
          <w:sz w:val="22"/>
          <w:szCs w:val="22"/>
        </w:rPr>
        <w:t xml:space="preserve">Atento a los razonamientos lógico jurídicos que han quedado precisados y toda vez que el  </w:t>
      </w:r>
      <w:r w:rsidRPr="00B4157D">
        <w:rPr>
          <w:rFonts w:ascii="Palatino Linotype" w:eastAsia="Palatino Linotype" w:hAnsi="Palatino Linotype" w:cs="Palatino Linotype"/>
          <w:i/>
          <w:sz w:val="22"/>
          <w:szCs w:val="22"/>
        </w:rPr>
        <w:t xml:space="preserve">sobreseimiento </w:t>
      </w:r>
      <w:r w:rsidRPr="00B4157D">
        <w:rPr>
          <w:rFonts w:ascii="Palatino Linotype" w:eastAsia="Palatino Linotype" w:hAnsi="Palatino Linotype" w:cs="Palatino Linotype"/>
          <w:sz w:val="22"/>
          <w:szCs w:val="22"/>
        </w:rPr>
        <w:t xml:space="preserve">es un acto que da por terminado el procedimiento administrativo de impugnación por alguna causa que sobreviniente en el juicio de que se trate, que impide a la autoridad referirse a lo sustancial de lo planteado por el recurrente teniendo como consecuencia dar por concluido el medio de impugnación, este Instituto se encuentra imposibilitado para entrar al estudio de fondo del recurso de revisión, lo anterior con apoyo en el criterio del Poder Judicial de la Federación con rubro: </w:t>
      </w:r>
      <w:r w:rsidRPr="00B4157D">
        <w:rPr>
          <w:rFonts w:ascii="Palatino Linotype" w:eastAsia="Palatino Linotype" w:hAnsi="Palatino Linotype" w:cs="Palatino Linotype"/>
          <w:b/>
          <w:sz w:val="22"/>
          <w:szCs w:val="22"/>
        </w:rPr>
        <w:t>SOBRESEIMIENTO, NO PERMITE ENTRAR AL ESTUDIO DE LAS CUESTIONES DE FONDO</w:t>
      </w:r>
      <w:r w:rsidRPr="00B4157D">
        <w:rPr>
          <w:rFonts w:ascii="Palatino Linotype" w:eastAsia="Palatino Linotype" w:hAnsi="Palatino Linotype" w:cs="Palatino Linotype"/>
          <w:sz w:val="22"/>
          <w:szCs w:val="22"/>
          <w:vertAlign w:val="superscript"/>
        </w:rPr>
        <w:footnoteReference w:id="1"/>
      </w:r>
      <w:r w:rsidRPr="00B4157D">
        <w:rPr>
          <w:rFonts w:ascii="Palatino Linotype" w:eastAsia="Palatino Linotype" w:hAnsi="Palatino Linotype" w:cs="Palatino Linotype"/>
          <w:b/>
          <w:sz w:val="22"/>
          <w:szCs w:val="22"/>
        </w:rPr>
        <w:t>.</w:t>
      </w:r>
    </w:p>
    <w:p w14:paraId="30C38465" w14:textId="77777777" w:rsidR="00B977D3" w:rsidRPr="00B4157D" w:rsidRDefault="00D92C13">
      <w:pPr>
        <w:spacing w:before="240" w:after="240" w:line="360" w:lineRule="auto"/>
        <w:ind w:right="49"/>
        <w:jc w:val="both"/>
        <w:rPr>
          <w:rFonts w:ascii="Palatino Linotype" w:eastAsia="Palatino Linotype" w:hAnsi="Palatino Linotype" w:cs="Palatino Linotype"/>
          <w:sz w:val="22"/>
          <w:szCs w:val="22"/>
        </w:rPr>
      </w:pPr>
      <w:r w:rsidRPr="00B4157D">
        <w:rPr>
          <w:rFonts w:ascii="Palatino Linotype" w:eastAsia="Palatino Linotype" w:hAnsi="Palatino Linotype" w:cs="Palatino Linotype"/>
          <w:sz w:val="22"/>
          <w:szCs w:val="22"/>
        </w:rPr>
        <w:t xml:space="preserve">Por lo tanto, en términos del artículo 186 fracción I este Pleno determina el </w:t>
      </w:r>
      <w:r w:rsidRPr="00B4157D">
        <w:rPr>
          <w:rFonts w:ascii="Palatino Linotype" w:eastAsia="Palatino Linotype" w:hAnsi="Palatino Linotype" w:cs="Palatino Linotype"/>
          <w:b/>
          <w:sz w:val="22"/>
          <w:szCs w:val="22"/>
        </w:rPr>
        <w:t xml:space="preserve">sobreseimiento </w:t>
      </w:r>
      <w:r w:rsidRPr="00B4157D">
        <w:rPr>
          <w:rFonts w:ascii="Palatino Linotype" w:eastAsia="Palatino Linotype" w:hAnsi="Palatino Linotype" w:cs="Palatino Linotype"/>
          <w:sz w:val="22"/>
          <w:szCs w:val="22"/>
        </w:rPr>
        <w:t xml:space="preserve">de los recursos de revisión toda vez que la afectación al derecho de acceso a la información pública establecido constitucionalmente a favor de la parte </w:t>
      </w:r>
      <w:r w:rsidRPr="00B4157D">
        <w:rPr>
          <w:rFonts w:ascii="Palatino Linotype" w:eastAsia="Palatino Linotype" w:hAnsi="Palatino Linotype" w:cs="Palatino Linotype"/>
          <w:b/>
          <w:sz w:val="22"/>
          <w:szCs w:val="22"/>
        </w:rPr>
        <w:t>Recurrente</w:t>
      </w:r>
      <w:r w:rsidRPr="00B4157D">
        <w:rPr>
          <w:rFonts w:ascii="Palatino Linotype" w:eastAsia="Palatino Linotype" w:hAnsi="Palatino Linotype" w:cs="Palatino Linotype"/>
          <w:sz w:val="22"/>
          <w:szCs w:val="22"/>
        </w:rPr>
        <w:t xml:space="preserve"> ha sido resarcida.</w:t>
      </w:r>
    </w:p>
    <w:p w14:paraId="57BAE584" w14:textId="77777777" w:rsidR="00B977D3" w:rsidRPr="00B4157D" w:rsidRDefault="00D92C13">
      <w:pPr>
        <w:spacing w:before="240" w:after="240" w:line="360" w:lineRule="auto"/>
        <w:ind w:right="49"/>
        <w:jc w:val="both"/>
        <w:rPr>
          <w:rFonts w:ascii="Palatino Linotype" w:eastAsia="Palatino Linotype" w:hAnsi="Palatino Linotype" w:cs="Palatino Linotype"/>
          <w:sz w:val="22"/>
          <w:szCs w:val="22"/>
        </w:rPr>
      </w:pPr>
      <w:r w:rsidRPr="00B4157D">
        <w:rPr>
          <w:rFonts w:ascii="Palatino Linotype" w:eastAsia="Palatino Linotype" w:hAnsi="Palatino Linotype" w:cs="Palatino Linotype"/>
          <w:sz w:val="22"/>
          <w:szCs w:val="22"/>
        </w:rPr>
        <w:t xml:space="preserve">Así, con fundamento en lo prescrito en los artículos 5 párrafos </w:t>
      </w:r>
      <w:r w:rsidR="004E5B25" w:rsidRPr="00B4157D">
        <w:rPr>
          <w:rFonts w:ascii="Palatino Linotype" w:eastAsia="Palatino Linotype" w:hAnsi="Palatino Linotype" w:cs="Palatino Linotype"/>
          <w:sz w:val="22"/>
          <w:szCs w:val="22"/>
        </w:rPr>
        <w:t>cuadragésimo cuarto y cuadragésimo quinto y cuadragésimo sexto fracciones IV y V de la Constitución Política del Estado Libre y Soberano de México; Transitorio Cuarto, párrafo segundo del Decreto número 198 de la “LXII” Legislatura del Estado de México;</w:t>
      </w:r>
      <w:r w:rsidRPr="00B4157D">
        <w:rPr>
          <w:rFonts w:ascii="Palatino Linotype" w:eastAsia="Palatino Linotype" w:hAnsi="Palatino Linotype" w:cs="Palatino Linotype"/>
          <w:sz w:val="22"/>
          <w:szCs w:val="22"/>
        </w:rPr>
        <w:t xml:space="preserve"> 2, fracción II; 29, 36 fracciones I y II; 176, 178, 181, 185 y 186 fracción II de la Ley de Transparencia y Acceso a la Información Pública del Estado de México y Municipios, este Pleno:</w:t>
      </w:r>
    </w:p>
    <w:p w14:paraId="3803D617" w14:textId="77777777" w:rsidR="00B977D3" w:rsidRPr="00B4157D" w:rsidRDefault="00D92C13">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B4157D">
        <w:rPr>
          <w:rFonts w:ascii="Palatino Linotype" w:eastAsia="Palatino Linotype" w:hAnsi="Palatino Linotype" w:cs="Palatino Linotype"/>
          <w:b/>
          <w:sz w:val="22"/>
          <w:szCs w:val="22"/>
        </w:rPr>
        <w:t>III. R E S U E L V E</w:t>
      </w:r>
    </w:p>
    <w:p w14:paraId="063901BB" w14:textId="77777777" w:rsidR="00B977D3" w:rsidRPr="00B4157D" w:rsidRDefault="00D92C13">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B4157D">
        <w:rPr>
          <w:rFonts w:ascii="Palatino Linotype" w:eastAsia="Palatino Linotype" w:hAnsi="Palatino Linotype" w:cs="Palatino Linotype"/>
          <w:b/>
          <w:sz w:val="22"/>
          <w:szCs w:val="22"/>
        </w:rPr>
        <w:t xml:space="preserve">Primero. </w:t>
      </w:r>
      <w:r w:rsidRPr="00B4157D">
        <w:rPr>
          <w:rFonts w:ascii="Palatino Linotype" w:eastAsia="Palatino Linotype" w:hAnsi="Palatino Linotype" w:cs="Palatino Linotype"/>
          <w:sz w:val="22"/>
          <w:szCs w:val="22"/>
        </w:rPr>
        <w:t>Se</w:t>
      </w:r>
      <w:r w:rsidRPr="00B4157D">
        <w:rPr>
          <w:rFonts w:ascii="Palatino Linotype" w:eastAsia="Palatino Linotype" w:hAnsi="Palatino Linotype" w:cs="Palatino Linotype"/>
          <w:b/>
          <w:sz w:val="22"/>
          <w:szCs w:val="22"/>
        </w:rPr>
        <w:t xml:space="preserve"> Sobresee </w:t>
      </w:r>
      <w:r w:rsidRPr="00B4157D">
        <w:rPr>
          <w:rFonts w:ascii="Palatino Linotype" w:eastAsia="Palatino Linotype" w:hAnsi="Palatino Linotype" w:cs="Palatino Linotype"/>
          <w:sz w:val="22"/>
          <w:szCs w:val="22"/>
        </w:rPr>
        <w:t xml:space="preserve">el recurso de revisión </w:t>
      </w:r>
      <w:r w:rsidRPr="00B4157D">
        <w:rPr>
          <w:rFonts w:ascii="Palatino Linotype" w:eastAsia="Palatino Linotype" w:hAnsi="Palatino Linotype" w:cs="Palatino Linotype"/>
          <w:b/>
          <w:sz w:val="22"/>
          <w:szCs w:val="22"/>
        </w:rPr>
        <w:t>0</w:t>
      </w:r>
      <w:r w:rsidR="004E5B25" w:rsidRPr="00B4157D">
        <w:rPr>
          <w:rFonts w:ascii="Palatino Linotype" w:eastAsia="Palatino Linotype" w:hAnsi="Palatino Linotype" w:cs="Palatino Linotype"/>
          <w:b/>
          <w:sz w:val="22"/>
          <w:szCs w:val="22"/>
        </w:rPr>
        <w:t>8504</w:t>
      </w:r>
      <w:r w:rsidRPr="00B4157D">
        <w:rPr>
          <w:rFonts w:ascii="Palatino Linotype" w:eastAsia="Palatino Linotype" w:hAnsi="Palatino Linotype" w:cs="Palatino Linotype"/>
          <w:b/>
          <w:sz w:val="22"/>
          <w:szCs w:val="22"/>
        </w:rPr>
        <w:t xml:space="preserve">/INFOEM/IP/RR/2025, </w:t>
      </w:r>
      <w:r w:rsidRPr="00B4157D">
        <w:rPr>
          <w:rFonts w:ascii="Palatino Linotype" w:eastAsia="Palatino Linotype" w:hAnsi="Palatino Linotype" w:cs="Palatino Linotype"/>
          <w:sz w:val="22"/>
          <w:szCs w:val="22"/>
        </w:rPr>
        <w:t xml:space="preserve">en términos del Considerando </w:t>
      </w:r>
      <w:r w:rsidRPr="00B4157D">
        <w:rPr>
          <w:rFonts w:ascii="Palatino Linotype" w:eastAsia="Palatino Linotype" w:hAnsi="Palatino Linotype" w:cs="Palatino Linotype"/>
          <w:b/>
          <w:sz w:val="22"/>
          <w:szCs w:val="22"/>
        </w:rPr>
        <w:t xml:space="preserve">Tercero </w:t>
      </w:r>
      <w:r w:rsidRPr="00B4157D">
        <w:rPr>
          <w:rFonts w:ascii="Palatino Linotype" w:eastAsia="Palatino Linotype" w:hAnsi="Palatino Linotype" w:cs="Palatino Linotype"/>
          <w:sz w:val="22"/>
          <w:szCs w:val="22"/>
        </w:rPr>
        <w:t xml:space="preserve">de la presente Resolución, porque al colmar la pretensión de la parte </w:t>
      </w:r>
      <w:r w:rsidRPr="00B4157D">
        <w:rPr>
          <w:rFonts w:ascii="Palatino Linotype" w:eastAsia="Palatino Linotype" w:hAnsi="Palatino Linotype" w:cs="Palatino Linotype"/>
          <w:b/>
          <w:sz w:val="22"/>
          <w:szCs w:val="22"/>
        </w:rPr>
        <w:t xml:space="preserve">Recurrente </w:t>
      </w:r>
      <w:r w:rsidRPr="00B4157D">
        <w:rPr>
          <w:rFonts w:ascii="Palatino Linotype" w:eastAsia="Palatino Linotype" w:hAnsi="Palatino Linotype" w:cs="Palatino Linotype"/>
          <w:sz w:val="22"/>
          <w:szCs w:val="22"/>
        </w:rPr>
        <w:t xml:space="preserve">mediante informe justificado, quedó sin materia de conformidad con lo dispuesto en la fracción III del artículo 192 de la de la Ley de Transparencia y Acceso a la Información Pública del Estado de México y Municipios. </w:t>
      </w:r>
    </w:p>
    <w:p w14:paraId="54042073" w14:textId="77777777" w:rsidR="00B977D3" w:rsidRPr="00B4157D" w:rsidRDefault="00D92C13">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B4157D">
        <w:rPr>
          <w:rFonts w:ascii="Palatino Linotype" w:eastAsia="Palatino Linotype" w:hAnsi="Palatino Linotype" w:cs="Palatino Linotype"/>
          <w:b/>
          <w:sz w:val="22"/>
          <w:szCs w:val="22"/>
        </w:rPr>
        <w:t xml:space="preserve">Segundo. Notifíquese, </w:t>
      </w:r>
      <w:r w:rsidRPr="00B4157D">
        <w:rPr>
          <w:rFonts w:ascii="Palatino Linotype" w:eastAsia="Palatino Linotype" w:hAnsi="Palatino Linotype" w:cs="Palatino Linotype"/>
          <w:sz w:val="22"/>
          <w:szCs w:val="22"/>
        </w:rPr>
        <w:t>vía</w:t>
      </w:r>
      <w:r w:rsidRPr="00B4157D">
        <w:rPr>
          <w:rFonts w:ascii="Palatino Linotype" w:eastAsia="Palatino Linotype" w:hAnsi="Palatino Linotype" w:cs="Palatino Linotype"/>
          <w:b/>
          <w:sz w:val="22"/>
          <w:szCs w:val="22"/>
        </w:rPr>
        <w:t xml:space="preserve"> SAIMEX, </w:t>
      </w:r>
      <w:r w:rsidRPr="00B4157D">
        <w:rPr>
          <w:rFonts w:ascii="Palatino Linotype" w:eastAsia="Palatino Linotype" w:hAnsi="Palatino Linotype" w:cs="Palatino Linotype"/>
          <w:sz w:val="22"/>
          <w:szCs w:val="22"/>
        </w:rPr>
        <w:t>al Titular de la Unidad de Transparencia, para su conocimiento.</w:t>
      </w:r>
    </w:p>
    <w:p w14:paraId="3D5DBA7D" w14:textId="77777777" w:rsidR="00B977D3" w:rsidRPr="00B4157D" w:rsidRDefault="00D92C13">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B4157D">
        <w:rPr>
          <w:rFonts w:ascii="Palatino Linotype" w:eastAsia="Palatino Linotype" w:hAnsi="Palatino Linotype" w:cs="Palatino Linotype"/>
          <w:b/>
          <w:sz w:val="22"/>
          <w:szCs w:val="22"/>
        </w:rPr>
        <w:t xml:space="preserve">Tercero. Notifíquese </w:t>
      </w:r>
      <w:r w:rsidRPr="00B4157D">
        <w:rPr>
          <w:rFonts w:ascii="Palatino Linotype" w:eastAsia="Palatino Linotype" w:hAnsi="Palatino Linotype" w:cs="Palatino Linotype"/>
          <w:sz w:val="22"/>
          <w:szCs w:val="22"/>
        </w:rPr>
        <w:t>vía</w:t>
      </w:r>
      <w:r w:rsidRPr="00B4157D">
        <w:rPr>
          <w:rFonts w:ascii="Palatino Linotype" w:eastAsia="Palatino Linotype" w:hAnsi="Palatino Linotype" w:cs="Palatino Linotype"/>
          <w:b/>
          <w:sz w:val="22"/>
          <w:szCs w:val="22"/>
        </w:rPr>
        <w:t xml:space="preserve"> SAIMEX</w:t>
      </w:r>
      <w:r w:rsidRPr="00B4157D">
        <w:rPr>
          <w:rFonts w:ascii="Palatino Linotype" w:eastAsia="Palatino Linotype" w:hAnsi="Palatino Linotype" w:cs="Palatino Linotype"/>
          <w:sz w:val="22"/>
          <w:szCs w:val="22"/>
        </w:rPr>
        <w:t xml:space="preserve">, a la parte </w:t>
      </w:r>
      <w:r w:rsidRPr="00B4157D">
        <w:rPr>
          <w:rFonts w:ascii="Palatino Linotype" w:eastAsia="Palatino Linotype" w:hAnsi="Palatino Linotype" w:cs="Palatino Linotype"/>
          <w:b/>
          <w:sz w:val="22"/>
          <w:szCs w:val="22"/>
        </w:rPr>
        <w:t xml:space="preserve">Recurrente </w:t>
      </w:r>
      <w:r w:rsidRPr="00B4157D">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4FC817AA" w14:textId="77777777" w:rsidR="00B977D3" w:rsidRPr="00ED5722" w:rsidRDefault="00D92C13">
      <w:pPr>
        <w:tabs>
          <w:tab w:val="left" w:pos="8647"/>
        </w:tabs>
        <w:spacing w:before="240" w:after="240" w:line="360" w:lineRule="auto"/>
        <w:ind w:right="51"/>
        <w:jc w:val="both"/>
        <w:rPr>
          <w:rFonts w:ascii="Palatino Linotype" w:eastAsia="Palatino Linotype" w:hAnsi="Palatino Linotype" w:cs="Palatino Linotype"/>
          <w:sz w:val="22"/>
          <w:szCs w:val="22"/>
        </w:rPr>
      </w:pPr>
      <w:r w:rsidRPr="00B4157D">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0E3FE0" w:rsidRPr="00B4157D">
        <w:rPr>
          <w:rFonts w:ascii="Palatino Linotype" w:eastAsia="Palatino Linotype" w:hAnsi="Palatino Linotype" w:cs="Palatino Linotype"/>
          <w:sz w:val="22"/>
          <w:szCs w:val="22"/>
        </w:rPr>
        <w:t>CUADRAGÉSIMA</w:t>
      </w:r>
      <w:r w:rsidRPr="00B4157D">
        <w:rPr>
          <w:rFonts w:ascii="Palatino Linotype" w:eastAsia="Palatino Linotype" w:hAnsi="Palatino Linotype" w:cs="Palatino Linotype"/>
          <w:sz w:val="22"/>
          <w:szCs w:val="22"/>
        </w:rPr>
        <w:t xml:space="preserve"> SESIÓN ORDINARIA CELEBRADA EL </w:t>
      </w:r>
      <w:r w:rsidR="000E3FE0" w:rsidRPr="00B4157D">
        <w:rPr>
          <w:rFonts w:ascii="Palatino Linotype" w:eastAsia="Palatino Linotype" w:hAnsi="Palatino Linotype" w:cs="Palatino Linotype"/>
          <w:sz w:val="22"/>
          <w:szCs w:val="22"/>
        </w:rPr>
        <w:t xml:space="preserve">DOCE DE NOVIEMRBE </w:t>
      </w:r>
      <w:r w:rsidRPr="00B4157D">
        <w:rPr>
          <w:rFonts w:ascii="Palatino Linotype" w:eastAsia="Palatino Linotype" w:hAnsi="Palatino Linotype" w:cs="Palatino Linotype"/>
          <w:sz w:val="22"/>
          <w:szCs w:val="22"/>
        </w:rPr>
        <w:t>DE DOS MIL VEINTICINCO, ANTE EL SECRETARIO TÉCNICO DEL PLENO ALEXIS TAPIA RAMÍREZ.</w:t>
      </w:r>
    </w:p>
    <w:p w14:paraId="4A40AED2" w14:textId="77777777" w:rsidR="00B977D3" w:rsidRPr="00ED5722" w:rsidRDefault="00B977D3">
      <w:pPr>
        <w:spacing w:line="360" w:lineRule="auto"/>
        <w:jc w:val="both"/>
        <w:rPr>
          <w:rFonts w:ascii="Palatino Linotype" w:eastAsia="Palatino Linotype" w:hAnsi="Palatino Linotype" w:cs="Palatino Linotype"/>
          <w:sz w:val="22"/>
          <w:szCs w:val="22"/>
        </w:rPr>
      </w:pPr>
    </w:p>
    <w:p w14:paraId="2E7F94DE" w14:textId="77777777" w:rsidR="00B977D3" w:rsidRPr="00ED5722" w:rsidRDefault="00B977D3">
      <w:pPr>
        <w:spacing w:line="360" w:lineRule="auto"/>
        <w:jc w:val="center"/>
        <w:rPr>
          <w:rFonts w:ascii="Palatino Linotype" w:eastAsia="Palatino Linotype" w:hAnsi="Palatino Linotype" w:cs="Palatino Linotype"/>
          <w:sz w:val="22"/>
          <w:szCs w:val="22"/>
        </w:rPr>
      </w:pPr>
    </w:p>
    <w:p w14:paraId="6F7ED5AC" w14:textId="77777777" w:rsidR="00B977D3" w:rsidRPr="00ED5722" w:rsidRDefault="00B977D3">
      <w:pPr>
        <w:spacing w:line="360" w:lineRule="auto"/>
        <w:jc w:val="both"/>
        <w:rPr>
          <w:rFonts w:ascii="Palatino Linotype" w:eastAsia="Palatino Linotype" w:hAnsi="Palatino Linotype" w:cs="Palatino Linotype"/>
          <w:sz w:val="22"/>
          <w:szCs w:val="22"/>
        </w:rPr>
      </w:pPr>
    </w:p>
    <w:p w14:paraId="6FD81D32" w14:textId="77777777" w:rsidR="00B977D3" w:rsidRPr="00ED5722" w:rsidRDefault="00B977D3">
      <w:pPr>
        <w:spacing w:line="360" w:lineRule="auto"/>
        <w:jc w:val="both"/>
        <w:rPr>
          <w:rFonts w:ascii="Palatino Linotype" w:eastAsia="Palatino Linotype" w:hAnsi="Palatino Linotype" w:cs="Palatino Linotype"/>
          <w:sz w:val="22"/>
          <w:szCs w:val="22"/>
        </w:rPr>
      </w:pPr>
    </w:p>
    <w:p w14:paraId="50E4EECA" w14:textId="77777777" w:rsidR="00B977D3" w:rsidRPr="00ED5722" w:rsidRDefault="00B977D3">
      <w:pPr>
        <w:spacing w:line="360" w:lineRule="auto"/>
        <w:jc w:val="both"/>
        <w:rPr>
          <w:rFonts w:ascii="Palatino Linotype" w:eastAsia="Palatino Linotype" w:hAnsi="Palatino Linotype" w:cs="Palatino Linotype"/>
          <w:sz w:val="22"/>
          <w:szCs w:val="22"/>
        </w:rPr>
      </w:pPr>
    </w:p>
    <w:p w14:paraId="79A99D50" w14:textId="77777777" w:rsidR="00B977D3" w:rsidRPr="00ED5722" w:rsidRDefault="00B977D3">
      <w:pPr>
        <w:spacing w:line="360" w:lineRule="auto"/>
        <w:jc w:val="both"/>
        <w:rPr>
          <w:rFonts w:ascii="Palatino Linotype" w:eastAsia="Palatino Linotype" w:hAnsi="Palatino Linotype" w:cs="Palatino Linotype"/>
          <w:sz w:val="22"/>
          <w:szCs w:val="22"/>
        </w:rPr>
      </w:pPr>
    </w:p>
    <w:p w14:paraId="7B04EF69" w14:textId="77777777" w:rsidR="00B977D3" w:rsidRPr="00ED5722" w:rsidRDefault="00B977D3">
      <w:pPr>
        <w:spacing w:line="360" w:lineRule="auto"/>
        <w:jc w:val="both"/>
        <w:rPr>
          <w:rFonts w:ascii="Palatino Linotype" w:eastAsia="Palatino Linotype" w:hAnsi="Palatino Linotype" w:cs="Palatino Linotype"/>
          <w:sz w:val="22"/>
          <w:szCs w:val="22"/>
        </w:rPr>
      </w:pPr>
    </w:p>
    <w:p w14:paraId="076177F9" w14:textId="77777777" w:rsidR="00B977D3" w:rsidRPr="00ED5722" w:rsidRDefault="00B977D3">
      <w:pPr>
        <w:spacing w:line="360" w:lineRule="auto"/>
        <w:jc w:val="both"/>
        <w:rPr>
          <w:rFonts w:ascii="Palatino Linotype" w:eastAsia="Palatino Linotype" w:hAnsi="Palatino Linotype" w:cs="Palatino Linotype"/>
          <w:sz w:val="22"/>
          <w:szCs w:val="22"/>
        </w:rPr>
      </w:pPr>
    </w:p>
    <w:p w14:paraId="4144436E" w14:textId="77777777" w:rsidR="00B977D3" w:rsidRPr="00ED5722" w:rsidRDefault="00B977D3">
      <w:pPr>
        <w:spacing w:line="360" w:lineRule="auto"/>
        <w:jc w:val="both"/>
        <w:rPr>
          <w:rFonts w:ascii="Palatino Linotype" w:eastAsia="Palatino Linotype" w:hAnsi="Palatino Linotype" w:cs="Palatino Linotype"/>
          <w:sz w:val="22"/>
          <w:szCs w:val="22"/>
        </w:rPr>
      </w:pPr>
    </w:p>
    <w:p w14:paraId="72DBA0BC" w14:textId="77777777" w:rsidR="00B977D3" w:rsidRPr="00ED5722" w:rsidRDefault="00B977D3">
      <w:pPr>
        <w:spacing w:line="360" w:lineRule="auto"/>
        <w:jc w:val="both"/>
        <w:rPr>
          <w:rFonts w:ascii="Palatino Linotype" w:eastAsia="Palatino Linotype" w:hAnsi="Palatino Linotype" w:cs="Palatino Linotype"/>
          <w:sz w:val="22"/>
          <w:szCs w:val="22"/>
        </w:rPr>
      </w:pPr>
    </w:p>
    <w:p w14:paraId="6EB23AF7" w14:textId="77777777" w:rsidR="00B977D3" w:rsidRPr="00ED5722" w:rsidRDefault="00B977D3">
      <w:pPr>
        <w:spacing w:line="360" w:lineRule="auto"/>
        <w:jc w:val="both"/>
        <w:rPr>
          <w:rFonts w:ascii="Palatino Linotype" w:eastAsia="Palatino Linotype" w:hAnsi="Palatino Linotype" w:cs="Palatino Linotype"/>
          <w:sz w:val="22"/>
          <w:szCs w:val="22"/>
        </w:rPr>
      </w:pPr>
    </w:p>
    <w:p w14:paraId="468CFA82" w14:textId="77777777" w:rsidR="00B977D3" w:rsidRPr="00ED5722" w:rsidRDefault="00B977D3">
      <w:pPr>
        <w:spacing w:line="360" w:lineRule="auto"/>
        <w:jc w:val="both"/>
        <w:rPr>
          <w:rFonts w:ascii="Palatino Linotype" w:eastAsia="Palatino Linotype" w:hAnsi="Palatino Linotype" w:cs="Palatino Linotype"/>
          <w:sz w:val="22"/>
          <w:szCs w:val="22"/>
        </w:rPr>
      </w:pPr>
    </w:p>
    <w:p w14:paraId="297332E8" w14:textId="77777777" w:rsidR="00B977D3" w:rsidRPr="00ED5722" w:rsidRDefault="00B977D3">
      <w:pPr>
        <w:spacing w:line="360" w:lineRule="auto"/>
        <w:jc w:val="both"/>
        <w:rPr>
          <w:rFonts w:ascii="Palatino Linotype" w:eastAsia="Palatino Linotype" w:hAnsi="Palatino Linotype" w:cs="Palatino Linotype"/>
          <w:sz w:val="22"/>
          <w:szCs w:val="22"/>
        </w:rPr>
      </w:pPr>
    </w:p>
    <w:p w14:paraId="4374B46A" w14:textId="77777777" w:rsidR="00B977D3" w:rsidRPr="00ED5722" w:rsidRDefault="00B977D3">
      <w:pPr>
        <w:spacing w:line="360" w:lineRule="auto"/>
        <w:jc w:val="both"/>
        <w:rPr>
          <w:rFonts w:ascii="Palatino Linotype" w:eastAsia="Palatino Linotype" w:hAnsi="Palatino Linotype" w:cs="Palatino Linotype"/>
          <w:sz w:val="22"/>
          <w:szCs w:val="22"/>
        </w:rPr>
      </w:pPr>
    </w:p>
    <w:p w14:paraId="6F3A20F2" w14:textId="77777777" w:rsidR="00B977D3" w:rsidRPr="00ED5722" w:rsidRDefault="00B977D3">
      <w:pPr>
        <w:spacing w:line="360" w:lineRule="auto"/>
        <w:jc w:val="both"/>
        <w:rPr>
          <w:rFonts w:ascii="Palatino Linotype" w:eastAsia="Palatino Linotype" w:hAnsi="Palatino Linotype" w:cs="Palatino Linotype"/>
          <w:sz w:val="22"/>
          <w:szCs w:val="22"/>
        </w:rPr>
      </w:pPr>
    </w:p>
    <w:p w14:paraId="240EC6F9" w14:textId="77777777" w:rsidR="00B977D3" w:rsidRPr="00ED5722" w:rsidRDefault="00B977D3">
      <w:pPr>
        <w:spacing w:line="360" w:lineRule="auto"/>
        <w:jc w:val="both"/>
        <w:rPr>
          <w:rFonts w:ascii="Palatino Linotype" w:eastAsia="Palatino Linotype" w:hAnsi="Palatino Linotype" w:cs="Palatino Linotype"/>
          <w:sz w:val="22"/>
          <w:szCs w:val="22"/>
        </w:rPr>
      </w:pPr>
    </w:p>
    <w:p w14:paraId="65F3F707" w14:textId="77777777" w:rsidR="00B977D3" w:rsidRPr="00ED5722" w:rsidRDefault="00B977D3">
      <w:pPr>
        <w:spacing w:line="360" w:lineRule="auto"/>
        <w:jc w:val="both"/>
        <w:rPr>
          <w:rFonts w:ascii="Palatino Linotype" w:eastAsia="Palatino Linotype" w:hAnsi="Palatino Linotype" w:cs="Palatino Linotype"/>
          <w:sz w:val="22"/>
          <w:szCs w:val="22"/>
        </w:rPr>
      </w:pPr>
    </w:p>
    <w:p w14:paraId="5B58A6B3" w14:textId="77777777" w:rsidR="00CE5F82" w:rsidRPr="00ED5722" w:rsidRDefault="00CE5F82">
      <w:pPr>
        <w:spacing w:line="360" w:lineRule="auto"/>
        <w:jc w:val="both"/>
        <w:rPr>
          <w:rFonts w:ascii="Palatino Linotype" w:eastAsia="Palatino Linotype" w:hAnsi="Palatino Linotype" w:cs="Palatino Linotype"/>
          <w:sz w:val="22"/>
          <w:szCs w:val="22"/>
        </w:rPr>
      </w:pPr>
    </w:p>
    <w:p w14:paraId="73001517" w14:textId="77777777" w:rsidR="00CE5F82" w:rsidRPr="00ED5722" w:rsidRDefault="00CE5F82">
      <w:pPr>
        <w:spacing w:line="360" w:lineRule="auto"/>
        <w:jc w:val="both"/>
        <w:rPr>
          <w:rFonts w:ascii="Palatino Linotype" w:eastAsia="Palatino Linotype" w:hAnsi="Palatino Linotype" w:cs="Palatino Linotype"/>
          <w:sz w:val="22"/>
          <w:szCs w:val="22"/>
        </w:rPr>
      </w:pPr>
    </w:p>
    <w:p w14:paraId="6535FB0E" w14:textId="77777777" w:rsidR="00B977D3" w:rsidRPr="00ED5722" w:rsidRDefault="00B977D3">
      <w:pPr>
        <w:spacing w:line="360" w:lineRule="auto"/>
        <w:jc w:val="both"/>
        <w:rPr>
          <w:rFonts w:ascii="Palatino Linotype" w:eastAsia="Palatino Linotype" w:hAnsi="Palatino Linotype" w:cs="Palatino Linotype"/>
          <w:sz w:val="22"/>
          <w:szCs w:val="22"/>
        </w:rPr>
      </w:pPr>
    </w:p>
    <w:p w14:paraId="62ED30E9" w14:textId="77777777" w:rsidR="00B977D3" w:rsidRPr="00ED5722" w:rsidRDefault="00B977D3">
      <w:pPr>
        <w:spacing w:line="360" w:lineRule="auto"/>
        <w:jc w:val="both"/>
        <w:rPr>
          <w:rFonts w:ascii="Palatino Linotype" w:eastAsia="Palatino Linotype" w:hAnsi="Palatino Linotype" w:cs="Palatino Linotype"/>
          <w:sz w:val="22"/>
          <w:szCs w:val="22"/>
        </w:rPr>
      </w:pPr>
    </w:p>
    <w:p w14:paraId="407A38E8" w14:textId="77777777" w:rsidR="00B977D3" w:rsidRPr="00ED5722" w:rsidRDefault="00B977D3">
      <w:pPr>
        <w:spacing w:line="360" w:lineRule="auto"/>
        <w:jc w:val="both"/>
        <w:rPr>
          <w:rFonts w:ascii="Palatino Linotype" w:eastAsia="Palatino Linotype" w:hAnsi="Palatino Linotype" w:cs="Palatino Linotype"/>
          <w:sz w:val="22"/>
          <w:szCs w:val="22"/>
        </w:rPr>
      </w:pPr>
    </w:p>
    <w:p w14:paraId="2BE5E317" w14:textId="77777777" w:rsidR="00F30806" w:rsidRPr="00ED5722" w:rsidRDefault="00F30806">
      <w:pPr>
        <w:spacing w:line="360" w:lineRule="auto"/>
        <w:jc w:val="both"/>
        <w:rPr>
          <w:rFonts w:ascii="Palatino Linotype" w:eastAsia="Palatino Linotype" w:hAnsi="Palatino Linotype" w:cs="Palatino Linotype"/>
          <w:sz w:val="22"/>
          <w:szCs w:val="22"/>
        </w:rPr>
      </w:pPr>
    </w:p>
    <w:p w14:paraId="2D45B5C9" w14:textId="77777777" w:rsidR="00FB6709" w:rsidRPr="00ED5722" w:rsidRDefault="00FB6709">
      <w:pPr>
        <w:spacing w:line="360" w:lineRule="auto"/>
        <w:jc w:val="both"/>
        <w:rPr>
          <w:rFonts w:ascii="Palatino Linotype" w:eastAsia="Palatino Linotype" w:hAnsi="Palatino Linotype" w:cs="Palatino Linotype"/>
          <w:sz w:val="22"/>
          <w:szCs w:val="22"/>
        </w:rPr>
      </w:pPr>
    </w:p>
    <w:p w14:paraId="665B9DFC" w14:textId="77777777" w:rsidR="00DA5358" w:rsidRPr="00ED5722" w:rsidRDefault="00DA5358">
      <w:pPr>
        <w:spacing w:line="360" w:lineRule="auto"/>
        <w:jc w:val="both"/>
        <w:rPr>
          <w:rFonts w:ascii="Palatino Linotype" w:eastAsia="Palatino Linotype" w:hAnsi="Palatino Linotype" w:cs="Palatino Linotype"/>
          <w:sz w:val="22"/>
          <w:szCs w:val="22"/>
        </w:rPr>
      </w:pPr>
    </w:p>
    <w:sectPr w:rsidR="00DA5358" w:rsidRPr="00ED5722">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C29355" w14:textId="77777777" w:rsidR="00764CB0" w:rsidRDefault="00764CB0">
      <w:r>
        <w:separator/>
      </w:r>
    </w:p>
  </w:endnote>
  <w:endnote w:type="continuationSeparator" w:id="0">
    <w:p w14:paraId="67ECA095" w14:textId="77777777" w:rsidR="00764CB0" w:rsidRDefault="00764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3A6BB" w14:textId="671C49C6" w:rsidR="004E5B25" w:rsidRDefault="004E5B25">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55C97">
      <w:rPr>
        <w:rFonts w:ascii="Palatino Linotype" w:eastAsia="Palatino Linotype" w:hAnsi="Palatino Linotype" w:cs="Palatino Linotype"/>
        <w:b/>
        <w:noProof/>
        <w:color w:val="000000"/>
        <w:sz w:val="20"/>
        <w:szCs w:val="20"/>
      </w:rPr>
      <w:t>18</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55C97">
      <w:rPr>
        <w:rFonts w:ascii="Palatino Linotype" w:eastAsia="Palatino Linotype" w:hAnsi="Palatino Linotype" w:cs="Palatino Linotype"/>
        <w:b/>
        <w:noProof/>
        <w:color w:val="000000"/>
        <w:sz w:val="20"/>
        <w:szCs w:val="20"/>
      </w:rPr>
      <w:t>18</w:t>
    </w:r>
    <w:r>
      <w:rPr>
        <w:rFonts w:ascii="Palatino Linotype" w:eastAsia="Palatino Linotype" w:hAnsi="Palatino Linotype" w:cs="Palatino Linotype"/>
        <w:b/>
        <w:color w:val="000000"/>
        <w:sz w:val="20"/>
        <w:szCs w:val="20"/>
      </w:rPr>
      <w:fldChar w:fldCharType="end"/>
    </w:r>
  </w:p>
  <w:p w14:paraId="44A033C4" w14:textId="77777777" w:rsidR="004E5B25" w:rsidRDefault="004E5B25">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9429B" w14:textId="56ACEC88" w:rsidR="004E5B25" w:rsidRDefault="004E5B25">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55C97">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55C97">
      <w:rPr>
        <w:rFonts w:ascii="Palatino Linotype" w:eastAsia="Palatino Linotype" w:hAnsi="Palatino Linotype" w:cs="Palatino Linotype"/>
        <w:b/>
        <w:noProof/>
        <w:color w:val="000000"/>
        <w:sz w:val="20"/>
        <w:szCs w:val="20"/>
      </w:rPr>
      <w:t>18</w:t>
    </w:r>
    <w:r>
      <w:rPr>
        <w:rFonts w:ascii="Palatino Linotype" w:eastAsia="Palatino Linotype" w:hAnsi="Palatino Linotype" w:cs="Palatino Linotype"/>
        <w:b/>
        <w:color w:val="000000"/>
        <w:sz w:val="20"/>
        <w:szCs w:val="20"/>
      </w:rPr>
      <w:fldChar w:fldCharType="end"/>
    </w:r>
  </w:p>
  <w:p w14:paraId="712D114B" w14:textId="77777777" w:rsidR="004E5B25" w:rsidRDefault="004E5B25">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4555B6" w14:textId="77777777" w:rsidR="00764CB0" w:rsidRDefault="00764CB0">
      <w:r>
        <w:separator/>
      </w:r>
    </w:p>
  </w:footnote>
  <w:footnote w:type="continuationSeparator" w:id="0">
    <w:p w14:paraId="462AC1B1" w14:textId="77777777" w:rsidR="00764CB0" w:rsidRDefault="00764CB0">
      <w:r>
        <w:continuationSeparator/>
      </w:r>
    </w:p>
  </w:footnote>
  <w:footnote w:id="1">
    <w:p w14:paraId="03926F4C" w14:textId="77777777" w:rsidR="004E5B25" w:rsidRDefault="004E5B25">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Cuerpo de tesis:</w:t>
      </w:r>
      <w:r>
        <w:rPr>
          <w:rFonts w:ascii="Palatino Linotype" w:eastAsia="Palatino Linotype" w:hAnsi="Palatino Linotype" w:cs="Palatino Linotype"/>
          <w:color w:val="000000"/>
          <w:sz w:val="16"/>
          <w:szCs w:val="16"/>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p w14:paraId="23C46DD5" w14:textId="77777777" w:rsidR="004E5B25" w:rsidRDefault="004E5B25">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b/>
          <w:color w:val="000000"/>
          <w:sz w:val="16"/>
          <w:szCs w:val="16"/>
        </w:rPr>
        <w:t>Localización</w:t>
      </w:r>
      <w:r>
        <w:rPr>
          <w:rFonts w:ascii="Palatino Linotype" w:eastAsia="Palatino Linotype" w:hAnsi="Palatino Linotype" w:cs="Palatino Linotype"/>
          <w:color w:val="000000"/>
          <w:sz w:val="16"/>
          <w:szCs w:val="16"/>
        </w:rPr>
        <w:t>: 2</w:t>
      </w:r>
      <w:r>
        <w:rPr>
          <w:rFonts w:ascii="Palatino Linotype" w:eastAsia="Palatino Linotype" w:hAnsi="Palatino Linotype" w:cs="Palatino Linotype"/>
          <w:color w:val="000000"/>
          <w:sz w:val="16"/>
          <w:szCs w:val="16"/>
          <w:highlight w:val="white"/>
        </w:rPr>
        <w:t>13609. II.2o.183 K. Tribunales Colegiados de Circuito. Octava Época. Semanario Judicial de la Federación. Tomo XIII, Febrero de 1994, Pág. 420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0D7C8" w14:textId="77777777" w:rsidR="004E5B25" w:rsidRDefault="004E5B25">
    <w:pPr>
      <w:rPr>
        <w:rFonts w:ascii="Cambria" w:eastAsia="Cambria" w:hAnsi="Cambria" w:cs="Cambria"/>
        <w:color w:val="000000"/>
      </w:rPr>
    </w:pPr>
    <w:r>
      <w:rPr>
        <w:noProof/>
      </w:rPr>
      <w:drawing>
        <wp:anchor distT="0" distB="0" distL="0" distR="0" simplePos="0" relativeHeight="251658240" behindDoc="1" locked="0" layoutInCell="1" hidden="0" allowOverlap="1" wp14:anchorId="3AF35ADC" wp14:editId="24F17B39">
          <wp:simplePos x="0" y="0"/>
          <wp:positionH relativeFrom="column">
            <wp:posOffset>-1080090</wp:posOffset>
          </wp:positionH>
          <wp:positionV relativeFrom="paragraph">
            <wp:posOffset>-488261</wp:posOffset>
          </wp:positionV>
          <wp:extent cx="7809865" cy="10165715"/>
          <wp:effectExtent l="0" t="0" r="0" b="0"/>
          <wp:wrapNone/>
          <wp:docPr id="20659430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c"/>
      <w:tblW w:w="5953" w:type="dxa"/>
      <w:tblInd w:w="3261" w:type="dxa"/>
      <w:tblLayout w:type="fixed"/>
      <w:tblLook w:val="0400" w:firstRow="0" w:lastRow="0" w:firstColumn="0" w:lastColumn="0" w:noHBand="0" w:noVBand="1"/>
    </w:tblPr>
    <w:tblGrid>
      <w:gridCol w:w="2489"/>
      <w:gridCol w:w="3464"/>
    </w:tblGrid>
    <w:tr w:rsidR="004E5B25" w14:paraId="0106182D" w14:textId="77777777">
      <w:tc>
        <w:tcPr>
          <w:tcW w:w="2489" w:type="dxa"/>
        </w:tcPr>
        <w:p w14:paraId="766303AC" w14:textId="77777777" w:rsidR="004E5B25" w:rsidRDefault="004E5B2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4F90CC9A" w14:textId="77777777" w:rsidR="004E5B25" w:rsidRDefault="004E5B25" w:rsidP="000E3FE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08504/INFOEM/IP/RR/2025</w:t>
          </w:r>
        </w:p>
      </w:tc>
    </w:tr>
    <w:tr w:rsidR="004E5B25" w14:paraId="08D7A6ED" w14:textId="77777777">
      <w:trPr>
        <w:trHeight w:val="228"/>
      </w:trPr>
      <w:tc>
        <w:tcPr>
          <w:tcW w:w="2489" w:type="dxa"/>
          <w:vAlign w:val="center"/>
        </w:tcPr>
        <w:p w14:paraId="61DA1CDC" w14:textId="77777777" w:rsidR="004E5B25" w:rsidRDefault="004E5B2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07920BB4" w14:textId="77777777" w:rsidR="004E5B25" w:rsidRDefault="004E5B25">
          <w:pPr>
            <w:ind w:left="-45" w:right="176"/>
            <w:jc w:val="both"/>
            <w:rPr>
              <w:rFonts w:ascii="Palatino Linotype" w:eastAsia="Palatino Linotype" w:hAnsi="Palatino Linotype" w:cs="Palatino Linotype"/>
              <w:b/>
              <w:sz w:val="22"/>
              <w:szCs w:val="22"/>
            </w:rPr>
          </w:pPr>
          <w:r w:rsidRPr="000E3FE0">
            <w:rPr>
              <w:rFonts w:ascii="Palatino Linotype" w:eastAsia="Palatino Linotype" w:hAnsi="Palatino Linotype" w:cs="Palatino Linotype"/>
              <w:b/>
              <w:sz w:val="22"/>
              <w:szCs w:val="22"/>
            </w:rPr>
            <w:t>Instituto Municipal de Cultura Física y Deporte de Chicoloapan</w:t>
          </w:r>
        </w:p>
      </w:tc>
    </w:tr>
    <w:tr w:rsidR="004E5B25" w14:paraId="36F6598E" w14:textId="77777777">
      <w:tc>
        <w:tcPr>
          <w:tcW w:w="2489" w:type="dxa"/>
          <w:vAlign w:val="center"/>
        </w:tcPr>
        <w:p w14:paraId="542B7DDB" w14:textId="77777777" w:rsidR="004E5B25" w:rsidRDefault="004E5B25">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23881766" w14:textId="77777777" w:rsidR="004E5B25" w:rsidRDefault="004E5B25">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3D66A97" w14:textId="77777777" w:rsidR="004E5B25" w:rsidRDefault="004E5B25">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EC296" w14:textId="77777777" w:rsidR="004E5B25" w:rsidRDefault="004E5B25">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5F10F041" wp14:editId="27DDD072">
          <wp:simplePos x="0" y="0"/>
          <wp:positionH relativeFrom="column">
            <wp:posOffset>-1080132</wp:posOffset>
          </wp:positionH>
          <wp:positionV relativeFrom="paragraph">
            <wp:posOffset>-369891</wp:posOffset>
          </wp:positionV>
          <wp:extent cx="7809865" cy="10165715"/>
          <wp:effectExtent l="0" t="0" r="0" b="0"/>
          <wp:wrapNone/>
          <wp:docPr id="20659430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ffd"/>
      <w:tblW w:w="5953" w:type="dxa"/>
      <w:tblInd w:w="3261" w:type="dxa"/>
      <w:tblLayout w:type="fixed"/>
      <w:tblLook w:val="0400" w:firstRow="0" w:lastRow="0" w:firstColumn="0" w:lastColumn="0" w:noHBand="0" w:noVBand="1"/>
    </w:tblPr>
    <w:tblGrid>
      <w:gridCol w:w="2489"/>
      <w:gridCol w:w="3464"/>
    </w:tblGrid>
    <w:tr w:rsidR="004E5B25" w14:paraId="09CCA5D4" w14:textId="77777777">
      <w:tc>
        <w:tcPr>
          <w:tcW w:w="2489" w:type="dxa"/>
        </w:tcPr>
        <w:p w14:paraId="5B1BE0B0" w14:textId="77777777" w:rsidR="004E5B25" w:rsidRDefault="004E5B2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5787A4DD" w14:textId="77777777" w:rsidR="004E5B25" w:rsidRDefault="004E5B25">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08504/INFOEM/IP/RR/2025</w:t>
          </w:r>
        </w:p>
      </w:tc>
    </w:tr>
    <w:tr w:rsidR="004E5B25" w14:paraId="3E446DC6" w14:textId="77777777">
      <w:tc>
        <w:tcPr>
          <w:tcW w:w="2489" w:type="dxa"/>
        </w:tcPr>
        <w:p w14:paraId="0B026CF1" w14:textId="77777777" w:rsidR="004E5B25" w:rsidRDefault="004E5B2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vAlign w:val="center"/>
        </w:tcPr>
        <w:p w14:paraId="771A127E" w14:textId="4A0AA288" w:rsidR="004E5B25" w:rsidRDefault="00C55C97" w:rsidP="00C55C97">
          <w:pPr>
            <w:ind w:right="175"/>
            <w:jc w:val="both"/>
            <w:rPr>
              <w:rFonts w:ascii="Palatino Linotype" w:eastAsia="Palatino Linotype" w:hAnsi="Palatino Linotype" w:cs="Palatino Linotype"/>
              <w:b/>
              <w:color w:val="FF0000"/>
              <w:sz w:val="22"/>
              <w:szCs w:val="22"/>
              <w:highlight w:val="yellow"/>
            </w:rPr>
          </w:pPr>
          <w:r>
            <w:rPr>
              <w:rFonts w:ascii="Palatino Linotype" w:eastAsia="Palatino Linotype" w:hAnsi="Palatino Linotype" w:cs="Palatino Linotype"/>
              <w:b/>
              <w:sz w:val="22"/>
              <w:szCs w:val="22"/>
            </w:rPr>
            <w:t xml:space="preserve">XXXX XXXXXXX XXXXXX </w:t>
          </w:r>
        </w:p>
      </w:tc>
    </w:tr>
    <w:tr w:rsidR="004E5B25" w14:paraId="765A963D" w14:textId="77777777">
      <w:trPr>
        <w:trHeight w:val="228"/>
      </w:trPr>
      <w:tc>
        <w:tcPr>
          <w:tcW w:w="2489" w:type="dxa"/>
          <w:vAlign w:val="center"/>
        </w:tcPr>
        <w:p w14:paraId="62342476" w14:textId="77777777" w:rsidR="004E5B25" w:rsidRDefault="004E5B2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0567B36A" w14:textId="77777777" w:rsidR="004E5B25" w:rsidRDefault="004E5B25">
          <w:pPr>
            <w:ind w:left="-45" w:right="176"/>
            <w:jc w:val="both"/>
            <w:rPr>
              <w:rFonts w:ascii="Palatino Linotype" w:eastAsia="Palatino Linotype" w:hAnsi="Palatino Linotype" w:cs="Palatino Linotype"/>
              <w:b/>
              <w:sz w:val="22"/>
              <w:szCs w:val="22"/>
            </w:rPr>
          </w:pPr>
          <w:r w:rsidRPr="000E3FE0">
            <w:rPr>
              <w:rFonts w:ascii="Palatino Linotype" w:eastAsia="Palatino Linotype" w:hAnsi="Palatino Linotype" w:cs="Palatino Linotype"/>
              <w:b/>
              <w:sz w:val="22"/>
              <w:szCs w:val="22"/>
            </w:rPr>
            <w:t>Instituto Municipal de Cultura Física y Deporte de Chicoloapan</w:t>
          </w:r>
        </w:p>
      </w:tc>
    </w:tr>
    <w:tr w:rsidR="004E5B25" w14:paraId="7B76FA45" w14:textId="77777777">
      <w:tc>
        <w:tcPr>
          <w:tcW w:w="2489" w:type="dxa"/>
          <w:vAlign w:val="center"/>
        </w:tcPr>
        <w:p w14:paraId="0C428CDD" w14:textId="77777777" w:rsidR="004E5B25" w:rsidRDefault="004E5B25">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7022A092" w14:textId="77777777" w:rsidR="004E5B25" w:rsidRDefault="004E5B25">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E6C2560" w14:textId="77777777" w:rsidR="004E5B25" w:rsidRDefault="004E5B25"/>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329F5"/>
    <w:multiLevelType w:val="multilevel"/>
    <w:tmpl w:val="A6488AC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5EBD484E"/>
    <w:multiLevelType w:val="multilevel"/>
    <w:tmpl w:val="1F5A1F28"/>
    <w:lvl w:ilvl="0">
      <w:start w:val="1"/>
      <w:numFmt w:val="decimal"/>
      <w:pStyle w:val="Listaconvietas3"/>
      <w:lvlText w:val="%1."/>
      <w:lvlJc w:val="left"/>
      <w:pPr>
        <w:ind w:left="7306" w:hanging="359"/>
      </w:pPr>
    </w:lvl>
    <w:lvl w:ilvl="1">
      <w:start w:val="1"/>
      <w:numFmt w:val="lowerLetter"/>
      <w:lvlText w:val="%2."/>
      <w:lvlJc w:val="left"/>
      <w:pPr>
        <w:ind w:left="8026" w:hanging="360"/>
      </w:pPr>
    </w:lvl>
    <w:lvl w:ilvl="2">
      <w:start w:val="1"/>
      <w:numFmt w:val="lowerRoman"/>
      <w:lvlText w:val="%3."/>
      <w:lvlJc w:val="right"/>
      <w:pPr>
        <w:ind w:left="8746" w:hanging="180"/>
      </w:pPr>
    </w:lvl>
    <w:lvl w:ilvl="3">
      <w:start w:val="1"/>
      <w:numFmt w:val="decimal"/>
      <w:lvlText w:val="%4."/>
      <w:lvlJc w:val="left"/>
      <w:pPr>
        <w:ind w:left="9466" w:hanging="360"/>
      </w:pPr>
    </w:lvl>
    <w:lvl w:ilvl="4">
      <w:start w:val="1"/>
      <w:numFmt w:val="lowerLetter"/>
      <w:lvlText w:val="%5."/>
      <w:lvlJc w:val="left"/>
      <w:pPr>
        <w:ind w:left="10186" w:hanging="360"/>
      </w:pPr>
    </w:lvl>
    <w:lvl w:ilvl="5">
      <w:start w:val="1"/>
      <w:numFmt w:val="lowerRoman"/>
      <w:lvlText w:val="%6."/>
      <w:lvlJc w:val="right"/>
      <w:pPr>
        <w:ind w:left="10906" w:hanging="180"/>
      </w:pPr>
    </w:lvl>
    <w:lvl w:ilvl="6">
      <w:start w:val="1"/>
      <w:numFmt w:val="decimal"/>
      <w:lvlText w:val="%7."/>
      <w:lvlJc w:val="left"/>
      <w:pPr>
        <w:ind w:left="11626" w:hanging="360"/>
      </w:pPr>
    </w:lvl>
    <w:lvl w:ilvl="7">
      <w:start w:val="1"/>
      <w:numFmt w:val="lowerLetter"/>
      <w:lvlText w:val="%8."/>
      <w:lvlJc w:val="left"/>
      <w:pPr>
        <w:ind w:left="12346" w:hanging="360"/>
      </w:pPr>
    </w:lvl>
    <w:lvl w:ilvl="8">
      <w:start w:val="1"/>
      <w:numFmt w:val="lowerRoman"/>
      <w:lvlText w:val="%9."/>
      <w:lvlJc w:val="right"/>
      <w:pPr>
        <w:ind w:left="1306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7D3"/>
    <w:rsid w:val="00064344"/>
    <w:rsid w:val="00076AD8"/>
    <w:rsid w:val="000E3FE0"/>
    <w:rsid w:val="001461EF"/>
    <w:rsid w:val="00174375"/>
    <w:rsid w:val="001A7518"/>
    <w:rsid w:val="002023CB"/>
    <w:rsid w:val="002C3FF3"/>
    <w:rsid w:val="00373ACA"/>
    <w:rsid w:val="003D4A29"/>
    <w:rsid w:val="004E5B25"/>
    <w:rsid w:val="005A5651"/>
    <w:rsid w:val="005A697C"/>
    <w:rsid w:val="005B4A93"/>
    <w:rsid w:val="006C4720"/>
    <w:rsid w:val="00764CB0"/>
    <w:rsid w:val="007C73B7"/>
    <w:rsid w:val="009F1D53"/>
    <w:rsid w:val="00B12F41"/>
    <w:rsid w:val="00B22DD9"/>
    <w:rsid w:val="00B4157D"/>
    <w:rsid w:val="00B977D3"/>
    <w:rsid w:val="00BC1727"/>
    <w:rsid w:val="00C12FCD"/>
    <w:rsid w:val="00C55C97"/>
    <w:rsid w:val="00CE5F82"/>
    <w:rsid w:val="00D40C85"/>
    <w:rsid w:val="00D92C13"/>
    <w:rsid w:val="00DA5358"/>
    <w:rsid w:val="00ED3223"/>
    <w:rsid w:val="00ED5722"/>
    <w:rsid w:val="00F30806"/>
    <w:rsid w:val="00F92A46"/>
    <w:rsid w:val="00FB67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E282C"/>
  <w15:docId w15:val="{E6404E82-10E6-40EF-B53B-4071EA369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a">
    <w:basedOn w:val="TableNormalf2"/>
    <w:tblPr>
      <w:tblStyleRowBandSize w:val="1"/>
      <w:tblStyleColBandSize w:val="1"/>
      <w:tblCellMar>
        <w:left w:w="115" w:type="dxa"/>
        <w:right w:w="115" w:type="dxa"/>
      </w:tblCellMar>
    </w:tblPr>
  </w:style>
  <w:style w:type="table" w:customStyle="1" w:styleId="a0">
    <w:basedOn w:val="TableNormalf2"/>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3334"/>
    <w:pPr>
      <w:ind w:left="720"/>
      <w:contextualSpacing/>
    </w:pPr>
  </w:style>
  <w:style w:type="paragraph" w:styleId="NormalWeb">
    <w:name w:val="Normal (Web)"/>
    <w:basedOn w:val="Normal"/>
    <w:uiPriority w:val="99"/>
    <w:semiHidden/>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f2"/>
    <w:tblPr>
      <w:tblStyleRowBandSize w:val="1"/>
      <w:tblStyleColBandSize w:val="1"/>
      <w:tblCellMar>
        <w:left w:w="115" w:type="dxa"/>
        <w:right w:w="115" w:type="dxa"/>
      </w:tblCellMar>
    </w:tblPr>
  </w:style>
  <w:style w:type="table" w:customStyle="1" w:styleId="a2">
    <w:basedOn w:val="TableNormalf2"/>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f1"/>
    <w:tblPr>
      <w:tblStyleRowBandSize w:val="1"/>
      <w:tblStyleColBandSize w:val="1"/>
      <w:tblCellMar>
        <w:left w:w="115" w:type="dxa"/>
        <w:right w:w="115" w:type="dxa"/>
      </w:tblCellMar>
    </w:tblPr>
  </w:style>
  <w:style w:type="table" w:customStyle="1" w:styleId="a4">
    <w:basedOn w:val="TableNormalf1"/>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f0"/>
    <w:tblPr>
      <w:tblStyleRowBandSize w:val="1"/>
      <w:tblStyleColBandSize w:val="1"/>
      <w:tblCellMar>
        <w:left w:w="108" w:type="dxa"/>
        <w:right w:w="108" w:type="dxa"/>
      </w:tblCellMar>
    </w:tblPr>
  </w:style>
  <w:style w:type="table" w:customStyle="1" w:styleId="a6">
    <w:basedOn w:val="TableNormalf0"/>
    <w:tblPr>
      <w:tblStyleRowBandSize w:val="1"/>
      <w:tblStyleColBandSize w:val="1"/>
      <w:tblCellMar>
        <w:left w:w="108" w:type="dxa"/>
        <w:right w:w="108" w:type="dxa"/>
      </w:tblCellMar>
    </w:tblPr>
  </w:style>
  <w:style w:type="table" w:customStyle="1" w:styleId="a7">
    <w:basedOn w:val="TableNormalf0"/>
    <w:tblPr>
      <w:tblStyleRowBandSize w:val="1"/>
      <w:tblStyleColBandSize w:val="1"/>
      <w:tblCellMar>
        <w:left w:w="108" w:type="dxa"/>
        <w:right w:w="108" w:type="dxa"/>
      </w:tblCellMar>
    </w:tblPr>
  </w:style>
  <w:style w:type="table" w:customStyle="1" w:styleId="a8">
    <w:basedOn w:val="TableNormalf0"/>
    <w:tblPr>
      <w:tblStyleRowBandSize w:val="1"/>
      <w:tblStyleColBandSize w:val="1"/>
      <w:tblCellMar>
        <w:left w:w="108" w:type="dxa"/>
        <w:right w:w="108" w:type="dxa"/>
      </w:tblCellMar>
    </w:tblPr>
  </w:style>
  <w:style w:type="table" w:customStyle="1" w:styleId="a9">
    <w:basedOn w:val="TableNormalf0"/>
    <w:tblPr>
      <w:tblStyleRowBandSize w:val="1"/>
      <w:tblStyleColBandSize w:val="1"/>
      <w:tblCellMar>
        <w:left w:w="108" w:type="dxa"/>
        <w:right w:w="108" w:type="dxa"/>
      </w:tblCellMar>
    </w:tblPr>
  </w:style>
  <w:style w:type="table" w:customStyle="1" w:styleId="aa">
    <w:basedOn w:val="TableNormalf0"/>
    <w:tblPr>
      <w:tblStyleRowBandSize w:val="1"/>
      <w:tblStyleColBandSize w:val="1"/>
      <w:tblCellMar>
        <w:left w:w="115" w:type="dxa"/>
        <w:right w:w="115" w:type="dxa"/>
      </w:tblCellMar>
    </w:tblPr>
  </w:style>
  <w:style w:type="table" w:customStyle="1" w:styleId="ab">
    <w:basedOn w:val="TableNormalf0"/>
    <w:tblPr>
      <w:tblStyleRowBandSize w:val="1"/>
      <w:tblStyleColBandSize w:val="1"/>
      <w:tblCellMar>
        <w:left w:w="115" w:type="dxa"/>
        <w:right w:w="115" w:type="dxa"/>
      </w:tblCellMar>
    </w:tblPr>
  </w:style>
  <w:style w:type="table" w:customStyle="1" w:styleId="ac">
    <w:basedOn w:val="TableNormalf"/>
    <w:tblPr>
      <w:tblStyleRowBandSize w:val="1"/>
      <w:tblStyleColBandSize w:val="1"/>
      <w:tblCellMar>
        <w:left w:w="108" w:type="dxa"/>
        <w:right w:w="108" w:type="dxa"/>
      </w:tblCellMar>
    </w:tblPr>
  </w:style>
  <w:style w:type="table" w:customStyle="1" w:styleId="ad">
    <w:basedOn w:val="TableNormalf"/>
    <w:tblPr>
      <w:tblStyleRowBandSize w:val="1"/>
      <w:tblStyleColBandSize w:val="1"/>
      <w:tblCellMar>
        <w:left w:w="115" w:type="dxa"/>
        <w:right w:w="115" w:type="dxa"/>
      </w:tblCellMar>
    </w:tblPr>
  </w:style>
  <w:style w:type="table" w:customStyle="1" w:styleId="ae">
    <w:basedOn w:val="TableNormalf"/>
    <w:tblPr>
      <w:tblStyleRowBandSize w:val="1"/>
      <w:tblStyleColBandSize w:val="1"/>
      <w:tblCellMar>
        <w:left w:w="115" w:type="dxa"/>
        <w:right w:w="115" w:type="dxa"/>
      </w:tblCellMar>
    </w:tblPr>
  </w:style>
  <w:style w:type="table" w:customStyle="1" w:styleId="af">
    <w:basedOn w:val="TableNormale"/>
    <w:tblPr>
      <w:tblStyleRowBandSize w:val="1"/>
      <w:tblStyleColBandSize w:val="1"/>
      <w:tblCellMar>
        <w:left w:w="115" w:type="dxa"/>
        <w:right w:w="115" w:type="dxa"/>
      </w:tblCellMar>
    </w:tblPr>
  </w:style>
  <w:style w:type="table" w:customStyle="1" w:styleId="af0">
    <w:basedOn w:val="TableNormale"/>
    <w:tblPr>
      <w:tblStyleRowBandSize w:val="1"/>
      <w:tblStyleColBandSize w:val="1"/>
      <w:tblCellMar>
        <w:left w:w="115" w:type="dxa"/>
        <w:right w:w="115" w:type="dxa"/>
      </w:tblCellMar>
    </w:tblPr>
  </w:style>
  <w:style w:type="table" w:customStyle="1" w:styleId="af1">
    <w:basedOn w:val="TableNormale"/>
    <w:tblPr>
      <w:tblStyleRowBandSize w:val="1"/>
      <w:tblStyleColBandSize w:val="1"/>
      <w:tblCellMar>
        <w:left w:w="115" w:type="dxa"/>
        <w:right w:w="115" w:type="dxa"/>
      </w:tblCellMar>
    </w:tblPr>
  </w:style>
  <w:style w:type="table" w:customStyle="1" w:styleId="af2">
    <w:basedOn w:val="TableNormald"/>
    <w:tblPr>
      <w:tblStyleRowBandSize w:val="1"/>
      <w:tblStyleColBandSize w:val="1"/>
      <w:tblCellMar>
        <w:left w:w="115" w:type="dxa"/>
        <w:right w:w="115" w:type="dxa"/>
      </w:tblCellMar>
    </w:tblPr>
  </w:style>
  <w:style w:type="table" w:customStyle="1" w:styleId="af3">
    <w:basedOn w:val="TableNormald"/>
    <w:tblPr>
      <w:tblStyleRowBandSize w:val="1"/>
      <w:tblStyleColBandSize w:val="1"/>
      <w:tblCellMar>
        <w:left w:w="115" w:type="dxa"/>
        <w:right w:w="115" w:type="dxa"/>
      </w:tblCellMar>
    </w:tblPr>
  </w:style>
  <w:style w:type="table" w:customStyle="1" w:styleId="af4">
    <w:basedOn w:val="TableNormalc"/>
    <w:tblPr>
      <w:tblStyleRowBandSize w:val="1"/>
      <w:tblStyleColBandSize w:val="1"/>
      <w:tblCellMar>
        <w:left w:w="115" w:type="dxa"/>
        <w:right w:w="115" w:type="dxa"/>
      </w:tblCellMar>
    </w:tblPr>
  </w:style>
  <w:style w:type="table" w:customStyle="1" w:styleId="af5">
    <w:basedOn w:val="TableNormalc"/>
    <w:tblPr>
      <w:tblStyleRowBandSize w:val="1"/>
      <w:tblStyleColBandSize w:val="1"/>
      <w:tblCellMar>
        <w:left w:w="115" w:type="dxa"/>
        <w:right w:w="115" w:type="dxa"/>
      </w:tblCellMar>
    </w:tblPr>
  </w:style>
  <w:style w:type="table" w:customStyle="1" w:styleId="af6">
    <w:basedOn w:val="TableNormalb"/>
    <w:tblPr>
      <w:tblStyleRowBandSize w:val="1"/>
      <w:tblStyleColBandSize w:val="1"/>
      <w:tblCellMar>
        <w:left w:w="115" w:type="dxa"/>
        <w:right w:w="115" w:type="dxa"/>
      </w:tblCellMar>
    </w:tblPr>
  </w:style>
  <w:style w:type="table" w:customStyle="1" w:styleId="af7">
    <w:basedOn w:val="TableNormalb"/>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a"/>
    <w:tblPr>
      <w:tblStyleRowBandSize w:val="1"/>
      <w:tblStyleColBandSize w:val="1"/>
      <w:tblCellMar>
        <w:left w:w="115" w:type="dxa"/>
        <w:right w:w="115" w:type="dxa"/>
      </w:tblCellMar>
    </w:tblPr>
  </w:style>
  <w:style w:type="table" w:customStyle="1" w:styleId="af9">
    <w:basedOn w:val="TableNormala"/>
    <w:tblPr>
      <w:tblStyleRowBandSize w:val="1"/>
      <w:tblStyleColBandSize w:val="1"/>
      <w:tblCellMar>
        <w:left w:w="115" w:type="dxa"/>
        <w:right w:w="115" w:type="dxa"/>
      </w:tblCellMar>
    </w:tblPr>
  </w:style>
  <w:style w:type="table" w:customStyle="1" w:styleId="afa">
    <w:basedOn w:val="TableNormal9"/>
    <w:tblPr>
      <w:tblStyleRowBandSize w:val="1"/>
      <w:tblStyleColBandSize w:val="1"/>
      <w:tblCellMar>
        <w:left w:w="115" w:type="dxa"/>
        <w:right w:w="115" w:type="dxa"/>
      </w:tblCellMar>
    </w:tblPr>
  </w:style>
  <w:style w:type="table" w:customStyle="1" w:styleId="afb">
    <w:basedOn w:val="TableNormal9"/>
    <w:tblPr>
      <w:tblStyleRowBandSize w:val="1"/>
      <w:tblStyleColBandSize w:val="1"/>
      <w:tblCellMar>
        <w:left w:w="115" w:type="dxa"/>
        <w:right w:w="115" w:type="dxa"/>
      </w:tblCellMar>
    </w:tblPr>
  </w:style>
  <w:style w:type="table" w:customStyle="1" w:styleId="afc">
    <w:basedOn w:val="TableNormal8"/>
    <w:tblPr>
      <w:tblStyleRowBandSize w:val="1"/>
      <w:tblStyleColBandSize w:val="1"/>
      <w:tblCellMar>
        <w:left w:w="115" w:type="dxa"/>
        <w:right w:w="115" w:type="dxa"/>
      </w:tblCellMar>
    </w:tblPr>
  </w:style>
  <w:style w:type="table" w:customStyle="1" w:styleId="afd">
    <w:basedOn w:val="TableNormal8"/>
    <w:tblPr>
      <w:tblStyleRowBandSize w:val="1"/>
      <w:tblStyleColBandSize w:val="1"/>
      <w:tblCellMar>
        <w:left w:w="115" w:type="dxa"/>
        <w:right w:w="115" w:type="dxa"/>
      </w:tblCellMar>
    </w:tblPr>
  </w:style>
  <w:style w:type="table" w:customStyle="1" w:styleId="afe">
    <w:basedOn w:val="TableNormal7"/>
    <w:tblPr>
      <w:tblStyleRowBandSize w:val="1"/>
      <w:tblStyleColBandSize w:val="1"/>
      <w:tblCellMar>
        <w:left w:w="115" w:type="dxa"/>
        <w:right w:w="115" w:type="dxa"/>
      </w:tblCellMar>
    </w:tblPr>
  </w:style>
  <w:style w:type="table" w:customStyle="1" w:styleId="aff">
    <w:basedOn w:val="TableNormal7"/>
    <w:tblPr>
      <w:tblStyleRowBandSize w:val="1"/>
      <w:tblStyleColBandSize w:val="1"/>
      <w:tblCellMar>
        <w:left w:w="115" w:type="dxa"/>
        <w:right w:w="115" w:type="dxa"/>
      </w:tblCellMar>
    </w:tblPr>
  </w:style>
  <w:style w:type="table" w:customStyle="1" w:styleId="aff0">
    <w:basedOn w:val="TableNormal6"/>
    <w:tblPr>
      <w:tblStyleRowBandSize w:val="1"/>
      <w:tblStyleColBandSize w:val="1"/>
      <w:tblCellMar>
        <w:left w:w="115" w:type="dxa"/>
        <w:right w:w="115" w:type="dxa"/>
      </w:tblCellMar>
    </w:tblPr>
  </w:style>
  <w:style w:type="table" w:customStyle="1" w:styleId="aff1">
    <w:basedOn w:val="TableNormal6"/>
    <w:tblPr>
      <w:tblStyleRowBandSize w:val="1"/>
      <w:tblStyleColBandSize w:val="1"/>
      <w:tblCellMar>
        <w:left w:w="115" w:type="dxa"/>
        <w:right w:w="115" w:type="dxa"/>
      </w:tblCellMar>
    </w:tblPr>
  </w:style>
  <w:style w:type="table" w:customStyle="1" w:styleId="aff2">
    <w:basedOn w:val="TableNormal5"/>
    <w:tblPr>
      <w:tblStyleRowBandSize w:val="1"/>
      <w:tblStyleColBandSize w:val="1"/>
      <w:tblCellMar>
        <w:left w:w="115" w:type="dxa"/>
        <w:right w:w="115" w:type="dxa"/>
      </w:tblCellMar>
    </w:tblPr>
  </w:style>
  <w:style w:type="table" w:customStyle="1" w:styleId="aff3">
    <w:basedOn w:val="TableNormal5"/>
    <w:tblPr>
      <w:tblStyleRowBandSize w:val="1"/>
      <w:tblStyleColBandSize w:val="1"/>
      <w:tblCellMar>
        <w:left w:w="115" w:type="dxa"/>
        <w:right w:w="115" w:type="dxa"/>
      </w:tblCellMar>
    </w:tblPr>
  </w:style>
  <w:style w:type="table" w:customStyle="1" w:styleId="aff4">
    <w:basedOn w:val="TableNormal4"/>
    <w:tblPr>
      <w:tblStyleRowBandSize w:val="1"/>
      <w:tblStyleColBandSize w:val="1"/>
      <w:tblCellMar>
        <w:left w:w="115" w:type="dxa"/>
        <w:right w:w="115" w:type="dxa"/>
      </w:tblCellMar>
    </w:tblPr>
  </w:style>
  <w:style w:type="table" w:customStyle="1" w:styleId="aff5">
    <w:basedOn w:val="TableNormal4"/>
    <w:tblPr>
      <w:tblStyleRowBandSize w:val="1"/>
      <w:tblStyleColBandSize w:val="1"/>
      <w:tblCellMar>
        <w:left w:w="115" w:type="dxa"/>
        <w:right w:w="115" w:type="dxa"/>
      </w:tblCellMar>
    </w:tblPr>
  </w:style>
  <w:style w:type="table" w:customStyle="1" w:styleId="aff6">
    <w:basedOn w:val="TableNormal3"/>
    <w:tblPr>
      <w:tblStyleRowBandSize w:val="1"/>
      <w:tblStyleColBandSize w:val="1"/>
      <w:tblCellMar>
        <w:left w:w="115" w:type="dxa"/>
        <w:right w:w="115" w:type="dxa"/>
      </w:tblCellMar>
    </w:tblPr>
  </w:style>
  <w:style w:type="table" w:customStyle="1" w:styleId="aff7">
    <w:basedOn w:val="TableNormal3"/>
    <w:tblPr>
      <w:tblStyleRowBandSize w:val="1"/>
      <w:tblStyleColBandSize w:val="1"/>
      <w:tblCellMar>
        <w:left w:w="115" w:type="dxa"/>
        <w:right w:w="115" w:type="dxa"/>
      </w:tblCellMar>
    </w:tblPr>
  </w:style>
  <w:style w:type="table" w:customStyle="1" w:styleId="aff8">
    <w:basedOn w:val="TableNormal2"/>
    <w:tblPr>
      <w:tblStyleRowBandSize w:val="1"/>
      <w:tblStyleColBandSize w:val="1"/>
      <w:tblCellMar>
        <w:left w:w="115" w:type="dxa"/>
        <w:right w:w="115" w:type="dxa"/>
      </w:tblCellMar>
    </w:tblPr>
  </w:style>
  <w:style w:type="table" w:customStyle="1" w:styleId="aff9">
    <w:basedOn w:val="TableNormal2"/>
    <w:tblPr>
      <w:tblStyleRowBandSize w:val="1"/>
      <w:tblStyleColBandSize w:val="1"/>
      <w:tblCellMar>
        <w:left w:w="115" w:type="dxa"/>
        <w:right w:w="115" w:type="dxa"/>
      </w:tblCellMar>
    </w:tblPr>
  </w:style>
  <w:style w:type="table" w:customStyle="1" w:styleId="affa">
    <w:basedOn w:val="TableNormal1"/>
    <w:tblPr>
      <w:tblStyleRowBandSize w:val="1"/>
      <w:tblStyleColBandSize w:val="1"/>
      <w:tblCellMar>
        <w:left w:w="115" w:type="dxa"/>
        <w:right w:w="115" w:type="dxa"/>
      </w:tblCellMar>
    </w:tblPr>
  </w:style>
  <w:style w:type="table" w:customStyle="1" w:styleId="affb">
    <w:basedOn w:val="TableNormal1"/>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2B48D2"/>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fc">
    <w:basedOn w:val="TableNormal0"/>
    <w:tblPr>
      <w:tblStyleRowBandSize w:val="1"/>
      <w:tblStyleColBandSize w:val="1"/>
      <w:tblCellMar>
        <w:left w:w="115" w:type="dxa"/>
        <w:right w:w="115" w:type="dxa"/>
      </w:tblCellMar>
    </w:tblPr>
  </w:style>
  <w:style w:type="table" w:customStyle="1" w:styleId="affd">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7IWjGk93cqfJ+G+HoHiMc6xCRA==">CgMxLjAyCWguM3JkY3JqbjIOaC5kYWozajJ4bzZxNjYyCGguZ2pkZ3hzMg5oLm1uOXpuY3J2MWJ6eDIJaC4zZHk2dmttMgloLjMwajB6bGwyCWguMnM4ZXlvMTIIaC50eWpjd3Q4AHIhMVA0Vl9pS3VjdUswT003bmV3TXBMS2FMa2Z6SG05a3hG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4218</Words>
  <Characters>23202</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27366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2025-11-14T18:48:00Z</cp:lastPrinted>
  <dcterms:created xsi:type="dcterms:W3CDTF">2025-12-10T22:27:00Z</dcterms:created>
  <dcterms:modified xsi:type="dcterms:W3CDTF">2025-12-10T22:27:00Z</dcterms:modified>
</cp:coreProperties>
</file>