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3rdcrjn"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veintidós de octubre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bookmarkStart w:colFirst="0" w:colLast="0" w:name="_heading=h.daj3j2xo6q66"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05424/INFOEM/IP/RR/2025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XXXXX XXXX 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00046/MARTIPIR/IP/2025,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San Martín de Las Pirámides,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trece de abril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sin embargo, al corresponder con un día inhábil, se tuvo por presentada el </w:t>
      </w:r>
      <w:r w:rsidDel="00000000" w:rsidR="00000000" w:rsidRPr="00000000">
        <w:rPr>
          <w:rFonts w:ascii="Palatino Linotype" w:cs="Palatino Linotype" w:eastAsia="Palatino Linotype" w:hAnsi="Palatino Linotype"/>
          <w:b w:val="1"/>
          <w:bCs w:val="1"/>
          <w:sz w:val="22"/>
          <w:szCs w:val="22"/>
          <w:rtl w:val="0"/>
        </w:rPr>
        <w:t xml:space="preserve">veintiuno de abril de dos mil veinticinco, </w:t>
      </w:r>
      <w:r w:rsidDel="00000000" w:rsidR="00000000" w:rsidRPr="00000000">
        <w:rPr>
          <w:rFonts w:ascii="Palatino Linotype" w:cs="Palatino Linotype" w:eastAsia="Palatino Linotype" w:hAnsi="Palatino Linotype"/>
          <w:sz w:val="22"/>
          <w:szCs w:val="22"/>
          <w:rtl w:val="0"/>
        </w:rPr>
        <w:t xml:space="preserve">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solicita la siguiente información: En atención a la respuesta de fecha 07 de abril de 2025, emitida por el C. Raúl García Corona, Director de Comercio en el Municipio de San Martín de las Pirámides, México (misma que se adjunta para pronta referencia) y, ante las graves inconsistencia y contradicciones en su respuesta, omisiones correspondientes y, con la intención de dar vista a las autoridades competentes, principalmente a la contraloría del Estado de México, para que, en su caso, determine la probable responsabilidad administrativa del servidor público que nos ocupa, se solicita respetuosamente lo siguiente: I.- Toda vez que de la visita de verificación al establecimiento ubicado en: Casimiro L. Martínez, casi esquina con Boulevard Torrente Piedras Negras, San Martín de las Pirámides, México, en el cual se venden en apariencia “jugos” (ya que se venden cualquier tipo de bebidas alcohólicas), el C. Raúl García Corona, Director de Comercio en el Municipio de San Martín de las Pirámides refiere: “…Se encontró en el lugar venta de jugos, frutas, pollas, posteriormente se llevó a cabo Garantía de Audiencia en la cual se acuerda iniciar el trámite de regularización del establecimiento, lo cual se está llevando a cabo están reuniendo requisitos de las áreas de Protección Civil, desarrollo urbano, ect, de acuerdo al giro que se ostenta, con las características de la misma…”; se solicita se me informe: a) El fundamento legal íntegro, es decir, de naturaleza estatal y municipal, en el cual basó su actuación para llevar a cabo la visita de verificación administrativa al establecimiento ubicado en: Casimiro L. Martínez, casi esquina con Boulevard Torrente Piedras Negras, San Martín de las Pirámides, México. b) Fecha en que llevó a cabo la visita de verificación administrativa al establecimiento ubicado en: Casimiro L. Martínez, casi esquina con Boulevard Torrente Piedras Negras, San Martín de las Pirámides, México. c) Nombre, cargo y adscripción de los servidores públicos que llevaron a cabo la visita de verificación administrativa al establecimiento ubicado en: Casimiro L. Martínez, casi esquina con Boulevard Torrente Piedras Negras, San Martín de las Pirámides, México. d) gafetes, credenciales o identificación de los servidores públicos en función de verificadores, que realizaron la visita de verificación administrativa al establecimiento ubicado en: Casimiro L. Martínez, casi esquina con Boulevard Torrente Piedras Negras, San Martín de las Pirámides, México. e) soporte documental generado con motivo de la visita de verificación administrativa al establecimiento ubicado en: Casimiro L. Martínez, casi esquina con Boulevard Torrente Piedras Negras, San Martín de las Pirámides, México. f) constancias que integran el procedimiento administrativo generado con motivo de la visita de verificación administrativa al establecimiento ubicado en: Casimiro L. Martínez, casi esquina con Boulevard Torrente Piedras Negras, San Martín de las Pirámides, México. g) orden de visita de verificación con motivo de la visita de verificación administrativa al establecimiento ubicado en: Casimiro L. Martínez, casi esquina con Boulevard Torrente Piedras Negras, San Martín de las Pirámides, México. h) Constancia de inscripción en el Registro Estatal de Inspectores de los datos relativos a las visita de inspección y verificación realizada al establecimiento ubicado en: Casimiro L. Martínez, casi esquina con Boulevard Torrente Piedras Negras, San Martín de las Pirámides, México. g) Fundamento jurídico en el cual el C. Raúl García Corona, Director de Comercio en el Municipio de San Martín de las Pirámides, basa su actuación para que en la garantía de audiencia que refiere se determina: se acuerda iniciar el trámite de regularización del establecimiento…(sic). II.- En el municipio de San Martín de las Pirámides, México, qué documento es imperiosamente necesario para que una unidad económica de naturaleza establecida, pueda llevar a cabo le venta de bebidas alcohólicas sea cual sea su graduación, así sea que sólo venda de las denominadas “pollas”, tal y como hace mención el C. Raúl García Corona, Director de Comercio en el Municipio de San Martín de las Pirámides, mediante oficio de respuesta de fecha 07 de abril de 2025 , mismo que se anexa para pronta referencia. III.- Cuál es la consecuencia jurídica si en el Municipio de San Martín de las Pirámides, México, una unidad económica de naturaleza establecida, lleva a cabo la venta de bebidas alcohólicas, sea cual sea su graduación, SIN LA LICENCIA DE FUNCIONAMIENTO VIGENTE? IV.- El fundamento jurídico del por qué NO SE SUSPENDIÓ la actividad del establecimiento ubicado en: Casimiro L. Martínez, casi esquina con Boulevard Torrente Piedras Negras, San Martín de las Pirámides, México, en el cual se venden bebidas alcohólicas, al efectuar la visita de verificación por parte de la autoridad municipal, si tal como refiere el C. LUIS GERARDO GUTIÉRREZ TÉLLEZ, en su oficio de fecha 26 de febrero de 2025, dicha unidad económica no existe registro de licencia para el establecimiento citado (se adjunta oficio para pronta referencia. V.- Cual es el cargo y adscripción del C. LUIS GERARDO GUTIÉRREZ TÉLLEZ, en el Ayuntamiento de San martín de las Pirámides, México. VI.- Estadío procedimental y número de procedimiento administrativo generado con motivo de la visita de verificación establecimiento ubicado en: Casimiro L. Martínez, casi esquina con Boulevard Torrente Piedras Negras, San Martín de las Pirámides, México, al cual hace alusión el C. Raúl García Corona, Director de Comercio, en el Municipio de San Martín de las Pirámides, México VII.- Salario neto que percibe el C. Raúl García Corona, por su desempeño como Director de Comercio, en el Municipio de San Martín de las Pirámides, México. Se reitera que, la anterior información es necesaria para dar vista a las autoridades competentes a efecto de determinar o no, alguna responsabilidad del C. Raúl García Corona, Director de Comercio en el Municipio de San Martín de las Pirámides, México y demás servidores públicos actuantes en el caso que nos ocupa, por no haber suspendido el establecimiento ubicado en: Casimiro L. Martínez, casi esquina con Boulevard Torrente Piedras Negras, San Martín de las Pirámides, México, en el cual se venden en apariencia “jugos” (ya que se venden cualquier tipo de bebidas alcohólicas), mismo que a la fecha con su actividad, sigue contraviniendo disposiciones de orden público e interés social, al seguir vendiendo bebidas alcohólicas sin autorización las cuales son consumidas en la vía pública desde la mañana, ocasionando que sus consumidores orinen en la calle, generen conflictos con los peatones que van por la calle, dejen tirada la basura en la banqueta, insulten y falten el respeto a las damas que pasan por la calle, muchas de ellas menores de edad e incluso vendan bebidas alcohólicas y cigarros a menores. Gracias.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adjuntó los acuses de las respuestas a las solicitudes 00024/MARTIPIR/IP/2025 y 00044/MARTIPIR/IP/2025.</w:t>
        <w:br w:type="textWrapping"/>
      </w:r>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w:t>
      </w:r>
      <w:r w:rsidDel="00000000" w:rsidR="00000000" w:rsidRPr="00000000">
        <w:rPr>
          <w:rFonts w:ascii="Palatino Linotype" w:cs="Palatino Linotype" w:eastAsia="Palatino Linotype" w:hAnsi="Palatino Linotype"/>
          <w:b w:val="1"/>
          <w:bCs w:val="1"/>
          <w:sz w:val="22"/>
          <w:szCs w:val="22"/>
          <w:rtl w:val="0"/>
        </w:rPr>
        <w:t xml:space="preserv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trece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del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anexa respuesta EN ATENCION A SU SOLICITUD LE INFORMO QUE EL SERVIDOR PUBLICO RECIBE SUELDO QUINCENA DE $4,115.32 COMO COORDINADOR COMERCIO, INDUSTRIA, VIA PUBLICA Y MERCADOS...” (sic)</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adjuntó lo siguiente:</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Oficio número SMP/122/12/2025, mediante el cual el titular de la Unidad de Transparencia notificó a la persona solicitante la respuesta proporcionada por los servidores públicos de Tesorería, Desarrollo Económico y la misma Unidad de Transparencia. </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Oficio número SMP/122/13/2025, mediante el cual el titular de la Unidad de Transparencia proporcionó la respuesta relativa al cargo que ostenta.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Escrito constante de dos páginas que contiene la respuesta proporcionada por el Coordinador de Comercio en Vía Pública y Mercado en el ámbito de sus competencias.</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trece de mayo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0F">
      <w:pPr>
        <w:ind w:left="851" w:right="900" w:firstLine="0"/>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integridad de la respuesta dada a la solicitud.” (sic)</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autoridad no da contestación a cada uno de los puntos solicitados en el requerimiento de información correspondiente” (sic)</w:t>
      </w:r>
    </w:p>
    <w:p w:rsidR="00000000" w:rsidDel="00000000" w:rsidP="00000000" w:rsidRDefault="00000000" w:rsidRPr="00000000" w14:paraId="000000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dieciséis de mayo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omitió realizar manifestaciones, como se observa a continuación:</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466215"/>
            <wp:effectExtent b="0" l="0" r="0" t="0"/>
            <wp:docPr id="5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612130" cy="146621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veintisiete de junio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veintitrés de septiembre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D">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E">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Actividad Procesal del interesado. Acciones u omisiones del interesado.</w:t>
      </w:r>
    </w:p>
    <w:p w:rsidR="00000000" w:rsidDel="00000000" w:rsidP="00000000" w:rsidRDefault="00000000" w:rsidRPr="00000000" w14:paraId="0000001F">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0">
      <w:p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La afectación generada en la situación jurídica de la persona involucrada en el proceso: Violación a sus derechos humanos.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5">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6">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trece de mayo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w:t>
      </w:r>
      <w:r w:rsidDel="00000000" w:rsidR="00000000" w:rsidRPr="00000000">
        <w:rPr>
          <w:rFonts w:ascii="Palatino Linotype" w:cs="Palatino Linotype" w:eastAsia="Palatino Linotype" w:hAnsi="Palatino Linotype"/>
          <w:b w:val="1"/>
          <w:bCs w:val="1"/>
          <w:sz w:val="22"/>
          <w:szCs w:val="22"/>
          <w:rtl w:val="0"/>
        </w:rPr>
        <w:t xml:space="preserve"> trece de mayo de dos mil veinticinco, </w:t>
      </w:r>
      <w:r w:rsidDel="00000000" w:rsidR="00000000" w:rsidRPr="00000000">
        <w:rPr>
          <w:rFonts w:ascii="Palatino Linotype" w:cs="Palatino Linotype" w:eastAsia="Palatino Linotype" w:hAnsi="Palatino Linotype"/>
          <w:sz w:val="22"/>
          <w:szCs w:val="22"/>
          <w:rtl w:val="0"/>
        </w:rPr>
        <w:t xml:space="preserve">esto es, el mismo día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iCs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2F">
      <w:pPr>
        <w:tabs>
          <w:tab w:val="left" w:leader="none" w:pos="7938"/>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 del ordenamiento legal citado, que a la letra dice: </w:t>
      </w:r>
    </w:p>
    <w:p w:rsidR="00000000" w:rsidDel="00000000" w:rsidP="00000000" w:rsidRDefault="00000000" w:rsidRPr="00000000" w14:paraId="00000031">
      <w:pPr>
        <w:tabs>
          <w:tab w:val="left" w:leader="none" w:pos="7938"/>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3">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entrega de información incompleta;”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3C">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3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3F">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0">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1">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42">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3">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9">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4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C">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4D">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la respuesta de fecha 07 de abril de 2025, emitida por el Director de Comercio en el Municipio de San Martín de las Pirámides, México, (misma que se adjuntó para pronta referencia).</w:t>
      </w:r>
    </w:p>
    <w:p w:rsidR="00000000" w:rsidDel="00000000" w:rsidP="00000000" w:rsidRDefault="00000000" w:rsidRPr="00000000" w14:paraId="0000004E">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Toda vez que de la visita de verificación al establecimiento ubicado en: Casimiro L. Martínez, casi esquina con Boulevard Torrente Piedras Negras, San Martín de las Pirámides, México, en el cual se venden en apariencia “jugos” (ya que se venden cualquier tipo de bebidas alcohólicas), el Director de Comercio en el Municipio de San Martín de las Pirámides refirió: “…</w:t>
      </w:r>
      <w:r w:rsidDel="00000000" w:rsidR="00000000" w:rsidRPr="00000000">
        <w:rPr>
          <w:rFonts w:ascii="Palatino Linotype" w:cs="Palatino Linotype" w:eastAsia="Palatino Linotype" w:hAnsi="Palatino Linotype"/>
          <w:i w:val="1"/>
          <w:iCs w:val="1"/>
          <w:sz w:val="22"/>
          <w:szCs w:val="22"/>
          <w:rtl w:val="0"/>
        </w:rPr>
        <w:t xml:space="preserve">Se encontró en el lugar venta de jugos, frutas, pollas, posteriormente se llevó a cabo Garantía de Audiencia en la cual se acuerda iniciar el trámite de regularización del establecimiento, lo cual se está llevando a cabo están reuniendo requisitos de las áreas de Protección Civil, desarrollo urbano, etc., de acuerdo al giro que se ostenta, con las características de la misma</w:t>
      </w:r>
      <w:r w:rsidDel="00000000" w:rsidR="00000000" w:rsidRPr="00000000">
        <w:rPr>
          <w:rFonts w:ascii="Palatino Linotype" w:cs="Palatino Linotype" w:eastAsia="Palatino Linotype" w:hAnsi="Palatino Linotype"/>
          <w:sz w:val="22"/>
          <w:szCs w:val="22"/>
          <w:rtl w:val="0"/>
        </w:rPr>
        <w:t xml:space="preserve">…” (sic), se informe:</w:t>
      </w:r>
    </w:p>
    <w:p w:rsidR="00000000" w:rsidDel="00000000" w:rsidP="00000000" w:rsidRDefault="00000000" w:rsidRPr="00000000" w14:paraId="0000004F">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El fundamento legal íntegro, es decir, de naturaleza estatal y municipal, en el cual basó su actuación para llevar a cabo la visita de verificación administrativa al establecimiento referido.</w:t>
      </w:r>
    </w:p>
    <w:p w:rsidR="00000000" w:rsidDel="00000000" w:rsidP="00000000" w:rsidRDefault="00000000" w:rsidRPr="00000000" w14:paraId="00000050">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Fecha en que llevó a cabo la visita de verificación administrativa al establecimiento referido.</w:t>
      </w:r>
    </w:p>
    <w:p w:rsidR="00000000" w:rsidDel="00000000" w:rsidP="00000000" w:rsidRDefault="00000000" w:rsidRPr="00000000" w14:paraId="00000051">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Nombre, cargo y adscripción de los servidores públicos que llevaron a cabo la visita de verificación administrativa al establecimiento referido.</w:t>
      </w:r>
    </w:p>
    <w:p w:rsidR="00000000" w:rsidDel="00000000" w:rsidP="00000000" w:rsidRDefault="00000000" w:rsidRPr="00000000" w14:paraId="00000052">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Gafetes, credenciales o identificación de los servidores públicos en función de verificadores, que realizaron la visita de verificación administrativa al establecimiento referido.</w:t>
      </w:r>
    </w:p>
    <w:p w:rsidR="00000000" w:rsidDel="00000000" w:rsidP="00000000" w:rsidRDefault="00000000" w:rsidRPr="00000000" w14:paraId="00000053">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 Soporte documental generado con motivo de la visita de verificación administrativa al establecimiento referido.</w:t>
      </w:r>
    </w:p>
    <w:p w:rsidR="00000000" w:rsidDel="00000000" w:rsidP="00000000" w:rsidRDefault="00000000" w:rsidRPr="00000000" w14:paraId="00000054">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 Constancias que integran el procedimiento administrativo generado con motivo de la visita de verificación administrativa al establecimiento referido.</w:t>
      </w:r>
    </w:p>
    <w:p w:rsidR="00000000" w:rsidDel="00000000" w:rsidP="00000000" w:rsidRDefault="00000000" w:rsidRPr="00000000" w14:paraId="00000055">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 Orden de visita de verificación con motivo de la visita de verificación administrativa al establecimiento referido.</w:t>
      </w:r>
    </w:p>
    <w:p w:rsidR="00000000" w:rsidDel="00000000" w:rsidP="00000000" w:rsidRDefault="00000000" w:rsidRPr="00000000" w14:paraId="00000056">
      <w:pPr>
        <w:spacing w:after="240" w:before="240"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 Constancia de inscripción en el Registro Estatal de Inspectores de los datos relativos a las visita de inspección y verificación realizada al establecimiento referido.</w:t>
      </w:r>
    </w:p>
    <w:p w:rsidR="00000000" w:rsidDel="00000000" w:rsidP="00000000" w:rsidRDefault="00000000" w:rsidRPr="00000000" w14:paraId="00000057">
      <w:pPr>
        <w:spacing w:after="240" w:before="240" w:line="360" w:lineRule="auto"/>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g) Fundamento jurídico en el cual el Director de Comercio en el Municipio de San Martín de las Pirámides, basa su actuación para que en la garantía de audiencia que refiere se determina: </w:t>
      </w:r>
      <w:r w:rsidDel="00000000" w:rsidR="00000000" w:rsidRPr="00000000">
        <w:rPr>
          <w:rFonts w:ascii="Palatino Linotype" w:cs="Palatino Linotype" w:eastAsia="Palatino Linotype" w:hAnsi="Palatino Linotype"/>
          <w:i w:val="1"/>
          <w:iCs w:val="1"/>
          <w:sz w:val="22"/>
          <w:szCs w:val="22"/>
          <w:rtl w:val="0"/>
        </w:rPr>
        <w:t xml:space="preserve">se acuerda iniciar el trámite de regularización del establecimiento.</w:t>
      </w:r>
    </w:p>
    <w:p w:rsidR="00000000" w:rsidDel="00000000" w:rsidP="00000000" w:rsidRDefault="00000000" w:rsidRPr="00000000" w14:paraId="00000058">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En el municipio de San Martín de las Pirámides, México, qué documento es imperiosamente necesario para que una unidad económica de naturaleza establecida, pueda llevar a cabo le venta de bebidas alcohólicas sea cual sea su graduación, así sea que sólo venda de las denominadas “pollas”, tal y como hace mención el Director de Comercio en el Municipio de San Martín de las Pirámides, mediante oficio de respuesta de fecha 07 de abril de 2025.</w:t>
      </w:r>
    </w:p>
    <w:p w:rsidR="00000000" w:rsidDel="00000000" w:rsidP="00000000" w:rsidRDefault="00000000" w:rsidRPr="00000000" w14:paraId="00000059">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Cuál es la consecuencia jurídica si en el Municipio de San Martín de las Pirámides, México, una unidad económica de naturaleza establecida, lleva a cabo la venta de bebidas alcohólicas, sea cual sea su graduación, sin la licencia de funcionamiento vigente.</w:t>
      </w:r>
    </w:p>
    <w:p w:rsidR="00000000" w:rsidDel="00000000" w:rsidP="00000000" w:rsidRDefault="00000000" w:rsidRPr="00000000" w14:paraId="0000005A">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El fundamento jurídico del por qué no se suspendió la actividad del establecimiento referido en el cual se venden bebidas alcohólicas, al efectuar la visita de verificación por parte de la autoridad municipal, si tal como refiere el C. Luis Gerardo Gutiérrez Téllez, en su oficio de fecha 26 de febrero de 2025, dicha unidad económica no existe registro de licencia para el establecimiento citado (se adjunta oficio para pronta referencia). </w:t>
      </w:r>
    </w:p>
    <w:p w:rsidR="00000000" w:rsidDel="00000000" w:rsidP="00000000" w:rsidRDefault="00000000" w:rsidRPr="00000000" w14:paraId="0000005B">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 Cargo y adscripción del C. Luis Gerardo Gutiérrez Téllez, en el Ayuntamiento de San Martín de las Pirámides, México. </w:t>
      </w:r>
    </w:p>
    <w:p w:rsidR="00000000" w:rsidDel="00000000" w:rsidP="00000000" w:rsidRDefault="00000000" w:rsidRPr="00000000" w14:paraId="0000005C">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 Estado procedimental y número de procedimiento administrativo generado con motivo de la visita de verificación establecimiento referido, al cual hace alusión el Director de Comercio, en el Municipio de San Martín de las Pirámides, México.</w:t>
      </w:r>
    </w:p>
    <w:p w:rsidR="00000000" w:rsidDel="00000000" w:rsidP="00000000" w:rsidRDefault="00000000" w:rsidRPr="00000000" w14:paraId="0000005D">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 Salario neto que percibe el Director de Comercio, en el Municipio de San Martín de las Pirámides, México. </w:t>
      </w:r>
    </w:p>
    <w:p w:rsidR="00000000" w:rsidDel="00000000" w:rsidP="00000000" w:rsidRDefault="00000000" w:rsidRPr="00000000" w14:paraId="0000005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6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6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línea de pensamiento, derivado del análisis de las constancias que obran en el expediente electrónico en el que se actúa, se advirtió que la Unidad de Transparencia, turnó la solicitud de información para su atención a la Tesorera Municipal, y al Coordinador de Comercio en la Vía Pública y Mercado, como se observa en seguida:</w:t>
      </w:r>
    </w:p>
    <w:p w:rsidR="00000000" w:rsidDel="00000000" w:rsidP="00000000" w:rsidRDefault="00000000" w:rsidRPr="00000000" w14:paraId="0000006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369060"/>
            <wp:effectExtent b="0" l="0" r="0" t="0"/>
            <wp:docPr id="5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13690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908685"/>
            <wp:effectExtent b="0" l="0" r="0" t="0"/>
            <wp:docPr id="5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12130" cy="908685"/>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5612130" cy="904240"/>
            <wp:effectExtent b="0" l="0" r="0" t="0"/>
            <wp:docPr id="5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130" cy="90424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menciona que la Tesorería Municipal es el órgano encargado de la recaudación de los ingresos municipales y </w:t>
      </w:r>
      <w:r w:rsidDel="00000000" w:rsidR="00000000" w:rsidRPr="00000000">
        <w:rPr>
          <w:rFonts w:ascii="Palatino Linotype" w:cs="Palatino Linotype" w:eastAsia="Palatino Linotype" w:hAnsi="Palatino Linotype"/>
          <w:b w:val="1"/>
          <w:bCs w:val="1"/>
          <w:sz w:val="22"/>
          <w:szCs w:val="22"/>
          <w:rtl w:val="0"/>
        </w:rPr>
        <w:t xml:space="preserve">responsable de realizar las erogaciones</w:t>
      </w:r>
      <w:r w:rsidDel="00000000" w:rsidR="00000000" w:rsidRPr="00000000">
        <w:rPr>
          <w:rFonts w:ascii="Palatino Linotype" w:cs="Palatino Linotype" w:eastAsia="Palatino Linotype" w:hAnsi="Palatino Linotype"/>
          <w:sz w:val="22"/>
          <w:szCs w:val="22"/>
          <w:rtl w:val="0"/>
        </w:rPr>
        <w:t xml:space="preserve"> que haga el ayuntamiento </w:t>
      </w:r>
      <w:r w:rsidDel="00000000" w:rsidR="00000000" w:rsidRPr="00000000">
        <w:rPr>
          <w:rFonts w:ascii="Palatino Linotype" w:cs="Palatino Linotype" w:eastAsia="Palatino Linotype" w:hAnsi="Palatino Linotype"/>
          <w:b w:val="1"/>
          <w:bCs w:val="1"/>
          <w:sz w:val="22"/>
          <w:szCs w:val="22"/>
          <w:rtl w:val="0"/>
        </w:rPr>
        <w:t xml:space="preserve">a través de los registros contables, financieros y administrativos</w:t>
      </w:r>
      <w:r w:rsidDel="00000000" w:rsidR="00000000" w:rsidRPr="00000000">
        <w:rPr>
          <w:rFonts w:ascii="Palatino Linotype" w:cs="Palatino Linotype" w:eastAsia="Palatino Linotype" w:hAnsi="Palatino Linotype"/>
          <w:sz w:val="22"/>
          <w:szCs w:val="22"/>
          <w:rtl w:val="0"/>
        </w:rPr>
        <w:t xml:space="preserve"> de los ingresos, </w:t>
      </w:r>
      <w:r w:rsidDel="00000000" w:rsidR="00000000" w:rsidRPr="00000000">
        <w:rPr>
          <w:rFonts w:ascii="Palatino Linotype" w:cs="Palatino Linotype" w:eastAsia="Palatino Linotype" w:hAnsi="Palatino Linotype"/>
          <w:b w:val="1"/>
          <w:bCs w:val="1"/>
          <w:sz w:val="22"/>
          <w:szCs w:val="22"/>
          <w:rtl w:val="0"/>
        </w:rPr>
        <w:t xml:space="preserve">egresos</w:t>
      </w:r>
      <w:r w:rsidDel="00000000" w:rsidR="00000000" w:rsidRPr="00000000">
        <w:rPr>
          <w:rFonts w:ascii="Palatino Linotype" w:cs="Palatino Linotype" w:eastAsia="Palatino Linotype" w:hAnsi="Palatino Linotype"/>
          <w:sz w:val="22"/>
          <w:szCs w:val="22"/>
          <w:rtl w:val="0"/>
        </w:rPr>
        <w:t xml:space="preserve"> e inventarios; entre otras atribuciones, de conformidad con lo establecido en los artículos 93 y 95, fracciones I y IV de la Ley Orgánica Municipal del Estado de México, a saber:</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93</w:t>
      </w:r>
      <w:r w:rsidDel="00000000" w:rsidR="00000000" w:rsidRPr="00000000">
        <w:rPr>
          <w:rFonts w:ascii="Palatino Linotype" w:cs="Palatino Linotype" w:eastAsia="Palatino Linotype" w:hAnsi="Palatino Linotype"/>
          <w:i w:val="1"/>
          <w:iCs w:val="1"/>
          <w:sz w:val="22"/>
          <w:szCs w:val="22"/>
          <w:rtl w:val="0"/>
        </w:rPr>
        <w:t xml:space="preserve">.- La tesorería municipal es el órgano encargado de la recaudación de los ingresos municipales y responsable de realizar las erogaciones que haga el ayuntamiento.</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95</w:t>
      </w:r>
      <w:r w:rsidDel="00000000" w:rsidR="00000000" w:rsidRPr="00000000">
        <w:rPr>
          <w:rFonts w:ascii="Palatino Linotype" w:cs="Palatino Linotype" w:eastAsia="Palatino Linotype" w:hAnsi="Palatino Linotype"/>
          <w:i w:val="1"/>
          <w:iCs w:val="1"/>
          <w:sz w:val="22"/>
          <w:szCs w:val="22"/>
          <w:rtl w:val="0"/>
        </w:rPr>
        <w:t xml:space="preserve">.- Son atribuciones del tesorero municipal: </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Administrar la hacienda pública municipal</w:t>
      </w:r>
      <w:r w:rsidDel="00000000" w:rsidR="00000000" w:rsidRPr="00000000">
        <w:rPr>
          <w:rFonts w:ascii="Palatino Linotype" w:cs="Palatino Linotype" w:eastAsia="Palatino Linotype" w:hAnsi="Palatino Linotype"/>
          <w:i w:val="1"/>
          <w:iCs w:val="1"/>
          <w:sz w:val="22"/>
          <w:szCs w:val="22"/>
          <w:rtl w:val="0"/>
        </w:rPr>
        <w:t xml:space="preserve">, de conformidad con las disposiciones legales aplicables;</w:t>
      </w:r>
    </w:p>
    <w:p w:rsidR="00000000" w:rsidDel="00000000" w:rsidP="00000000" w:rsidRDefault="00000000" w:rsidRPr="00000000" w14:paraId="0000006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Llevar los registros contables, financieros y administrativos</w:t>
      </w:r>
      <w:r w:rsidDel="00000000" w:rsidR="00000000" w:rsidRPr="00000000">
        <w:rPr>
          <w:rFonts w:ascii="Palatino Linotype" w:cs="Palatino Linotype" w:eastAsia="Palatino Linotype" w:hAnsi="Palatino Linotype"/>
          <w:b w:val="1"/>
          <w:bCs w:val="1"/>
          <w:i w:val="1"/>
          <w:iCs w:val="1"/>
          <w:sz w:val="22"/>
          <w:szCs w:val="22"/>
          <w:rtl w:val="0"/>
        </w:rPr>
        <w:t xml:space="preserve"> de los ingresos, egresos</w:t>
      </w:r>
      <w:r w:rsidDel="00000000" w:rsidR="00000000" w:rsidRPr="00000000">
        <w:rPr>
          <w:rFonts w:ascii="Palatino Linotype" w:cs="Palatino Linotype" w:eastAsia="Palatino Linotype" w:hAnsi="Palatino Linotype"/>
          <w:i w:val="1"/>
          <w:iCs w:val="1"/>
          <w:sz w:val="22"/>
          <w:szCs w:val="22"/>
          <w:rtl w:val="0"/>
        </w:rPr>
        <w:t xml:space="preserve">, e inventarios;…”</w:t>
      </w:r>
    </w:p>
    <w:p w:rsidR="00000000" w:rsidDel="00000000" w:rsidP="00000000" w:rsidRDefault="00000000" w:rsidRPr="00000000" w14:paraId="0000006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respecto de la Coordinación de Comercio en Vía Pública y Mercado, el artículo 169 del Bando Municipal de San Martin de las Pirámides, dispone que la Dirección de Desarrollo Económico, a través de dicha Coordinación estará a cargo de vigilar la aplicación y cumplimiento del Reglamento Municipal en Vía Pública y Mercado para la afluencia de comerciantes y consumidores en libre competencia cuando así lo estime pertinente y por causa de salubridad, circulación de peatones, de vehículos o por razones de interés pública. Lo anterior, con objeto de regular y vigilar la administración y funcionamiento de las actividades del mercado municipal, tianguis, puestos fijos, semifijos y ambulantes, a fin de que los comerciantes cumplan con sus obligaciones legales.</w:t>
      </w:r>
    </w:p>
    <w:p w:rsidR="00000000" w:rsidDel="00000000" w:rsidP="00000000" w:rsidRDefault="00000000" w:rsidRPr="00000000" w14:paraId="0000006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170 del Bando Municipal confiere a la Coordinación de Mercado y Vía Pública, la atribución de organizar los puestos semifijos o el comercio  informal a cualquier otro sitio que se considere conveniente, bajo la observación de la Dirección de Desarrollo Económico y la Coordinación de Comercio e Industria.</w:t>
      </w:r>
    </w:p>
    <w:p w:rsidR="00000000" w:rsidDel="00000000" w:rsidP="00000000" w:rsidRDefault="00000000" w:rsidRPr="00000000" w14:paraId="0000006E">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se arriba a la conclusión de que se cumplió con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rsidR="00000000" w:rsidDel="00000000" w:rsidP="00000000" w:rsidRDefault="00000000" w:rsidRPr="00000000" w14:paraId="0000006F">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las personas servidoras públicas habilitadas de la Tesorería Municipal, la Coordinación de Comercio en la Vía Pública y Mercado, así como la Unidad de Transparencia dieron atención a la solicitud en el ámbito de sus competencias, como más adelante se detallará, no obstante, al no estar conforme con los términos de la respuesta, la persona solicitante interpuso el recurso de revisión que nos ocupa, donde manifestó como motivo de inconformidad que la autoridad no dio contestación a cada uno de los puntos solicitados. </w:t>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 etapa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rendir su informe justificado, y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71">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se procede al análisis del requerimiento de información combatido, así como la información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72">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un mejor entendimiento, dicho análisis se realizará a través de los siguientes cuadros:</w:t>
      </w:r>
    </w:p>
    <w:p w:rsidR="00000000" w:rsidDel="00000000" w:rsidP="00000000" w:rsidRDefault="00000000" w:rsidRPr="00000000" w14:paraId="00000073">
      <w:pPr>
        <w:spacing w:after="280" w:before="28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Con base en la respuesta proporcionada a la solicitud 00044/MARTIPIR/IP/2025, el siete de abril de dos mil veinticinco:</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shd w:fill="bfbfbf" w:val="clear"/>
            <w:vAlign w:val="center"/>
          </w:tcPr>
          <w:p w:rsidR="00000000" w:rsidDel="00000000" w:rsidP="00000000" w:rsidRDefault="00000000" w:rsidRPr="00000000" w14:paraId="00000074">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SOLICITUD</w:t>
            </w:r>
            <w:r w:rsidDel="00000000" w:rsidR="00000000" w:rsidRPr="00000000">
              <w:rPr>
                <w:rtl w:val="0"/>
              </w:rPr>
            </w:r>
          </w:p>
        </w:tc>
        <w:tc>
          <w:tcPr>
            <w:shd w:fill="bfbfbf" w:val="clear"/>
          </w:tcPr>
          <w:p w:rsidR="00000000" w:rsidDel="00000000" w:rsidP="00000000" w:rsidRDefault="00000000" w:rsidRPr="00000000" w14:paraId="00000075">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INFORMACIÓN ENTREGADA</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1.</w:t>
            </w:r>
            <w:r w:rsidDel="00000000" w:rsidR="00000000" w:rsidRPr="00000000">
              <w:rPr>
                <w:rFonts w:ascii="Palatino Linotype" w:cs="Palatino Linotype" w:eastAsia="Palatino Linotype" w:hAnsi="Palatino Linotype"/>
                <w:sz w:val="20"/>
                <w:szCs w:val="20"/>
                <w:rtl w:val="0"/>
              </w:rPr>
              <w:t xml:space="preserve"> Derivado de la visita de verificación al establecimiento en la ubicación referida en la solicitud, el Coordinador de Comercio en Vía Pública y Mercados manifestó que se encontró en el lugar venta de jugos, frutas, pollas, y posteriormente se llevó a cabo Garantía de Audiencia en la cual se acordó iniciar el trámite de regularización del establecimiento, lo cual se está llevando a cabo, reuniéndose los requisitos de las áreas de Protección Civil, Desarrollo Urbano, etcétera, de acuerdo al giro que se ostenta, con las características de la misma, por lo que se solicita se informe:</w:t>
            </w:r>
          </w:p>
        </w:tc>
      </w:tr>
      <w:tr>
        <w:trPr>
          <w:cantSplit w:val="0"/>
          <w:tblHeader w:val="0"/>
        </w:trPr>
        <w:tc>
          <w:tcPr/>
          <w:p w:rsidR="00000000" w:rsidDel="00000000" w:rsidP="00000000" w:rsidRDefault="00000000" w:rsidRPr="00000000" w14:paraId="0000007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El fundamento legal íntegro, es decir, de naturaleza estatal y municipal, en el cual basó su actuación para llevar a cabo la visita de verificación administrativa al establecimiento referido.</w:t>
            </w:r>
          </w:p>
          <w:p w:rsidR="00000000" w:rsidDel="00000000" w:rsidP="00000000" w:rsidRDefault="00000000" w:rsidRPr="00000000" w14:paraId="00000079">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A">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7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Artículos: 122, 123 y 124, de la Constitución Política del Estado Libre y Soberano del Estado de México; 159 del Código Financiero del Estado de México y Municipios; 1.4, 1.6, 1.8, 1.9, 1.10, del Código Administrativo del Estado de México; 13, 128, 129 del Código de Procedimientos Administrativos del Estado de México; 49, 86, 87 y 96 Quater, fracción XVIII de la Ley Orgánica Municipal del Estado de México; 4 fracción VI, 7 fracción VII, 21 fracción IV y V, 58 de la Ley de Competitividad y Ordenamiento Comercial del Estado de México; 166, 167 y 286 del Bando Municipal de San Martín de las Pirámides.</w:t>
            </w:r>
          </w:p>
        </w:tc>
      </w:tr>
      <w:tr>
        <w:trPr>
          <w:cantSplit w:val="0"/>
          <w:tblHeader w:val="0"/>
        </w:trPr>
        <w:tc>
          <w:tcPr/>
          <w:p w:rsidR="00000000" w:rsidDel="00000000" w:rsidP="00000000" w:rsidRDefault="00000000" w:rsidRPr="00000000" w14:paraId="0000007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Fecha en que llevó a cabo la visita de verificación administrativa al establecimiento referido.</w:t>
            </w:r>
          </w:p>
        </w:tc>
        <w:tc>
          <w:tcPr/>
          <w:p w:rsidR="00000000" w:rsidDel="00000000" w:rsidP="00000000" w:rsidRDefault="00000000" w:rsidRPr="00000000" w14:paraId="0000007D">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7E">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Marzo 2025</w:t>
            </w:r>
          </w:p>
        </w:tc>
      </w:tr>
      <w:tr>
        <w:trPr>
          <w:cantSplit w:val="0"/>
          <w:tblHeader w:val="0"/>
        </w:trPr>
        <w:tc>
          <w:tcPr/>
          <w:p w:rsidR="00000000" w:rsidDel="00000000" w:rsidP="00000000" w:rsidRDefault="00000000" w:rsidRPr="00000000" w14:paraId="0000007F">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Nombre, cargo y adscripción de los servidores públicos que llevaron a cabo la visita de verificación administrativa al establecimiento referido.</w:t>
            </w:r>
          </w:p>
          <w:p w:rsidR="00000000" w:rsidDel="00000000" w:rsidP="00000000" w:rsidRDefault="00000000" w:rsidRPr="00000000" w14:paraId="00000080">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1">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8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Raúl García Corona, Coordinador de Comercio en Vía Pública y Mercado.</w:t>
            </w:r>
          </w:p>
          <w:p w:rsidR="00000000" w:rsidDel="00000000" w:rsidP="00000000" w:rsidRDefault="00000000" w:rsidRPr="00000000" w14:paraId="0000008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José Osvaldo Sánchez Guzmán, Coordinador de Comercio e Industria.</w:t>
            </w:r>
          </w:p>
          <w:p w:rsidR="00000000" w:rsidDel="00000000" w:rsidP="00000000" w:rsidRDefault="00000000" w:rsidRPr="00000000" w14:paraId="0000008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Yomali Yatziri Olvera García, Directora de Desarrollo Económico.</w:t>
            </w:r>
          </w:p>
        </w:tc>
      </w:tr>
      <w:tr>
        <w:trPr>
          <w:cantSplit w:val="0"/>
          <w:tblHeader w:val="0"/>
        </w:trPr>
        <w:tc>
          <w:tcPr/>
          <w:p w:rsidR="00000000" w:rsidDel="00000000" w:rsidP="00000000" w:rsidRDefault="00000000" w:rsidRPr="00000000" w14:paraId="00000085">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 Gafetes, credenciales o identificación de los servidores públicos en función de verificadores, que realizaron la visita de verificación administrativa al establecimiento referido.</w:t>
            </w:r>
          </w:p>
        </w:tc>
        <w:tc>
          <w:tcPr/>
          <w:p w:rsidR="00000000" w:rsidDel="00000000" w:rsidP="00000000" w:rsidRDefault="00000000" w:rsidRPr="00000000" w14:paraId="00000086">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87">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anexan 3 credenciales (un solo lado)</w:t>
            </w:r>
          </w:p>
        </w:tc>
      </w:tr>
      <w:tr>
        <w:trPr>
          <w:cantSplit w:val="0"/>
          <w:tblHeader w:val="0"/>
        </w:trPr>
        <w:tc>
          <w:tcPr/>
          <w:p w:rsidR="00000000" w:rsidDel="00000000" w:rsidP="00000000" w:rsidRDefault="00000000" w:rsidRPr="00000000" w14:paraId="0000008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 Soporte documental generado con motivo de la visita de verificación administrativa al establecimiento referido.</w:t>
            </w:r>
          </w:p>
        </w:tc>
        <w:tc>
          <w:tcPr>
            <w:vMerge w:val="restart"/>
          </w:tcPr>
          <w:p w:rsidR="00000000" w:rsidDel="00000000" w:rsidP="00000000" w:rsidRDefault="00000000" w:rsidRPr="00000000" w14:paraId="00000089">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8A">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No será posible adjuntar el documento motivado en la protección de datos personales, derecho humano que tutela la privacidad de los datos personales en poder de los sujetos obligados, con fundamento en los artículos 112 y 115 de la Ley General de Transparencia y Accesos a Información Pública; artículo 25 y 26 de la Ley General de Protección de Datos Personales en Posesión de Sujetos Obligados; artículo 6, 140 y 143 de la Ley de Transparencia y Acceso a la Información Pública del Estado de México y Municipios</w:t>
            </w:r>
            <w:r w:rsidDel="00000000" w:rsidR="00000000" w:rsidRPr="00000000">
              <w:rPr>
                <w:rtl w:val="0"/>
              </w:rPr>
            </w:r>
          </w:p>
        </w:tc>
      </w:tr>
      <w:tr>
        <w:trPr>
          <w:cantSplit w:val="0"/>
          <w:tblHeader w:val="0"/>
        </w:trPr>
        <w:tc>
          <w:tcPr/>
          <w:p w:rsidR="00000000" w:rsidDel="00000000" w:rsidP="00000000" w:rsidRDefault="00000000" w:rsidRPr="00000000" w14:paraId="0000008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 Constancias que integran el procedimiento administrativo generado con motivo de la visita de verificación administrativa al establecimiento referido.</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g) Orden de visita de verificación con motivo de la visita de verificación administrativa al establecimiento referido.</w:t>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F">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 Constancia de inscripción en el Registro Estatal de Inspectores de los datos relativos a las visita de inspección y verificación realizada al establecimiento referido.</w:t>
            </w:r>
          </w:p>
        </w:tc>
        <w:tc>
          <w:tcPr/>
          <w:p w:rsidR="00000000" w:rsidDel="00000000" w:rsidP="00000000" w:rsidRDefault="00000000" w:rsidRPr="00000000" w14:paraId="00000090">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91">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Se encuentra en proceso de inscripción.</w:t>
            </w:r>
            <w:r w:rsidDel="00000000" w:rsidR="00000000" w:rsidRPr="00000000">
              <w:rPr>
                <w:rtl w:val="0"/>
              </w:rPr>
            </w:r>
          </w:p>
        </w:tc>
      </w:tr>
      <w:tr>
        <w:trPr>
          <w:cantSplit w:val="0"/>
          <w:tblHeader w:val="0"/>
        </w:trPr>
        <w:tc>
          <w:tcPr/>
          <w:p w:rsidR="00000000" w:rsidDel="00000000" w:rsidP="00000000" w:rsidRDefault="00000000" w:rsidRPr="00000000" w14:paraId="0000009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 Fundamento jurídico en el cual el Director de Comercio en el Municipio de San Martín de las Pirámides, basa su actuación para que en la garantía de audiencia que refiere se determina: se acuerda iniciar el trámite de regularización del establecimiento.</w:t>
            </w:r>
          </w:p>
        </w:tc>
        <w:tc>
          <w:tcPr/>
          <w:p w:rsidR="00000000" w:rsidDel="00000000" w:rsidP="00000000" w:rsidRDefault="00000000" w:rsidRPr="00000000" w14:paraId="00000093">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94">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El Coordinador de Comercio en Vía Pública no es el encargado de llevar a cabo Garantía de audiencia.</w:t>
            </w:r>
            <w:r w:rsidDel="00000000" w:rsidR="00000000" w:rsidRPr="00000000">
              <w:rPr>
                <w:rtl w:val="0"/>
              </w:rPr>
            </w:r>
          </w:p>
        </w:tc>
      </w:tr>
      <w:tr>
        <w:trPr>
          <w:cantSplit w:val="0"/>
          <w:tblHeader w:val="0"/>
        </w:trPr>
        <w:tc>
          <w:tcPr/>
          <w:p w:rsidR="00000000" w:rsidDel="00000000" w:rsidP="00000000" w:rsidRDefault="00000000" w:rsidRPr="00000000" w14:paraId="00000095">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En el municipio de San Martín de las Pirámides, México, qué documento es imperiosamente necesario para que una unidad económica de naturaleza establecida, pueda llevar a cabo le venta de bebidas alcohólicas sea cual sea su graduación, así sea que sólo venda de las denominadas “pollas”, tal y como hace mención el Director de Comercio en el Municipio de San Martín de las Pirámides, mediante oficio de respuesta de fecha 07 de abril de 2025.</w:t>
            </w:r>
          </w:p>
        </w:tc>
        <w:tc>
          <w:tcPr/>
          <w:p w:rsidR="00000000" w:rsidDel="00000000" w:rsidP="00000000" w:rsidRDefault="00000000" w:rsidRPr="00000000" w14:paraId="00000096">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97">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Los requisitos establecidos en el artículo 66 de la Ley de Competitividad y Ordenamiento Comercial del Estado de México.</w:t>
            </w:r>
            <w:r w:rsidDel="00000000" w:rsidR="00000000" w:rsidRPr="00000000">
              <w:rPr>
                <w:rtl w:val="0"/>
              </w:rPr>
            </w:r>
          </w:p>
        </w:tc>
      </w:tr>
      <w:tr>
        <w:trPr>
          <w:cantSplit w:val="0"/>
          <w:tblHeader w:val="0"/>
        </w:trPr>
        <w:tc>
          <w:tcPr/>
          <w:p w:rsidR="00000000" w:rsidDel="00000000" w:rsidP="00000000" w:rsidRDefault="00000000" w:rsidRPr="00000000" w14:paraId="0000009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 Cuál es la consecuencia jurídica si en el Municipio de San Martín de las Pirámides, México, una unidad económica de naturaleza establecida, lleva a cabo la venta de bebidas alcohólicas, sea cual sea su graduación, sin la licencia de funcionamiento vigente.</w:t>
            </w:r>
          </w:p>
        </w:tc>
        <w:tc>
          <w:tcPr/>
          <w:p w:rsidR="00000000" w:rsidDel="00000000" w:rsidP="00000000" w:rsidRDefault="00000000" w:rsidRPr="00000000" w14:paraId="00000099">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9A">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Las establecidas en el artículo 180 de la Ley de Competitividad y Ordenamiento Comercial del Estado de México</w:t>
            </w:r>
            <w:r w:rsidDel="00000000" w:rsidR="00000000" w:rsidRPr="00000000">
              <w:rPr>
                <w:rtl w:val="0"/>
              </w:rPr>
            </w:r>
          </w:p>
        </w:tc>
      </w:tr>
      <w:tr>
        <w:trPr>
          <w:cantSplit w:val="0"/>
          <w:tblHeader w:val="0"/>
        </w:trPr>
        <w:tc>
          <w:tcPr/>
          <w:p w:rsidR="00000000" w:rsidDel="00000000" w:rsidP="00000000" w:rsidRDefault="00000000" w:rsidRPr="00000000" w14:paraId="0000009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 El fundamento jurídico del por qué no se suspendió la actividad del establecimiento referido en el cual se venden bebidas alcohólicas, al efectuar la visita de verificación por parte de la autoridad municipal, si tal como refiere el C. Luis Gerardo Gutiérrez Téllez, en su oficio de fecha 26 de febrero de 2025, dicha unidad económica no existe registro de licencia para el establecimiento citado (se adjunta oficio para pronta referencia).</w:t>
            </w:r>
          </w:p>
        </w:tc>
        <w:tc>
          <w:tcPr/>
          <w:p w:rsidR="00000000" w:rsidDel="00000000" w:rsidP="00000000" w:rsidRDefault="00000000" w:rsidRPr="00000000" w14:paraId="0000009C">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9D">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Con fundamento en el artículo 14 de la Constitución Política de los Estados Unidos Mexicanos, dado que es un derecho primordial de toda persona para ser escuchada y ejercer los medios de defensa que a su derecho convengan.</w:t>
            </w:r>
            <w:r w:rsidDel="00000000" w:rsidR="00000000" w:rsidRPr="00000000">
              <w:rPr>
                <w:rtl w:val="0"/>
              </w:rPr>
            </w:r>
          </w:p>
        </w:tc>
      </w:tr>
      <w:tr>
        <w:trPr>
          <w:cantSplit w:val="0"/>
          <w:tblHeader w:val="0"/>
        </w:trPr>
        <w:tc>
          <w:tcPr/>
          <w:p w:rsidR="00000000" w:rsidDel="00000000" w:rsidP="00000000" w:rsidRDefault="00000000" w:rsidRPr="00000000" w14:paraId="0000009E">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 Cargo y adscripción del C. Luis Gerardo Gutiérrez Téllez, en el Ayuntamiento de San Martín de las Pirámides, México.</w:t>
            </w:r>
          </w:p>
        </w:tc>
        <w:tc>
          <w:tcPr/>
          <w:p w:rsidR="00000000" w:rsidDel="00000000" w:rsidP="00000000" w:rsidRDefault="00000000" w:rsidRPr="00000000" w14:paraId="0000009F">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Unidad de Transparencia:</w:t>
            </w:r>
          </w:p>
          <w:p w:rsidR="00000000" w:rsidDel="00000000" w:rsidP="00000000" w:rsidRDefault="00000000" w:rsidRPr="00000000" w14:paraId="000000A0">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Informó que a persona referida se ostenta como Titular de dicha Unidad.</w:t>
            </w:r>
            <w:r w:rsidDel="00000000" w:rsidR="00000000" w:rsidRPr="00000000">
              <w:rPr>
                <w:rtl w:val="0"/>
              </w:rPr>
            </w:r>
          </w:p>
        </w:tc>
      </w:tr>
      <w:tr>
        <w:trPr>
          <w:cantSplit w:val="0"/>
          <w:tblHeader w:val="0"/>
        </w:trPr>
        <w:tc>
          <w:tcPr/>
          <w:p w:rsidR="00000000" w:rsidDel="00000000" w:rsidP="00000000" w:rsidRDefault="00000000" w:rsidRPr="00000000" w14:paraId="000000A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 Estado procedimental y número de procedimiento administrativo generado con motivo de la visita de verificación establecimiento referido, al cual hace alusión el Director de Comercio, en el Municipio de San Martín de las Pirámides, México.</w:t>
            </w:r>
          </w:p>
        </w:tc>
        <w:tc>
          <w:tcPr/>
          <w:p w:rsidR="00000000" w:rsidDel="00000000" w:rsidP="00000000" w:rsidRDefault="00000000" w:rsidRPr="00000000" w14:paraId="000000A2">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Coordinador de Comercio en Vía Pública y Mercado:</w:t>
            </w:r>
          </w:p>
          <w:p w:rsidR="00000000" w:rsidDel="00000000" w:rsidP="00000000" w:rsidRDefault="00000000" w:rsidRPr="00000000" w14:paraId="000000A3">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Se encuentra en procedimiento administrativo.</w:t>
            </w:r>
            <w:r w:rsidDel="00000000" w:rsidR="00000000" w:rsidRPr="00000000">
              <w:rPr>
                <w:rtl w:val="0"/>
              </w:rPr>
            </w:r>
          </w:p>
        </w:tc>
      </w:tr>
      <w:tr>
        <w:trPr>
          <w:cantSplit w:val="0"/>
          <w:tblHeader w:val="0"/>
        </w:trPr>
        <w:tc>
          <w:tcPr/>
          <w:p w:rsidR="00000000" w:rsidDel="00000000" w:rsidP="00000000" w:rsidRDefault="00000000" w:rsidRPr="00000000" w14:paraId="000000A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7. Salario neto que percibe el Director de Comercio, en el Municipio de San Martín de las Pirámides, México.</w:t>
            </w:r>
          </w:p>
        </w:tc>
        <w:tc>
          <w:tcPr/>
          <w:p w:rsidR="00000000" w:rsidDel="00000000" w:rsidP="00000000" w:rsidRDefault="00000000" w:rsidRPr="00000000" w14:paraId="000000A5">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Tesorería Municipal:</w:t>
            </w:r>
          </w:p>
          <w:p w:rsidR="00000000" w:rsidDel="00000000" w:rsidP="00000000" w:rsidRDefault="00000000" w:rsidRPr="00000000" w14:paraId="000000A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servidor público recibe sueldo quincenal de $4,115.32 como Coordinador comercio, industria, vía pública y mercados.</w:t>
            </w:r>
          </w:p>
          <w:p w:rsidR="00000000" w:rsidDel="00000000" w:rsidP="00000000" w:rsidRDefault="00000000" w:rsidRPr="00000000" w14:paraId="000000A7">
            <w:pPr>
              <w:spacing w:after="120" w:before="120" w:lineRule="auto"/>
              <w:jc w:val="both"/>
              <w:rPr>
                <w:rFonts w:ascii="Palatino Linotype" w:cs="Palatino Linotype" w:eastAsia="Palatino Linotype" w:hAnsi="Palatino Linotype"/>
                <w:b w:val="1"/>
                <w:bCs w:val="1"/>
                <w:sz w:val="20"/>
                <w:szCs w:val="20"/>
              </w:rPr>
            </w:pPr>
            <w:r w:rsidDel="00000000" w:rsidR="00000000" w:rsidRPr="00000000">
              <w:rPr>
                <w:rtl w:val="0"/>
              </w:rPr>
            </w:r>
          </w:p>
        </w:tc>
      </w:tr>
    </w:tbl>
    <w:p w:rsidR="00000000" w:rsidDel="00000000" w:rsidP="00000000" w:rsidRDefault="00000000" w:rsidRPr="00000000" w14:paraId="000000A8">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la tabla anterior, se concluye que la información proporcionada por el servidor público habilitado de la Coordinación de Comercio en Vía Pública y Mercado, es suficiente para tener por satisfechos los </w:t>
      </w:r>
      <w:r w:rsidDel="00000000" w:rsidR="00000000" w:rsidRPr="00000000">
        <w:rPr>
          <w:rFonts w:ascii="Palatino Linotype" w:cs="Palatino Linotype" w:eastAsia="Palatino Linotype" w:hAnsi="Palatino Linotype"/>
          <w:b w:val="1"/>
          <w:bCs w:val="1"/>
          <w:sz w:val="22"/>
          <w:szCs w:val="22"/>
          <w:rtl w:val="0"/>
        </w:rPr>
        <w:t xml:space="preserve">incisos c, y h</w:t>
      </w:r>
      <w:r w:rsidDel="00000000" w:rsidR="00000000" w:rsidRPr="00000000">
        <w:rPr>
          <w:rFonts w:ascii="Palatino Linotype" w:cs="Palatino Linotype" w:eastAsia="Palatino Linotype" w:hAnsi="Palatino Linotype"/>
          <w:sz w:val="22"/>
          <w:szCs w:val="22"/>
          <w:rtl w:val="0"/>
        </w:rPr>
        <w:t xml:space="preserve">, del </w:t>
      </w:r>
      <w:r w:rsidDel="00000000" w:rsidR="00000000" w:rsidRPr="00000000">
        <w:rPr>
          <w:rFonts w:ascii="Palatino Linotype" w:cs="Palatino Linotype" w:eastAsia="Palatino Linotype" w:hAnsi="Palatino Linotype"/>
          <w:b w:val="1"/>
          <w:bCs w:val="1"/>
          <w:sz w:val="22"/>
          <w:szCs w:val="22"/>
          <w:rtl w:val="0"/>
        </w:rPr>
        <w:t xml:space="preserve">punto 1 </w:t>
      </w:r>
      <w:r w:rsidDel="00000000" w:rsidR="00000000" w:rsidRPr="00000000">
        <w:rPr>
          <w:rFonts w:ascii="Palatino Linotype" w:cs="Palatino Linotype" w:eastAsia="Palatino Linotype" w:hAnsi="Palatino Linotype"/>
          <w:sz w:val="22"/>
          <w:szCs w:val="22"/>
          <w:rtl w:val="0"/>
        </w:rPr>
        <w:t xml:space="preserve"> al haberse proporcionado el nombre, cargo y adscripción de los servidores públicos que llevaron a cabo la visita de verificación al establecimiento referido, y finalmente, haber señalado que la inscripción en el Registro Estatal de Inspectores de los datos relativos a la visita de inspección y verificación realizada al establecimiento referido se encontraba en  proceso de inscripción.</w:t>
      </w:r>
    </w:p>
    <w:p w:rsidR="00000000" w:rsidDel="00000000" w:rsidP="00000000" w:rsidRDefault="00000000" w:rsidRPr="00000000" w14:paraId="000000A9">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este último punto, no obsta mencionar que si bien, de conformidad con el artículo 128, último párrafo del Código de Procedimientos Administrativos del Estado de México las dependencias y organismos auxiliares cuentan con el deber de inscribir en el Registro Estatal de Inspectores los datos relativos a las visitas, inspecciones y verificaciones que se realicen, no menos cierto es que derivado del análisis efectuado al marco normativo aplicable al caso concreto, no se localizó disposición alguna que establezca un plazo determinado para llevar a cabo dicha obligación. </w:t>
      </w:r>
    </w:p>
    <w:p w:rsidR="00000000" w:rsidDel="00000000" w:rsidP="00000000" w:rsidRDefault="00000000" w:rsidRPr="00000000" w14:paraId="000000A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si se considera el hecho negativo, resulta obvio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puede tener en sus archivos información que satisfaga el requerimiento de información, ya que no puede probarse por ser lógica y materialmente imposible, ello aunado a que no es obligatorio que la información se haya generado a la fecha de presentación de la solicitud.</w:t>
      </w:r>
    </w:p>
    <w:p w:rsidR="00000000" w:rsidDel="00000000" w:rsidP="00000000" w:rsidRDefault="00000000" w:rsidRPr="00000000" w14:paraId="000000A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la siguiente Tesis</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emitida por la Segunda Sala de la Suprema Corte de la Nación, que es del tenor literal siguiente: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i w:val="1"/>
          <w:iCs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AD">
      <w:pPr>
        <w:spacing w:after="360" w:before="240"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basta con el pronunciamiento emitido por el servidor público habilitado donde señala que la inscripción del acto referido en el Registro Estatal de Inspectores, se encuentra en proceso, para tener por satisfecho el requerimiento de información,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rsidR="00000000" w:rsidDel="00000000" w:rsidP="00000000" w:rsidRDefault="00000000" w:rsidRPr="00000000" w14:paraId="000000AE">
      <w:pPr>
        <w:spacing w:after="360" w:before="240"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menos aún, los Sujetos Obligados se encuentran obligados a generar documentos a fin de atender las solicitudes de acceso a la información que les sean formuladas, tal y como se desprende del mismo texto del artículo 12 de la Ley de la Materia en consulta.</w:t>
      </w:r>
    </w:p>
    <w:p w:rsidR="00000000" w:rsidDel="00000000" w:rsidP="00000000" w:rsidRDefault="00000000" w:rsidRPr="00000000" w14:paraId="000000AF">
      <w:pPr>
        <w:spacing w:after="360" w:before="240"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Pleno considera necesario dejar claro que, al haber existido un pronunciamiento por parte del Servidor Público Habilitado competente, a fin de dar respuesta al requerimiento planteado, éste no está facultado para manifestarse sobre la veracidad de la información proporcionada, conforme lo prevé el artículo 36 de la Ley de Transparencia y Acceso a la Información Pública del Estado de México y Municipios, pues no existe precepto legal alguno en la Ley de la Materia que permita que, vía recurso de revisión, se pronuncie al respecto.</w:t>
      </w:r>
    </w:p>
    <w:p w:rsidR="00000000" w:rsidDel="00000000" w:rsidP="00000000" w:rsidRDefault="00000000" w:rsidRPr="00000000" w14:paraId="000000B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bCs w:val="1"/>
          <w:sz w:val="22"/>
          <w:szCs w:val="22"/>
          <w:rtl w:val="0"/>
        </w:rPr>
        <w:t xml:space="preserve">inciso i,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punto 1, </w:t>
      </w:r>
      <w:r w:rsidDel="00000000" w:rsidR="00000000" w:rsidRPr="00000000">
        <w:rPr>
          <w:rFonts w:ascii="Palatino Linotype" w:cs="Palatino Linotype" w:eastAsia="Palatino Linotype" w:hAnsi="Palatino Linotype"/>
          <w:sz w:val="22"/>
          <w:szCs w:val="22"/>
          <w:rtl w:val="0"/>
        </w:rPr>
        <w:t xml:space="preserve">mediante el cual se requirió el fundamento jurídico en el cual el Coordinador de Comercio en Vía Pública y Mercado basó su actuación para que en la garantía de audiencia que refirió en respuesta a la solicitud 00044/MARTIPIR/IP/2025, acordara iniciar el trámite de regularización del establecimiento referido, el cual guarda relación con el </w:t>
      </w:r>
      <w:r w:rsidDel="00000000" w:rsidR="00000000" w:rsidRPr="00000000">
        <w:rPr>
          <w:rFonts w:ascii="Palatino Linotype" w:cs="Palatino Linotype" w:eastAsia="Palatino Linotype" w:hAnsi="Palatino Linotype"/>
          <w:b w:val="1"/>
          <w:bCs w:val="1"/>
          <w:sz w:val="22"/>
          <w:szCs w:val="22"/>
          <w:rtl w:val="0"/>
        </w:rPr>
        <w:t xml:space="preserve">punto 4</w:t>
      </w:r>
      <w:r w:rsidDel="00000000" w:rsidR="00000000" w:rsidRPr="00000000">
        <w:rPr>
          <w:rFonts w:ascii="Palatino Linotype" w:cs="Palatino Linotype" w:eastAsia="Palatino Linotype" w:hAnsi="Palatino Linotype"/>
          <w:sz w:val="22"/>
          <w:szCs w:val="22"/>
          <w:rtl w:val="0"/>
        </w:rPr>
        <w:t xml:space="preserve"> de la solicitud, en el que se requirió el fundamento jurídico del por qué no se suspendió la actividad del establecimiento referido en el cual se venden bebidas alcohólicas, al efectuar la visita de verificación por parte de la autoridad municipal, si de dicha unidad económica no existe registro de licencia para el establecimiento citado</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si bien </w:t>
      </w:r>
      <w:r w:rsidDel="00000000" w:rsidR="00000000" w:rsidRPr="00000000">
        <w:rPr>
          <w:rFonts w:ascii="Palatino Linotype" w:cs="Palatino Linotype" w:eastAsia="Palatino Linotype" w:hAnsi="Palatino Linotype"/>
          <w:b w:val="1"/>
          <w:bCs w:val="1"/>
          <w:sz w:val="22"/>
          <w:szCs w:val="22"/>
          <w:rtl w:val="0"/>
        </w:rPr>
        <w:t xml:space="preserve">el servidor público habilitado manifestó que este no era el encargado de llevar a cabo Garantía de Audiencia</w:t>
      </w:r>
      <w:r w:rsidDel="00000000" w:rsidR="00000000" w:rsidRPr="00000000">
        <w:rPr>
          <w:rFonts w:ascii="Palatino Linotype" w:cs="Palatino Linotype" w:eastAsia="Palatino Linotype" w:hAnsi="Palatino Linotype"/>
          <w:sz w:val="22"/>
          <w:szCs w:val="22"/>
          <w:rtl w:val="0"/>
        </w:rPr>
        <w:t xml:space="preserve">, no debe perderse de vista que como parte de la respuesta hizo referencia al artículo 14 Constitución Política de los Estados Unidos Mexicanos, en el cual establece el derecho primordial de toda persona para ser escuchada y ejercer los medios de defensa que a su derecho convengan.</w:t>
      </w:r>
    </w:p>
    <w:p w:rsidR="00000000" w:rsidDel="00000000" w:rsidP="00000000" w:rsidRDefault="00000000" w:rsidRPr="00000000" w14:paraId="000000B1">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la garantía de audiencia es un derecho fundamental que protege a las personas frente a actos de autoridad que puedan afectar sus derechos o intereses. En términos simples, significa que nadie puede ser afectado por una decisión de la autoridad sin antes tener la oportunidad de ser escuchado y defenderse, de conformidad con el artículo 14 de la Constitución Política de los Estados Unidos Mexicanos, que a la letra señala lo siguiente.</w:t>
      </w:r>
    </w:p>
    <w:p w:rsidR="00000000" w:rsidDel="00000000" w:rsidP="00000000" w:rsidRDefault="00000000" w:rsidRPr="00000000" w14:paraId="000000B2">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w:t>
      </w:r>
      <w:r w:rsidDel="00000000" w:rsidR="00000000" w:rsidRPr="00000000">
        <w:rPr>
          <w:rFonts w:ascii="Palatino Linotype" w:cs="Palatino Linotype" w:eastAsia="Palatino Linotype" w:hAnsi="Palatino Linotype"/>
          <w:i w:val="1"/>
          <w:iCs w:val="1"/>
          <w:sz w:val="22"/>
          <w:szCs w:val="22"/>
          <w:rtl w:val="0"/>
        </w:rPr>
        <w:t xml:space="preserve">. A ninguna ley se dará efecto retroactivo en perjuicio de persona alguna.</w:t>
      </w:r>
    </w:p>
    <w:p w:rsidR="00000000" w:rsidDel="00000000" w:rsidP="00000000" w:rsidRDefault="00000000" w:rsidRPr="00000000" w14:paraId="000000B3">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000000" w:rsidDel="00000000" w:rsidP="00000000" w:rsidRDefault="00000000" w:rsidRPr="00000000" w14:paraId="000000B4">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hizo referencia al artículo 129 del Código de Procedimientos Administrativos del Estado de México, el cual, en su parte conducente dispone lo siguiente:</w:t>
      </w:r>
    </w:p>
    <w:p w:rsidR="00000000" w:rsidDel="00000000" w:rsidP="00000000" w:rsidRDefault="00000000" w:rsidRPr="00000000" w14:paraId="000000B6">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129.</w:t>
      </w:r>
      <w:r w:rsidDel="00000000" w:rsidR="00000000" w:rsidRPr="00000000">
        <w:rPr>
          <w:rFonts w:ascii="Palatino Linotype" w:cs="Palatino Linotype" w:eastAsia="Palatino Linotype" w:hAnsi="Palatino Linotype"/>
          <w:i w:val="1"/>
          <w:iCs w:val="1"/>
          <w:sz w:val="22"/>
          <w:szCs w:val="22"/>
          <w:rtl w:val="0"/>
        </w:rPr>
        <w:t xml:space="preserve">- Tratándose de la aplicación de sanciones y de la emisión de otros actos administrativos que priven a los particulares de la libertad, propiedades, posesiones o derechos,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se otorgará previamente a los mismos la garantía de audiencia</w:t>
      </w:r>
      <w:r w:rsidDel="00000000" w:rsidR="00000000" w:rsidRPr="00000000">
        <w:rPr>
          <w:rFonts w:ascii="Palatino Linotype" w:cs="Palatino Linotype" w:eastAsia="Palatino Linotype" w:hAnsi="Palatino Linotype"/>
          <w:i w:val="1"/>
          <w:iCs w:val="1"/>
          <w:sz w:val="22"/>
          <w:szCs w:val="22"/>
          <w:rtl w:val="0"/>
        </w:rPr>
        <w:t xml:space="preserve">, conforme a las siguientes reglas:</w:t>
      </w:r>
    </w:p>
    <w:p w:rsidR="00000000" w:rsidDel="00000000" w:rsidP="00000000" w:rsidRDefault="00000000" w:rsidRPr="00000000" w14:paraId="000000B7">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B8">
      <w:pPr>
        <w:tabs>
          <w:tab w:val="left" w:leader="none" w:pos="3544"/>
        </w:tabs>
        <w:spacing w:after="240" w:before="240" w:line="360" w:lineRule="auto"/>
        <w:ind w:right="49"/>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Del precepto en cita se desprende que para la aplicación de sanciones o la emisión de actos que priven a los particulares de la libertad, propiedades, posesiones p derechos, </w:t>
      </w:r>
      <w:r w:rsidDel="00000000" w:rsidR="00000000" w:rsidRPr="00000000">
        <w:rPr>
          <w:rFonts w:ascii="Palatino Linotype" w:cs="Palatino Linotype" w:eastAsia="Palatino Linotype" w:hAnsi="Palatino Linotype"/>
          <w:b w:val="1"/>
          <w:bCs w:val="1"/>
          <w:sz w:val="22"/>
          <w:szCs w:val="22"/>
          <w:u w:val="single"/>
          <w:rtl w:val="0"/>
        </w:rPr>
        <w:t xml:space="preserve">les debe ser concedida la garantía de audiencia de manera previa.</w:t>
      </w:r>
    </w:p>
    <w:p w:rsidR="00000000" w:rsidDel="00000000" w:rsidP="00000000" w:rsidRDefault="00000000" w:rsidRPr="00000000" w14:paraId="000000B9">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si bien en el caso concreto el Coordinador de Comercio en Vía Pública y Mercado manifestó no ser el responsable de llevar a cabo la garantía de audiencia, si hizo referencia al fundamento jurídico correspondiente, tal y como se advierte en la respuesta proporcionada al punto 4 de la de la solicitud, con lo cual se tienen por satisfechos los requerimientos de información en análisis.</w:t>
      </w:r>
    </w:p>
    <w:p w:rsidR="00000000" w:rsidDel="00000000" w:rsidP="00000000" w:rsidRDefault="00000000" w:rsidRPr="00000000" w14:paraId="000000BA">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al </w:t>
      </w:r>
      <w:r w:rsidDel="00000000" w:rsidR="00000000" w:rsidRPr="00000000">
        <w:rPr>
          <w:rFonts w:ascii="Palatino Linotype" w:cs="Palatino Linotype" w:eastAsia="Palatino Linotype" w:hAnsi="Palatino Linotype"/>
          <w:b w:val="1"/>
          <w:bCs w:val="1"/>
          <w:sz w:val="22"/>
          <w:szCs w:val="22"/>
          <w:rtl w:val="0"/>
        </w:rPr>
        <w:t xml:space="preserve">punto 5</w:t>
      </w:r>
      <w:r w:rsidDel="00000000" w:rsidR="00000000" w:rsidRPr="00000000">
        <w:rPr>
          <w:rFonts w:ascii="Palatino Linotype" w:cs="Palatino Linotype" w:eastAsia="Palatino Linotype" w:hAnsi="Palatino Linotype"/>
          <w:sz w:val="22"/>
          <w:szCs w:val="22"/>
          <w:rtl w:val="0"/>
        </w:rPr>
        <w:t xml:space="preserve"> de la solicitud, mediante el cual se requirió la entrega del cargo y adscripción del C. Luis Gerardo Gutiérrez Téllez, es de señalar que si bien fue el mismo servidor público quien indicó que se ostenta como Titular de la Unidad de Transparencia, es de señalar que dicha respuesta se sustenta con los mismos oficios proporcionados en respuesta, donde se advierte el cargo de dicho servidor público:</w:t>
      </w:r>
    </w:p>
    <w:p w:rsidR="00000000" w:rsidDel="00000000" w:rsidP="00000000" w:rsidRDefault="00000000" w:rsidRPr="00000000" w14:paraId="000000BB">
      <w:pPr>
        <w:spacing w:after="280" w:before="28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860000" cy="1171833"/>
            <wp:effectExtent b="0" l="0" r="0" t="0"/>
            <wp:docPr id="5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860000" cy="117183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que es coincidente con lo publicado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portal de Información Pública de Oficio Mexiquense, IPOMEX, en cumplimiento a la obligación de transparencia prevista en el artículo 92, fracción VIII de la Ley de Transparencia y Acceso a la Información Pública del Estado de México y Municipios, que es del tenor literal siguiente:</w:t>
      </w:r>
    </w:p>
    <w:p w:rsidR="00000000" w:rsidDel="00000000" w:rsidP="00000000" w:rsidRDefault="00000000" w:rsidRPr="00000000" w14:paraId="000000BD">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br w:type="textWrapping"/>
        <w:t xml:space="preserve">...</w:t>
      </w:r>
    </w:p>
    <w:p w:rsidR="00000000" w:rsidDel="00000000" w:rsidP="00000000" w:rsidRDefault="00000000" w:rsidRPr="00000000" w14:paraId="000000BE">
      <w:pPr>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BF">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a continuación se ilustra:</w:t>
      </w:r>
    </w:p>
    <w:p w:rsidR="00000000" w:rsidDel="00000000" w:rsidP="00000000" w:rsidRDefault="00000000" w:rsidRPr="00000000" w14:paraId="000000C0">
      <w:pPr>
        <w:spacing w:after="280" w:before="28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860000" cy="1898248"/>
            <wp:effectExtent b="0" l="0" r="0" t="0"/>
            <wp:docPr id="5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860000" cy="18982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724852</wp:posOffset>
                </wp:positionH>
                <wp:positionV relativeFrom="paragraph">
                  <wp:posOffset>1397635</wp:posOffset>
                </wp:positionV>
                <wp:extent cx="4162425" cy="533400"/>
                <wp:effectExtent b="0" l="0" r="0" t="0"/>
                <wp:wrapNone/>
                <wp:docPr id="47" name=""/>
                <a:graphic>
                  <a:graphicData uri="http://schemas.microsoft.com/office/word/2010/wordprocessingShape">
                    <wps:wsp>
                      <wps:cNvSpPr/>
                      <wps:cNvPr id="3" name="Shape 3"/>
                      <wps:spPr>
                        <a:xfrm>
                          <a:off x="3283838" y="3532350"/>
                          <a:ext cx="4124325" cy="49530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724852</wp:posOffset>
                </wp:positionH>
                <wp:positionV relativeFrom="paragraph">
                  <wp:posOffset>1397635</wp:posOffset>
                </wp:positionV>
                <wp:extent cx="4162425" cy="533400"/>
                <wp:effectExtent b="0" l="0" r="0" t="0"/>
                <wp:wrapNone/>
                <wp:docPr id="4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4162425" cy="533400"/>
                        </a:xfrm>
                        <a:prstGeom prst="rect"/>
                        <a:ln/>
                      </pic:spPr>
                    </pic:pic>
                  </a:graphicData>
                </a:graphic>
              </wp:anchor>
            </w:drawing>
          </mc:Fallback>
        </mc:AlternateContent>
      </w:r>
    </w:p>
    <w:p w:rsidR="00000000" w:rsidDel="00000000" w:rsidP="00000000" w:rsidRDefault="00000000" w:rsidRPr="00000000" w14:paraId="000000C1">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el pronunciamiento emitido por el servidor público es suficiente para tener por satisfecho el requerimiento en análisis.</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w:t>
      </w:r>
      <w:r w:rsidDel="00000000" w:rsidR="00000000" w:rsidRPr="00000000">
        <w:rPr>
          <w:rFonts w:ascii="Palatino Linotype" w:cs="Palatino Linotype" w:eastAsia="Palatino Linotype" w:hAnsi="Palatino Linotype"/>
          <w:b w:val="1"/>
          <w:bCs w:val="1"/>
          <w:sz w:val="22"/>
          <w:szCs w:val="22"/>
          <w:rtl w:val="0"/>
        </w:rPr>
        <w:t xml:space="preserve">punto 7</w:t>
      </w:r>
      <w:r w:rsidDel="00000000" w:rsidR="00000000" w:rsidRPr="00000000">
        <w:rPr>
          <w:rFonts w:ascii="Palatino Linotype" w:cs="Palatino Linotype" w:eastAsia="Palatino Linotype" w:hAnsi="Palatino Linotype"/>
          <w:sz w:val="22"/>
          <w:szCs w:val="22"/>
          <w:rtl w:val="0"/>
        </w:rPr>
        <w:t xml:space="preserve">, mediante el cual se solicitó el salario neto del Coordinaros de Comercio en Vía Pública y Mercado, debe puntualizarse que si bien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 la Tesorería Municipal, </w:t>
      </w:r>
      <w:r w:rsidDel="00000000" w:rsidR="00000000" w:rsidRPr="00000000">
        <w:rPr>
          <w:rFonts w:ascii="Palatino Linotype" w:cs="Palatino Linotype" w:eastAsia="Palatino Linotype" w:hAnsi="Palatino Linotype"/>
          <w:b w:val="1"/>
          <w:bCs w:val="1"/>
          <w:sz w:val="22"/>
          <w:szCs w:val="22"/>
          <w:rtl w:val="0"/>
        </w:rPr>
        <w:t xml:space="preserve">proporcionó el monto que corresponde con el </w:t>
      </w:r>
      <w:r w:rsidDel="00000000" w:rsidR="00000000" w:rsidRPr="00000000">
        <w:rPr>
          <w:rFonts w:ascii="Palatino Linotype" w:cs="Palatino Linotype" w:eastAsia="Palatino Linotype" w:hAnsi="Palatino Linotype"/>
          <w:b w:val="1"/>
          <w:bCs w:val="1"/>
          <w:sz w:val="22"/>
          <w:szCs w:val="22"/>
          <w:u w:val="single"/>
          <w:rtl w:val="0"/>
        </w:rPr>
        <w:t xml:space="preserve">sueldo neto quincenal</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es posible conocer el monto neto mensual que el servidores público percibe al duplicar la cantidad proporcionada.</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Como sustento a lo anterior, no obsta mencionar que este Organismo Garante procedió a la consulta de la información publicada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portal de Información Pública de Oficio Mexiquense en cumplimiento a la obligación de transparencia prevista en el artículo 92, fracción VIII de la Ley de Transparencia y Acceso a la Información Pública del Estado de México y Municipios, referido con antelación.</w:t>
      </w:r>
      <w:r w:rsidDel="00000000" w:rsidR="00000000" w:rsidRPr="00000000">
        <w:rPr>
          <w:rtl w:val="0"/>
        </w:rPr>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de dicha consulta se advirtió que el monto neto quincenal proporcionado guarda relación con el monto neto mensual publicado en el referido portal, es decir, el monto neto mensual corresponde al doble del monto neto quincenal proporcionado, como a continuación se ilustra:</w:t>
      </w:r>
    </w:p>
    <w:p w:rsidR="00000000" w:rsidDel="00000000" w:rsidP="00000000" w:rsidRDefault="00000000" w:rsidRPr="00000000" w14:paraId="000000C5">
      <w:pPr>
        <w:tabs>
          <w:tab w:val="left" w:leader="none" w:pos="3544"/>
        </w:tabs>
        <w:spacing w:after="240" w:before="24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Pr>
        <w:drawing>
          <wp:inline distB="0" distT="0" distL="0" distR="0">
            <wp:extent cx="4860000" cy="2208392"/>
            <wp:effectExtent b="0" l="0" r="0" t="0"/>
            <wp:docPr id="5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860000" cy="22083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724852</wp:posOffset>
                </wp:positionH>
                <wp:positionV relativeFrom="paragraph">
                  <wp:posOffset>1887220</wp:posOffset>
                </wp:positionV>
                <wp:extent cx="4162425" cy="342900"/>
                <wp:effectExtent b="0" l="0" r="0" t="0"/>
                <wp:wrapNone/>
                <wp:docPr id="46" name=""/>
                <a:graphic>
                  <a:graphicData uri="http://schemas.microsoft.com/office/word/2010/wordprocessingShape">
                    <wps:wsp>
                      <wps:cNvSpPr/>
                      <wps:cNvPr id="2" name="Shape 2"/>
                      <wps:spPr>
                        <a:xfrm>
                          <a:off x="3283838" y="3627600"/>
                          <a:ext cx="4124325" cy="30480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240" w:before="240" w:line="240"/>
                              <w:ind w:left="850.9999847412109" w:right="900" w:firstLine="850.9999847412109"/>
                              <w:jc w:val="both"/>
                              <w:textDirection w:val="btLr"/>
                            </w:pPr>
                            <w:r w:rsidDel="00000000" w:rsidR="00000000" w:rsidRPr="00000000">
                              <w:rPr>
                                <w:rFonts w:ascii="Palatino Linotype" w:cs="Palatino Linotype" w:eastAsia="Palatino Linotype" w:hAnsi="Palatino Linotype"/>
                                <w:b w:val="1"/>
                                <w:i w:val="1"/>
                                <w:smallCaps w:val="0"/>
                                <w:strike w:val="0"/>
                                <w:color w:val="000000"/>
                                <w:sz w:val="22"/>
                                <w:vertAlign w:val="baseline"/>
                              </w:rPr>
                              <w:t xml:space="preserve"> “Artículo 92.</w:t>
                            </w:r>
                            <w:r w:rsidDel="00000000" w:rsidR="00000000" w:rsidRPr="00000000">
                              <w:rPr>
                                <w:rFonts w:ascii="Palatino Linotype" w:cs="Palatino Linotype" w:eastAsia="Palatino Linotype" w:hAnsi="Palatino Linotype"/>
                                <w:b w:val="0"/>
                                <w:i w:val="1"/>
                                <w:smallCaps w:val="0"/>
                                <w:strike w:val="0"/>
                                <w:color w:val="000000"/>
                                <w:sz w:val="22"/>
                                <w:vertAlign w:val="baselin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pPr>
                              <w:spacing w:after="240" w:before="240" w:line="240"/>
                              <w:ind w:left="850.9999847412109" w:right="900" w:firstLine="850.9999847412109"/>
                              <w:jc w:val="both"/>
                              <w:textDirection w:val="btLr"/>
                            </w:pPr>
                            <w:r w:rsidDel="00000000" w:rsidR="00000000" w:rsidRPr="00000000">
                              <w:rPr>
                                <w:rFonts w:ascii="Palatino Linotype" w:cs="Palatino Linotype" w:eastAsia="Palatino Linotype" w:hAnsi="Palatino Linotype"/>
                                <w:b w:val="0"/>
                                <w:i w:val="1"/>
                                <w:smallCaps w:val="0"/>
                                <w:strike w:val="0"/>
                                <w:color w:val="000000"/>
                                <w:sz w:val="22"/>
                                <w:vertAlign w:val="baseline"/>
                              </w:rPr>
                            </w:r>
                            <w:r w:rsidDel="00000000" w:rsidR="00000000" w:rsidRPr="00000000">
                              <w:rPr>
                                <w:rFonts w:ascii="Palatino Linotype" w:cs="Palatino Linotype" w:eastAsia="Palatino Linotype" w:hAnsi="Palatino Linotype"/>
                                <w:b w:val="1"/>
                                <w:i w:val="1"/>
                                <w:smallCaps w:val="0"/>
                                <w:strike w:val="0"/>
                                <w:color w:val="000000"/>
                                <w:sz w:val="22"/>
                                <w:vertAlign w:val="baseline"/>
                              </w:rPr>
                              <w:t xml:space="preserve">VIII.</w:t>
                            </w:r>
                            <w:r w:rsidDel="00000000" w:rsidR="00000000" w:rsidRPr="00000000">
                              <w:rPr>
                                <w:rFonts w:ascii="Palatino Linotype" w:cs="Palatino Linotype" w:eastAsia="Palatino Linotype" w:hAnsi="Palatino Linotype"/>
                                <w:b w:val="0"/>
                                <w:i w:val="1"/>
                                <w:smallCaps w:val="0"/>
                                <w:strike w:val="0"/>
                                <w:color w:val="000000"/>
                                <w:sz w:val="22"/>
                                <w:vertAlign w:val="baseline"/>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1"/>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724852</wp:posOffset>
                </wp:positionH>
                <wp:positionV relativeFrom="paragraph">
                  <wp:posOffset>1887220</wp:posOffset>
                </wp:positionV>
                <wp:extent cx="4162425" cy="342900"/>
                <wp:effectExtent b="0" l="0" r="0" t="0"/>
                <wp:wrapNone/>
                <wp:docPr id="46"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4162425" cy="342900"/>
                        </a:xfrm>
                        <a:prstGeom prst="rect"/>
                        <a:ln/>
                      </pic:spPr>
                    </pic:pic>
                  </a:graphicData>
                </a:graphic>
              </wp:anchor>
            </w:drawing>
          </mc:Fallback>
        </mc:AlternateContent>
      </w:r>
    </w:p>
    <w:p w:rsidR="00000000" w:rsidDel="00000000" w:rsidP="00000000" w:rsidRDefault="00000000" w:rsidRPr="00000000" w14:paraId="000000C6">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se considera que al haber proporcionado el sueldo neto quincenal del Coordinador de Comercio en Vía Pública y Mercado, el cual es equivalente a $4,115.32,</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z w:val="22"/>
          <w:szCs w:val="22"/>
          <w:rtl w:val="0"/>
        </w:rPr>
        <w:t xml:space="preserve"> requerimiento en análisis ha quedado atendido.</w:t>
      </w:r>
    </w:p>
    <w:p w:rsidR="00000000" w:rsidDel="00000000" w:rsidP="00000000" w:rsidRDefault="00000000" w:rsidRPr="00000000" w14:paraId="000000C7">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lo que se refiere al </w:t>
      </w:r>
      <w:r w:rsidDel="00000000" w:rsidR="00000000" w:rsidRPr="00000000">
        <w:rPr>
          <w:rFonts w:ascii="Palatino Linotype" w:cs="Palatino Linotype" w:eastAsia="Palatino Linotype" w:hAnsi="Palatino Linotype"/>
          <w:b w:val="1"/>
          <w:bCs w:val="1"/>
          <w:sz w:val="22"/>
          <w:szCs w:val="22"/>
          <w:rtl w:val="0"/>
        </w:rPr>
        <w:t xml:space="preserve">inciso a, </w:t>
      </w:r>
      <w:r w:rsidDel="00000000" w:rsidR="00000000" w:rsidRPr="00000000">
        <w:rPr>
          <w:rFonts w:ascii="Palatino Linotype" w:cs="Palatino Linotype" w:eastAsia="Palatino Linotype" w:hAnsi="Palatino Linotype"/>
          <w:sz w:val="22"/>
          <w:szCs w:val="22"/>
          <w:rtl w:val="0"/>
        </w:rPr>
        <w:t xml:space="preserve">del</w:t>
      </w:r>
      <w:r w:rsidDel="00000000" w:rsidR="00000000" w:rsidRPr="00000000">
        <w:rPr>
          <w:rFonts w:ascii="Palatino Linotype" w:cs="Palatino Linotype" w:eastAsia="Palatino Linotype" w:hAnsi="Palatino Linotype"/>
          <w:b w:val="1"/>
          <w:bCs w:val="1"/>
          <w:sz w:val="22"/>
          <w:szCs w:val="22"/>
          <w:rtl w:val="0"/>
        </w:rPr>
        <w:t xml:space="preserve"> punto 1; </w:t>
      </w:r>
      <w:r w:rsidDel="00000000" w:rsidR="00000000" w:rsidRPr="00000000">
        <w:rPr>
          <w:rFonts w:ascii="Palatino Linotype" w:cs="Palatino Linotype" w:eastAsia="Palatino Linotype" w:hAnsi="Palatino Linotype"/>
          <w:sz w:val="22"/>
          <w:szCs w:val="22"/>
          <w:rtl w:val="0"/>
        </w:rPr>
        <w:t xml:space="preserve">así como los</w:t>
      </w:r>
      <w:r w:rsidDel="00000000" w:rsidR="00000000" w:rsidRPr="00000000">
        <w:rPr>
          <w:rFonts w:ascii="Palatino Linotype" w:cs="Palatino Linotype" w:eastAsia="Palatino Linotype" w:hAnsi="Palatino Linotype"/>
          <w:b w:val="1"/>
          <w:bCs w:val="1"/>
          <w:sz w:val="22"/>
          <w:szCs w:val="22"/>
          <w:rtl w:val="0"/>
        </w:rPr>
        <w:t xml:space="preserve"> puntos 2 y 3, </w:t>
      </w:r>
      <w:r w:rsidDel="00000000" w:rsidR="00000000" w:rsidRPr="00000000">
        <w:rPr>
          <w:rFonts w:ascii="Palatino Linotype" w:cs="Palatino Linotype" w:eastAsia="Palatino Linotype" w:hAnsi="Palatino Linotype"/>
          <w:sz w:val="22"/>
          <w:szCs w:val="22"/>
          <w:rtl w:val="0"/>
        </w:rPr>
        <w:t xml:space="preserve">mediante los cuales se requirió la entrega del fundamento legal íntegro de naturaleza estatal y municipal, en el cual el Coordinador de Comercio en Vía Pública y Mercado basó su actuación para llevar a cabo la visita de verificación administrativa al establecimiento referido; el documento es necesario para que una unidad económica de naturaleza establecida, pueda llevar a cabo le venta de bebidas alcohólicas sea cual sea su graduación, así sea que sólo venda de las denominadas “pollas”, y la consecuencia jurídica si en el Municipio de San Martín de las Pirámides, México, una unidad económica de naturaleza establecida, lleva a cabo la venta de bebidas alcohólicas, sea cual sea su graduación, sin la licencia de funcionamiento vigente; es de señalar que el servidor público habilitado refirió diversos artículos de la Constitución Política del Estado Libre y Soberano del Estado de México, el Código Financiero del Estado de México y Municipios, el Código Administrativo del Estado de México, el Código de Procedimientos Administrativos del Estado de México, la Ley Orgánica Municipal del Estado de México, la Ley de Competitividad y Ordenamiento Comercial del Estado de México, así como el Bando Municipal de San Martín de las Pirámides, indicando que estos regulan las formalidades en las visitas de verificación, los requisitos necesarios para que una unidad económica pueda vender bebidas alcohólicas, así como las consecuencias de llevar a cabo la venta de bebidas alcohólicas sin licencia de funcionamiento, sin embargo, se limitó a citar los artículos sin referir el contenido de los mismos, o en su defecto el procedimiento para llevar a cabo la consulta de los ordenamientos citados.</w:t>
      </w:r>
    </w:p>
    <w:p w:rsidR="00000000" w:rsidDel="00000000" w:rsidP="00000000" w:rsidRDefault="00000000" w:rsidRPr="00000000" w14:paraId="000000C8">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se estima que no pueden tenerse por satisfechos los puntos en análisis, ya que al no haberse hecho del conocimiento de la persona solicitante el contenido de los artículos citados, no es posible dar certeza de que estos efectivamente den cuenta de lo solicitado.</w:t>
      </w:r>
    </w:p>
    <w:p w:rsidR="00000000" w:rsidDel="00000000" w:rsidP="00000000" w:rsidRDefault="00000000" w:rsidRPr="00000000" w14:paraId="000000C9">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toda vez que el servidor público habilitado asumió contar con la información que da respuesta a los puntos en análisis, se estima dable ordenar la entrega del soporte documental correspondiente.  </w:t>
      </w:r>
    </w:p>
    <w:p w:rsidR="00000000" w:rsidDel="00000000" w:rsidP="00000000" w:rsidRDefault="00000000" w:rsidRPr="00000000" w14:paraId="000000CA">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refiere al </w:t>
      </w:r>
      <w:r w:rsidDel="00000000" w:rsidR="00000000" w:rsidRPr="00000000">
        <w:rPr>
          <w:rFonts w:ascii="Palatino Linotype" w:cs="Palatino Linotype" w:eastAsia="Palatino Linotype" w:hAnsi="Palatino Linotype"/>
          <w:b w:val="1"/>
          <w:bCs w:val="1"/>
          <w:sz w:val="22"/>
          <w:szCs w:val="22"/>
          <w:rtl w:val="0"/>
        </w:rPr>
        <w:t xml:space="preserve">inciso b,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punto 1, </w:t>
      </w:r>
      <w:r w:rsidDel="00000000" w:rsidR="00000000" w:rsidRPr="00000000">
        <w:rPr>
          <w:rFonts w:ascii="Palatino Linotype" w:cs="Palatino Linotype" w:eastAsia="Palatino Linotype" w:hAnsi="Palatino Linotype"/>
          <w:sz w:val="22"/>
          <w:szCs w:val="22"/>
          <w:rtl w:val="0"/>
        </w:rPr>
        <w:t xml:space="preserve">el servidor público habilitado indicó que la visita de verificación se llevó a cabo en el mes de marzo de 2025, no proporciono la fecha completa al no señalar de manera clara el día.</w:t>
      </w:r>
    </w:p>
    <w:p w:rsidR="00000000" w:rsidDel="00000000" w:rsidP="00000000" w:rsidRDefault="00000000" w:rsidRPr="00000000" w14:paraId="000000CB">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se estima que para tener por satisfecho el requerimiento de información, se deberá proporcionar el soporte documental que dé cuenta de la fecha completa en la cual le realizó la visita de verificación al establecimiento referido en la solicitud.</w:t>
      </w:r>
    </w:p>
    <w:p w:rsidR="00000000" w:rsidDel="00000000" w:rsidP="00000000" w:rsidRDefault="00000000" w:rsidRPr="00000000" w14:paraId="000000CC">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concierne al </w:t>
      </w:r>
      <w:r w:rsidDel="00000000" w:rsidR="00000000" w:rsidRPr="00000000">
        <w:rPr>
          <w:rFonts w:ascii="Palatino Linotype" w:cs="Palatino Linotype" w:eastAsia="Palatino Linotype" w:hAnsi="Palatino Linotype"/>
          <w:b w:val="1"/>
          <w:bCs w:val="1"/>
          <w:sz w:val="22"/>
          <w:szCs w:val="22"/>
          <w:rtl w:val="0"/>
        </w:rPr>
        <w:t xml:space="preserve">inciso d,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punto 1 </w:t>
      </w:r>
      <w:r w:rsidDel="00000000" w:rsidR="00000000" w:rsidRPr="00000000">
        <w:rPr>
          <w:rFonts w:ascii="Palatino Linotype" w:cs="Palatino Linotype" w:eastAsia="Palatino Linotype" w:hAnsi="Palatino Linotype"/>
          <w:sz w:val="22"/>
          <w:szCs w:val="22"/>
          <w:rtl w:val="0"/>
        </w:rPr>
        <w:t xml:space="preserve">en el cual se solicitó la entrega de los gafetes, credenciales o identificaciones de los servidores públicos en función de verificadores, que realizaron la visita de verificación administrativa al establecimiento referido en la solicitud, debe mencionarse que si bien se hizo entrega de los gafetes de los tres servidores públicos que realizaron la visita de inspección, estos se digitalizaron por un solo lado, sin que se advierta por ejemplo, si estos cuentan con la firma de la autoridad que los otorga para darles validez, por consiguiente, para tener por satisfecho el punto en análisis, es necesario que se haga entrega de los gafetes completos, en versión pública de ser necesario de conformidad con el considerando siguiente.</w:t>
      </w:r>
    </w:p>
    <w:p w:rsidR="00000000" w:rsidDel="00000000" w:rsidP="00000000" w:rsidRDefault="00000000" w:rsidRPr="00000000" w14:paraId="000000CD">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en lo que respecta a los </w:t>
      </w:r>
      <w:r w:rsidDel="00000000" w:rsidR="00000000" w:rsidRPr="00000000">
        <w:rPr>
          <w:rFonts w:ascii="Palatino Linotype" w:cs="Palatino Linotype" w:eastAsia="Palatino Linotype" w:hAnsi="Palatino Linotype"/>
          <w:b w:val="1"/>
          <w:bCs w:val="1"/>
          <w:sz w:val="22"/>
          <w:szCs w:val="22"/>
          <w:rtl w:val="0"/>
        </w:rPr>
        <w:t xml:space="preserve">incisos e, f, y g,</w:t>
      </w:r>
      <w:r w:rsidDel="00000000" w:rsidR="00000000" w:rsidRPr="00000000">
        <w:rPr>
          <w:rFonts w:ascii="Palatino Linotype" w:cs="Palatino Linotype" w:eastAsia="Palatino Linotype" w:hAnsi="Palatino Linotype"/>
          <w:sz w:val="22"/>
          <w:szCs w:val="22"/>
          <w:rtl w:val="0"/>
        </w:rPr>
        <w:t xml:space="preserve"> del </w:t>
      </w:r>
      <w:r w:rsidDel="00000000" w:rsidR="00000000" w:rsidRPr="00000000">
        <w:rPr>
          <w:rFonts w:ascii="Palatino Linotype" w:cs="Palatino Linotype" w:eastAsia="Palatino Linotype" w:hAnsi="Palatino Linotype"/>
          <w:b w:val="1"/>
          <w:bCs w:val="1"/>
          <w:sz w:val="22"/>
          <w:szCs w:val="22"/>
          <w:rtl w:val="0"/>
        </w:rPr>
        <w:t xml:space="preserve">punto 1</w:t>
      </w:r>
      <w:r w:rsidDel="00000000" w:rsidR="00000000" w:rsidRPr="00000000">
        <w:rPr>
          <w:rFonts w:ascii="Palatino Linotype" w:cs="Palatino Linotype" w:eastAsia="Palatino Linotype" w:hAnsi="Palatino Linotype"/>
          <w:sz w:val="22"/>
          <w:szCs w:val="22"/>
          <w:rtl w:val="0"/>
        </w:rPr>
        <w:t xml:space="preserve">, así como el </w:t>
      </w:r>
      <w:r w:rsidDel="00000000" w:rsidR="00000000" w:rsidRPr="00000000">
        <w:rPr>
          <w:rFonts w:ascii="Palatino Linotype" w:cs="Palatino Linotype" w:eastAsia="Palatino Linotype" w:hAnsi="Palatino Linotype"/>
          <w:b w:val="1"/>
          <w:bCs w:val="1"/>
          <w:sz w:val="22"/>
          <w:szCs w:val="22"/>
          <w:rtl w:val="0"/>
        </w:rPr>
        <w:t xml:space="preserve">punto 6 </w:t>
      </w:r>
      <w:r w:rsidDel="00000000" w:rsidR="00000000" w:rsidRPr="00000000">
        <w:rPr>
          <w:rFonts w:ascii="Palatino Linotype" w:cs="Palatino Linotype" w:eastAsia="Palatino Linotype" w:hAnsi="Palatino Linotype"/>
          <w:sz w:val="22"/>
          <w:szCs w:val="22"/>
          <w:rtl w:val="0"/>
        </w:rPr>
        <w:t xml:space="preserve">por medio de los cuales se solicitó el soporte documental generado con motivo de la visita de verificación administrativa al establecimiento referido, las constancias que integran el procedimiento administrativo generado con motivo de la visita de verificación administrativa al establecimiento referido, la orden de visita de verificación con motivo de la visita de verificación administrativa al establecimiento referido, así como el estado procedimental y número de procedimiento administrativo generado con motivo de la visita de verificación establecimiento referido,  es de señalar que el servidor público habilitado se limitó a referir que no era posible adjuntar dicha información, debido a la protección de datos personales, estando obligado a tutelar la privacidad de dichos datos en su poder de conformidad con los artículos 112 y 115 de la Ley General de Transparencia y Accesos a Información Pública; 25 y 26 de la Ley General de Protección de Datos Personales en Posesión de Sujetos Obligados; y 6, 140 y 143 de la Ley de Transparencia y Acceso a la Información Pública del Estado de México y Municipios, asimismo, que se encontraba en procedimiento administrativo, lo que se traduce en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restringió el Derecho de acceso a la información solicitada.</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lo cual implica necesariamente una clasificación,  en los términos de las causas legítimas y estrictamente necesarias previstas por la Ley, como se desprende del artículo 91 de la Ley de Transparencia y Acceso a la Información Pública del Estado de México y Municipios, que es del tenor literal siguiente:</w:t>
      </w:r>
    </w:p>
    <w:p w:rsidR="00000000" w:rsidDel="00000000" w:rsidP="00000000" w:rsidRDefault="00000000" w:rsidRPr="00000000" w14:paraId="000000CF">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 </w:t>
      </w:r>
      <w:r w:rsidDel="00000000" w:rsidR="00000000" w:rsidRPr="00000000">
        <w:rPr>
          <w:rFonts w:ascii="Palatino Linotype" w:cs="Palatino Linotype" w:eastAsia="Palatino Linotype" w:hAnsi="Palatino Linotype"/>
          <w:i w:val="1"/>
          <w:iCs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decirse que la Ley de Transparencia y Acceso a la Información Pública del Estado de México y Municipios, define como </w:t>
      </w:r>
      <w:r w:rsidDel="00000000" w:rsidR="00000000" w:rsidRPr="00000000">
        <w:rPr>
          <w:rFonts w:ascii="Palatino Linotype" w:cs="Palatino Linotype" w:eastAsia="Palatino Linotype" w:hAnsi="Palatino Linotype"/>
          <w:b w:val="1"/>
          <w:bCs w:val="1"/>
          <w:sz w:val="22"/>
          <w:szCs w:val="22"/>
          <w:rtl w:val="0"/>
        </w:rPr>
        <w:t xml:space="preserve">información reservada </w:t>
      </w:r>
      <w:r w:rsidDel="00000000" w:rsidR="00000000" w:rsidRPr="00000000">
        <w:rPr>
          <w:rFonts w:ascii="Palatino Linotype" w:cs="Palatino Linotype" w:eastAsia="Palatino Linotype" w:hAnsi="Palatino Linotype"/>
          <w:sz w:val="22"/>
          <w:szCs w:val="22"/>
          <w:rtl w:val="0"/>
        </w:rPr>
        <w:t xml:space="preserve">a la información pública clasificada con este carácter de manera temporal por las disposiciones de la Ley de la Materia, cuya divulgación puede causar daños a las  seguridad pública, y como </w:t>
      </w:r>
      <w:r w:rsidDel="00000000" w:rsidR="00000000" w:rsidRPr="00000000">
        <w:rPr>
          <w:rFonts w:ascii="Palatino Linotype" w:cs="Palatino Linotype" w:eastAsia="Palatino Linotype" w:hAnsi="Palatino Linotype"/>
          <w:b w:val="1"/>
          <w:bCs w:val="1"/>
          <w:sz w:val="22"/>
          <w:szCs w:val="22"/>
          <w:rtl w:val="0"/>
        </w:rPr>
        <w:t xml:space="preserve">información confidencial</w:t>
      </w:r>
      <w:r w:rsidDel="00000000" w:rsidR="00000000" w:rsidRPr="00000000">
        <w:rPr>
          <w:rFonts w:ascii="Palatino Linotype" w:cs="Palatino Linotype" w:eastAsia="Palatino Linotype" w:hAnsi="Palatino Linotype"/>
          <w:sz w:val="22"/>
          <w:szCs w:val="22"/>
          <w:rtl w:val="0"/>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refiere a la información clasificada como reservada, para que el acceso a la información pública pueda ser restringido, se deben actualizar los supuestos establecidos en el artículo 140 de la Ley de Transparencia y Acceso a la Información Pública del Estado de México y Municipios, que a la letra señala lo siguiente:</w:t>
      </w:r>
    </w:p>
    <w:p w:rsidR="00000000" w:rsidDel="00000000" w:rsidP="00000000" w:rsidRDefault="00000000" w:rsidRPr="00000000" w14:paraId="000000D3">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140</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D4">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Comprometa la seguridad pública y cuente con un propósito genuino y un efecto demostrable; </w:t>
      </w:r>
    </w:p>
    <w:p w:rsidR="00000000" w:rsidDel="00000000" w:rsidP="00000000" w:rsidRDefault="00000000" w:rsidRPr="00000000" w14:paraId="000000D5">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Pueda menoscabar la conducción de las negociaciones y relaciones internacionales; </w:t>
      </w:r>
    </w:p>
    <w:p w:rsidR="00000000" w:rsidDel="00000000" w:rsidP="00000000" w:rsidRDefault="00000000" w:rsidRPr="00000000" w14:paraId="000000D6">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000000" w:rsidDel="00000000" w:rsidP="00000000" w:rsidRDefault="00000000" w:rsidRPr="00000000" w14:paraId="000000D7">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Ponga en riesgo la vida, la seguridad o la salud de una persona física; </w:t>
      </w:r>
    </w:p>
    <w:p w:rsidR="00000000" w:rsidDel="00000000" w:rsidP="00000000" w:rsidRDefault="00000000" w:rsidRPr="00000000" w14:paraId="000000D8">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Aquella cuya divulgación obstruya o pueda causar un serio perjuicio a: </w:t>
      </w:r>
    </w:p>
    <w:p w:rsidR="00000000" w:rsidDel="00000000" w:rsidP="00000000" w:rsidRDefault="00000000" w:rsidRPr="00000000" w14:paraId="000000D9">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Las actividades de fiscalización, verificación, inspección, comprobación y auditoría sobre el cumplimiento de las Leyes; o </w:t>
      </w:r>
    </w:p>
    <w:p w:rsidR="00000000" w:rsidDel="00000000" w:rsidP="00000000" w:rsidRDefault="00000000" w:rsidRPr="00000000" w14:paraId="000000DA">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La recaudación de las contribuciones. </w:t>
      </w:r>
    </w:p>
    <w:p w:rsidR="00000000" w:rsidDel="00000000" w:rsidP="00000000" w:rsidRDefault="00000000" w:rsidRPr="00000000" w14:paraId="000000DB">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00000" w:rsidDel="00000000" w:rsidP="00000000" w:rsidRDefault="00000000" w:rsidRPr="00000000" w14:paraId="000000DC">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La que contengan las opiniones, recomendaciones o puntos de vista que formen parte del proceso deliberativo de los servidores públicos, hasta en tanto sea adoptada la decisión definitiva, la cual deberá estar documentada; </w:t>
      </w:r>
    </w:p>
    <w:p w:rsidR="00000000" w:rsidDel="00000000" w:rsidP="00000000" w:rsidRDefault="00000000" w:rsidRPr="00000000" w14:paraId="000000DD">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Vulnere la conducción de los expedientes judiciales o de los procedimientos administrativos seguidos en forma de juicio, en tanto no hayan quedado firmes; </w:t>
      </w:r>
    </w:p>
    <w:p w:rsidR="00000000" w:rsidDel="00000000" w:rsidP="00000000" w:rsidRDefault="00000000" w:rsidRPr="00000000" w14:paraId="000000DE">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Se encuentre contenida dentro de las investigaciones de hechos que la Ley señale como delitos y se tramiten ante el Ministerio Público; </w:t>
      </w:r>
    </w:p>
    <w:p w:rsidR="00000000" w:rsidDel="00000000" w:rsidP="00000000" w:rsidRDefault="00000000" w:rsidRPr="00000000" w14:paraId="000000DF">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000000" w:rsidDel="00000000" w:rsidP="00000000" w:rsidRDefault="00000000" w:rsidRPr="00000000" w14:paraId="000000E0">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000000" w:rsidDel="00000000" w:rsidP="00000000" w:rsidRDefault="00000000" w:rsidRPr="00000000" w14:paraId="000000E1">
      <w:pPr>
        <w:spacing w:after="120" w:before="120"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E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en lo que concierne a la información clasificada como confidencial, para que el acceso a la información pública pueda ser restringido, se deben actualizar los supuestos establecidos en el artículo143 de la Ley de Transparencia y Acceso a la Información Pública del Estado de México y Municipios, que a la letra señala lo siguiente:</w:t>
      </w:r>
    </w:p>
    <w:p w:rsidR="00000000" w:rsidDel="00000000" w:rsidP="00000000" w:rsidRDefault="00000000" w:rsidRPr="00000000" w14:paraId="000000E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 </w:t>
      </w:r>
    </w:p>
    <w:p w:rsidR="00000000" w:rsidDel="00000000" w:rsidP="00000000" w:rsidRDefault="00000000" w:rsidRPr="00000000" w14:paraId="000000E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 </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0E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que presenten los particulares a los sujetos obligados, de conformidad con lo dispuesto por las leyes o los tratados internacionales. </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 </w:t>
      </w:r>
    </w:p>
    <w:p w:rsidR="00000000" w:rsidDel="00000000" w:rsidP="00000000" w:rsidRDefault="00000000" w:rsidRPr="00000000" w14:paraId="000000E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9">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EA">
      <w:pPr>
        <w:numPr>
          <w:ilvl w:val="0"/>
          <w:numId w:val="2"/>
        </w:numPr>
        <w:tabs>
          <w:tab w:val="left" w:leader="none" w:pos="851"/>
        </w:tabs>
        <w:spacing w:before="28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EB">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EC">
      <w:pPr>
        <w:numPr>
          <w:ilvl w:val="0"/>
          <w:numId w:val="2"/>
        </w:numPr>
        <w:tabs>
          <w:tab w:val="left" w:leader="none" w:pos="851"/>
        </w:tabs>
        <w:spacing w:after="28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ED">
      <w:pPr>
        <w:spacing w:after="280" w:before="28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w:t>
      </w:r>
      <w:r w:rsidDel="00000000" w:rsidR="00000000" w:rsidRPr="00000000">
        <w:rPr>
          <w:rFonts w:ascii="Palatino Linotype" w:cs="Palatino Linotype" w:eastAsia="Palatino Linotype" w:hAnsi="Palatino Linotype"/>
          <w:b w:val="1"/>
          <w:bCs w:val="1"/>
          <w:sz w:val="22"/>
          <w:szCs w:val="22"/>
          <w:rtl w:val="0"/>
        </w:rPr>
        <w:t xml:space="preserve">la clasificación de la información no se da por el simple mandato de la Ley</w:t>
      </w:r>
      <w:r w:rsidDel="00000000" w:rsidR="00000000" w:rsidRPr="00000000">
        <w:rPr>
          <w:rFonts w:ascii="Palatino Linotype" w:cs="Palatino Linotype" w:eastAsia="Palatino Linotype" w:hAnsi="Palatino Linotype"/>
          <w:sz w:val="22"/>
          <w:szCs w:val="22"/>
          <w:rtl w:val="0"/>
        </w:rPr>
        <w:t xml:space="preserve">, sino que es necesario que los Sujetos Obligados,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0EE">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Comités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atribuciones:</w:t>
      </w:r>
    </w:p>
    <w:p w:rsidR="00000000" w:rsidDel="00000000" w:rsidP="00000000" w:rsidRDefault="00000000" w:rsidRPr="00000000" w14:paraId="000000EF">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0">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Unidades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1">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F2">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w:t>
      </w:r>
      <w:r w:rsidDel="00000000" w:rsidR="00000000" w:rsidRPr="00000000">
        <w:rPr>
          <w:rFonts w:ascii="Palatino Linotype" w:cs="Palatino Linotype" w:eastAsia="Palatino Linotype" w:hAnsi="Palatino Linotype"/>
          <w:i w:val="1"/>
          <w:iCs w:val="1"/>
          <w:sz w:val="22"/>
          <w:szCs w:val="22"/>
          <w:rtl w:val="0"/>
        </w:rPr>
        <w:t xml:space="preserve"> Los </w:t>
      </w:r>
      <w:r w:rsidDel="00000000" w:rsidR="00000000" w:rsidRPr="00000000">
        <w:rPr>
          <w:rFonts w:ascii="Palatino Linotype" w:cs="Palatino Linotype" w:eastAsia="Palatino Linotype" w:hAnsi="Palatino Linotype"/>
          <w:b w:val="1"/>
          <w:bCs w:val="1"/>
          <w:i w:val="1"/>
          <w:iCs w:val="1"/>
          <w:sz w:val="22"/>
          <w:szCs w:val="22"/>
          <w:rtl w:val="0"/>
        </w:rPr>
        <w:t xml:space="preserve">servidores públicos habilitados</w:t>
      </w:r>
      <w:r w:rsidDel="00000000" w:rsidR="00000000" w:rsidRPr="00000000">
        <w:rPr>
          <w:rFonts w:ascii="Palatino Linotype" w:cs="Palatino Linotype" w:eastAsia="Palatino Linotype" w:hAnsi="Palatino Linotype"/>
          <w:i w:val="1"/>
          <w:iCs w:val="1"/>
          <w:sz w:val="22"/>
          <w:szCs w:val="22"/>
          <w:rtl w:val="0"/>
        </w:rPr>
        <w:t xml:space="preserve"> tendrán las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 siguientes:</w:t>
      </w:r>
    </w:p>
    <w:p w:rsidR="00000000" w:rsidDel="00000000" w:rsidP="00000000" w:rsidRDefault="00000000" w:rsidRPr="00000000" w14:paraId="000000F3">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la cual tendrá los fundamentos y argumentos en que se basa dicha propuesta…”</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elaboración de versiones públicas de documentos que contengan datos susceptibles de ser clasificados, los Sujetos Obligados deben observar, además,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w:t>
      </w:r>
      <w:r w:rsidDel="00000000" w:rsidR="00000000" w:rsidRPr="00000000">
        <w:rPr>
          <w:rFonts w:ascii="Palatino Linotype" w:cs="Palatino Linotype" w:eastAsia="Palatino Linotype" w:hAnsi="Palatino Linotype"/>
          <w:b w:val="1"/>
          <w:bCs w:val="1"/>
          <w:sz w:val="22"/>
          <w:szCs w:val="22"/>
          <w:rtl w:val="0"/>
        </w:rPr>
        <w:t xml:space="preserve">la entrega de documentos en su versión pública o la restricción total</w:t>
      </w:r>
      <w:r w:rsidDel="00000000" w:rsidR="00000000" w:rsidRPr="00000000">
        <w:rPr>
          <w:rFonts w:ascii="Palatino Linotype" w:cs="Palatino Linotype" w:eastAsia="Palatino Linotype" w:hAnsi="Palatino Linotype"/>
          <w:sz w:val="22"/>
          <w:szCs w:val="22"/>
          <w:rtl w:val="0"/>
        </w:rPr>
        <w:t xml:space="preserve"> de la información </w:t>
      </w:r>
      <w:r w:rsidDel="00000000" w:rsidR="00000000" w:rsidRPr="00000000">
        <w:rPr>
          <w:rFonts w:ascii="Palatino Linotype" w:cs="Palatino Linotype" w:eastAsia="Palatino Linotype" w:hAnsi="Palatino Linotype"/>
          <w:b w:val="1"/>
          <w:bCs w:val="1"/>
          <w:sz w:val="22"/>
          <w:szCs w:val="22"/>
          <w:u w:val="single"/>
          <w:rtl w:val="0"/>
        </w:rPr>
        <w:t xml:space="preserve">debe acompañarse necesariamente del Acuerdo del Comité de Transparencia</w:t>
      </w:r>
      <w:r w:rsidDel="00000000" w:rsidR="00000000" w:rsidRPr="00000000">
        <w:rPr>
          <w:rFonts w:ascii="Palatino Linotype" w:cs="Palatino Linotype" w:eastAsia="Palatino Linotype" w:hAnsi="Palatino Linotype"/>
          <w:sz w:val="22"/>
          <w:szCs w:val="22"/>
          <w:rtl w:val="0"/>
        </w:rPr>
        <w:t xml:space="preserve"> que las sustente, el cual debe estar debidamente fundado y motivado, en el que se expongan los fundamentos y razonamientos que llevaron al Sujeto Obligado tomar dicha determinación.</w:t>
      </w:r>
    </w:p>
    <w:p w:rsidR="00000000" w:rsidDel="00000000" w:rsidP="00000000" w:rsidRDefault="00000000" w:rsidRPr="00000000" w14:paraId="000000F6">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que se analiza, se reitera que la razón por la cual el cual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restringió el Derecho de acceso de la persona solicitante  fue en virtud de que esta contiene datos personales, asimismo, que se encontraba en procedimiento administrativo, sin embargo, además de no referir de manera clara los datos personales que se encuentran en el soporte documental y no proporcionar el número de procedimiento administrativo lo cual acreditara la existencia del mismo, no fundó ni motivó la pretendida clasificación al no señalar el artículo, fracción, inciso, párrafo o numeral de la ley o tratado internacional suscrito por el Estado mexicano que expresamente le otorga el carácter de confidencial y/o reservado, ni  las razones o circunstancias especiales que lo llevaron a concluir que el caso particular se ajusta al supuesto previsto por la norma legal invocada como fundamento.</w:t>
      </w:r>
    </w:p>
    <w:p w:rsidR="00000000" w:rsidDel="00000000" w:rsidP="00000000" w:rsidRDefault="00000000" w:rsidRPr="00000000" w14:paraId="000000F7">
      <w:pPr>
        <w:tabs>
          <w:tab w:val="left" w:leader="none" w:pos="354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el Lineamiento Octavo de los Lineamientos Generales de Clasificación y Desclasificación de la Información, a saber:</w:t>
      </w:r>
    </w:p>
    <w:p w:rsidR="00000000" w:rsidDel="00000000" w:rsidP="00000000" w:rsidRDefault="00000000" w:rsidRPr="00000000" w14:paraId="000000F8">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000000" w:rsidDel="00000000" w:rsidP="00000000" w:rsidRDefault="00000000" w:rsidRPr="00000000" w14:paraId="000000F9">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FA">
      <w:pPr>
        <w:tabs>
          <w:tab w:val="left" w:leader="none" w:pos="3544"/>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Así como tampoco refirió que el soporte documental actualizaba alguna de las hipótesis previstas en el artículo 140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sz w:val="22"/>
          <w:szCs w:val="22"/>
          <w:rtl w:val="0"/>
        </w:rPr>
        <w:t xml:space="preserve"> previamente referido, en cuyo caso, la motivación de la clasificación debe comprender el </w:t>
      </w:r>
      <w:r w:rsidDel="00000000" w:rsidR="00000000" w:rsidRPr="00000000">
        <w:rPr>
          <w:rFonts w:ascii="Palatino Linotype" w:cs="Palatino Linotype" w:eastAsia="Palatino Linotype" w:hAnsi="Palatino Linotype"/>
          <w:rtl w:val="0"/>
        </w:rPr>
        <w:t xml:space="preserve">análisis de la prueba del daño a que hace referencia el artículo 129 de la misma Ley, en relación con el artículo trigésimo tercero de los </w:t>
      </w:r>
      <w:r w:rsidDel="00000000" w:rsidR="00000000" w:rsidRPr="00000000">
        <w:rPr>
          <w:rFonts w:ascii="Palatino Linotype" w:cs="Palatino Linotype" w:eastAsia="Palatino Linotype" w:hAnsi="Palatino Linotype"/>
          <w:sz w:val="22"/>
          <w:szCs w:val="22"/>
          <w:rtl w:val="0"/>
        </w:rPr>
        <w:t xml:space="preserve">Lineamientos Generales de Clasificación y Desclasificación de la Información, </w:t>
      </w:r>
      <w:r w:rsidDel="00000000" w:rsidR="00000000" w:rsidRPr="00000000">
        <w:rPr>
          <w:rFonts w:ascii="Palatino Linotype" w:cs="Palatino Linotype" w:eastAsia="Palatino Linotype" w:hAnsi="Palatino Linotype"/>
          <w:rtl w:val="0"/>
        </w:rPr>
        <w:t xml:space="preserve">así como las circunstancias que justifican el establecimiento de determinado plazo de reserva.</w:t>
      </w:r>
    </w:p>
    <w:p w:rsidR="00000000" w:rsidDel="00000000" w:rsidP="00000000" w:rsidRDefault="00000000" w:rsidRPr="00000000" w14:paraId="000000FB">
      <w:pPr>
        <w:tabs>
          <w:tab w:val="left" w:leader="none" w:pos="3544"/>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un mejor entendimiento, a continuación se citan las referidas disposiciones:</w:t>
      </w:r>
    </w:p>
    <w:p w:rsidR="00000000" w:rsidDel="00000000" w:rsidP="00000000" w:rsidRDefault="00000000" w:rsidRPr="00000000" w14:paraId="000000FC">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129. </w:t>
      </w:r>
      <w:r w:rsidDel="00000000" w:rsidR="00000000" w:rsidRPr="00000000">
        <w:rPr>
          <w:rFonts w:ascii="Palatino Linotype" w:cs="Palatino Linotype" w:eastAsia="Palatino Linotype" w:hAnsi="Palatino Linotype"/>
          <w:i w:val="1"/>
          <w:iCs w:val="1"/>
          <w:sz w:val="22"/>
          <w:szCs w:val="22"/>
          <w:rtl w:val="0"/>
        </w:rPr>
        <w:t xml:space="preserve">En la aplicación de la prueba de daño, el sujeto obligado deberá precisar las razones objetivas por las que la apertura de la información generaría una afectación, justificando que:</w:t>
      </w:r>
    </w:p>
    <w:p w:rsidR="00000000" w:rsidDel="00000000" w:rsidP="00000000" w:rsidRDefault="00000000" w:rsidRPr="00000000" w14:paraId="000000FD">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divulgación de la información representa un riesgo real, demostrable e identificable del perjuicio significativo al interés público o a la seguridad pública;</w:t>
      </w:r>
    </w:p>
    <w:p w:rsidR="00000000" w:rsidDel="00000000" w:rsidP="00000000" w:rsidRDefault="00000000" w:rsidRPr="00000000" w14:paraId="000000FE">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riesgo de perjuicio que supondría la divulgación supera el interés público general de que se difunda; y </w:t>
      </w:r>
    </w:p>
    <w:p w:rsidR="00000000" w:rsidDel="00000000" w:rsidP="00000000" w:rsidRDefault="00000000" w:rsidRPr="00000000" w14:paraId="000000FF">
      <w:pPr>
        <w:tabs>
          <w:tab w:val="left" w:leader="none" w:pos="3544"/>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100">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Trigésimo tercero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Para la aplicación de la prueba de daño</w:t>
      </w:r>
      <w:r w:rsidDel="00000000" w:rsidR="00000000" w:rsidRPr="00000000">
        <w:rPr>
          <w:rFonts w:ascii="Palatino Linotype" w:cs="Palatino Linotype" w:eastAsia="Palatino Linotype" w:hAnsi="Palatino Linotype"/>
          <w:i w:val="1"/>
          <w:iCs w:val="1"/>
          <w:sz w:val="22"/>
          <w:szCs w:val="22"/>
          <w:rtl w:val="0"/>
        </w:rPr>
        <w:t xml:space="preserve"> a la que hace referencia el artículo 104 de la Ley General, los sujetos obligados atenderán lo siguiente: </w:t>
      </w:r>
    </w:p>
    <w:p w:rsidR="00000000" w:rsidDel="00000000" w:rsidP="00000000" w:rsidRDefault="00000000" w:rsidRPr="00000000" w14:paraId="00000101">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w:t>
      </w:r>
    </w:p>
    <w:p w:rsidR="00000000" w:rsidDel="00000000" w:rsidP="00000000" w:rsidRDefault="00000000" w:rsidRPr="00000000" w14:paraId="00000102">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deberá motivar la clasificación, señalando las circunstancias de modo, tiempo y lugar que acrediten el vínculo entre la difusión de la información y la afectación al interés público o a la seguridad nacional;</w:t>
      </w:r>
    </w:p>
    <w:p w:rsidR="00000000" w:rsidDel="00000000" w:rsidP="00000000" w:rsidRDefault="00000000" w:rsidRPr="00000000" w14:paraId="00000103">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deberán precisar las razones objetivas por las que la apertura de la información generaría un riesgo de perjuicio real, demostrable e identificable al interés jurídico tutelado de que se trate; </w:t>
      </w:r>
    </w:p>
    <w:p w:rsidR="00000000" w:rsidDel="00000000" w:rsidP="00000000" w:rsidRDefault="00000000" w:rsidRPr="00000000" w14:paraId="00000104">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w:t>
      </w:r>
    </w:p>
    <w:p w:rsidR="00000000" w:rsidDel="00000000" w:rsidP="00000000" w:rsidRDefault="00000000" w:rsidRPr="00000000" w14:paraId="00000105">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w:t>
      </w:r>
    </w:p>
    <w:p w:rsidR="00000000" w:rsidDel="00000000" w:rsidP="00000000" w:rsidRDefault="00000000" w:rsidRPr="00000000" w14:paraId="00000106">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rsidR="00000000" w:rsidDel="00000000" w:rsidP="00000000" w:rsidRDefault="00000000" w:rsidRPr="00000000" w14:paraId="00000107">
      <w:pPr>
        <w:tabs>
          <w:tab w:val="left" w:leader="none" w:pos="97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las consideraciones, se concluye que en el presente caso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acreditó la necesidad de la restricción total del acceso a la información materia de los incisos </w:t>
      </w:r>
      <w:r w:rsidDel="00000000" w:rsidR="00000000" w:rsidRPr="00000000">
        <w:rPr>
          <w:rFonts w:ascii="Palatino Linotype" w:cs="Palatino Linotype" w:eastAsia="Palatino Linotype" w:hAnsi="Palatino Linotype"/>
          <w:b w:val="1"/>
          <w:bCs w:val="1"/>
          <w:sz w:val="22"/>
          <w:szCs w:val="22"/>
          <w:rtl w:val="0"/>
        </w:rPr>
        <w:t xml:space="preserve">e, f y g,</w:t>
      </w:r>
      <w:r w:rsidDel="00000000" w:rsidR="00000000" w:rsidRPr="00000000">
        <w:rPr>
          <w:rFonts w:ascii="Palatino Linotype" w:cs="Palatino Linotype" w:eastAsia="Palatino Linotype" w:hAnsi="Palatino Linotype"/>
          <w:sz w:val="22"/>
          <w:szCs w:val="22"/>
          <w:rtl w:val="0"/>
        </w:rPr>
        <w:t xml:space="preserve"> del punto 1, así como del </w:t>
      </w:r>
      <w:r w:rsidDel="00000000" w:rsidR="00000000" w:rsidRPr="00000000">
        <w:rPr>
          <w:rFonts w:ascii="Palatino Linotype" w:cs="Palatino Linotype" w:eastAsia="Palatino Linotype" w:hAnsi="Palatino Linotype"/>
          <w:b w:val="1"/>
          <w:bCs w:val="1"/>
          <w:sz w:val="22"/>
          <w:szCs w:val="22"/>
          <w:rtl w:val="0"/>
        </w:rPr>
        <w:t xml:space="preserve">punto 6</w:t>
      </w:r>
      <w:r w:rsidDel="00000000" w:rsidR="00000000" w:rsidRPr="00000000">
        <w:rPr>
          <w:rFonts w:ascii="Palatino Linotype" w:cs="Palatino Linotype" w:eastAsia="Palatino Linotype" w:hAnsi="Palatino Linotype"/>
          <w:sz w:val="22"/>
          <w:szCs w:val="22"/>
          <w:rtl w:val="0"/>
        </w:rPr>
        <w:t xml:space="preserve"> por consiguiente, se estima dable ordenar la entrega del soporte documental correspondiente con el que cuente al veintiuno de abril de dos mil veinticinco, en versión pública de ser procedente, de conformidad con el considerando siguiente.</w:t>
      </w:r>
    </w:p>
    <w:p w:rsidR="00000000" w:rsidDel="00000000" w:rsidP="00000000" w:rsidRDefault="00000000" w:rsidRPr="00000000" w14:paraId="00000108">
      <w:pPr>
        <w:tabs>
          <w:tab w:val="left" w:leader="none" w:pos="97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para el caso de que el procedimiento administrativo derivado de la visita de verificación se estuviera llevando a cabo a la fecha de presentación de la solicitud, y que por tal motivo la divulgación del soporte documental correspondiente pudiera causar un daño o perjudicar la actividad de investigación, verificación, inspección o comprobación, de conformidad con lo establecido en el artículo 140, fracción V, numeral 1, de la Ley de Transparencia y Acceso a la Información Pública del Estado de México y Municipios, como por ejemplo, alertar al posible infractor y permitirle evadir responsabilidades o modificar sus prácticas antes de que las autoridades tomen una decisión definitiva, se deberá clasificar la información como reservada, atendiendo a las disposiciones señaladas con anterioridad, así como lo previsto en el Lineamiento Vigésimo Cuarto de los Lineamientos Generales de Clasificación y Desclasificación de la Información, a saber:</w:t>
      </w:r>
    </w:p>
    <w:p w:rsidR="00000000" w:rsidDel="00000000" w:rsidP="00000000" w:rsidRDefault="00000000" w:rsidRPr="00000000" w14:paraId="00000109">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Vigésimo cuarto</w:t>
      </w:r>
      <w:r w:rsidDel="00000000" w:rsidR="00000000" w:rsidRPr="00000000">
        <w:rPr>
          <w:rFonts w:ascii="Palatino Linotype" w:cs="Palatino Linotype" w:eastAsia="Palatino Linotype" w:hAnsi="Palatino Linotype"/>
          <w:i w:val="1"/>
          <w:iCs w:val="1"/>
          <w:sz w:val="22"/>
          <w:szCs w:val="22"/>
          <w:rtl w:val="0"/>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000000" w:rsidDel="00000000" w:rsidP="00000000" w:rsidRDefault="00000000" w:rsidRPr="00000000" w14:paraId="0000010A">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existencia de un procedimiento de verificación del cumplimiento de las leyes; </w:t>
      </w:r>
    </w:p>
    <w:p w:rsidR="00000000" w:rsidDel="00000000" w:rsidP="00000000" w:rsidRDefault="00000000" w:rsidRPr="00000000" w14:paraId="0000010B">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Que el procedimiento se encuentre en trámite; </w:t>
      </w:r>
    </w:p>
    <w:p w:rsidR="00000000" w:rsidDel="00000000" w:rsidP="00000000" w:rsidRDefault="00000000" w:rsidRPr="00000000" w14:paraId="0000010C">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vinculación directa con las actividades que realiza la autoridad en el procedimiento de verificación del cumplimiento de las leyes, y </w:t>
      </w:r>
    </w:p>
    <w:p w:rsidR="00000000" w:rsidDel="00000000" w:rsidP="00000000" w:rsidRDefault="00000000" w:rsidRPr="00000000" w14:paraId="0000010D">
      <w:pPr>
        <w:tabs>
          <w:tab w:val="left" w:leader="none" w:pos="975"/>
        </w:tabs>
        <w:spacing w:after="120" w:before="120" w:lineRule="auto"/>
        <w:ind w:left="851" w:right="902"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Que la difusión de la información impida u obstaculice las actividades de inspección, supervisión o vigilancia que realicen las autoridades en el procedimiento de verificación del cumplimiento de las leyes.”</w:t>
      </w:r>
      <w:r w:rsidDel="00000000" w:rsidR="00000000" w:rsidRPr="00000000">
        <w:rPr>
          <w:rtl w:val="0"/>
        </w:rPr>
      </w:r>
    </w:p>
    <w:p w:rsidR="00000000" w:rsidDel="00000000" w:rsidP="00000000" w:rsidRDefault="00000000" w:rsidRPr="00000000" w14:paraId="0000010E">
      <w:pPr>
        <w:tabs>
          <w:tab w:val="left" w:leader="none" w:pos="97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en caso de actualizarse dicho supuesto, no es procedente la clasificación de documentos definitivos que no sufren modificación alguna, como lo es la orden de visita de verificación administrativa.</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Como sustento a lo anterior, resulta prudente tomar en consideración lo plasmado en el criterio 09/2004 emitido por la Suprema Corte de Justicia de la Nación, e incluso referido por el Particular en sus motivos de inconformidad cuya literalidad es la siguiente:</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bCs w:val="0"/>
          <w:i w:val="0"/>
          <w:iCs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INFORMACIÓN SUJETA A REVISIÓN. SI YA CONSTA EN UN DOCUMENTO DEFINITIVO, DEBE PERMITIRSE EL ACCESO A ÉSTE</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Del anterior criterio se puede deducir que para el caso de acceso sobre documentos que se encuentren en un proceso de revisión no debe implicar la falta de estos, siempre que sean definitivos, por lo que deberá permitirse el acceso a los mismos, aun cuando no se encuentren cumplimentadas las obligaciones contraídas.</w:t>
      </w:r>
      <w:r w:rsidDel="00000000" w:rsidR="00000000" w:rsidRPr="00000000">
        <w:rPr>
          <w:rtl w:val="0"/>
        </w:rPr>
      </w:r>
    </w:p>
    <w:p w:rsidR="00000000" w:rsidDel="00000000" w:rsidP="00000000" w:rsidRDefault="00000000" w:rsidRPr="00000000" w14:paraId="00000112">
      <w:pPr>
        <w:tabs>
          <w:tab w:val="left" w:leader="none" w:pos="97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fundados, siendo procedente </w:t>
      </w:r>
      <w:r w:rsidDel="00000000" w:rsidR="00000000" w:rsidRPr="00000000">
        <w:rPr>
          <w:rFonts w:ascii="Palatino Linotype" w:cs="Palatino Linotype" w:eastAsia="Palatino Linotype" w:hAnsi="Palatino Linotype"/>
          <w:i w:val="1"/>
          <w:iCs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1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1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1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1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XLV; 6, 91, 132, 137, 143, fracción I, de la Ley de Transparencia y Acceso a la Información Pública del Estado de México y Municipios establecen:</w:t>
      </w:r>
    </w:p>
    <w:p w:rsidR="00000000" w:rsidDel="00000000" w:rsidP="00000000" w:rsidRDefault="00000000" w:rsidRPr="00000000" w14:paraId="0000011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118">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9">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1A">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B">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11C">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w:t>
      </w:r>
      <w:r w:rsidDel="00000000" w:rsidR="00000000" w:rsidRPr="00000000">
        <w:rPr>
          <w:rFonts w:ascii="Palatino Linotype" w:cs="Palatino Linotype" w:eastAsia="Palatino Linotype" w:hAnsi="Palatino Linotype"/>
          <w:i w:val="1"/>
          <w:iCs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D">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E">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1F">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0">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2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2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12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25">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126">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127">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2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12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B">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2D">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2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 ser de manera enunciativa más no limitativa, nombre de particulares, domicilio de particulares, teléfono particular, correo electrónico personal, entre otros exclusivamente de particulares.</w:t>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w:t>
      </w:r>
      <w:r w:rsidDel="00000000" w:rsidR="00000000" w:rsidRPr="00000000">
        <w:rPr>
          <w:rFonts w:ascii="Palatino Linotype" w:cs="Palatino Linotype" w:eastAsia="Palatino Linotype" w:hAnsi="Palatino Linotype"/>
          <w:b w:val="1"/>
          <w:bCs w:val="1"/>
          <w:sz w:val="22"/>
          <w:szCs w:val="22"/>
          <w:rtl w:val="0"/>
        </w:rPr>
        <w:t xml:space="preserve">nombre de una persona física, </w:t>
      </w:r>
      <w:r w:rsidDel="00000000" w:rsidR="00000000" w:rsidRPr="00000000">
        <w:rPr>
          <w:rFonts w:ascii="Palatino Linotype" w:cs="Palatino Linotype" w:eastAsia="Palatino Linotype" w:hAnsi="Palatino Linotype"/>
          <w:sz w:val="22"/>
          <w:szCs w:val="22"/>
          <w:rtl w:val="0"/>
        </w:rPr>
        <w:t xml:space="preserve">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existen ciertas excepciones a dicha regla por razones de interés público, como lo es en aquellos casos en donde dicho dato se relaciona con la erogación de recursos públicos, en cuyo caso, el nombre de estos guardan naturaleza de información pública y por tanto es improcedente su clasificación, con la finalidad de garantizar la rendición de cuentas por parte del ente público. </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virtud de que los Sujetos Obligados cuentan con el deber de hacer pública toda aquella información relativa a los montos y las personas a quienes entreguen recursos públicos por cualquier concepto, como se desprende del artículo 23, penúltimo párrafo de la Ley de Transparencia y Acceso a la Información Pública del Estado de México y Municipios, que es del tenor literal siguiente:</w:t>
      </w:r>
    </w:p>
    <w:p w:rsidR="00000000" w:rsidDel="00000000" w:rsidP="00000000" w:rsidRDefault="00000000" w:rsidRPr="00000000" w14:paraId="0000013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3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domicilio particular</w:t>
      </w:r>
      <w:r w:rsidDel="00000000" w:rsidR="00000000" w:rsidRPr="00000000">
        <w:rPr>
          <w:rFonts w:ascii="Palatino Linotype" w:cs="Palatino Linotype" w:eastAsia="Palatino Linotype" w:hAnsi="Palatino Linotype"/>
          <w:sz w:val="22"/>
          <w:szCs w:val="22"/>
          <w:rtl w:val="0"/>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37">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del domicilio y su comprobante, de conformidad con la fracción I, del artículo 143 de la Ley de Transparencia y Acceso a la Información Pública del Estado de México y Municipios.</w:t>
      </w:r>
    </w:p>
    <w:p w:rsidR="00000000" w:rsidDel="00000000" w:rsidP="00000000" w:rsidRDefault="00000000" w:rsidRPr="00000000" w14:paraId="00000138">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refiere al </w:t>
      </w:r>
      <w:r w:rsidDel="00000000" w:rsidR="00000000" w:rsidRPr="00000000">
        <w:rPr>
          <w:rFonts w:ascii="Palatino Linotype" w:cs="Palatino Linotype" w:eastAsia="Palatino Linotype" w:hAnsi="Palatino Linotype"/>
          <w:b w:val="1"/>
          <w:bCs w:val="1"/>
          <w:sz w:val="22"/>
          <w:szCs w:val="22"/>
          <w:rtl w:val="0"/>
        </w:rPr>
        <w:t xml:space="preserve">teléfono particular</w:t>
      </w:r>
      <w:r w:rsidDel="00000000" w:rsidR="00000000" w:rsidRPr="00000000">
        <w:rPr>
          <w:rFonts w:ascii="Palatino Linotype" w:cs="Palatino Linotype" w:eastAsia="Palatino Linotype" w:hAnsi="Palatino Linotype"/>
          <w:sz w:val="22"/>
          <w:szCs w:val="22"/>
          <w:rtl w:val="0"/>
        </w:rPr>
        <w:t xml:space="preserv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 citado con antelación.</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correo electrónico personal </w:t>
      </w:r>
      <w:r w:rsidDel="00000000" w:rsidR="00000000" w:rsidRPr="00000000">
        <w:rPr>
          <w:rFonts w:ascii="Palatino Linotype" w:cs="Palatino Linotype" w:eastAsia="Palatino Linotype" w:hAnsi="Palatino Linotype"/>
          <w:sz w:val="22"/>
          <w:szCs w:val="22"/>
          <w:rtl w:val="0"/>
        </w:rPr>
        <w:t xml:space="preserve">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bCs w:val="1"/>
          <w:sz w:val="22"/>
          <w:szCs w:val="22"/>
          <w:rtl w:val="0"/>
        </w:rPr>
        <w:t xml:space="preserve">firma de servidores públicos, </w:t>
      </w:r>
      <w:r w:rsidDel="00000000" w:rsidR="00000000" w:rsidRPr="00000000">
        <w:rPr>
          <w:rFonts w:ascii="Palatino Linotype" w:cs="Palatino Linotype" w:eastAsia="Palatino Linotype" w:hAnsi="Palatino Linotype"/>
          <w:sz w:val="22"/>
          <w:szCs w:val="22"/>
          <w:rtl w:val="0"/>
        </w:rPr>
        <w:t xml:space="preserve">es de señalar que, si bien se trata de un dato personal concerniente a una persona física identificada o identificable, al tratarse de información gráfica a través de la cual su titular exterioriza su voluntad en actos públicos y privados, razón por la cual </w:t>
      </w:r>
      <w:r w:rsidDel="00000000" w:rsidR="00000000" w:rsidRPr="00000000">
        <w:rPr>
          <w:rFonts w:ascii="Palatino Linotype" w:cs="Palatino Linotype" w:eastAsia="Palatino Linotype" w:hAnsi="Palatino Linotype"/>
          <w:b w:val="1"/>
          <w:bCs w:val="1"/>
          <w:sz w:val="22"/>
          <w:szCs w:val="22"/>
          <w:rtl w:val="0"/>
        </w:rPr>
        <w:t xml:space="preserve">únicamente es pública cuando sirva para la emisión de un acto de autoridad</w:t>
      </w:r>
      <w:r w:rsidDel="00000000" w:rsidR="00000000" w:rsidRPr="00000000">
        <w:rPr>
          <w:rFonts w:ascii="Palatino Linotype" w:cs="Palatino Linotype" w:eastAsia="Palatino Linotype" w:hAnsi="Palatino Linotype"/>
          <w:sz w:val="22"/>
          <w:szCs w:val="22"/>
          <w:rtl w:val="0"/>
        </w:rPr>
        <w:t xml:space="preserve">, en ejercicio de sus funciones.</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toda vez que la firma de servidores públicos, vinculada al ejercicio de la función pública es información de naturaleza pública, pues documenta y rinde cuentas sobre el debido ejercicio de sus atribuciones.</w:t>
      </w:r>
    </w:p>
    <w:p w:rsidR="00000000" w:rsidDel="00000000" w:rsidP="00000000" w:rsidRDefault="00000000" w:rsidRPr="00000000" w14:paraId="0000013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con clave de control SO/002/2019, emitido por el entonces Instituto Nacional de Transparencia, Acceso a la Información y Protección de Datos Personales, cuyo rubro y texto establecen lo siguiente:</w:t>
      </w:r>
    </w:p>
    <w:p w:rsidR="00000000" w:rsidDel="00000000" w:rsidP="00000000" w:rsidRDefault="00000000" w:rsidRPr="00000000" w14:paraId="0000013D">
      <w:pPr>
        <w:tabs>
          <w:tab w:val="left" w:leader="none" w:pos="751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iCs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3E">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w:t>
      </w:r>
      <w:r w:rsidDel="00000000" w:rsidR="00000000" w:rsidRPr="00000000">
        <w:rPr>
          <w:rFonts w:ascii="Palatino Linotype" w:cs="Palatino Linotype" w:eastAsia="Palatino Linotype" w:hAnsi="Palatino Linotype"/>
          <w:b w:val="1"/>
          <w:bCs w:val="1"/>
          <w:sz w:val="22"/>
          <w:szCs w:val="22"/>
          <w:rtl w:val="0"/>
        </w:rPr>
        <w:t xml:space="preserve">fotografía </w:t>
      </w:r>
      <w:r w:rsidDel="00000000" w:rsidR="00000000" w:rsidRPr="00000000">
        <w:rPr>
          <w:rFonts w:ascii="Palatino Linotype" w:cs="Palatino Linotype" w:eastAsia="Palatino Linotype" w:hAnsi="Palatino Linotype"/>
          <w:sz w:val="22"/>
          <w:szCs w:val="22"/>
          <w:rtl w:val="0"/>
        </w:rPr>
        <w:t xml:space="preserve">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000000" w:rsidDel="00000000" w:rsidP="00000000" w:rsidRDefault="00000000" w:rsidRPr="00000000" w14:paraId="0000013F">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140">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rsidR="00000000" w:rsidDel="00000000" w:rsidP="00000000" w:rsidRDefault="00000000" w:rsidRPr="00000000" w14:paraId="00000141">
      <w:pPr>
        <w:tabs>
          <w:tab w:val="left" w:leader="none" w:pos="496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rsidR="00000000" w:rsidDel="00000000" w:rsidP="00000000" w:rsidRDefault="00000000" w:rsidRPr="00000000" w14:paraId="000001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4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4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14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cabe señalar que 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46">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Para efectos de los presentes Lineamientos Generales, se entenderá por:</w:t>
      </w:r>
    </w:p>
    <w:p w:rsidR="00000000" w:rsidDel="00000000" w:rsidP="00000000" w:rsidRDefault="00000000" w:rsidRPr="00000000" w14:paraId="00000147">
      <w:pPr>
        <w:tabs>
          <w:tab w:val="left" w:leader="none" w:pos="8222"/>
        </w:tabs>
        <w:spacing w:after="120" w:before="120" w:lineRule="auto"/>
        <w:ind w:left="1134"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Versión pública:</w:t>
      </w:r>
      <w:r w:rsidDel="00000000" w:rsidR="00000000" w:rsidRPr="00000000">
        <w:rPr>
          <w:rFonts w:ascii="Palatino Linotype" w:cs="Palatino Linotype" w:eastAsia="Palatino Linotype" w:hAnsi="Palatino Linotype"/>
          <w:i w:val="1"/>
          <w:iCs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sz w:val="22"/>
          <w:szCs w:val="22"/>
          <w:rtl w:val="0"/>
        </w:rPr>
        <w:t xml:space="preserve">fundando y motivando la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 o confidencialidad</w:t>
      </w:r>
      <w:r w:rsidDel="00000000" w:rsidR="00000000" w:rsidRPr="00000000">
        <w:rPr>
          <w:rFonts w:ascii="Palatino Linotype" w:cs="Palatino Linotype" w:eastAsia="Palatino Linotype" w:hAnsi="Palatino Linotype"/>
          <w:i w:val="1"/>
          <w:iCs w:val="1"/>
          <w:sz w:val="22"/>
          <w:szCs w:val="22"/>
          <w:rtl w:val="0"/>
        </w:rPr>
        <w:t xml:space="preserve">, a través de la resolución que para tal efecto emita el Comité de Transparencia.</w:t>
      </w:r>
    </w:p>
    <w:p w:rsidR="00000000" w:rsidDel="00000000" w:rsidP="00000000" w:rsidRDefault="00000000" w:rsidRPr="00000000" w14:paraId="00000148">
      <w:pPr>
        <w:tabs>
          <w:tab w:val="left" w:leader="none" w:pos="8222"/>
        </w:tabs>
        <w:spacing w:after="120" w:before="120" w:lineRule="auto"/>
        <w:ind w:left="851" w:right="1134"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49">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Para clasificar la información como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reservada 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iCs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4A">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4B">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Quinto.</w:t>
      </w:r>
      <w:r w:rsidDel="00000000" w:rsidR="00000000" w:rsidRPr="00000000">
        <w:rPr>
          <w:rFonts w:ascii="Palatino Linotype" w:cs="Palatino Linotype" w:eastAsia="Palatino Linotype" w:hAnsi="Palatino Linotype"/>
          <w:i w:val="1"/>
          <w:iCs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4C">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Sexto.</w:t>
      </w:r>
      <w:r w:rsidDel="00000000" w:rsidR="00000000" w:rsidRPr="00000000">
        <w:rPr>
          <w:rFonts w:ascii="Palatino Linotype" w:cs="Palatino Linotype" w:eastAsia="Palatino Linotype" w:hAnsi="Palatino Linotype"/>
          <w:i w:val="1"/>
          <w:iCs w:val="1"/>
          <w:sz w:val="22"/>
          <w:szCs w:val="22"/>
          <w:rtl w:val="0"/>
        </w:rPr>
        <w:t xml:space="preserve"> Se deroga.</w:t>
      </w:r>
    </w:p>
    <w:p w:rsidR="00000000" w:rsidDel="00000000" w:rsidP="00000000" w:rsidRDefault="00000000" w:rsidRPr="00000000" w14:paraId="0000014D">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Séptimo.</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4E">
      <w:pPr>
        <w:tabs>
          <w:tab w:val="left" w:leader="none" w:pos="8222"/>
        </w:tabs>
        <w:spacing w:after="120" w:before="120" w:lineRule="auto"/>
        <w:ind w:left="1134"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14F">
      <w:pPr>
        <w:tabs>
          <w:tab w:val="left" w:leader="none" w:pos="8222"/>
        </w:tabs>
        <w:spacing w:after="120" w:before="120" w:lineRule="auto"/>
        <w:ind w:left="1134"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50">
      <w:pPr>
        <w:tabs>
          <w:tab w:val="left" w:leader="none" w:pos="8222"/>
        </w:tabs>
        <w:spacing w:after="120" w:before="120" w:lineRule="auto"/>
        <w:ind w:left="1134"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51">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conforme a su naturaleza, si encuadra en una causal de reserva o de confidencialidad.</w:t>
      </w:r>
    </w:p>
    <w:p w:rsidR="00000000" w:rsidDel="00000000" w:rsidP="00000000" w:rsidRDefault="00000000" w:rsidRPr="00000000" w14:paraId="00000152">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53">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54">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55">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Noveno.</w:t>
      </w:r>
      <w:r w:rsidDel="00000000" w:rsidR="00000000" w:rsidRPr="00000000">
        <w:rPr>
          <w:rFonts w:ascii="Palatino Linotype" w:cs="Palatino Linotype" w:eastAsia="Palatino Linotype" w:hAnsi="Palatino Linotype"/>
          <w:i w:val="1"/>
          <w:iCs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56">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157">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58">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 primero.</w:t>
      </w:r>
      <w:r w:rsidDel="00000000" w:rsidR="00000000" w:rsidRPr="00000000">
        <w:rPr>
          <w:rFonts w:ascii="Palatino Linotype" w:cs="Palatino Linotype" w:eastAsia="Palatino Linotype" w:hAnsi="Palatino Linotype"/>
          <w:i w:val="1"/>
          <w:iCs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5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6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además, se deberán observar las formalidades establecidas en los Lineamientos Quincuagésimo segundo, Quincuagésimo tercero, Quincuagésimo cuarto, Quincuagésimo quinto, Quincuagésimo séptimo y Quincuagésimo octavo, que establecen lo siguiente:</w:t>
      </w:r>
    </w:p>
    <w:p w:rsidR="00000000" w:rsidDel="00000000" w:rsidP="00000000" w:rsidRDefault="00000000" w:rsidRPr="00000000" w14:paraId="00000169">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6A">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B">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6C">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6D">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16E">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6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tercero.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es el siguiente: </w:t>
      </w:r>
    </w:p>
    <w:p w:rsidR="00000000" w:rsidDel="00000000" w:rsidP="00000000" w:rsidRDefault="00000000" w:rsidRPr="00000000" w14:paraId="00000170">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Pr>
        <w:drawing>
          <wp:inline distB="0" distT="0" distL="0" distR="0">
            <wp:extent cx="4295775" cy="295275"/>
            <wp:effectExtent b="0" l="0" r="0" t="0"/>
            <wp:docPr id="58" name="image4.png"/>
            <a:graphic>
              <a:graphicData uri="http://schemas.openxmlformats.org/drawingml/2006/picture">
                <pic:pic>
                  <pic:nvPicPr>
                    <pic:cNvPr id="0" name="image4.png"/>
                    <pic:cNvPicPr preferRelativeResize="0"/>
                  </pic:nvPicPr>
                  <pic:blipFill>
                    <a:blip r:embed="rId16"/>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Pr>
        <w:drawing>
          <wp:inline distB="0" distT="0" distL="0" distR="0">
            <wp:extent cx="4333875" cy="4742356"/>
            <wp:effectExtent b="0" l="0" r="0" t="0"/>
            <wp:docPr id="57" name="image4.png"/>
            <a:graphic>
              <a:graphicData uri="http://schemas.openxmlformats.org/drawingml/2006/picture">
                <pic:pic>
                  <pic:nvPicPr>
                    <pic:cNvPr id="0" name="image4.png"/>
                    <pic:cNvPicPr preferRelativeResize="0"/>
                  </pic:nvPicPr>
                  <pic:blipFill>
                    <a:blip r:embed="rId16"/>
                    <a:srcRect b="426" l="0" r="0" t="30909"/>
                    <a:stretch>
                      <a:fillRect/>
                    </a:stretch>
                  </pic:blipFill>
                  <pic:spPr>
                    <a:xfrm>
                      <a:off x="0" y="0"/>
                      <a:ext cx="4333875" cy="4742356"/>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7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7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76">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7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7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7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7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7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7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17F">
      <w:pPr>
        <w:spacing w:after="240" w:before="240" w:line="360" w:lineRule="auto"/>
        <w:jc w:val="both"/>
        <w:rPr>
          <w:rFonts w:ascii="Palatino Linotype" w:cs="Palatino Linotype" w:eastAsia="Palatino Linotype" w:hAnsi="Palatino Linotype"/>
          <w:sz w:val="22"/>
          <w:szCs w:val="22"/>
        </w:rPr>
      </w:pPr>
      <w:bookmarkStart w:colFirst="0" w:colLast="0" w:name="_heading=h.26in1rg" w:id="8"/>
      <w:bookmarkEnd w:id="8"/>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05424/INFOEM/IP/RR/2025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tl w:val="0"/>
        </w:rPr>
      </w:r>
    </w:p>
    <w:p w:rsidR="00000000" w:rsidDel="00000000" w:rsidP="00000000" w:rsidRDefault="00000000" w:rsidRPr="00000000" w14:paraId="0000018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bCs w:val="1"/>
          <w:sz w:val="22"/>
          <w:szCs w:val="22"/>
          <w:rtl w:val="0"/>
        </w:rPr>
        <w:t xml:space="preserve">Quinto </w:t>
      </w:r>
      <w:r w:rsidDel="00000000" w:rsidR="00000000" w:rsidRPr="00000000">
        <w:rPr>
          <w:rFonts w:ascii="Palatino Linotype" w:cs="Palatino Linotype" w:eastAsia="Palatino Linotype" w:hAnsi="Palatino Linotype"/>
          <w:sz w:val="22"/>
          <w:szCs w:val="22"/>
          <w:rtl w:val="0"/>
        </w:rPr>
        <w:t xml:space="preserve">de esta resolución, haga entrega,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versión pública de ser procedente, de lo siguiente:</w:t>
      </w:r>
    </w:p>
    <w:p w:rsidR="00000000" w:rsidDel="00000000" w:rsidP="00000000" w:rsidRDefault="00000000" w:rsidRPr="00000000" w14:paraId="00000181">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De la visita de verificación administrativa al establecimiento referido en la solicitud.</w:t>
      </w:r>
    </w:p>
    <w:p w:rsidR="00000000" w:rsidDel="00000000" w:rsidP="00000000" w:rsidRDefault="00000000" w:rsidRPr="00000000" w14:paraId="00000182">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Soporte documental en el que conste la fecha en la que se llevó a cabo la visita de verificación administrativa.</w:t>
      </w:r>
    </w:p>
    <w:p w:rsidR="00000000" w:rsidDel="00000000" w:rsidP="00000000" w:rsidRDefault="00000000" w:rsidRPr="00000000" w14:paraId="00000183">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Los gafetes completos de los servidores públicos, proporcionados en respuesta.</w:t>
      </w:r>
    </w:p>
    <w:p w:rsidR="00000000" w:rsidDel="00000000" w:rsidP="00000000" w:rsidRDefault="00000000" w:rsidRPr="00000000" w14:paraId="00000184">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Orden de visita de verificación administrativa.</w:t>
      </w:r>
    </w:p>
    <w:p w:rsidR="00000000" w:rsidDel="00000000" w:rsidP="00000000" w:rsidRDefault="00000000" w:rsidRPr="00000000" w14:paraId="00000185">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Estado procedimental y número de procedimiento administrativo generado con motivo de la visita de verificación al veintiuno de abril de dos mil veinticinco.</w:t>
      </w:r>
    </w:p>
    <w:p w:rsidR="00000000" w:rsidDel="00000000" w:rsidP="00000000" w:rsidRDefault="00000000" w:rsidRPr="00000000" w14:paraId="00000186">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 Soporte documental generado con motivo de la visita de verificación administrativa, con el que cuente al veintiuno de abril de dos mil veinticinco.</w:t>
      </w:r>
    </w:p>
    <w:p w:rsidR="00000000" w:rsidDel="00000000" w:rsidP="00000000" w:rsidRDefault="00000000" w:rsidRPr="00000000" w14:paraId="00000187">
      <w:pP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 Constancias que integran el procedimiento administrativo derivado de la visita de verificación administrativa con el que cuente al veintiuno de abril de dos mil veinticinco.</w:t>
      </w:r>
    </w:p>
    <w:p w:rsidR="00000000" w:rsidDel="00000000" w:rsidP="00000000" w:rsidRDefault="00000000" w:rsidRPr="00000000" w14:paraId="00000188">
      <w:pPr>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El o los documentos que den cuenta del fundamento legal que regula las visitas de verificación a establecimientos comerciales, vigente al veintiuno de abril de dos mil veinticinco.</w:t>
      </w:r>
    </w:p>
    <w:p w:rsidR="00000000" w:rsidDel="00000000" w:rsidP="00000000" w:rsidRDefault="00000000" w:rsidRPr="00000000" w14:paraId="00000189">
      <w:pPr>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El o los documentos que den cuenta de los requisitos necesarios para que una unidad económica con venta de jugos, venta bebidas alcohólicas, vigentes al veintiuno de abril de dos mil veinticinco.</w:t>
      </w:r>
    </w:p>
    <w:p w:rsidR="00000000" w:rsidDel="00000000" w:rsidP="00000000" w:rsidRDefault="00000000" w:rsidRPr="00000000" w14:paraId="0000018A">
      <w:pPr>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 El o los documentos que den cuenta de las consecuencias jurídicas aplicables a unidades económicas con venta de jugos, que vendan bebidas alcohólicas, sin licencia de funcionamiento, vigentes al veintiuno de abril de dos mil veinticinco.</w:t>
      </w:r>
    </w:p>
    <w:p w:rsidR="00000000" w:rsidDel="00000000" w:rsidP="00000000" w:rsidRDefault="00000000" w:rsidRPr="00000000" w14:paraId="0000018B">
      <w:pPr>
        <w:spacing w:after="120" w:before="120" w:lineRule="auto"/>
        <w:ind w:left="284"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r w:rsidDel="00000000" w:rsidR="00000000" w:rsidRPr="00000000">
        <w:rPr>
          <w:rFonts w:ascii="Palatino Linotype" w:cs="Palatino Linotype" w:eastAsia="Palatino Linotype" w:hAnsi="Palatino Linotype"/>
          <w:i w:val="1"/>
          <w:iCs w:val="1"/>
          <w:sz w:val="20"/>
          <w:szCs w:val="20"/>
          <w:rtl w:val="0"/>
        </w:rPr>
        <w:t xml:space="preserve">, en términos de los artículos 49, fracción VIII, de la Ley de Transparencia y Acceso a la Información Pública del Estado de México y Municipios.</w:t>
      </w:r>
    </w:p>
    <w:p w:rsidR="00000000" w:rsidDel="00000000" w:rsidP="00000000" w:rsidRDefault="00000000" w:rsidRPr="00000000" w14:paraId="0000018C">
      <w:pPr>
        <w:spacing w:after="120" w:before="120" w:lineRule="auto"/>
        <w:ind w:left="28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0"/>
          <w:szCs w:val="20"/>
          <w:rtl w:val="0"/>
        </w:rPr>
        <w:t xml:space="preserve">En el supuesto que la información que se ordena en el </w:t>
      </w:r>
      <w:r w:rsidDel="00000000" w:rsidR="00000000" w:rsidRPr="00000000">
        <w:rPr>
          <w:rFonts w:ascii="Palatino Linotype" w:cs="Palatino Linotype" w:eastAsia="Palatino Linotype" w:hAnsi="Palatino Linotype"/>
          <w:b w:val="1"/>
          <w:bCs w:val="1"/>
          <w:i w:val="1"/>
          <w:iCs w:val="1"/>
          <w:sz w:val="20"/>
          <w:szCs w:val="20"/>
          <w:rtl w:val="0"/>
        </w:rPr>
        <w:t xml:space="preserve">punto 1, incisos e y f, </w:t>
      </w:r>
      <w:r w:rsidDel="00000000" w:rsidR="00000000" w:rsidRPr="00000000">
        <w:rPr>
          <w:rFonts w:ascii="Palatino Linotype" w:cs="Palatino Linotype" w:eastAsia="Palatino Linotype" w:hAnsi="Palatino Linotype"/>
          <w:i w:val="1"/>
          <w:iCs w:val="1"/>
          <w:sz w:val="20"/>
          <w:szCs w:val="20"/>
          <w:rtl w:val="0"/>
        </w:rPr>
        <w:t xml:space="preserve">se encontrara en trámite al veintiuno de abril de dos mil veinticinco</w:t>
      </w:r>
      <w:r w:rsidDel="00000000" w:rsidR="00000000" w:rsidRPr="00000000">
        <w:rPr>
          <w:rFonts w:ascii="Palatino Linotype" w:cs="Palatino Linotype" w:eastAsia="Palatino Linotype" w:hAnsi="Palatino Linotype"/>
          <w:b w:val="1"/>
          <w:bCs w:val="1"/>
          <w:i w:val="1"/>
          <w:iCs w:val="1"/>
          <w:sz w:val="20"/>
          <w:szCs w:val="20"/>
          <w:rtl w:val="0"/>
        </w:rPr>
        <w:t xml:space="preserve">, </w:t>
      </w:r>
      <w:r w:rsidDel="00000000" w:rsidR="00000000" w:rsidRPr="00000000">
        <w:rPr>
          <w:rFonts w:ascii="Palatino Linotype" w:cs="Palatino Linotype" w:eastAsia="Palatino Linotype" w:hAnsi="Palatino Linotype"/>
          <w:i w:val="1"/>
          <w:iCs w:val="1"/>
          <w:sz w:val="20"/>
          <w:szCs w:val="20"/>
          <w:rtl w:val="0"/>
        </w:rPr>
        <w:t xml:space="preserve">deberá emitir el acuerdo del Comité de Transparencia, donde clasifique de manera fundada y motivada, la información como reservada.</w:t>
      </w:r>
      <w:r w:rsidDel="00000000" w:rsidR="00000000" w:rsidRPr="00000000">
        <w:rPr>
          <w:rtl w:val="0"/>
        </w:rPr>
      </w:r>
    </w:p>
    <w:p w:rsidR="00000000" w:rsidDel="00000000" w:rsidP="00000000" w:rsidRDefault="00000000" w:rsidRPr="00000000" w14:paraId="0000018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8F">
      <w:pPr>
        <w:spacing w:after="240" w:before="240" w:line="360" w:lineRule="auto"/>
        <w:jc w:val="both"/>
        <w:rPr>
          <w:rFonts w:ascii="Palatino Linotype" w:cs="Palatino Linotype" w:eastAsia="Palatino Linotype" w:hAnsi="Palatino Linotype"/>
          <w:sz w:val="22"/>
          <w:szCs w:val="22"/>
        </w:rPr>
      </w:pPr>
      <w:bookmarkStart w:colFirst="0" w:colLast="0" w:name="_heading=h.17dp8vu" w:id="9"/>
      <w:bookmarkEnd w:id="9"/>
      <w:r w:rsidDel="00000000" w:rsidR="00000000" w:rsidRPr="00000000">
        <w:rPr>
          <w:rFonts w:ascii="Palatino Linotype" w:cs="Palatino Linotype" w:eastAsia="Palatino Linotype" w:hAnsi="Palatino Linotype"/>
          <w:b w:val="1"/>
          <w:bCs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90">
      <w:pPr>
        <w:tabs>
          <w:tab w:val="left" w:leader="none" w:pos="8647"/>
        </w:tabs>
        <w:spacing w:after="240" w:before="240" w:line="360" w:lineRule="auto"/>
        <w:ind w:right="51"/>
        <w:jc w:val="both"/>
        <w:rPr>
          <w:rFonts w:ascii="Palatino Linotype" w:cs="Palatino Linotype" w:eastAsia="Palatino Linotype" w:hAnsi="Palatino Linotype"/>
          <w:sz w:val="22"/>
          <w:szCs w:val="22"/>
        </w:rPr>
      </w:pPr>
      <w:bookmarkStart w:colFirst="0" w:colLast="0" w:name="_heading=h.lnxbz9" w:id="10"/>
      <w:bookmarkEnd w:id="10"/>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PARTICULAR, EN LA TRIGÉSIMA OCTAVA SESIÓN ORDINARIA CELEBRADA EL VEINTIDÓS DE OCTUBRE DE DOS MIL VEINTICINCO, ANTE EL SECRETARIO TÉCNICO DEL PLENO ALEXIS TAPIA RAMÍREZ.</w:t>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2">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Tesis [A]: 2a. Semanario Judicial de la Federación, Sexta Época, Volumen LII, Tercera Parte, p. 101, Reg. digital </w:t>
      </w:r>
      <w:r w:rsidDel="00000000" w:rsidR="00000000" w:rsidRPr="00000000">
        <w:rPr>
          <w:rFonts w:ascii="Palatino Linotype" w:cs="Palatino Linotype" w:eastAsia="Palatino Linotype" w:hAnsi="Palatino Linotype"/>
          <w:color w:val="212529"/>
          <w:sz w:val="16"/>
          <w:szCs w:val="16"/>
          <w:highlight w:val="white"/>
          <w:rtl w:val="0"/>
        </w:rPr>
        <w:t xml:space="preserve">267287.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-1080090</wp:posOffset>
          </wp:positionH>
          <wp:positionV relativeFrom="paragraph">
            <wp:posOffset>-488261</wp:posOffset>
          </wp:positionV>
          <wp:extent cx="7809865" cy="10165715"/>
          <wp:effectExtent b="0" l="0" r="0" t="0"/>
          <wp:wrapNone/>
          <wp:docPr id="4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A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AB">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05424/INFOEM/IP/RR/2025</w:t>
          </w:r>
        </w:p>
      </w:tc>
    </w:tr>
    <w:tr>
      <w:trPr>
        <w:cantSplit w:val="0"/>
        <w:trHeight w:val="228" w:hRule="atLeast"/>
        <w:tblHeader w:val="0"/>
      </w:trPr>
      <w:tc>
        <w:tcPr>
          <w:vAlign w:val="center"/>
        </w:tcPr>
        <w:p w:rsidR="00000000" w:rsidDel="00000000" w:rsidP="00000000" w:rsidRDefault="00000000" w:rsidRPr="00000000" w14:paraId="000001A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AD">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San Martín de Las Pirámides</w:t>
          </w:r>
        </w:p>
      </w:tc>
    </w:tr>
    <w:tr>
      <w:trPr>
        <w:cantSplit w:val="0"/>
        <w:tblHeader w:val="0"/>
      </w:trPr>
      <w:tc>
        <w:tcPr>
          <w:vAlign w:val="center"/>
        </w:tcPr>
        <w:p w:rsidR="00000000" w:rsidDel="00000000" w:rsidP="00000000" w:rsidRDefault="00000000" w:rsidRPr="00000000" w14:paraId="000001AE">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AF">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B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-369891</wp:posOffset>
          </wp:positionV>
          <wp:extent cx="7809865" cy="10165715"/>
          <wp:effectExtent b="0" l="0" r="0" t="0"/>
          <wp:wrapNone/>
          <wp:docPr id="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B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B3">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05424/INFOEM/IP/RR/2025</w:t>
          </w:r>
        </w:p>
      </w:tc>
    </w:tr>
    <w:tr>
      <w:trPr>
        <w:cantSplit w:val="0"/>
        <w:tblHeader w:val="0"/>
      </w:trPr>
      <w:tc>
        <w:tcPr/>
        <w:p w:rsidR="00000000" w:rsidDel="00000000" w:rsidP="00000000" w:rsidRDefault="00000000" w:rsidRPr="00000000" w14:paraId="000001B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B5">
          <w:pPr>
            <w:ind w:right="175"/>
            <w:jc w:val="both"/>
            <w:rPr>
              <w:rFonts w:ascii="Palatino Linotype" w:cs="Palatino Linotype" w:eastAsia="Palatino Linotype" w:hAnsi="Palatino Linotype"/>
              <w:b w:val="1"/>
              <w:bCs w:val="1"/>
              <w:sz w:val="22"/>
              <w:szCs w:val="22"/>
              <w:highlight w:val="yellow"/>
            </w:rPr>
          </w:pPr>
          <w:r w:rsidDel="00000000" w:rsidR="00000000" w:rsidRPr="00000000">
            <w:rPr>
              <w:rFonts w:ascii="Palatino Linotype" w:cs="Palatino Linotype" w:eastAsia="Palatino Linotype" w:hAnsi="Palatino Linotype"/>
              <w:b w:val="1"/>
              <w:bCs w:val="1"/>
              <w:sz w:val="22"/>
              <w:szCs w:val="22"/>
              <w:rtl w:val="0"/>
            </w:rPr>
            <w:t xml:space="preserve">XXXXX XXXX XXX </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B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B7">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San Martin de Las Pirámides</w:t>
          </w:r>
        </w:p>
      </w:tc>
    </w:tr>
    <w:tr>
      <w:trPr>
        <w:cantSplit w:val="0"/>
        <w:tblHeader w:val="0"/>
      </w:trPr>
      <w:tc>
        <w:tcPr>
          <w:vAlign w:val="center"/>
        </w:tcPr>
        <w:p w:rsidR="00000000" w:rsidDel="00000000" w:rsidP="00000000" w:rsidRDefault="00000000" w:rsidRPr="00000000" w14:paraId="000001B8">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B9">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a" w:customStyle="1">
    <w:basedOn w:val="TableNormalf1"/>
    <w:tblPr>
      <w:tblStyleRowBandSize w:val="1"/>
      <w:tblStyleColBandSize w:val="1"/>
      <w:tblCellMar>
        <w:left w:w="115.0" w:type="dxa"/>
        <w:right w:w="115.0" w:type="dxa"/>
      </w:tblCellMar>
    </w:tblPr>
  </w:style>
  <w:style w:type="table" w:styleId="a0" w:customStyle="1">
    <w:basedOn w:val="TableNormalf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semiHidden w:val="1"/>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1"/>
    <w:tblPr>
      <w:tblStyleRowBandSize w:val="1"/>
      <w:tblStyleColBandSize w:val="1"/>
      <w:tblCellMar>
        <w:left w:w="115.0" w:type="dxa"/>
        <w:right w:w="115.0" w:type="dxa"/>
      </w:tblCellMar>
    </w:tblPr>
  </w:style>
  <w:style w:type="table" w:styleId="a2" w:customStyle="1">
    <w:basedOn w:val="TableNormalf1"/>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0"/>
    <w:tblPr>
      <w:tblStyleRowBandSize w:val="1"/>
      <w:tblStyleColBandSize w:val="1"/>
      <w:tblCellMar>
        <w:left w:w="115.0" w:type="dxa"/>
        <w:right w:w="115.0" w:type="dxa"/>
      </w:tblCellMar>
    </w:tblPr>
  </w:style>
  <w:style w:type="table" w:styleId="a4" w:customStyle="1">
    <w:basedOn w:val="TableNormalf0"/>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
    <w:tblPr>
      <w:tblStyleRowBandSize w:val="1"/>
      <w:tblStyleColBandSize w:val="1"/>
      <w:tblCellMar>
        <w:left w:w="108.0" w:type="dxa"/>
        <w:right w:w="108.0" w:type="dxa"/>
      </w:tblCellMar>
    </w:tblPr>
  </w:style>
  <w:style w:type="table" w:styleId="a6" w:customStyle="1">
    <w:basedOn w:val="TableNormalf"/>
    <w:tblPr>
      <w:tblStyleRowBandSize w:val="1"/>
      <w:tblStyleColBandSize w:val="1"/>
      <w:tblCellMar>
        <w:left w:w="108.0" w:type="dxa"/>
        <w:right w:w="108.0" w:type="dxa"/>
      </w:tblCellMar>
    </w:tblPr>
  </w:style>
  <w:style w:type="table" w:styleId="a7" w:customStyle="1">
    <w:basedOn w:val="TableNormalf"/>
    <w:tblPr>
      <w:tblStyleRowBandSize w:val="1"/>
      <w:tblStyleColBandSize w:val="1"/>
      <w:tblCellMar>
        <w:left w:w="108.0" w:type="dxa"/>
        <w:right w:w="108.0" w:type="dxa"/>
      </w:tblCellMar>
    </w:tblPr>
  </w:style>
  <w:style w:type="table" w:styleId="a8" w:customStyle="1">
    <w:basedOn w:val="TableNormalf"/>
    <w:tblPr>
      <w:tblStyleRowBandSize w:val="1"/>
      <w:tblStyleColBandSize w:val="1"/>
      <w:tblCellMar>
        <w:left w:w="108.0" w:type="dxa"/>
        <w:right w:w="108.0" w:type="dxa"/>
      </w:tblCellMar>
    </w:tblPr>
  </w:style>
  <w:style w:type="table" w:styleId="a9" w:customStyle="1">
    <w:basedOn w:val="TableNormalf"/>
    <w:tblPr>
      <w:tblStyleRowBandSize w:val="1"/>
      <w:tblStyleColBandSize w:val="1"/>
      <w:tblCellMar>
        <w:left w:w="108.0" w:type="dxa"/>
        <w:right w:w="108.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e"/>
    <w:tblPr>
      <w:tblStyleRowBandSize w:val="1"/>
      <w:tblStyleColBandSize w:val="1"/>
      <w:tblCellMar>
        <w:left w:w="108.0" w:type="dxa"/>
        <w:right w:w="108.0" w:type="dxa"/>
      </w:tblCellMar>
    </w:tblPr>
  </w:style>
  <w:style w:type="table" w:styleId="ad" w:customStyle="1">
    <w:basedOn w:val="TableNormale"/>
    <w:tblPr>
      <w:tblStyleRowBandSize w:val="1"/>
      <w:tblStyleColBandSize w:val="1"/>
      <w:tblCellMar>
        <w:left w:w="115.0" w:type="dxa"/>
        <w:right w:w="115.0" w:type="dxa"/>
      </w:tblCellMar>
    </w:tblPr>
  </w:style>
  <w:style w:type="table" w:styleId="ae" w:customStyle="1">
    <w:basedOn w:val="TableNormale"/>
    <w:tblPr>
      <w:tblStyleRowBandSize w:val="1"/>
      <w:tblStyleColBandSize w:val="1"/>
      <w:tblCellMar>
        <w:left w:w="115.0" w:type="dxa"/>
        <w:right w:w="115.0" w:type="dxa"/>
      </w:tblCellMar>
    </w:tblPr>
  </w:style>
  <w:style w:type="table" w:styleId="af" w:customStyle="1">
    <w:basedOn w:val="TableNormald"/>
    <w:tblPr>
      <w:tblStyleRowBandSize w:val="1"/>
      <w:tblStyleColBandSize w:val="1"/>
      <w:tblCellMar>
        <w:left w:w="115.0" w:type="dxa"/>
        <w:right w:w="115.0" w:type="dxa"/>
      </w:tblCellMar>
    </w:tblPr>
  </w:style>
  <w:style w:type="table" w:styleId="af0" w:customStyle="1">
    <w:basedOn w:val="TableNormald"/>
    <w:tblPr>
      <w:tblStyleRowBandSize w:val="1"/>
      <w:tblStyleColBandSize w:val="1"/>
      <w:tblCellMar>
        <w:left w:w="115.0" w:type="dxa"/>
        <w:right w:w="115.0" w:type="dxa"/>
      </w:tblCellMar>
    </w:tblPr>
  </w:style>
  <w:style w:type="table" w:styleId="af1" w:customStyle="1">
    <w:basedOn w:val="TableNormald"/>
    <w:tblPr>
      <w:tblStyleRowBandSize w:val="1"/>
      <w:tblStyleColBandSize w:val="1"/>
      <w:tblCellMar>
        <w:left w:w="115.0" w:type="dxa"/>
        <w:right w:w="115.0" w:type="dxa"/>
      </w:tblCellMar>
    </w:tblPr>
  </w:style>
  <w:style w:type="table" w:styleId="af2" w:customStyle="1">
    <w:basedOn w:val="TableNormalc"/>
    <w:tblPr>
      <w:tblStyleRowBandSize w:val="1"/>
      <w:tblStyleColBandSize w:val="1"/>
      <w:tblCellMar>
        <w:left w:w="115.0" w:type="dxa"/>
        <w:right w:w="115.0" w:type="dxa"/>
      </w:tblCellMar>
    </w:tblPr>
  </w:style>
  <w:style w:type="table" w:styleId="af3" w:customStyle="1">
    <w:basedOn w:val="TableNormalc"/>
    <w:tblPr>
      <w:tblStyleRowBandSize w:val="1"/>
      <w:tblStyleColBandSize w:val="1"/>
      <w:tblCellMar>
        <w:left w:w="115.0" w:type="dxa"/>
        <w:right w:w="115.0" w:type="dxa"/>
      </w:tblCellMar>
    </w:tblPr>
  </w:style>
  <w:style w:type="table" w:styleId="af4" w:customStyle="1">
    <w:basedOn w:val="TableNormalb"/>
    <w:tblPr>
      <w:tblStyleRowBandSize w:val="1"/>
      <w:tblStyleColBandSize w:val="1"/>
      <w:tblCellMar>
        <w:left w:w="115.0" w:type="dxa"/>
        <w:right w:w="115.0" w:type="dxa"/>
      </w:tblCellMar>
    </w:tblPr>
  </w:style>
  <w:style w:type="table" w:styleId="af5" w:customStyle="1">
    <w:basedOn w:val="TableNormalb"/>
    <w:tblPr>
      <w:tblStyleRowBandSize w:val="1"/>
      <w:tblStyleColBandSize w:val="1"/>
      <w:tblCellMar>
        <w:left w:w="115.0" w:type="dxa"/>
        <w:right w:w="115.0" w:type="dxa"/>
      </w:tblCellMar>
    </w:tblPr>
  </w:style>
  <w:style w:type="table" w:styleId="af6" w:customStyle="1">
    <w:basedOn w:val="TableNormala"/>
    <w:tblPr>
      <w:tblStyleRowBandSize w:val="1"/>
      <w:tblStyleColBandSize w:val="1"/>
      <w:tblCellMar>
        <w:left w:w="115.0" w:type="dxa"/>
        <w:right w:w="115.0" w:type="dxa"/>
      </w:tblCellMar>
    </w:tblPr>
  </w:style>
  <w:style w:type="table" w:styleId="af7" w:customStyle="1">
    <w:basedOn w:val="TableNormala"/>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9"/>
    <w:tblPr>
      <w:tblStyleRowBandSize w:val="1"/>
      <w:tblStyleColBandSize w:val="1"/>
      <w:tblCellMar>
        <w:left w:w="115.0" w:type="dxa"/>
        <w:right w:w="115.0" w:type="dxa"/>
      </w:tblCellMar>
    </w:tblPr>
  </w:style>
  <w:style w:type="table" w:styleId="af9" w:customStyle="1">
    <w:basedOn w:val="TableNormal9"/>
    <w:tblPr>
      <w:tblStyleRowBandSize w:val="1"/>
      <w:tblStyleColBandSize w:val="1"/>
      <w:tblCellMar>
        <w:left w:w="115.0" w:type="dxa"/>
        <w:right w:w="115.0" w:type="dxa"/>
      </w:tblCellMar>
    </w:tblPr>
  </w:style>
  <w:style w:type="table" w:styleId="afa" w:customStyle="1">
    <w:basedOn w:val="TableNormal8"/>
    <w:tblPr>
      <w:tblStyleRowBandSize w:val="1"/>
      <w:tblStyleColBandSize w:val="1"/>
      <w:tblCellMar>
        <w:left w:w="115.0" w:type="dxa"/>
        <w:right w:w="115.0" w:type="dxa"/>
      </w:tblCellMar>
    </w:tblPr>
  </w:style>
  <w:style w:type="table" w:styleId="afb" w:customStyle="1">
    <w:basedOn w:val="TableNormal8"/>
    <w:tblPr>
      <w:tblStyleRowBandSize w:val="1"/>
      <w:tblStyleColBandSize w:val="1"/>
      <w:tblCellMar>
        <w:left w:w="115.0" w:type="dxa"/>
        <w:right w:w="115.0" w:type="dxa"/>
      </w:tblCellMar>
    </w:tblPr>
  </w:style>
  <w:style w:type="table" w:styleId="afc" w:customStyle="1">
    <w:basedOn w:val="TableNormal7"/>
    <w:tblPr>
      <w:tblStyleRowBandSize w:val="1"/>
      <w:tblStyleColBandSize w:val="1"/>
      <w:tblCellMar>
        <w:left w:w="115.0" w:type="dxa"/>
        <w:right w:w="115.0" w:type="dxa"/>
      </w:tblCellMar>
    </w:tblPr>
  </w:style>
  <w:style w:type="table" w:styleId="afd" w:customStyle="1">
    <w:basedOn w:val="TableNormal7"/>
    <w:tblPr>
      <w:tblStyleRowBandSize w:val="1"/>
      <w:tblStyleColBandSize w:val="1"/>
      <w:tblCellMar>
        <w:left w:w="115.0" w:type="dxa"/>
        <w:right w:w="115.0" w:type="dxa"/>
      </w:tblCellMar>
    </w:tblPr>
  </w:style>
  <w:style w:type="table" w:styleId="afe" w:customStyle="1">
    <w:basedOn w:val="TableNormal6"/>
    <w:tblPr>
      <w:tblStyleRowBandSize w:val="1"/>
      <w:tblStyleColBandSize w:val="1"/>
      <w:tblCellMar>
        <w:left w:w="115.0" w:type="dxa"/>
        <w:right w:w="115.0" w:type="dxa"/>
      </w:tblCellMar>
    </w:tblPr>
  </w:style>
  <w:style w:type="table" w:styleId="aff" w:customStyle="1">
    <w:basedOn w:val="TableNormal6"/>
    <w:tblPr>
      <w:tblStyleRowBandSize w:val="1"/>
      <w:tblStyleColBandSize w:val="1"/>
      <w:tblCellMar>
        <w:left w:w="115.0" w:type="dxa"/>
        <w:right w:w="115.0" w:type="dxa"/>
      </w:tblCellMar>
    </w:tblPr>
  </w:style>
  <w:style w:type="table" w:styleId="aff0" w:customStyle="1">
    <w:basedOn w:val="TableNormal5"/>
    <w:tblPr>
      <w:tblStyleRowBandSize w:val="1"/>
      <w:tblStyleColBandSize w:val="1"/>
      <w:tblCellMar>
        <w:left w:w="115.0" w:type="dxa"/>
        <w:right w:w="115.0" w:type="dxa"/>
      </w:tblCellMar>
    </w:tblPr>
  </w:style>
  <w:style w:type="table" w:styleId="aff1" w:customStyle="1">
    <w:basedOn w:val="TableNormal5"/>
    <w:tblPr>
      <w:tblStyleRowBandSize w:val="1"/>
      <w:tblStyleColBandSize w:val="1"/>
      <w:tblCellMar>
        <w:left w:w="115.0" w:type="dxa"/>
        <w:right w:w="115.0" w:type="dxa"/>
      </w:tblCellMar>
    </w:tblPr>
  </w:style>
  <w:style w:type="table" w:styleId="aff2" w:customStyle="1">
    <w:basedOn w:val="TableNormal4"/>
    <w:tblPr>
      <w:tblStyleRowBandSize w:val="1"/>
      <w:tblStyleColBandSize w:val="1"/>
      <w:tblCellMar>
        <w:left w:w="115.0" w:type="dxa"/>
        <w:right w:w="115.0" w:type="dxa"/>
      </w:tblCellMar>
    </w:tblPr>
  </w:style>
  <w:style w:type="table" w:styleId="aff3" w:customStyle="1">
    <w:basedOn w:val="TableNormal4"/>
    <w:tblPr>
      <w:tblStyleRowBandSize w:val="1"/>
      <w:tblStyleColBandSize w:val="1"/>
      <w:tblCellMar>
        <w:left w:w="115.0" w:type="dxa"/>
        <w:right w:w="115.0" w:type="dxa"/>
      </w:tblCellMar>
    </w:tblPr>
  </w:style>
  <w:style w:type="table" w:styleId="aff4" w:customStyle="1">
    <w:basedOn w:val="TableNormal3"/>
    <w:tblPr>
      <w:tblStyleRowBandSize w:val="1"/>
      <w:tblStyleColBandSize w:val="1"/>
      <w:tblCellMar>
        <w:left w:w="115.0" w:type="dxa"/>
        <w:right w:w="115.0" w:type="dxa"/>
      </w:tblCellMar>
    </w:tblPr>
  </w:style>
  <w:style w:type="table" w:styleId="aff5" w:customStyle="1">
    <w:basedOn w:val="TableNormal3"/>
    <w:tblPr>
      <w:tblStyleRowBandSize w:val="1"/>
      <w:tblStyleColBandSize w:val="1"/>
      <w:tblCellMar>
        <w:left w:w="115.0" w:type="dxa"/>
        <w:right w:w="115.0" w:type="dxa"/>
      </w:tblCellMar>
    </w:tblPr>
  </w:style>
  <w:style w:type="table" w:styleId="aff6" w:customStyle="1">
    <w:basedOn w:val="TableNormal2"/>
    <w:tblPr>
      <w:tblStyleRowBandSize w:val="1"/>
      <w:tblStyleColBandSize w:val="1"/>
      <w:tblCellMar>
        <w:left w:w="115.0" w:type="dxa"/>
        <w:right w:w="115.0" w:type="dxa"/>
      </w:tblCellMar>
    </w:tblPr>
  </w:style>
  <w:style w:type="table" w:styleId="aff7" w:customStyle="1">
    <w:basedOn w:val="TableNormal2"/>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I2+IOwHmEXjjKgziCIExYy5LA==">CgMxLjAyCWguM3JkY3JqbjIOaC5kYWozajJ4bzZxNjYyCGguZ2pkZ3hzMgloLjNkeTZ2a20yCWguMzBqMHpsbDIJaC4yczhleW8xMghoLnR5amN3dDIJaC4yZXQ5MnAwMgloLjI2aW4xcmcyCWguMTdkcDh2dTIIaC5sbnhiejk4AHIhMWtkRFBobXdNV1hQbW5uMkJfTEEteTExekFCVlRDUlJz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2025-11-19T19:16:00Z</dcterms:created>
  <dc:creator>USUARIO</dc:creator>
</cp:coreProperties>
</file>