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B52" w14:textId="2967CC53" w:rsidR="00FF0200" w:rsidRPr="001234C1" w:rsidRDefault="00BC5887">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1234C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1234C1">
        <w:rPr>
          <w:rFonts w:ascii="Palatino Linotype" w:eastAsia="Palatino Linotype" w:hAnsi="Palatino Linotype" w:cs="Palatino Linotype"/>
          <w:b/>
          <w:sz w:val="22"/>
          <w:szCs w:val="22"/>
        </w:rPr>
        <w:t xml:space="preserve">a </w:t>
      </w:r>
      <w:r w:rsidR="009C53E6" w:rsidRPr="001234C1">
        <w:rPr>
          <w:rFonts w:ascii="Palatino Linotype" w:eastAsia="Palatino Linotype" w:hAnsi="Palatino Linotype" w:cs="Palatino Linotype"/>
          <w:b/>
          <w:sz w:val="22"/>
          <w:szCs w:val="22"/>
        </w:rPr>
        <w:t>dos de abril</w:t>
      </w:r>
      <w:r w:rsidRPr="001234C1">
        <w:rPr>
          <w:rFonts w:ascii="Palatino Linotype" w:eastAsia="Palatino Linotype" w:hAnsi="Palatino Linotype" w:cs="Palatino Linotype"/>
          <w:b/>
          <w:sz w:val="22"/>
          <w:szCs w:val="22"/>
        </w:rPr>
        <w:t xml:space="preserve"> de dos mil veinticinco</w:t>
      </w:r>
      <w:r w:rsidRPr="001234C1">
        <w:rPr>
          <w:rFonts w:ascii="Palatino Linotype" w:eastAsia="Palatino Linotype" w:hAnsi="Palatino Linotype" w:cs="Palatino Linotype"/>
          <w:sz w:val="22"/>
          <w:szCs w:val="22"/>
        </w:rPr>
        <w:t xml:space="preserve">. </w:t>
      </w:r>
    </w:p>
    <w:p w14:paraId="054773DF" w14:textId="1AD80C07" w:rsidR="00FF0200" w:rsidRPr="001234C1" w:rsidRDefault="00BC5887">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1234C1">
        <w:rPr>
          <w:rFonts w:ascii="Palatino Linotype" w:eastAsia="Palatino Linotype" w:hAnsi="Palatino Linotype" w:cs="Palatino Linotype"/>
          <w:b/>
          <w:sz w:val="22"/>
          <w:szCs w:val="22"/>
        </w:rPr>
        <w:t>Visto</w:t>
      </w:r>
      <w:r w:rsidRPr="001234C1">
        <w:rPr>
          <w:rFonts w:ascii="Palatino Linotype" w:eastAsia="Palatino Linotype" w:hAnsi="Palatino Linotype" w:cs="Palatino Linotype"/>
          <w:sz w:val="22"/>
          <w:szCs w:val="22"/>
        </w:rPr>
        <w:t xml:space="preserve"> el expediente formado con motivo del recurso de revisión </w:t>
      </w:r>
      <w:r w:rsidRPr="001234C1">
        <w:rPr>
          <w:rFonts w:ascii="Palatino Linotype" w:eastAsia="Palatino Linotype" w:hAnsi="Palatino Linotype" w:cs="Palatino Linotype"/>
          <w:b/>
          <w:sz w:val="22"/>
          <w:szCs w:val="22"/>
        </w:rPr>
        <w:t>0</w:t>
      </w:r>
      <w:r w:rsidR="00EE5D78" w:rsidRPr="001234C1">
        <w:rPr>
          <w:rFonts w:ascii="Palatino Linotype" w:eastAsia="Palatino Linotype" w:hAnsi="Palatino Linotype" w:cs="Palatino Linotype"/>
          <w:b/>
          <w:sz w:val="22"/>
          <w:szCs w:val="22"/>
        </w:rPr>
        <w:t>1439</w:t>
      </w:r>
      <w:r w:rsidRPr="001234C1">
        <w:rPr>
          <w:rFonts w:ascii="Palatino Linotype" w:eastAsia="Palatino Linotype" w:hAnsi="Palatino Linotype" w:cs="Palatino Linotype"/>
          <w:b/>
          <w:sz w:val="22"/>
          <w:szCs w:val="22"/>
        </w:rPr>
        <w:t>/INFOEM/IP/RR/2025</w:t>
      </w:r>
      <w:r w:rsidRPr="001234C1">
        <w:rPr>
          <w:rFonts w:ascii="Palatino Linotype" w:eastAsia="Palatino Linotype" w:hAnsi="Palatino Linotype" w:cs="Palatino Linotype"/>
          <w:sz w:val="22"/>
          <w:szCs w:val="22"/>
        </w:rPr>
        <w:t>, interpuesto por</w:t>
      </w:r>
      <w:r w:rsidRPr="001234C1">
        <w:rPr>
          <w:rFonts w:ascii="Palatino Linotype" w:eastAsia="Palatino Linotype" w:hAnsi="Palatino Linotype" w:cs="Palatino Linotype"/>
          <w:b/>
          <w:sz w:val="22"/>
          <w:szCs w:val="22"/>
        </w:rPr>
        <w:t xml:space="preserve"> </w:t>
      </w:r>
      <w:r w:rsidR="00DC1808" w:rsidRPr="001234C1">
        <w:rPr>
          <w:rFonts w:ascii="Palatino Linotype" w:eastAsia="Palatino Linotype" w:hAnsi="Palatino Linotype" w:cs="Palatino Linotype"/>
          <w:b/>
          <w:sz w:val="22"/>
          <w:szCs w:val="22"/>
        </w:rPr>
        <w:t>una persona usuaria del Sistema de Acceso a la Información Mexiquense que no proporcionó nombre</w:t>
      </w:r>
      <w:r w:rsidRPr="001234C1">
        <w:rPr>
          <w:rFonts w:ascii="Palatino Linotype" w:eastAsia="Palatino Linotype" w:hAnsi="Palatino Linotype" w:cs="Palatino Linotype"/>
          <w:b/>
          <w:sz w:val="22"/>
          <w:szCs w:val="22"/>
        </w:rPr>
        <w:t>,</w:t>
      </w:r>
      <w:r w:rsidRPr="001234C1">
        <w:rPr>
          <w:rFonts w:ascii="Palatino Linotype" w:eastAsia="Palatino Linotype" w:hAnsi="Palatino Linotype" w:cs="Palatino Linotype"/>
          <w:sz w:val="22"/>
          <w:szCs w:val="22"/>
        </w:rPr>
        <w:t xml:space="preserve"> en lo sucesivo</w:t>
      </w:r>
      <w:r w:rsidRPr="001234C1">
        <w:rPr>
          <w:rFonts w:ascii="Palatino Linotype" w:eastAsia="Palatino Linotype" w:hAnsi="Palatino Linotype" w:cs="Palatino Linotype"/>
          <w:b/>
          <w:sz w:val="22"/>
          <w:szCs w:val="22"/>
        </w:rPr>
        <w:t xml:space="preserve"> la parte</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Recurrente,</w:t>
      </w:r>
      <w:r w:rsidRPr="001234C1">
        <w:rPr>
          <w:rFonts w:ascii="Palatino Linotype" w:eastAsia="Palatino Linotype" w:hAnsi="Palatino Linotype" w:cs="Palatino Linotype"/>
          <w:sz w:val="22"/>
          <w:szCs w:val="22"/>
        </w:rPr>
        <w:t xml:space="preserve"> en contra de la respuesta a su solicitud por parte de</w:t>
      </w:r>
      <w:r w:rsidR="00DC1808" w:rsidRPr="001234C1">
        <w:rPr>
          <w:rFonts w:ascii="Palatino Linotype" w:eastAsia="Palatino Linotype" w:hAnsi="Palatino Linotype" w:cs="Palatino Linotype"/>
          <w:sz w:val="22"/>
          <w:szCs w:val="22"/>
        </w:rPr>
        <w:t>l</w:t>
      </w:r>
      <w:r w:rsidRPr="001234C1">
        <w:rPr>
          <w:rFonts w:ascii="Palatino Linotype" w:eastAsia="Palatino Linotype" w:hAnsi="Palatino Linotype" w:cs="Palatino Linotype"/>
          <w:b/>
          <w:sz w:val="22"/>
          <w:szCs w:val="22"/>
        </w:rPr>
        <w:t xml:space="preserve"> </w:t>
      </w:r>
      <w:r w:rsidR="00DC1808" w:rsidRPr="001234C1">
        <w:rPr>
          <w:rFonts w:ascii="Palatino Linotype" w:eastAsia="Palatino Linotype" w:hAnsi="Palatino Linotype" w:cs="Palatino Linotype"/>
          <w:b/>
          <w:sz w:val="22"/>
          <w:szCs w:val="22"/>
        </w:rPr>
        <w:t>Ayuntamiento de Toluca</w:t>
      </w:r>
      <w:r w:rsidRPr="001234C1">
        <w:rPr>
          <w:rFonts w:ascii="Palatino Linotype" w:eastAsia="Palatino Linotype" w:hAnsi="Palatino Linotype" w:cs="Palatino Linotype"/>
          <w:sz w:val="22"/>
          <w:szCs w:val="22"/>
        </w:rPr>
        <w:t>,</w:t>
      </w:r>
      <w:r w:rsidRPr="001234C1">
        <w:rPr>
          <w:rFonts w:ascii="Palatino Linotype" w:eastAsia="Palatino Linotype" w:hAnsi="Palatino Linotype" w:cs="Palatino Linotype"/>
          <w:b/>
          <w:sz w:val="22"/>
          <w:szCs w:val="22"/>
        </w:rPr>
        <w:t xml:space="preserve"> </w:t>
      </w:r>
      <w:r w:rsidRPr="001234C1">
        <w:rPr>
          <w:rFonts w:ascii="Palatino Linotype" w:eastAsia="Palatino Linotype" w:hAnsi="Palatino Linotype" w:cs="Palatino Linotype"/>
          <w:sz w:val="22"/>
          <w:szCs w:val="22"/>
        </w:rPr>
        <w:t xml:space="preserve">en lo sucesivo el </w:t>
      </w:r>
      <w:r w:rsidRPr="001234C1">
        <w:rPr>
          <w:rFonts w:ascii="Palatino Linotype" w:eastAsia="Palatino Linotype" w:hAnsi="Palatino Linotype" w:cs="Palatino Linotype"/>
          <w:b/>
          <w:sz w:val="22"/>
          <w:szCs w:val="22"/>
        </w:rPr>
        <w:t xml:space="preserve">Sujeto Obligado, </w:t>
      </w:r>
      <w:r w:rsidRPr="001234C1">
        <w:rPr>
          <w:rFonts w:ascii="Palatino Linotype" w:eastAsia="Palatino Linotype" w:hAnsi="Palatino Linotype" w:cs="Palatino Linotype"/>
          <w:sz w:val="22"/>
          <w:szCs w:val="22"/>
        </w:rPr>
        <w:t xml:space="preserve">se procede a dictar la presente resolución con base en los siguientes: </w:t>
      </w:r>
    </w:p>
    <w:p w14:paraId="2134E5A4" w14:textId="77777777" w:rsidR="00FF0200" w:rsidRPr="001234C1" w:rsidRDefault="00BC5887">
      <w:pPr>
        <w:spacing w:before="240" w:after="240" w:line="360" w:lineRule="auto"/>
        <w:jc w:val="center"/>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sz w:val="22"/>
          <w:szCs w:val="22"/>
        </w:rPr>
        <w:t>I. A N T E C E D E N T E S</w:t>
      </w:r>
    </w:p>
    <w:p w14:paraId="055A7DD4" w14:textId="7428E7B6" w:rsidR="00FF0200" w:rsidRPr="001234C1" w:rsidRDefault="00BC5887">
      <w:pPr>
        <w:spacing w:before="240" w:after="240"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1. Solicitud de acceso a la información.</w:t>
      </w:r>
      <w:r w:rsidRPr="001234C1">
        <w:rPr>
          <w:rFonts w:ascii="Palatino Linotype" w:eastAsia="Palatino Linotype" w:hAnsi="Palatino Linotype" w:cs="Palatino Linotype"/>
          <w:sz w:val="22"/>
          <w:szCs w:val="22"/>
        </w:rPr>
        <w:t xml:space="preserve"> El </w:t>
      </w:r>
      <w:r w:rsidR="009C53E6" w:rsidRPr="001234C1">
        <w:rPr>
          <w:rFonts w:ascii="Palatino Linotype" w:eastAsia="Palatino Linotype" w:hAnsi="Palatino Linotype" w:cs="Palatino Linotype"/>
          <w:b/>
          <w:sz w:val="22"/>
          <w:szCs w:val="22"/>
        </w:rPr>
        <w:t>catorce de enero de dos mil veinticinco</w:t>
      </w:r>
      <w:r w:rsidRPr="001234C1">
        <w:rPr>
          <w:rFonts w:ascii="Palatino Linotype" w:eastAsia="Palatino Linotype" w:hAnsi="Palatino Linotype" w:cs="Palatino Linotype"/>
          <w:b/>
          <w:sz w:val="22"/>
          <w:szCs w:val="22"/>
        </w:rPr>
        <w:t>,</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la parte</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 xml:space="preserve">Recurrente </w:t>
      </w:r>
      <w:r w:rsidRPr="001234C1">
        <w:rPr>
          <w:rFonts w:ascii="Palatino Linotype" w:eastAsia="Palatino Linotype" w:hAnsi="Palatino Linotype" w:cs="Palatino Linotype"/>
          <w:color w:val="000000"/>
          <w:sz w:val="22"/>
          <w:szCs w:val="22"/>
        </w:rPr>
        <w:t xml:space="preserve">a través del Sistema de Acceso a la Información Mexiquense, en lo subsecuente el SAIMEX, formuló ante el </w:t>
      </w:r>
      <w:r w:rsidRPr="001234C1">
        <w:rPr>
          <w:rFonts w:ascii="Palatino Linotype" w:eastAsia="Palatino Linotype" w:hAnsi="Palatino Linotype" w:cs="Palatino Linotype"/>
          <w:b/>
          <w:color w:val="000000"/>
          <w:sz w:val="22"/>
          <w:szCs w:val="22"/>
        </w:rPr>
        <w:t>Sujeto Obligado</w:t>
      </w:r>
      <w:r w:rsidRPr="001234C1">
        <w:rPr>
          <w:rFonts w:ascii="Palatino Linotype" w:eastAsia="Palatino Linotype" w:hAnsi="Palatino Linotype" w:cs="Palatino Linotype"/>
          <w:color w:val="000000"/>
          <w:sz w:val="22"/>
          <w:szCs w:val="22"/>
        </w:rPr>
        <w:t>, la solicitud de acceso a la información pública a la que se le asignó el número</w:t>
      </w:r>
      <w:r w:rsidRPr="001234C1">
        <w:t xml:space="preserve"> </w:t>
      </w:r>
      <w:r w:rsidR="009C53E6" w:rsidRPr="001234C1">
        <w:rPr>
          <w:rFonts w:ascii="Palatino Linotype" w:eastAsia="Palatino Linotype" w:hAnsi="Palatino Linotype" w:cs="Palatino Linotype"/>
          <w:b/>
          <w:color w:val="000000"/>
          <w:sz w:val="22"/>
          <w:szCs w:val="22"/>
        </w:rPr>
        <w:t>00260/TOLUCA/IP/2025</w:t>
      </w:r>
      <w:r w:rsidRPr="001234C1">
        <w:rPr>
          <w:rFonts w:ascii="Palatino Linotype" w:eastAsia="Palatino Linotype" w:hAnsi="Palatino Linotype" w:cs="Palatino Linotype"/>
          <w:b/>
          <w:sz w:val="22"/>
          <w:szCs w:val="22"/>
        </w:rPr>
        <w:t xml:space="preserve">, </w:t>
      </w:r>
      <w:r w:rsidRPr="001234C1">
        <w:rPr>
          <w:rFonts w:ascii="Palatino Linotype" w:eastAsia="Palatino Linotype" w:hAnsi="Palatino Linotype" w:cs="Palatino Linotype"/>
          <w:sz w:val="22"/>
          <w:szCs w:val="22"/>
        </w:rPr>
        <w:t xml:space="preserve">mediante la cual requirió la información siguiente: </w:t>
      </w:r>
    </w:p>
    <w:p w14:paraId="7B99D8CC" w14:textId="22A4A657" w:rsidR="00FF0200" w:rsidRPr="001234C1" w:rsidRDefault="00BC5887">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1234C1">
        <w:rPr>
          <w:rFonts w:ascii="Palatino Linotype" w:eastAsia="Palatino Linotype" w:hAnsi="Palatino Linotype" w:cs="Palatino Linotype"/>
          <w:i/>
          <w:sz w:val="22"/>
          <w:szCs w:val="22"/>
        </w:rPr>
        <w:t>“</w:t>
      </w:r>
      <w:r w:rsidR="009C53E6" w:rsidRPr="001234C1">
        <w:rPr>
          <w:rFonts w:ascii="Palatino Linotype" w:eastAsia="Palatino Linotype" w:hAnsi="Palatino Linotype" w:cs="Palatino Linotype"/>
          <w:i/>
          <w:sz w:val="22"/>
          <w:szCs w:val="22"/>
        </w:rPr>
        <w:t>Solicito los documentos que acrediten que el Tesorero Municipal solicito al Presidente Municipal de Toluca Administración 2019-2021, la cancelación de los folios de los proyectos FEFOM 2021"</w:t>
      </w:r>
      <w:r w:rsidRPr="001234C1">
        <w:rPr>
          <w:rFonts w:ascii="Palatino Linotype" w:eastAsia="Palatino Linotype" w:hAnsi="Palatino Linotype" w:cs="Palatino Linotype"/>
          <w:i/>
          <w:sz w:val="22"/>
          <w:szCs w:val="22"/>
        </w:rPr>
        <w:t xml:space="preserve"> (Sic) </w:t>
      </w:r>
    </w:p>
    <w:p w14:paraId="581EFF72" w14:textId="77777777" w:rsidR="00FF0200" w:rsidRPr="001234C1" w:rsidRDefault="00BC5887">
      <w:pPr>
        <w:spacing w:before="240" w:after="240"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Modalidad de Entrega:</w:t>
      </w:r>
      <w:r w:rsidRPr="001234C1">
        <w:rPr>
          <w:rFonts w:ascii="Palatino Linotype" w:eastAsia="Palatino Linotype" w:hAnsi="Palatino Linotype" w:cs="Palatino Linotype"/>
          <w:sz w:val="22"/>
          <w:szCs w:val="22"/>
        </w:rPr>
        <w:t xml:space="preserve"> a través del Sistema de Acceso a la Información Mexiquense (SAIMEX).</w:t>
      </w:r>
    </w:p>
    <w:p w14:paraId="383AA3A3" w14:textId="531CEDFC" w:rsidR="00FF0200" w:rsidRPr="001234C1" w:rsidRDefault="00BC5887">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bookmarkStart w:id="3" w:name="_heading=h.3dy6vkm" w:colFirst="0" w:colLast="0"/>
      <w:bookmarkEnd w:id="3"/>
      <w:r w:rsidRPr="001234C1">
        <w:rPr>
          <w:rFonts w:ascii="Palatino Linotype" w:eastAsia="Palatino Linotype" w:hAnsi="Palatino Linotype" w:cs="Palatino Linotype"/>
          <w:b/>
          <w:color w:val="000000"/>
          <w:sz w:val="22"/>
          <w:szCs w:val="22"/>
        </w:rPr>
        <w:t xml:space="preserve">2. Respuesta. </w:t>
      </w:r>
      <w:r w:rsidRPr="001234C1">
        <w:rPr>
          <w:rFonts w:ascii="Palatino Linotype" w:eastAsia="Palatino Linotype" w:hAnsi="Palatino Linotype" w:cs="Palatino Linotype"/>
          <w:sz w:val="22"/>
          <w:szCs w:val="22"/>
        </w:rPr>
        <w:t xml:space="preserve">El </w:t>
      </w:r>
      <w:r w:rsidR="009C53E6" w:rsidRPr="001234C1">
        <w:rPr>
          <w:rFonts w:ascii="Palatino Linotype" w:eastAsia="Palatino Linotype" w:hAnsi="Palatino Linotype" w:cs="Palatino Linotype"/>
          <w:b/>
          <w:sz w:val="22"/>
          <w:szCs w:val="22"/>
        </w:rPr>
        <w:t>cinco de febrero de dos mil veinticinco</w:t>
      </w:r>
      <w:r w:rsidRPr="001234C1">
        <w:rPr>
          <w:rFonts w:ascii="Palatino Linotype" w:eastAsia="Palatino Linotype" w:hAnsi="Palatino Linotype" w:cs="Palatino Linotype"/>
          <w:color w:val="000000"/>
          <w:sz w:val="22"/>
          <w:szCs w:val="22"/>
        </w:rPr>
        <w:t xml:space="preserve">, el </w:t>
      </w:r>
      <w:r w:rsidRPr="001234C1">
        <w:rPr>
          <w:rFonts w:ascii="Palatino Linotype" w:eastAsia="Palatino Linotype" w:hAnsi="Palatino Linotype" w:cs="Palatino Linotype"/>
          <w:b/>
          <w:color w:val="000000"/>
          <w:sz w:val="22"/>
          <w:szCs w:val="22"/>
        </w:rPr>
        <w:t xml:space="preserve">Sujeto Obligado </w:t>
      </w:r>
      <w:r w:rsidRPr="001234C1">
        <w:rPr>
          <w:rFonts w:ascii="Palatino Linotype" w:eastAsia="Palatino Linotype" w:hAnsi="Palatino Linotype" w:cs="Palatino Linotype"/>
          <w:color w:val="000000"/>
          <w:sz w:val="22"/>
          <w:szCs w:val="22"/>
        </w:rPr>
        <w:t>envió su respuesta a la solicitud de acceso a la información a través de SAIMEX, sustancialmente en los términos siguientes:</w:t>
      </w:r>
    </w:p>
    <w:p w14:paraId="3CA47B48" w14:textId="5F404299" w:rsidR="00FF0200" w:rsidRPr="001234C1" w:rsidRDefault="00BC5887">
      <w:pPr>
        <w:spacing w:before="240" w:after="240"/>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lastRenderedPageBreak/>
        <w:t>“</w:t>
      </w:r>
      <w:r w:rsidR="009C53E6" w:rsidRPr="001234C1">
        <w:rPr>
          <w:rFonts w:ascii="Palatino Linotype" w:eastAsia="Palatino Linotype" w:hAnsi="Palatino Linotype" w:cs="Palatino Linotype"/>
          <w:i/>
          <w:sz w:val="22"/>
          <w:szCs w:val="22"/>
        </w:rPr>
        <w:t>En atención a la solicitud con folio 0260/TOLUCA/IP/2025, me permito adjuntar al presente la respuesta correspondiente. Sin más por el momento, reciba un saludo.</w:t>
      </w:r>
      <w:r w:rsidRPr="001234C1">
        <w:rPr>
          <w:rFonts w:ascii="Palatino Linotype" w:eastAsia="Palatino Linotype" w:hAnsi="Palatino Linotype" w:cs="Palatino Linotype"/>
          <w:i/>
          <w:sz w:val="22"/>
          <w:szCs w:val="22"/>
        </w:rPr>
        <w:t>” (Sic)</w:t>
      </w:r>
    </w:p>
    <w:p w14:paraId="0D1A558C" w14:textId="161C49F8" w:rsidR="00FF0200" w:rsidRPr="001234C1" w:rsidRDefault="00BC588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Adjunto a la respuesta, el </w:t>
      </w:r>
      <w:r w:rsidRPr="001234C1">
        <w:rPr>
          <w:rFonts w:ascii="Palatino Linotype" w:eastAsia="Palatino Linotype" w:hAnsi="Palatino Linotype" w:cs="Palatino Linotype"/>
          <w:b/>
          <w:sz w:val="22"/>
          <w:szCs w:val="22"/>
        </w:rPr>
        <w:t xml:space="preserve">Sujeto Obligado </w:t>
      </w:r>
      <w:r w:rsidRPr="001234C1">
        <w:rPr>
          <w:rFonts w:ascii="Palatino Linotype" w:eastAsia="Palatino Linotype" w:hAnsi="Palatino Linotype" w:cs="Palatino Linotype"/>
          <w:sz w:val="22"/>
          <w:szCs w:val="22"/>
        </w:rPr>
        <w:t xml:space="preserve">entregó </w:t>
      </w:r>
      <w:r w:rsidR="009C53E6" w:rsidRPr="001234C1">
        <w:rPr>
          <w:rFonts w:ascii="Palatino Linotype" w:eastAsia="Palatino Linotype" w:hAnsi="Palatino Linotype" w:cs="Palatino Linotype"/>
          <w:sz w:val="22"/>
          <w:szCs w:val="22"/>
        </w:rPr>
        <w:t>el</w:t>
      </w:r>
      <w:r w:rsidRPr="001234C1">
        <w:rPr>
          <w:rFonts w:ascii="Palatino Linotype" w:eastAsia="Palatino Linotype" w:hAnsi="Palatino Linotype" w:cs="Palatino Linotype"/>
          <w:sz w:val="22"/>
          <w:szCs w:val="22"/>
        </w:rPr>
        <w:t xml:space="preserve"> archivo electrónico que contiene la información siguiente:</w:t>
      </w:r>
    </w:p>
    <w:p w14:paraId="46508DE9" w14:textId="77777777" w:rsidR="00FF0200" w:rsidRPr="001234C1" w:rsidRDefault="00FF0200">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B610A60" w14:textId="59ABCA84" w:rsidR="00FF0200" w:rsidRPr="001234C1" w:rsidRDefault="00CF6FF6">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sidRPr="001234C1">
        <w:rPr>
          <w:rFonts w:ascii="Palatino Linotype" w:eastAsia="Palatino Linotype" w:hAnsi="Palatino Linotype" w:cs="Palatino Linotype"/>
          <w:b/>
          <w:i/>
          <w:color w:val="000000"/>
          <w:sz w:val="22"/>
          <w:szCs w:val="22"/>
        </w:rPr>
        <w:t>RESPUESTA 0260.2025.pdf</w:t>
      </w:r>
      <w:r w:rsidR="00BC5887" w:rsidRPr="001234C1">
        <w:rPr>
          <w:rFonts w:ascii="Palatino Linotype" w:eastAsia="Palatino Linotype" w:hAnsi="Palatino Linotype" w:cs="Palatino Linotype"/>
          <w:b/>
          <w:i/>
          <w:color w:val="000000"/>
          <w:sz w:val="22"/>
          <w:szCs w:val="22"/>
        </w:rPr>
        <w:t xml:space="preserve">: </w:t>
      </w:r>
      <w:r w:rsidR="00DC1808" w:rsidRPr="001234C1">
        <w:rPr>
          <w:rFonts w:ascii="Palatino Linotype" w:eastAsia="Palatino Linotype" w:hAnsi="Palatino Linotype" w:cs="Palatino Linotype"/>
          <w:color w:val="000000"/>
          <w:sz w:val="22"/>
          <w:szCs w:val="22"/>
        </w:rPr>
        <w:t>Oficio</w:t>
      </w:r>
      <w:r w:rsidRPr="001234C1">
        <w:rPr>
          <w:rFonts w:ascii="Palatino Linotype" w:eastAsia="Palatino Linotype" w:hAnsi="Palatino Linotype" w:cs="Palatino Linotype"/>
          <w:color w:val="000000"/>
          <w:sz w:val="22"/>
          <w:szCs w:val="22"/>
        </w:rPr>
        <w:t xml:space="preserve"> del cinco de febrero de dos mil veinticinco</w:t>
      </w:r>
      <w:r w:rsidR="00BC5887" w:rsidRPr="001234C1">
        <w:rPr>
          <w:rFonts w:ascii="Palatino Linotype" w:eastAsia="Palatino Linotype" w:hAnsi="Palatino Linotype" w:cs="Palatino Linotype"/>
          <w:color w:val="000000"/>
          <w:sz w:val="22"/>
          <w:szCs w:val="22"/>
        </w:rPr>
        <w:t xml:space="preserve">, a través del cual el </w:t>
      </w:r>
      <w:r w:rsidRPr="001234C1">
        <w:rPr>
          <w:rFonts w:ascii="Palatino Linotype" w:eastAsia="Palatino Linotype" w:hAnsi="Palatino Linotype" w:cs="Palatino Linotype"/>
          <w:color w:val="000000"/>
          <w:sz w:val="22"/>
          <w:szCs w:val="22"/>
        </w:rPr>
        <w:t>Titular de la Unidad de Transparencia</w:t>
      </w:r>
      <w:r w:rsidR="00BC5887" w:rsidRPr="001234C1">
        <w:rPr>
          <w:rFonts w:ascii="Palatino Linotype" w:eastAsia="Palatino Linotype" w:hAnsi="Palatino Linotype" w:cs="Palatino Linotype"/>
          <w:color w:val="000000"/>
          <w:sz w:val="22"/>
          <w:szCs w:val="22"/>
        </w:rPr>
        <w:t xml:space="preserve"> </w:t>
      </w:r>
      <w:r w:rsidRPr="001234C1">
        <w:rPr>
          <w:rFonts w:ascii="Palatino Linotype" w:eastAsia="Palatino Linotype" w:hAnsi="Palatino Linotype" w:cs="Palatino Linotype"/>
          <w:color w:val="000000"/>
          <w:sz w:val="22"/>
          <w:szCs w:val="22"/>
        </w:rPr>
        <w:t xml:space="preserve">hizo del conocimiento de la parte </w:t>
      </w:r>
      <w:r w:rsidRPr="001234C1">
        <w:rPr>
          <w:rFonts w:ascii="Palatino Linotype" w:eastAsia="Palatino Linotype" w:hAnsi="Palatino Linotype" w:cs="Palatino Linotype"/>
          <w:b/>
          <w:bCs/>
          <w:color w:val="000000"/>
          <w:sz w:val="22"/>
          <w:szCs w:val="22"/>
        </w:rPr>
        <w:t xml:space="preserve">Recurrente </w:t>
      </w:r>
      <w:r w:rsidRPr="001234C1">
        <w:rPr>
          <w:rFonts w:ascii="Palatino Linotype" w:eastAsia="Palatino Linotype" w:hAnsi="Palatino Linotype" w:cs="Palatino Linotype"/>
          <w:color w:val="000000"/>
          <w:sz w:val="22"/>
          <w:szCs w:val="22"/>
        </w:rPr>
        <w:t xml:space="preserve">que la Tesorería Municipal y Servidor Público Habilitado informó que después de realizar una búsqueda exhaustiva dentro de los archivos que obran </w:t>
      </w:r>
      <w:r w:rsidR="00D665E8" w:rsidRPr="001234C1">
        <w:rPr>
          <w:rFonts w:ascii="Palatino Linotype" w:eastAsia="Palatino Linotype" w:hAnsi="Palatino Linotype" w:cs="Palatino Linotype"/>
          <w:color w:val="000000"/>
          <w:sz w:val="22"/>
          <w:szCs w:val="22"/>
        </w:rPr>
        <w:t xml:space="preserve">en esa área, no se localizó documento alguno que </w:t>
      </w:r>
      <w:r w:rsidR="00761A60" w:rsidRPr="001234C1">
        <w:rPr>
          <w:rFonts w:ascii="Palatino Linotype" w:eastAsia="Palatino Linotype" w:hAnsi="Palatino Linotype" w:cs="Palatino Linotype"/>
          <w:color w:val="000000"/>
          <w:sz w:val="22"/>
          <w:szCs w:val="22"/>
        </w:rPr>
        <w:t>dé</w:t>
      </w:r>
      <w:r w:rsidR="00D665E8" w:rsidRPr="001234C1">
        <w:rPr>
          <w:rFonts w:ascii="Palatino Linotype" w:eastAsia="Palatino Linotype" w:hAnsi="Palatino Linotype" w:cs="Palatino Linotype"/>
          <w:color w:val="000000"/>
          <w:sz w:val="22"/>
          <w:szCs w:val="22"/>
        </w:rPr>
        <w:t xml:space="preserve"> cuenta </w:t>
      </w:r>
      <w:r w:rsidR="00DC1808" w:rsidRPr="001234C1">
        <w:rPr>
          <w:rFonts w:ascii="Palatino Linotype" w:eastAsia="Palatino Linotype" w:hAnsi="Palatino Linotype" w:cs="Palatino Linotype"/>
          <w:color w:val="000000"/>
          <w:sz w:val="22"/>
          <w:szCs w:val="22"/>
        </w:rPr>
        <w:t>de</w:t>
      </w:r>
      <w:r w:rsidR="00D665E8" w:rsidRPr="001234C1">
        <w:rPr>
          <w:rFonts w:ascii="Palatino Linotype" w:eastAsia="Palatino Linotype" w:hAnsi="Palatino Linotype" w:cs="Palatino Linotype"/>
          <w:color w:val="000000"/>
          <w:sz w:val="22"/>
          <w:szCs w:val="22"/>
        </w:rPr>
        <w:t xml:space="preserve"> lo solicitado. </w:t>
      </w:r>
    </w:p>
    <w:p w14:paraId="74D7B979" w14:textId="77777777" w:rsidR="00FF0200" w:rsidRPr="001234C1" w:rsidRDefault="00FF0200">
      <w:pPr>
        <w:pBdr>
          <w:top w:val="nil"/>
          <w:left w:val="nil"/>
          <w:bottom w:val="nil"/>
          <w:right w:val="nil"/>
          <w:between w:val="nil"/>
        </w:pBdr>
        <w:spacing w:line="276" w:lineRule="auto"/>
        <w:ind w:left="360" w:right="49"/>
        <w:jc w:val="both"/>
        <w:rPr>
          <w:rFonts w:ascii="Palatino Linotype" w:eastAsia="Palatino Linotype" w:hAnsi="Palatino Linotype" w:cs="Palatino Linotype"/>
          <w:b/>
          <w:i/>
          <w:color w:val="000000"/>
          <w:sz w:val="22"/>
          <w:szCs w:val="22"/>
        </w:rPr>
      </w:pPr>
    </w:p>
    <w:p w14:paraId="0213B846" w14:textId="4E1AEAF9" w:rsidR="00FF0200" w:rsidRPr="001234C1" w:rsidRDefault="00BC588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sz w:val="22"/>
          <w:szCs w:val="22"/>
        </w:rPr>
        <w:t xml:space="preserve">3. Interposición del recurso de revisión. </w:t>
      </w:r>
      <w:r w:rsidRPr="001234C1">
        <w:rPr>
          <w:rFonts w:ascii="Palatino Linotype" w:eastAsia="Palatino Linotype" w:hAnsi="Palatino Linotype" w:cs="Palatino Linotype"/>
          <w:sz w:val="22"/>
          <w:szCs w:val="22"/>
        </w:rPr>
        <w:t xml:space="preserve">Inconforme con los términos de la respuesta emitida por parte del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el</w:t>
      </w:r>
      <w:r w:rsidRPr="001234C1">
        <w:rPr>
          <w:rFonts w:ascii="Palatino Linotype" w:eastAsia="Palatino Linotype" w:hAnsi="Palatino Linotype" w:cs="Palatino Linotype"/>
          <w:b/>
          <w:sz w:val="22"/>
          <w:szCs w:val="22"/>
        </w:rPr>
        <w:t xml:space="preserve"> </w:t>
      </w:r>
      <w:r w:rsidR="00D665E8" w:rsidRPr="001234C1">
        <w:rPr>
          <w:rFonts w:ascii="Palatino Linotype" w:eastAsia="Palatino Linotype" w:hAnsi="Palatino Linotype" w:cs="Palatino Linotype"/>
          <w:b/>
          <w:sz w:val="22"/>
          <w:szCs w:val="22"/>
        </w:rPr>
        <w:t xml:space="preserve">catorce de febrero </w:t>
      </w:r>
      <w:r w:rsidRPr="001234C1">
        <w:rPr>
          <w:rFonts w:ascii="Palatino Linotype" w:eastAsia="Palatino Linotype" w:hAnsi="Palatino Linotype" w:cs="Palatino Linotype"/>
          <w:b/>
          <w:sz w:val="22"/>
          <w:szCs w:val="22"/>
        </w:rPr>
        <w:t>de dos mil veinticinco,</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la parte</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Recurrente</w:t>
      </w:r>
      <w:r w:rsidRPr="001234C1">
        <w:rPr>
          <w:rFonts w:ascii="Palatino Linotype" w:eastAsia="Palatino Linotype" w:hAnsi="Palatino Linotype" w:cs="Palatino Linotype"/>
          <w:sz w:val="22"/>
          <w:szCs w:val="22"/>
        </w:rPr>
        <w:t xml:space="preserve"> interpuso el recurso de revisión a través de </w:t>
      </w:r>
      <w:r w:rsidRPr="001234C1">
        <w:rPr>
          <w:rFonts w:ascii="Palatino Linotype" w:eastAsia="Palatino Linotype" w:hAnsi="Palatino Linotype" w:cs="Palatino Linotype"/>
          <w:b/>
          <w:sz w:val="22"/>
          <w:szCs w:val="22"/>
        </w:rPr>
        <w:t xml:space="preserve">SAIMEX, </w:t>
      </w:r>
      <w:r w:rsidRPr="001234C1">
        <w:rPr>
          <w:rFonts w:ascii="Palatino Linotype" w:eastAsia="Palatino Linotype" w:hAnsi="Palatino Linotype" w:cs="Palatino Linotype"/>
          <w:sz w:val="22"/>
          <w:szCs w:val="22"/>
        </w:rPr>
        <w:t>en donde se manifestó de la siguiente manera:</w:t>
      </w:r>
    </w:p>
    <w:p w14:paraId="49910E9A" w14:textId="5444AF90" w:rsidR="00FF0200" w:rsidRPr="001234C1" w:rsidRDefault="00BC588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sz w:val="22"/>
          <w:szCs w:val="22"/>
        </w:rPr>
        <w:t xml:space="preserve">a) Acto impugnado: </w:t>
      </w:r>
      <w:r w:rsidRPr="001234C1">
        <w:rPr>
          <w:rFonts w:ascii="Palatino Linotype" w:eastAsia="Palatino Linotype" w:hAnsi="Palatino Linotype" w:cs="Palatino Linotype"/>
          <w:i/>
          <w:sz w:val="22"/>
          <w:szCs w:val="22"/>
        </w:rPr>
        <w:t>“</w:t>
      </w:r>
      <w:r w:rsidR="00D665E8" w:rsidRPr="001234C1">
        <w:rPr>
          <w:rFonts w:ascii="Palatino Linotype" w:eastAsia="Palatino Linotype" w:hAnsi="Palatino Linotype" w:cs="Palatino Linotype"/>
          <w:i/>
          <w:sz w:val="22"/>
          <w:szCs w:val="22"/>
        </w:rPr>
        <w:t>No ser transparente ocultan la. Inflamación que existe</w:t>
      </w:r>
      <w:r w:rsidRPr="001234C1">
        <w:rPr>
          <w:rFonts w:ascii="Palatino Linotype" w:eastAsia="Palatino Linotype" w:hAnsi="Palatino Linotype" w:cs="Palatino Linotype"/>
          <w:i/>
          <w:sz w:val="22"/>
          <w:szCs w:val="22"/>
        </w:rPr>
        <w:t>.” (Sic)</w:t>
      </w:r>
    </w:p>
    <w:p w14:paraId="5CE9F420" w14:textId="189762B2" w:rsidR="00FF0200" w:rsidRPr="001234C1" w:rsidRDefault="00BC5887">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1234C1">
        <w:rPr>
          <w:rFonts w:ascii="Palatino Linotype" w:eastAsia="Palatino Linotype" w:hAnsi="Palatino Linotype" w:cs="Palatino Linotype"/>
          <w:b/>
          <w:sz w:val="22"/>
          <w:szCs w:val="22"/>
        </w:rPr>
        <w:t>b) Razones o motivos de inconformidad</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i/>
          <w:sz w:val="22"/>
          <w:szCs w:val="22"/>
        </w:rPr>
        <w:t>“</w:t>
      </w:r>
      <w:r w:rsidR="00D665E8" w:rsidRPr="001234C1">
        <w:rPr>
          <w:rFonts w:ascii="Palatino Linotype" w:eastAsia="Palatino Linotype" w:hAnsi="Palatino Linotype" w:cs="Palatino Linotype"/>
          <w:i/>
          <w:sz w:val="22"/>
          <w:szCs w:val="22"/>
        </w:rPr>
        <w:t xml:space="preserve">La información negada cuando fue de dominio público qué se </w:t>
      </w:r>
      <w:proofErr w:type="spellStart"/>
      <w:r w:rsidR="00D665E8" w:rsidRPr="001234C1">
        <w:rPr>
          <w:rFonts w:ascii="Palatino Linotype" w:eastAsia="Palatino Linotype" w:hAnsi="Palatino Linotype" w:cs="Palatino Linotype"/>
          <w:i/>
          <w:sz w:val="22"/>
          <w:szCs w:val="22"/>
        </w:rPr>
        <w:t>cancelo</w:t>
      </w:r>
      <w:proofErr w:type="spellEnd"/>
      <w:r w:rsidR="00D665E8" w:rsidRPr="001234C1">
        <w:rPr>
          <w:rFonts w:ascii="Palatino Linotype" w:eastAsia="Palatino Linotype" w:hAnsi="Palatino Linotype" w:cs="Palatino Linotype"/>
          <w:i/>
          <w:sz w:val="22"/>
          <w:szCs w:val="22"/>
        </w:rPr>
        <w:t xml:space="preserve"> el presupuesto</w:t>
      </w:r>
      <w:r w:rsidRPr="001234C1">
        <w:rPr>
          <w:rFonts w:ascii="Palatino Linotype" w:eastAsia="Palatino Linotype" w:hAnsi="Palatino Linotype" w:cs="Palatino Linotype"/>
          <w:i/>
          <w:sz w:val="22"/>
          <w:szCs w:val="22"/>
        </w:rPr>
        <w:t>.” (Sic)</w:t>
      </w:r>
    </w:p>
    <w:p w14:paraId="164759BA" w14:textId="77777777" w:rsidR="00FF0200" w:rsidRPr="001234C1" w:rsidRDefault="00FF0200">
      <w:pPr>
        <w:spacing w:line="276" w:lineRule="auto"/>
        <w:ind w:left="567" w:right="900"/>
        <w:jc w:val="both"/>
        <w:rPr>
          <w:rFonts w:ascii="Palatino Linotype" w:eastAsia="Palatino Linotype" w:hAnsi="Palatino Linotype" w:cs="Palatino Linotype"/>
          <w:i/>
          <w:sz w:val="22"/>
          <w:szCs w:val="22"/>
        </w:rPr>
      </w:pPr>
    </w:p>
    <w:p w14:paraId="4A49EFD7" w14:textId="77777777" w:rsidR="00FF0200" w:rsidRPr="001234C1" w:rsidRDefault="00BC5887">
      <w:pPr>
        <w:spacing w:line="360" w:lineRule="auto"/>
        <w:ind w:right="51"/>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 xml:space="preserve">4. Turno. </w:t>
      </w:r>
      <w:r w:rsidRPr="001234C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234C1">
        <w:rPr>
          <w:rFonts w:ascii="Palatino Linotype" w:eastAsia="Palatino Linotype" w:hAnsi="Palatino Linotype" w:cs="Palatino Linotype"/>
          <w:b/>
          <w:sz w:val="22"/>
          <w:szCs w:val="22"/>
        </w:rPr>
        <w:t xml:space="preserve">Guadalupe Ramírez Peña, </w:t>
      </w:r>
      <w:r w:rsidRPr="001234C1">
        <w:rPr>
          <w:rFonts w:ascii="Palatino Linotype" w:eastAsia="Palatino Linotype" w:hAnsi="Palatino Linotype" w:cs="Palatino Linotype"/>
          <w:sz w:val="22"/>
          <w:szCs w:val="22"/>
        </w:rPr>
        <w:t>a efecto de que analizara sobre su admisión o su desechamiento.</w:t>
      </w:r>
    </w:p>
    <w:p w14:paraId="1182D896" w14:textId="77777777" w:rsidR="00FF0200" w:rsidRPr="001234C1" w:rsidRDefault="00FF0200">
      <w:pPr>
        <w:spacing w:line="360" w:lineRule="auto"/>
        <w:ind w:right="51"/>
        <w:jc w:val="both"/>
        <w:rPr>
          <w:rFonts w:ascii="Palatino Linotype" w:eastAsia="Palatino Linotype" w:hAnsi="Palatino Linotype" w:cs="Palatino Linotype"/>
          <w:sz w:val="22"/>
          <w:szCs w:val="22"/>
        </w:rPr>
      </w:pPr>
    </w:p>
    <w:p w14:paraId="63BB9EEC" w14:textId="29DCC6D1"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lastRenderedPageBreak/>
        <w:t>5. Admisión del Recurso de revisión.</w:t>
      </w:r>
      <w:r w:rsidRPr="001234C1">
        <w:rPr>
          <w:rFonts w:ascii="Palatino Linotype" w:eastAsia="Palatino Linotype" w:hAnsi="Palatino Linotype" w:cs="Palatino Linotype"/>
          <w:sz w:val="22"/>
          <w:szCs w:val="22"/>
        </w:rPr>
        <w:t xml:space="preserve"> El </w:t>
      </w:r>
      <w:r w:rsidR="00D665E8" w:rsidRPr="001234C1">
        <w:rPr>
          <w:rFonts w:ascii="Palatino Linotype" w:eastAsia="Palatino Linotype" w:hAnsi="Palatino Linotype" w:cs="Palatino Linotype"/>
          <w:b/>
          <w:sz w:val="22"/>
          <w:szCs w:val="22"/>
        </w:rPr>
        <w:t>diecinueve de febrero</w:t>
      </w:r>
      <w:r w:rsidRPr="001234C1">
        <w:rPr>
          <w:rFonts w:ascii="Palatino Linotype" w:eastAsia="Palatino Linotype" w:hAnsi="Palatino Linotype" w:cs="Palatino Linotype"/>
          <w:b/>
          <w:sz w:val="22"/>
          <w:szCs w:val="22"/>
        </w:rPr>
        <w:t xml:space="preserve"> de dos mil veinticinco, </w:t>
      </w:r>
      <w:r w:rsidRPr="001234C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234C1">
        <w:rPr>
          <w:rFonts w:ascii="Palatino Linotype" w:eastAsia="Palatino Linotype" w:hAnsi="Palatino Linotype" w:cs="Palatino Linotype"/>
          <w:b/>
          <w:sz w:val="22"/>
          <w:szCs w:val="22"/>
        </w:rPr>
        <w:t xml:space="preserve">Sujeto Obligado </w:t>
      </w:r>
      <w:r w:rsidRPr="001234C1">
        <w:rPr>
          <w:rFonts w:ascii="Palatino Linotype" w:eastAsia="Palatino Linotype" w:hAnsi="Palatino Linotype" w:cs="Palatino Linotype"/>
          <w:sz w:val="22"/>
          <w:szCs w:val="22"/>
        </w:rPr>
        <w:t>presentara su informe justificado.</w:t>
      </w:r>
    </w:p>
    <w:p w14:paraId="2FCCB8EC"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5BDF12DE" w14:textId="3775FD4C" w:rsidR="00FF0200" w:rsidRPr="001234C1" w:rsidRDefault="00BC588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1234C1">
        <w:rPr>
          <w:rFonts w:ascii="Palatino Linotype" w:eastAsia="Palatino Linotype" w:hAnsi="Palatino Linotype" w:cs="Palatino Linotype"/>
          <w:b/>
          <w:sz w:val="22"/>
          <w:szCs w:val="22"/>
        </w:rPr>
        <w:t>6. Manifestaciones</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color w:val="000000"/>
          <w:sz w:val="22"/>
          <w:szCs w:val="22"/>
        </w:rPr>
        <w:t>De las constancias que integran el expediente en que se actúa</w:t>
      </w:r>
      <w:r w:rsidR="00D665E8" w:rsidRPr="001234C1">
        <w:rPr>
          <w:rFonts w:ascii="Palatino Linotype" w:eastAsia="Palatino Linotype" w:hAnsi="Palatino Linotype" w:cs="Palatino Linotype"/>
          <w:color w:val="000000"/>
          <w:sz w:val="22"/>
          <w:szCs w:val="22"/>
        </w:rPr>
        <w:t>,</w:t>
      </w:r>
      <w:r w:rsidRPr="001234C1">
        <w:rPr>
          <w:rFonts w:ascii="Palatino Linotype" w:eastAsia="Palatino Linotype" w:hAnsi="Palatino Linotype" w:cs="Palatino Linotype"/>
          <w:color w:val="000000"/>
          <w:sz w:val="22"/>
          <w:szCs w:val="22"/>
        </w:rPr>
        <w:t xml:space="preserve"> se advierte que</w:t>
      </w:r>
      <w:r w:rsidR="00FC4FA3" w:rsidRPr="001234C1">
        <w:rPr>
          <w:rFonts w:ascii="Palatino Linotype" w:eastAsia="Palatino Linotype" w:hAnsi="Palatino Linotype" w:cs="Palatino Linotype"/>
          <w:color w:val="000000"/>
          <w:sz w:val="22"/>
          <w:szCs w:val="22"/>
        </w:rPr>
        <w:t>,</w:t>
      </w:r>
      <w:r w:rsidRPr="001234C1">
        <w:rPr>
          <w:rFonts w:ascii="Palatino Linotype" w:eastAsia="Palatino Linotype" w:hAnsi="Palatino Linotype" w:cs="Palatino Linotype"/>
          <w:color w:val="000000"/>
          <w:sz w:val="22"/>
          <w:szCs w:val="22"/>
        </w:rPr>
        <w:t xml:space="preserve"> durante el periodo de manifestaciones, el </w:t>
      </w:r>
      <w:r w:rsidRPr="001234C1">
        <w:rPr>
          <w:rFonts w:ascii="Palatino Linotype" w:eastAsia="Palatino Linotype" w:hAnsi="Palatino Linotype" w:cs="Palatino Linotype"/>
          <w:b/>
          <w:color w:val="000000"/>
          <w:sz w:val="22"/>
          <w:szCs w:val="22"/>
        </w:rPr>
        <w:t xml:space="preserve">Sujeto Obligado </w:t>
      </w:r>
      <w:r w:rsidRPr="001234C1">
        <w:rPr>
          <w:rFonts w:ascii="Palatino Linotype" w:eastAsia="Palatino Linotype" w:hAnsi="Palatino Linotype" w:cs="Palatino Linotype"/>
          <w:color w:val="000000"/>
          <w:sz w:val="22"/>
          <w:szCs w:val="22"/>
        </w:rPr>
        <w:t xml:space="preserve">rindió informe justificado el </w:t>
      </w:r>
      <w:r w:rsidR="00D665E8" w:rsidRPr="001234C1">
        <w:rPr>
          <w:rFonts w:ascii="Palatino Linotype" w:eastAsia="Palatino Linotype" w:hAnsi="Palatino Linotype" w:cs="Palatino Linotype"/>
          <w:b/>
          <w:color w:val="000000"/>
          <w:sz w:val="22"/>
          <w:szCs w:val="22"/>
        </w:rPr>
        <w:t>veintiocho de febrero</w:t>
      </w:r>
      <w:r w:rsidRPr="001234C1">
        <w:rPr>
          <w:rFonts w:ascii="Palatino Linotype" w:eastAsia="Palatino Linotype" w:hAnsi="Palatino Linotype" w:cs="Palatino Linotype"/>
          <w:b/>
          <w:color w:val="000000"/>
          <w:sz w:val="22"/>
          <w:szCs w:val="22"/>
        </w:rPr>
        <w:t xml:space="preserve"> de dos mil veinticinco, </w:t>
      </w:r>
      <w:r w:rsidRPr="001234C1">
        <w:rPr>
          <w:rFonts w:ascii="Palatino Linotype" w:eastAsia="Palatino Linotype" w:hAnsi="Palatino Linotype" w:cs="Palatino Linotype"/>
          <w:color w:val="000000"/>
          <w:sz w:val="22"/>
          <w:szCs w:val="22"/>
        </w:rPr>
        <w:t>a través del documento electrónico que contiene la información siguiente:</w:t>
      </w:r>
    </w:p>
    <w:p w14:paraId="17E3C663" w14:textId="77777777" w:rsidR="00FF0200" w:rsidRPr="001234C1" w:rsidRDefault="00FF02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83E817C" w14:textId="122C34B9" w:rsidR="00FF0200" w:rsidRPr="001234C1" w:rsidRDefault="00D665E8" w:rsidP="00FC4FA3">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i/>
          <w:color w:val="000000"/>
          <w:sz w:val="22"/>
          <w:szCs w:val="22"/>
        </w:rPr>
      </w:pPr>
      <w:r w:rsidRPr="001234C1">
        <w:rPr>
          <w:rFonts w:ascii="Palatino Linotype" w:eastAsia="Palatino Linotype" w:hAnsi="Palatino Linotype" w:cs="Palatino Linotype"/>
          <w:b/>
          <w:i/>
          <w:color w:val="000000"/>
          <w:sz w:val="22"/>
          <w:szCs w:val="22"/>
        </w:rPr>
        <w:t>Informe Justificado 1439.pdf</w:t>
      </w:r>
      <w:r w:rsidR="00BC5887" w:rsidRPr="001234C1">
        <w:rPr>
          <w:rFonts w:ascii="Palatino Linotype" w:eastAsia="Palatino Linotype" w:hAnsi="Palatino Linotype" w:cs="Palatino Linotype"/>
          <w:b/>
          <w:i/>
          <w:color w:val="000000"/>
          <w:sz w:val="22"/>
          <w:szCs w:val="22"/>
        </w:rPr>
        <w:t xml:space="preserve">: </w:t>
      </w:r>
      <w:r w:rsidR="00FC4FA3" w:rsidRPr="001234C1">
        <w:rPr>
          <w:rFonts w:ascii="Palatino Linotype" w:eastAsia="Palatino Linotype" w:hAnsi="Palatino Linotype" w:cs="Palatino Linotype"/>
          <w:color w:val="000000"/>
          <w:sz w:val="22"/>
          <w:szCs w:val="22"/>
        </w:rPr>
        <w:t xml:space="preserve">Escrito de fecha veintiocho de febrero de dos mil veinticinco remitido por el Titular de la Unidad de Transparencia por medio del cual ratifica la respuesta inicial. </w:t>
      </w:r>
    </w:p>
    <w:p w14:paraId="58076345" w14:textId="4C4CA95C" w:rsidR="00FF0200" w:rsidRPr="001234C1" w:rsidRDefault="00FF0200" w:rsidP="00D665E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2E783073" w14:textId="7935C0B8" w:rsidR="00FF0200" w:rsidRPr="001234C1" w:rsidRDefault="00BC588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 xml:space="preserve">Documento </w:t>
      </w:r>
      <w:r w:rsidR="00DC1808" w:rsidRPr="001234C1">
        <w:rPr>
          <w:rFonts w:ascii="Palatino Linotype" w:eastAsia="Palatino Linotype" w:hAnsi="Palatino Linotype" w:cs="Palatino Linotype"/>
          <w:color w:val="000000"/>
          <w:sz w:val="22"/>
          <w:szCs w:val="22"/>
        </w:rPr>
        <w:t>el anterior que fue puesto</w:t>
      </w:r>
      <w:r w:rsidRPr="001234C1">
        <w:rPr>
          <w:rFonts w:ascii="Palatino Linotype" w:eastAsia="Palatino Linotype" w:hAnsi="Palatino Linotype" w:cs="Palatino Linotype"/>
          <w:color w:val="000000"/>
          <w:sz w:val="22"/>
          <w:szCs w:val="22"/>
        </w:rPr>
        <w:t xml:space="preserve"> a la vista de la parte </w:t>
      </w:r>
      <w:r w:rsidRPr="001234C1">
        <w:rPr>
          <w:rFonts w:ascii="Palatino Linotype" w:eastAsia="Palatino Linotype" w:hAnsi="Palatino Linotype" w:cs="Palatino Linotype"/>
          <w:b/>
          <w:color w:val="000000"/>
          <w:sz w:val="22"/>
          <w:szCs w:val="22"/>
        </w:rPr>
        <w:t xml:space="preserve">Recurrente </w:t>
      </w:r>
      <w:r w:rsidRPr="001234C1">
        <w:rPr>
          <w:rFonts w:ascii="Palatino Linotype" w:eastAsia="Palatino Linotype" w:hAnsi="Palatino Linotype" w:cs="Palatino Linotype"/>
          <w:color w:val="000000"/>
          <w:sz w:val="22"/>
          <w:szCs w:val="22"/>
        </w:rPr>
        <w:t>para efecto de que hiciera valer sus manifestaciones o rindiera alegatos que conforme a derecho resultaran procedentes; no obstante, fue omisa en ejercer dicha prerrogativa.</w:t>
      </w:r>
    </w:p>
    <w:p w14:paraId="53E77236" w14:textId="77777777" w:rsidR="00FF0200" w:rsidRPr="001234C1" w:rsidRDefault="00FF02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71155190" w14:textId="77B5ECFA" w:rsidR="00FF0200" w:rsidRPr="001234C1" w:rsidRDefault="00BC588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color w:val="000000"/>
          <w:sz w:val="22"/>
          <w:szCs w:val="22"/>
        </w:rPr>
        <w:t xml:space="preserve">7. </w:t>
      </w:r>
      <w:r w:rsidRPr="001234C1">
        <w:rPr>
          <w:rFonts w:ascii="Palatino Linotype" w:eastAsia="Palatino Linotype" w:hAnsi="Palatino Linotype" w:cs="Palatino Linotype"/>
          <w:b/>
          <w:sz w:val="22"/>
          <w:szCs w:val="22"/>
        </w:rPr>
        <w:t xml:space="preserve">Cierre de instrucción. </w:t>
      </w:r>
      <w:r w:rsidRPr="001234C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377387" w:rsidRPr="001234C1">
        <w:rPr>
          <w:rFonts w:ascii="Palatino Linotype" w:eastAsia="Palatino Linotype" w:hAnsi="Palatino Linotype" w:cs="Palatino Linotype"/>
          <w:b/>
          <w:sz w:val="22"/>
          <w:szCs w:val="22"/>
        </w:rPr>
        <w:t>veintiocho</w:t>
      </w:r>
      <w:r w:rsidRPr="001234C1">
        <w:rPr>
          <w:rFonts w:ascii="Palatino Linotype" w:eastAsia="Palatino Linotype" w:hAnsi="Palatino Linotype" w:cs="Palatino Linotype"/>
          <w:b/>
          <w:sz w:val="22"/>
          <w:szCs w:val="22"/>
        </w:rPr>
        <w:t xml:space="preserve"> de febrero de dos mil veinticinco,</w:t>
      </w:r>
      <w:r w:rsidRPr="001234C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9E6FA3F" w14:textId="77777777" w:rsidR="00FF0200" w:rsidRPr="001234C1" w:rsidRDefault="00FF020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D1B2353" w14:textId="77777777" w:rsidR="00FF0200" w:rsidRPr="001234C1" w:rsidRDefault="00BC588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6526D1DC" w14:textId="77777777" w:rsidR="00FF0200" w:rsidRPr="001234C1" w:rsidRDefault="00BC5887">
      <w:pPr>
        <w:widowControl w:val="0"/>
        <w:spacing w:before="240" w:after="240" w:line="360" w:lineRule="auto"/>
        <w:jc w:val="center"/>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sz w:val="22"/>
          <w:szCs w:val="22"/>
        </w:rPr>
        <w:t>II. C O N S I D E R A N D O S</w:t>
      </w:r>
    </w:p>
    <w:p w14:paraId="1D4DD34B" w14:textId="65CD7D15"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Primero. Competencia.</w:t>
      </w:r>
      <w:r w:rsidRPr="001234C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2F1BA5" w:rsidRPr="001234C1">
        <w:rPr>
          <w:rFonts w:ascii="Palatino Linotype" w:eastAsia="Palatino Linotype" w:hAnsi="Palatino Linotype" w:cs="Palatino Linotype"/>
          <w:sz w:val="22"/>
          <w:szCs w:val="22"/>
        </w:rPr>
        <w:t>séptimo, trigésimo octavo</w:t>
      </w:r>
      <w:r w:rsidRPr="001234C1">
        <w:rPr>
          <w:rFonts w:ascii="Palatino Linotype" w:eastAsia="Palatino Linotype" w:hAnsi="Palatino Linotype" w:cs="Palatino Linotype"/>
          <w:sz w:val="22"/>
          <w:szCs w:val="22"/>
        </w:rPr>
        <w:t xml:space="preserve"> y trigésimo </w:t>
      </w:r>
      <w:r w:rsidR="002F1BA5" w:rsidRPr="001234C1">
        <w:rPr>
          <w:rFonts w:ascii="Palatino Linotype" w:eastAsia="Palatino Linotype" w:hAnsi="Palatino Linotype" w:cs="Palatino Linotype"/>
          <w:sz w:val="22"/>
          <w:szCs w:val="22"/>
        </w:rPr>
        <w:t>noveno</w:t>
      </w:r>
      <w:r w:rsidRPr="001234C1">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DAFAD13"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678FA105" w14:textId="77777777" w:rsidR="00FF0200" w:rsidRPr="001234C1" w:rsidRDefault="00BC5887">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1234C1">
        <w:rPr>
          <w:rFonts w:ascii="Palatino Linotype" w:eastAsia="Palatino Linotype" w:hAnsi="Palatino Linotype" w:cs="Palatino Linotype"/>
          <w:b/>
          <w:sz w:val="22"/>
          <w:szCs w:val="22"/>
        </w:rPr>
        <w:t>Segundo. Oportunidad y Procedibilidad del Recurso de Revisión</w:t>
      </w:r>
      <w:r w:rsidRPr="001234C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C2124F8"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6E940400" w14:textId="4793B30B"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234C1">
        <w:rPr>
          <w:rFonts w:ascii="Palatino Linotype" w:eastAsia="Palatino Linotype" w:hAnsi="Palatino Linotype" w:cs="Palatino Linotype"/>
          <w:b/>
          <w:sz w:val="22"/>
          <w:szCs w:val="22"/>
        </w:rPr>
        <w:t xml:space="preserve">Sujeto Obligado </w:t>
      </w:r>
      <w:r w:rsidRPr="001234C1">
        <w:rPr>
          <w:rFonts w:ascii="Palatino Linotype" w:eastAsia="Palatino Linotype" w:hAnsi="Palatino Linotype" w:cs="Palatino Linotype"/>
          <w:sz w:val="22"/>
          <w:szCs w:val="22"/>
        </w:rPr>
        <w:t xml:space="preserve">remitió la respuesta a la solicitud de información el </w:t>
      </w:r>
      <w:r w:rsidR="00377387" w:rsidRPr="001234C1">
        <w:rPr>
          <w:rFonts w:ascii="Palatino Linotype" w:eastAsia="Palatino Linotype" w:hAnsi="Palatino Linotype" w:cs="Palatino Linotype"/>
          <w:b/>
          <w:sz w:val="22"/>
          <w:szCs w:val="22"/>
        </w:rPr>
        <w:t>cinco de febrero de dos mil veinticinco</w:t>
      </w:r>
      <w:r w:rsidRPr="001234C1">
        <w:rPr>
          <w:rFonts w:ascii="Palatino Linotype" w:eastAsia="Palatino Linotype" w:hAnsi="Palatino Linotype" w:cs="Palatino Linotype"/>
          <w:b/>
          <w:sz w:val="22"/>
          <w:szCs w:val="22"/>
        </w:rPr>
        <w:t xml:space="preserve">, </w:t>
      </w:r>
      <w:r w:rsidRPr="001234C1">
        <w:rPr>
          <w:rFonts w:ascii="Palatino Linotype" w:eastAsia="Palatino Linotype" w:hAnsi="Palatino Linotype" w:cs="Palatino Linotype"/>
          <w:sz w:val="22"/>
          <w:szCs w:val="22"/>
        </w:rPr>
        <w:t xml:space="preserve">mientras que el recurso de revisión interpuesto por </w:t>
      </w:r>
      <w:r w:rsidRPr="001234C1">
        <w:rPr>
          <w:rFonts w:ascii="Palatino Linotype" w:eastAsia="Palatino Linotype" w:hAnsi="Palatino Linotype" w:cs="Palatino Linotype"/>
          <w:b/>
          <w:sz w:val="22"/>
          <w:szCs w:val="22"/>
        </w:rPr>
        <w:t>la parte</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Recurrente</w:t>
      </w:r>
      <w:r w:rsidRPr="001234C1">
        <w:rPr>
          <w:rFonts w:ascii="Palatino Linotype" w:eastAsia="Palatino Linotype" w:hAnsi="Palatino Linotype" w:cs="Palatino Linotype"/>
          <w:sz w:val="22"/>
          <w:szCs w:val="22"/>
        </w:rPr>
        <w:t xml:space="preserve">, se tuvo por presentado el </w:t>
      </w:r>
      <w:r w:rsidR="00377387" w:rsidRPr="001234C1">
        <w:rPr>
          <w:rFonts w:ascii="Palatino Linotype" w:eastAsia="Palatino Linotype" w:hAnsi="Palatino Linotype" w:cs="Palatino Linotype"/>
          <w:b/>
          <w:sz w:val="22"/>
          <w:szCs w:val="22"/>
        </w:rPr>
        <w:t>catorce de febrero</w:t>
      </w:r>
      <w:r w:rsidRPr="001234C1">
        <w:rPr>
          <w:rFonts w:ascii="Palatino Linotype" w:eastAsia="Palatino Linotype" w:hAnsi="Palatino Linotype" w:cs="Palatino Linotype"/>
          <w:b/>
          <w:sz w:val="22"/>
          <w:szCs w:val="22"/>
        </w:rPr>
        <w:t xml:space="preserve"> de dos </w:t>
      </w:r>
      <w:r w:rsidRPr="001234C1">
        <w:rPr>
          <w:rFonts w:ascii="Palatino Linotype" w:eastAsia="Palatino Linotype" w:hAnsi="Palatino Linotype" w:cs="Palatino Linotype"/>
          <w:b/>
          <w:sz w:val="22"/>
          <w:szCs w:val="22"/>
        </w:rPr>
        <w:lastRenderedPageBreak/>
        <w:t>mil veinticinco</w:t>
      </w:r>
      <w:r w:rsidRPr="001234C1">
        <w:rPr>
          <w:rFonts w:ascii="Palatino Linotype" w:eastAsia="Palatino Linotype" w:hAnsi="Palatino Linotype" w:cs="Palatino Linotype"/>
          <w:sz w:val="22"/>
          <w:szCs w:val="22"/>
        </w:rPr>
        <w:t xml:space="preserve"> esto es, al </w:t>
      </w:r>
      <w:r w:rsidR="00421CDD" w:rsidRPr="001234C1">
        <w:rPr>
          <w:rFonts w:ascii="Palatino Linotype" w:eastAsia="Palatino Linotype" w:hAnsi="Palatino Linotype" w:cs="Palatino Linotype"/>
          <w:b/>
          <w:sz w:val="22"/>
          <w:szCs w:val="22"/>
          <w:u w:val="single"/>
        </w:rPr>
        <w:t>séptimo</w:t>
      </w:r>
      <w:r w:rsidRPr="001234C1">
        <w:rPr>
          <w:rFonts w:ascii="Palatino Linotype" w:eastAsia="Palatino Linotype" w:hAnsi="Palatino Linotype" w:cs="Palatino Linotype"/>
          <w:sz w:val="22"/>
          <w:szCs w:val="22"/>
        </w:rPr>
        <w:t xml:space="preserve"> día hábil siguiente a aquel </w:t>
      </w:r>
      <w:r w:rsidRPr="001234C1">
        <w:rPr>
          <w:rFonts w:ascii="Palatino Linotype" w:eastAsia="Palatino Linotype" w:hAnsi="Palatino Linotype" w:cs="Palatino Linotype"/>
          <w:b/>
          <w:sz w:val="22"/>
          <w:szCs w:val="22"/>
        </w:rPr>
        <w:t>en que se tuvo conocimiento de la respuesta impugnada</w:t>
      </w:r>
      <w:r w:rsidRPr="001234C1">
        <w:rPr>
          <w:rFonts w:ascii="Palatino Linotype" w:eastAsia="Palatino Linotype" w:hAnsi="Palatino Linotype" w:cs="Palatino Linotype"/>
          <w:sz w:val="22"/>
          <w:szCs w:val="22"/>
        </w:rPr>
        <w:t xml:space="preserve">. </w:t>
      </w:r>
    </w:p>
    <w:p w14:paraId="3F6A5FE6" w14:textId="77777777" w:rsidR="00FF0200" w:rsidRPr="001234C1" w:rsidRDefault="00BC5887">
      <w:pPr>
        <w:spacing w:before="240" w:after="240"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EEDC39B" w14:textId="77777777" w:rsidR="00FF0200" w:rsidRPr="001234C1" w:rsidRDefault="00BC5887">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1234C1">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2761555" w14:textId="77777777" w:rsidR="00FF0200" w:rsidRPr="001234C1" w:rsidRDefault="00FF0200">
      <w:pPr>
        <w:tabs>
          <w:tab w:val="left" w:pos="7938"/>
        </w:tabs>
        <w:spacing w:line="360" w:lineRule="auto"/>
        <w:jc w:val="both"/>
        <w:rPr>
          <w:rFonts w:ascii="Palatino Linotype" w:eastAsia="Palatino Linotype" w:hAnsi="Palatino Linotype" w:cs="Palatino Linotype"/>
          <w:sz w:val="22"/>
          <w:szCs w:val="22"/>
        </w:rPr>
      </w:pPr>
    </w:p>
    <w:p w14:paraId="67F31250" w14:textId="77777777" w:rsidR="00A927E5" w:rsidRPr="001234C1" w:rsidRDefault="00A927E5" w:rsidP="00A927E5">
      <w:pPr>
        <w:spacing w:line="360" w:lineRule="auto"/>
        <w:jc w:val="both"/>
        <w:rPr>
          <w:rFonts w:ascii="Palatino Linotype" w:eastAsia="Palatino Linotype" w:hAnsi="Palatino Linotype" w:cs="Palatino Linotype"/>
          <w:color w:val="222222"/>
          <w:sz w:val="22"/>
        </w:rPr>
      </w:pPr>
      <w:r w:rsidRPr="001234C1">
        <w:rPr>
          <w:rFonts w:ascii="Palatino Linotype" w:eastAsia="Palatino Linotype" w:hAnsi="Palatino Linotype" w:cs="Palatino Linotype"/>
          <w:sz w:val="22"/>
        </w:rPr>
        <w:t>Por otro lado, es de suma importancia mencionar que, si bien la parte</w:t>
      </w:r>
      <w:r w:rsidRPr="001234C1">
        <w:rPr>
          <w:rFonts w:ascii="Palatino Linotype" w:eastAsia="Palatino Linotype" w:hAnsi="Palatino Linotype" w:cs="Palatino Linotype"/>
          <w:b/>
          <w:sz w:val="22"/>
        </w:rPr>
        <w:t xml:space="preserve"> Recurrente</w:t>
      </w:r>
      <w:r w:rsidRPr="001234C1">
        <w:rPr>
          <w:rFonts w:ascii="Palatino Linotype" w:eastAsia="Palatino Linotype" w:hAnsi="Palatino Linotype" w:cs="Palatino Linotype"/>
          <w:sz w:val="22"/>
        </w:rPr>
        <w:t xml:space="preserve"> no </w:t>
      </w:r>
      <w:r w:rsidRPr="001234C1">
        <w:rPr>
          <w:rFonts w:ascii="Palatino Linotype" w:eastAsia="Palatino Linotype" w:hAnsi="Palatino Linotype" w:cs="Palatino Linotype"/>
          <w:b/>
          <w:sz w:val="22"/>
        </w:rPr>
        <w:t>proporcionó nombre,</w:t>
      </w:r>
      <w:r w:rsidRPr="001234C1">
        <w:rPr>
          <w:rFonts w:ascii="Palatino Linotype" w:eastAsia="Palatino Linotype" w:hAnsi="Palatino Linotype" w:cs="Palatino Linotype"/>
          <w:sz w:val="22"/>
        </w:rPr>
        <w:t xml:space="preserve"> </w:t>
      </w:r>
      <w:r w:rsidRPr="001234C1">
        <w:rPr>
          <w:rFonts w:ascii="Palatino Linotype" w:eastAsia="Palatino Linotype" w:hAnsi="Palatino Linotype" w:cs="Palatino Linotype"/>
          <w:color w:val="222222"/>
          <w:sz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3128491" w14:textId="77777777" w:rsidR="00A927E5" w:rsidRPr="001234C1" w:rsidRDefault="00A927E5" w:rsidP="00A927E5">
      <w:pPr>
        <w:spacing w:line="360" w:lineRule="auto"/>
        <w:jc w:val="both"/>
        <w:rPr>
          <w:rFonts w:ascii="Palatino Linotype" w:eastAsia="Palatino Linotype" w:hAnsi="Palatino Linotype" w:cs="Palatino Linotype"/>
          <w:color w:val="222222"/>
          <w:sz w:val="22"/>
        </w:rPr>
      </w:pPr>
    </w:p>
    <w:p w14:paraId="28749208" w14:textId="77777777" w:rsidR="00A927E5" w:rsidRPr="001234C1" w:rsidRDefault="00A927E5" w:rsidP="00A927E5">
      <w:pPr>
        <w:spacing w:line="276" w:lineRule="auto"/>
        <w:ind w:left="851" w:right="902"/>
        <w:jc w:val="both"/>
        <w:rPr>
          <w:rFonts w:ascii="Palatino Linotype" w:eastAsia="Palatino Linotype" w:hAnsi="Palatino Linotype" w:cs="Palatino Linotype"/>
          <w:color w:val="222222"/>
          <w:sz w:val="22"/>
        </w:rPr>
      </w:pPr>
      <w:r w:rsidRPr="001234C1">
        <w:rPr>
          <w:rFonts w:ascii="Palatino Linotype" w:eastAsia="Palatino Linotype" w:hAnsi="Palatino Linotype" w:cs="Palatino Linotype"/>
          <w:i/>
          <w:color w:val="222222"/>
          <w:sz w:val="22"/>
        </w:rPr>
        <w:t>"</w:t>
      </w:r>
      <w:r w:rsidRPr="001234C1">
        <w:rPr>
          <w:rFonts w:ascii="Palatino Linotype" w:eastAsia="Palatino Linotype" w:hAnsi="Palatino Linotype" w:cs="Palatino Linotype"/>
          <w:b/>
          <w:i/>
          <w:color w:val="222222"/>
          <w:sz w:val="22"/>
        </w:rPr>
        <w:t>Las solicitudes anónimas,</w:t>
      </w:r>
      <w:r w:rsidRPr="001234C1">
        <w:rPr>
          <w:rFonts w:ascii="Palatino Linotype" w:eastAsia="Palatino Linotype" w:hAnsi="Palatino Linotype" w:cs="Palatino Linotype"/>
          <w:i/>
          <w:color w:val="222222"/>
          <w:sz w:val="22"/>
        </w:rPr>
        <w:t xml:space="preserve"> con nombre incompleto o seudónimo </w:t>
      </w:r>
      <w:r w:rsidRPr="001234C1">
        <w:rPr>
          <w:rFonts w:ascii="Palatino Linotype" w:eastAsia="Palatino Linotype" w:hAnsi="Palatino Linotype" w:cs="Palatino Linotype"/>
          <w:b/>
          <w:i/>
          <w:color w:val="222222"/>
          <w:sz w:val="22"/>
        </w:rPr>
        <w:t>serán procedentes para su trámite por parte del sujeto obligado ante quien se presente</w:t>
      </w:r>
      <w:r w:rsidRPr="001234C1">
        <w:rPr>
          <w:rFonts w:ascii="Palatino Linotype" w:eastAsia="Palatino Linotype" w:hAnsi="Palatino Linotype" w:cs="Palatino Linotype"/>
          <w:i/>
          <w:color w:val="222222"/>
          <w:sz w:val="22"/>
        </w:rPr>
        <w:t>. No podrá requerirse información adicional con motivo del nombre proporcionado por el solicitante."</w:t>
      </w:r>
    </w:p>
    <w:p w14:paraId="6C1B21F8" w14:textId="77777777" w:rsidR="00A927E5" w:rsidRPr="001234C1" w:rsidRDefault="00A927E5">
      <w:pPr>
        <w:tabs>
          <w:tab w:val="left" w:pos="7938"/>
        </w:tabs>
        <w:spacing w:line="360" w:lineRule="auto"/>
        <w:jc w:val="both"/>
        <w:rPr>
          <w:rFonts w:ascii="Palatino Linotype" w:eastAsia="Palatino Linotype" w:hAnsi="Palatino Linotype" w:cs="Palatino Linotype"/>
          <w:sz w:val="22"/>
          <w:szCs w:val="22"/>
        </w:rPr>
      </w:pPr>
    </w:p>
    <w:p w14:paraId="771D39D0" w14:textId="77777777" w:rsidR="00FF0200" w:rsidRPr="001234C1" w:rsidRDefault="00BC5887">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sz w:val="22"/>
          <w:szCs w:val="22"/>
        </w:rPr>
        <w:t xml:space="preserve">Finalmente, se advierte que resulta procedente la interposición del recurso, según lo manifestado por </w:t>
      </w:r>
      <w:r w:rsidRPr="001234C1">
        <w:rPr>
          <w:rFonts w:ascii="Palatino Linotype" w:eastAsia="Palatino Linotype" w:hAnsi="Palatino Linotype" w:cs="Palatino Linotype"/>
          <w:b/>
          <w:sz w:val="22"/>
          <w:szCs w:val="22"/>
        </w:rPr>
        <w:t>la parte</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Recurrente</w:t>
      </w:r>
      <w:r w:rsidRPr="001234C1">
        <w:rPr>
          <w:rFonts w:ascii="Palatino Linotype" w:eastAsia="Palatino Linotype" w:hAnsi="Palatino Linotype" w:cs="Palatino Linotype"/>
          <w:sz w:val="22"/>
          <w:szCs w:val="22"/>
        </w:rPr>
        <w:t xml:space="preserve"> en sus motivos de inconformidad, de acuerdo </w:t>
      </w:r>
      <w:r w:rsidRPr="001234C1">
        <w:rPr>
          <w:rFonts w:ascii="Palatino Linotype" w:eastAsia="Palatino Linotype" w:hAnsi="Palatino Linotype" w:cs="Palatino Linotype"/>
          <w:color w:val="000000"/>
          <w:sz w:val="22"/>
          <w:szCs w:val="22"/>
        </w:rPr>
        <w:t>al artículo 179, fracción I del ordenamiento legal citado, que a la letra dice: </w:t>
      </w:r>
    </w:p>
    <w:p w14:paraId="373FDBE5" w14:textId="77777777" w:rsidR="00FF0200" w:rsidRPr="001234C1" w:rsidRDefault="00FF0200">
      <w:pPr>
        <w:spacing w:line="360" w:lineRule="auto"/>
        <w:jc w:val="both"/>
        <w:rPr>
          <w:rFonts w:ascii="Palatino Linotype" w:eastAsia="Palatino Linotype" w:hAnsi="Palatino Linotype" w:cs="Palatino Linotype"/>
          <w:color w:val="000000"/>
          <w:sz w:val="22"/>
          <w:szCs w:val="22"/>
        </w:rPr>
      </w:pPr>
    </w:p>
    <w:p w14:paraId="27E3B96F" w14:textId="77777777" w:rsidR="00FF0200" w:rsidRPr="001234C1" w:rsidRDefault="00BC5887">
      <w:pPr>
        <w:ind w:left="567" w:right="902"/>
        <w:jc w:val="both"/>
        <w:rPr>
          <w:rFonts w:ascii="Palatino Linotype" w:eastAsia="Palatino Linotype" w:hAnsi="Palatino Linotype" w:cs="Palatino Linotype"/>
          <w:i/>
          <w:color w:val="000000"/>
          <w:sz w:val="22"/>
          <w:szCs w:val="22"/>
        </w:rPr>
      </w:pPr>
      <w:r w:rsidRPr="001234C1">
        <w:rPr>
          <w:rFonts w:ascii="Palatino Linotype" w:eastAsia="Palatino Linotype" w:hAnsi="Palatino Linotype" w:cs="Palatino Linotype"/>
          <w:i/>
          <w:color w:val="000000"/>
          <w:sz w:val="22"/>
          <w:szCs w:val="22"/>
        </w:rPr>
        <w:lastRenderedPageBreak/>
        <w:t>“</w:t>
      </w:r>
      <w:r w:rsidRPr="001234C1">
        <w:rPr>
          <w:rFonts w:ascii="Palatino Linotype" w:eastAsia="Palatino Linotype" w:hAnsi="Palatino Linotype" w:cs="Palatino Linotype"/>
          <w:b/>
          <w:i/>
          <w:color w:val="000000"/>
          <w:sz w:val="22"/>
          <w:szCs w:val="22"/>
        </w:rPr>
        <w:t>Artículo 179.</w:t>
      </w:r>
      <w:r w:rsidRPr="001234C1">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664D979C" w14:textId="77777777" w:rsidR="00FF0200" w:rsidRPr="001234C1" w:rsidRDefault="00BC5887">
      <w:pPr>
        <w:ind w:left="567" w:right="902"/>
        <w:jc w:val="both"/>
        <w:rPr>
          <w:rFonts w:ascii="Palatino Linotype" w:eastAsia="Palatino Linotype" w:hAnsi="Palatino Linotype" w:cs="Palatino Linotype"/>
          <w:b/>
          <w:i/>
          <w:color w:val="000000"/>
          <w:sz w:val="22"/>
          <w:szCs w:val="22"/>
        </w:rPr>
      </w:pPr>
      <w:r w:rsidRPr="001234C1">
        <w:rPr>
          <w:rFonts w:ascii="Palatino Linotype" w:eastAsia="Palatino Linotype" w:hAnsi="Palatino Linotype" w:cs="Palatino Linotype"/>
          <w:b/>
          <w:i/>
          <w:color w:val="000000"/>
          <w:sz w:val="22"/>
          <w:szCs w:val="22"/>
        </w:rPr>
        <w:t>I. La negativa a la información solicitada;</w:t>
      </w:r>
    </w:p>
    <w:p w14:paraId="49BE3608" w14:textId="77777777" w:rsidR="00FF0200" w:rsidRPr="001234C1" w:rsidRDefault="00BC5887">
      <w:pPr>
        <w:ind w:left="567" w:right="902"/>
        <w:jc w:val="both"/>
        <w:rPr>
          <w:rFonts w:ascii="Palatino Linotype" w:eastAsia="Palatino Linotype" w:hAnsi="Palatino Linotype" w:cs="Palatino Linotype"/>
          <w:i/>
          <w:color w:val="000000"/>
          <w:sz w:val="22"/>
          <w:szCs w:val="22"/>
        </w:rPr>
      </w:pPr>
      <w:r w:rsidRPr="001234C1">
        <w:rPr>
          <w:rFonts w:ascii="Palatino Linotype" w:eastAsia="Palatino Linotype" w:hAnsi="Palatino Linotype" w:cs="Palatino Linotype"/>
          <w:i/>
          <w:color w:val="000000"/>
          <w:sz w:val="22"/>
          <w:szCs w:val="22"/>
        </w:rPr>
        <w:t>[…]”</w:t>
      </w:r>
    </w:p>
    <w:p w14:paraId="212B9C23" w14:textId="77777777" w:rsidR="00FF0200" w:rsidRPr="001234C1" w:rsidRDefault="00FF0200">
      <w:pPr>
        <w:ind w:left="567"/>
        <w:rPr>
          <w:rFonts w:ascii="Palatino Linotype" w:eastAsia="Palatino Linotype" w:hAnsi="Palatino Linotype" w:cs="Palatino Linotype"/>
          <w:b/>
          <w:i/>
          <w:sz w:val="22"/>
          <w:szCs w:val="22"/>
        </w:rPr>
      </w:pPr>
    </w:p>
    <w:p w14:paraId="2111AC48" w14:textId="77777777" w:rsidR="00FF0200" w:rsidRPr="001234C1" w:rsidRDefault="00BC5887">
      <w:pPr>
        <w:ind w:left="567" w:right="900"/>
        <w:jc w:val="right"/>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 </w:t>
      </w:r>
      <w:r w:rsidRPr="001234C1">
        <w:rPr>
          <w:rFonts w:ascii="Palatino Linotype" w:eastAsia="Palatino Linotype" w:hAnsi="Palatino Linotype" w:cs="Palatino Linotype"/>
          <w:i/>
          <w:sz w:val="22"/>
          <w:szCs w:val="22"/>
        </w:rPr>
        <w:t>(Énfasis añadido)</w:t>
      </w:r>
    </w:p>
    <w:p w14:paraId="3E0AF729" w14:textId="77777777" w:rsidR="00FF0200" w:rsidRPr="001234C1" w:rsidRDefault="00FF0200">
      <w:pPr>
        <w:spacing w:line="360" w:lineRule="auto"/>
        <w:jc w:val="both"/>
        <w:rPr>
          <w:rFonts w:ascii="Palatino Linotype" w:eastAsia="Palatino Linotype" w:hAnsi="Palatino Linotype" w:cs="Palatino Linotype"/>
          <w:b/>
          <w:sz w:val="22"/>
          <w:szCs w:val="22"/>
        </w:rPr>
      </w:pPr>
    </w:p>
    <w:p w14:paraId="45B8B1CB" w14:textId="77777777" w:rsidR="00FF0200" w:rsidRPr="001234C1" w:rsidRDefault="00BC5887">
      <w:pPr>
        <w:spacing w:line="360" w:lineRule="auto"/>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sz w:val="22"/>
          <w:szCs w:val="22"/>
        </w:rPr>
        <w:t xml:space="preserve">Tercero. Materia de la revisión. </w:t>
      </w:r>
      <w:r w:rsidRPr="001234C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234C1">
        <w:rPr>
          <w:rFonts w:ascii="Palatino Linotype" w:eastAsia="Palatino Linotype" w:hAnsi="Palatino Linotype" w:cs="Palatino Linotype"/>
          <w:b/>
          <w:sz w:val="22"/>
          <w:szCs w:val="22"/>
        </w:rPr>
        <w:t>verificar si la respuesta e informe justificado otorgados por el Sujeto Obligado son adecuados y suficientes</w:t>
      </w:r>
      <w:r w:rsidRPr="001234C1">
        <w:rPr>
          <w:rFonts w:ascii="Palatino Linotype" w:eastAsia="Palatino Linotype" w:hAnsi="Palatino Linotype" w:cs="Palatino Linotype"/>
          <w:b/>
          <w:color w:val="FF0000"/>
          <w:sz w:val="22"/>
          <w:szCs w:val="22"/>
        </w:rPr>
        <w:t xml:space="preserve"> </w:t>
      </w:r>
      <w:r w:rsidRPr="001234C1">
        <w:rPr>
          <w:rFonts w:ascii="Palatino Linotype" w:eastAsia="Palatino Linotype" w:hAnsi="Palatino Linotype" w:cs="Palatino Linotype"/>
          <w:b/>
          <w:sz w:val="22"/>
          <w:szCs w:val="22"/>
        </w:rPr>
        <w:t>para satisfacer el derecho de acceso a la información pública de la parte Recurrente,</w:t>
      </w:r>
      <w:r w:rsidRPr="001234C1">
        <w:rPr>
          <w:rFonts w:ascii="Palatino Linotype" w:eastAsia="Palatino Linotype" w:hAnsi="Palatino Linotype" w:cs="Palatino Linotype"/>
          <w:sz w:val="22"/>
          <w:szCs w:val="22"/>
        </w:rPr>
        <w:t xml:space="preserve"> o en su defecto, en caso de ser procedente, ordenar la entrega de la información oportuna.</w:t>
      </w:r>
    </w:p>
    <w:p w14:paraId="598980AD"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0B1A5514" w14:textId="77777777" w:rsidR="00FF0200" w:rsidRPr="001234C1" w:rsidRDefault="00BC5887">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sz w:val="22"/>
          <w:szCs w:val="22"/>
        </w:rPr>
        <w:t xml:space="preserve">Cuarto. Estudio del asunto. </w:t>
      </w:r>
      <w:r w:rsidRPr="001234C1">
        <w:rPr>
          <w:rFonts w:ascii="Palatino Linotype" w:eastAsia="Palatino Linotype" w:hAnsi="Palatino Linotype" w:cs="Palatino Linotype"/>
          <w:color w:val="000000"/>
          <w:sz w:val="22"/>
          <w:szCs w:val="22"/>
        </w:rPr>
        <w:t xml:space="preserve">Antes de entrar al análisis de los pronunciamientos del </w:t>
      </w:r>
      <w:r w:rsidRPr="001234C1">
        <w:rPr>
          <w:rFonts w:ascii="Palatino Linotype" w:eastAsia="Palatino Linotype" w:hAnsi="Palatino Linotype" w:cs="Palatino Linotype"/>
          <w:b/>
          <w:color w:val="000000"/>
          <w:sz w:val="22"/>
          <w:szCs w:val="22"/>
        </w:rPr>
        <w:t>Sujeto Obligado</w:t>
      </w:r>
      <w:r w:rsidRPr="001234C1">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C3E86C8" w14:textId="77777777" w:rsidR="00FF0200" w:rsidRPr="001234C1" w:rsidRDefault="00FF0200">
      <w:pPr>
        <w:spacing w:line="360" w:lineRule="auto"/>
        <w:jc w:val="both"/>
        <w:rPr>
          <w:rFonts w:ascii="Palatino Linotype" w:eastAsia="Palatino Linotype" w:hAnsi="Palatino Linotype" w:cs="Palatino Linotype"/>
          <w:color w:val="000000"/>
          <w:sz w:val="22"/>
          <w:szCs w:val="22"/>
        </w:rPr>
      </w:pPr>
    </w:p>
    <w:p w14:paraId="55C56811" w14:textId="77777777" w:rsidR="00FF0200" w:rsidRPr="001234C1" w:rsidRDefault="00BC5887">
      <w:pPr>
        <w:spacing w:line="276" w:lineRule="auto"/>
        <w:ind w:left="851" w:right="850"/>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1234C1">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113643F9" w14:textId="77777777" w:rsidR="00FF0200" w:rsidRPr="001234C1" w:rsidRDefault="00BC5887">
      <w:pPr>
        <w:spacing w:line="276" w:lineRule="auto"/>
        <w:ind w:left="851" w:right="850"/>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i/>
          <w:color w:val="000000"/>
          <w:sz w:val="22"/>
          <w:szCs w:val="22"/>
        </w:rPr>
        <w:t xml:space="preserve">Las normas relativas a los derechos humanos se interpretarán de conformidad con esta Constitución y con los tratados internacionales de </w:t>
      </w:r>
      <w:r w:rsidRPr="001234C1">
        <w:rPr>
          <w:rFonts w:ascii="Palatino Linotype" w:eastAsia="Palatino Linotype" w:hAnsi="Palatino Linotype" w:cs="Palatino Linotype"/>
          <w:b/>
          <w:i/>
          <w:color w:val="000000"/>
          <w:sz w:val="22"/>
          <w:szCs w:val="22"/>
        </w:rPr>
        <w:lastRenderedPageBreak/>
        <w:t>la materia favoreciendo en todo tiempo a las personas la protección más amplia.</w:t>
      </w:r>
    </w:p>
    <w:p w14:paraId="69DA5B3B" w14:textId="77777777" w:rsidR="00FF0200" w:rsidRPr="001234C1" w:rsidRDefault="00BC5887">
      <w:pPr>
        <w:spacing w:line="276" w:lineRule="auto"/>
        <w:ind w:left="851" w:right="850"/>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234C1">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78EAD3FA" w14:textId="77777777" w:rsidR="00FF0200" w:rsidRPr="001234C1" w:rsidRDefault="00BC5887">
      <w:pPr>
        <w:spacing w:line="276" w:lineRule="auto"/>
        <w:ind w:left="851" w:right="850"/>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i/>
          <w:color w:val="000000"/>
          <w:sz w:val="22"/>
          <w:szCs w:val="22"/>
        </w:rPr>
        <w:t>[…]</w:t>
      </w:r>
    </w:p>
    <w:p w14:paraId="63D30D16" w14:textId="77777777" w:rsidR="00FF0200" w:rsidRPr="001234C1" w:rsidRDefault="00BC5887">
      <w:pPr>
        <w:spacing w:line="276" w:lineRule="auto"/>
        <w:ind w:left="851" w:right="901"/>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i/>
          <w:color w:val="000000"/>
          <w:sz w:val="22"/>
          <w:szCs w:val="22"/>
        </w:rPr>
        <w:t>“Artículo 6o.</w:t>
      </w:r>
    </w:p>
    <w:p w14:paraId="32A9FB28" w14:textId="77777777" w:rsidR="00FF0200" w:rsidRPr="001234C1" w:rsidRDefault="00BC5887">
      <w:pPr>
        <w:spacing w:line="276" w:lineRule="auto"/>
        <w:ind w:left="851" w:right="901"/>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i/>
          <w:color w:val="000000"/>
          <w:sz w:val="22"/>
          <w:szCs w:val="22"/>
        </w:rPr>
        <w:t>[...]</w:t>
      </w:r>
    </w:p>
    <w:p w14:paraId="7D784DF5" w14:textId="77777777" w:rsidR="000B2B2F" w:rsidRPr="001234C1" w:rsidRDefault="000B2B2F" w:rsidP="000B2B2F">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 xml:space="preserve">A. Para el ejercicio del derecho de acceso a la información, la Federación y </w:t>
      </w:r>
      <w:r w:rsidRPr="001234C1">
        <w:rPr>
          <w:rFonts w:ascii="Palatino Linotype" w:eastAsia="Palatino Linotype" w:hAnsi="Palatino Linotype" w:cs="Palatino Linotype"/>
          <w:b/>
          <w:i/>
          <w:sz w:val="22"/>
          <w:szCs w:val="22"/>
          <w:u w:val="single"/>
        </w:rPr>
        <w:t>las entidades federativas</w:t>
      </w:r>
      <w:r w:rsidRPr="001234C1">
        <w:rPr>
          <w:rFonts w:ascii="Palatino Linotype" w:eastAsia="Palatino Linotype" w:hAnsi="Palatino Linotype" w:cs="Palatino Linotype"/>
          <w:b/>
          <w:i/>
          <w:sz w:val="22"/>
          <w:szCs w:val="22"/>
        </w:rPr>
        <w:t>,</w:t>
      </w:r>
      <w:r w:rsidRPr="001234C1">
        <w:rPr>
          <w:rFonts w:ascii="Palatino Linotype" w:eastAsia="Palatino Linotype" w:hAnsi="Palatino Linotype" w:cs="Palatino Linotype"/>
          <w:i/>
          <w:sz w:val="22"/>
          <w:szCs w:val="22"/>
        </w:rPr>
        <w:t xml:space="preserve"> en el ámbito de sus respectivas competencias, se regirán por los siguientes principios y bases:</w:t>
      </w:r>
    </w:p>
    <w:p w14:paraId="0B53B89A" w14:textId="77777777" w:rsidR="000B2B2F" w:rsidRPr="001234C1" w:rsidRDefault="000B2B2F" w:rsidP="000B2B2F">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w:t>
      </w:r>
      <w:r w:rsidRPr="001234C1">
        <w:rPr>
          <w:rFonts w:ascii="Palatino Linotype" w:eastAsia="Palatino Linotype" w:hAnsi="Palatino Linotype" w:cs="Palatino Linotype"/>
          <w:b/>
          <w:i/>
          <w:sz w:val="22"/>
          <w:szCs w:val="22"/>
        </w:rPr>
        <w:t xml:space="preserve">I. </w:t>
      </w:r>
      <w:r w:rsidRPr="001234C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234C1">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234C1">
        <w:rPr>
          <w:rFonts w:ascii="Palatino Linotype" w:eastAsia="Palatino Linotype" w:hAnsi="Palatino Linotype" w:cs="Palatino Linotype"/>
          <w:b/>
          <w:i/>
          <w:sz w:val="22"/>
          <w:szCs w:val="22"/>
        </w:rPr>
        <w:t>es pública y sólo podrá ser reservada temporalmente por razones de interés público y seguridad nacional,</w:t>
      </w:r>
      <w:r w:rsidRPr="001234C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DDA485" w14:textId="77777777" w:rsidR="000B2B2F" w:rsidRPr="001234C1" w:rsidRDefault="000B2B2F" w:rsidP="000B2B2F">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2FD3B1D" w14:textId="77777777" w:rsidR="000B2B2F" w:rsidRPr="001234C1" w:rsidRDefault="000B2B2F" w:rsidP="000B2B2F">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w:t>
      </w:r>
      <w:r w:rsidRPr="001234C1">
        <w:rPr>
          <w:rFonts w:ascii="Palatino Linotype" w:eastAsia="Palatino Linotype" w:hAnsi="Palatino Linotype" w:cs="Palatino Linotype"/>
          <w:b/>
          <w:i/>
          <w:sz w:val="22"/>
          <w:szCs w:val="22"/>
        </w:rPr>
        <w:t xml:space="preserve">III. </w:t>
      </w:r>
      <w:r w:rsidRPr="001234C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234C1">
        <w:rPr>
          <w:rFonts w:ascii="Palatino Linotype" w:eastAsia="Palatino Linotype" w:hAnsi="Palatino Linotype" w:cs="Palatino Linotype"/>
          <w:i/>
          <w:sz w:val="22"/>
          <w:szCs w:val="22"/>
        </w:rPr>
        <w:t xml:space="preserve"> a sus datos personales o a la rectificación de éstos.</w:t>
      </w:r>
    </w:p>
    <w:p w14:paraId="07D1953D" w14:textId="77777777" w:rsidR="000B2B2F" w:rsidRPr="001234C1" w:rsidRDefault="000B2B2F" w:rsidP="000B2B2F">
      <w:pPr>
        <w:pBdr>
          <w:top w:val="nil"/>
          <w:left w:val="nil"/>
          <w:bottom w:val="nil"/>
          <w:right w:val="nil"/>
          <w:between w:val="nil"/>
        </w:pBdr>
        <w:spacing w:before="240" w:after="240"/>
        <w:ind w:left="851" w:right="851"/>
        <w:jc w:val="both"/>
      </w:pPr>
      <w:r w:rsidRPr="001234C1">
        <w:rPr>
          <w:rFonts w:ascii="Palatino Linotype" w:eastAsia="Palatino Linotype" w:hAnsi="Palatino Linotype" w:cs="Palatino Linotype"/>
          <w:b/>
          <w:i/>
          <w:sz w:val="22"/>
          <w:szCs w:val="22"/>
        </w:rPr>
        <w:t>…</w:t>
      </w:r>
    </w:p>
    <w:p w14:paraId="0E570680" w14:textId="77777777" w:rsidR="000B2B2F" w:rsidRPr="001234C1" w:rsidRDefault="000B2B2F" w:rsidP="000B2B2F">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lastRenderedPageBreak/>
        <w:t>IV.</w:t>
      </w:r>
      <w:r w:rsidRPr="001234C1">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3BA11EF6" w14:textId="77777777" w:rsidR="000B2B2F" w:rsidRPr="001234C1" w:rsidRDefault="000B2B2F" w:rsidP="000B2B2F">
      <w:pPr>
        <w:pBdr>
          <w:top w:val="nil"/>
          <w:left w:val="nil"/>
          <w:bottom w:val="nil"/>
          <w:right w:val="nil"/>
          <w:between w:val="nil"/>
        </w:pBdr>
        <w:spacing w:before="240" w:after="240"/>
        <w:ind w:left="851" w:right="851"/>
        <w:jc w:val="both"/>
      </w:pPr>
      <w:r w:rsidRPr="001234C1">
        <w:rPr>
          <w:rFonts w:ascii="Palatino Linotype" w:eastAsia="Palatino Linotype" w:hAnsi="Palatino Linotype" w:cs="Palatino Linotype"/>
          <w:b/>
          <w:i/>
          <w:sz w:val="22"/>
          <w:szCs w:val="22"/>
        </w:rPr>
        <w:t xml:space="preserve">V. </w:t>
      </w:r>
      <w:r w:rsidRPr="001234C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F2DA1A1" w14:textId="77777777" w:rsidR="000B2B2F" w:rsidRPr="001234C1" w:rsidRDefault="000B2B2F" w:rsidP="000B2B2F">
      <w:pPr>
        <w:pBdr>
          <w:top w:val="nil"/>
          <w:left w:val="nil"/>
          <w:bottom w:val="nil"/>
          <w:right w:val="nil"/>
          <w:between w:val="nil"/>
        </w:pBdr>
        <w:spacing w:before="240" w:after="240"/>
        <w:ind w:left="851" w:right="851"/>
        <w:jc w:val="both"/>
      </w:pPr>
      <w:r w:rsidRPr="001234C1">
        <w:rPr>
          <w:rFonts w:ascii="Palatino Linotype" w:eastAsia="Palatino Linotype" w:hAnsi="Palatino Linotype" w:cs="Palatino Linotype"/>
          <w:i/>
          <w:sz w:val="22"/>
          <w:szCs w:val="22"/>
        </w:rPr>
        <w:t> </w:t>
      </w:r>
      <w:r w:rsidRPr="001234C1">
        <w:rPr>
          <w:rFonts w:ascii="Palatino Linotype" w:eastAsia="Palatino Linotype" w:hAnsi="Palatino Linotype" w:cs="Palatino Linotype"/>
          <w:b/>
          <w:i/>
          <w:sz w:val="22"/>
          <w:szCs w:val="22"/>
        </w:rPr>
        <w:t xml:space="preserve">VI. </w:t>
      </w:r>
      <w:r w:rsidRPr="001234C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49E644D" w14:textId="77777777" w:rsidR="000B2B2F" w:rsidRPr="001234C1" w:rsidRDefault="000B2B2F" w:rsidP="000B2B2F">
      <w:pPr>
        <w:pBdr>
          <w:top w:val="nil"/>
          <w:left w:val="nil"/>
          <w:bottom w:val="nil"/>
          <w:right w:val="nil"/>
          <w:between w:val="nil"/>
        </w:pBdr>
        <w:spacing w:before="240" w:after="240"/>
        <w:ind w:left="851" w:right="851"/>
        <w:jc w:val="both"/>
      </w:pPr>
      <w:r w:rsidRPr="001234C1">
        <w:rPr>
          <w:rFonts w:ascii="Palatino Linotype" w:eastAsia="Palatino Linotype" w:hAnsi="Palatino Linotype" w:cs="Palatino Linotype"/>
          <w:i/>
          <w:sz w:val="22"/>
          <w:szCs w:val="22"/>
        </w:rPr>
        <w:t> </w:t>
      </w:r>
      <w:r w:rsidRPr="001234C1">
        <w:rPr>
          <w:rFonts w:ascii="Palatino Linotype" w:eastAsia="Palatino Linotype" w:hAnsi="Palatino Linotype" w:cs="Palatino Linotype"/>
          <w:b/>
          <w:i/>
          <w:sz w:val="22"/>
          <w:szCs w:val="22"/>
        </w:rPr>
        <w:t xml:space="preserve">VII. </w:t>
      </w:r>
      <w:r w:rsidRPr="001234C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9699BB9" w14:textId="77777777" w:rsidR="00FF0200" w:rsidRPr="001234C1" w:rsidRDefault="00FF0200">
      <w:pPr>
        <w:spacing w:line="276" w:lineRule="auto"/>
        <w:ind w:left="851" w:right="851"/>
        <w:jc w:val="both"/>
        <w:rPr>
          <w:rFonts w:ascii="Palatino Linotype" w:eastAsia="Palatino Linotype" w:hAnsi="Palatino Linotype" w:cs="Palatino Linotype"/>
          <w:color w:val="000000"/>
          <w:sz w:val="22"/>
          <w:szCs w:val="22"/>
        </w:rPr>
      </w:pPr>
    </w:p>
    <w:p w14:paraId="4387F06F" w14:textId="77777777" w:rsidR="00FF0200" w:rsidRPr="001234C1" w:rsidRDefault="00BC5887">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11F9F33" w14:textId="77777777" w:rsidR="00FF0200" w:rsidRPr="001234C1" w:rsidRDefault="00FF0200">
      <w:pPr>
        <w:spacing w:line="360" w:lineRule="auto"/>
        <w:jc w:val="both"/>
        <w:rPr>
          <w:rFonts w:ascii="Palatino Linotype" w:eastAsia="Palatino Linotype" w:hAnsi="Palatino Linotype" w:cs="Palatino Linotype"/>
          <w:color w:val="000000"/>
          <w:sz w:val="22"/>
          <w:szCs w:val="22"/>
        </w:rPr>
      </w:pPr>
    </w:p>
    <w:p w14:paraId="452B4F4E"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Artículo 4</w:t>
      </w:r>
      <w:r w:rsidRPr="001234C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8E2CC4" w14:textId="77777777" w:rsidR="00FF0200" w:rsidRPr="001234C1" w:rsidRDefault="00FF0200">
      <w:pPr>
        <w:spacing w:line="276" w:lineRule="auto"/>
        <w:ind w:left="567" w:right="616"/>
        <w:jc w:val="both"/>
        <w:rPr>
          <w:rFonts w:ascii="Palatino Linotype" w:eastAsia="Palatino Linotype" w:hAnsi="Palatino Linotype" w:cs="Palatino Linotype"/>
          <w:i/>
          <w:sz w:val="22"/>
          <w:szCs w:val="22"/>
        </w:rPr>
      </w:pPr>
    </w:p>
    <w:p w14:paraId="4E583557"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234C1">
        <w:rPr>
          <w:rFonts w:ascii="Palatino Linotype" w:eastAsia="Palatino Linotype" w:hAnsi="Palatino Linotype" w:cs="Palatino Linotype"/>
          <w:i/>
          <w:sz w:val="22"/>
          <w:szCs w:val="22"/>
        </w:rPr>
        <w:t xml:space="preserve">, en los términos y condiciones que se </w:t>
      </w:r>
      <w:r w:rsidRPr="001234C1">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033827" w14:textId="77777777" w:rsidR="00FF0200" w:rsidRPr="001234C1" w:rsidRDefault="00FF0200">
      <w:pPr>
        <w:spacing w:line="276" w:lineRule="auto"/>
        <w:ind w:left="567" w:right="616"/>
        <w:jc w:val="both"/>
        <w:rPr>
          <w:rFonts w:ascii="Palatino Linotype" w:eastAsia="Palatino Linotype" w:hAnsi="Palatino Linotype" w:cs="Palatino Linotype"/>
          <w:i/>
          <w:sz w:val="22"/>
          <w:szCs w:val="22"/>
        </w:rPr>
      </w:pPr>
    </w:p>
    <w:p w14:paraId="7B8DF912"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234C1">
        <w:rPr>
          <w:rFonts w:ascii="Palatino Linotype" w:eastAsia="Palatino Linotype" w:hAnsi="Palatino Linotype" w:cs="Palatino Linotype"/>
          <w:i/>
          <w:sz w:val="22"/>
          <w:szCs w:val="22"/>
        </w:rPr>
        <w:t>.”</w:t>
      </w:r>
    </w:p>
    <w:p w14:paraId="10991DA1"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5D126727" w14:textId="77777777"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60C2FD1"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3C9326F0"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“Artículo 12.-</w:t>
      </w:r>
      <w:r w:rsidRPr="001234C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4499FFF" w14:textId="77777777" w:rsidR="00FF0200" w:rsidRPr="001234C1" w:rsidRDefault="00FF0200">
      <w:pPr>
        <w:spacing w:line="276" w:lineRule="auto"/>
        <w:ind w:left="567" w:right="616"/>
        <w:jc w:val="both"/>
        <w:rPr>
          <w:rFonts w:ascii="Palatino Linotype" w:eastAsia="Palatino Linotype" w:hAnsi="Palatino Linotype" w:cs="Palatino Linotype"/>
          <w:i/>
          <w:sz w:val="22"/>
          <w:szCs w:val="22"/>
        </w:rPr>
      </w:pPr>
    </w:p>
    <w:p w14:paraId="478BFF89" w14:textId="77777777" w:rsidR="00FF0200" w:rsidRPr="001234C1" w:rsidRDefault="00BC5887">
      <w:pPr>
        <w:spacing w:line="276" w:lineRule="auto"/>
        <w:ind w:left="567" w:right="616"/>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234C1">
        <w:rPr>
          <w:rFonts w:ascii="Palatino Linotype" w:eastAsia="Palatino Linotype" w:hAnsi="Palatino Linotype" w:cs="Palatino Linotype"/>
          <w:i/>
          <w:sz w:val="22"/>
          <w:szCs w:val="22"/>
        </w:rPr>
        <w:t xml:space="preserve">. </w:t>
      </w:r>
      <w:r w:rsidRPr="001234C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0D6F506" w14:textId="77777777" w:rsidR="00FF0200" w:rsidRPr="001234C1" w:rsidRDefault="00FF0200">
      <w:pPr>
        <w:spacing w:line="360" w:lineRule="auto"/>
        <w:ind w:left="567" w:right="616"/>
        <w:jc w:val="both"/>
        <w:rPr>
          <w:rFonts w:ascii="Palatino Linotype" w:eastAsia="Palatino Linotype" w:hAnsi="Palatino Linotype" w:cs="Palatino Linotype"/>
          <w:i/>
          <w:sz w:val="22"/>
          <w:szCs w:val="22"/>
        </w:rPr>
      </w:pPr>
    </w:p>
    <w:p w14:paraId="3182C13F" w14:textId="77777777" w:rsidR="00FF0200" w:rsidRPr="001234C1" w:rsidRDefault="00BC5887">
      <w:pPr>
        <w:spacing w:line="360" w:lineRule="auto"/>
        <w:ind w:right="-93"/>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1234C1">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03C4E1B" w14:textId="77777777" w:rsidR="00FF0200" w:rsidRPr="001234C1" w:rsidRDefault="00FF0200">
      <w:pPr>
        <w:spacing w:line="360" w:lineRule="auto"/>
        <w:ind w:right="-93"/>
        <w:jc w:val="both"/>
        <w:rPr>
          <w:rFonts w:ascii="Palatino Linotype" w:eastAsia="Palatino Linotype" w:hAnsi="Palatino Linotype" w:cs="Palatino Linotype"/>
          <w:sz w:val="22"/>
          <w:szCs w:val="22"/>
        </w:rPr>
      </w:pPr>
    </w:p>
    <w:p w14:paraId="248D0879" w14:textId="07D5D766" w:rsidR="00FF0200" w:rsidRPr="001234C1" w:rsidRDefault="00BC5887">
      <w:pPr>
        <w:spacing w:line="360" w:lineRule="auto"/>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sz w:val="22"/>
          <w:szCs w:val="22"/>
        </w:rPr>
        <w:t>Sirve de apoyo a lo anterior, el criterio</w:t>
      </w:r>
      <w:r w:rsidR="002F1BA5" w:rsidRPr="001234C1">
        <w:rPr>
          <w:rFonts w:ascii="Palatino Linotype" w:eastAsia="Palatino Linotype" w:hAnsi="Palatino Linotype" w:cs="Palatino Linotype"/>
          <w:sz w:val="22"/>
          <w:szCs w:val="22"/>
        </w:rPr>
        <w:t xml:space="preserve"> orientador</w:t>
      </w:r>
      <w:r w:rsidRPr="001234C1">
        <w:rPr>
          <w:rFonts w:ascii="Palatino Linotype" w:eastAsia="Palatino Linotype" w:hAnsi="Palatino Linotype" w:cs="Palatino Linotype"/>
          <w:sz w:val="22"/>
          <w:szCs w:val="22"/>
        </w:rPr>
        <w:t xml:space="preserve"> 03-17, expuesto por el </w:t>
      </w:r>
      <w:r w:rsidR="00B75BA0" w:rsidRPr="001234C1">
        <w:rPr>
          <w:rFonts w:ascii="Palatino Linotype" w:eastAsia="Palatino Linotype" w:hAnsi="Palatino Linotype" w:cs="Palatino Linotype"/>
          <w:sz w:val="22"/>
          <w:szCs w:val="22"/>
        </w:rPr>
        <w:t xml:space="preserve">entonces </w:t>
      </w:r>
      <w:r w:rsidRPr="001234C1">
        <w:rPr>
          <w:rFonts w:ascii="Palatino Linotype" w:eastAsia="Palatino Linotype" w:hAnsi="Palatino Linotype" w:cs="Palatino Linotype"/>
          <w:sz w:val="22"/>
          <w:szCs w:val="22"/>
        </w:rPr>
        <w:t>Instituto Nacional de Transparencia, Acceso a la Información y Protección de Datos Personales, que dice:</w:t>
      </w:r>
      <w:r w:rsidRPr="001234C1">
        <w:rPr>
          <w:rFonts w:ascii="Palatino Linotype" w:eastAsia="Palatino Linotype" w:hAnsi="Palatino Linotype" w:cs="Palatino Linotype"/>
          <w:b/>
          <w:sz w:val="22"/>
          <w:szCs w:val="22"/>
        </w:rPr>
        <w:t xml:space="preserve"> </w:t>
      </w:r>
    </w:p>
    <w:p w14:paraId="518AD94F" w14:textId="77777777" w:rsidR="00FF0200" w:rsidRPr="001234C1" w:rsidRDefault="00FF0200">
      <w:pPr>
        <w:spacing w:line="360" w:lineRule="auto"/>
        <w:jc w:val="both"/>
        <w:rPr>
          <w:rFonts w:ascii="Palatino Linotype" w:eastAsia="Palatino Linotype" w:hAnsi="Palatino Linotype" w:cs="Palatino Linotype"/>
          <w:b/>
          <w:sz w:val="22"/>
          <w:szCs w:val="22"/>
        </w:rPr>
      </w:pPr>
    </w:p>
    <w:p w14:paraId="56BF7B46"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No existe obligación de elaborar documentos ad hoc para atender las solicitudes de acceso a la información.</w:t>
      </w:r>
      <w:r w:rsidRPr="001234C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AE90287" w14:textId="77777777" w:rsidR="00FF0200" w:rsidRPr="001234C1" w:rsidRDefault="00FF0200">
      <w:pPr>
        <w:spacing w:line="360" w:lineRule="auto"/>
        <w:ind w:right="-93"/>
        <w:jc w:val="both"/>
        <w:rPr>
          <w:rFonts w:ascii="Palatino Linotype" w:eastAsia="Palatino Linotype" w:hAnsi="Palatino Linotype" w:cs="Palatino Linotype"/>
          <w:sz w:val="22"/>
          <w:szCs w:val="22"/>
        </w:rPr>
      </w:pPr>
    </w:p>
    <w:p w14:paraId="28129D35" w14:textId="77777777"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25BB84"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5B9798CF" w14:textId="77777777" w:rsidR="00FF0200" w:rsidRPr="001234C1" w:rsidRDefault="00BC5887">
      <w:pP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CE1FBA" w14:textId="77777777" w:rsidR="00FF0200" w:rsidRPr="001234C1" w:rsidRDefault="00FF0200">
      <w:pPr>
        <w:spacing w:line="360" w:lineRule="auto"/>
        <w:ind w:right="49"/>
        <w:jc w:val="both"/>
        <w:rPr>
          <w:rFonts w:ascii="Palatino Linotype" w:eastAsia="Palatino Linotype" w:hAnsi="Palatino Linotype" w:cs="Palatino Linotype"/>
          <w:sz w:val="22"/>
          <w:szCs w:val="22"/>
        </w:rPr>
      </w:pPr>
    </w:p>
    <w:p w14:paraId="3BA41D4E" w14:textId="77777777"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205010B" w14:textId="77777777" w:rsidR="00FF0200" w:rsidRPr="001234C1" w:rsidRDefault="00FF0200">
      <w:pPr>
        <w:spacing w:line="360" w:lineRule="auto"/>
        <w:ind w:left="851" w:right="899"/>
        <w:jc w:val="both"/>
        <w:rPr>
          <w:rFonts w:ascii="Palatino Linotype" w:eastAsia="Palatino Linotype" w:hAnsi="Palatino Linotype" w:cs="Palatino Linotype"/>
          <w:i/>
          <w:sz w:val="22"/>
          <w:szCs w:val="22"/>
        </w:rPr>
      </w:pPr>
    </w:p>
    <w:p w14:paraId="3505D651"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 xml:space="preserve">Artículo 3. </w:t>
      </w:r>
      <w:r w:rsidRPr="001234C1">
        <w:rPr>
          <w:rFonts w:ascii="Palatino Linotype" w:eastAsia="Palatino Linotype" w:hAnsi="Palatino Linotype" w:cs="Palatino Linotype"/>
          <w:i/>
          <w:sz w:val="22"/>
          <w:szCs w:val="22"/>
        </w:rPr>
        <w:t>Para los efectos de la presente Ley se entenderá por:</w:t>
      </w:r>
    </w:p>
    <w:p w14:paraId="3BFBBAAA"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p>
    <w:p w14:paraId="4334F269"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XI. Documento:</w:t>
      </w:r>
      <w:r w:rsidRPr="001234C1">
        <w:rPr>
          <w:rFonts w:ascii="Palatino Linotype" w:eastAsia="Palatino Linotype" w:hAnsi="Palatino Linotype" w:cs="Palatino Linotype"/>
          <w:i/>
          <w:sz w:val="22"/>
          <w:szCs w:val="22"/>
        </w:rPr>
        <w:t xml:space="preserve"> Los expedientes, reportes, estudios, actas</w:t>
      </w:r>
      <w:r w:rsidRPr="001234C1">
        <w:rPr>
          <w:rFonts w:ascii="Palatino Linotype" w:eastAsia="Palatino Linotype" w:hAnsi="Palatino Linotype" w:cs="Palatino Linotype"/>
          <w:b/>
          <w:i/>
          <w:sz w:val="22"/>
          <w:szCs w:val="22"/>
        </w:rPr>
        <w:t>,</w:t>
      </w:r>
      <w:r w:rsidRPr="001234C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447A23" w14:textId="77777777" w:rsidR="00FF0200" w:rsidRPr="001234C1" w:rsidRDefault="00FF0200">
      <w:pPr>
        <w:spacing w:line="360" w:lineRule="auto"/>
        <w:ind w:left="851" w:right="899"/>
        <w:jc w:val="both"/>
        <w:rPr>
          <w:rFonts w:ascii="Palatino Linotype" w:eastAsia="Palatino Linotype" w:hAnsi="Palatino Linotype" w:cs="Palatino Linotype"/>
          <w:sz w:val="22"/>
          <w:szCs w:val="22"/>
        </w:rPr>
      </w:pPr>
    </w:p>
    <w:p w14:paraId="1B0E824F" w14:textId="77777777"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1234C1">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16A9D244" w14:textId="77777777" w:rsidR="00FF0200" w:rsidRPr="001234C1" w:rsidRDefault="00BC5887">
      <w:pPr>
        <w:spacing w:line="276" w:lineRule="auto"/>
        <w:ind w:left="567" w:right="616"/>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sz w:val="22"/>
          <w:szCs w:val="22"/>
        </w:rPr>
        <w:t>“</w:t>
      </w:r>
      <w:r w:rsidRPr="001234C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234C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F42BB6"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13D90A7" w14:textId="77777777" w:rsidR="00FF0200" w:rsidRPr="001234C1" w:rsidRDefault="00BC5887">
      <w:pPr>
        <w:spacing w:line="276" w:lineRule="auto"/>
        <w:ind w:left="567"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1E31E9A" w14:textId="77777777" w:rsidR="00FF0200" w:rsidRPr="001234C1" w:rsidRDefault="00BC5887">
      <w:pPr>
        <w:spacing w:line="276" w:lineRule="auto"/>
        <w:ind w:left="567" w:right="616"/>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119BBCF" w14:textId="77777777" w:rsidR="00FF0200" w:rsidRPr="001234C1" w:rsidRDefault="00BC5887">
      <w:pPr>
        <w:spacing w:line="276" w:lineRule="auto"/>
        <w:ind w:left="567" w:right="616"/>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7346C113" w14:textId="77777777" w:rsidR="00FF0200" w:rsidRPr="001234C1" w:rsidRDefault="00FF0200">
      <w:pPr>
        <w:spacing w:line="276" w:lineRule="auto"/>
        <w:ind w:left="567" w:right="616"/>
        <w:jc w:val="both"/>
        <w:rPr>
          <w:rFonts w:ascii="Palatino Linotype" w:eastAsia="Palatino Linotype" w:hAnsi="Palatino Linotype" w:cs="Palatino Linotype"/>
          <w:b/>
          <w:i/>
          <w:sz w:val="22"/>
          <w:szCs w:val="22"/>
        </w:rPr>
      </w:pPr>
    </w:p>
    <w:p w14:paraId="7C69DDAD" w14:textId="77777777" w:rsidR="00FF0200"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De ahí que 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1234C1">
        <w:rPr>
          <w:rFonts w:ascii="Palatino Linotype" w:eastAsia="Palatino Linotype" w:hAnsi="Palatino Linotype" w:cs="Palatino Linotype"/>
          <w:sz w:val="22"/>
          <w:szCs w:val="22"/>
          <w:vertAlign w:val="superscript"/>
        </w:rPr>
        <w:footnoteReference w:id="1"/>
      </w:r>
      <w:r w:rsidRPr="001234C1">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1234C1">
        <w:rPr>
          <w:rFonts w:ascii="Palatino Linotype" w:eastAsia="Palatino Linotype" w:hAnsi="Palatino Linotype" w:cs="Palatino Linotype"/>
          <w:sz w:val="22"/>
          <w:szCs w:val="22"/>
        </w:rPr>
        <w:lastRenderedPageBreak/>
        <w:t>el público comprenda las actividades que llevan a cabo los Sujetos Obligados</w:t>
      </w:r>
      <w:r w:rsidRPr="001234C1">
        <w:rPr>
          <w:rFonts w:ascii="Palatino Linotype" w:eastAsia="Palatino Linotype" w:hAnsi="Palatino Linotype" w:cs="Palatino Linotype"/>
          <w:sz w:val="22"/>
          <w:szCs w:val="22"/>
          <w:vertAlign w:val="superscript"/>
        </w:rPr>
        <w:footnoteReference w:id="2"/>
      </w:r>
      <w:r w:rsidRPr="001234C1">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46A25B8" w14:textId="77777777" w:rsidR="00FF0200" w:rsidRPr="001234C1" w:rsidRDefault="00FF0200">
      <w:pPr>
        <w:spacing w:line="360" w:lineRule="auto"/>
        <w:ind w:right="-150"/>
        <w:jc w:val="both"/>
        <w:rPr>
          <w:rFonts w:ascii="Palatino Linotype" w:eastAsia="Palatino Linotype" w:hAnsi="Palatino Linotype" w:cs="Palatino Linotype"/>
          <w:sz w:val="22"/>
          <w:szCs w:val="22"/>
        </w:rPr>
      </w:pPr>
    </w:p>
    <w:p w14:paraId="3692372F" w14:textId="0326D6ED" w:rsidR="00FF0200" w:rsidRPr="001234C1" w:rsidRDefault="00BC5887" w:rsidP="000B2B2F">
      <w:pPr>
        <w:pBdr>
          <w:top w:val="nil"/>
          <w:left w:val="nil"/>
          <w:bottom w:val="nil"/>
          <w:right w:val="nil"/>
          <w:between w:val="nil"/>
        </w:pBdr>
        <w:spacing w:line="360" w:lineRule="auto"/>
        <w:ind w:right="-150"/>
        <w:jc w:val="both"/>
        <w:rPr>
          <w:rFonts w:ascii="Palatino Linotype" w:eastAsia="Palatino Linotype" w:hAnsi="Palatino Linotype" w:cs="Palatino Linotype"/>
          <w:bCs/>
          <w:color w:val="000000"/>
          <w:sz w:val="22"/>
          <w:szCs w:val="22"/>
        </w:rPr>
      </w:pPr>
      <w:bookmarkStart w:id="8" w:name="_heading=h.1y810tw" w:colFirst="0" w:colLast="0"/>
      <w:bookmarkEnd w:id="8"/>
      <w:r w:rsidRPr="001234C1">
        <w:rPr>
          <w:rFonts w:ascii="Palatino Linotype" w:eastAsia="Palatino Linotype" w:hAnsi="Palatino Linotype" w:cs="Palatino Linotype"/>
          <w:sz w:val="22"/>
          <w:szCs w:val="22"/>
        </w:rPr>
        <w:t xml:space="preserve">Para ello, conviene iniciar el presente estudio señalando que la persona solicitante requirió del </w:t>
      </w:r>
      <w:r w:rsidRPr="001234C1">
        <w:rPr>
          <w:rFonts w:ascii="Palatino Linotype" w:eastAsia="Palatino Linotype" w:hAnsi="Palatino Linotype" w:cs="Palatino Linotype"/>
          <w:b/>
          <w:sz w:val="22"/>
          <w:szCs w:val="22"/>
        </w:rPr>
        <w:t xml:space="preserve">Sujeto Obligado, </w:t>
      </w:r>
      <w:r w:rsidR="000B2B2F" w:rsidRPr="001234C1">
        <w:rPr>
          <w:rFonts w:ascii="Palatino Linotype" w:eastAsia="Palatino Linotype" w:hAnsi="Palatino Linotype" w:cs="Palatino Linotype"/>
          <w:bCs/>
          <w:sz w:val="22"/>
          <w:szCs w:val="22"/>
        </w:rPr>
        <w:t>los documentos que acredite</w:t>
      </w:r>
      <w:r w:rsidR="00D300FB" w:rsidRPr="001234C1">
        <w:rPr>
          <w:rFonts w:ascii="Palatino Linotype" w:eastAsia="Palatino Linotype" w:hAnsi="Palatino Linotype" w:cs="Palatino Linotype"/>
          <w:bCs/>
          <w:sz w:val="22"/>
          <w:szCs w:val="22"/>
        </w:rPr>
        <w:t>n</w:t>
      </w:r>
      <w:r w:rsidR="000B2B2F" w:rsidRPr="001234C1">
        <w:rPr>
          <w:rFonts w:ascii="Palatino Linotype" w:eastAsia="Palatino Linotype" w:hAnsi="Palatino Linotype" w:cs="Palatino Linotype"/>
          <w:bCs/>
          <w:sz w:val="22"/>
          <w:szCs w:val="22"/>
        </w:rPr>
        <w:t xml:space="preserve"> que el Tesorero Municipal solicitó al Presidente Municipal de Toluca </w:t>
      </w:r>
      <w:r w:rsidR="00D300FB" w:rsidRPr="001234C1">
        <w:rPr>
          <w:rFonts w:ascii="Palatino Linotype" w:eastAsia="Palatino Linotype" w:hAnsi="Palatino Linotype" w:cs="Palatino Linotype"/>
          <w:bCs/>
          <w:sz w:val="22"/>
          <w:szCs w:val="22"/>
        </w:rPr>
        <w:t xml:space="preserve">de la </w:t>
      </w:r>
      <w:r w:rsidR="000B2B2F" w:rsidRPr="001234C1">
        <w:rPr>
          <w:rFonts w:ascii="Palatino Linotype" w:eastAsia="Palatino Linotype" w:hAnsi="Palatino Linotype" w:cs="Palatino Linotype"/>
          <w:bCs/>
          <w:sz w:val="22"/>
          <w:szCs w:val="22"/>
        </w:rPr>
        <w:t>Administración 2019-2021, la cancelación de los folios de los proyectos FEFOM 2021</w:t>
      </w:r>
      <w:r w:rsidR="00F81E45" w:rsidRPr="001234C1">
        <w:rPr>
          <w:rFonts w:ascii="Palatino Linotype" w:eastAsia="Palatino Linotype" w:hAnsi="Palatino Linotype" w:cs="Palatino Linotype"/>
          <w:bCs/>
          <w:sz w:val="22"/>
          <w:szCs w:val="22"/>
        </w:rPr>
        <w:t xml:space="preserve">. </w:t>
      </w:r>
    </w:p>
    <w:p w14:paraId="225BCE4F" w14:textId="77777777" w:rsidR="00FF0200" w:rsidRPr="001234C1" w:rsidRDefault="00FF0200">
      <w:pPr>
        <w:pBdr>
          <w:top w:val="nil"/>
          <w:left w:val="nil"/>
          <w:bottom w:val="nil"/>
          <w:right w:val="nil"/>
          <w:between w:val="nil"/>
        </w:pBdr>
        <w:spacing w:line="360" w:lineRule="auto"/>
        <w:ind w:left="360" w:hanging="360"/>
        <w:jc w:val="both"/>
        <w:rPr>
          <w:rFonts w:ascii="Palatino Linotype" w:eastAsia="Palatino Linotype" w:hAnsi="Palatino Linotype" w:cs="Palatino Linotype"/>
          <w:color w:val="000000"/>
          <w:sz w:val="22"/>
          <w:szCs w:val="22"/>
        </w:rPr>
      </w:pPr>
    </w:p>
    <w:p w14:paraId="0B39E94C" w14:textId="469C0F05" w:rsidR="00FF0200" w:rsidRPr="001234C1" w:rsidRDefault="00BC5887" w:rsidP="00F81E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 xml:space="preserve">En respuesta, el </w:t>
      </w:r>
      <w:r w:rsidRPr="001234C1">
        <w:rPr>
          <w:rFonts w:ascii="Palatino Linotype" w:eastAsia="Palatino Linotype" w:hAnsi="Palatino Linotype" w:cs="Palatino Linotype"/>
          <w:b/>
          <w:color w:val="000000"/>
          <w:sz w:val="22"/>
          <w:szCs w:val="22"/>
        </w:rPr>
        <w:t xml:space="preserve">Sujeto Obligado </w:t>
      </w:r>
      <w:r w:rsidRPr="001234C1">
        <w:rPr>
          <w:rFonts w:ascii="Palatino Linotype" w:eastAsia="Palatino Linotype" w:hAnsi="Palatino Linotype" w:cs="Palatino Linotype"/>
          <w:color w:val="000000"/>
          <w:sz w:val="22"/>
          <w:szCs w:val="22"/>
        </w:rPr>
        <w:t>se pronunció por conducto de</w:t>
      </w:r>
      <w:r w:rsidR="00F81E45" w:rsidRPr="001234C1">
        <w:rPr>
          <w:rFonts w:ascii="Palatino Linotype" w:eastAsia="Palatino Linotype" w:hAnsi="Palatino Linotype" w:cs="Palatino Linotype"/>
          <w:color w:val="000000"/>
          <w:sz w:val="22"/>
          <w:szCs w:val="22"/>
        </w:rPr>
        <w:t xml:space="preserve"> </w:t>
      </w:r>
      <w:r w:rsidRPr="001234C1">
        <w:rPr>
          <w:rFonts w:ascii="Palatino Linotype" w:eastAsia="Palatino Linotype" w:hAnsi="Palatino Linotype" w:cs="Palatino Linotype"/>
          <w:color w:val="000000"/>
          <w:sz w:val="22"/>
          <w:szCs w:val="22"/>
        </w:rPr>
        <w:t>l</w:t>
      </w:r>
      <w:r w:rsidR="00F81E45" w:rsidRPr="001234C1">
        <w:rPr>
          <w:rFonts w:ascii="Palatino Linotype" w:eastAsia="Palatino Linotype" w:hAnsi="Palatino Linotype" w:cs="Palatino Linotype"/>
          <w:color w:val="000000"/>
          <w:sz w:val="22"/>
          <w:szCs w:val="22"/>
        </w:rPr>
        <w:t xml:space="preserve">a Tesorería Municipal quien informó que después de realizar una búsqueda exhaustiva dentro de los archivos que obran en esa área, no localizó documento alguno que dé cuenta de lo solicitado. </w:t>
      </w:r>
      <w:r w:rsidRPr="001234C1">
        <w:rPr>
          <w:rFonts w:ascii="Palatino Linotype" w:eastAsia="Palatino Linotype" w:hAnsi="Palatino Linotype" w:cs="Palatino Linotype"/>
          <w:color w:val="000000"/>
          <w:sz w:val="22"/>
          <w:szCs w:val="22"/>
        </w:rPr>
        <w:t xml:space="preserve"> </w:t>
      </w:r>
    </w:p>
    <w:p w14:paraId="6FB45DD0" w14:textId="77777777" w:rsidR="00F81E45" w:rsidRPr="001234C1" w:rsidRDefault="00F81E45" w:rsidP="00F81E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7B7CB85" w14:textId="77777777" w:rsidR="00FF0200" w:rsidRPr="001234C1" w:rsidRDefault="00BC5887">
      <w:pP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Inconforme con la respuesta la parte </w:t>
      </w:r>
      <w:r w:rsidRPr="001234C1">
        <w:rPr>
          <w:rFonts w:ascii="Palatino Linotype" w:eastAsia="Palatino Linotype" w:hAnsi="Palatino Linotype" w:cs="Palatino Linotype"/>
          <w:b/>
          <w:sz w:val="22"/>
          <w:szCs w:val="22"/>
        </w:rPr>
        <w:t xml:space="preserve">Recurrente, </w:t>
      </w:r>
      <w:r w:rsidRPr="001234C1">
        <w:rPr>
          <w:rFonts w:ascii="Palatino Linotype" w:eastAsia="Palatino Linotype" w:hAnsi="Palatino Linotype" w:cs="Palatino Linotype"/>
          <w:sz w:val="22"/>
          <w:szCs w:val="22"/>
        </w:rPr>
        <w:t xml:space="preserve">promovió el presente recurso de revisión en el que a manera de motivos de inconformidad </w:t>
      </w:r>
      <w:r w:rsidRPr="001234C1">
        <w:rPr>
          <w:rFonts w:ascii="Palatino Linotype" w:eastAsia="Palatino Linotype" w:hAnsi="Palatino Linotype" w:cs="Palatino Linotype"/>
          <w:b/>
          <w:sz w:val="22"/>
          <w:szCs w:val="22"/>
        </w:rPr>
        <w:t>se adolece medularmente de la negativa a la entrega de la información.</w:t>
      </w:r>
    </w:p>
    <w:p w14:paraId="71078F05" w14:textId="77777777" w:rsidR="00FF0200" w:rsidRPr="001234C1" w:rsidRDefault="00FF0200">
      <w:pPr>
        <w:spacing w:line="360" w:lineRule="auto"/>
        <w:ind w:right="49"/>
        <w:jc w:val="both"/>
        <w:rPr>
          <w:rFonts w:ascii="Palatino Linotype" w:eastAsia="Palatino Linotype" w:hAnsi="Palatino Linotype" w:cs="Palatino Linotype"/>
          <w:sz w:val="22"/>
          <w:szCs w:val="22"/>
        </w:rPr>
      </w:pPr>
    </w:p>
    <w:p w14:paraId="4A06ADA0" w14:textId="77777777" w:rsidR="00FF0200" w:rsidRPr="001234C1" w:rsidRDefault="00BC5887">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Admitido el presente recurso de revisión, en términos del artículo 185 fracción II</w:t>
      </w:r>
      <w:r w:rsidRPr="001234C1">
        <w:rPr>
          <w:rFonts w:ascii="Palatino Linotype" w:eastAsia="Palatino Linotype" w:hAnsi="Palatino Linotype" w:cs="Palatino Linotype"/>
          <w:color w:val="000000"/>
          <w:sz w:val="22"/>
          <w:szCs w:val="22"/>
          <w:vertAlign w:val="superscript"/>
        </w:rPr>
        <w:footnoteReference w:id="3"/>
      </w:r>
      <w:r w:rsidRPr="001234C1">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7D3FA1DF" w14:textId="77777777" w:rsidR="00FF0200" w:rsidRPr="001234C1" w:rsidRDefault="00FF0200">
      <w:pPr>
        <w:spacing w:line="360" w:lineRule="auto"/>
        <w:jc w:val="both"/>
        <w:rPr>
          <w:rFonts w:ascii="Palatino Linotype" w:eastAsia="Palatino Linotype" w:hAnsi="Palatino Linotype" w:cs="Palatino Linotype"/>
          <w:color w:val="000000"/>
          <w:sz w:val="22"/>
          <w:szCs w:val="22"/>
        </w:rPr>
      </w:pPr>
    </w:p>
    <w:p w14:paraId="0D31E48C" w14:textId="3057CCC0" w:rsidR="00FF0200" w:rsidRPr="001234C1" w:rsidRDefault="00BC588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lastRenderedPageBreak/>
        <w:t>Cabe resaltar que, durante la etapa de manifestaciones</w:t>
      </w:r>
      <w:r w:rsidRPr="001234C1">
        <w:rPr>
          <w:rFonts w:ascii="Palatino Linotype" w:eastAsia="Palatino Linotype" w:hAnsi="Palatino Linotype" w:cs="Palatino Linotype"/>
          <w:b/>
          <w:color w:val="000000"/>
          <w:sz w:val="22"/>
          <w:szCs w:val="22"/>
        </w:rPr>
        <w:t xml:space="preserve">, </w:t>
      </w:r>
      <w:r w:rsidRPr="001234C1">
        <w:rPr>
          <w:rFonts w:ascii="Palatino Linotype" w:eastAsia="Palatino Linotype" w:hAnsi="Palatino Linotype" w:cs="Palatino Linotype"/>
          <w:color w:val="000000"/>
          <w:sz w:val="22"/>
          <w:szCs w:val="22"/>
        </w:rPr>
        <w:t xml:space="preserve">el </w:t>
      </w:r>
      <w:r w:rsidRPr="001234C1">
        <w:rPr>
          <w:rFonts w:ascii="Palatino Linotype" w:eastAsia="Palatino Linotype" w:hAnsi="Palatino Linotype" w:cs="Palatino Linotype"/>
          <w:b/>
          <w:color w:val="000000"/>
          <w:sz w:val="22"/>
          <w:szCs w:val="22"/>
        </w:rPr>
        <w:t xml:space="preserve">Sujeto Obligado </w:t>
      </w:r>
      <w:r w:rsidRPr="001234C1">
        <w:rPr>
          <w:rFonts w:ascii="Palatino Linotype" w:eastAsia="Palatino Linotype" w:hAnsi="Palatino Linotype" w:cs="Palatino Linotype"/>
          <w:color w:val="000000"/>
          <w:sz w:val="22"/>
          <w:szCs w:val="22"/>
        </w:rPr>
        <w:t>rindió su informe justificado en el que</w:t>
      </w:r>
      <w:r w:rsidR="004E26FE" w:rsidRPr="001234C1">
        <w:rPr>
          <w:rFonts w:ascii="Palatino Linotype" w:eastAsia="Palatino Linotype" w:hAnsi="Palatino Linotype" w:cs="Palatino Linotype"/>
          <w:color w:val="000000"/>
          <w:sz w:val="22"/>
          <w:szCs w:val="22"/>
        </w:rPr>
        <w:t xml:space="preserve"> en su parte sustantiva</w:t>
      </w:r>
      <w:r w:rsidRPr="001234C1">
        <w:rPr>
          <w:rFonts w:ascii="Palatino Linotype" w:eastAsia="Palatino Linotype" w:hAnsi="Palatino Linotype" w:cs="Palatino Linotype"/>
          <w:color w:val="000000"/>
          <w:sz w:val="22"/>
          <w:szCs w:val="22"/>
        </w:rPr>
        <w:t xml:space="preserve"> ratificó su respuesta inicial</w:t>
      </w:r>
      <w:r w:rsidR="004E26FE" w:rsidRPr="001234C1">
        <w:rPr>
          <w:rFonts w:ascii="Palatino Linotype" w:eastAsia="Palatino Linotype" w:hAnsi="Palatino Linotype" w:cs="Palatino Linotype"/>
          <w:color w:val="000000"/>
          <w:sz w:val="22"/>
          <w:szCs w:val="22"/>
        </w:rPr>
        <w:t xml:space="preserve">. </w:t>
      </w:r>
    </w:p>
    <w:p w14:paraId="4E197E23" w14:textId="77777777" w:rsidR="00FF0200" w:rsidRPr="001234C1" w:rsidRDefault="00FF020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308F628" w14:textId="77777777" w:rsidR="00FF0200" w:rsidRPr="001234C1" w:rsidRDefault="00BC588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 xml:space="preserve">Por su lado, la parte </w:t>
      </w:r>
      <w:r w:rsidRPr="001234C1">
        <w:rPr>
          <w:rFonts w:ascii="Palatino Linotype" w:eastAsia="Palatino Linotype" w:hAnsi="Palatino Linotype" w:cs="Palatino Linotype"/>
          <w:b/>
          <w:color w:val="000000"/>
          <w:sz w:val="22"/>
          <w:szCs w:val="22"/>
        </w:rPr>
        <w:t xml:space="preserve">Recurrente </w:t>
      </w:r>
      <w:r w:rsidRPr="001234C1">
        <w:rPr>
          <w:rFonts w:ascii="Palatino Linotype" w:eastAsia="Palatino Linotype" w:hAnsi="Palatino Linotype" w:cs="Palatino Linotype"/>
          <w:color w:val="000000"/>
          <w:sz w:val="22"/>
          <w:szCs w:val="22"/>
        </w:rPr>
        <w:t>fue omisa en hacer valer manifestaciones o rendir alegatos que conforme a derecho resultaran procedentes.</w:t>
      </w:r>
    </w:p>
    <w:p w14:paraId="49D83685"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000BBBF0" w14:textId="04EF34A2" w:rsidR="00546EBD" w:rsidRPr="001234C1"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Una vez establecidas las posturas de las partes, toda vez que la solicitud versa sobre información relativa </w:t>
      </w:r>
      <w:r w:rsidR="00BD0DC3" w:rsidRPr="001234C1">
        <w:rPr>
          <w:rFonts w:ascii="Palatino Linotype" w:eastAsia="Palatino Linotype" w:hAnsi="Palatino Linotype" w:cs="Palatino Linotype"/>
          <w:sz w:val="22"/>
          <w:szCs w:val="22"/>
        </w:rPr>
        <w:t>documentos mediante los cuales el Tesorero Municipal solicitó al Presidente Municipal de Toluca de la Administración 2019-2021 la cancelación de los folios de proyectos FEFOM 2021</w:t>
      </w:r>
      <w:r w:rsidR="006176D0" w:rsidRPr="001234C1">
        <w:rPr>
          <w:rFonts w:ascii="Palatino Linotype" w:eastAsia="Palatino Linotype" w:hAnsi="Palatino Linotype" w:cs="Palatino Linotype"/>
          <w:sz w:val="22"/>
          <w:szCs w:val="22"/>
        </w:rPr>
        <w:t xml:space="preserve">, es conveniente </w:t>
      </w:r>
      <w:r w:rsidR="00396888" w:rsidRPr="001234C1">
        <w:rPr>
          <w:rFonts w:ascii="Palatino Linotype" w:eastAsia="Palatino Linotype" w:hAnsi="Palatino Linotype" w:cs="Palatino Linotype"/>
          <w:sz w:val="22"/>
          <w:szCs w:val="22"/>
        </w:rPr>
        <w:t xml:space="preserve">referir </w:t>
      </w:r>
      <w:r w:rsidR="00C900F3" w:rsidRPr="001234C1">
        <w:rPr>
          <w:rFonts w:ascii="Palatino Linotype" w:eastAsia="Palatino Linotype" w:hAnsi="Palatino Linotype" w:cs="Palatino Linotype"/>
          <w:sz w:val="22"/>
          <w:szCs w:val="22"/>
        </w:rPr>
        <w:t xml:space="preserve"> en primer término que, el FEFOM es un programa que tiene como objetivo el saneamiento financiero de los municipios, apoyándolos a reducir el costo de su deuda, mejorar los plazos de pago y ajustar las garantías de los créditos actuales, para lo cual, los municipios se comprometen a adoptar buenas prácticas o mejoras financieras </w:t>
      </w:r>
      <w:r w:rsidR="00546EBD" w:rsidRPr="001234C1">
        <w:rPr>
          <w:rFonts w:ascii="Palatino Linotype" w:eastAsia="Palatino Linotype" w:hAnsi="Palatino Linotype" w:cs="Palatino Linotype"/>
          <w:sz w:val="22"/>
          <w:szCs w:val="22"/>
        </w:rPr>
        <w:t xml:space="preserve">en su desempeño. </w:t>
      </w:r>
    </w:p>
    <w:p w14:paraId="6AA893B3" w14:textId="77777777" w:rsidR="00546EBD" w:rsidRPr="001234C1" w:rsidRDefault="00546EBD">
      <w:pPr>
        <w:spacing w:line="360" w:lineRule="auto"/>
        <w:jc w:val="both"/>
        <w:rPr>
          <w:rFonts w:ascii="Palatino Linotype" w:eastAsia="Palatino Linotype" w:hAnsi="Palatino Linotype" w:cs="Palatino Linotype"/>
          <w:sz w:val="22"/>
          <w:szCs w:val="22"/>
        </w:rPr>
      </w:pPr>
    </w:p>
    <w:p w14:paraId="048C293A" w14:textId="794FD13A" w:rsidR="00396888" w:rsidRPr="001234C1" w:rsidRDefault="00546EBD">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En este contexto, </w:t>
      </w:r>
      <w:r w:rsidR="006176D0" w:rsidRPr="001234C1">
        <w:rPr>
          <w:rFonts w:ascii="Palatino Linotype" w:eastAsia="Palatino Linotype" w:hAnsi="Palatino Linotype" w:cs="Palatino Linotype"/>
          <w:sz w:val="22"/>
          <w:szCs w:val="22"/>
        </w:rPr>
        <w:t xml:space="preserve">los Lineamientos para la Utilización del Fondo Estatal de Fortalecimiento Municipal para el ejercicio fiscal 2021, </w:t>
      </w:r>
      <w:r w:rsidR="00396888" w:rsidRPr="001234C1">
        <w:rPr>
          <w:rFonts w:ascii="Palatino Linotype" w:eastAsia="Palatino Linotype" w:hAnsi="Palatino Linotype" w:cs="Palatino Linotype"/>
          <w:sz w:val="22"/>
          <w:szCs w:val="22"/>
        </w:rPr>
        <w:t>disponen que la distribución de los recursos se realiza en función de la proporción de las variables indicadas a nivel estatal que corresponda a cada Municipio</w:t>
      </w:r>
      <w:r w:rsidR="002D5C7A" w:rsidRPr="001234C1">
        <w:rPr>
          <w:rFonts w:ascii="Palatino Linotype" w:eastAsia="Palatino Linotype" w:hAnsi="Palatino Linotype" w:cs="Palatino Linotype"/>
          <w:sz w:val="22"/>
          <w:szCs w:val="22"/>
        </w:rPr>
        <w:t>; por lo que, para ese año el monto asignado al Municipio de Toluca</w:t>
      </w:r>
      <w:r w:rsidR="00396888" w:rsidRPr="001234C1">
        <w:rPr>
          <w:rFonts w:ascii="Palatino Linotype" w:eastAsia="Palatino Linotype" w:hAnsi="Palatino Linotype" w:cs="Palatino Linotype"/>
          <w:sz w:val="22"/>
          <w:szCs w:val="22"/>
        </w:rPr>
        <w:t xml:space="preserve">, fue de 58,779,893.76, tal como se </w:t>
      </w:r>
      <w:r w:rsidR="00C900F3" w:rsidRPr="001234C1">
        <w:rPr>
          <w:rFonts w:ascii="Palatino Linotype" w:eastAsia="Palatino Linotype" w:hAnsi="Palatino Linotype" w:cs="Palatino Linotype"/>
          <w:sz w:val="22"/>
          <w:szCs w:val="22"/>
        </w:rPr>
        <w:t>advierte en las siguientes imágenes</w:t>
      </w:r>
      <w:r w:rsidR="00396888" w:rsidRPr="001234C1">
        <w:rPr>
          <w:rFonts w:ascii="Palatino Linotype" w:eastAsia="Palatino Linotype" w:hAnsi="Palatino Linotype" w:cs="Palatino Linotype"/>
          <w:sz w:val="22"/>
          <w:szCs w:val="22"/>
        </w:rPr>
        <w:t xml:space="preserve">: </w:t>
      </w:r>
    </w:p>
    <w:p w14:paraId="3929343F" w14:textId="16DBF607" w:rsidR="00FF0200" w:rsidRPr="001234C1" w:rsidRDefault="00396888">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 </w:t>
      </w:r>
    </w:p>
    <w:p w14:paraId="5E2066FB" w14:textId="2D839BFF" w:rsidR="00FF0200" w:rsidRPr="001234C1" w:rsidRDefault="00396888" w:rsidP="00396888">
      <w:pPr>
        <w:ind w:left="567" w:right="560" w:hanging="567"/>
        <w:jc w:val="both"/>
        <w:rPr>
          <w:rFonts w:ascii="Palatino Linotype" w:eastAsia="Palatino Linotype" w:hAnsi="Palatino Linotype" w:cs="Palatino Linotype"/>
          <w:i/>
          <w:sz w:val="22"/>
          <w:szCs w:val="22"/>
        </w:rPr>
      </w:pPr>
      <w:r w:rsidRPr="001234C1">
        <w:rPr>
          <w:noProof/>
        </w:rPr>
        <w:drawing>
          <wp:inline distT="0" distB="0" distL="0" distR="0" wp14:anchorId="6D83ADA8" wp14:editId="6FAA00FC">
            <wp:extent cx="5612130" cy="10934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093470"/>
                    </a:xfrm>
                    <a:prstGeom prst="rect">
                      <a:avLst/>
                    </a:prstGeom>
                  </pic:spPr>
                </pic:pic>
              </a:graphicData>
            </a:graphic>
          </wp:inline>
        </w:drawing>
      </w:r>
      <w:r w:rsidRPr="001234C1">
        <w:rPr>
          <w:rFonts w:eastAsia="Palatino Linotype"/>
        </w:rPr>
        <w:t xml:space="preserve"> </w:t>
      </w:r>
    </w:p>
    <w:p w14:paraId="1C1B9EE0" w14:textId="0F7A2BE2" w:rsidR="00FF0200" w:rsidRPr="001234C1" w:rsidRDefault="00FF0200">
      <w:pPr>
        <w:spacing w:line="360" w:lineRule="auto"/>
        <w:jc w:val="both"/>
        <w:rPr>
          <w:rFonts w:ascii="Palatino Linotype" w:eastAsia="Palatino Linotype" w:hAnsi="Palatino Linotype" w:cs="Palatino Linotype"/>
          <w:sz w:val="22"/>
          <w:szCs w:val="22"/>
        </w:rPr>
      </w:pPr>
    </w:p>
    <w:p w14:paraId="5CF23F90" w14:textId="4F83CFE6" w:rsidR="00396888" w:rsidRPr="001234C1" w:rsidRDefault="00C900F3">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59264" behindDoc="0" locked="0" layoutInCell="1" allowOverlap="1" wp14:anchorId="0ECB9482" wp14:editId="6B2B8F1F">
                <wp:simplePos x="0" y="0"/>
                <wp:positionH relativeFrom="column">
                  <wp:posOffset>348615</wp:posOffset>
                </wp:positionH>
                <wp:positionV relativeFrom="paragraph">
                  <wp:posOffset>2686685</wp:posOffset>
                </wp:positionV>
                <wp:extent cx="5210175" cy="247650"/>
                <wp:effectExtent l="57150" t="38100" r="66675" b="95250"/>
                <wp:wrapNone/>
                <wp:docPr id="4" name="Rectángulo 4"/>
                <wp:cNvGraphicFramePr/>
                <a:graphic xmlns:a="http://schemas.openxmlformats.org/drawingml/2006/main">
                  <a:graphicData uri="http://schemas.microsoft.com/office/word/2010/wordprocessingShape">
                    <wps:wsp>
                      <wps:cNvSpPr/>
                      <wps:spPr>
                        <a:xfrm>
                          <a:off x="0" y="0"/>
                          <a:ext cx="5210175" cy="2476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66F2DBD" id="Rectángulo 4" o:spid="_x0000_s1026" style="position:absolute;margin-left:27.45pt;margin-top:211.55pt;width:410.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" filled="f" strokecolor="red" strokeweight="2.25pt">
                <v:shadow on="t" color="black" opacity="22937f" origin=",.5" offset="0,.63889mm"/>
              </v:rect>
            </w:pict>
          </mc:Fallback>
        </mc:AlternateContent>
      </w:r>
      <w:r w:rsidR="00396888" w:rsidRPr="001234C1">
        <w:rPr>
          <w:rFonts w:ascii="Palatino Linotype" w:eastAsia="Palatino Linotype" w:hAnsi="Palatino Linotype" w:cs="Palatino Linotype"/>
          <w:noProof/>
          <w:sz w:val="22"/>
          <w:szCs w:val="22"/>
        </w:rPr>
        <w:drawing>
          <wp:inline distT="0" distB="0" distL="0" distR="0" wp14:anchorId="643946C0" wp14:editId="5913A9DF">
            <wp:extent cx="5612130" cy="5481320"/>
            <wp:effectExtent l="0" t="0" r="762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481320"/>
                    </a:xfrm>
                    <a:prstGeom prst="rect">
                      <a:avLst/>
                    </a:prstGeom>
                  </pic:spPr>
                </pic:pic>
              </a:graphicData>
            </a:graphic>
          </wp:inline>
        </w:drawing>
      </w:r>
    </w:p>
    <w:p w14:paraId="4FF355F5" w14:textId="47020E9D" w:rsidR="002D5C7A" w:rsidRPr="001234C1" w:rsidRDefault="001947AB">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Por cuanto hace a la disposición y aplicación de los recursos, la fracción III, numeral 7 de los referidos lineamientos establece: </w:t>
      </w:r>
    </w:p>
    <w:p w14:paraId="34F77A06" w14:textId="1510FB9E" w:rsidR="001947AB" w:rsidRPr="001234C1" w:rsidRDefault="001947AB">
      <w:pPr>
        <w:spacing w:line="360" w:lineRule="auto"/>
        <w:jc w:val="both"/>
        <w:rPr>
          <w:rFonts w:ascii="Palatino Linotype" w:eastAsia="Palatino Linotype" w:hAnsi="Palatino Linotype" w:cs="Palatino Linotype"/>
          <w:sz w:val="22"/>
          <w:szCs w:val="22"/>
        </w:rPr>
      </w:pPr>
    </w:p>
    <w:p w14:paraId="42A3E775" w14:textId="47796782"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b/>
          <w:bCs/>
          <w:i/>
          <w:iCs/>
          <w:sz w:val="22"/>
          <w:szCs w:val="22"/>
        </w:rPr>
        <w:t>“III. DISPOSICIÓN Y APLICACIÓN DE LOS RECURSOS</w:t>
      </w:r>
      <w:r w:rsidRPr="001234C1">
        <w:rPr>
          <w:rFonts w:ascii="Palatino Linotype" w:hAnsi="Palatino Linotype"/>
          <w:i/>
          <w:iCs/>
          <w:sz w:val="22"/>
          <w:szCs w:val="22"/>
        </w:rPr>
        <w:t xml:space="preserve"> </w:t>
      </w:r>
    </w:p>
    <w:p w14:paraId="22083BE1" w14:textId="77777777"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7. Los municipios podrán disponer de los recursos asignados del </w:t>
      </w:r>
      <w:proofErr w:type="spellStart"/>
      <w:r w:rsidRPr="001234C1">
        <w:rPr>
          <w:rFonts w:ascii="Palatino Linotype" w:hAnsi="Palatino Linotype"/>
          <w:i/>
          <w:iCs/>
          <w:sz w:val="22"/>
          <w:szCs w:val="22"/>
        </w:rPr>
        <w:t>Fefom</w:t>
      </w:r>
      <w:proofErr w:type="spellEnd"/>
      <w:r w:rsidRPr="001234C1">
        <w:rPr>
          <w:rFonts w:ascii="Palatino Linotype" w:hAnsi="Palatino Linotype"/>
          <w:i/>
          <w:iCs/>
          <w:sz w:val="22"/>
          <w:szCs w:val="22"/>
        </w:rPr>
        <w:t xml:space="preserve"> siempre que cumplan con lo siguiente: </w:t>
      </w:r>
    </w:p>
    <w:p w14:paraId="3345FA36" w14:textId="77777777"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lastRenderedPageBreak/>
        <w:t xml:space="preserve">a) Solicitar a la Subsecretaría los recursos del </w:t>
      </w:r>
      <w:proofErr w:type="spellStart"/>
      <w:r w:rsidRPr="001234C1">
        <w:rPr>
          <w:rFonts w:ascii="Palatino Linotype" w:hAnsi="Palatino Linotype"/>
          <w:i/>
          <w:iCs/>
          <w:sz w:val="22"/>
          <w:szCs w:val="22"/>
        </w:rPr>
        <w:t>Fefom</w:t>
      </w:r>
      <w:proofErr w:type="spellEnd"/>
      <w:r w:rsidRPr="001234C1">
        <w:rPr>
          <w:rFonts w:ascii="Palatino Linotype" w:hAnsi="Palatino Linotype"/>
          <w:i/>
          <w:iCs/>
          <w:sz w:val="22"/>
          <w:szCs w:val="22"/>
        </w:rPr>
        <w:t xml:space="preserve"> en hoja membretada y debidamente firmada por el servidor público facultado para tal efecto, respetando lo establecido en los numerales 3, 4, 5 y 6 de estos Lineamientos; </w:t>
      </w:r>
    </w:p>
    <w:p w14:paraId="7A8E0484" w14:textId="77777777"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b) Presentar a la Subsecretaría el Dictamen del Expediente Técnico </w:t>
      </w:r>
      <w:proofErr w:type="spellStart"/>
      <w:r w:rsidRPr="001234C1">
        <w:rPr>
          <w:rFonts w:ascii="Palatino Linotype" w:hAnsi="Palatino Linotype"/>
          <w:i/>
          <w:iCs/>
          <w:sz w:val="22"/>
          <w:szCs w:val="22"/>
        </w:rPr>
        <w:t>Fefom</w:t>
      </w:r>
      <w:proofErr w:type="spellEnd"/>
      <w:r w:rsidRPr="001234C1">
        <w:rPr>
          <w:rFonts w:ascii="Palatino Linotype" w:hAnsi="Palatino Linotype"/>
          <w:i/>
          <w:iCs/>
          <w:sz w:val="22"/>
          <w:szCs w:val="22"/>
        </w:rPr>
        <w:t xml:space="preserve"> de las acciones a financiar con los recursos del </w:t>
      </w:r>
      <w:proofErr w:type="spellStart"/>
      <w:r w:rsidRPr="001234C1">
        <w:rPr>
          <w:rFonts w:ascii="Palatino Linotype" w:hAnsi="Palatino Linotype"/>
          <w:i/>
          <w:iCs/>
          <w:sz w:val="22"/>
          <w:szCs w:val="22"/>
        </w:rPr>
        <w:t>Fefom</w:t>
      </w:r>
      <w:proofErr w:type="spellEnd"/>
      <w:r w:rsidRPr="001234C1">
        <w:rPr>
          <w:rFonts w:ascii="Palatino Linotype" w:hAnsi="Palatino Linotype"/>
          <w:i/>
          <w:iCs/>
          <w:sz w:val="22"/>
          <w:szCs w:val="22"/>
        </w:rPr>
        <w:t>;</w:t>
      </w:r>
    </w:p>
    <w:p w14:paraId="0AA5F6BB" w14:textId="77777777"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c) Presentar el dictamen de rentabilidad social del estudio socio-económico de los proyectos de inversión a financiar con recursos del </w:t>
      </w:r>
      <w:proofErr w:type="spellStart"/>
      <w:r w:rsidRPr="001234C1">
        <w:rPr>
          <w:rFonts w:ascii="Palatino Linotype" w:hAnsi="Palatino Linotype"/>
          <w:i/>
          <w:iCs/>
          <w:sz w:val="22"/>
          <w:szCs w:val="22"/>
        </w:rPr>
        <w:t>Fefom</w:t>
      </w:r>
      <w:proofErr w:type="spellEnd"/>
      <w:r w:rsidRPr="001234C1">
        <w:rPr>
          <w:rFonts w:ascii="Palatino Linotype" w:hAnsi="Palatino Linotype"/>
          <w:i/>
          <w:iCs/>
          <w:sz w:val="22"/>
          <w:szCs w:val="22"/>
        </w:rPr>
        <w:t xml:space="preserve">; y </w:t>
      </w:r>
    </w:p>
    <w:p w14:paraId="708C3159" w14:textId="77777777" w:rsidR="001947AB" w:rsidRPr="001234C1" w:rsidRDefault="001947AB" w:rsidP="001947AB">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d) Firmar el convenio marco de ejecución y sus anexos con la Subsecretaría. </w:t>
      </w:r>
    </w:p>
    <w:p w14:paraId="4A290B58" w14:textId="77777777" w:rsidR="001947AB" w:rsidRPr="001234C1" w:rsidRDefault="001947AB" w:rsidP="001947AB">
      <w:pPr>
        <w:spacing w:line="276" w:lineRule="auto"/>
        <w:ind w:left="851" w:right="616"/>
        <w:jc w:val="both"/>
        <w:rPr>
          <w:rFonts w:ascii="Palatino Linotype" w:hAnsi="Palatino Linotype"/>
          <w:i/>
          <w:iCs/>
          <w:sz w:val="22"/>
          <w:szCs w:val="22"/>
        </w:rPr>
      </w:pPr>
    </w:p>
    <w:p w14:paraId="4791A228" w14:textId="395823B9" w:rsidR="001947AB" w:rsidRPr="001234C1" w:rsidRDefault="001947AB" w:rsidP="001947AB">
      <w:pPr>
        <w:spacing w:line="276" w:lineRule="auto"/>
        <w:ind w:left="851" w:right="616"/>
        <w:jc w:val="both"/>
        <w:rPr>
          <w:rFonts w:ascii="Palatino Linotype" w:eastAsia="Palatino Linotype" w:hAnsi="Palatino Linotype" w:cs="Palatino Linotype"/>
          <w:i/>
          <w:iCs/>
          <w:sz w:val="22"/>
          <w:szCs w:val="22"/>
        </w:rPr>
      </w:pPr>
      <w:r w:rsidRPr="001234C1">
        <w:rPr>
          <w:rFonts w:ascii="Palatino Linotype" w:hAnsi="Palatino Linotype"/>
          <w:i/>
          <w:iCs/>
          <w:sz w:val="22"/>
          <w:szCs w:val="22"/>
        </w:rPr>
        <w:t>Los formatos que para tal efecto establezca la Subsecretaría estarán disponibles en la liga electrónica http://fefom.edomex.gob.mx. La fecha límite para la recepción de la documentación antes señalada será el 15 de octubre de 2021.”</w:t>
      </w:r>
    </w:p>
    <w:p w14:paraId="6471C154" w14:textId="77777777" w:rsidR="001947AB" w:rsidRPr="001234C1" w:rsidRDefault="001947AB">
      <w:pPr>
        <w:spacing w:line="360" w:lineRule="auto"/>
        <w:jc w:val="both"/>
        <w:rPr>
          <w:rFonts w:ascii="Palatino Linotype" w:eastAsia="Palatino Linotype" w:hAnsi="Palatino Linotype" w:cs="Palatino Linotype"/>
          <w:sz w:val="22"/>
          <w:szCs w:val="22"/>
        </w:rPr>
      </w:pPr>
    </w:p>
    <w:p w14:paraId="33B6DF63" w14:textId="03D02BAC" w:rsidR="001947AB" w:rsidRPr="001234C1" w:rsidRDefault="001947AB">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Por otro lado, respecto a la cancelación de los proyectos, </w:t>
      </w:r>
      <w:r w:rsidR="004E26FE" w:rsidRPr="001234C1">
        <w:rPr>
          <w:rFonts w:ascii="Palatino Linotype" w:eastAsia="Palatino Linotype" w:hAnsi="Palatino Linotype" w:cs="Palatino Linotype"/>
          <w:sz w:val="22"/>
          <w:szCs w:val="22"/>
        </w:rPr>
        <w:t xml:space="preserve">los ya referidos Lineamientos establecen en el numeral 8 lo siguiente: </w:t>
      </w:r>
    </w:p>
    <w:p w14:paraId="64281A88" w14:textId="718EC452" w:rsidR="004E26FE" w:rsidRPr="001234C1" w:rsidRDefault="004E26FE">
      <w:pPr>
        <w:spacing w:line="360" w:lineRule="auto"/>
        <w:jc w:val="both"/>
        <w:rPr>
          <w:rFonts w:ascii="Palatino Linotype" w:eastAsia="Palatino Linotype" w:hAnsi="Palatino Linotype" w:cs="Palatino Linotype"/>
          <w:sz w:val="22"/>
          <w:szCs w:val="22"/>
        </w:rPr>
      </w:pPr>
    </w:p>
    <w:p w14:paraId="61E634DC" w14:textId="77777777" w:rsidR="004E26FE" w:rsidRPr="001234C1" w:rsidRDefault="004E26FE" w:rsidP="004E26FE">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8. La Subsecretaría revisará los </w:t>
      </w:r>
      <w:r w:rsidRPr="001234C1">
        <w:rPr>
          <w:rFonts w:ascii="Palatino Linotype" w:hAnsi="Palatino Linotype"/>
          <w:b/>
          <w:bCs/>
          <w:i/>
          <w:iCs/>
          <w:sz w:val="22"/>
          <w:szCs w:val="22"/>
        </w:rPr>
        <w:t>estudios socio-económicos de los proyectos de inversión</w:t>
      </w:r>
      <w:r w:rsidRPr="001234C1">
        <w:rPr>
          <w:rFonts w:ascii="Palatino Linotype" w:hAnsi="Palatino Linotype"/>
          <w:i/>
          <w:iCs/>
          <w:sz w:val="22"/>
          <w:szCs w:val="22"/>
        </w:rPr>
        <w:t xml:space="preserve"> conforme a lo siguiente: </w:t>
      </w:r>
    </w:p>
    <w:p w14:paraId="69A0E159" w14:textId="77777777" w:rsidR="004E26FE" w:rsidRPr="001234C1" w:rsidRDefault="004E26FE" w:rsidP="004E26FE">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a) Analizará la información remitida por los municipios en un plazo máximo de 12 días hábiles, contado a partir de la recepción, </w:t>
      </w:r>
      <w:r w:rsidRPr="001234C1">
        <w:rPr>
          <w:rFonts w:ascii="Palatino Linotype" w:hAnsi="Palatino Linotype"/>
          <w:b/>
          <w:bCs/>
          <w:i/>
          <w:iCs/>
          <w:sz w:val="22"/>
          <w:szCs w:val="22"/>
        </w:rPr>
        <w:t>para efecto de otorgar un folio de dictamen de rentabilidad social del estudio socio-económico</w:t>
      </w:r>
      <w:r w:rsidRPr="001234C1">
        <w:rPr>
          <w:rFonts w:ascii="Palatino Linotype" w:hAnsi="Palatino Linotype"/>
          <w:i/>
          <w:iCs/>
          <w:sz w:val="22"/>
          <w:szCs w:val="22"/>
        </w:rPr>
        <w:t xml:space="preserve"> o, en su caso, formular las observaciones respectivas, solicitar aclaraciones o la información adicional que corresponda; </w:t>
      </w:r>
    </w:p>
    <w:p w14:paraId="70B64282" w14:textId="77777777" w:rsidR="004E26FE" w:rsidRPr="001234C1" w:rsidRDefault="004E26FE" w:rsidP="004E26FE">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b) En caso de que la Subsecretaría emita observaciones, solicite aclaraciones o información adicional del estudio socio-económico, éstas deberán ser solventadas por los municipios en un plazo no mayor a 10 días hábiles, contado a partir de su recepción. En el supuesto de que el municipio no cumpla en el plazo señalado, </w:t>
      </w:r>
      <w:r w:rsidRPr="001234C1">
        <w:rPr>
          <w:rFonts w:ascii="Palatino Linotype" w:hAnsi="Palatino Linotype"/>
          <w:b/>
          <w:bCs/>
          <w:i/>
          <w:iCs/>
          <w:sz w:val="22"/>
          <w:szCs w:val="22"/>
          <w:u w:val="single"/>
        </w:rPr>
        <w:t>se entenderá que se desiste de la solicitud para el proyecto respectivo y éste se cancelará</w:t>
      </w:r>
      <w:r w:rsidRPr="001234C1">
        <w:rPr>
          <w:rFonts w:ascii="Palatino Linotype" w:hAnsi="Palatino Linotype"/>
          <w:i/>
          <w:iCs/>
          <w:sz w:val="22"/>
          <w:szCs w:val="22"/>
        </w:rPr>
        <w:t xml:space="preserve">, sin necesidad de que la Subsecretaría emita notificación alguna; por lo que el municipio deberá, en su caso, presentar un proyecto diferente; </w:t>
      </w:r>
    </w:p>
    <w:p w14:paraId="1250A21C" w14:textId="77777777" w:rsidR="004E26FE" w:rsidRPr="001234C1" w:rsidRDefault="004E26FE" w:rsidP="004E26FE">
      <w:pPr>
        <w:spacing w:line="276" w:lineRule="auto"/>
        <w:ind w:left="851" w:right="616"/>
        <w:jc w:val="both"/>
        <w:rPr>
          <w:rFonts w:ascii="Palatino Linotype" w:hAnsi="Palatino Linotype"/>
          <w:i/>
          <w:iCs/>
          <w:sz w:val="22"/>
          <w:szCs w:val="22"/>
        </w:rPr>
      </w:pPr>
      <w:r w:rsidRPr="001234C1">
        <w:rPr>
          <w:rFonts w:ascii="Palatino Linotype" w:hAnsi="Palatino Linotype"/>
          <w:i/>
          <w:iCs/>
          <w:sz w:val="22"/>
          <w:szCs w:val="22"/>
        </w:rPr>
        <w:t xml:space="preserve">c) Los municipios tendrán oportunidad de solventar sus observaciones, aclaraciones o remitir información adicional del estudio socio-económico únicamente por tres ocasiones. Si en la cuarta versión del estudio socio-económico no se solventan las </w:t>
      </w:r>
      <w:r w:rsidRPr="001234C1">
        <w:rPr>
          <w:rFonts w:ascii="Palatino Linotype" w:hAnsi="Palatino Linotype"/>
          <w:i/>
          <w:iCs/>
          <w:sz w:val="22"/>
          <w:szCs w:val="22"/>
        </w:rPr>
        <w:lastRenderedPageBreak/>
        <w:t xml:space="preserve">observaciones, aclaraciones, o no se remite la información adicional, </w:t>
      </w:r>
      <w:r w:rsidRPr="001234C1">
        <w:rPr>
          <w:rFonts w:ascii="Palatino Linotype" w:hAnsi="Palatino Linotype"/>
          <w:b/>
          <w:bCs/>
          <w:i/>
          <w:iCs/>
          <w:sz w:val="22"/>
          <w:szCs w:val="22"/>
        </w:rPr>
        <w:t>el proyecto se cancelará y el municipio deberá presentar, en su caso, un proyecto diferente</w:t>
      </w:r>
      <w:r w:rsidRPr="001234C1">
        <w:rPr>
          <w:rFonts w:ascii="Palatino Linotype" w:hAnsi="Palatino Linotype"/>
          <w:i/>
          <w:iCs/>
          <w:sz w:val="22"/>
          <w:szCs w:val="22"/>
        </w:rPr>
        <w:t xml:space="preserve">; </w:t>
      </w:r>
    </w:p>
    <w:p w14:paraId="0D0E73BB" w14:textId="1B226A31" w:rsidR="004E26FE" w:rsidRPr="001234C1" w:rsidRDefault="004E26FE" w:rsidP="004E26FE">
      <w:pPr>
        <w:spacing w:line="276" w:lineRule="auto"/>
        <w:ind w:left="851" w:right="616"/>
        <w:jc w:val="both"/>
        <w:rPr>
          <w:rFonts w:ascii="Palatino Linotype" w:eastAsia="Palatino Linotype" w:hAnsi="Palatino Linotype" w:cs="Palatino Linotype"/>
          <w:i/>
          <w:iCs/>
          <w:sz w:val="22"/>
          <w:szCs w:val="22"/>
        </w:rPr>
      </w:pPr>
      <w:r w:rsidRPr="001234C1">
        <w:rPr>
          <w:rFonts w:ascii="Palatino Linotype" w:hAnsi="Palatino Linotype"/>
          <w:i/>
          <w:iCs/>
          <w:sz w:val="22"/>
          <w:szCs w:val="22"/>
        </w:rPr>
        <w:t xml:space="preserve">d) </w:t>
      </w:r>
      <w:r w:rsidRPr="001234C1">
        <w:rPr>
          <w:rFonts w:ascii="Palatino Linotype" w:hAnsi="Palatino Linotype"/>
          <w:b/>
          <w:bCs/>
          <w:i/>
          <w:iCs/>
          <w:sz w:val="22"/>
          <w:szCs w:val="22"/>
        </w:rPr>
        <w:t>Los municipios podrán solicitar la cancelación</w:t>
      </w:r>
      <w:r w:rsidRPr="001234C1">
        <w:rPr>
          <w:rFonts w:ascii="Palatino Linotype" w:hAnsi="Palatino Linotype"/>
          <w:i/>
          <w:iCs/>
          <w:sz w:val="22"/>
          <w:szCs w:val="22"/>
        </w:rPr>
        <w:t xml:space="preserve"> y modificación de los estudios socioeconómicos presentados, siempre que éstos no cuenten con dictamen de rentabilidad social.</w:t>
      </w:r>
    </w:p>
    <w:p w14:paraId="224D572F" w14:textId="0C1668B0" w:rsidR="004E26FE" w:rsidRPr="001234C1" w:rsidRDefault="004E26FE">
      <w:pPr>
        <w:spacing w:line="360" w:lineRule="auto"/>
        <w:jc w:val="both"/>
        <w:rPr>
          <w:rFonts w:ascii="Palatino Linotype" w:eastAsia="Palatino Linotype" w:hAnsi="Palatino Linotype" w:cs="Palatino Linotype"/>
          <w:sz w:val="22"/>
          <w:szCs w:val="22"/>
        </w:rPr>
      </w:pPr>
    </w:p>
    <w:p w14:paraId="3AD0E23A" w14:textId="5AF85CDB" w:rsidR="004E26FE" w:rsidRPr="001234C1" w:rsidRDefault="00D300FB">
      <w:pPr>
        <w:spacing w:line="360" w:lineRule="auto"/>
        <w:ind w:right="141"/>
        <w:jc w:val="both"/>
        <w:rPr>
          <w:rFonts w:ascii="Palatino Linotype" w:eastAsia="Palatino Linotype" w:hAnsi="Palatino Linotype" w:cs="Palatino Linotype"/>
          <w:color w:val="000000" w:themeColor="text1"/>
          <w:sz w:val="22"/>
          <w:szCs w:val="22"/>
        </w:rPr>
      </w:pPr>
      <w:r w:rsidRPr="001234C1">
        <w:rPr>
          <w:rFonts w:ascii="Palatino Linotype" w:eastAsia="Palatino Linotype" w:hAnsi="Palatino Linotype" w:cs="Palatino Linotype"/>
          <w:color w:val="000000" w:themeColor="text1"/>
          <w:sz w:val="22"/>
          <w:szCs w:val="22"/>
        </w:rPr>
        <w:t xml:space="preserve">De lo anterior, </w:t>
      </w:r>
      <w:r w:rsidR="00400810" w:rsidRPr="001234C1">
        <w:rPr>
          <w:rFonts w:ascii="Palatino Linotype" w:eastAsia="Palatino Linotype" w:hAnsi="Palatino Linotype" w:cs="Palatino Linotype"/>
          <w:color w:val="000000" w:themeColor="text1"/>
          <w:sz w:val="22"/>
          <w:szCs w:val="22"/>
        </w:rPr>
        <w:t>si bien se advierte que</w:t>
      </w:r>
      <w:r w:rsidRPr="001234C1">
        <w:rPr>
          <w:rFonts w:ascii="Palatino Linotype" w:eastAsia="Palatino Linotype" w:hAnsi="Palatino Linotype" w:cs="Palatino Linotype"/>
          <w:color w:val="000000" w:themeColor="text1"/>
          <w:sz w:val="22"/>
          <w:szCs w:val="22"/>
        </w:rPr>
        <w:t xml:space="preserve"> </w:t>
      </w:r>
      <w:r w:rsidR="00831710" w:rsidRPr="001234C1">
        <w:rPr>
          <w:rFonts w:ascii="Palatino Linotype" w:eastAsia="Palatino Linotype" w:hAnsi="Palatino Linotype" w:cs="Palatino Linotype"/>
          <w:color w:val="000000" w:themeColor="text1"/>
          <w:sz w:val="22"/>
          <w:szCs w:val="22"/>
        </w:rPr>
        <w:t xml:space="preserve">el </w:t>
      </w:r>
      <w:r w:rsidR="00831710" w:rsidRPr="001234C1">
        <w:rPr>
          <w:rFonts w:ascii="Palatino Linotype" w:eastAsia="Palatino Linotype" w:hAnsi="Palatino Linotype" w:cs="Palatino Linotype"/>
          <w:b/>
          <w:color w:val="000000" w:themeColor="text1"/>
          <w:sz w:val="22"/>
          <w:szCs w:val="22"/>
        </w:rPr>
        <w:t>Sujeto Obligado</w:t>
      </w:r>
      <w:r w:rsidRPr="001234C1">
        <w:rPr>
          <w:rFonts w:ascii="Palatino Linotype" w:eastAsia="Palatino Linotype" w:hAnsi="Palatino Linotype" w:cs="Palatino Linotype"/>
          <w:color w:val="000000" w:themeColor="text1"/>
          <w:sz w:val="22"/>
          <w:szCs w:val="22"/>
        </w:rPr>
        <w:t xml:space="preserve"> tiene atribuciones para conocer </w:t>
      </w:r>
      <w:r w:rsidR="00547429" w:rsidRPr="001234C1">
        <w:rPr>
          <w:rFonts w:ascii="Palatino Linotype" w:eastAsia="Palatino Linotype" w:hAnsi="Palatino Linotype" w:cs="Palatino Linotype"/>
          <w:color w:val="000000" w:themeColor="text1"/>
          <w:sz w:val="22"/>
          <w:szCs w:val="22"/>
        </w:rPr>
        <w:t xml:space="preserve">si hubo </w:t>
      </w:r>
      <w:r w:rsidRPr="001234C1">
        <w:rPr>
          <w:rFonts w:ascii="Palatino Linotype" w:eastAsia="Palatino Linotype" w:hAnsi="Palatino Linotype" w:cs="Palatino Linotype"/>
          <w:color w:val="000000" w:themeColor="text1"/>
          <w:sz w:val="22"/>
          <w:szCs w:val="22"/>
        </w:rPr>
        <w:t>proyectos</w:t>
      </w:r>
      <w:r w:rsidRPr="001234C1">
        <w:rPr>
          <w:rFonts w:ascii="Palatino Linotype" w:hAnsi="Palatino Linotype"/>
        </w:rPr>
        <w:t xml:space="preserve"> </w:t>
      </w:r>
      <w:r w:rsidR="00547429" w:rsidRPr="001234C1">
        <w:rPr>
          <w:rFonts w:ascii="Palatino Linotype" w:hAnsi="Palatino Linotype"/>
        </w:rPr>
        <w:t>financiados con recursos d</w:t>
      </w:r>
      <w:r w:rsidRPr="001234C1">
        <w:rPr>
          <w:rFonts w:ascii="Palatino Linotype" w:hAnsi="Palatino Linotype"/>
        </w:rPr>
        <w:t xml:space="preserve">el </w:t>
      </w:r>
      <w:r w:rsidRPr="001234C1">
        <w:rPr>
          <w:rFonts w:ascii="Palatino Linotype" w:eastAsia="Palatino Linotype" w:hAnsi="Palatino Linotype" w:cs="Palatino Linotype"/>
          <w:color w:val="000000" w:themeColor="text1"/>
          <w:sz w:val="22"/>
          <w:szCs w:val="22"/>
        </w:rPr>
        <w:t>Fondo Estatal de Fortalecimiento Municipal (FEFOM), para el ejercicio fiscal 2021</w:t>
      </w:r>
      <w:r w:rsidR="00547429" w:rsidRPr="001234C1">
        <w:rPr>
          <w:rFonts w:ascii="Palatino Linotype" w:eastAsia="Palatino Linotype" w:hAnsi="Palatino Linotype" w:cs="Palatino Linotype"/>
          <w:color w:val="000000" w:themeColor="text1"/>
          <w:sz w:val="22"/>
          <w:szCs w:val="22"/>
        </w:rPr>
        <w:t>,</w:t>
      </w:r>
      <w:r w:rsidR="00400810" w:rsidRPr="001234C1">
        <w:rPr>
          <w:rFonts w:ascii="Palatino Linotype" w:eastAsia="Palatino Linotype" w:hAnsi="Palatino Linotype" w:cs="Palatino Linotype"/>
          <w:color w:val="000000" w:themeColor="text1"/>
          <w:sz w:val="22"/>
          <w:szCs w:val="22"/>
        </w:rPr>
        <w:t xml:space="preserve"> cuyos folios fueron cancelados; también lo es que los lineamientos de mérito no disponen si dentro del procedimiento para solicitar la cancelación de folios de proyectos financiados con el FEFOM se requiere solicitud escrita previa del Tesorero Municipal dirigido al Presidente Municipal.</w:t>
      </w:r>
    </w:p>
    <w:p w14:paraId="333AF372" w14:textId="77777777" w:rsidR="00D300FB" w:rsidRPr="001234C1" w:rsidRDefault="00D300FB">
      <w:pPr>
        <w:spacing w:line="360" w:lineRule="auto"/>
        <w:ind w:right="141"/>
        <w:jc w:val="both"/>
        <w:rPr>
          <w:rFonts w:ascii="Palatino Linotype" w:eastAsia="Palatino Linotype" w:hAnsi="Palatino Linotype" w:cs="Palatino Linotype"/>
          <w:color w:val="000000" w:themeColor="text1"/>
          <w:sz w:val="22"/>
          <w:szCs w:val="22"/>
        </w:rPr>
      </w:pPr>
    </w:p>
    <w:p w14:paraId="779A2FAD" w14:textId="16B25D6E" w:rsidR="00D300FB" w:rsidRPr="001234C1" w:rsidRDefault="00D300FB">
      <w:pPr>
        <w:spacing w:line="360" w:lineRule="auto"/>
        <w:ind w:right="141"/>
        <w:jc w:val="both"/>
        <w:rPr>
          <w:rFonts w:ascii="Palatino Linotype" w:eastAsia="Palatino Linotype" w:hAnsi="Palatino Linotype" w:cs="Palatino Linotype"/>
          <w:color w:val="000000" w:themeColor="text1"/>
          <w:sz w:val="22"/>
          <w:szCs w:val="22"/>
        </w:rPr>
      </w:pPr>
      <w:r w:rsidRPr="001234C1">
        <w:rPr>
          <w:rFonts w:ascii="Palatino Linotype" w:eastAsia="Palatino Linotype" w:hAnsi="Palatino Linotype" w:cs="Palatino Linotype"/>
          <w:color w:val="000000" w:themeColor="text1"/>
          <w:sz w:val="22"/>
          <w:szCs w:val="22"/>
        </w:rPr>
        <w:t xml:space="preserve">Ahora, dentro de la normatividad que regula al </w:t>
      </w:r>
      <w:r w:rsidRPr="001234C1">
        <w:rPr>
          <w:rFonts w:ascii="Palatino Linotype" w:eastAsia="Palatino Linotype" w:hAnsi="Palatino Linotype" w:cs="Palatino Linotype"/>
          <w:b/>
          <w:color w:val="000000" w:themeColor="text1"/>
          <w:sz w:val="22"/>
          <w:szCs w:val="22"/>
        </w:rPr>
        <w:t xml:space="preserve">Sujeto Obligado </w:t>
      </w:r>
      <w:r w:rsidRPr="001234C1">
        <w:rPr>
          <w:rFonts w:ascii="Palatino Linotype" w:eastAsia="Palatino Linotype" w:hAnsi="Palatino Linotype" w:cs="Palatino Linotype"/>
          <w:color w:val="000000" w:themeColor="text1"/>
          <w:sz w:val="22"/>
          <w:szCs w:val="22"/>
        </w:rPr>
        <w:t xml:space="preserve">se advierte que este cuenta con diversas unidades administrativas, incluida una Tesorería Municipal, misma que conforme </w:t>
      </w:r>
      <w:r w:rsidR="00B17E56" w:rsidRPr="001234C1">
        <w:rPr>
          <w:rFonts w:ascii="Palatino Linotype" w:eastAsia="Palatino Linotype" w:hAnsi="Palatino Linotype" w:cs="Palatino Linotype"/>
          <w:color w:val="000000" w:themeColor="text1"/>
          <w:sz w:val="22"/>
          <w:szCs w:val="22"/>
        </w:rPr>
        <w:t>el</w:t>
      </w:r>
      <w:r w:rsidRPr="001234C1">
        <w:rPr>
          <w:rFonts w:ascii="Palatino Linotype" w:eastAsia="Palatino Linotype" w:hAnsi="Palatino Linotype" w:cs="Palatino Linotype"/>
          <w:color w:val="000000" w:themeColor="text1"/>
          <w:sz w:val="22"/>
          <w:szCs w:val="22"/>
        </w:rPr>
        <w:t xml:space="preserve"> artículo </w:t>
      </w:r>
      <w:r w:rsidR="00B17E56" w:rsidRPr="001234C1">
        <w:rPr>
          <w:rFonts w:ascii="Palatino Linotype" w:eastAsia="Palatino Linotype" w:hAnsi="Palatino Linotype" w:cs="Palatino Linotype"/>
          <w:color w:val="000000" w:themeColor="text1"/>
          <w:sz w:val="22"/>
          <w:szCs w:val="22"/>
        </w:rPr>
        <w:t>9</w:t>
      </w:r>
      <w:r w:rsidR="00831710" w:rsidRPr="001234C1">
        <w:rPr>
          <w:rFonts w:ascii="Palatino Linotype" w:eastAsia="Palatino Linotype" w:hAnsi="Palatino Linotype" w:cs="Palatino Linotype"/>
          <w:color w:val="000000" w:themeColor="text1"/>
          <w:sz w:val="22"/>
          <w:szCs w:val="22"/>
        </w:rPr>
        <w:t>5</w:t>
      </w:r>
      <w:r w:rsidR="00B17E56" w:rsidRPr="001234C1">
        <w:rPr>
          <w:rFonts w:ascii="Palatino Linotype" w:eastAsia="Palatino Linotype" w:hAnsi="Palatino Linotype" w:cs="Palatino Linotype"/>
          <w:color w:val="000000" w:themeColor="text1"/>
          <w:sz w:val="22"/>
          <w:szCs w:val="22"/>
        </w:rPr>
        <w:t xml:space="preserve"> fracciones I y IV</w:t>
      </w:r>
      <w:r w:rsidRPr="001234C1">
        <w:rPr>
          <w:rFonts w:ascii="Palatino Linotype" w:eastAsia="Palatino Linotype" w:hAnsi="Palatino Linotype" w:cs="Palatino Linotype"/>
          <w:color w:val="000000" w:themeColor="text1"/>
          <w:sz w:val="22"/>
          <w:szCs w:val="22"/>
        </w:rPr>
        <w:t xml:space="preserve"> de la Ley Orgánica Municipal para el Estado de México tiene las siguientes atribuciones:</w:t>
      </w:r>
    </w:p>
    <w:p w14:paraId="71ADFDE6" w14:textId="77777777" w:rsidR="00D300FB" w:rsidRPr="001234C1" w:rsidRDefault="00D300FB">
      <w:pPr>
        <w:spacing w:line="360" w:lineRule="auto"/>
        <w:ind w:right="141"/>
        <w:jc w:val="both"/>
        <w:rPr>
          <w:rFonts w:ascii="Palatino Linotype" w:eastAsia="Palatino Linotype" w:hAnsi="Palatino Linotype" w:cs="Palatino Linotype"/>
          <w:color w:val="000000" w:themeColor="text1"/>
          <w:sz w:val="22"/>
          <w:szCs w:val="22"/>
        </w:rPr>
      </w:pPr>
    </w:p>
    <w:p w14:paraId="5AACA682" w14:textId="4C513819" w:rsidR="00B17E56" w:rsidRPr="001234C1" w:rsidRDefault="00B17E56" w:rsidP="00B17E56">
      <w:pPr>
        <w:ind w:left="567" w:right="616"/>
        <w:jc w:val="both"/>
        <w:rPr>
          <w:rFonts w:ascii="Palatino Linotype" w:eastAsia="Palatino Linotype" w:hAnsi="Palatino Linotype" w:cs="Palatino Linotype"/>
          <w:i/>
          <w:color w:val="000000" w:themeColor="text1"/>
          <w:sz w:val="22"/>
          <w:szCs w:val="22"/>
        </w:rPr>
      </w:pPr>
      <w:r w:rsidRPr="001234C1">
        <w:rPr>
          <w:rFonts w:ascii="Palatino Linotype" w:eastAsia="Palatino Linotype" w:hAnsi="Palatino Linotype" w:cs="Palatino Linotype"/>
          <w:i/>
          <w:color w:val="000000" w:themeColor="text1"/>
          <w:sz w:val="22"/>
          <w:szCs w:val="22"/>
        </w:rPr>
        <w:t>“</w:t>
      </w:r>
      <w:r w:rsidRPr="001234C1">
        <w:rPr>
          <w:rFonts w:ascii="Palatino Linotype" w:eastAsia="Palatino Linotype" w:hAnsi="Palatino Linotype" w:cs="Palatino Linotype"/>
          <w:b/>
          <w:i/>
          <w:color w:val="000000" w:themeColor="text1"/>
          <w:sz w:val="22"/>
          <w:szCs w:val="22"/>
        </w:rPr>
        <w:t>Artículo 95.- Son atribuciones del tesorero municipal:</w:t>
      </w:r>
      <w:r w:rsidRPr="001234C1">
        <w:rPr>
          <w:rFonts w:ascii="Palatino Linotype" w:eastAsia="Palatino Linotype" w:hAnsi="Palatino Linotype" w:cs="Palatino Linotype"/>
          <w:i/>
          <w:color w:val="000000" w:themeColor="text1"/>
          <w:sz w:val="22"/>
          <w:szCs w:val="22"/>
        </w:rPr>
        <w:t xml:space="preserve"> </w:t>
      </w:r>
    </w:p>
    <w:p w14:paraId="7C0F01A7" w14:textId="77777777" w:rsidR="00B17E56" w:rsidRPr="001234C1" w:rsidRDefault="00B17E56" w:rsidP="00B17E56">
      <w:pPr>
        <w:ind w:left="567" w:right="616"/>
        <w:jc w:val="both"/>
        <w:rPr>
          <w:rFonts w:ascii="Palatino Linotype" w:eastAsia="Palatino Linotype" w:hAnsi="Palatino Linotype" w:cs="Palatino Linotype"/>
          <w:b/>
          <w:i/>
          <w:color w:val="000000" w:themeColor="text1"/>
          <w:sz w:val="22"/>
          <w:szCs w:val="22"/>
        </w:rPr>
      </w:pPr>
      <w:r w:rsidRPr="001234C1">
        <w:rPr>
          <w:rFonts w:ascii="Palatino Linotype" w:eastAsia="Palatino Linotype" w:hAnsi="Palatino Linotype" w:cs="Palatino Linotype"/>
          <w:b/>
          <w:i/>
          <w:color w:val="000000" w:themeColor="text1"/>
          <w:sz w:val="22"/>
          <w:szCs w:val="22"/>
        </w:rPr>
        <w:t xml:space="preserve">I. Administrar la hacienda pública municipal, de conformidad con las disposiciones legales aplicables; </w:t>
      </w:r>
    </w:p>
    <w:p w14:paraId="4CEB0B6D" w14:textId="0D7413A0" w:rsidR="00B17E56" w:rsidRPr="001234C1" w:rsidRDefault="00B17E56" w:rsidP="00B17E56">
      <w:pPr>
        <w:ind w:left="567" w:right="616"/>
        <w:jc w:val="both"/>
        <w:rPr>
          <w:rFonts w:ascii="Palatino Linotype" w:eastAsia="Palatino Linotype" w:hAnsi="Palatino Linotype" w:cs="Palatino Linotype"/>
          <w:b/>
          <w:i/>
          <w:color w:val="000000" w:themeColor="text1"/>
          <w:sz w:val="22"/>
          <w:szCs w:val="22"/>
        </w:rPr>
      </w:pPr>
      <w:r w:rsidRPr="001234C1">
        <w:rPr>
          <w:rFonts w:ascii="Palatino Linotype" w:eastAsia="Palatino Linotype" w:hAnsi="Palatino Linotype" w:cs="Palatino Linotype"/>
          <w:b/>
          <w:i/>
          <w:color w:val="000000" w:themeColor="text1"/>
          <w:sz w:val="22"/>
          <w:szCs w:val="22"/>
        </w:rPr>
        <w:t>[…]</w:t>
      </w:r>
    </w:p>
    <w:p w14:paraId="7E1813FF" w14:textId="4BF5A6CB" w:rsidR="00D300FB" w:rsidRPr="001234C1" w:rsidRDefault="00B17E56" w:rsidP="00B17E56">
      <w:pPr>
        <w:ind w:left="567" w:right="616"/>
        <w:jc w:val="both"/>
        <w:rPr>
          <w:rFonts w:ascii="Palatino Linotype" w:eastAsia="Palatino Linotype" w:hAnsi="Palatino Linotype" w:cs="Palatino Linotype"/>
          <w:i/>
          <w:color w:val="000000" w:themeColor="text1"/>
          <w:sz w:val="22"/>
          <w:szCs w:val="22"/>
        </w:rPr>
      </w:pPr>
      <w:r w:rsidRPr="001234C1">
        <w:rPr>
          <w:rFonts w:ascii="Palatino Linotype" w:eastAsia="Palatino Linotype" w:hAnsi="Palatino Linotype" w:cs="Palatino Linotype"/>
          <w:b/>
          <w:i/>
          <w:color w:val="000000" w:themeColor="text1"/>
          <w:sz w:val="22"/>
          <w:szCs w:val="22"/>
        </w:rPr>
        <w:t>IV. Llevar los registros contables, financieros y administrativos de los ingresos, egresos, e inventarios;</w:t>
      </w:r>
      <w:r w:rsidRPr="001234C1">
        <w:rPr>
          <w:rFonts w:ascii="Palatino Linotype" w:eastAsia="Palatino Linotype" w:hAnsi="Palatino Linotype" w:cs="Palatino Linotype"/>
          <w:i/>
          <w:color w:val="000000" w:themeColor="text1"/>
          <w:sz w:val="22"/>
          <w:szCs w:val="22"/>
        </w:rPr>
        <w:t xml:space="preserve"> […]”</w:t>
      </w:r>
    </w:p>
    <w:p w14:paraId="2A0C9323" w14:textId="384AB3D6" w:rsidR="00B17E56" w:rsidRPr="001234C1" w:rsidRDefault="00B17E56" w:rsidP="00B17E56">
      <w:pPr>
        <w:ind w:left="567" w:right="616"/>
        <w:jc w:val="right"/>
        <w:rPr>
          <w:rFonts w:ascii="Palatino Linotype" w:eastAsia="Palatino Linotype" w:hAnsi="Palatino Linotype" w:cs="Palatino Linotype"/>
          <w:i/>
          <w:color w:val="000000" w:themeColor="text1"/>
          <w:sz w:val="22"/>
          <w:szCs w:val="22"/>
        </w:rPr>
      </w:pPr>
      <w:r w:rsidRPr="001234C1">
        <w:rPr>
          <w:rFonts w:ascii="Palatino Linotype" w:eastAsia="Palatino Linotype" w:hAnsi="Palatino Linotype" w:cs="Palatino Linotype"/>
          <w:i/>
          <w:color w:val="000000" w:themeColor="text1"/>
          <w:sz w:val="22"/>
          <w:szCs w:val="22"/>
        </w:rPr>
        <w:t>(Énfasis añadido)</w:t>
      </w:r>
    </w:p>
    <w:p w14:paraId="24E1F19C" w14:textId="77777777" w:rsidR="00B17E56" w:rsidRPr="001234C1" w:rsidRDefault="00B17E56">
      <w:pPr>
        <w:spacing w:line="360" w:lineRule="auto"/>
        <w:ind w:right="141"/>
        <w:jc w:val="both"/>
        <w:rPr>
          <w:rFonts w:ascii="Palatino Linotype" w:eastAsia="Palatino Linotype" w:hAnsi="Palatino Linotype" w:cs="Palatino Linotype"/>
          <w:color w:val="FF0000"/>
          <w:sz w:val="22"/>
          <w:szCs w:val="22"/>
        </w:rPr>
      </w:pPr>
    </w:p>
    <w:p w14:paraId="0AFEB17C" w14:textId="194F95AA" w:rsidR="00B17E56" w:rsidRPr="001234C1" w:rsidRDefault="00B17E56">
      <w:pPr>
        <w:spacing w:line="360" w:lineRule="auto"/>
        <w:ind w:right="141"/>
        <w:jc w:val="both"/>
        <w:rPr>
          <w:rFonts w:ascii="Palatino Linotype" w:eastAsia="Palatino Linotype" w:hAnsi="Palatino Linotype" w:cs="Palatino Linotype"/>
          <w:color w:val="000000" w:themeColor="text1"/>
          <w:sz w:val="22"/>
          <w:szCs w:val="22"/>
        </w:rPr>
      </w:pPr>
      <w:r w:rsidRPr="001234C1">
        <w:rPr>
          <w:rFonts w:ascii="Palatino Linotype" w:eastAsia="Palatino Linotype" w:hAnsi="Palatino Linotype" w:cs="Palatino Linotype"/>
          <w:color w:val="000000" w:themeColor="text1"/>
          <w:sz w:val="22"/>
          <w:szCs w:val="22"/>
        </w:rPr>
        <w:t xml:space="preserve">De las porciones legales en cita, se advierte que la Tesorería Municipal es la encargada de administrar la hacienda pública municipal, así como llevar los registros contables, financieros y administrativos de los ingresos y egresos; atribuciones de las cuales se desprende que puede conocer si durante la administración pública municipal en el </w:t>
      </w:r>
      <w:r w:rsidRPr="001234C1">
        <w:rPr>
          <w:rFonts w:ascii="Palatino Linotype" w:eastAsia="Palatino Linotype" w:hAnsi="Palatino Linotype" w:cs="Palatino Linotype"/>
          <w:color w:val="000000" w:themeColor="text1"/>
          <w:sz w:val="22"/>
          <w:szCs w:val="22"/>
        </w:rPr>
        <w:lastRenderedPageBreak/>
        <w:t xml:space="preserve">ejercicio fiscal 2021, se llevó a cabo la cancelación de folios de </w:t>
      </w:r>
      <w:r w:rsidR="00831710" w:rsidRPr="001234C1">
        <w:rPr>
          <w:rFonts w:ascii="Palatino Linotype" w:eastAsia="Palatino Linotype" w:hAnsi="Palatino Linotype" w:cs="Palatino Linotype"/>
          <w:color w:val="000000" w:themeColor="text1"/>
          <w:sz w:val="22"/>
          <w:szCs w:val="22"/>
        </w:rPr>
        <w:t>proyectos que serían financiados con recursos</w:t>
      </w:r>
      <w:r w:rsidR="00400810" w:rsidRPr="001234C1">
        <w:rPr>
          <w:rFonts w:ascii="Palatino Linotype" w:eastAsia="Palatino Linotype" w:hAnsi="Palatino Linotype" w:cs="Palatino Linotype"/>
          <w:color w:val="000000" w:themeColor="text1"/>
          <w:sz w:val="22"/>
          <w:szCs w:val="22"/>
        </w:rPr>
        <w:t xml:space="preserve"> del FEFOM; además de ser el área respecto de la cual el particular requiere los documentos que acrediten que el Tesorero Municipal solicitó al Presidente Municipal de la administración pública municipal 2019-2021, la cancelación de los folios de los proyectos FEFOM 2021.</w:t>
      </w:r>
    </w:p>
    <w:p w14:paraId="36C53D85" w14:textId="77777777" w:rsidR="004E26FE" w:rsidRPr="001234C1" w:rsidRDefault="004E26FE">
      <w:pPr>
        <w:spacing w:line="360" w:lineRule="auto"/>
        <w:ind w:right="141"/>
        <w:jc w:val="both"/>
        <w:rPr>
          <w:rFonts w:ascii="Palatino Linotype" w:eastAsia="Palatino Linotype" w:hAnsi="Palatino Linotype" w:cs="Palatino Linotype"/>
          <w:color w:val="FF0000"/>
          <w:sz w:val="22"/>
          <w:szCs w:val="22"/>
        </w:rPr>
      </w:pPr>
    </w:p>
    <w:p w14:paraId="79E1AC4D" w14:textId="62D03B1B" w:rsidR="000813FF" w:rsidRPr="001234C1" w:rsidRDefault="000813FF" w:rsidP="000813FF">
      <w:pPr>
        <w:widowControl w:val="0"/>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En consecuencia, conforme lo expuesto, se pronunció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19BF6D0" w14:textId="77777777" w:rsidR="000813FF" w:rsidRPr="001234C1" w:rsidRDefault="000813FF" w:rsidP="000813FF"/>
    <w:p w14:paraId="375878AF" w14:textId="77777777" w:rsidR="000813FF" w:rsidRPr="001234C1" w:rsidRDefault="000813FF" w:rsidP="000813FF">
      <w:pPr>
        <w:pBdr>
          <w:top w:val="nil"/>
          <w:left w:val="nil"/>
          <w:bottom w:val="nil"/>
          <w:right w:val="nil"/>
          <w:between w:val="nil"/>
        </w:pBdr>
        <w:ind w:left="864" w:right="864"/>
        <w:jc w:val="both"/>
      </w:pPr>
      <w:r w:rsidRPr="001234C1">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81A935C" w14:textId="77777777" w:rsidR="000813FF" w:rsidRPr="001234C1" w:rsidRDefault="000813FF" w:rsidP="000813FF"/>
    <w:p w14:paraId="0E941CB2" w14:textId="77777777" w:rsidR="000813FF" w:rsidRPr="001234C1" w:rsidRDefault="000813FF" w:rsidP="000813FF">
      <w:pPr>
        <w:pBdr>
          <w:top w:val="nil"/>
          <w:left w:val="nil"/>
          <w:bottom w:val="nil"/>
          <w:right w:val="nil"/>
          <w:between w:val="nil"/>
        </w:pBdr>
        <w:shd w:val="clear" w:color="auto" w:fill="FFFFFF"/>
        <w:spacing w:line="360" w:lineRule="auto"/>
        <w:jc w:val="both"/>
        <w:rPr>
          <w:sz w:val="22"/>
          <w:szCs w:val="22"/>
        </w:rPr>
      </w:pPr>
      <w:r w:rsidRPr="001234C1">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31D9E32" w14:textId="77777777" w:rsidR="000813FF" w:rsidRPr="001234C1" w:rsidRDefault="000813FF" w:rsidP="000813FF"/>
    <w:p w14:paraId="024AD396" w14:textId="77777777" w:rsidR="000813FF" w:rsidRPr="001234C1" w:rsidRDefault="000813FF" w:rsidP="000813FF">
      <w:pPr>
        <w:pBdr>
          <w:top w:val="nil"/>
          <w:left w:val="nil"/>
          <w:bottom w:val="nil"/>
          <w:right w:val="nil"/>
          <w:between w:val="nil"/>
        </w:pBdr>
        <w:ind w:left="864" w:right="864"/>
        <w:jc w:val="both"/>
      </w:pPr>
      <w:r w:rsidRPr="001234C1">
        <w:rPr>
          <w:rFonts w:ascii="Palatino Linotype" w:eastAsia="Palatino Linotype" w:hAnsi="Palatino Linotype" w:cs="Palatino Linotype"/>
          <w:i/>
          <w:sz w:val="22"/>
          <w:szCs w:val="22"/>
        </w:rPr>
        <w:t xml:space="preserve">“Artículo 162. Las unidades de transparencia deberán garantizar que las solicitudes </w:t>
      </w:r>
      <w:r w:rsidRPr="001234C1">
        <w:rPr>
          <w:rFonts w:ascii="Palatino Linotype" w:eastAsia="Palatino Linotype" w:hAnsi="Palatino Linotype" w:cs="Palatino Linotype"/>
          <w:b/>
          <w:i/>
          <w:sz w:val="22"/>
          <w:szCs w:val="22"/>
        </w:rPr>
        <w:t xml:space="preserve">se turnen a todas las Áreas competentes </w:t>
      </w:r>
      <w:r w:rsidRPr="001234C1">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0BA3D8CB" w14:textId="77777777" w:rsidR="000813FF" w:rsidRPr="001234C1" w:rsidRDefault="000813FF" w:rsidP="000813FF">
      <w:pPr>
        <w:widowControl w:val="0"/>
        <w:spacing w:line="360" w:lineRule="auto"/>
        <w:ind w:right="49"/>
        <w:jc w:val="both"/>
        <w:rPr>
          <w:rFonts w:ascii="Palatino Linotype" w:eastAsia="Palatino Linotype" w:hAnsi="Palatino Linotype" w:cs="Palatino Linotype"/>
          <w:sz w:val="22"/>
          <w:szCs w:val="22"/>
        </w:rPr>
      </w:pPr>
    </w:p>
    <w:p w14:paraId="27C0992D"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No obstante, si bien en el caso se pronunció la unidad administrativa competente, del análisis que se realiza a la respuesta y al informe justificado rendido por el </w:t>
      </w:r>
      <w:r w:rsidRPr="001234C1">
        <w:rPr>
          <w:rFonts w:ascii="Palatino Linotype" w:eastAsia="Palatino Linotype" w:hAnsi="Palatino Linotype" w:cs="Palatino Linotype"/>
          <w:b/>
          <w:sz w:val="22"/>
          <w:szCs w:val="22"/>
        </w:rPr>
        <w:t xml:space="preserve">Sujeto Obligado, </w:t>
      </w:r>
      <w:r w:rsidRPr="001234C1">
        <w:rPr>
          <w:rFonts w:ascii="Palatino Linotype" w:eastAsia="Palatino Linotype" w:hAnsi="Palatino Linotype" w:cs="Palatino Linotype"/>
          <w:sz w:val="22"/>
          <w:szCs w:val="22"/>
        </w:rPr>
        <w:lastRenderedPageBreak/>
        <w:t>se desprende en el caso la información entregada no colma el derecho de acceso a la información de la persona solicitante, por las siguientes consideraciones.</w:t>
      </w:r>
    </w:p>
    <w:p w14:paraId="0F9F3873" w14:textId="77777777" w:rsidR="00FF0200" w:rsidRPr="001234C1" w:rsidRDefault="00FF0200" w:rsidP="000813FF">
      <w:pPr>
        <w:spacing w:line="360" w:lineRule="auto"/>
        <w:jc w:val="both"/>
        <w:rPr>
          <w:rFonts w:ascii="Palatino Linotype" w:eastAsia="Palatino Linotype" w:hAnsi="Palatino Linotype" w:cs="Palatino Linotype"/>
          <w:sz w:val="22"/>
          <w:szCs w:val="22"/>
        </w:rPr>
      </w:pPr>
    </w:p>
    <w:p w14:paraId="59BA9C59" w14:textId="55D8DAD3"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A pesar de que en el presente asunto dio respuesta la Tesorería Municipal, el pronunciamiento emitido resulta insuficiente para tener por colmado el derecho de acceso a la información pública.</w:t>
      </w:r>
    </w:p>
    <w:p w14:paraId="670CE78F"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172AF61E" w14:textId="3DF6D940" w:rsidR="000813FF" w:rsidRPr="001234C1" w:rsidRDefault="000813FF" w:rsidP="000813FF">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sz w:val="22"/>
          <w:szCs w:val="22"/>
        </w:rPr>
        <w:t xml:space="preserve">Se afirma lo anterior, en virtud de que el servidor público habilitado competente, en respuesta únicamente se limitó a indicar que después de realizar una búsqueda exhaustiva dentro de los archivos que obran en esa área, no se localizó documento alguno que dé cuenta de lo solicitado; esto, sin aportar </w:t>
      </w:r>
      <w:r w:rsidRPr="001234C1">
        <w:rPr>
          <w:rFonts w:ascii="Palatino Linotype" w:eastAsia="Palatino Linotype" w:hAnsi="Palatino Linotype" w:cs="Palatino Linotype"/>
          <w:color w:val="000000"/>
          <w:sz w:val="22"/>
          <w:szCs w:val="22"/>
        </w:rPr>
        <w:t xml:space="preserve">los medios de convicción que permitan advertir que en efecto se llevó a cabo la correcta búsqueda de la información, pues fue omiso en precisar las razones por las que no localizó la información requerida. </w:t>
      </w:r>
    </w:p>
    <w:p w14:paraId="6F702C6F" w14:textId="77777777" w:rsidR="000813FF" w:rsidRPr="001234C1" w:rsidRDefault="000813FF" w:rsidP="000813FF">
      <w:pPr>
        <w:spacing w:line="360" w:lineRule="auto"/>
        <w:jc w:val="both"/>
        <w:rPr>
          <w:rFonts w:ascii="Palatino Linotype" w:eastAsia="Palatino Linotype" w:hAnsi="Palatino Linotype" w:cs="Palatino Linotype"/>
          <w:color w:val="000000"/>
          <w:sz w:val="22"/>
          <w:szCs w:val="22"/>
        </w:rPr>
      </w:pPr>
    </w:p>
    <w:p w14:paraId="7FDF54D8" w14:textId="21065FC1" w:rsidR="000813FF" w:rsidRPr="001234C1" w:rsidRDefault="000813FF" w:rsidP="000813FF">
      <w:pPr>
        <w:spacing w:line="360" w:lineRule="auto"/>
        <w:jc w:val="both"/>
        <w:rPr>
          <w:rFonts w:ascii="Palatino Linotype" w:eastAsia="Palatino Linotype" w:hAnsi="Palatino Linotype" w:cs="Palatino Linotype"/>
          <w:b/>
          <w:color w:val="000000"/>
          <w:sz w:val="22"/>
          <w:szCs w:val="22"/>
          <w:u w:val="single"/>
        </w:rPr>
      </w:pPr>
      <w:r w:rsidRPr="001234C1">
        <w:rPr>
          <w:rFonts w:ascii="Palatino Linotype" w:eastAsia="Palatino Linotype" w:hAnsi="Palatino Linotype" w:cs="Palatino Linotype"/>
          <w:color w:val="000000"/>
          <w:sz w:val="22"/>
          <w:szCs w:val="22"/>
        </w:rPr>
        <w:t xml:space="preserve">Lo anterior ocasiona que en el caso el servidor público habilitado competente tampoco cumpliera con los principios de congruencia y exhaustividad, en virtud de que la respuesta no fue clara, pues </w:t>
      </w:r>
      <w:r w:rsidR="004C1633" w:rsidRPr="001234C1">
        <w:rPr>
          <w:rFonts w:ascii="Palatino Linotype" w:eastAsia="Palatino Linotype" w:hAnsi="Palatino Linotype" w:cs="Palatino Linotype"/>
          <w:color w:val="000000"/>
          <w:sz w:val="22"/>
          <w:szCs w:val="22"/>
        </w:rPr>
        <w:t>no se indicó si no se cuenta con la información requerida porque no se generaron o, porque habiéndola generado, por alguna circunstancia en particular no obra en los archivos del Sujeto Obligado.</w:t>
      </w:r>
    </w:p>
    <w:p w14:paraId="35C6D004" w14:textId="77777777" w:rsidR="000813FF" w:rsidRPr="001234C1" w:rsidRDefault="000813FF" w:rsidP="000813FF">
      <w:pPr>
        <w:spacing w:line="360" w:lineRule="auto"/>
        <w:jc w:val="both"/>
        <w:rPr>
          <w:rFonts w:ascii="Palatino Linotype" w:eastAsia="Palatino Linotype" w:hAnsi="Palatino Linotype" w:cs="Palatino Linotype"/>
          <w:color w:val="000000"/>
          <w:sz w:val="22"/>
          <w:szCs w:val="22"/>
        </w:rPr>
      </w:pPr>
    </w:p>
    <w:p w14:paraId="4F3CDA40" w14:textId="444E564E" w:rsidR="000813FF" w:rsidRPr="001234C1" w:rsidRDefault="000813FF" w:rsidP="000813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 xml:space="preserve">En tal sentido, resulta aplicable el Criterio </w:t>
      </w:r>
      <w:r w:rsidR="002F1BA5" w:rsidRPr="001234C1">
        <w:rPr>
          <w:rFonts w:ascii="Palatino Linotype" w:eastAsia="Palatino Linotype" w:hAnsi="Palatino Linotype" w:cs="Palatino Linotype"/>
          <w:color w:val="000000"/>
          <w:sz w:val="22"/>
          <w:szCs w:val="22"/>
        </w:rPr>
        <w:t xml:space="preserve">orientador </w:t>
      </w:r>
      <w:r w:rsidRPr="001234C1">
        <w:rPr>
          <w:rFonts w:ascii="Palatino Linotype" w:eastAsia="Palatino Linotype" w:hAnsi="Palatino Linotype" w:cs="Palatino Linotype"/>
          <w:color w:val="000000"/>
          <w:sz w:val="22"/>
          <w:szCs w:val="22"/>
        </w:rPr>
        <w:t>02/17 emitido por el P</w:t>
      </w:r>
      <w:r w:rsidR="00537201" w:rsidRPr="001234C1">
        <w:rPr>
          <w:rFonts w:ascii="Palatino Linotype" w:eastAsia="Palatino Linotype" w:hAnsi="Palatino Linotype" w:cs="Palatino Linotype"/>
          <w:color w:val="000000"/>
          <w:sz w:val="22"/>
          <w:szCs w:val="22"/>
        </w:rPr>
        <w:t>l</w:t>
      </w:r>
      <w:r w:rsidRPr="001234C1">
        <w:rPr>
          <w:rFonts w:ascii="Palatino Linotype" w:eastAsia="Palatino Linotype" w:hAnsi="Palatino Linotype" w:cs="Palatino Linotype"/>
          <w:color w:val="000000"/>
          <w:sz w:val="22"/>
          <w:szCs w:val="22"/>
        </w:rPr>
        <w:t>eno del</w:t>
      </w:r>
      <w:r w:rsidR="00537201" w:rsidRPr="001234C1">
        <w:rPr>
          <w:rFonts w:ascii="Palatino Linotype" w:eastAsia="Palatino Linotype" w:hAnsi="Palatino Linotype" w:cs="Palatino Linotype"/>
          <w:color w:val="000000"/>
          <w:sz w:val="22"/>
          <w:szCs w:val="22"/>
        </w:rPr>
        <w:t xml:space="preserve"> entonces</w:t>
      </w:r>
      <w:r w:rsidRPr="001234C1">
        <w:rPr>
          <w:rFonts w:ascii="Palatino Linotype" w:eastAsia="Palatino Linotype" w:hAnsi="Palatino Linotype" w:cs="Palatino Linotype"/>
          <w:color w:val="000000"/>
          <w:sz w:val="22"/>
          <w:szCs w:val="22"/>
        </w:rPr>
        <w:t xml:space="preserve"> Instituto Nacional de Transparencia y Acceso a la Información y Protección de Datos Personales, de título y texto siguientes:</w:t>
      </w:r>
    </w:p>
    <w:p w14:paraId="6C8DB6A5" w14:textId="77777777" w:rsidR="000813FF" w:rsidRPr="001234C1" w:rsidRDefault="000813FF" w:rsidP="000813FF">
      <w:pPr>
        <w:pBdr>
          <w:top w:val="nil"/>
          <w:left w:val="nil"/>
          <w:bottom w:val="nil"/>
          <w:right w:val="nil"/>
          <w:between w:val="nil"/>
        </w:pBdr>
        <w:spacing w:line="360" w:lineRule="auto"/>
        <w:jc w:val="both"/>
        <w:rPr>
          <w:color w:val="000000"/>
          <w:sz w:val="22"/>
          <w:szCs w:val="22"/>
        </w:rPr>
      </w:pPr>
    </w:p>
    <w:p w14:paraId="13A4B947" w14:textId="77777777" w:rsidR="000813FF" w:rsidRPr="001234C1" w:rsidRDefault="000813FF" w:rsidP="000813FF">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1234C1">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1234C1">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w:t>
      </w:r>
      <w:r w:rsidRPr="001234C1">
        <w:rPr>
          <w:rFonts w:ascii="Palatino Linotype" w:eastAsia="Palatino Linotype" w:hAnsi="Palatino Linotype" w:cs="Palatino Linotype"/>
          <w:i/>
          <w:color w:val="000000"/>
          <w:sz w:val="22"/>
          <w:szCs w:val="22"/>
        </w:rPr>
        <w:lastRenderedPageBreak/>
        <w:t xml:space="preserve">todo acto administrativo debe cumplir con los principios de congruencia y exhaustividad. Para el efectivo ejercicio del derecho de acceso a la información, </w:t>
      </w:r>
      <w:r w:rsidRPr="001234C1">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1234C1">
        <w:rPr>
          <w:rFonts w:ascii="Palatino Linotype" w:eastAsia="Palatino Linotype" w:hAnsi="Palatino Linotype" w:cs="Palatino Linotype"/>
          <w:i/>
          <w:color w:val="000000"/>
          <w:sz w:val="22"/>
          <w:szCs w:val="22"/>
        </w:rPr>
        <w:t xml:space="preserve">; mientras que </w:t>
      </w:r>
      <w:r w:rsidRPr="001234C1">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1234C1">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1648A79" w14:textId="77777777" w:rsidR="000813FF" w:rsidRPr="001234C1" w:rsidRDefault="000813FF" w:rsidP="000813FF">
      <w:pPr>
        <w:spacing w:line="360" w:lineRule="auto"/>
        <w:ind w:right="-7"/>
        <w:jc w:val="both"/>
        <w:rPr>
          <w:rFonts w:ascii="Palatino Linotype" w:eastAsia="Palatino Linotype" w:hAnsi="Palatino Linotype" w:cs="Palatino Linotype"/>
          <w:sz w:val="22"/>
          <w:szCs w:val="22"/>
        </w:rPr>
      </w:pPr>
    </w:p>
    <w:p w14:paraId="792107D7" w14:textId="77777777" w:rsidR="000813FF" w:rsidRPr="001234C1" w:rsidRDefault="000813FF" w:rsidP="000813FF">
      <w:pPr>
        <w:spacing w:line="360" w:lineRule="auto"/>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color w:val="000000"/>
          <w:sz w:val="22"/>
          <w:szCs w:val="22"/>
        </w:rPr>
        <w:t>De ahí que, la respuesta proporcionada al requerimiento en análisis no cumple con los principios de búsqueda exhaustiva, congruencia y exhaustividad.</w:t>
      </w:r>
    </w:p>
    <w:p w14:paraId="0336B2AE"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3870B07E" w14:textId="7DBE103A" w:rsidR="003F2862" w:rsidRPr="001234C1" w:rsidRDefault="004C1633" w:rsidP="003F2862">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Además, de la consulta que realizó este Órgano Garante a </w:t>
      </w:r>
      <w:r w:rsidR="003F2862" w:rsidRPr="001234C1">
        <w:rPr>
          <w:rFonts w:ascii="Palatino Linotype" w:eastAsia="Palatino Linotype" w:hAnsi="Palatino Linotype" w:cs="Palatino Linotype"/>
          <w:sz w:val="22"/>
          <w:szCs w:val="22"/>
        </w:rPr>
        <w:t>medios de difusión digitales localizó la siguiente nota periodística:</w:t>
      </w:r>
    </w:p>
    <w:p w14:paraId="562F9BE0" w14:textId="77777777" w:rsidR="003F2862" w:rsidRPr="001234C1" w:rsidRDefault="003F2862" w:rsidP="003F2862">
      <w:pPr>
        <w:spacing w:line="360" w:lineRule="auto"/>
        <w:jc w:val="both"/>
        <w:rPr>
          <w:rFonts w:ascii="Palatino Linotype" w:eastAsia="Palatino Linotype" w:hAnsi="Palatino Linotype" w:cs="Palatino Linotype"/>
          <w:sz w:val="22"/>
          <w:szCs w:val="22"/>
        </w:rPr>
      </w:pPr>
    </w:p>
    <w:p w14:paraId="0C94291C" w14:textId="27E8E02C" w:rsidR="004C1633" w:rsidRPr="001234C1" w:rsidRDefault="003F2862" w:rsidP="003F2862">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La nota periodística del 06 de noviembre de 2022, localizable en el siguiente enlace:</w:t>
      </w:r>
      <w:r w:rsidRPr="001234C1">
        <w:t xml:space="preserve"> </w:t>
      </w:r>
      <w:r w:rsidRPr="001234C1">
        <w:rPr>
          <w:rFonts w:ascii="Palatino Linotype" w:eastAsia="Palatino Linotype" w:hAnsi="Palatino Linotype" w:cs="Palatino Linotype"/>
          <w:sz w:val="22"/>
          <w:szCs w:val="22"/>
        </w:rPr>
        <w:t>https://poderedomex.com/no-se-olvidan-y-salen-a-relucir-las-cuentas-pendientes-de-la-administracion-de-juan-sanchez-en-toluca/, que indica lo siguiente:</w:t>
      </w:r>
    </w:p>
    <w:p w14:paraId="2AF9E147" w14:textId="3F450074" w:rsidR="004C1633" w:rsidRPr="001234C1" w:rsidRDefault="003F2862"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noProof/>
          <w:sz w:val="22"/>
          <w:szCs w:val="22"/>
        </w:rPr>
        <w:drawing>
          <wp:inline distT="0" distB="0" distL="0" distR="0" wp14:anchorId="552F3AEE" wp14:editId="50733177">
            <wp:extent cx="5612130" cy="2434590"/>
            <wp:effectExtent l="19050" t="19050" r="26670" b="228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434590"/>
                    </a:xfrm>
                    <a:prstGeom prst="rect">
                      <a:avLst/>
                    </a:prstGeom>
                    <a:ln>
                      <a:solidFill>
                        <a:schemeClr val="accent1"/>
                      </a:solidFill>
                    </a:ln>
                  </pic:spPr>
                </pic:pic>
              </a:graphicData>
            </a:graphic>
          </wp:inline>
        </w:drawing>
      </w:r>
    </w:p>
    <w:p w14:paraId="6E3D82F6" w14:textId="61372ECA" w:rsidR="003F2862" w:rsidRPr="001234C1" w:rsidRDefault="003F2862" w:rsidP="003F2862">
      <w:pPr>
        <w:spacing w:line="360" w:lineRule="auto"/>
        <w:jc w:val="center"/>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w:t>
      </w:r>
    </w:p>
    <w:p w14:paraId="1D0AE02A" w14:textId="038FE6EC" w:rsidR="003F2862" w:rsidRPr="001234C1" w:rsidRDefault="003F2862" w:rsidP="003F2862">
      <w:pPr>
        <w:spacing w:line="360" w:lineRule="auto"/>
        <w:jc w:val="center"/>
        <w:rPr>
          <w:rFonts w:ascii="Palatino Linotype" w:eastAsia="Palatino Linotype" w:hAnsi="Palatino Linotype" w:cs="Palatino Linotype"/>
          <w:sz w:val="22"/>
          <w:szCs w:val="22"/>
        </w:rPr>
      </w:pPr>
      <w:r w:rsidRPr="001234C1">
        <w:rPr>
          <w:rFonts w:ascii="Palatino Linotype" w:eastAsia="Palatino Linotype" w:hAnsi="Palatino Linotype" w:cs="Palatino Linotype"/>
          <w:noProof/>
          <w:sz w:val="22"/>
          <w:szCs w:val="22"/>
        </w:rPr>
        <w:lastRenderedPageBreak/>
        <w:drawing>
          <wp:inline distT="0" distB="0" distL="0" distR="0" wp14:anchorId="429A9D1D" wp14:editId="17BBAFE5">
            <wp:extent cx="5612130" cy="2895600"/>
            <wp:effectExtent l="19050" t="19050" r="2667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895600"/>
                    </a:xfrm>
                    <a:prstGeom prst="rect">
                      <a:avLst/>
                    </a:prstGeom>
                    <a:ln>
                      <a:solidFill>
                        <a:schemeClr val="accent1"/>
                      </a:solidFill>
                    </a:ln>
                  </pic:spPr>
                </pic:pic>
              </a:graphicData>
            </a:graphic>
          </wp:inline>
        </w:drawing>
      </w:r>
    </w:p>
    <w:p w14:paraId="699C98FB" w14:textId="40BF4F3F" w:rsidR="003F2862" w:rsidRPr="001234C1" w:rsidRDefault="003F2862" w:rsidP="003F2862">
      <w:pPr>
        <w:spacing w:line="360" w:lineRule="auto"/>
        <w:jc w:val="center"/>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w:t>
      </w:r>
    </w:p>
    <w:p w14:paraId="4F442CEB" w14:textId="3B37EEC3" w:rsidR="004C1633" w:rsidRPr="001234C1" w:rsidRDefault="003F2862"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noProof/>
          <w:sz w:val="22"/>
          <w:szCs w:val="22"/>
        </w:rPr>
        <w:drawing>
          <wp:inline distT="0" distB="0" distL="0" distR="0" wp14:anchorId="6BCF73C6" wp14:editId="39CF87E1">
            <wp:extent cx="5612130" cy="3067050"/>
            <wp:effectExtent l="19050" t="19050" r="2667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067050"/>
                    </a:xfrm>
                    <a:prstGeom prst="rect">
                      <a:avLst/>
                    </a:prstGeom>
                    <a:ln>
                      <a:solidFill>
                        <a:schemeClr val="accent1"/>
                      </a:solidFill>
                    </a:ln>
                  </pic:spPr>
                </pic:pic>
              </a:graphicData>
            </a:graphic>
          </wp:inline>
        </w:drawing>
      </w:r>
    </w:p>
    <w:p w14:paraId="1309FCFE" w14:textId="207D2E09" w:rsidR="003F2862" w:rsidRPr="001234C1" w:rsidRDefault="003F2862" w:rsidP="000813FF">
      <w:pPr>
        <w:spacing w:line="360" w:lineRule="auto"/>
        <w:jc w:val="both"/>
        <w:rPr>
          <w:rFonts w:ascii="Palatino Linotype" w:eastAsia="Palatino Linotype" w:hAnsi="Palatino Linotype" w:cs="Palatino Linotype"/>
          <w:sz w:val="22"/>
          <w:szCs w:val="22"/>
        </w:rPr>
      </w:pPr>
    </w:p>
    <w:p w14:paraId="72FF8701" w14:textId="77777777" w:rsidR="00EE5BEE" w:rsidRPr="001234C1" w:rsidRDefault="00EE5BEE" w:rsidP="00EE5BEE">
      <w:pPr>
        <w:spacing w:line="360" w:lineRule="auto"/>
        <w:jc w:val="both"/>
        <w:rPr>
          <w:rFonts w:ascii="Palatino Linotype" w:eastAsia="Palatino Linotype" w:hAnsi="Palatino Linotype" w:cs="Palatino Linotype"/>
          <w:sz w:val="22"/>
        </w:rPr>
      </w:pPr>
      <w:r w:rsidRPr="001234C1">
        <w:rPr>
          <w:rFonts w:ascii="Palatino Linotype" w:eastAsia="Palatino Linotype" w:hAnsi="Palatino Linotype" w:cs="Palatino Linotype"/>
          <w:sz w:val="22"/>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w:t>
      </w:r>
      <w:r w:rsidRPr="001234C1">
        <w:rPr>
          <w:rFonts w:ascii="Palatino Linotype" w:eastAsia="Palatino Linotype" w:hAnsi="Palatino Linotype" w:cs="Palatino Linotype"/>
          <w:sz w:val="22"/>
        </w:rPr>
        <w:lastRenderedPageBreak/>
        <w:t xml:space="preserve">en el Tomo II, página 541, en Diciembre de mil novecientos noventa y cinco, de la Novena Época, titulada </w:t>
      </w:r>
      <w:r w:rsidRPr="001234C1">
        <w:rPr>
          <w:rFonts w:ascii="Palatino Linotype" w:eastAsia="Palatino Linotype" w:hAnsi="Palatino Linotype" w:cs="Palatino Linotype"/>
          <w:b/>
          <w:i/>
          <w:sz w:val="22"/>
        </w:rPr>
        <w:t>“NOTAS PERIODISTICAS, EL CONOCIMIENTO QUE DE ELLAS SE OBTIENE NO CONSTITUYE ‘UN HECHO PUBLICO Y NOTORIO’”</w:t>
      </w:r>
      <w:r w:rsidRPr="001234C1">
        <w:rPr>
          <w:rFonts w:ascii="Palatino Linotype" w:eastAsia="Palatino Linotype" w:hAnsi="Palatino Linotype" w:cs="Palatino Linotype"/>
          <w:sz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w:t>
      </w:r>
    </w:p>
    <w:p w14:paraId="4FEB3802" w14:textId="77777777" w:rsidR="00EE5BEE" w:rsidRPr="001234C1" w:rsidRDefault="00EE5BEE" w:rsidP="00EE5BEE">
      <w:pPr>
        <w:spacing w:line="360" w:lineRule="auto"/>
        <w:jc w:val="both"/>
        <w:rPr>
          <w:rFonts w:ascii="Palatino Linotype" w:eastAsia="Palatino Linotype" w:hAnsi="Palatino Linotype" w:cs="Palatino Linotype"/>
          <w:sz w:val="22"/>
        </w:rPr>
      </w:pPr>
    </w:p>
    <w:p w14:paraId="6D08A590" w14:textId="6FE2C77C" w:rsidR="00EE5BEE" w:rsidRPr="001234C1" w:rsidRDefault="00EE5BEE" w:rsidP="00EE5BEE">
      <w:pPr>
        <w:spacing w:line="360" w:lineRule="auto"/>
        <w:jc w:val="both"/>
        <w:rPr>
          <w:rFonts w:ascii="Palatino Linotype" w:eastAsia="Palatino Linotype" w:hAnsi="Palatino Linotype" w:cs="Palatino Linotype"/>
          <w:sz w:val="22"/>
        </w:rPr>
      </w:pPr>
      <w:r w:rsidRPr="001234C1">
        <w:rPr>
          <w:rFonts w:ascii="Palatino Linotype" w:eastAsia="Palatino Linotype" w:hAnsi="Palatino Linotype" w:cs="Palatino Linotype"/>
          <w:sz w:val="22"/>
        </w:rPr>
        <w:t xml:space="preserve">De tal situación, si bien lo consignado en las notas periodísticas no constituye un hecho público o notorio, sino una opinión de su autor, las mismas se toman como </w:t>
      </w:r>
      <w:r w:rsidRPr="001234C1">
        <w:rPr>
          <w:rFonts w:ascii="Palatino Linotype" w:eastAsia="Palatino Linotype" w:hAnsi="Palatino Linotype" w:cs="Palatino Linotype"/>
          <w:b/>
          <w:sz w:val="22"/>
        </w:rPr>
        <w:t xml:space="preserve">indicios, </w:t>
      </w:r>
      <w:r w:rsidRPr="001234C1">
        <w:rPr>
          <w:rFonts w:ascii="Palatino Linotype" w:eastAsia="Palatino Linotype" w:hAnsi="Palatino Linotype" w:cs="Palatino Linotype"/>
          <w:sz w:val="22"/>
        </w:rPr>
        <w:t>que permiten observar que ha habido irregularidades de que en el ejercicio 2021 no se gestionaron recursos públicos financieros del FEFOM 2021 por la administración pública municipal del Ayuntamiento de Toluca; y, que fueron cancelados folios de proyectos de dicho fondo, aparentemente de manera ilegal.</w:t>
      </w:r>
    </w:p>
    <w:p w14:paraId="305FD4D8" w14:textId="77777777" w:rsidR="00EE5BEE" w:rsidRPr="001234C1" w:rsidRDefault="00EE5BEE" w:rsidP="00EE5BEE">
      <w:pPr>
        <w:spacing w:line="360" w:lineRule="auto"/>
        <w:jc w:val="both"/>
        <w:rPr>
          <w:rFonts w:ascii="Palatino Linotype" w:eastAsia="Palatino Linotype" w:hAnsi="Palatino Linotype" w:cs="Palatino Linotype"/>
          <w:sz w:val="22"/>
        </w:rPr>
      </w:pPr>
    </w:p>
    <w:p w14:paraId="64715C28" w14:textId="3C6D7B0C" w:rsidR="000813FF" w:rsidRPr="001234C1" w:rsidRDefault="00EE5BEE"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Por lo tanto, al existir indicios de que fueron cancelados folios de proyectos financiados con el FEFOM en el ejercicio 2021 por la administración pública municipal de Toluca, </w:t>
      </w:r>
      <w:r w:rsidR="000813FF" w:rsidRPr="001234C1">
        <w:rPr>
          <w:rFonts w:ascii="Palatino Linotype" w:eastAsia="Palatino Linotype" w:hAnsi="Palatino Linotype" w:cs="Palatino Linotype"/>
          <w:sz w:val="22"/>
          <w:szCs w:val="22"/>
        </w:rPr>
        <w:t xml:space="preserve">a criterio de este Órgano Garante resultan </w:t>
      </w:r>
      <w:r w:rsidRPr="001234C1">
        <w:rPr>
          <w:rFonts w:ascii="Palatino Linotype" w:eastAsia="Palatino Linotype" w:hAnsi="Palatino Linotype" w:cs="Palatino Linotype"/>
          <w:sz w:val="22"/>
          <w:szCs w:val="22"/>
        </w:rPr>
        <w:t xml:space="preserve">parcialmente </w:t>
      </w:r>
      <w:r w:rsidR="000813FF" w:rsidRPr="001234C1">
        <w:rPr>
          <w:rFonts w:ascii="Palatino Linotype" w:eastAsia="Palatino Linotype" w:hAnsi="Palatino Linotype" w:cs="Palatino Linotype"/>
          <w:sz w:val="22"/>
          <w:szCs w:val="22"/>
        </w:rPr>
        <w:t xml:space="preserve">fundados los motivos de inconformidad hechos valer por  la parte </w:t>
      </w:r>
      <w:r w:rsidR="000813FF" w:rsidRPr="001234C1">
        <w:rPr>
          <w:rFonts w:ascii="Palatino Linotype" w:eastAsia="Palatino Linotype" w:hAnsi="Palatino Linotype" w:cs="Palatino Linotype"/>
          <w:b/>
          <w:sz w:val="22"/>
          <w:szCs w:val="22"/>
        </w:rPr>
        <w:t xml:space="preserve">Recurrente, </w:t>
      </w:r>
      <w:r w:rsidR="000813FF" w:rsidRPr="001234C1">
        <w:rPr>
          <w:rFonts w:ascii="Palatino Linotype" w:eastAsia="Palatino Linotype" w:hAnsi="Palatino Linotype" w:cs="Palatino Linotype"/>
          <w:sz w:val="22"/>
          <w:szCs w:val="22"/>
        </w:rPr>
        <w:t xml:space="preserve">siendo procedente </w:t>
      </w:r>
      <w:r w:rsidR="000813FF" w:rsidRPr="001234C1">
        <w:rPr>
          <w:rFonts w:ascii="Palatino Linotype" w:eastAsia="Palatino Linotype" w:hAnsi="Palatino Linotype" w:cs="Palatino Linotype"/>
          <w:b/>
          <w:sz w:val="22"/>
          <w:szCs w:val="22"/>
        </w:rPr>
        <w:t xml:space="preserve">Revocar </w:t>
      </w:r>
      <w:r w:rsidR="000813FF" w:rsidRPr="001234C1">
        <w:rPr>
          <w:rFonts w:ascii="Palatino Linotype" w:eastAsia="Palatino Linotype" w:hAnsi="Palatino Linotype" w:cs="Palatino Linotype"/>
          <w:sz w:val="22"/>
          <w:szCs w:val="22"/>
        </w:rPr>
        <w:t xml:space="preserve">la respuesta del </w:t>
      </w:r>
      <w:r w:rsidR="000813FF" w:rsidRPr="001234C1">
        <w:rPr>
          <w:rFonts w:ascii="Palatino Linotype" w:eastAsia="Palatino Linotype" w:hAnsi="Palatino Linotype" w:cs="Palatino Linotype"/>
          <w:b/>
          <w:sz w:val="22"/>
          <w:szCs w:val="22"/>
        </w:rPr>
        <w:t xml:space="preserve">Sujeto Obligado </w:t>
      </w:r>
      <w:r w:rsidR="000813FF" w:rsidRPr="001234C1">
        <w:rPr>
          <w:rFonts w:ascii="Palatino Linotype" w:eastAsia="Palatino Linotype" w:hAnsi="Palatino Linotype" w:cs="Palatino Linotype"/>
          <w:sz w:val="22"/>
          <w:szCs w:val="22"/>
        </w:rPr>
        <w:t>y ordenar que, previa búsqueda exhaustiva y razonable se entregue, de ser procedente en versión pública, lo siguiente:</w:t>
      </w:r>
    </w:p>
    <w:p w14:paraId="6BE9450B"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09428FEE" w14:textId="5898AC04" w:rsidR="000813FF" w:rsidRPr="001234C1" w:rsidRDefault="00EE5BEE" w:rsidP="00EE5BEE">
      <w:pPr>
        <w:pStyle w:val="Prrafodelista"/>
        <w:numPr>
          <w:ilvl w:val="0"/>
          <w:numId w:val="8"/>
        </w:numPr>
        <w:spacing w:line="360" w:lineRule="auto"/>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bCs/>
          <w:sz w:val="22"/>
          <w:szCs w:val="22"/>
        </w:rPr>
        <w:t>El o los documentos a través de los cuales el Tesorero Municipal solicitó al Presidente Municipal de Toluca de la Administración Pública Municipal 2019-2021, la cancelación de los folios de los proyectos financiados con recursos del FEFOM 2021.</w:t>
      </w:r>
    </w:p>
    <w:p w14:paraId="6CE6731B" w14:textId="649AB427" w:rsidR="002E6894" w:rsidRPr="001234C1" w:rsidRDefault="000813FF" w:rsidP="002E6894">
      <w:pPr>
        <w:spacing w:line="360" w:lineRule="auto"/>
        <w:ind w:right="-91"/>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lastRenderedPageBreak/>
        <w:t xml:space="preserve">Sin embargo, para el caso de que no se llegara a generar, administrar y/o poseer la información que se ordena, </w:t>
      </w:r>
      <w:r w:rsidRPr="001234C1">
        <w:rPr>
          <w:rFonts w:ascii="Palatino Linotype" w:eastAsia="Palatino Linotype" w:hAnsi="Palatino Linotype" w:cs="Palatino Linotype"/>
          <w:b/>
          <w:sz w:val="22"/>
          <w:szCs w:val="22"/>
        </w:rPr>
        <w:t xml:space="preserve">al no haberse </w:t>
      </w:r>
      <w:r w:rsidR="00EE5BEE" w:rsidRPr="001234C1">
        <w:rPr>
          <w:rFonts w:ascii="Palatino Linotype" w:eastAsia="Palatino Linotype" w:hAnsi="Palatino Linotype" w:cs="Palatino Linotype"/>
          <w:b/>
          <w:sz w:val="22"/>
          <w:szCs w:val="22"/>
        </w:rPr>
        <w:t xml:space="preserve">realizado solicitud del Tesorero Municipal al Presidente Municipal de la </w:t>
      </w:r>
      <w:r w:rsidR="002E6894" w:rsidRPr="001234C1">
        <w:rPr>
          <w:rFonts w:ascii="Palatino Linotype" w:eastAsia="Palatino Linotype" w:hAnsi="Palatino Linotype" w:cs="Palatino Linotype"/>
          <w:b/>
          <w:bCs/>
          <w:sz w:val="22"/>
          <w:szCs w:val="22"/>
        </w:rPr>
        <w:t xml:space="preserve">Administración Pública Municipal 2019-2021, </w:t>
      </w:r>
      <w:r w:rsidR="00EE5BEE" w:rsidRPr="001234C1">
        <w:rPr>
          <w:rFonts w:ascii="Palatino Linotype" w:eastAsia="Palatino Linotype" w:hAnsi="Palatino Linotype" w:cs="Palatino Linotype"/>
          <w:b/>
          <w:sz w:val="22"/>
          <w:szCs w:val="22"/>
        </w:rPr>
        <w:t>para llevar a cabo la cancelación de folios de proyectos financiados con el FEFOM 2021</w:t>
      </w:r>
      <w:r w:rsidR="00EE5BEE" w:rsidRPr="001234C1">
        <w:rPr>
          <w:rFonts w:ascii="Palatino Linotype" w:eastAsia="Palatino Linotype" w:hAnsi="Palatino Linotype" w:cs="Palatino Linotype"/>
          <w:sz w:val="22"/>
          <w:szCs w:val="22"/>
        </w:rPr>
        <w:t xml:space="preserve">, </w:t>
      </w:r>
      <w:r w:rsidR="002E6894" w:rsidRPr="001234C1">
        <w:rPr>
          <w:rFonts w:ascii="Palatino Linotype" w:eastAsia="Palatino Linotype" w:hAnsi="Palatino Linotype" w:cs="Palatino Linotype"/>
          <w:sz w:val="22"/>
          <w:szCs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FDAC260" w14:textId="77777777" w:rsidR="002E6894" w:rsidRPr="001234C1" w:rsidRDefault="002E6894" w:rsidP="002E6894">
      <w:pPr>
        <w:spacing w:line="360" w:lineRule="auto"/>
        <w:ind w:right="-91"/>
        <w:jc w:val="both"/>
        <w:rPr>
          <w:rFonts w:ascii="Palatino Linotype" w:eastAsia="Palatino Linotype" w:hAnsi="Palatino Linotype" w:cs="Palatino Linotype"/>
          <w:sz w:val="22"/>
          <w:szCs w:val="22"/>
        </w:rPr>
      </w:pPr>
    </w:p>
    <w:p w14:paraId="665FC88C" w14:textId="77777777" w:rsidR="002E6894" w:rsidRPr="001234C1" w:rsidRDefault="002E6894" w:rsidP="002E6894">
      <w:pPr>
        <w:spacing w:line="276" w:lineRule="auto"/>
        <w:ind w:left="851"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Artículo 19</w:t>
      </w:r>
      <w:r w:rsidRPr="001234C1">
        <w:rPr>
          <w:rFonts w:ascii="Palatino Linotype" w:eastAsia="Palatino Linotype" w:hAnsi="Palatino Linotype" w:cs="Palatino Linotype"/>
          <w:i/>
          <w:sz w:val="22"/>
          <w:szCs w:val="22"/>
        </w:rPr>
        <w:t>…</w:t>
      </w:r>
    </w:p>
    <w:p w14:paraId="039D7D60" w14:textId="77777777" w:rsidR="002E6894" w:rsidRPr="001234C1" w:rsidRDefault="002E6894" w:rsidP="002E6894">
      <w:pPr>
        <w:spacing w:line="276" w:lineRule="auto"/>
        <w:ind w:left="851" w:right="616"/>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BDF8F89" w14:textId="77777777" w:rsidR="002E6894" w:rsidRPr="001234C1" w:rsidRDefault="002E6894" w:rsidP="002E6894">
      <w:pPr>
        <w:ind w:left="851" w:right="616"/>
        <w:jc w:val="both"/>
        <w:rPr>
          <w:rFonts w:ascii="Palatino Linotype" w:eastAsia="Palatino Linotype" w:hAnsi="Palatino Linotype" w:cs="Palatino Linotype"/>
          <w:i/>
          <w:sz w:val="22"/>
          <w:szCs w:val="22"/>
        </w:rPr>
      </w:pPr>
    </w:p>
    <w:p w14:paraId="5A92556E" w14:textId="77777777" w:rsidR="002E6894" w:rsidRPr="001234C1" w:rsidRDefault="002E6894" w:rsidP="002E6894">
      <w:pPr>
        <w:spacing w:line="360" w:lineRule="auto"/>
        <w:ind w:right="-91"/>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763B965" w14:textId="77777777" w:rsidR="002E6894" w:rsidRPr="001234C1" w:rsidRDefault="002E6894" w:rsidP="000813FF">
      <w:pPr>
        <w:spacing w:line="360" w:lineRule="auto"/>
        <w:ind w:right="49"/>
        <w:jc w:val="both"/>
        <w:rPr>
          <w:rFonts w:ascii="Palatino Linotype" w:eastAsia="Palatino Linotype" w:hAnsi="Palatino Linotype" w:cs="Palatino Linotype"/>
          <w:b/>
          <w:sz w:val="22"/>
          <w:szCs w:val="22"/>
        </w:rPr>
      </w:pPr>
    </w:p>
    <w:p w14:paraId="69D21211" w14:textId="77777777" w:rsidR="000813FF" w:rsidRPr="001234C1" w:rsidRDefault="000813FF" w:rsidP="000813FF">
      <w:pP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 xml:space="preserve">Quinto. Versión Pública. </w:t>
      </w:r>
      <w:r w:rsidRPr="001234C1">
        <w:rPr>
          <w:rFonts w:ascii="Palatino Linotype" w:eastAsia="Palatino Linotype" w:hAnsi="Palatino Linotype" w:cs="Palatino Linotype"/>
          <w:sz w:val="22"/>
          <w:szCs w:val="22"/>
        </w:rPr>
        <w:t xml:space="preserve">Finalmente para la entrega del soporte documental que deberá proporcionar 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w:t>
      </w:r>
      <w:r w:rsidRPr="001234C1">
        <w:rPr>
          <w:rFonts w:ascii="Palatino Linotype" w:eastAsia="Palatino Linotype" w:hAnsi="Palatino Linotype" w:cs="Palatino Linotype"/>
          <w:sz w:val="22"/>
          <w:szCs w:val="22"/>
        </w:rPr>
        <w:lastRenderedPageBreak/>
        <w:t>acceso a la información pública de la recurrente sin menoscabar el derecho a la protección de los datos personales de terceros.</w:t>
      </w:r>
    </w:p>
    <w:p w14:paraId="3B0C08D1" w14:textId="77777777" w:rsidR="000813FF" w:rsidRPr="001234C1" w:rsidRDefault="000813FF" w:rsidP="000813FF">
      <w:pPr>
        <w:spacing w:line="360" w:lineRule="auto"/>
        <w:ind w:right="49"/>
        <w:jc w:val="both"/>
        <w:rPr>
          <w:rFonts w:ascii="Palatino Linotype" w:eastAsia="Palatino Linotype" w:hAnsi="Palatino Linotype" w:cs="Palatino Linotype"/>
          <w:sz w:val="22"/>
          <w:szCs w:val="22"/>
        </w:rPr>
      </w:pPr>
    </w:p>
    <w:p w14:paraId="57BB1051" w14:textId="77777777" w:rsidR="000813FF" w:rsidRPr="001234C1" w:rsidRDefault="000813FF" w:rsidP="000813FF">
      <w:pP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3E6DDDD3"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Artículo 3</w:t>
      </w:r>
      <w:r w:rsidRPr="001234C1">
        <w:rPr>
          <w:rFonts w:ascii="Palatino Linotype" w:eastAsia="Palatino Linotype" w:hAnsi="Palatino Linotype" w:cs="Palatino Linotype"/>
          <w:i/>
          <w:sz w:val="22"/>
          <w:szCs w:val="22"/>
        </w:rPr>
        <w:t>. Para los efectos de la presente Ley se entenderá por:</w:t>
      </w:r>
    </w:p>
    <w:p w14:paraId="17E3BECC"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p>
    <w:p w14:paraId="171B551B"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IX. Datos personales:</w:t>
      </w:r>
      <w:r w:rsidRPr="001234C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E9C9ABE"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XX. Información clasificada</w:t>
      </w:r>
      <w:r w:rsidRPr="001234C1">
        <w:rPr>
          <w:rFonts w:ascii="Palatino Linotype" w:eastAsia="Palatino Linotype" w:hAnsi="Palatino Linotype" w:cs="Palatino Linotype"/>
          <w:i/>
          <w:sz w:val="22"/>
          <w:szCs w:val="22"/>
        </w:rPr>
        <w:t>: Aquella considerada por la presente Ley como reservada o confidencial;</w:t>
      </w:r>
    </w:p>
    <w:p w14:paraId="28E92BC3"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XXI. Información confidencial:</w:t>
      </w:r>
      <w:r w:rsidRPr="001234C1">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440AF49"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XLV. Versión pública:</w:t>
      </w:r>
      <w:r w:rsidRPr="001234C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0913606"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p>
    <w:p w14:paraId="2DD247FE"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 xml:space="preserve">Artículo 91. </w:t>
      </w:r>
      <w:r w:rsidRPr="001234C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7209D82"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 xml:space="preserve">Artículo 132. </w:t>
      </w:r>
      <w:r w:rsidRPr="001234C1">
        <w:rPr>
          <w:rFonts w:ascii="Palatino Linotype" w:eastAsia="Palatino Linotype" w:hAnsi="Palatino Linotype" w:cs="Palatino Linotype"/>
          <w:i/>
          <w:sz w:val="22"/>
          <w:szCs w:val="22"/>
        </w:rPr>
        <w:t>La clasificación de la información se llevará a cabo en el momento en que:</w:t>
      </w:r>
    </w:p>
    <w:p w14:paraId="394773F2"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w:t>
      </w:r>
      <w:r w:rsidRPr="001234C1">
        <w:rPr>
          <w:rFonts w:ascii="Palatino Linotype" w:eastAsia="Palatino Linotype" w:hAnsi="Palatino Linotype" w:cs="Palatino Linotype"/>
          <w:i/>
          <w:sz w:val="22"/>
          <w:szCs w:val="22"/>
        </w:rPr>
        <w:t>. Se reciba una solicitud de acceso a la información;</w:t>
      </w:r>
    </w:p>
    <w:p w14:paraId="0537DE2A"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II</w:t>
      </w:r>
      <w:r w:rsidRPr="001234C1">
        <w:rPr>
          <w:rFonts w:ascii="Palatino Linotype" w:eastAsia="Palatino Linotype" w:hAnsi="Palatino Linotype" w:cs="Palatino Linotype"/>
          <w:i/>
          <w:sz w:val="22"/>
          <w:szCs w:val="22"/>
        </w:rPr>
        <w:t>. Se determine mediante resolución de autoridad competente; o</w:t>
      </w:r>
    </w:p>
    <w:p w14:paraId="4B529D2A"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III</w:t>
      </w:r>
      <w:r w:rsidRPr="001234C1">
        <w:rPr>
          <w:rFonts w:ascii="Palatino Linotype" w:eastAsia="Palatino Linotype" w:hAnsi="Palatino Linotype" w:cs="Palatino Linotype"/>
          <w:i/>
          <w:sz w:val="22"/>
          <w:szCs w:val="22"/>
        </w:rPr>
        <w:t>. Se generen versiones públicas para dar cumplimiento a las obligaciones de transparencia previstas en esta Ley.</w:t>
      </w:r>
    </w:p>
    <w:p w14:paraId="3B643F08"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p>
    <w:p w14:paraId="0FD2E988"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Artículo 143</w:t>
      </w:r>
      <w:r w:rsidRPr="001234C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955AECB"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w:t>
      </w:r>
      <w:r w:rsidRPr="001234C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71F77EA"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II.</w:t>
      </w:r>
      <w:r w:rsidRPr="001234C1">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D482180"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lastRenderedPageBreak/>
        <w:t>III</w:t>
      </w:r>
      <w:r w:rsidRPr="001234C1">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33A0F02"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55E7B98" w14:textId="77777777" w:rsidR="000813FF" w:rsidRPr="001234C1" w:rsidRDefault="000813FF" w:rsidP="000813FF">
      <w:pPr>
        <w:ind w:left="567"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4B85514"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5EA4CF75" w14:textId="586A13B9"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w:t>
      </w:r>
      <w:r w:rsidR="002F1BA5" w:rsidRPr="001234C1">
        <w:rPr>
          <w:rFonts w:ascii="Palatino Linotype" w:eastAsia="Palatino Linotype" w:hAnsi="Palatino Linotype" w:cs="Palatino Linotype"/>
          <w:sz w:val="22"/>
          <w:szCs w:val="22"/>
        </w:rPr>
        <w:t xml:space="preserve">vigentes a la fecha de la solicitud, </w:t>
      </w:r>
      <w:r w:rsidRPr="001234C1">
        <w:rPr>
          <w:rFonts w:ascii="Palatino Linotype" w:eastAsia="Palatino Linotype" w:hAnsi="Palatino Linotype" w:cs="Palatino Linotype"/>
          <w:sz w:val="22"/>
          <w:szCs w:val="22"/>
        </w:rPr>
        <w:t>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B7AA9F"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68197DE9" w14:textId="60B06561"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Entorno a lo que aquí nos interesa, los Lineamientos Quincuagésimo, Quincuagésimo primero, Quincuagésimo segundo, Quincuagésimo cuarto y Quincuagésimo quinto</w:t>
      </w:r>
      <w:r w:rsidR="002F1BA5" w:rsidRPr="001234C1">
        <w:rPr>
          <w:rFonts w:ascii="Palatino Linotype" w:eastAsia="Palatino Linotype" w:hAnsi="Palatino Linotype" w:cs="Palatino Linotype"/>
          <w:sz w:val="22"/>
          <w:szCs w:val="22"/>
        </w:rPr>
        <w:t xml:space="preserve">, vigentes a la fecha de la solicitud, </w:t>
      </w:r>
      <w:r w:rsidRPr="001234C1">
        <w:rPr>
          <w:rFonts w:ascii="Palatino Linotype" w:eastAsia="Palatino Linotype" w:hAnsi="Palatino Linotype" w:cs="Palatino Linotype"/>
          <w:sz w:val="22"/>
          <w:szCs w:val="22"/>
        </w:rPr>
        <w:t xml:space="preserve">señalan las formalidades que deberá llevar el acuerdo de clasificación que deberá emitir 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siendo estas las siguientes:</w:t>
      </w:r>
    </w:p>
    <w:p w14:paraId="35004011"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65A69FA5" w14:textId="77777777" w:rsidR="000813FF" w:rsidRPr="001234C1" w:rsidRDefault="000813FF" w:rsidP="000813FF">
      <w:pPr>
        <w:spacing w:line="276" w:lineRule="auto"/>
        <w:ind w:left="567"/>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“CAPÍTULO VIII </w:t>
      </w:r>
    </w:p>
    <w:p w14:paraId="4447641E" w14:textId="77777777" w:rsidR="000813FF" w:rsidRPr="001234C1" w:rsidRDefault="000813FF" w:rsidP="000813FF">
      <w:pPr>
        <w:spacing w:line="276" w:lineRule="auto"/>
        <w:ind w:left="567"/>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DE LOS ELEMENTOS PARA LA CLASIFICACIÓN </w:t>
      </w:r>
    </w:p>
    <w:p w14:paraId="01D8B150"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 xml:space="preserve">Quincuagésimo. </w:t>
      </w:r>
      <w:r w:rsidRPr="001234C1">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116F871"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 xml:space="preserve">Quincuagésimo primero. </w:t>
      </w:r>
      <w:r w:rsidRPr="001234C1">
        <w:rPr>
          <w:rFonts w:ascii="Palatino Linotype" w:eastAsia="Palatino Linotype" w:hAnsi="Palatino Linotype" w:cs="Palatino Linotype"/>
          <w:i/>
          <w:sz w:val="22"/>
          <w:szCs w:val="22"/>
        </w:rPr>
        <w:t xml:space="preserve">Toda acta del Comité de Transparencia deberá contener: </w:t>
      </w:r>
    </w:p>
    <w:p w14:paraId="1945F19B"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lastRenderedPageBreak/>
        <w:t xml:space="preserve">I. El número de sesión y fecha; </w:t>
      </w:r>
    </w:p>
    <w:p w14:paraId="2B5276BD"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II. El nombre del área que solicitó la clasificación de información; </w:t>
      </w:r>
    </w:p>
    <w:p w14:paraId="15A209AE"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III. La fundamentación legal y motivación correspondiente; </w:t>
      </w:r>
    </w:p>
    <w:p w14:paraId="045A0399"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IV. La resolución o resoluciones aprobadas; y </w:t>
      </w:r>
    </w:p>
    <w:p w14:paraId="0C48BE94"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V. La rúbrica o firma digital de cada integrante del Comité de Transparencia. </w:t>
      </w:r>
    </w:p>
    <w:p w14:paraId="5DC3FDDE"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p>
    <w:p w14:paraId="42EF2024"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u w:val="single"/>
        </w:rPr>
      </w:pPr>
      <w:r w:rsidRPr="001234C1">
        <w:rPr>
          <w:rFonts w:ascii="Palatino Linotype" w:eastAsia="Palatino Linotype" w:hAnsi="Palatino Linotype" w:cs="Palatino Linotype"/>
          <w:i/>
          <w:sz w:val="22"/>
          <w:szCs w:val="22"/>
        </w:rPr>
        <w:t xml:space="preserve">En los casos de resoluciones del Comité de Transparencia en las que se </w:t>
      </w:r>
      <w:r w:rsidRPr="001234C1">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AB0CD88"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Quincuagésimo segundo. </w:t>
      </w:r>
      <w:r w:rsidRPr="001234C1">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1234C1">
        <w:rPr>
          <w:rFonts w:ascii="Palatino Linotype" w:eastAsia="Palatino Linotype" w:hAnsi="Palatino Linotype" w:cs="Palatino Linotype"/>
          <w:b/>
          <w:i/>
          <w:sz w:val="22"/>
          <w:szCs w:val="22"/>
        </w:rPr>
        <w:t>confidencial,</w:t>
      </w:r>
      <w:r w:rsidRPr="001234C1">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BC9CD0D"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7CC1BC1"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5C517F26"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D87ABF2"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III. Señalar las personas o instancias autorizadas a acceder a la información clasificada. </w:t>
      </w:r>
    </w:p>
    <w:p w14:paraId="18DC4646"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1234C1">
        <w:rPr>
          <w:rFonts w:ascii="Palatino Linotype" w:eastAsia="Palatino Linotype" w:hAnsi="Palatino Linotype" w:cs="Palatino Linotype"/>
          <w:b/>
          <w:i/>
          <w:sz w:val="22"/>
          <w:szCs w:val="22"/>
          <w:u w:val="single"/>
        </w:rPr>
        <w:t>información confidencial.</w:t>
      </w:r>
      <w:r w:rsidRPr="001234C1">
        <w:rPr>
          <w:rFonts w:ascii="Palatino Linotype" w:eastAsia="Palatino Linotype" w:hAnsi="Palatino Linotype" w:cs="Palatino Linotype"/>
          <w:i/>
          <w:sz w:val="22"/>
          <w:szCs w:val="22"/>
        </w:rPr>
        <w:t xml:space="preserve"> </w:t>
      </w:r>
    </w:p>
    <w:p w14:paraId="5580995C"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w:t>
      </w:r>
    </w:p>
    <w:p w14:paraId="41884586" w14:textId="77777777" w:rsidR="000813FF" w:rsidRPr="001234C1" w:rsidRDefault="000813FF" w:rsidP="000813FF">
      <w:pPr>
        <w:spacing w:line="276" w:lineRule="auto"/>
        <w:ind w:left="567" w:right="900"/>
        <w:jc w:val="both"/>
        <w:rPr>
          <w:rFonts w:ascii="Palatino Linotype" w:eastAsia="Palatino Linotype" w:hAnsi="Palatino Linotype" w:cs="Palatino Linotype"/>
          <w:b/>
          <w:i/>
          <w:sz w:val="22"/>
          <w:szCs w:val="22"/>
        </w:rPr>
      </w:pPr>
      <w:r w:rsidRPr="001234C1">
        <w:rPr>
          <w:rFonts w:ascii="Palatino Linotype" w:eastAsia="Palatino Linotype" w:hAnsi="Palatino Linotype" w:cs="Palatino Linotype"/>
          <w:b/>
          <w:i/>
          <w:sz w:val="22"/>
          <w:szCs w:val="22"/>
        </w:rPr>
        <w:t xml:space="preserve">Quincuagésimo cuarto. </w:t>
      </w:r>
      <w:r w:rsidRPr="001234C1">
        <w:rPr>
          <w:rFonts w:ascii="Palatino Linotype" w:eastAsia="Palatino Linotype" w:hAnsi="Palatino Linotype" w:cs="Palatino Linotype"/>
          <w:i/>
          <w:sz w:val="22"/>
          <w:szCs w:val="22"/>
        </w:rPr>
        <w:t xml:space="preserve">Cuando el Comité de Transparencia confirme la clasificación de documentos reservados y/o </w:t>
      </w:r>
      <w:r w:rsidRPr="001234C1">
        <w:rPr>
          <w:rFonts w:ascii="Palatino Linotype" w:eastAsia="Palatino Linotype" w:hAnsi="Palatino Linotype" w:cs="Palatino Linotype"/>
          <w:b/>
          <w:i/>
          <w:sz w:val="22"/>
          <w:szCs w:val="22"/>
        </w:rPr>
        <w:t>confidenciales</w:t>
      </w:r>
      <w:r w:rsidRPr="001234C1">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234C1">
        <w:rPr>
          <w:rFonts w:ascii="Palatino Linotype" w:eastAsia="Palatino Linotype" w:hAnsi="Palatino Linotype" w:cs="Palatino Linotype"/>
          <w:b/>
          <w:i/>
          <w:sz w:val="22"/>
          <w:szCs w:val="22"/>
        </w:rPr>
        <w:t xml:space="preserve"> </w:t>
      </w:r>
    </w:p>
    <w:p w14:paraId="23DFFD20" w14:textId="77777777" w:rsidR="000813FF" w:rsidRPr="001234C1" w:rsidRDefault="000813FF" w:rsidP="000813FF">
      <w:pPr>
        <w:spacing w:line="276" w:lineRule="auto"/>
        <w:ind w:left="567" w:right="900"/>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lastRenderedPageBreak/>
        <w:t xml:space="preserve">Quincuagésimo quinto. </w:t>
      </w:r>
      <w:r w:rsidRPr="001234C1">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1234C1">
        <w:rPr>
          <w:rFonts w:ascii="Palatino Linotype" w:eastAsia="Palatino Linotype" w:hAnsi="Palatino Linotype" w:cs="Palatino Linotype"/>
          <w:i/>
          <w:sz w:val="22"/>
          <w:szCs w:val="22"/>
        </w:rPr>
        <w:t>testado</w:t>
      </w:r>
      <w:proofErr w:type="spellEnd"/>
      <w:r w:rsidRPr="001234C1">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2FE6720"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54C720CC" w14:textId="19733DA7"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Entorno a lo que aquí nos interesa, los Lineamientos Quincuagésimo sexto, Quincuagésimo séptimo y Quincuagésimo octavo, </w:t>
      </w:r>
      <w:r w:rsidR="002F1BA5" w:rsidRPr="001234C1">
        <w:rPr>
          <w:rFonts w:ascii="Palatino Linotype" w:eastAsia="Palatino Linotype" w:hAnsi="Palatino Linotype" w:cs="Palatino Linotype"/>
          <w:sz w:val="22"/>
          <w:szCs w:val="22"/>
        </w:rPr>
        <w:t xml:space="preserve">vigentes a la fecha de la solicitud, </w:t>
      </w:r>
      <w:r w:rsidRPr="001234C1">
        <w:rPr>
          <w:rFonts w:ascii="Palatino Linotype" w:eastAsia="Palatino Linotype" w:hAnsi="Palatino Linotype" w:cs="Palatino Linotype"/>
          <w:sz w:val="22"/>
          <w:szCs w:val="22"/>
        </w:rPr>
        <w:t>establecen lo siguiente:</w:t>
      </w:r>
    </w:p>
    <w:p w14:paraId="76421AB5"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61078178" w14:textId="77777777" w:rsidR="000813FF" w:rsidRPr="001234C1" w:rsidRDefault="000813FF" w:rsidP="000813FF">
      <w:pPr>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w:t>
      </w:r>
      <w:r w:rsidRPr="001234C1">
        <w:rPr>
          <w:rFonts w:ascii="Palatino Linotype" w:eastAsia="Palatino Linotype" w:hAnsi="Palatino Linotype" w:cs="Palatino Linotype"/>
          <w:b/>
          <w:i/>
          <w:sz w:val="22"/>
          <w:szCs w:val="22"/>
        </w:rPr>
        <w:t>Quincuagésimo sexto.</w:t>
      </w:r>
      <w:r w:rsidRPr="001234C1">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7FED233" w14:textId="77777777" w:rsidR="000813FF" w:rsidRPr="001234C1" w:rsidRDefault="000813FF" w:rsidP="000813FF">
      <w:pPr>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Quincuagésimo séptimo.</w:t>
      </w:r>
      <w:r w:rsidRPr="001234C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5D2E72A" w14:textId="77777777" w:rsidR="000813FF" w:rsidRPr="001234C1" w:rsidRDefault="000813FF" w:rsidP="000813FF">
      <w:pPr>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w:t>
      </w:r>
      <w:r w:rsidRPr="001234C1">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6FAFAD2" w14:textId="77777777" w:rsidR="000813FF" w:rsidRPr="001234C1" w:rsidRDefault="000813FF" w:rsidP="000813FF">
      <w:pPr>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II.</w:t>
      </w:r>
      <w:r w:rsidRPr="001234C1">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6575057B" w14:textId="77777777" w:rsidR="000813FF" w:rsidRPr="001234C1" w:rsidRDefault="000813FF" w:rsidP="000813FF">
      <w:pPr>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III.</w:t>
      </w:r>
      <w:r w:rsidRPr="001234C1">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55602C8E" w14:textId="77777777" w:rsidR="000813FF" w:rsidRPr="001234C1" w:rsidRDefault="000813FF" w:rsidP="000813FF">
      <w:pPr>
        <w:spacing w:line="276" w:lineRule="auto"/>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659A1A80" w14:textId="77777777" w:rsidR="000813FF" w:rsidRPr="001234C1" w:rsidRDefault="000813FF" w:rsidP="000813FF">
      <w:pPr>
        <w:spacing w:line="276" w:lineRule="auto"/>
        <w:ind w:left="851" w:right="902"/>
        <w:jc w:val="both"/>
        <w:rPr>
          <w:rFonts w:ascii="Palatino Linotype" w:eastAsia="Palatino Linotype" w:hAnsi="Palatino Linotype" w:cs="Palatino Linotype"/>
          <w:i/>
          <w:sz w:val="22"/>
          <w:szCs w:val="22"/>
        </w:rPr>
      </w:pPr>
      <w:r w:rsidRPr="001234C1">
        <w:rPr>
          <w:rFonts w:ascii="Palatino Linotype" w:eastAsia="Palatino Linotype" w:hAnsi="Palatino Linotype" w:cs="Palatino Linotype"/>
          <w:b/>
          <w:i/>
          <w:sz w:val="22"/>
          <w:szCs w:val="22"/>
        </w:rPr>
        <w:t>Quincuagésimo octavo</w:t>
      </w:r>
      <w:r w:rsidRPr="001234C1">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63F79550" w14:textId="77777777" w:rsidR="000813FF" w:rsidRPr="001234C1" w:rsidRDefault="000813FF" w:rsidP="000813FF">
      <w:pPr>
        <w:spacing w:line="360" w:lineRule="auto"/>
        <w:ind w:left="851" w:right="902"/>
        <w:jc w:val="both"/>
        <w:rPr>
          <w:rFonts w:ascii="Palatino Linotype" w:eastAsia="Palatino Linotype" w:hAnsi="Palatino Linotype" w:cs="Palatino Linotype"/>
          <w:i/>
          <w:sz w:val="22"/>
          <w:szCs w:val="22"/>
        </w:rPr>
      </w:pPr>
    </w:p>
    <w:p w14:paraId="6B89A89B" w14:textId="437E3C0E" w:rsidR="000813FF" w:rsidRPr="001234C1" w:rsidRDefault="000813FF" w:rsidP="00EE5BEE">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w:t>
      </w:r>
      <w:r w:rsidRPr="001234C1">
        <w:rPr>
          <w:rFonts w:ascii="Palatino Linotype" w:eastAsia="Palatino Linotype" w:hAnsi="Palatino Linotype" w:cs="Palatino Linotype"/>
          <w:sz w:val="22"/>
          <w:szCs w:val="22"/>
        </w:rPr>
        <w:lastRenderedPageBreak/>
        <w:t>en la Ley de Transparencia y Acceso a la Información Pública del Estado de México y Municipios, se consideran confidenciales cuyo acceso debe ser restringido, los cuales deben testarse al momento de la elaboración de versiones públicas</w:t>
      </w:r>
      <w:r w:rsidR="00EE5BEE" w:rsidRPr="001234C1">
        <w:rPr>
          <w:rFonts w:ascii="Palatino Linotype" w:eastAsia="Palatino Linotype" w:hAnsi="Palatino Linotype" w:cs="Palatino Linotype"/>
          <w:sz w:val="22"/>
          <w:szCs w:val="22"/>
        </w:rPr>
        <w:t>.</w:t>
      </w:r>
    </w:p>
    <w:p w14:paraId="1B164117"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3FCBCFB8"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8ECA0CF" w14:textId="77777777" w:rsidR="000813FF" w:rsidRPr="001234C1" w:rsidRDefault="000813FF" w:rsidP="000813FF">
      <w:pPr>
        <w:spacing w:line="360" w:lineRule="auto"/>
        <w:jc w:val="both"/>
        <w:rPr>
          <w:rFonts w:ascii="Palatino Linotype" w:eastAsia="Palatino Linotype" w:hAnsi="Palatino Linotype" w:cs="Palatino Linotype"/>
          <w:b/>
          <w:sz w:val="22"/>
          <w:szCs w:val="22"/>
        </w:rPr>
      </w:pPr>
    </w:p>
    <w:p w14:paraId="78E1EC4E" w14:textId="74740BD3" w:rsidR="000813FF" w:rsidRPr="001234C1" w:rsidRDefault="000813FF" w:rsidP="000813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Así, con fundamento en lo prescrito en los artículos 5 párrafos trigésimo </w:t>
      </w:r>
      <w:r w:rsidR="002F1BA5" w:rsidRPr="001234C1">
        <w:rPr>
          <w:rFonts w:ascii="Palatino Linotype" w:eastAsia="Palatino Linotype" w:hAnsi="Palatino Linotype" w:cs="Palatino Linotype"/>
          <w:sz w:val="22"/>
          <w:szCs w:val="22"/>
        </w:rPr>
        <w:t>séptimo</w:t>
      </w:r>
      <w:r w:rsidRPr="001234C1">
        <w:rPr>
          <w:rFonts w:ascii="Palatino Linotype" w:eastAsia="Palatino Linotype" w:hAnsi="Palatino Linotype" w:cs="Palatino Linotype"/>
          <w:sz w:val="22"/>
          <w:szCs w:val="22"/>
        </w:rPr>
        <w:t xml:space="preserve">, trigésimo </w:t>
      </w:r>
      <w:r w:rsidR="002F1BA5" w:rsidRPr="001234C1">
        <w:rPr>
          <w:rFonts w:ascii="Palatino Linotype" w:eastAsia="Palatino Linotype" w:hAnsi="Palatino Linotype" w:cs="Palatino Linotype"/>
          <w:sz w:val="22"/>
          <w:szCs w:val="22"/>
        </w:rPr>
        <w:t>octavo</w:t>
      </w:r>
      <w:r w:rsidRPr="001234C1">
        <w:rPr>
          <w:rFonts w:ascii="Palatino Linotype" w:eastAsia="Palatino Linotype" w:hAnsi="Palatino Linotype" w:cs="Palatino Linotype"/>
          <w:sz w:val="22"/>
          <w:szCs w:val="22"/>
        </w:rPr>
        <w:t xml:space="preserve"> y trigésimo </w:t>
      </w:r>
      <w:r w:rsidR="002F1BA5" w:rsidRPr="001234C1">
        <w:rPr>
          <w:rFonts w:ascii="Palatino Linotype" w:eastAsia="Palatino Linotype" w:hAnsi="Palatino Linotype" w:cs="Palatino Linotype"/>
          <w:sz w:val="22"/>
          <w:szCs w:val="22"/>
        </w:rPr>
        <w:t>noveno</w:t>
      </w:r>
      <w:r w:rsidRPr="001234C1">
        <w:rPr>
          <w:rFonts w:ascii="Palatino Linotype" w:eastAsia="Palatino Linotype" w:hAnsi="Palatino Linotype" w:cs="Palatino Linotype"/>
          <w:sz w:val="22"/>
          <w:szCs w:val="22"/>
        </w:rPr>
        <w:t xml:space="preserve">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E3354A4" w14:textId="77777777" w:rsidR="000813FF" w:rsidRPr="001234C1" w:rsidRDefault="000813FF" w:rsidP="000813F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1234C1">
        <w:rPr>
          <w:rFonts w:ascii="Palatino Linotype" w:eastAsia="Palatino Linotype" w:hAnsi="Palatino Linotype" w:cs="Palatino Linotype"/>
          <w:b/>
          <w:sz w:val="22"/>
          <w:szCs w:val="22"/>
        </w:rPr>
        <w:t>III. R E S U E L V E</w:t>
      </w:r>
    </w:p>
    <w:p w14:paraId="6242C50F" w14:textId="24573FEF" w:rsidR="000813FF" w:rsidRPr="001234C1" w:rsidRDefault="000813FF" w:rsidP="000813FF">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r w:rsidRPr="001234C1">
        <w:rPr>
          <w:rFonts w:ascii="Palatino Linotype" w:eastAsia="Palatino Linotype" w:hAnsi="Palatino Linotype" w:cs="Palatino Linotype"/>
          <w:b/>
          <w:sz w:val="22"/>
          <w:szCs w:val="22"/>
        </w:rPr>
        <w:t xml:space="preserve">Primero. </w:t>
      </w:r>
      <w:r w:rsidRPr="001234C1">
        <w:rPr>
          <w:rFonts w:ascii="Palatino Linotype" w:eastAsia="Palatino Linotype" w:hAnsi="Palatino Linotype" w:cs="Palatino Linotype"/>
          <w:sz w:val="22"/>
          <w:szCs w:val="22"/>
        </w:rPr>
        <w:t xml:space="preserve">Resultan </w:t>
      </w:r>
      <w:r w:rsidRPr="001234C1">
        <w:rPr>
          <w:rFonts w:ascii="Palatino Linotype" w:eastAsia="Palatino Linotype" w:hAnsi="Palatino Linotype" w:cs="Palatino Linotype"/>
          <w:b/>
          <w:sz w:val="22"/>
          <w:szCs w:val="22"/>
        </w:rPr>
        <w:t>fundados</w:t>
      </w:r>
      <w:r w:rsidRPr="001234C1">
        <w:rPr>
          <w:rFonts w:ascii="Palatino Linotype" w:eastAsia="Palatino Linotype" w:hAnsi="Palatino Linotype" w:cs="Palatino Linotype"/>
          <w:sz w:val="22"/>
          <w:szCs w:val="22"/>
        </w:rPr>
        <w:t xml:space="preserve"> los motivos de inconformidad hechos valer por la parte </w:t>
      </w:r>
      <w:r w:rsidRPr="001234C1">
        <w:rPr>
          <w:rFonts w:ascii="Palatino Linotype" w:eastAsia="Palatino Linotype" w:hAnsi="Palatino Linotype" w:cs="Palatino Linotype"/>
          <w:b/>
          <w:sz w:val="22"/>
          <w:szCs w:val="22"/>
        </w:rPr>
        <w:t xml:space="preserve">Recurrente </w:t>
      </w:r>
      <w:r w:rsidRPr="001234C1">
        <w:rPr>
          <w:rFonts w:ascii="Palatino Linotype" w:eastAsia="Palatino Linotype" w:hAnsi="Palatino Linotype" w:cs="Palatino Linotype"/>
          <w:sz w:val="22"/>
          <w:szCs w:val="22"/>
        </w:rPr>
        <w:t xml:space="preserve">en el recurso de revisión </w:t>
      </w:r>
      <w:r w:rsidRPr="001234C1">
        <w:rPr>
          <w:rFonts w:ascii="Palatino Linotype" w:eastAsia="Palatino Linotype" w:hAnsi="Palatino Linotype" w:cs="Palatino Linotype"/>
          <w:b/>
          <w:sz w:val="22"/>
          <w:szCs w:val="22"/>
        </w:rPr>
        <w:t>01</w:t>
      </w:r>
      <w:r w:rsidR="002E6894" w:rsidRPr="001234C1">
        <w:rPr>
          <w:rFonts w:ascii="Palatino Linotype" w:eastAsia="Palatino Linotype" w:hAnsi="Palatino Linotype" w:cs="Palatino Linotype"/>
          <w:b/>
          <w:sz w:val="22"/>
          <w:szCs w:val="22"/>
        </w:rPr>
        <w:t>43</w:t>
      </w:r>
      <w:r w:rsidRPr="001234C1">
        <w:rPr>
          <w:rFonts w:ascii="Palatino Linotype" w:eastAsia="Palatino Linotype" w:hAnsi="Palatino Linotype" w:cs="Palatino Linotype"/>
          <w:b/>
          <w:sz w:val="22"/>
          <w:szCs w:val="22"/>
        </w:rPr>
        <w:t xml:space="preserve">9/INFOEM/IP/RR/2025, </w:t>
      </w:r>
      <w:r w:rsidRPr="001234C1">
        <w:rPr>
          <w:rFonts w:ascii="Palatino Linotype" w:eastAsia="Palatino Linotype" w:hAnsi="Palatino Linotype" w:cs="Palatino Linotype"/>
          <w:sz w:val="22"/>
          <w:szCs w:val="22"/>
        </w:rPr>
        <w:t xml:space="preserve">por lo que, en términos del Considerando </w:t>
      </w:r>
      <w:r w:rsidRPr="001234C1">
        <w:rPr>
          <w:rFonts w:ascii="Palatino Linotype" w:eastAsia="Palatino Linotype" w:hAnsi="Palatino Linotype" w:cs="Palatino Linotype"/>
          <w:b/>
          <w:sz w:val="22"/>
          <w:szCs w:val="22"/>
        </w:rPr>
        <w:t>Cuarto</w:t>
      </w:r>
      <w:r w:rsidRPr="001234C1">
        <w:rPr>
          <w:rFonts w:ascii="Palatino Linotype" w:eastAsia="Palatino Linotype" w:hAnsi="Palatino Linotype" w:cs="Palatino Linotype"/>
          <w:sz w:val="22"/>
          <w:szCs w:val="22"/>
        </w:rPr>
        <w:t xml:space="preserve"> de la presente resolución, se</w:t>
      </w:r>
      <w:r w:rsidRPr="001234C1">
        <w:rPr>
          <w:rFonts w:ascii="Palatino Linotype" w:eastAsia="Palatino Linotype" w:hAnsi="Palatino Linotype" w:cs="Palatino Linotype"/>
          <w:b/>
          <w:sz w:val="22"/>
          <w:szCs w:val="22"/>
        </w:rPr>
        <w:t xml:space="preserve"> Revoca </w:t>
      </w:r>
      <w:r w:rsidRPr="001234C1">
        <w:rPr>
          <w:rFonts w:ascii="Palatino Linotype" w:eastAsia="Palatino Linotype" w:hAnsi="Palatino Linotype" w:cs="Palatino Linotype"/>
          <w:sz w:val="22"/>
          <w:szCs w:val="22"/>
        </w:rPr>
        <w:t>la respuesta</w:t>
      </w:r>
      <w:r w:rsidRPr="001234C1">
        <w:rPr>
          <w:rFonts w:ascii="Palatino Linotype" w:eastAsia="Palatino Linotype" w:hAnsi="Palatino Linotype" w:cs="Palatino Linotype"/>
          <w:b/>
          <w:sz w:val="22"/>
          <w:szCs w:val="22"/>
        </w:rPr>
        <w:t xml:space="preserve"> </w:t>
      </w:r>
      <w:r w:rsidRPr="001234C1">
        <w:rPr>
          <w:rFonts w:ascii="Palatino Linotype" w:eastAsia="Palatino Linotype" w:hAnsi="Palatino Linotype" w:cs="Palatino Linotype"/>
          <w:sz w:val="22"/>
          <w:szCs w:val="22"/>
        </w:rPr>
        <w:t xml:space="preserve">del </w:t>
      </w:r>
      <w:r w:rsidRPr="001234C1">
        <w:rPr>
          <w:rFonts w:ascii="Palatino Linotype" w:eastAsia="Palatino Linotype" w:hAnsi="Palatino Linotype" w:cs="Palatino Linotype"/>
          <w:b/>
          <w:sz w:val="22"/>
          <w:szCs w:val="22"/>
        </w:rPr>
        <w:t>Sujeto Obligado.</w:t>
      </w:r>
    </w:p>
    <w:p w14:paraId="368EB41B" w14:textId="77777777" w:rsidR="000813FF" w:rsidRPr="001234C1" w:rsidRDefault="000813FF" w:rsidP="000813FF">
      <w:pPr>
        <w:spacing w:line="360" w:lineRule="auto"/>
        <w:jc w:val="both"/>
        <w:rPr>
          <w:rFonts w:ascii="Palatino Linotype" w:eastAsia="Palatino Linotype" w:hAnsi="Palatino Linotype" w:cs="Palatino Linotype"/>
          <w:b/>
          <w:sz w:val="22"/>
          <w:szCs w:val="22"/>
        </w:rPr>
      </w:pPr>
    </w:p>
    <w:p w14:paraId="1BA0399E" w14:textId="423C8905" w:rsidR="000813FF" w:rsidRPr="001234C1" w:rsidRDefault="000813FF" w:rsidP="000813FF">
      <w:pPr>
        <w:spacing w:line="360" w:lineRule="auto"/>
        <w:jc w:val="both"/>
        <w:rPr>
          <w:rFonts w:ascii="Palatino Linotype" w:eastAsia="Palatino Linotype" w:hAnsi="Palatino Linotype" w:cs="Palatino Linotype"/>
          <w:sz w:val="22"/>
          <w:szCs w:val="22"/>
        </w:rPr>
      </w:pPr>
      <w:bookmarkStart w:id="11" w:name="_heading=h.2et92p0" w:colFirst="0" w:colLast="0"/>
      <w:bookmarkEnd w:id="11"/>
      <w:r w:rsidRPr="001234C1">
        <w:rPr>
          <w:rFonts w:ascii="Palatino Linotype" w:eastAsia="Palatino Linotype" w:hAnsi="Palatino Linotype" w:cs="Palatino Linotype"/>
          <w:b/>
          <w:sz w:val="22"/>
          <w:szCs w:val="22"/>
        </w:rPr>
        <w:lastRenderedPageBreak/>
        <w:t xml:space="preserve">Segundo. </w:t>
      </w:r>
      <w:r w:rsidRPr="001234C1">
        <w:rPr>
          <w:rFonts w:ascii="Palatino Linotype" w:eastAsia="Palatino Linotype" w:hAnsi="Palatino Linotype" w:cs="Palatino Linotype"/>
          <w:sz w:val="22"/>
          <w:szCs w:val="22"/>
        </w:rPr>
        <w:t xml:space="preserve">Se </w:t>
      </w:r>
      <w:r w:rsidRPr="001234C1">
        <w:rPr>
          <w:rFonts w:ascii="Palatino Linotype" w:eastAsia="Palatino Linotype" w:hAnsi="Palatino Linotype" w:cs="Palatino Linotype"/>
          <w:b/>
          <w:sz w:val="22"/>
          <w:szCs w:val="22"/>
        </w:rPr>
        <w:t>Ordena</w:t>
      </w:r>
      <w:r w:rsidRPr="001234C1">
        <w:rPr>
          <w:rFonts w:ascii="Palatino Linotype" w:eastAsia="Palatino Linotype" w:hAnsi="Palatino Linotype" w:cs="Palatino Linotype"/>
          <w:sz w:val="22"/>
          <w:szCs w:val="22"/>
        </w:rPr>
        <w:t xml:space="preserve"> al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en términos de los Considerandos </w:t>
      </w:r>
      <w:r w:rsidRPr="001234C1">
        <w:rPr>
          <w:rFonts w:ascii="Palatino Linotype" w:eastAsia="Palatino Linotype" w:hAnsi="Palatino Linotype" w:cs="Palatino Linotype"/>
          <w:b/>
          <w:sz w:val="22"/>
          <w:szCs w:val="22"/>
        </w:rPr>
        <w:t xml:space="preserve">Cuarto y Quinto </w:t>
      </w:r>
      <w:r w:rsidRPr="001234C1">
        <w:rPr>
          <w:rFonts w:ascii="Palatino Linotype" w:eastAsia="Palatino Linotype" w:hAnsi="Palatino Linotype" w:cs="Palatino Linotype"/>
          <w:sz w:val="22"/>
          <w:szCs w:val="22"/>
        </w:rPr>
        <w:t xml:space="preserve">de esta resolución, </w:t>
      </w:r>
      <w:r w:rsidRPr="001234C1">
        <w:rPr>
          <w:rFonts w:ascii="Palatino Linotype" w:eastAsia="Palatino Linotype" w:hAnsi="Palatino Linotype" w:cs="Palatino Linotype"/>
          <w:b/>
          <w:sz w:val="22"/>
          <w:szCs w:val="22"/>
        </w:rPr>
        <w:t>haga entrega vía Sistema de Acceso a la Información Mexiquense (SAIMEX), previa búsqueda exhaustiva y razonable</w:t>
      </w:r>
      <w:r w:rsidRPr="001234C1">
        <w:rPr>
          <w:rFonts w:ascii="Palatino Linotype" w:eastAsia="Palatino Linotype" w:hAnsi="Palatino Linotype" w:cs="Palatino Linotype"/>
          <w:sz w:val="22"/>
          <w:szCs w:val="22"/>
        </w:rPr>
        <w:t>, de ser procedente en versión pública, lo siguiente:</w:t>
      </w:r>
    </w:p>
    <w:p w14:paraId="6CCF12A6"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27F6EE06" w14:textId="77777777" w:rsidR="002E6894" w:rsidRPr="001234C1" w:rsidRDefault="002E6894" w:rsidP="002E6894">
      <w:pPr>
        <w:pStyle w:val="Prrafodelista"/>
        <w:numPr>
          <w:ilvl w:val="0"/>
          <w:numId w:val="8"/>
        </w:numPr>
        <w:spacing w:line="360" w:lineRule="auto"/>
        <w:jc w:val="both"/>
        <w:rPr>
          <w:rFonts w:ascii="Palatino Linotype" w:eastAsia="Palatino Linotype" w:hAnsi="Palatino Linotype" w:cs="Palatino Linotype"/>
          <w:b/>
          <w:sz w:val="22"/>
          <w:szCs w:val="22"/>
        </w:rPr>
      </w:pPr>
      <w:r w:rsidRPr="001234C1">
        <w:rPr>
          <w:rFonts w:ascii="Palatino Linotype" w:eastAsia="Palatino Linotype" w:hAnsi="Palatino Linotype" w:cs="Palatino Linotype"/>
          <w:b/>
          <w:bCs/>
          <w:sz w:val="22"/>
          <w:szCs w:val="22"/>
        </w:rPr>
        <w:t>El o los documentos a través de los cuales el Tesorero Municipal solicitó al Presidente Municipal de Toluca de la Administración Pública Municipal 2019-2021, la cancelación de los folios de los proyectos financiados con recursos del FEFOM 2021.</w:t>
      </w:r>
    </w:p>
    <w:p w14:paraId="35AF7A63" w14:textId="77777777" w:rsidR="002E6894" w:rsidRPr="001234C1" w:rsidRDefault="002E6894" w:rsidP="00EE5BEE">
      <w:pPr>
        <w:pStyle w:val="Prrafodelista"/>
        <w:spacing w:line="360" w:lineRule="auto"/>
        <w:ind w:left="360"/>
        <w:jc w:val="both"/>
        <w:rPr>
          <w:rFonts w:ascii="Palatino Linotype" w:eastAsia="Palatino Linotype" w:hAnsi="Palatino Linotype" w:cs="Palatino Linotype"/>
          <w:b/>
          <w:sz w:val="22"/>
          <w:szCs w:val="22"/>
        </w:rPr>
      </w:pPr>
    </w:p>
    <w:p w14:paraId="39211021" w14:textId="77777777" w:rsidR="000813FF" w:rsidRPr="001234C1" w:rsidRDefault="000813FF" w:rsidP="000813FF">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1234C1">
        <w:rPr>
          <w:rFonts w:ascii="Palatino Linotype" w:eastAsia="Palatino Linotype" w:hAnsi="Palatino Linotype" w:cs="Palatino Linotype"/>
          <w:i/>
          <w:color w:val="000000"/>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1234C1">
        <w:rPr>
          <w:rFonts w:ascii="Palatino Linotype" w:eastAsia="Palatino Linotype" w:hAnsi="Palatino Linotype" w:cs="Palatino Linotype"/>
          <w:b/>
          <w:i/>
          <w:color w:val="000000"/>
          <w:sz w:val="22"/>
          <w:szCs w:val="22"/>
        </w:rPr>
        <w:t>la parte Recurrente</w:t>
      </w:r>
      <w:r w:rsidRPr="001234C1">
        <w:rPr>
          <w:rFonts w:ascii="Palatino Linotype" w:eastAsia="Palatino Linotype" w:hAnsi="Palatino Linotype" w:cs="Palatino Linotype"/>
          <w:i/>
          <w:color w:val="000000"/>
          <w:sz w:val="22"/>
          <w:szCs w:val="22"/>
        </w:rPr>
        <w:t>, mismo que igualmente hará de su conocimiento.</w:t>
      </w:r>
    </w:p>
    <w:p w14:paraId="44748799" w14:textId="77777777" w:rsidR="000813FF" w:rsidRPr="001234C1" w:rsidRDefault="000813FF" w:rsidP="000813FF">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4582C89B" w14:textId="6456747D" w:rsidR="000813FF" w:rsidRPr="001234C1" w:rsidRDefault="000813FF" w:rsidP="000813FF">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1234C1">
        <w:rPr>
          <w:rFonts w:ascii="Palatino Linotype" w:eastAsia="Palatino Linotype" w:hAnsi="Palatino Linotype" w:cs="Palatino Linotype"/>
          <w:i/>
          <w:color w:val="000000"/>
          <w:sz w:val="22"/>
          <w:szCs w:val="22"/>
        </w:rPr>
        <w:t>De ser el caso que, la información que se ordena</w:t>
      </w:r>
      <w:r w:rsidRPr="001234C1">
        <w:rPr>
          <w:rFonts w:ascii="Palatino Linotype" w:eastAsia="Palatino Linotype" w:hAnsi="Palatino Linotype" w:cs="Palatino Linotype"/>
          <w:b/>
          <w:i/>
          <w:color w:val="000000"/>
          <w:sz w:val="22"/>
          <w:szCs w:val="22"/>
        </w:rPr>
        <w:t xml:space="preserve">, </w:t>
      </w:r>
      <w:r w:rsidRPr="001234C1">
        <w:rPr>
          <w:rFonts w:ascii="Palatino Linotype" w:eastAsia="Palatino Linotype" w:hAnsi="Palatino Linotype" w:cs="Palatino Linotype"/>
          <w:i/>
          <w:color w:val="000000"/>
          <w:sz w:val="22"/>
          <w:szCs w:val="22"/>
        </w:rPr>
        <w:t xml:space="preserve">no obre en los archivos del </w:t>
      </w:r>
      <w:r w:rsidRPr="001234C1">
        <w:rPr>
          <w:rFonts w:ascii="Palatino Linotype" w:eastAsia="Palatino Linotype" w:hAnsi="Palatino Linotype" w:cs="Palatino Linotype"/>
          <w:b/>
          <w:i/>
          <w:color w:val="000000"/>
          <w:sz w:val="22"/>
          <w:szCs w:val="22"/>
        </w:rPr>
        <w:t>Sujeto Obligado</w:t>
      </w:r>
      <w:r w:rsidRPr="001234C1">
        <w:rPr>
          <w:rFonts w:ascii="Palatino Linotype" w:eastAsia="Palatino Linotype" w:hAnsi="Palatino Linotype" w:cs="Palatino Linotype"/>
          <w:i/>
          <w:color w:val="000000"/>
          <w:sz w:val="22"/>
          <w:szCs w:val="22"/>
        </w:rPr>
        <w:t>,</w:t>
      </w:r>
      <w:r w:rsidRPr="001234C1">
        <w:rPr>
          <w:rFonts w:ascii="Palatino Linotype" w:eastAsia="Palatino Linotype" w:hAnsi="Palatino Linotype" w:cs="Palatino Linotype"/>
          <w:sz w:val="22"/>
          <w:szCs w:val="22"/>
        </w:rPr>
        <w:t xml:space="preserve"> </w:t>
      </w:r>
      <w:r w:rsidR="002E6894" w:rsidRPr="001234C1">
        <w:rPr>
          <w:rFonts w:ascii="Palatino Linotype" w:eastAsia="Palatino Linotype" w:hAnsi="Palatino Linotype" w:cs="Palatino Linotype"/>
          <w:b/>
          <w:i/>
          <w:sz w:val="22"/>
          <w:szCs w:val="22"/>
        </w:rPr>
        <w:t xml:space="preserve">al no haberse realizado solicitud del Tesorero Municipal al Presidente Municipal de la </w:t>
      </w:r>
      <w:r w:rsidR="002E6894" w:rsidRPr="001234C1">
        <w:rPr>
          <w:rFonts w:ascii="Palatino Linotype" w:eastAsia="Palatino Linotype" w:hAnsi="Palatino Linotype" w:cs="Palatino Linotype"/>
          <w:b/>
          <w:bCs/>
          <w:i/>
          <w:sz w:val="22"/>
          <w:szCs w:val="22"/>
        </w:rPr>
        <w:t xml:space="preserve">Administración Pública Municipal 2019-2021, </w:t>
      </w:r>
      <w:r w:rsidR="002E6894" w:rsidRPr="001234C1">
        <w:rPr>
          <w:rFonts w:ascii="Palatino Linotype" w:eastAsia="Palatino Linotype" w:hAnsi="Palatino Linotype" w:cs="Palatino Linotype"/>
          <w:b/>
          <w:i/>
          <w:sz w:val="22"/>
          <w:szCs w:val="22"/>
        </w:rPr>
        <w:t>para llevar a cabo la cancelación de folios de proyectos financiados con el FEFOM 2021</w:t>
      </w:r>
      <w:r w:rsidRPr="001234C1">
        <w:rPr>
          <w:rFonts w:ascii="Palatino Linotype" w:eastAsia="Palatino Linotype" w:hAnsi="Palatino Linotype" w:cs="Palatino Linotype"/>
          <w:i/>
          <w:color w:val="000000"/>
          <w:sz w:val="22"/>
          <w:szCs w:val="22"/>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4556BBD9" w14:textId="77777777" w:rsidR="000813FF" w:rsidRPr="001234C1" w:rsidRDefault="000813FF" w:rsidP="000813FF">
      <w:pPr>
        <w:spacing w:line="360" w:lineRule="auto"/>
        <w:jc w:val="both"/>
        <w:rPr>
          <w:rFonts w:ascii="Palatino Linotype" w:eastAsia="Palatino Linotype" w:hAnsi="Palatino Linotype" w:cs="Palatino Linotype"/>
          <w:b/>
          <w:sz w:val="22"/>
          <w:szCs w:val="22"/>
        </w:rPr>
      </w:pPr>
    </w:p>
    <w:p w14:paraId="2B714FFF"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 xml:space="preserve">Tercero. Notifíquese, </w:t>
      </w:r>
      <w:r w:rsidRPr="001234C1">
        <w:rPr>
          <w:rFonts w:ascii="Palatino Linotype" w:eastAsia="Palatino Linotype" w:hAnsi="Palatino Linotype" w:cs="Palatino Linotype"/>
          <w:sz w:val="22"/>
          <w:szCs w:val="22"/>
        </w:rPr>
        <w:t xml:space="preserve">vía </w:t>
      </w:r>
      <w:r w:rsidRPr="001234C1">
        <w:rPr>
          <w:rFonts w:ascii="Palatino Linotype" w:eastAsia="Palatino Linotype" w:hAnsi="Palatino Linotype" w:cs="Palatino Linotype"/>
          <w:b/>
          <w:sz w:val="22"/>
          <w:szCs w:val="22"/>
        </w:rPr>
        <w:t>SAIMEX</w:t>
      </w:r>
      <w:r w:rsidRPr="001234C1">
        <w:rPr>
          <w:rFonts w:ascii="Palatino Linotype" w:eastAsia="Palatino Linotype" w:hAnsi="Palatino Linotype" w:cs="Palatino Linotype"/>
          <w:sz w:val="22"/>
          <w:szCs w:val="22"/>
        </w:rPr>
        <w:t xml:space="preserve">, al Titular de la Unidad de Transparencia del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1234C1">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3516AD26" w14:textId="77777777" w:rsidR="000813FF" w:rsidRPr="001234C1" w:rsidRDefault="000813FF" w:rsidP="000813FF">
      <w:pPr>
        <w:spacing w:line="360" w:lineRule="auto"/>
        <w:jc w:val="both"/>
        <w:rPr>
          <w:rFonts w:ascii="Palatino Linotype" w:eastAsia="Palatino Linotype" w:hAnsi="Palatino Linotype" w:cs="Palatino Linotype"/>
          <w:sz w:val="22"/>
          <w:szCs w:val="22"/>
        </w:rPr>
      </w:pPr>
    </w:p>
    <w:p w14:paraId="41FD5788" w14:textId="77777777" w:rsidR="000813FF" w:rsidRPr="001234C1" w:rsidRDefault="000813FF" w:rsidP="000813FF">
      <w:pPr>
        <w:spacing w:line="360" w:lineRule="auto"/>
        <w:ind w:right="49"/>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b/>
          <w:sz w:val="22"/>
          <w:szCs w:val="22"/>
        </w:rPr>
        <w:t>Cuarto.</w:t>
      </w:r>
      <w:r w:rsidRPr="001234C1">
        <w:rPr>
          <w:rFonts w:ascii="Palatino Linotype" w:eastAsia="Palatino Linotype" w:hAnsi="Palatino Linotype" w:cs="Palatino Linotype"/>
          <w:sz w:val="22"/>
          <w:szCs w:val="22"/>
        </w:rPr>
        <w:t xml:space="preserve"> </w:t>
      </w:r>
      <w:r w:rsidRPr="001234C1">
        <w:rPr>
          <w:rFonts w:ascii="Palatino Linotype" w:eastAsia="Palatino Linotype" w:hAnsi="Palatino Linotype" w:cs="Palatino Linotype"/>
          <w:b/>
          <w:sz w:val="22"/>
          <w:szCs w:val="22"/>
        </w:rPr>
        <w:t xml:space="preserve">Notifíquese, </w:t>
      </w:r>
      <w:r w:rsidRPr="001234C1">
        <w:rPr>
          <w:rFonts w:ascii="Palatino Linotype" w:eastAsia="Palatino Linotype" w:hAnsi="Palatino Linotype" w:cs="Palatino Linotype"/>
          <w:sz w:val="22"/>
          <w:szCs w:val="22"/>
        </w:rPr>
        <w:t xml:space="preserve">vía </w:t>
      </w:r>
      <w:r w:rsidRPr="001234C1">
        <w:rPr>
          <w:rFonts w:ascii="Palatino Linotype" w:eastAsia="Palatino Linotype" w:hAnsi="Palatino Linotype" w:cs="Palatino Linotype"/>
          <w:b/>
          <w:sz w:val="22"/>
          <w:szCs w:val="22"/>
        </w:rPr>
        <w:t>SAIMEX</w:t>
      </w:r>
      <w:r w:rsidRPr="001234C1">
        <w:rPr>
          <w:rFonts w:ascii="Palatino Linotype" w:eastAsia="Palatino Linotype" w:hAnsi="Palatino Linotype" w:cs="Palatino Linotype"/>
          <w:sz w:val="22"/>
          <w:szCs w:val="22"/>
        </w:rPr>
        <w:t xml:space="preserve">, al Titular de la Unidad de Transparencia del </w:t>
      </w:r>
      <w:r w:rsidRPr="001234C1">
        <w:rPr>
          <w:rFonts w:ascii="Palatino Linotype" w:eastAsia="Palatino Linotype" w:hAnsi="Palatino Linotype" w:cs="Palatino Linotype"/>
          <w:b/>
          <w:sz w:val="22"/>
          <w:szCs w:val="22"/>
        </w:rPr>
        <w:t>Sujeto Obligado,</w:t>
      </w:r>
      <w:r w:rsidRPr="001234C1">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F13D63F" w14:textId="77777777" w:rsidR="000813FF" w:rsidRPr="001234C1" w:rsidRDefault="000813FF" w:rsidP="000813FF">
      <w:pPr>
        <w:spacing w:line="360" w:lineRule="auto"/>
        <w:ind w:right="49"/>
        <w:jc w:val="both"/>
        <w:rPr>
          <w:rFonts w:ascii="Palatino Linotype" w:eastAsia="Palatino Linotype" w:hAnsi="Palatino Linotype" w:cs="Palatino Linotype"/>
          <w:sz w:val="22"/>
          <w:szCs w:val="22"/>
        </w:rPr>
      </w:pPr>
    </w:p>
    <w:p w14:paraId="270F008F" w14:textId="77777777" w:rsidR="000813FF" w:rsidRPr="001234C1" w:rsidRDefault="000813FF" w:rsidP="000813FF">
      <w:pPr>
        <w:spacing w:line="360" w:lineRule="auto"/>
        <w:ind w:right="49"/>
        <w:jc w:val="both"/>
        <w:rPr>
          <w:rFonts w:ascii="Palatino Linotype" w:eastAsia="Palatino Linotype" w:hAnsi="Palatino Linotype" w:cs="Palatino Linotype"/>
          <w:color w:val="000000"/>
          <w:sz w:val="22"/>
          <w:szCs w:val="22"/>
        </w:rPr>
      </w:pPr>
      <w:r w:rsidRPr="001234C1">
        <w:rPr>
          <w:rFonts w:ascii="Palatino Linotype" w:eastAsia="Palatino Linotype" w:hAnsi="Palatino Linotype" w:cs="Palatino Linotype"/>
          <w:b/>
          <w:sz w:val="22"/>
          <w:szCs w:val="22"/>
        </w:rPr>
        <w:t xml:space="preserve">Quinto. </w:t>
      </w:r>
      <w:r w:rsidRPr="001234C1">
        <w:rPr>
          <w:rFonts w:ascii="Palatino Linotype" w:eastAsia="Palatino Linotype" w:hAnsi="Palatino Linotype" w:cs="Palatino Linotype"/>
          <w:b/>
          <w:color w:val="000000"/>
          <w:sz w:val="22"/>
          <w:szCs w:val="22"/>
        </w:rPr>
        <w:t xml:space="preserve">Notifíquese vía SAIMEX, </w:t>
      </w:r>
      <w:r w:rsidRPr="001234C1">
        <w:rPr>
          <w:rFonts w:ascii="Palatino Linotype" w:eastAsia="Palatino Linotype" w:hAnsi="Palatino Linotype" w:cs="Palatino Linotype"/>
          <w:color w:val="000000"/>
          <w:sz w:val="22"/>
          <w:szCs w:val="22"/>
        </w:rPr>
        <w:t xml:space="preserve">la presente resolución a la parte </w:t>
      </w:r>
      <w:r w:rsidRPr="001234C1">
        <w:rPr>
          <w:rFonts w:ascii="Palatino Linotype" w:eastAsia="Palatino Linotype" w:hAnsi="Palatino Linotype" w:cs="Palatino Linotype"/>
          <w:b/>
          <w:color w:val="000000"/>
          <w:sz w:val="22"/>
          <w:szCs w:val="22"/>
        </w:rPr>
        <w:t>Recurrente</w:t>
      </w:r>
      <w:r w:rsidRPr="001234C1">
        <w:rPr>
          <w:rFonts w:ascii="Palatino Linotype" w:eastAsia="Palatino Linotype" w:hAnsi="Palatino Linotype" w:cs="Palatino Linotype"/>
          <w:color w:val="000000"/>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DB9FF39" w14:textId="77777777" w:rsidR="00FF0200" w:rsidRPr="001234C1" w:rsidRDefault="00FF0200">
      <w:pPr>
        <w:spacing w:line="360" w:lineRule="auto"/>
        <w:jc w:val="both"/>
        <w:rPr>
          <w:rFonts w:ascii="Palatino Linotype" w:eastAsia="Palatino Linotype" w:hAnsi="Palatino Linotype" w:cs="Palatino Linotype"/>
          <w:sz w:val="22"/>
          <w:szCs w:val="22"/>
        </w:rPr>
      </w:pPr>
    </w:p>
    <w:p w14:paraId="0380E4A2" w14:textId="6D7E574B" w:rsidR="00FF0200" w:rsidRDefault="00BC5887">
      <w:pPr>
        <w:spacing w:line="360" w:lineRule="auto"/>
        <w:jc w:val="both"/>
        <w:rPr>
          <w:rFonts w:ascii="Palatino Linotype" w:eastAsia="Palatino Linotype" w:hAnsi="Palatino Linotype" w:cs="Palatino Linotype"/>
          <w:sz w:val="22"/>
          <w:szCs w:val="22"/>
        </w:rPr>
      </w:pPr>
      <w:r w:rsidRPr="001234C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363B9" w:rsidRPr="001234C1">
        <w:rPr>
          <w:rFonts w:ascii="Palatino Linotype" w:eastAsia="Palatino Linotype" w:hAnsi="Palatino Linotype" w:cs="Palatino Linotype"/>
          <w:sz w:val="22"/>
          <w:szCs w:val="22"/>
        </w:rPr>
        <w:t>DÉCIMA SEGUNDA</w:t>
      </w:r>
      <w:r w:rsidRPr="001234C1">
        <w:rPr>
          <w:rFonts w:ascii="Palatino Linotype" w:eastAsia="Palatino Linotype" w:hAnsi="Palatino Linotype" w:cs="Palatino Linotype"/>
          <w:sz w:val="22"/>
          <w:szCs w:val="22"/>
        </w:rPr>
        <w:t xml:space="preserve"> SESIÓN ORDINARIA, CELEBRADA EL </w:t>
      </w:r>
      <w:r w:rsidR="00A363B9" w:rsidRPr="001234C1">
        <w:rPr>
          <w:rFonts w:ascii="Palatino Linotype" w:eastAsia="Palatino Linotype" w:hAnsi="Palatino Linotype" w:cs="Palatino Linotype"/>
          <w:sz w:val="22"/>
          <w:szCs w:val="22"/>
        </w:rPr>
        <w:t>DOS DE ABRIL</w:t>
      </w:r>
      <w:r w:rsidRPr="001234C1">
        <w:rPr>
          <w:rFonts w:ascii="Palatino Linotype" w:eastAsia="Palatino Linotype" w:hAnsi="Palatino Linotype" w:cs="Palatino Linotype"/>
          <w:sz w:val="22"/>
          <w:szCs w:val="22"/>
        </w:rPr>
        <w:t xml:space="preserve"> DE DOS MIL VEINTICINCO, ANTE EL SECRETARIO TÉCNICO DEL PLENO ALEXIS TAPIA RAMÍREZ.</w:t>
      </w:r>
      <w:r>
        <w:rPr>
          <w:rFonts w:ascii="Palatino Linotype" w:eastAsia="Palatino Linotype" w:hAnsi="Palatino Linotype" w:cs="Palatino Linotype"/>
          <w:sz w:val="22"/>
          <w:szCs w:val="22"/>
        </w:rPr>
        <w:t xml:space="preserve"> </w:t>
      </w:r>
    </w:p>
    <w:p w14:paraId="02CFD3CD" w14:textId="77777777" w:rsidR="00FF0200" w:rsidRDefault="00FF0200">
      <w:pPr>
        <w:rPr>
          <w:rFonts w:ascii="Palatino Linotype" w:eastAsia="Palatino Linotype" w:hAnsi="Palatino Linotype" w:cs="Palatino Linotype"/>
          <w:sz w:val="22"/>
          <w:szCs w:val="22"/>
        </w:rPr>
      </w:pPr>
      <w:bookmarkStart w:id="12" w:name="_heading=h.17dp8vu" w:colFirst="0" w:colLast="0"/>
      <w:bookmarkEnd w:id="12"/>
    </w:p>
    <w:p w14:paraId="79FD14BE" w14:textId="77777777" w:rsidR="00FF0200" w:rsidRDefault="00FF0200">
      <w:pPr>
        <w:rPr>
          <w:rFonts w:ascii="Palatino Linotype" w:eastAsia="Palatino Linotype" w:hAnsi="Palatino Linotype" w:cs="Palatino Linotype"/>
          <w:sz w:val="22"/>
          <w:szCs w:val="22"/>
        </w:rPr>
      </w:pPr>
    </w:p>
    <w:p w14:paraId="7D11C2D8" w14:textId="77777777" w:rsidR="00FF0200" w:rsidRDefault="00FF0200">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2D6CD91F" w14:textId="77777777" w:rsidR="00FF0200" w:rsidRDefault="00FF0200">
      <w:pPr>
        <w:spacing w:line="360" w:lineRule="auto"/>
        <w:jc w:val="both"/>
        <w:rPr>
          <w:rFonts w:ascii="Palatino Linotype" w:eastAsia="Palatino Linotype" w:hAnsi="Palatino Linotype" w:cs="Palatino Linotype"/>
          <w:sz w:val="22"/>
          <w:szCs w:val="22"/>
        </w:rPr>
      </w:pPr>
    </w:p>
    <w:p w14:paraId="43D24F75" w14:textId="77777777" w:rsidR="00FF0200" w:rsidRDefault="00FF0200">
      <w:pPr>
        <w:spacing w:line="360" w:lineRule="auto"/>
        <w:jc w:val="both"/>
        <w:rPr>
          <w:rFonts w:ascii="Palatino Linotype" w:eastAsia="Palatino Linotype" w:hAnsi="Palatino Linotype" w:cs="Palatino Linotype"/>
          <w:sz w:val="22"/>
          <w:szCs w:val="22"/>
        </w:rPr>
      </w:pPr>
    </w:p>
    <w:p w14:paraId="763F0322" w14:textId="77777777" w:rsidR="00FF0200" w:rsidRDefault="00FF0200">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6A682211" w14:textId="77777777" w:rsidR="00FF0200" w:rsidRDefault="00FF0200">
      <w:pPr>
        <w:spacing w:line="360" w:lineRule="auto"/>
        <w:jc w:val="both"/>
        <w:rPr>
          <w:rFonts w:ascii="Palatino Linotype" w:eastAsia="Palatino Linotype" w:hAnsi="Palatino Linotype" w:cs="Palatino Linotype"/>
          <w:sz w:val="22"/>
          <w:szCs w:val="22"/>
        </w:rPr>
      </w:pPr>
    </w:p>
    <w:p w14:paraId="37EFC39D" w14:textId="77777777" w:rsidR="00FF0200" w:rsidRDefault="00FF0200">
      <w:pPr>
        <w:spacing w:line="360" w:lineRule="auto"/>
        <w:jc w:val="both"/>
        <w:rPr>
          <w:rFonts w:ascii="Palatino Linotype" w:eastAsia="Palatino Linotype" w:hAnsi="Palatino Linotype" w:cs="Palatino Linotype"/>
          <w:sz w:val="22"/>
          <w:szCs w:val="22"/>
        </w:rPr>
      </w:pPr>
    </w:p>
    <w:p w14:paraId="043024EC" w14:textId="77777777" w:rsidR="00FF0200" w:rsidRDefault="00FF0200">
      <w:pPr>
        <w:spacing w:line="360" w:lineRule="auto"/>
        <w:jc w:val="both"/>
        <w:rPr>
          <w:rFonts w:ascii="Palatino Linotype" w:eastAsia="Palatino Linotype" w:hAnsi="Palatino Linotype" w:cs="Palatino Linotype"/>
          <w:sz w:val="22"/>
          <w:szCs w:val="22"/>
        </w:rPr>
      </w:pPr>
    </w:p>
    <w:p w14:paraId="46051EC4" w14:textId="77777777" w:rsidR="00FF0200" w:rsidRDefault="00FF0200">
      <w:pPr>
        <w:spacing w:line="360" w:lineRule="auto"/>
        <w:jc w:val="both"/>
        <w:rPr>
          <w:rFonts w:ascii="Palatino Linotype" w:eastAsia="Palatino Linotype" w:hAnsi="Palatino Linotype" w:cs="Palatino Linotype"/>
          <w:sz w:val="22"/>
          <w:szCs w:val="22"/>
        </w:rPr>
      </w:pPr>
    </w:p>
    <w:p w14:paraId="4D7A2569" w14:textId="77777777" w:rsidR="00FF0200" w:rsidRDefault="00FF0200">
      <w:pPr>
        <w:spacing w:line="360" w:lineRule="auto"/>
        <w:jc w:val="both"/>
        <w:rPr>
          <w:rFonts w:ascii="Palatino Linotype" w:eastAsia="Palatino Linotype" w:hAnsi="Palatino Linotype" w:cs="Palatino Linotype"/>
          <w:sz w:val="22"/>
          <w:szCs w:val="22"/>
        </w:rPr>
      </w:pPr>
    </w:p>
    <w:p w14:paraId="61FA0FAC" w14:textId="77777777" w:rsidR="00FF0200" w:rsidRDefault="00FF0200">
      <w:pPr>
        <w:spacing w:line="360" w:lineRule="auto"/>
        <w:jc w:val="both"/>
        <w:rPr>
          <w:rFonts w:ascii="Palatino Linotype" w:eastAsia="Palatino Linotype" w:hAnsi="Palatino Linotype" w:cs="Palatino Linotype"/>
          <w:sz w:val="22"/>
          <w:szCs w:val="22"/>
        </w:rPr>
      </w:pPr>
    </w:p>
    <w:p w14:paraId="51383437" w14:textId="77777777" w:rsidR="00FF0200" w:rsidRDefault="00FF0200">
      <w:pPr>
        <w:spacing w:line="360" w:lineRule="auto"/>
        <w:jc w:val="both"/>
        <w:rPr>
          <w:rFonts w:ascii="Palatino Linotype" w:eastAsia="Palatino Linotype" w:hAnsi="Palatino Linotype" w:cs="Palatino Linotype"/>
          <w:sz w:val="22"/>
          <w:szCs w:val="22"/>
        </w:rPr>
      </w:pPr>
    </w:p>
    <w:p w14:paraId="7438100C" w14:textId="77777777" w:rsidR="00FF0200" w:rsidRDefault="00FF0200">
      <w:pPr>
        <w:spacing w:line="360" w:lineRule="auto"/>
        <w:jc w:val="both"/>
        <w:rPr>
          <w:rFonts w:ascii="Palatino Linotype" w:eastAsia="Palatino Linotype" w:hAnsi="Palatino Linotype" w:cs="Palatino Linotype"/>
          <w:sz w:val="22"/>
          <w:szCs w:val="22"/>
        </w:rPr>
      </w:pPr>
    </w:p>
    <w:p w14:paraId="25CC960B" w14:textId="77777777" w:rsidR="00FF0200" w:rsidRDefault="00FF0200">
      <w:pPr>
        <w:spacing w:line="360" w:lineRule="auto"/>
        <w:jc w:val="both"/>
        <w:rPr>
          <w:rFonts w:ascii="Palatino Linotype" w:eastAsia="Palatino Linotype" w:hAnsi="Palatino Linotype" w:cs="Palatino Linotype"/>
          <w:sz w:val="22"/>
          <w:szCs w:val="22"/>
        </w:rPr>
      </w:pPr>
    </w:p>
    <w:p w14:paraId="34A4FD3D" w14:textId="77777777" w:rsidR="00FF0200" w:rsidRDefault="00FF0200">
      <w:pPr>
        <w:spacing w:line="360" w:lineRule="auto"/>
        <w:jc w:val="both"/>
        <w:rPr>
          <w:rFonts w:ascii="Palatino Linotype" w:eastAsia="Palatino Linotype" w:hAnsi="Palatino Linotype" w:cs="Palatino Linotype"/>
          <w:sz w:val="22"/>
          <w:szCs w:val="22"/>
        </w:rPr>
      </w:pPr>
    </w:p>
    <w:p w14:paraId="3893CD73" w14:textId="77777777" w:rsidR="00FF0200" w:rsidRDefault="00FF0200">
      <w:pPr>
        <w:spacing w:line="360" w:lineRule="auto"/>
        <w:jc w:val="both"/>
        <w:rPr>
          <w:rFonts w:ascii="Palatino Linotype" w:eastAsia="Palatino Linotype" w:hAnsi="Palatino Linotype" w:cs="Palatino Linotype"/>
          <w:sz w:val="22"/>
          <w:szCs w:val="22"/>
        </w:rPr>
      </w:pPr>
    </w:p>
    <w:p w14:paraId="193D88C6" w14:textId="77777777" w:rsidR="00FF0200" w:rsidRDefault="00FF0200">
      <w:pPr>
        <w:spacing w:line="360" w:lineRule="auto"/>
        <w:jc w:val="both"/>
        <w:rPr>
          <w:rFonts w:ascii="Palatino Linotype" w:eastAsia="Palatino Linotype" w:hAnsi="Palatino Linotype" w:cs="Palatino Linotype"/>
          <w:sz w:val="22"/>
          <w:szCs w:val="22"/>
        </w:rPr>
      </w:pPr>
    </w:p>
    <w:p w14:paraId="68B4DF28" w14:textId="77777777" w:rsidR="00FF0200" w:rsidRDefault="00FF0200">
      <w:pPr>
        <w:spacing w:line="360" w:lineRule="auto"/>
        <w:jc w:val="both"/>
        <w:rPr>
          <w:rFonts w:ascii="Palatino Linotype" w:eastAsia="Palatino Linotype" w:hAnsi="Palatino Linotype" w:cs="Palatino Linotype"/>
          <w:sz w:val="22"/>
          <w:szCs w:val="22"/>
        </w:rPr>
      </w:pPr>
    </w:p>
    <w:p w14:paraId="7DE1E974" w14:textId="77777777" w:rsidR="00FF0200" w:rsidRDefault="00FF0200">
      <w:pPr>
        <w:spacing w:line="360" w:lineRule="auto"/>
        <w:jc w:val="both"/>
        <w:rPr>
          <w:rFonts w:ascii="Palatino Linotype" w:eastAsia="Palatino Linotype" w:hAnsi="Palatino Linotype" w:cs="Palatino Linotype"/>
          <w:sz w:val="22"/>
          <w:szCs w:val="22"/>
        </w:rPr>
      </w:pPr>
    </w:p>
    <w:p w14:paraId="5EC604DE" w14:textId="77777777" w:rsidR="00FF0200" w:rsidRDefault="00FF0200">
      <w:pPr>
        <w:spacing w:line="360" w:lineRule="auto"/>
        <w:jc w:val="both"/>
        <w:rPr>
          <w:rFonts w:ascii="Palatino Linotype" w:eastAsia="Palatino Linotype" w:hAnsi="Palatino Linotype" w:cs="Palatino Linotype"/>
          <w:sz w:val="22"/>
          <w:szCs w:val="22"/>
        </w:rPr>
      </w:pPr>
    </w:p>
    <w:p w14:paraId="6DB5B10E" w14:textId="77777777" w:rsidR="00FF0200" w:rsidRDefault="00FF0200">
      <w:pPr>
        <w:spacing w:line="360" w:lineRule="auto"/>
        <w:jc w:val="both"/>
        <w:rPr>
          <w:rFonts w:ascii="Palatino Linotype" w:eastAsia="Palatino Linotype" w:hAnsi="Palatino Linotype" w:cs="Palatino Linotype"/>
          <w:sz w:val="22"/>
          <w:szCs w:val="22"/>
        </w:rPr>
      </w:pPr>
    </w:p>
    <w:p w14:paraId="6E566251" w14:textId="77777777" w:rsidR="00FF0200" w:rsidRDefault="00FF0200">
      <w:pPr>
        <w:spacing w:line="360" w:lineRule="auto"/>
        <w:jc w:val="both"/>
        <w:rPr>
          <w:rFonts w:ascii="Palatino Linotype" w:eastAsia="Palatino Linotype" w:hAnsi="Palatino Linotype" w:cs="Palatino Linotype"/>
          <w:sz w:val="22"/>
          <w:szCs w:val="22"/>
        </w:rPr>
      </w:pPr>
    </w:p>
    <w:p w14:paraId="03069D90" w14:textId="77777777" w:rsidR="00FF0200" w:rsidRDefault="00FF0200">
      <w:pPr>
        <w:spacing w:line="360" w:lineRule="auto"/>
        <w:jc w:val="both"/>
        <w:rPr>
          <w:rFonts w:ascii="Palatino Linotype" w:eastAsia="Palatino Linotype" w:hAnsi="Palatino Linotype" w:cs="Palatino Linotype"/>
          <w:sz w:val="22"/>
          <w:szCs w:val="22"/>
        </w:rPr>
      </w:pPr>
    </w:p>
    <w:p w14:paraId="2FD75296" w14:textId="77777777" w:rsidR="00FF0200" w:rsidRDefault="00FF0200">
      <w:pPr>
        <w:spacing w:line="360" w:lineRule="auto"/>
        <w:jc w:val="both"/>
        <w:rPr>
          <w:rFonts w:ascii="Palatino Linotype" w:eastAsia="Palatino Linotype" w:hAnsi="Palatino Linotype" w:cs="Palatino Linotype"/>
          <w:sz w:val="22"/>
          <w:szCs w:val="22"/>
        </w:rPr>
      </w:pPr>
    </w:p>
    <w:p w14:paraId="728823F3" w14:textId="77777777" w:rsidR="00FF0200" w:rsidRDefault="00FF0200">
      <w:pPr>
        <w:spacing w:line="360" w:lineRule="auto"/>
        <w:jc w:val="both"/>
        <w:rPr>
          <w:rFonts w:ascii="Palatino Linotype" w:eastAsia="Palatino Linotype" w:hAnsi="Palatino Linotype" w:cs="Palatino Linotype"/>
          <w:sz w:val="22"/>
          <w:szCs w:val="22"/>
        </w:rPr>
      </w:pPr>
    </w:p>
    <w:p w14:paraId="6BD821DA" w14:textId="77777777" w:rsidR="00FF0200" w:rsidRDefault="00FF0200">
      <w:pPr>
        <w:spacing w:line="360" w:lineRule="auto"/>
        <w:jc w:val="both"/>
        <w:rPr>
          <w:rFonts w:ascii="Palatino Linotype" w:eastAsia="Palatino Linotype" w:hAnsi="Palatino Linotype" w:cs="Palatino Linotype"/>
          <w:sz w:val="22"/>
          <w:szCs w:val="22"/>
        </w:rPr>
      </w:pPr>
    </w:p>
    <w:sectPr w:rsidR="00FF0200">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3FE2" w14:textId="77777777" w:rsidR="00525B4F" w:rsidRDefault="00525B4F">
      <w:r>
        <w:separator/>
      </w:r>
    </w:p>
  </w:endnote>
  <w:endnote w:type="continuationSeparator" w:id="0">
    <w:p w14:paraId="059A98B1" w14:textId="77777777" w:rsidR="00525B4F" w:rsidRDefault="0052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723C" w14:textId="77777777" w:rsidR="00EE5BEE" w:rsidRDefault="00EE5BE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234C1">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234C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3442011" w14:textId="77777777" w:rsidR="00EE5BEE" w:rsidRDefault="00EE5BE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EF0B" w14:textId="77777777" w:rsidR="00EE5BEE" w:rsidRDefault="00EE5BE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234C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234C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19E1C4A" w14:textId="77777777" w:rsidR="00EE5BEE" w:rsidRDefault="00EE5BE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294D" w14:textId="77777777" w:rsidR="00525B4F" w:rsidRDefault="00525B4F">
      <w:r>
        <w:separator/>
      </w:r>
    </w:p>
  </w:footnote>
  <w:footnote w:type="continuationSeparator" w:id="0">
    <w:p w14:paraId="59979304" w14:textId="77777777" w:rsidR="00525B4F" w:rsidRDefault="00525B4F">
      <w:r>
        <w:continuationSeparator/>
      </w:r>
    </w:p>
  </w:footnote>
  <w:footnote w:id="1">
    <w:p w14:paraId="53E942F1" w14:textId="77777777" w:rsidR="00EE5BEE" w:rsidRDefault="00EE5BEE">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6B9F031" w14:textId="77777777" w:rsidR="00EE5BEE" w:rsidRDefault="00EE5BEE">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6405D12" w14:textId="77777777" w:rsidR="00EE5BEE" w:rsidRDefault="00EE5BEE">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E3F4A24" w14:textId="77777777" w:rsidR="00EE5BEE" w:rsidRDefault="00EE5BEE">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3BEE" w14:textId="77777777" w:rsidR="00EE5BEE" w:rsidRDefault="00EE5BEE">
    <w:pPr>
      <w:rPr>
        <w:rFonts w:ascii="Cambria" w:eastAsia="Cambria" w:hAnsi="Cambria" w:cs="Cambria"/>
        <w:color w:val="000000"/>
      </w:rPr>
    </w:pPr>
    <w:r>
      <w:rPr>
        <w:noProof/>
      </w:rPr>
      <w:drawing>
        <wp:anchor distT="0" distB="0" distL="0" distR="0" simplePos="0" relativeHeight="251658240" behindDoc="1" locked="0" layoutInCell="1" hidden="0" allowOverlap="1" wp14:anchorId="3C59F62B" wp14:editId="624594C7">
          <wp:simplePos x="0" y="0"/>
          <wp:positionH relativeFrom="column">
            <wp:posOffset>-1080108</wp:posOffset>
          </wp:positionH>
          <wp:positionV relativeFrom="paragraph">
            <wp:posOffset>-488282</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EE5BEE" w14:paraId="648AAE9F" w14:textId="77777777">
      <w:tc>
        <w:tcPr>
          <w:tcW w:w="2489" w:type="dxa"/>
          <w:shd w:val="clear" w:color="auto" w:fill="auto"/>
        </w:tcPr>
        <w:p w14:paraId="515DCC09"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669666A" w14:textId="654821AE" w:rsidR="00EE5BEE" w:rsidRDefault="00EE5BE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01439/INFOEM/IP/RR/2025</w:t>
          </w:r>
        </w:p>
      </w:tc>
    </w:tr>
    <w:tr w:rsidR="00EE5BEE" w14:paraId="6A07CC50" w14:textId="77777777">
      <w:trPr>
        <w:trHeight w:val="228"/>
      </w:trPr>
      <w:tc>
        <w:tcPr>
          <w:tcW w:w="2489" w:type="dxa"/>
          <w:shd w:val="clear" w:color="auto" w:fill="auto"/>
          <w:vAlign w:val="center"/>
        </w:tcPr>
        <w:p w14:paraId="3759F9DB"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1D31636" w14:textId="539136C6" w:rsidR="00EE5BEE" w:rsidRDefault="00EE5BEE">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EE5BEE" w14:paraId="6A0861C9" w14:textId="77777777">
      <w:tc>
        <w:tcPr>
          <w:tcW w:w="2489" w:type="dxa"/>
          <w:shd w:val="clear" w:color="auto" w:fill="auto"/>
          <w:vAlign w:val="center"/>
        </w:tcPr>
        <w:p w14:paraId="483609D4" w14:textId="77777777" w:rsidR="00EE5BEE" w:rsidRDefault="00EE5BE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C23F204" w14:textId="77777777" w:rsidR="00EE5BEE" w:rsidRDefault="00EE5BE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9C5028" w14:textId="77777777" w:rsidR="00EE5BEE" w:rsidRDefault="00EE5BE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1DFC" w14:textId="77777777" w:rsidR="00EE5BEE" w:rsidRDefault="00EE5BE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269893C" wp14:editId="45C28EB3">
          <wp:simplePos x="0" y="0"/>
          <wp:positionH relativeFrom="column">
            <wp:posOffset>-1079486</wp:posOffset>
          </wp:positionH>
          <wp:positionV relativeFrom="paragraph">
            <wp:posOffset>-328914</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EE5BEE" w14:paraId="072DF73B" w14:textId="77777777">
      <w:tc>
        <w:tcPr>
          <w:tcW w:w="2551" w:type="dxa"/>
          <w:shd w:val="clear" w:color="auto" w:fill="auto"/>
          <w:vAlign w:val="center"/>
        </w:tcPr>
        <w:p w14:paraId="619C40AF"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26A683E" w14:textId="1B40EE8C" w:rsidR="00EE5BEE" w:rsidRDefault="00EE5BE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01439/INFOEM/IP/RR/2025</w:t>
          </w:r>
        </w:p>
      </w:tc>
    </w:tr>
    <w:tr w:rsidR="00EE5BEE" w14:paraId="659BEED1" w14:textId="77777777">
      <w:trPr>
        <w:trHeight w:val="130"/>
      </w:trPr>
      <w:tc>
        <w:tcPr>
          <w:tcW w:w="2551" w:type="dxa"/>
          <w:shd w:val="clear" w:color="auto" w:fill="auto"/>
          <w:vAlign w:val="center"/>
        </w:tcPr>
        <w:p w14:paraId="09724AB5"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0A8C50B" w14:textId="3EAE6D01" w:rsidR="00EE5BEE" w:rsidRDefault="00EE5BEE">
          <w:pPr>
            <w:ind w:left="-45" w:right="1444"/>
            <w:jc w:val="both"/>
            <w:rPr>
              <w:rFonts w:ascii="Palatino Linotype" w:eastAsia="Palatino Linotype" w:hAnsi="Palatino Linotype" w:cs="Palatino Linotype"/>
              <w:b/>
              <w:sz w:val="22"/>
              <w:szCs w:val="22"/>
            </w:rPr>
          </w:pPr>
        </w:p>
      </w:tc>
    </w:tr>
    <w:tr w:rsidR="00EE5BEE" w14:paraId="50244FF0" w14:textId="77777777">
      <w:trPr>
        <w:trHeight w:val="228"/>
      </w:trPr>
      <w:tc>
        <w:tcPr>
          <w:tcW w:w="2551" w:type="dxa"/>
          <w:shd w:val="clear" w:color="auto" w:fill="auto"/>
          <w:vAlign w:val="center"/>
        </w:tcPr>
        <w:p w14:paraId="2A25AE21"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2960401" w14:textId="4D7EABD3" w:rsidR="00EE5BEE" w:rsidRDefault="00EE5BEE">
          <w:pPr>
            <w:ind w:left="-45" w:right="1586"/>
            <w:jc w:val="both"/>
            <w:rPr>
              <w:rFonts w:ascii="Palatino Linotype" w:eastAsia="Palatino Linotype" w:hAnsi="Palatino Linotype" w:cs="Palatino Linotype"/>
              <w:b/>
              <w:sz w:val="22"/>
              <w:szCs w:val="22"/>
            </w:rPr>
          </w:pPr>
          <w:r w:rsidRPr="009C53E6">
            <w:rPr>
              <w:rFonts w:ascii="Palatino Linotype" w:eastAsia="Palatino Linotype" w:hAnsi="Palatino Linotype" w:cs="Palatino Linotype"/>
              <w:b/>
              <w:sz w:val="22"/>
              <w:szCs w:val="22"/>
            </w:rPr>
            <w:t>Ayuntamiento de Toluca</w:t>
          </w:r>
        </w:p>
      </w:tc>
    </w:tr>
    <w:tr w:rsidR="00EE5BEE" w14:paraId="5FB2F6C6" w14:textId="77777777">
      <w:tc>
        <w:tcPr>
          <w:tcW w:w="2551" w:type="dxa"/>
          <w:shd w:val="clear" w:color="auto" w:fill="auto"/>
          <w:vAlign w:val="center"/>
        </w:tcPr>
        <w:p w14:paraId="1C1B7F29" w14:textId="77777777" w:rsidR="00EE5BEE" w:rsidRDefault="00EE5B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5EA119F" w14:textId="77777777" w:rsidR="00EE5BEE" w:rsidRDefault="00EE5BE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FB1E6FD" w14:textId="77777777" w:rsidR="00EE5BEE" w:rsidRDefault="00EE5BEE">
    <w:pPr>
      <w:pBdr>
        <w:top w:val="nil"/>
        <w:left w:val="nil"/>
        <w:bottom w:val="nil"/>
        <w:right w:val="nil"/>
        <w:between w:val="nil"/>
      </w:pBdr>
      <w:tabs>
        <w:tab w:val="center" w:pos="4252"/>
        <w:tab w:val="right" w:pos="8504"/>
      </w:tabs>
      <w:rPr>
        <w:rFonts w:ascii="Cambria" w:eastAsia="Cambria" w:hAnsi="Cambria" w:cs="Cambria"/>
        <w:color w:val="000000"/>
      </w:rPr>
    </w:pPr>
  </w:p>
  <w:p w14:paraId="16F768AE" w14:textId="77777777" w:rsidR="00EE5BEE" w:rsidRDefault="00EE5B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21BE8"/>
    <w:multiLevelType w:val="multilevel"/>
    <w:tmpl w:val="7A4A0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F77CAD"/>
    <w:multiLevelType w:val="multilevel"/>
    <w:tmpl w:val="BF3E55F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EB48A4"/>
    <w:multiLevelType w:val="multilevel"/>
    <w:tmpl w:val="1E3A1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C50AFE"/>
    <w:multiLevelType w:val="multilevel"/>
    <w:tmpl w:val="BE94EAB4"/>
    <w:lvl w:ilvl="0">
      <w:start w:val="6"/>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8949C6"/>
    <w:multiLevelType w:val="multilevel"/>
    <w:tmpl w:val="C48254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573E31C1"/>
    <w:multiLevelType w:val="hybridMultilevel"/>
    <w:tmpl w:val="E0EA2ECC"/>
    <w:lvl w:ilvl="0" w:tplc="B0345310">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7D923E1"/>
    <w:multiLevelType w:val="hybridMultilevel"/>
    <w:tmpl w:val="DD58060E"/>
    <w:lvl w:ilvl="0" w:tplc="2BCEFE50">
      <w:numFmt w:val="bullet"/>
      <w:lvlText w:val=""/>
      <w:lvlJc w:val="left"/>
      <w:pPr>
        <w:ind w:left="360" w:hanging="360"/>
      </w:pPr>
      <w:rPr>
        <w:rFonts w:ascii="Symbol" w:eastAsia="Palatino Linotype" w:hAnsi="Symbol" w:cs="Palatino Linotype"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E2B15F5"/>
    <w:multiLevelType w:val="multilevel"/>
    <w:tmpl w:val="292256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00"/>
    <w:rsid w:val="00066E12"/>
    <w:rsid w:val="000813FF"/>
    <w:rsid w:val="000B2B2F"/>
    <w:rsid w:val="000C61C0"/>
    <w:rsid w:val="00113E90"/>
    <w:rsid w:val="001234C1"/>
    <w:rsid w:val="0012371A"/>
    <w:rsid w:val="001538F1"/>
    <w:rsid w:val="001947AB"/>
    <w:rsid w:val="00223B8D"/>
    <w:rsid w:val="002D5C7A"/>
    <w:rsid w:val="002E6894"/>
    <w:rsid w:val="002F1BA5"/>
    <w:rsid w:val="00320ADE"/>
    <w:rsid w:val="00324004"/>
    <w:rsid w:val="00377387"/>
    <w:rsid w:val="00395686"/>
    <w:rsid w:val="00396888"/>
    <w:rsid w:val="003F2862"/>
    <w:rsid w:val="00400810"/>
    <w:rsid w:val="00421CDD"/>
    <w:rsid w:val="0046010E"/>
    <w:rsid w:val="004C1633"/>
    <w:rsid w:val="004E26FE"/>
    <w:rsid w:val="00525B4F"/>
    <w:rsid w:val="00537201"/>
    <w:rsid w:val="00546EBD"/>
    <w:rsid w:val="00547429"/>
    <w:rsid w:val="006176D0"/>
    <w:rsid w:val="006D1EFF"/>
    <w:rsid w:val="00761A60"/>
    <w:rsid w:val="00787983"/>
    <w:rsid w:val="00831710"/>
    <w:rsid w:val="008420CD"/>
    <w:rsid w:val="008430F8"/>
    <w:rsid w:val="00996800"/>
    <w:rsid w:val="009C53E6"/>
    <w:rsid w:val="00A363B9"/>
    <w:rsid w:val="00A927E5"/>
    <w:rsid w:val="00AF29F0"/>
    <w:rsid w:val="00B17E56"/>
    <w:rsid w:val="00B530AB"/>
    <w:rsid w:val="00B75BA0"/>
    <w:rsid w:val="00BC5887"/>
    <w:rsid w:val="00BD0DC3"/>
    <w:rsid w:val="00C900F3"/>
    <w:rsid w:val="00CF6FF6"/>
    <w:rsid w:val="00D300FB"/>
    <w:rsid w:val="00D36C38"/>
    <w:rsid w:val="00D665E8"/>
    <w:rsid w:val="00DC1808"/>
    <w:rsid w:val="00E10ED9"/>
    <w:rsid w:val="00E43F29"/>
    <w:rsid w:val="00EC5212"/>
    <w:rsid w:val="00EE5BEE"/>
    <w:rsid w:val="00EE5D78"/>
    <w:rsid w:val="00F81E45"/>
    <w:rsid w:val="00FC4FA3"/>
    <w:rsid w:val="00FF0200"/>
    <w:rsid w:val="00FF0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B015"/>
  <w15:docId w15:val="{19D1F75E-F66B-4FC3-B51C-9A58968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lBapkSerhHhmADaVLRmqgUikA==">CgMxLjAyCWguMWZvYjl0ZTIJaC40ZDM0b2c4MghoLmdqZGd4czIJaC4zZHk2dmttMgloLjMwajB6bGwyCWguMnM4ZXlvMTIIaC50eWpjd3QyCWguM3pueXNoNzIJaC4xeTgxMHR3MgloLjFrc3Y0dXYyCWguMmV0OTJwMDIOaC5panY5OHBudGNkNXMyCWguMjZpbjFyZzIJaC4xN2RwOHZ1MgloLjNyZGNyam4yCWguMXQzaDVzZjgAciExMXFNRlRVc2xRZTZDQ29RNlR1c21NX25fUHBnZmNsN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8099</Words>
  <Characters>44547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2025-04-04T16:23:00Z</cp:lastPrinted>
  <dcterms:created xsi:type="dcterms:W3CDTF">2025-04-29T18:59:00Z</dcterms:created>
  <dcterms:modified xsi:type="dcterms:W3CDTF">2025-04-29T18:59:00Z</dcterms:modified>
</cp:coreProperties>
</file>