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23380F4" w14:textId="35CB7321" w:rsidR="002B3E11" w:rsidRPr="006B7F0D" w:rsidRDefault="00811D5F">
      <w:pPr>
        <w:tabs>
          <w:tab w:val="left" w:pos="0"/>
        </w:tabs>
        <w:spacing w:before="240" w:after="240" w:line="360" w:lineRule="auto"/>
        <w:jc w:val="both"/>
        <w:rPr>
          <w:rFonts w:ascii="Palatino Linotype" w:eastAsia="Palatino Linotype" w:hAnsi="Palatino Linotype" w:cs="Palatino Linotype"/>
          <w:sz w:val="22"/>
          <w:szCs w:val="22"/>
        </w:rPr>
      </w:pPr>
      <w:r w:rsidRPr="006B7F0D">
        <w:rPr>
          <w:rFonts w:ascii="Palatino Linotype" w:eastAsia="Palatino Linotype" w:hAnsi="Palatino Linotype" w:cs="Palatino Linotype"/>
          <w:sz w:val="22"/>
          <w:szCs w:val="22"/>
        </w:rPr>
        <w:t xml:space="preserve">Resolución del Pleno del Instituto de Transparencia, Acceso a la Información Pública y Protección de Datos Personales del Estado de México y Municipios, con domicilio en Metepec, Estado de México; de </w:t>
      </w:r>
      <w:r w:rsidR="00BD112C" w:rsidRPr="006B7F0D">
        <w:rPr>
          <w:rFonts w:ascii="Palatino Linotype" w:eastAsia="Palatino Linotype" w:hAnsi="Palatino Linotype" w:cs="Palatino Linotype"/>
          <w:color w:val="000000"/>
          <w:sz w:val="22"/>
          <w:szCs w:val="22"/>
        </w:rPr>
        <w:t>seis (06</w:t>
      </w:r>
      <w:r w:rsidR="00347341" w:rsidRPr="006B7F0D">
        <w:rPr>
          <w:rFonts w:ascii="Palatino Linotype" w:eastAsia="Palatino Linotype" w:hAnsi="Palatino Linotype" w:cs="Palatino Linotype"/>
          <w:color w:val="000000"/>
          <w:sz w:val="22"/>
          <w:szCs w:val="22"/>
        </w:rPr>
        <w:t xml:space="preserve">) de </w:t>
      </w:r>
      <w:r w:rsidR="00BD112C" w:rsidRPr="006B7F0D">
        <w:rPr>
          <w:rFonts w:ascii="Palatino Linotype" w:eastAsia="Palatino Linotype" w:hAnsi="Palatino Linotype" w:cs="Palatino Linotype"/>
          <w:color w:val="000000"/>
          <w:sz w:val="22"/>
          <w:szCs w:val="22"/>
        </w:rPr>
        <w:t>febrero</w:t>
      </w:r>
      <w:r w:rsidR="00347341" w:rsidRPr="006B7F0D">
        <w:rPr>
          <w:rFonts w:ascii="Palatino Linotype" w:eastAsia="Palatino Linotype" w:hAnsi="Palatino Linotype" w:cs="Palatino Linotype"/>
          <w:color w:val="000000"/>
          <w:sz w:val="22"/>
          <w:szCs w:val="22"/>
        </w:rPr>
        <w:t xml:space="preserve"> </w:t>
      </w:r>
      <w:r w:rsidR="009D0EA8" w:rsidRPr="006B7F0D">
        <w:rPr>
          <w:rFonts w:ascii="Palatino Linotype" w:eastAsia="Palatino Linotype" w:hAnsi="Palatino Linotype" w:cs="Palatino Linotype"/>
          <w:sz w:val="22"/>
          <w:szCs w:val="22"/>
        </w:rPr>
        <w:t>de dos mil veinticinco.</w:t>
      </w:r>
    </w:p>
    <w:p w14:paraId="74C13E99" w14:textId="3791DA60" w:rsidR="00BD112C" w:rsidRPr="006B7F0D" w:rsidRDefault="00811D5F">
      <w:pPr>
        <w:spacing w:before="240" w:after="240" w:line="360" w:lineRule="auto"/>
        <w:jc w:val="both"/>
        <w:rPr>
          <w:rFonts w:ascii="Palatino Linotype" w:eastAsia="Palatino Linotype" w:hAnsi="Palatino Linotype" w:cs="Palatino Linotype"/>
          <w:sz w:val="22"/>
          <w:szCs w:val="22"/>
        </w:rPr>
      </w:pPr>
      <w:r w:rsidRPr="006B7F0D">
        <w:rPr>
          <w:rFonts w:ascii="Palatino Linotype" w:eastAsia="Palatino Linotype" w:hAnsi="Palatino Linotype" w:cs="Palatino Linotype"/>
          <w:b/>
          <w:sz w:val="22"/>
          <w:szCs w:val="22"/>
        </w:rPr>
        <w:t>VISTO</w:t>
      </w:r>
      <w:r w:rsidRPr="006B7F0D">
        <w:rPr>
          <w:rFonts w:ascii="Palatino Linotype" w:eastAsia="Palatino Linotype" w:hAnsi="Palatino Linotype" w:cs="Palatino Linotype"/>
          <w:sz w:val="22"/>
          <w:szCs w:val="22"/>
        </w:rPr>
        <w:t xml:space="preserve"> el expediente electrónico formado con motivo del recurso de revisión </w:t>
      </w:r>
      <w:r w:rsidR="00E9214E" w:rsidRPr="006B7F0D">
        <w:rPr>
          <w:rFonts w:ascii="Palatino Linotype" w:eastAsia="Palatino Linotype" w:hAnsi="Palatino Linotype" w:cs="Palatino Linotype"/>
          <w:b/>
          <w:sz w:val="22"/>
          <w:szCs w:val="22"/>
        </w:rPr>
        <w:t>07688</w:t>
      </w:r>
      <w:r w:rsidR="009D0EA8" w:rsidRPr="006B7F0D">
        <w:rPr>
          <w:rFonts w:ascii="Palatino Linotype" w:eastAsia="Palatino Linotype" w:hAnsi="Palatino Linotype" w:cs="Palatino Linotype"/>
          <w:b/>
          <w:sz w:val="22"/>
          <w:szCs w:val="22"/>
        </w:rPr>
        <w:t>/INFOEM/IP/RR/2024</w:t>
      </w:r>
      <w:r w:rsidRPr="006B7F0D">
        <w:rPr>
          <w:rFonts w:ascii="Palatino Linotype" w:eastAsia="Palatino Linotype" w:hAnsi="Palatino Linotype" w:cs="Palatino Linotype"/>
          <w:b/>
          <w:sz w:val="22"/>
          <w:szCs w:val="22"/>
        </w:rPr>
        <w:t xml:space="preserve"> </w:t>
      </w:r>
      <w:r w:rsidRPr="006B7F0D">
        <w:rPr>
          <w:rFonts w:ascii="Palatino Linotype" w:eastAsia="Palatino Linotype" w:hAnsi="Palatino Linotype" w:cs="Palatino Linotype"/>
          <w:sz w:val="22"/>
          <w:szCs w:val="22"/>
        </w:rPr>
        <w:t>promovido por</w:t>
      </w:r>
      <w:r w:rsidRPr="006B7F0D">
        <w:rPr>
          <w:rFonts w:ascii="Palatino Linotype" w:eastAsia="Palatino Linotype" w:hAnsi="Palatino Linotype" w:cs="Palatino Linotype"/>
          <w:b/>
          <w:sz w:val="22"/>
          <w:szCs w:val="22"/>
        </w:rPr>
        <w:t xml:space="preserve"> </w:t>
      </w:r>
      <w:r w:rsidR="00902A92">
        <w:rPr>
          <w:rFonts w:ascii="Palatino Linotype" w:eastAsia="Palatino Linotype" w:hAnsi="Palatino Linotype" w:cs="Palatino Linotype"/>
          <w:b/>
          <w:sz w:val="22"/>
          <w:szCs w:val="22"/>
        </w:rPr>
        <w:t>XXXX XXXX XXX</w:t>
      </w:r>
      <w:r w:rsidRPr="006B7F0D">
        <w:rPr>
          <w:rFonts w:ascii="Palatino Linotype" w:eastAsia="Palatino Linotype" w:hAnsi="Palatino Linotype" w:cs="Palatino Linotype"/>
          <w:b/>
          <w:sz w:val="22"/>
          <w:szCs w:val="22"/>
        </w:rPr>
        <w:t xml:space="preserve">, </w:t>
      </w:r>
      <w:r w:rsidRPr="006B7F0D">
        <w:rPr>
          <w:rFonts w:ascii="Palatino Linotype" w:eastAsia="Palatino Linotype" w:hAnsi="Palatino Linotype" w:cs="Palatino Linotype"/>
          <w:sz w:val="22"/>
          <w:szCs w:val="22"/>
        </w:rPr>
        <w:t xml:space="preserve">en lo sucesivo la </w:t>
      </w:r>
      <w:r w:rsidRPr="006B7F0D">
        <w:rPr>
          <w:rFonts w:ascii="Palatino Linotype" w:eastAsia="Palatino Linotype" w:hAnsi="Palatino Linotype" w:cs="Palatino Linotype"/>
          <w:b/>
          <w:sz w:val="22"/>
          <w:szCs w:val="22"/>
        </w:rPr>
        <w:t>RECURRENTE</w:t>
      </w:r>
      <w:r w:rsidRPr="006B7F0D">
        <w:rPr>
          <w:rFonts w:ascii="Palatino Linotype" w:eastAsia="Palatino Linotype" w:hAnsi="Palatino Linotype" w:cs="Palatino Linotype"/>
          <w:sz w:val="22"/>
          <w:szCs w:val="22"/>
        </w:rPr>
        <w:t>,</w:t>
      </w:r>
      <w:r w:rsidR="00E9214E" w:rsidRPr="006B7F0D">
        <w:rPr>
          <w:rFonts w:ascii="Palatino Linotype" w:eastAsia="Palatino Linotype" w:hAnsi="Palatino Linotype" w:cs="Palatino Linotype"/>
          <w:sz w:val="22"/>
          <w:szCs w:val="22"/>
        </w:rPr>
        <w:t xml:space="preserve"> en contra de la respuesta del </w:t>
      </w:r>
      <w:r w:rsidR="00E9214E" w:rsidRPr="006B7F0D">
        <w:rPr>
          <w:rFonts w:ascii="Palatino Linotype" w:eastAsia="Palatino Linotype" w:hAnsi="Palatino Linotype" w:cs="Palatino Linotype"/>
          <w:b/>
          <w:sz w:val="22"/>
          <w:szCs w:val="22"/>
        </w:rPr>
        <w:t>Ayuntamiento de Chimalhuacán</w:t>
      </w:r>
      <w:r w:rsidRPr="006B7F0D">
        <w:rPr>
          <w:rFonts w:ascii="Palatino Linotype" w:eastAsia="Palatino Linotype" w:hAnsi="Palatino Linotype" w:cs="Palatino Linotype"/>
          <w:b/>
          <w:sz w:val="22"/>
          <w:szCs w:val="22"/>
        </w:rPr>
        <w:t xml:space="preserve">, </w:t>
      </w:r>
      <w:r w:rsidRPr="006B7F0D">
        <w:rPr>
          <w:rFonts w:ascii="Palatino Linotype" w:eastAsia="Palatino Linotype" w:hAnsi="Palatino Linotype" w:cs="Palatino Linotype"/>
          <w:sz w:val="22"/>
          <w:szCs w:val="22"/>
        </w:rPr>
        <w:t>en lo sucesivo el</w:t>
      </w:r>
      <w:r w:rsidRPr="006B7F0D">
        <w:rPr>
          <w:rFonts w:ascii="Palatino Linotype" w:eastAsia="Palatino Linotype" w:hAnsi="Palatino Linotype" w:cs="Palatino Linotype"/>
          <w:b/>
          <w:sz w:val="22"/>
          <w:szCs w:val="22"/>
        </w:rPr>
        <w:t xml:space="preserve"> SUJETO OBLIGADO, </w:t>
      </w:r>
      <w:r w:rsidRPr="006B7F0D">
        <w:rPr>
          <w:rFonts w:ascii="Palatino Linotype" w:eastAsia="Palatino Linotype" w:hAnsi="Palatino Linotype" w:cs="Palatino Linotype"/>
          <w:sz w:val="22"/>
          <w:szCs w:val="22"/>
        </w:rPr>
        <w:t>se procede a dictar la presente resolución, con base en los siguientes:</w:t>
      </w:r>
    </w:p>
    <w:p w14:paraId="046A63A8" w14:textId="77777777" w:rsidR="002B3E11" w:rsidRPr="006B7F0D" w:rsidRDefault="00811D5F">
      <w:pPr>
        <w:keepNext/>
        <w:keepLines/>
        <w:tabs>
          <w:tab w:val="left" w:pos="0"/>
        </w:tabs>
        <w:spacing w:before="240" w:after="240" w:line="360" w:lineRule="auto"/>
        <w:jc w:val="center"/>
        <w:rPr>
          <w:rFonts w:ascii="Palatino Linotype" w:eastAsia="Palatino Linotype" w:hAnsi="Palatino Linotype" w:cs="Palatino Linotype"/>
          <w:b/>
          <w:sz w:val="22"/>
          <w:szCs w:val="22"/>
        </w:rPr>
      </w:pPr>
      <w:bookmarkStart w:id="0" w:name="_heading=h.gjdgxs" w:colFirst="0" w:colLast="0"/>
      <w:bookmarkEnd w:id="0"/>
      <w:r w:rsidRPr="006B7F0D">
        <w:rPr>
          <w:rFonts w:ascii="Palatino Linotype" w:eastAsia="Palatino Linotype" w:hAnsi="Palatino Linotype" w:cs="Palatino Linotype"/>
          <w:b/>
          <w:sz w:val="22"/>
          <w:szCs w:val="22"/>
        </w:rPr>
        <w:t>ANTECEDENTES</w:t>
      </w:r>
    </w:p>
    <w:p w14:paraId="007DC84D" w14:textId="1AF69376" w:rsidR="002B3E11" w:rsidRPr="006B7F0D" w:rsidRDefault="00811D5F">
      <w:pPr>
        <w:numPr>
          <w:ilvl w:val="0"/>
          <w:numId w:val="4"/>
        </w:numPr>
        <w:tabs>
          <w:tab w:val="left" w:pos="0"/>
        </w:tabs>
        <w:spacing w:before="240" w:line="360" w:lineRule="auto"/>
        <w:ind w:left="0" w:firstLine="0"/>
        <w:jc w:val="both"/>
        <w:rPr>
          <w:rFonts w:ascii="Palatino Linotype" w:eastAsia="Palatino Linotype" w:hAnsi="Palatino Linotype" w:cs="Palatino Linotype"/>
          <w:sz w:val="22"/>
          <w:szCs w:val="22"/>
        </w:rPr>
      </w:pPr>
      <w:r w:rsidRPr="006B7F0D">
        <w:rPr>
          <w:rFonts w:ascii="Palatino Linotype" w:eastAsia="Palatino Linotype" w:hAnsi="Palatino Linotype" w:cs="Palatino Linotype"/>
          <w:sz w:val="22"/>
          <w:szCs w:val="22"/>
        </w:rPr>
        <w:t xml:space="preserve">El </w:t>
      </w:r>
      <w:r w:rsidR="00E9214E" w:rsidRPr="006B7F0D">
        <w:rPr>
          <w:rFonts w:ascii="Palatino Linotype" w:eastAsia="Palatino Linotype" w:hAnsi="Palatino Linotype" w:cs="Palatino Linotype"/>
          <w:sz w:val="22"/>
          <w:szCs w:val="22"/>
        </w:rPr>
        <w:t>cinco de noviembre de dos mil veinticuatro</w:t>
      </w:r>
      <w:r w:rsidRPr="006B7F0D">
        <w:rPr>
          <w:rFonts w:ascii="Palatino Linotype" w:eastAsia="Palatino Linotype" w:hAnsi="Palatino Linotype" w:cs="Palatino Linotype"/>
          <w:sz w:val="22"/>
          <w:szCs w:val="22"/>
        </w:rPr>
        <w:t>, el</w:t>
      </w:r>
      <w:r w:rsidRPr="006B7F0D">
        <w:rPr>
          <w:rFonts w:ascii="Palatino Linotype" w:eastAsia="Palatino Linotype" w:hAnsi="Palatino Linotype" w:cs="Palatino Linotype"/>
          <w:b/>
          <w:sz w:val="22"/>
          <w:szCs w:val="22"/>
        </w:rPr>
        <w:t xml:space="preserve"> RECURRENTE </w:t>
      </w:r>
      <w:r w:rsidRPr="006B7F0D">
        <w:rPr>
          <w:rFonts w:ascii="Palatino Linotype" w:eastAsia="Palatino Linotype" w:hAnsi="Palatino Linotype" w:cs="Palatino Linotype"/>
          <w:sz w:val="22"/>
          <w:szCs w:val="22"/>
        </w:rPr>
        <w:t>presentó</w:t>
      </w:r>
      <w:r w:rsidRPr="006B7F0D">
        <w:rPr>
          <w:rFonts w:ascii="Palatino Linotype" w:eastAsia="Palatino Linotype" w:hAnsi="Palatino Linotype" w:cs="Palatino Linotype"/>
          <w:b/>
          <w:sz w:val="22"/>
          <w:szCs w:val="22"/>
        </w:rPr>
        <w:t xml:space="preserve"> </w:t>
      </w:r>
      <w:r w:rsidRPr="006B7F0D">
        <w:rPr>
          <w:rFonts w:ascii="Palatino Linotype" w:eastAsia="Palatino Linotype" w:hAnsi="Palatino Linotype" w:cs="Palatino Linotype"/>
          <w:sz w:val="22"/>
          <w:szCs w:val="22"/>
        </w:rPr>
        <w:t xml:space="preserve">ante el </w:t>
      </w:r>
      <w:r w:rsidRPr="006B7F0D">
        <w:rPr>
          <w:rFonts w:ascii="Palatino Linotype" w:eastAsia="Palatino Linotype" w:hAnsi="Palatino Linotype" w:cs="Palatino Linotype"/>
          <w:b/>
          <w:sz w:val="22"/>
          <w:szCs w:val="22"/>
        </w:rPr>
        <w:t>SUJETO OBLIGADO,</w:t>
      </w:r>
      <w:r w:rsidRPr="006B7F0D">
        <w:rPr>
          <w:rFonts w:ascii="Palatino Linotype" w:eastAsia="Palatino Linotype" w:hAnsi="Palatino Linotype" w:cs="Palatino Linotype"/>
          <w:sz w:val="22"/>
          <w:szCs w:val="22"/>
        </w:rPr>
        <w:t xml:space="preserve"> a través de la Plataforma digital Sistema de Acceso a la Información Mexiquense (SAIMEX), la solicitud de información pública registrada con el número </w:t>
      </w:r>
      <w:r w:rsidR="00E9214E" w:rsidRPr="006B7F0D">
        <w:rPr>
          <w:rFonts w:ascii="Palatino Linotype" w:eastAsia="Palatino Linotype" w:hAnsi="Palatino Linotype" w:cs="Palatino Linotype"/>
          <w:b/>
          <w:sz w:val="22"/>
          <w:szCs w:val="22"/>
        </w:rPr>
        <w:t>00317/CHIMALHU/IP/2024</w:t>
      </w:r>
      <w:r w:rsidRPr="006B7F0D">
        <w:rPr>
          <w:rFonts w:ascii="Palatino Linotype" w:eastAsia="Palatino Linotype" w:hAnsi="Palatino Linotype" w:cs="Palatino Linotype"/>
          <w:b/>
          <w:sz w:val="22"/>
          <w:szCs w:val="22"/>
        </w:rPr>
        <w:t>,</w:t>
      </w:r>
      <w:r w:rsidRPr="006B7F0D">
        <w:rPr>
          <w:rFonts w:ascii="Palatino Linotype" w:eastAsia="Palatino Linotype" w:hAnsi="Palatino Linotype" w:cs="Palatino Linotype"/>
          <w:sz w:val="22"/>
          <w:szCs w:val="22"/>
        </w:rPr>
        <w:t xml:space="preserve"> mediante la cual se solicitó:</w:t>
      </w:r>
    </w:p>
    <w:p w14:paraId="7479E226" w14:textId="77777777" w:rsidR="002B3E11" w:rsidRPr="006B7F0D" w:rsidRDefault="002B3E11">
      <w:pPr>
        <w:ind w:right="539"/>
        <w:jc w:val="both"/>
        <w:rPr>
          <w:rFonts w:ascii="Palatino Linotype" w:eastAsia="Palatino Linotype" w:hAnsi="Palatino Linotype" w:cs="Palatino Linotype"/>
          <w:sz w:val="22"/>
          <w:szCs w:val="22"/>
        </w:rPr>
      </w:pPr>
    </w:p>
    <w:p w14:paraId="25481D0E" w14:textId="77777777" w:rsidR="00E9214E" w:rsidRPr="006B7F0D" w:rsidRDefault="00811D5F" w:rsidP="00E9214E">
      <w:pPr>
        <w:ind w:left="567" w:right="539"/>
        <w:jc w:val="both"/>
        <w:rPr>
          <w:rFonts w:ascii="Palatino Linotype" w:hAnsi="Palatino Linotype"/>
          <w:i/>
          <w:color w:val="000000"/>
          <w:sz w:val="22"/>
          <w:szCs w:val="22"/>
        </w:rPr>
      </w:pPr>
      <w:r w:rsidRPr="006B7F0D">
        <w:rPr>
          <w:rFonts w:ascii="Palatino Linotype" w:eastAsia="Palatino Linotype" w:hAnsi="Palatino Linotype" w:cs="Palatino Linotype"/>
          <w:i/>
          <w:color w:val="000000"/>
          <w:sz w:val="22"/>
          <w:szCs w:val="22"/>
        </w:rPr>
        <w:t>“</w:t>
      </w:r>
      <w:r w:rsidR="00E9214E" w:rsidRPr="006B7F0D">
        <w:rPr>
          <w:rFonts w:ascii="Palatino Linotype" w:hAnsi="Palatino Linotype"/>
          <w:i/>
          <w:color w:val="000000"/>
          <w:sz w:val="22"/>
          <w:szCs w:val="22"/>
        </w:rPr>
        <w:t xml:space="preserve">Solicitó se me proporcione la versión pública y digitalizada del expediente actual y vigente que se formo de la vía pública calle La Paz, Cabecera Municipal, Chimalhuacán, Estado de México, con motivo de la obra que se esta realizando actualmente a la fecha de presentación </w:t>
      </w:r>
    </w:p>
    <w:p w14:paraId="02E5C425" w14:textId="5A8F73C2" w:rsidR="002B3E11" w:rsidRPr="006B7F0D" w:rsidRDefault="00E9214E" w:rsidP="00E9214E">
      <w:pPr>
        <w:ind w:left="567" w:right="539"/>
        <w:jc w:val="both"/>
        <w:rPr>
          <w:rFonts w:ascii="Palatino Linotype" w:eastAsia="Palatino Linotype" w:hAnsi="Palatino Linotype" w:cs="Palatino Linotype"/>
          <w:i/>
          <w:color w:val="000000"/>
          <w:sz w:val="22"/>
          <w:szCs w:val="22"/>
        </w:rPr>
      </w:pPr>
      <w:r w:rsidRPr="006B7F0D">
        <w:rPr>
          <w:rFonts w:ascii="Palatino Linotype" w:hAnsi="Palatino Linotype"/>
          <w:i/>
          <w:color w:val="000000"/>
          <w:sz w:val="22"/>
          <w:szCs w:val="22"/>
        </w:rPr>
        <w:t>de esta solicitud, para lo cual adjunto fotografía de dicha obra.</w:t>
      </w:r>
      <w:r w:rsidR="00811D5F" w:rsidRPr="006B7F0D">
        <w:rPr>
          <w:rFonts w:ascii="Palatino Linotype" w:eastAsia="Palatino Linotype" w:hAnsi="Palatino Linotype" w:cs="Palatino Linotype"/>
          <w:i/>
          <w:color w:val="000000"/>
          <w:sz w:val="22"/>
          <w:szCs w:val="22"/>
        </w:rPr>
        <w:t>” (Sic)</w:t>
      </w:r>
    </w:p>
    <w:p w14:paraId="43A27384" w14:textId="77777777" w:rsidR="002B3E11" w:rsidRPr="006B7F0D" w:rsidRDefault="002B3E11" w:rsidP="00E9214E">
      <w:pPr>
        <w:ind w:right="539"/>
        <w:jc w:val="both"/>
        <w:rPr>
          <w:rFonts w:ascii="Palatino Linotype" w:eastAsia="Palatino Linotype" w:hAnsi="Palatino Linotype" w:cs="Palatino Linotype"/>
          <w:sz w:val="22"/>
          <w:szCs w:val="22"/>
        </w:rPr>
      </w:pPr>
    </w:p>
    <w:p w14:paraId="08110656" w14:textId="28A20CF1" w:rsidR="00E9214E" w:rsidRPr="006B7F0D" w:rsidRDefault="00E9214E" w:rsidP="00E9214E">
      <w:pPr>
        <w:ind w:right="113"/>
        <w:jc w:val="both"/>
        <w:rPr>
          <w:rFonts w:ascii="Palatino Linotype" w:eastAsia="Palatino Linotype" w:hAnsi="Palatino Linotype" w:cs="Palatino Linotype"/>
          <w:sz w:val="22"/>
          <w:szCs w:val="22"/>
        </w:rPr>
      </w:pPr>
      <w:r w:rsidRPr="006B7F0D">
        <w:rPr>
          <w:rFonts w:ascii="Palatino Linotype" w:eastAsia="Palatino Linotype" w:hAnsi="Palatino Linotype" w:cs="Palatino Linotype"/>
          <w:sz w:val="22"/>
          <w:szCs w:val="22"/>
        </w:rPr>
        <w:t>Se adjuntó el archivo electrónico denominado “</w:t>
      </w:r>
      <w:hyperlink r:id="rId8" w:tgtFrame="_blank" w:history="1">
        <w:r w:rsidRPr="006B7F0D">
          <w:rPr>
            <w:rStyle w:val="Hipervnculo"/>
            <w:rFonts w:ascii="Palatino Linotype" w:hAnsi="Palatino Linotype" w:cs="Arial"/>
            <w:b/>
            <w:bCs/>
            <w:color w:val="auto"/>
            <w:sz w:val="22"/>
            <w:szCs w:val="22"/>
            <w:u w:val="none"/>
          </w:rPr>
          <w:t>foto.pdf</w:t>
        </w:r>
      </w:hyperlink>
      <w:r w:rsidRPr="006B7F0D">
        <w:rPr>
          <w:rFonts w:ascii="Palatino Linotype" w:hAnsi="Palatino Linotype" w:cs="Arial"/>
          <w:sz w:val="22"/>
          <w:szCs w:val="22"/>
        </w:rPr>
        <w:t xml:space="preserve">”, consistente en la fotografía referida </w:t>
      </w:r>
      <w:r w:rsidR="000D5A60" w:rsidRPr="006B7F0D">
        <w:rPr>
          <w:rFonts w:ascii="Palatino Linotype" w:hAnsi="Palatino Linotype" w:cs="Arial"/>
          <w:sz w:val="22"/>
          <w:szCs w:val="22"/>
        </w:rPr>
        <w:t>mediante</w:t>
      </w:r>
      <w:r w:rsidRPr="006B7F0D">
        <w:rPr>
          <w:rFonts w:ascii="Palatino Linotype" w:hAnsi="Palatino Linotype" w:cs="Arial"/>
          <w:sz w:val="22"/>
          <w:szCs w:val="22"/>
        </w:rPr>
        <w:t xml:space="preserve"> solicitud de información.</w:t>
      </w:r>
    </w:p>
    <w:p w14:paraId="407FD6D2" w14:textId="77777777" w:rsidR="00E9214E" w:rsidRPr="006B7F0D" w:rsidRDefault="00E9214E">
      <w:pPr>
        <w:ind w:right="539"/>
        <w:jc w:val="both"/>
        <w:rPr>
          <w:rFonts w:ascii="Palatino Linotype" w:eastAsia="Palatino Linotype" w:hAnsi="Palatino Linotype" w:cs="Palatino Linotype"/>
          <w:sz w:val="22"/>
          <w:szCs w:val="22"/>
        </w:rPr>
      </w:pPr>
    </w:p>
    <w:p w14:paraId="25C0AC84" w14:textId="4F5DD199" w:rsidR="002B3E11" w:rsidRPr="006B7F0D" w:rsidRDefault="00811D5F" w:rsidP="000D5A60">
      <w:pPr>
        <w:numPr>
          <w:ilvl w:val="0"/>
          <w:numId w:val="4"/>
        </w:numPr>
        <w:pBdr>
          <w:top w:val="nil"/>
          <w:left w:val="nil"/>
          <w:bottom w:val="nil"/>
          <w:right w:val="nil"/>
          <w:between w:val="nil"/>
        </w:pBdr>
        <w:spacing w:before="240" w:after="240" w:line="360" w:lineRule="auto"/>
        <w:ind w:left="0" w:firstLine="0"/>
        <w:jc w:val="both"/>
        <w:rPr>
          <w:rFonts w:ascii="Palatino Linotype" w:eastAsia="Palatino Linotype" w:hAnsi="Palatino Linotype" w:cs="Palatino Linotype"/>
          <w:i/>
          <w:color w:val="000000"/>
          <w:sz w:val="22"/>
          <w:szCs w:val="22"/>
        </w:rPr>
      </w:pPr>
      <w:r w:rsidRPr="006B7F0D">
        <w:rPr>
          <w:rFonts w:ascii="Palatino Linotype" w:eastAsia="Palatino Linotype" w:hAnsi="Palatino Linotype" w:cs="Palatino Linotype"/>
          <w:color w:val="000000"/>
          <w:sz w:val="22"/>
          <w:szCs w:val="22"/>
        </w:rPr>
        <w:t xml:space="preserve">Se hace constar que se señaló como modalidad de entrega de la información a través del Sistema de Acceso a la Información Mexiquense </w:t>
      </w:r>
      <w:r w:rsidRPr="006B7F0D">
        <w:rPr>
          <w:rFonts w:ascii="Palatino Linotype" w:eastAsia="Palatino Linotype" w:hAnsi="Palatino Linotype" w:cs="Palatino Linotype"/>
          <w:b/>
          <w:color w:val="000000"/>
          <w:sz w:val="22"/>
          <w:szCs w:val="22"/>
        </w:rPr>
        <w:t>(SAIMEX).</w:t>
      </w:r>
    </w:p>
    <w:p w14:paraId="6BA70C1B" w14:textId="3FE3F6AC" w:rsidR="002B3E11" w:rsidRPr="006B7F0D" w:rsidRDefault="00811D5F">
      <w:pPr>
        <w:numPr>
          <w:ilvl w:val="0"/>
          <w:numId w:val="4"/>
        </w:numPr>
        <w:tabs>
          <w:tab w:val="left" w:pos="0"/>
        </w:tabs>
        <w:spacing w:line="360" w:lineRule="auto"/>
        <w:ind w:left="0" w:right="34" w:firstLine="0"/>
        <w:jc w:val="both"/>
        <w:rPr>
          <w:rFonts w:ascii="Palatino Linotype" w:eastAsia="Palatino Linotype" w:hAnsi="Palatino Linotype" w:cs="Palatino Linotype"/>
          <w:b/>
          <w:sz w:val="22"/>
          <w:szCs w:val="22"/>
        </w:rPr>
      </w:pPr>
      <w:bookmarkStart w:id="1" w:name="_heading=h.30j0zll" w:colFirst="0" w:colLast="0"/>
      <w:bookmarkEnd w:id="1"/>
      <w:r w:rsidRPr="006B7F0D">
        <w:rPr>
          <w:rFonts w:ascii="Palatino Linotype" w:eastAsia="Palatino Linotype" w:hAnsi="Palatino Linotype" w:cs="Palatino Linotype"/>
          <w:sz w:val="22"/>
          <w:szCs w:val="22"/>
        </w:rPr>
        <w:lastRenderedPageBreak/>
        <w:t xml:space="preserve">El </w:t>
      </w:r>
      <w:r w:rsidR="001A702E" w:rsidRPr="006B7F0D">
        <w:rPr>
          <w:rFonts w:ascii="Palatino Linotype" w:eastAsia="Palatino Linotype" w:hAnsi="Palatino Linotype" w:cs="Palatino Linotype"/>
          <w:sz w:val="22"/>
          <w:szCs w:val="22"/>
        </w:rPr>
        <w:t xml:space="preserve">veintiséis de noviembre de </w:t>
      </w:r>
      <w:r w:rsidR="00F75468" w:rsidRPr="006B7F0D">
        <w:rPr>
          <w:rFonts w:ascii="Palatino Linotype" w:eastAsia="Palatino Linotype" w:hAnsi="Palatino Linotype" w:cs="Palatino Linotype"/>
          <w:sz w:val="22"/>
          <w:szCs w:val="22"/>
        </w:rPr>
        <w:t xml:space="preserve">dos mil veinticuatro </w:t>
      </w:r>
      <w:r w:rsidRPr="006B7F0D">
        <w:rPr>
          <w:rFonts w:ascii="Palatino Linotype" w:eastAsia="Palatino Linotype" w:hAnsi="Palatino Linotype" w:cs="Palatino Linotype"/>
          <w:sz w:val="22"/>
          <w:szCs w:val="22"/>
        </w:rPr>
        <w:t xml:space="preserve">, el </w:t>
      </w:r>
      <w:r w:rsidRPr="006B7F0D">
        <w:rPr>
          <w:rFonts w:ascii="Palatino Linotype" w:eastAsia="Palatino Linotype" w:hAnsi="Palatino Linotype" w:cs="Palatino Linotype"/>
          <w:b/>
          <w:sz w:val="22"/>
          <w:szCs w:val="22"/>
        </w:rPr>
        <w:t xml:space="preserve">SUJETO OBLIGADO </w:t>
      </w:r>
      <w:r w:rsidRPr="006B7F0D">
        <w:rPr>
          <w:rFonts w:ascii="Palatino Linotype" w:eastAsia="Palatino Linotype" w:hAnsi="Palatino Linotype" w:cs="Palatino Linotype"/>
          <w:sz w:val="22"/>
          <w:szCs w:val="22"/>
        </w:rPr>
        <w:t>dio respuesta a la solicitud, en los siguientes términos:</w:t>
      </w:r>
    </w:p>
    <w:p w14:paraId="028864F1" w14:textId="77777777" w:rsidR="002B3E11" w:rsidRPr="006B7F0D" w:rsidRDefault="002B3E11">
      <w:pPr>
        <w:tabs>
          <w:tab w:val="left" w:pos="0"/>
        </w:tabs>
        <w:spacing w:line="360" w:lineRule="auto"/>
        <w:ind w:right="34"/>
        <w:jc w:val="both"/>
        <w:rPr>
          <w:rFonts w:ascii="Palatino Linotype" w:eastAsia="Palatino Linotype" w:hAnsi="Palatino Linotype" w:cs="Palatino Linotype"/>
          <w:b/>
          <w:sz w:val="22"/>
          <w:szCs w:val="22"/>
        </w:rPr>
      </w:pPr>
    </w:p>
    <w:p w14:paraId="45953237" w14:textId="21CB6771" w:rsidR="002B3E11" w:rsidRPr="006B7F0D" w:rsidRDefault="00811D5F" w:rsidP="00F75468">
      <w:pPr>
        <w:ind w:left="567" w:right="539"/>
        <w:jc w:val="both"/>
        <w:rPr>
          <w:rFonts w:ascii="Palatino Linotype" w:eastAsia="Palatino Linotype" w:hAnsi="Palatino Linotype" w:cs="Palatino Linotype"/>
          <w:i/>
          <w:color w:val="000000"/>
          <w:sz w:val="22"/>
          <w:szCs w:val="22"/>
        </w:rPr>
      </w:pPr>
      <w:r w:rsidRPr="006B7F0D">
        <w:rPr>
          <w:rFonts w:ascii="Palatino Linotype" w:eastAsia="Palatino Linotype" w:hAnsi="Palatino Linotype" w:cs="Palatino Linotype"/>
          <w:i/>
          <w:color w:val="000000"/>
          <w:sz w:val="22"/>
          <w:szCs w:val="22"/>
        </w:rPr>
        <w:t>“…</w:t>
      </w:r>
      <w:r w:rsidR="00F75468" w:rsidRPr="006B7F0D">
        <w:rPr>
          <w:rFonts w:ascii="Palatino Linotype" w:hAnsi="Palatino Linotype"/>
          <w:i/>
          <w:color w:val="000000"/>
          <w:sz w:val="22"/>
          <w:szCs w:val="22"/>
        </w:rPr>
        <w:t>Con el objeto de no vulnerar a lo dispuesto en el Art. 6 de la Constitución Política de los Estados Unidos Mexicanos, así como lo dispuesto en los artículos 5, 7, 12, 15,19,20, 90 y 222 en sus fracciones I, X, XII, X Y XXI, de la Ley de Transparencia y Acceso a la Información Pública del Estado de México y Municipios, tengo bien a informarle respecto a la solicitud en referencia que en el siguiente hipervínculo podrá tener acceso a la información actual y vigente de la vía pública calle la paz, https://1drv.ms/f/c/ad767745fa82b6cc/Elawny-fZbpNtvYJ-A9Dt-oBSPj6Yl1LDk INPPSgZrnkg?e=jw5ZXj, que forma parte de la información que está a disposición en el Portal de Información Pública de Oficio Mexiquense (ipomex). En atención a su Oficio número CHIM/UTAIP/00583/2024, de fecha doce de noviembre del año dos mil veinticuatro, recibido bajo el folio 001435, mediante el cual solicita se le de atención a la solicitud de información con número de folio 00317/CHIMALHU/IP/2024 requerida vía SAIMEX, lo siguiente: “…solicito se me dé la versión publica y digitalizada del expediente actual y vigente que se formó de la vía publica calle la Paz, Cabecera Municipal, Chimalhuacán, Estado de México, con motivo de la obra que se está realizando actualmente a la fecha de presentación de esta solicitud, por lo cual adjunto fotografía de dicha obra…” Al respecto le indico que la ejecución de la obra que se está realizando de la vía pública de la Calle La Paz, Cabecera Municipal de este Municipio, está bajo la responsabilidad de la Dirección de Obras Publicas Municipal, Unidad Administrativa facultada para llevar a cabo estas acciones de acuerdo lo establecido en el Bando Municipal de Chimalhuacán vigente, por lo que no es posible brindar la información solicitada. ATENTAMENTE ING. ADRIÁN JESÚS SOTO DÍAZ DIRECTOR DE DESARROLLO URBANO.</w:t>
      </w:r>
      <w:r w:rsidRPr="006B7F0D">
        <w:rPr>
          <w:rFonts w:ascii="Palatino Linotype" w:eastAsia="Palatino Linotype" w:hAnsi="Palatino Linotype" w:cs="Palatino Linotype"/>
          <w:i/>
          <w:color w:val="000000"/>
          <w:sz w:val="22"/>
          <w:szCs w:val="22"/>
        </w:rPr>
        <w:t>... ” (Sic)</w:t>
      </w:r>
    </w:p>
    <w:p w14:paraId="25827EBA" w14:textId="77777777" w:rsidR="002B3E11" w:rsidRPr="006B7F0D" w:rsidRDefault="002B3E11" w:rsidP="00F75468">
      <w:pPr>
        <w:ind w:right="-28"/>
        <w:rPr>
          <w:rFonts w:ascii="Palatino Linotype" w:eastAsia="Palatino Linotype" w:hAnsi="Palatino Linotype" w:cs="Palatino Linotype"/>
          <w:color w:val="000000"/>
          <w:sz w:val="22"/>
          <w:szCs w:val="22"/>
        </w:rPr>
      </w:pPr>
    </w:p>
    <w:p w14:paraId="1A4461AA" w14:textId="42787315" w:rsidR="002B3E11" w:rsidRPr="006B7F0D" w:rsidRDefault="00811D5F">
      <w:pPr>
        <w:numPr>
          <w:ilvl w:val="0"/>
          <w:numId w:val="4"/>
        </w:numPr>
        <w:pBdr>
          <w:top w:val="nil"/>
          <w:left w:val="nil"/>
          <w:bottom w:val="nil"/>
          <w:right w:val="nil"/>
          <w:between w:val="nil"/>
        </w:pBdr>
        <w:tabs>
          <w:tab w:val="left" w:pos="0"/>
        </w:tabs>
        <w:spacing w:before="240" w:after="240" w:line="360" w:lineRule="auto"/>
        <w:ind w:left="0" w:firstLine="0"/>
        <w:jc w:val="both"/>
        <w:rPr>
          <w:rFonts w:ascii="Palatino Linotype" w:eastAsia="Palatino Linotype" w:hAnsi="Palatino Linotype" w:cs="Palatino Linotype"/>
          <w:b/>
          <w:color w:val="000000"/>
          <w:sz w:val="22"/>
          <w:szCs w:val="22"/>
        </w:rPr>
      </w:pPr>
      <w:r w:rsidRPr="006B7F0D">
        <w:rPr>
          <w:rFonts w:ascii="Palatino Linotype" w:eastAsia="Palatino Linotype" w:hAnsi="Palatino Linotype" w:cs="Palatino Linotype"/>
          <w:color w:val="000000"/>
          <w:sz w:val="22"/>
          <w:szCs w:val="22"/>
        </w:rPr>
        <w:t xml:space="preserve">El </w:t>
      </w:r>
      <w:r w:rsidR="00F75468" w:rsidRPr="006B7F0D">
        <w:rPr>
          <w:rFonts w:ascii="Palatino Linotype" w:eastAsia="Palatino Linotype" w:hAnsi="Palatino Linotype" w:cs="Palatino Linotype"/>
          <w:color w:val="000000"/>
          <w:sz w:val="22"/>
          <w:szCs w:val="22"/>
        </w:rPr>
        <w:t>diecisiete de diciembre de dos mil veinticuatro</w:t>
      </w:r>
      <w:r w:rsidRPr="006B7F0D">
        <w:rPr>
          <w:rFonts w:ascii="Palatino Linotype" w:eastAsia="Palatino Linotype" w:hAnsi="Palatino Linotype" w:cs="Palatino Linotype"/>
          <w:b/>
          <w:color w:val="000000"/>
          <w:sz w:val="22"/>
          <w:szCs w:val="22"/>
        </w:rPr>
        <w:t>,</w:t>
      </w:r>
      <w:r w:rsidRPr="006B7F0D">
        <w:rPr>
          <w:rFonts w:ascii="Palatino Linotype" w:eastAsia="Palatino Linotype" w:hAnsi="Palatino Linotype" w:cs="Palatino Linotype"/>
          <w:color w:val="000000"/>
          <w:sz w:val="22"/>
          <w:szCs w:val="22"/>
        </w:rPr>
        <w:t xml:space="preserve"> el </w:t>
      </w:r>
      <w:r w:rsidRPr="006B7F0D">
        <w:rPr>
          <w:rFonts w:ascii="Palatino Linotype" w:eastAsia="Palatino Linotype" w:hAnsi="Palatino Linotype" w:cs="Palatino Linotype"/>
          <w:b/>
          <w:color w:val="000000"/>
          <w:sz w:val="22"/>
          <w:szCs w:val="22"/>
        </w:rPr>
        <w:t xml:space="preserve">RECURRENTE </w:t>
      </w:r>
      <w:r w:rsidRPr="006B7F0D">
        <w:rPr>
          <w:rFonts w:ascii="Palatino Linotype" w:eastAsia="Palatino Linotype" w:hAnsi="Palatino Linotype" w:cs="Palatino Linotype"/>
          <w:color w:val="000000"/>
          <w:sz w:val="22"/>
          <w:szCs w:val="22"/>
        </w:rPr>
        <w:t>interpuso el recurso de revisión</w:t>
      </w:r>
      <w:r w:rsidR="009D0EA8" w:rsidRPr="006B7F0D">
        <w:rPr>
          <w:rFonts w:ascii="Palatino Linotype" w:eastAsia="Palatino Linotype" w:hAnsi="Palatino Linotype" w:cs="Palatino Linotype"/>
          <w:color w:val="000000"/>
          <w:sz w:val="22"/>
          <w:szCs w:val="22"/>
        </w:rPr>
        <w:t xml:space="preserve"> </w:t>
      </w:r>
      <w:r w:rsidR="009D0EA8" w:rsidRPr="006B7F0D">
        <w:rPr>
          <w:rFonts w:ascii="Palatino Linotype" w:eastAsia="Palatino Linotype" w:hAnsi="Palatino Linotype" w:cs="Palatino Linotype"/>
          <w:b/>
          <w:sz w:val="22"/>
          <w:szCs w:val="22"/>
        </w:rPr>
        <w:t>07688/INFOEM/IP/RR/2024</w:t>
      </w:r>
      <w:r w:rsidRPr="006B7F0D">
        <w:rPr>
          <w:rFonts w:ascii="Palatino Linotype" w:eastAsia="Palatino Linotype" w:hAnsi="Palatino Linotype" w:cs="Palatino Linotype"/>
          <w:color w:val="000000"/>
          <w:sz w:val="22"/>
          <w:szCs w:val="22"/>
        </w:rPr>
        <w:t>, señalando como:</w:t>
      </w:r>
    </w:p>
    <w:p w14:paraId="4C638429" w14:textId="7FED36E8" w:rsidR="002B3E11" w:rsidRPr="006B7F0D" w:rsidRDefault="00811D5F" w:rsidP="00F75468">
      <w:pPr>
        <w:ind w:left="567" w:right="539"/>
        <w:jc w:val="both"/>
        <w:rPr>
          <w:rFonts w:ascii="Palatino Linotype" w:eastAsia="Palatino Linotype" w:hAnsi="Palatino Linotype" w:cs="Palatino Linotype"/>
          <w:i/>
          <w:sz w:val="22"/>
          <w:szCs w:val="22"/>
        </w:rPr>
      </w:pPr>
      <w:r w:rsidRPr="006B7F0D">
        <w:rPr>
          <w:rFonts w:ascii="Palatino Linotype" w:eastAsia="Palatino Linotype" w:hAnsi="Palatino Linotype" w:cs="Palatino Linotype"/>
          <w:b/>
          <w:sz w:val="22"/>
          <w:szCs w:val="22"/>
        </w:rPr>
        <w:t>Acto impugnado:</w:t>
      </w:r>
      <w:r w:rsidRPr="006B7F0D">
        <w:rPr>
          <w:rFonts w:ascii="Palatino Linotype" w:eastAsia="Palatino Linotype" w:hAnsi="Palatino Linotype" w:cs="Palatino Linotype"/>
          <w:i/>
          <w:sz w:val="22"/>
          <w:szCs w:val="22"/>
        </w:rPr>
        <w:t xml:space="preserve"> “</w:t>
      </w:r>
      <w:r w:rsidR="00F75468" w:rsidRPr="006B7F0D">
        <w:rPr>
          <w:rFonts w:ascii="Palatino Linotype" w:hAnsi="Palatino Linotype"/>
          <w:i/>
          <w:color w:val="000000"/>
          <w:sz w:val="22"/>
          <w:szCs w:val="22"/>
        </w:rPr>
        <w:t>SOLICITUD DE INFORMACIÓN NUMERO 00317/CHIMALHU/IP/2024</w:t>
      </w:r>
      <w:r w:rsidRPr="006B7F0D">
        <w:rPr>
          <w:rFonts w:ascii="Palatino Linotype" w:eastAsia="Palatino Linotype" w:hAnsi="Palatino Linotype" w:cs="Palatino Linotype"/>
          <w:i/>
          <w:color w:val="000000"/>
          <w:sz w:val="22"/>
          <w:szCs w:val="22"/>
        </w:rPr>
        <w:t>” (Sic)</w:t>
      </w:r>
    </w:p>
    <w:p w14:paraId="20D1E4B9" w14:textId="77777777" w:rsidR="002B3E11" w:rsidRPr="006B7F0D" w:rsidRDefault="002B3E11">
      <w:pPr>
        <w:ind w:left="567" w:right="539"/>
        <w:jc w:val="both"/>
        <w:rPr>
          <w:rFonts w:ascii="Palatino Linotype" w:eastAsia="Palatino Linotype" w:hAnsi="Palatino Linotype" w:cs="Palatino Linotype"/>
          <w:sz w:val="22"/>
          <w:szCs w:val="22"/>
        </w:rPr>
      </w:pPr>
    </w:p>
    <w:p w14:paraId="2F406027" w14:textId="5EF1978B" w:rsidR="002B3E11" w:rsidRPr="006B7F0D" w:rsidRDefault="00811D5F">
      <w:pPr>
        <w:ind w:left="567" w:right="539"/>
        <w:jc w:val="both"/>
        <w:rPr>
          <w:rFonts w:ascii="Palatino Linotype" w:eastAsia="Palatino Linotype" w:hAnsi="Palatino Linotype" w:cs="Palatino Linotype"/>
          <w:i/>
          <w:color w:val="000000"/>
          <w:sz w:val="22"/>
          <w:szCs w:val="22"/>
        </w:rPr>
      </w:pPr>
      <w:r w:rsidRPr="006B7F0D">
        <w:rPr>
          <w:rFonts w:ascii="Palatino Linotype" w:eastAsia="Palatino Linotype" w:hAnsi="Palatino Linotype" w:cs="Palatino Linotype"/>
          <w:b/>
          <w:sz w:val="22"/>
          <w:szCs w:val="22"/>
        </w:rPr>
        <w:t>Razones o Motivos de inconformidad</w:t>
      </w:r>
      <w:r w:rsidRPr="006B7F0D">
        <w:rPr>
          <w:rFonts w:ascii="Palatino Linotype" w:eastAsia="Palatino Linotype" w:hAnsi="Palatino Linotype" w:cs="Palatino Linotype"/>
          <w:i/>
          <w:sz w:val="22"/>
          <w:szCs w:val="22"/>
        </w:rPr>
        <w:t>: “</w:t>
      </w:r>
      <w:r w:rsidR="00F75468" w:rsidRPr="006B7F0D">
        <w:rPr>
          <w:rFonts w:ascii="Palatino Linotype" w:hAnsi="Palatino Linotype"/>
          <w:i/>
          <w:color w:val="000000"/>
          <w:sz w:val="22"/>
          <w:szCs w:val="22"/>
        </w:rPr>
        <w:t>SE ENCUENTRAN EN EL ESCRITO ADJUNTO</w:t>
      </w:r>
      <w:r w:rsidRPr="006B7F0D">
        <w:rPr>
          <w:rFonts w:ascii="Palatino Linotype" w:eastAsia="Palatino Linotype" w:hAnsi="Palatino Linotype" w:cs="Palatino Linotype"/>
          <w:i/>
          <w:color w:val="000000"/>
          <w:sz w:val="22"/>
          <w:szCs w:val="22"/>
        </w:rPr>
        <w:t>” (Sic)</w:t>
      </w:r>
    </w:p>
    <w:p w14:paraId="494348EA" w14:textId="77777777" w:rsidR="000D5A60" w:rsidRPr="006B7F0D" w:rsidRDefault="000D5A60">
      <w:pPr>
        <w:ind w:left="567" w:right="539"/>
        <w:jc w:val="both"/>
        <w:rPr>
          <w:rFonts w:ascii="Palatino Linotype" w:eastAsia="Palatino Linotype" w:hAnsi="Palatino Linotype" w:cs="Palatino Linotype"/>
          <w:i/>
          <w:color w:val="000000"/>
          <w:sz w:val="22"/>
          <w:szCs w:val="22"/>
        </w:rPr>
      </w:pPr>
    </w:p>
    <w:p w14:paraId="53B594EE" w14:textId="048D6344" w:rsidR="002B3E11" w:rsidRPr="006B7F0D" w:rsidRDefault="00F75468" w:rsidP="000D5A60">
      <w:pPr>
        <w:ind w:right="113"/>
        <w:jc w:val="both"/>
        <w:rPr>
          <w:rFonts w:ascii="Palatino Linotype" w:eastAsia="Palatino Linotype" w:hAnsi="Palatino Linotype" w:cs="Palatino Linotype"/>
          <w:sz w:val="22"/>
          <w:szCs w:val="22"/>
        </w:rPr>
      </w:pPr>
      <w:r w:rsidRPr="006B7F0D">
        <w:rPr>
          <w:rFonts w:ascii="Palatino Linotype" w:eastAsia="Palatino Linotype" w:hAnsi="Palatino Linotype" w:cs="Palatino Linotype"/>
          <w:sz w:val="22"/>
          <w:szCs w:val="22"/>
        </w:rPr>
        <w:lastRenderedPageBreak/>
        <w:t>Se adjuntó el archivo electrónico denominado</w:t>
      </w:r>
      <w:r w:rsidR="000D5A60" w:rsidRPr="006B7F0D">
        <w:rPr>
          <w:rFonts w:ascii="Palatino Linotype" w:eastAsia="Palatino Linotype" w:hAnsi="Palatino Linotype" w:cs="Palatino Linotype"/>
          <w:b/>
          <w:sz w:val="22"/>
          <w:szCs w:val="22"/>
        </w:rPr>
        <w:t xml:space="preserve"> “SAIMEX.pdf”, </w:t>
      </w:r>
      <w:r w:rsidR="000D5A60" w:rsidRPr="006B7F0D">
        <w:rPr>
          <w:rFonts w:ascii="Palatino Linotype" w:eastAsia="Palatino Linotype" w:hAnsi="Palatino Linotype" w:cs="Palatino Linotype"/>
          <w:sz w:val="22"/>
          <w:szCs w:val="22"/>
        </w:rPr>
        <w:t>consistente en un escrito suscrito por el RECURRENTE, por medio del cual, manifestó lo siguiente:</w:t>
      </w:r>
    </w:p>
    <w:p w14:paraId="3F25D6AF" w14:textId="77777777" w:rsidR="000D5A60" w:rsidRPr="006B7F0D" w:rsidRDefault="000D5A60" w:rsidP="000D5A60">
      <w:pPr>
        <w:ind w:right="539"/>
        <w:jc w:val="both"/>
        <w:rPr>
          <w:rFonts w:ascii="Palatino Linotype" w:eastAsia="Palatino Linotype" w:hAnsi="Palatino Linotype" w:cs="Palatino Linotype"/>
          <w:sz w:val="22"/>
          <w:szCs w:val="22"/>
        </w:rPr>
      </w:pPr>
    </w:p>
    <w:p w14:paraId="29A9CD25" w14:textId="5058066F" w:rsidR="000D5A60" w:rsidRPr="006B7F0D" w:rsidRDefault="000D5A60" w:rsidP="005407AC">
      <w:pPr>
        <w:ind w:left="567" w:right="539"/>
        <w:jc w:val="both"/>
        <w:rPr>
          <w:rFonts w:ascii="Palatino Linotype" w:eastAsia="Palatino Linotype" w:hAnsi="Palatino Linotype" w:cs="Palatino Linotype"/>
          <w:b/>
          <w:i/>
          <w:sz w:val="22"/>
          <w:szCs w:val="22"/>
        </w:rPr>
      </w:pPr>
      <w:r w:rsidRPr="006B7F0D">
        <w:rPr>
          <w:rFonts w:ascii="Palatino Linotype" w:eastAsia="Palatino Linotype" w:hAnsi="Palatino Linotype" w:cs="Palatino Linotype"/>
          <w:sz w:val="22"/>
          <w:szCs w:val="22"/>
        </w:rPr>
        <w:t>“</w:t>
      </w:r>
      <w:r w:rsidRPr="006B7F0D">
        <w:rPr>
          <w:rFonts w:ascii="Palatino Linotype" w:hAnsi="Palatino Linotype"/>
          <w:i/>
          <w:sz w:val="22"/>
          <w:szCs w:val="22"/>
        </w:rPr>
        <w:t>Por medio de este ocurso me permito manifestar lo que a mi derecho conviene en contra de la respuesta con número de folio: 00317/CHIMALHU/IP/2024, de fecha 26 de noviembre del dos mil veinticuatro, a través de la cual se pretende atender mi solicitud de información en la que solicite que se me proporcionara la versión pública y digitalizada del expediente actual y vigente que se formó de la vía pública calle La Paz, Cabecera Municipal, Chimalhuacán, Estado de México, con motivo de la obra que se está realizando actualmente a la fecha de presentación de la solicitud de información, para lo cual adjunte fotografía de dicha obra. Resultando que con dicha respuesta de fecha 26 de noviembre del dos mil veinticuatro, se me causa agravio, pues la misma no es clara, veraz y de fácil entendimiento, pues resulta contradictoria, al indicarme, por una parte, que podre tener acceso a la información mediante hipervínculo https://1drv.ms/f/c/ad767745fa82b6cc/Elawny-fZbpNtvYJ-A9Dt-oBSPj6Yl1LDk INPPSgZrnkg?e=jw5ZXj, y en otra se me dice que no es posible brindar la información solicitada, ya que la ejecución de la obra que se está realizando de la vía pública de la Calle La Paz, Cabecera Municipal de Chimalhuacán, está bajo la responsabilidad de la Dirección de Obras Publicas Municipal, Unidad Administrativa facultada para llevar a cabo dicha obra, de ahí que exista incongruencia en la respuesta que se me da y se contravenga el artículo 22 del Código de Procedimientos Administrativos del Estado de México, de aplicación supletoria de conformidad con el artículo 195 Ley de Transparencia y Acceso a la Información Pública del Estado de México y Municipios. Así mismo he de hacerle de su conocimiento COMISIONADO PONENTE, que se me deja en estado de indefensión, con el hipervínculo referido por el sujeto obligado, de donde supuestamente obtendría la información que solicite, pues al intentar ingresar al mismo, la página no muestra ningún resultado como se aprecia de la captura de pantalla que adjunto al presente</w:t>
      </w:r>
      <w:r w:rsidR="005407AC" w:rsidRPr="006B7F0D">
        <w:rPr>
          <w:rFonts w:ascii="Palatino Linotype" w:hAnsi="Palatino Linotype"/>
          <w:i/>
          <w:sz w:val="22"/>
          <w:szCs w:val="22"/>
        </w:rPr>
        <w:t xml:space="preserve">… Por tal motivo se me deja en estado de indefensión al no proporcionárseme la información que solicite aun y cuando en la propia respuesta se reconoce que en efecto se esa ejecutando la obra en la vía pública de la Calle La Paz, Cabecera Municipal de Chimalhuacán, por lo que se entiende que existe la información peticionada. Por otra parte, se me deja en estado de indefensión, pues al referir el sujeto obligado, en este caso el Director de Desarrollo Urbano de Chimalhuacán, Estado de México que la información solicitada no es de su competencia, éste debió indicarme de manera fundada y motivada el porqué se considera incompetente, sin embargo no cito ningún fundamento legal que estableciera que lo solicitado es competencia de la Dirección de Obras Publicas Municipal, inclusive debió remitir mi solicitud a esa autoridad para que se me diera una debida respuesta que atendiera lo que solicite y no solamente debió decirme que la información solicitada no es de la competencia del Director de Desarrollo Urbano de Chimalhuacán, Estado de México, pues dicha afirmación contraviene lo dispuesto por </w:t>
      </w:r>
      <w:r w:rsidR="005407AC" w:rsidRPr="006B7F0D">
        <w:rPr>
          <w:rFonts w:ascii="Palatino Linotype" w:hAnsi="Palatino Linotype"/>
          <w:i/>
          <w:sz w:val="22"/>
          <w:szCs w:val="22"/>
        </w:rPr>
        <w:lastRenderedPageBreak/>
        <w:t xml:space="preserve">nuestra Constitución Política de los Estados Unidos Mexicanos en su artículo 16 que indica que todo acto de autoridad debe estar fundado y motivado, lo cual no acontece, pues el Sujeto obligado no motiva porque y como llegó a la conclusión de que la información que solicite no es de su competencia, aunado a que tampoco precisa cual es la información que si está dentro de sus facultades poseer, para que así tuviera la firma convicción que en efecto la información que pedí no está en sus facultades tenerla y por tanto se encuentra en un supuesto de exclusión a la información que maneja de acuerdo a sus atribuciones ese sujeto obligado. Ni se indicó de manera precisa el precepto legal exacto del Bando Municipal de Chimalhuacán vigente, que establezca que la información solicitada la posee la Dirección de Obras Publicas Municipal, pues únicamente se limitó a decir que ello era de conformidad a dicho Bando Municipal, por lo que dicho acto esta indebidamente fundado ocasionando incertidumbre jurídica. Asimismo, el sujeto obligado viola en mi perjuicio lo señalado en el artículo 167 de la Ley </w:t>
      </w:r>
      <w:bookmarkStart w:id="2" w:name="_GoBack"/>
      <w:r w:rsidR="005407AC" w:rsidRPr="006B7F0D">
        <w:rPr>
          <w:rFonts w:ascii="Palatino Linotype" w:hAnsi="Palatino Linotype"/>
          <w:i/>
          <w:sz w:val="22"/>
          <w:szCs w:val="22"/>
        </w:rPr>
        <w:t xml:space="preserve">de Transparencia y Acceso a la Información Pública del Estado de México y Municipios, ya que el Sujeto obligado no fue declarado notoriamente incompetente por la unidad de transparencia respectiva y porque en fecha cinco de noviembre del dos mil veinticuatro fue recepcionada mi solicitud de información, de ahí que el sujeto obligado contaba con tres días hábiles posteriores a la recepción de mi solicitud, para declararse incompetente, por lo que ese plazo feneció para el sujeto obligado sin que lo hubiese hecho, por lo que en términos del ultimo párrafo del artículo 167 de la Ley de Transparencia y Acceso a la Información Pública del Estado de México y Municipios, se encontraba obligado a canalizar mi solicitud de información al sujeto obligado competente, lo cual no ocurrió en la especie. En consecuencia, </w:t>
      </w:r>
      <w:bookmarkEnd w:id="2"/>
      <w:r w:rsidR="005407AC" w:rsidRPr="006B7F0D">
        <w:rPr>
          <w:rFonts w:ascii="Palatino Linotype" w:hAnsi="Palatino Linotype"/>
          <w:i/>
          <w:sz w:val="22"/>
          <w:szCs w:val="22"/>
        </w:rPr>
        <w:t>con los argumentos antes expresados se puede concluir que con el documento que recurro a través de este medio, no se me dio repuesta clara, veraz, específica, independiente, de fácil comprensión, ni debidamente congruente, fundada y motivada, por parte del sujeto obligado a mi solicitud de información, por lo que respetuosamente le pido Comisionado ponente ordene al Sujeto Obligado para que me proporcione la información que le solicite.” (Sic)</w:t>
      </w:r>
    </w:p>
    <w:p w14:paraId="35511F10" w14:textId="77777777" w:rsidR="000D5A60" w:rsidRPr="006B7F0D" w:rsidRDefault="000D5A60" w:rsidP="000D5A60">
      <w:pPr>
        <w:ind w:right="539"/>
        <w:jc w:val="both"/>
        <w:rPr>
          <w:rFonts w:ascii="Palatino Linotype" w:eastAsia="Palatino Linotype" w:hAnsi="Palatino Linotype" w:cs="Palatino Linotype"/>
          <w:i/>
          <w:sz w:val="22"/>
          <w:szCs w:val="22"/>
        </w:rPr>
      </w:pPr>
    </w:p>
    <w:p w14:paraId="6267CC2E" w14:textId="5CA41BDD" w:rsidR="002B3E11" w:rsidRPr="006B7F0D" w:rsidRDefault="00811D5F" w:rsidP="005407AC">
      <w:pPr>
        <w:numPr>
          <w:ilvl w:val="0"/>
          <w:numId w:val="4"/>
        </w:numPr>
        <w:spacing w:line="360" w:lineRule="auto"/>
        <w:ind w:left="0" w:firstLine="0"/>
        <w:jc w:val="both"/>
        <w:rPr>
          <w:rFonts w:ascii="Palatino Linotype" w:eastAsia="Palatino Linotype" w:hAnsi="Palatino Linotype" w:cs="Palatino Linotype"/>
          <w:i/>
          <w:color w:val="000000"/>
          <w:sz w:val="22"/>
          <w:szCs w:val="22"/>
        </w:rPr>
      </w:pPr>
      <w:r w:rsidRPr="006B7F0D">
        <w:rPr>
          <w:rFonts w:ascii="Palatino Linotype" w:eastAsia="Palatino Linotype" w:hAnsi="Palatino Linotype" w:cs="Palatino Linotype"/>
          <w:color w:val="000000"/>
          <w:sz w:val="22"/>
          <w:szCs w:val="22"/>
        </w:rPr>
        <w:t xml:space="preserve">La </w:t>
      </w:r>
      <w:r w:rsidRPr="006B7F0D">
        <w:rPr>
          <w:rFonts w:ascii="Palatino Linotype" w:eastAsia="Palatino Linotype" w:hAnsi="Palatino Linotype" w:cs="Palatino Linotype"/>
          <w:sz w:val="22"/>
          <w:szCs w:val="22"/>
        </w:rPr>
        <w:t xml:space="preserve">Comisionada Ponente, con fundamento en lo dispuesto por el artículo 185 fracción II de la ley de la materia, a través del acuerdo de admisión del catorce de </w:t>
      </w:r>
      <w:r w:rsidR="005407AC" w:rsidRPr="006B7F0D">
        <w:rPr>
          <w:rFonts w:ascii="Palatino Linotype" w:eastAsia="Palatino Linotype" w:hAnsi="Palatino Linotype" w:cs="Palatino Linotype"/>
          <w:sz w:val="22"/>
          <w:szCs w:val="22"/>
        </w:rPr>
        <w:t>enero de dos mil veinticinco</w:t>
      </w:r>
      <w:r w:rsidRPr="006B7F0D">
        <w:rPr>
          <w:rFonts w:ascii="Palatino Linotype" w:eastAsia="Palatino Linotype" w:hAnsi="Palatino Linotype" w:cs="Palatino Linotype"/>
          <w:sz w:val="22"/>
          <w:szCs w:val="22"/>
        </w:rPr>
        <w:t>, puso</w:t>
      </w:r>
      <w:r w:rsidR="005407AC" w:rsidRPr="006B7F0D">
        <w:rPr>
          <w:rFonts w:ascii="Palatino Linotype" w:eastAsia="Palatino Linotype" w:hAnsi="Palatino Linotype" w:cs="Palatino Linotype"/>
          <w:sz w:val="22"/>
          <w:szCs w:val="22"/>
        </w:rPr>
        <w:t xml:space="preserve"> a disposición de las partes el</w:t>
      </w:r>
      <w:r w:rsidRPr="006B7F0D">
        <w:rPr>
          <w:rFonts w:ascii="Palatino Linotype" w:eastAsia="Palatino Linotype" w:hAnsi="Palatino Linotype" w:cs="Palatino Linotype"/>
          <w:sz w:val="22"/>
          <w:szCs w:val="22"/>
        </w:rPr>
        <w:t xml:space="preserve"> expediente electrónicos vía Sistema de Acceso a la Información Mexiquense </w:t>
      </w:r>
      <w:r w:rsidRPr="006B7F0D">
        <w:rPr>
          <w:rFonts w:ascii="Palatino Linotype" w:eastAsia="Palatino Linotype" w:hAnsi="Palatino Linotype" w:cs="Palatino Linotype"/>
          <w:b/>
          <w:sz w:val="22"/>
          <w:szCs w:val="22"/>
        </w:rPr>
        <w:t xml:space="preserve">SAIMEX </w:t>
      </w:r>
      <w:r w:rsidRPr="006B7F0D">
        <w:rPr>
          <w:rFonts w:ascii="Palatino Linotype" w:eastAsia="Palatino Linotype" w:hAnsi="Palatino Linotype" w:cs="Palatino Linotype"/>
          <w:sz w:val="22"/>
          <w:szCs w:val="22"/>
        </w:rPr>
        <w:t xml:space="preserve">a efecto de que en un plazo máximo de siete días manifestaran lo que a su derecho conviniera, ofrecieran pruebas y alegatos según correspondiera a los casos concretos, de esta forma para que el </w:t>
      </w:r>
      <w:r w:rsidRPr="006B7F0D">
        <w:rPr>
          <w:rFonts w:ascii="Palatino Linotype" w:eastAsia="Palatino Linotype" w:hAnsi="Palatino Linotype" w:cs="Palatino Linotype"/>
          <w:b/>
          <w:sz w:val="22"/>
          <w:szCs w:val="22"/>
        </w:rPr>
        <w:t>SUJETO OBLIGADO</w:t>
      </w:r>
      <w:r w:rsidRPr="006B7F0D">
        <w:rPr>
          <w:rFonts w:ascii="Palatino Linotype" w:eastAsia="Palatino Linotype" w:hAnsi="Palatino Linotype" w:cs="Palatino Linotype"/>
          <w:sz w:val="22"/>
          <w:szCs w:val="22"/>
        </w:rPr>
        <w:t xml:space="preserve"> presentara el Informe Justificado procedente.</w:t>
      </w:r>
    </w:p>
    <w:p w14:paraId="09FA4445" w14:textId="6550A757" w:rsidR="002B3E11" w:rsidRPr="006B7F0D" w:rsidRDefault="00811D5F" w:rsidP="005407AC">
      <w:pPr>
        <w:numPr>
          <w:ilvl w:val="0"/>
          <w:numId w:val="4"/>
        </w:numPr>
        <w:spacing w:line="360" w:lineRule="auto"/>
        <w:ind w:left="0" w:firstLine="0"/>
        <w:jc w:val="both"/>
        <w:rPr>
          <w:rFonts w:ascii="Palatino Linotype" w:eastAsia="Palatino Linotype" w:hAnsi="Palatino Linotype" w:cs="Palatino Linotype"/>
          <w:b/>
          <w:sz w:val="22"/>
          <w:szCs w:val="22"/>
        </w:rPr>
      </w:pPr>
      <w:r w:rsidRPr="006B7F0D">
        <w:rPr>
          <w:rFonts w:ascii="Palatino Linotype" w:eastAsia="Palatino Linotype" w:hAnsi="Palatino Linotype" w:cs="Palatino Linotype"/>
          <w:color w:val="000000"/>
          <w:sz w:val="22"/>
          <w:szCs w:val="22"/>
        </w:rPr>
        <w:lastRenderedPageBreak/>
        <w:t xml:space="preserve">El </w:t>
      </w:r>
      <w:r w:rsidRPr="006B7F0D">
        <w:rPr>
          <w:rFonts w:ascii="Palatino Linotype" w:eastAsia="Palatino Linotype" w:hAnsi="Palatino Linotype" w:cs="Palatino Linotype"/>
          <w:b/>
          <w:sz w:val="22"/>
          <w:szCs w:val="22"/>
        </w:rPr>
        <w:t>SUJETO OBLIGADO</w:t>
      </w:r>
      <w:r w:rsidRPr="006B7F0D">
        <w:rPr>
          <w:rFonts w:ascii="Palatino Linotype" w:eastAsia="Palatino Linotype" w:hAnsi="Palatino Linotype" w:cs="Palatino Linotype"/>
          <w:sz w:val="22"/>
          <w:szCs w:val="22"/>
        </w:rPr>
        <w:t xml:space="preserve"> </w:t>
      </w:r>
      <w:r w:rsidR="005407AC" w:rsidRPr="006B7F0D">
        <w:rPr>
          <w:rFonts w:ascii="Palatino Linotype" w:eastAsia="Palatino Linotype" w:hAnsi="Palatino Linotype" w:cs="Palatino Linotype"/>
          <w:sz w:val="22"/>
          <w:szCs w:val="22"/>
        </w:rPr>
        <w:t xml:space="preserve">no </w:t>
      </w:r>
      <w:r w:rsidRPr="006B7F0D">
        <w:rPr>
          <w:rFonts w:ascii="Palatino Linotype" w:eastAsia="Palatino Linotype" w:hAnsi="Palatino Linotype" w:cs="Palatino Linotype"/>
          <w:sz w:val="22"/>
          <w:szCs w:val="22"/>
        </w:rPr>
        <w:t>rindió el informe justificado correspondiente</w:t>
      </w:r>
      <w:r w:rsidR="005407AC" w:rsidRPr="006B7F0D">
        <w:rPr>
          <w:rFonts w:ascii="Palatino Linotype" w:eastAsia="Palatino Linotype" w:hAnsi="Palatino Linotype" w:cs="Palatino Linotype"/>
          <w:sz w:val="22"/>
          <w:szCs w:val="22"/>
        </w:rPr>
        <w:t>, p</w:t>
      </w:r>
      <w:r w:rsidRPr="006B7F0D">
        <w:rPr>
          <w:rFonts w:ascii="Palatino Linotype" w:eastAsia="Palatino Linotype" w:hAnsi="Palatino Linotype" w:cs="Palatino Linotype"/>
          <w:sz w:val="22"/>
          <w:szCs w:val="22"/>
        </w:rPr>
        <w:t xml:space="preserve">or su parte, el </w:t>
      </w:r>
      <w:r w:rsidRPr="006B7F0D">
        <w:rPr>
          <w:rFonts w:ascii="Palatino Linotype" w:eastAsia="Palatino Linotype" w:hAnsi="Palatino Linotype" w:cs="Palatino Linotype"/>
          <w:b/>
          <w:sz w:val="22"/>
          <w:szCs w:val="22"/>
        </w:rPr>
        <w:t xml:space="preserve">RECURRENTE </w:t>
      </w:r>
      <w:r w:rsidRPr="006B7F0D">
        <w:rPr>
          <w:rFonts w:ascii="Palatino Linotype" w:eastAsia="Palatino Linotype" w:hAnsi="Palatino Linotype" w:cs="Palatino Linotype"/>
          <w:sz w:val="22"/>
          <w:szCs w:val="22"/>
        </w:rPr>
        <w:t xml:space="preserve">no presentó alegatos ni ofreció medios de prueba, según constancias del Sistema de Acceso a la Información Mexiquense </w:t>
      </w:r>
      <w:r w:rsidRPr="006B7F0D">
        <w:rPr>
          <w:rFonts w:ascii="Palatino Linotype" w:eastAsia="Palatino Linotype" w:hAnsi="Palatino Linotype" w:cs="Palatino Linotype"/>
          <w:b/>
          <w:sz w:val="22"/>
          <w:szCs w:val="22"/>
        </w:rPr>
        <w:t>SAIMEX.</w:t>
      </w:r>
    </w:p>
    <w:p w14:paraId="6119B52D" w14:textId="77777777" w:rsidR="002B3E11" w:rsidRPr="006B7F0D" w:rsidRDefault="002B3E11">
      <w:pPr>
        <w:spacing w:line="360" w:lineRule="auto"/>
        <w:jc w:val="both"/>
        <w:rPr>
          <w:rFonts w:ascii="Palatino Linotype" w:eastAsia="Palatino Linotype" w:hAnsi="Palatino Linotype" w:cs="Palatino Linotype"/>
          <w:b/>
          <w:sz w:val="22"/>
          <w:szCs w:val="22"/>
        </w:rPr>
      </w:pPr>
    </w:p>
    <w:p w14:paraId="32485C56" w14:textId="574EB925" w:rsidR="002B3E11" w:rsidRPr="006B7F0D" w:rsidRDefault="00811D5F">
      <w:pPr>
        <w:numPr>
          <w:ilvl w:val="0"/>
          <w:numId w:val="4"/>
        </w:numPr>
        <w:spacing w:line="360" w:lineRule="auto"/>
        <w:ind w:left="0" w:firstLine="0"/>
        <w:jc w:val="both"/>
        <w:rPr>
          <w:rFonts w:ascii="Palatino Linotype" w:eastAsia="Palatino Linotype" w:hAnsi="Palatino Linotype" w:cs="Palatino Linotype"/>
          <w:b/>
          <w:sz w:val="22"/>
          <w:szCs w:val="22"/>
        </w:rPr>
      </w:pPr>
      <w:r w:rsidRPr="006B7F0D">
        <w:rPr>
          <w:rFonts w:ascii="Palatino Linotype" w:eastAsia="Palatino Linotype" w:hAnsi="Palatino Linotype" w:cs="Palatino Linotype"/>
          <w:sz w:val="22"/>
          <w:szCs w:val="22"/>
        </w:rPr>
        <w:t xml:space="preserve">La Comisionada Ponente decretó el cierre de instrucción mediante acuerdo del </w:t>
      </w:r>
      <w:r w:rsidR="005407AC" w:rsidRPr="006B7F0D">
        <w:rPr>
          <w:rFonts w:ascii="Palatino Linotype" w:eastAsia="Palatino Linotype" w:hAnsi="Palatino Linotype" w:cs="Palatino Linotype"/>
          <w:sz w:val="22"/>
          <w:szCs w:val="22"/>
        </w:rPr>
        <w:t>veintisiete de enero de dos mil veinticinco</w:t>
      </w:r>
      <w:r w:rsidRPr="006B7F0D">
        <w:rPr>
          <w:rFonts w:ascii="Palatino Linotype" w:eastAsia="Palatino Linotype" w:hAnsi="Palatino Linotype" w:cs="Palatino Linotype"/>
          <w:sz w:val="22"/>
          <w:szCs w:val="22"/>
        </w:rPr>
        <w:t>, por lo que, ordenó turnar el expediente a resolución, misma que a continuación se pronuncia.------------------------------------------</w:t>
      </w:r>
      <w:r w:rsidR="00F30D9F" w:rsidRPr="006B7F0D">
        <w:rPr>
          <w:rFonts w:ascii="Palatino Linotype" w:eastAsia="Palatino Linotype" w:hAnsi="Palatino Linotype" w:cs="Palatino Linotype"/>
          <w:sz w:val="22"/>
          <w:szCs w:val="22"/>
        </w:rPr>
        <w:t>------------</w:t>
      </w:r>
    </w:p>
    <w:p w14:paraId="1D0B12AE" w14:textId="77777777" w:rsidR="002B3E11" w:rsidRPr="006B7F0D" w:rsidRDefault="002B3E11">
      <w:pPr>
        <w:spacing w:line="360" w:lineRule="auto"/>
        <w:jc w:val="both"/>
        <w:rPr>
          <w:rFonts w:ascii="Palatino Linotype" w:eastAsia="Palatino Linotype" w:hAnsi="Palatino Linotype" w:cs="Palatino Linotype"/>
          <w:b/>
          <w:sz w:val="22"/>
          <w:szCs w:val="22"/>
        </w:rPr>
      </w:pPr>
    </w:p>
    <w:p w14:paraId="4CD862F8" w14:textId="77777777" w:rsidR="002B3E11" w:rsidRPr="006B7F0D" w:rsidRDefault="00811D5F">
      <w:pPr>
        <w:keepNext/>
        <w:keepLines/>
        <w:spacing w:after="240" w:line="360" w:lineRule="auto"/>
        <w:jc w:val="center"/>
        <w:rPr>
          <w:rFonts w:ascii="Palatino Linotype" w:eastAsia="Palatino Linotype" w:hAnsi="Palatino Linotype" w:cs="Palatino Linotype"/>
          <w:b/>
          <w:sz w:val="22"/>
          <w:szCs w:val="22"/>
        </w:rPr>
      </w:pPr>
      <w:bookmarkStart w:id="3" w:name="_heading=h.1fob9te" w:colFirst="0" w:colLast="0"/>
      <w:bookmarkEnd w:id="3"/>
      <w:r w:rsidRPr="006B7F0D">
        <w:rPr>
          <w:rFonts w:ascii="Palatino Linotype" w:eastAsia="Palatino Linotype" w:hAnsi="Palatino Linotype" w:cs="Palatino Linotype"/>
          <w:b/>
          <w:sz w:val="22"/>
          <w:szCs w:val="22"/>
        </w:rPr>
        <w:t>CONSIDERANDO</w:t>
      </w:r>
    </w:p>
    <w:p w14:paraId="2459A20E" w14:textId="77777777" w:rsidR="002B3E11" w:rsidRPr="006B7F0D" w:rsidRDefault="00811D5F">
      <w:pPr>
        <w:keepNext/>
        <w:keepLines/>
        <w:spacing w:before="240" w:after="240" w:line="360" w:lineRule="auto"/>
        <w:rPr>
          <w:rFonts w:ascii="Palatino Linotype" w:eastAsia="Palatino Linotype" w:hAnsi="Palatino Linotype" w:cs="Palatino Linotype"/>
          <w:b/>
          <w:sz w:val="22"/>
          <w:szCs w:val="22"/>
        </w:rPr>
      </w:pPr>
      <w:bookmarkStart w:id="4" w:name="_heading=h.3znysh7" w:colFirst="0" w:colLast="0"/>
      <w:bookmarkEnd w:id="4"/>
      <w:r w:rsidRPr="006B7F0D">
        <w:rPr>
          <w:rFonts w:ascii="Palatino Linotype" w:eastAsia="Palatino Linotype" w:hAnsi="Palatino Linotype" w:cs="Palatino Linotype"/>
          <w:b/>
          <w:sz w:val="22"/>
          <w:szCs w:val="22"/>
        </w:rPr>
        <w:t>PRIMERO. De la competencia.</w:t>
      </w:r>
    </w:p>
    <w:p w14:paraId="1DAAC463" w14:textId="77777777" w:rsidR="002B3E11" w:rsidRPr="006B7F0D" w:rsidRDefault="00811D5F">
      <w:pPr>
        <w:numPr>
          <w:ilvl w:val="0"/>
          <w:numId w:val="4"/>
        </w:numPr>
        <w:spacing w:before="240" w:line="360" w:lineRule="auto"/>
        <w:ind w:left="0" w:firstLine="0"/>
        <w:jc w:val="both"/>
        <w:rPr>
          <w:rFonts w:ascii="Palatino Linotype" w:eastAsia="Palatino Linotype" w:hAnsi="Palatino Linotype" w:cs="Palatino Linotype"/>
          <w:b/>
          <w:sz w:val="22"/>
          <w:szCs w:val="22"/>
        </w:rPr>
      </w:pPr>
      <w:bookmarkStart w:id="5" w:name="_heading=h.2et92p0" w:colFirst="0" w:colLast="0"/>
      <w:bookmarkEnd w:id="5"/>
      <w:r w:rsidRPr="006B7F0D">
        <w:rPr>
          <w:rFonts w:ascii="Palatino Linotype" w:eastAsia="Palatino Linotype" w:hAnsi="Palatino Linotype" w:cs="Palatino Linotype"/>
          <w:sz w:val="22"/>
          <w:szCs w:val="22"/>
        </w:rPr>
        <w:t xml:space="preserve">Este </w:t>
      </w:r>
      <w:r w:rsidRPr="006B7F0D">
        <w:rPr>
          <w:rFonts w:ascii="Palatino Linotype" w:eastAsia="Palatino Linotype" w:hAnsi="Palatino Linotype" w:cs="Palatino Linotype"/>
          <w:color w:val="222222"/>
          <w:sz w:val="22"/>
          <w:szCs w:val="22"/>
        </w:rPr>
        <w:t>Instituto de Transparencia, Acceso a la Información Pública y Protección de Datos Personales del Estado de México y Municipios, es competente para conocer y resolver del presente recurso de conformidad con el artículo: 6, apartado A, fracción IV de la Constitución Política de los Estados Unidos Mexicanos; 5, párrafos trigésimo segundo, trigésimo tercero y trigésimo cuarto, fracciones IV y V, de la Constitución Política del Estado Libre y Soberano de México; artículos 1, 2 fracción II, 13, 29, 36 fracciones I y II, 176, 178, 179, 181 párrafo tercero y 185 de la Ley de Transparencia y Acceso a la Información Pública del Estado de México y Municipios; y 7, 9 fracciones I y XXIV, y 11 del Reglamento Interior del Instituto de Transparencia, Acceso a la Información Pública y Protección de Datos Personales del Estado de México y Municipios.</w:t>
      </w:r>
    </w:p>
    <w:p w14:paraId="3B3CC083" w14:textId="77777777" w:rsidR="002B3E11" w:rsidRPr="006B7F0D" w:rsidRDefault="002B3E11">
      <w:pPr>
        <w:spacing w:line="360" w:lineRule="auto"/>
        <w:jc w:val="both"/>
        <w:rPr>
          <w:rFonts w:ascii="Palatino Linotype" w:eastAsia="Palatino Linotype" w:hAnsi="Palatino Linotype" w:cs="Palatino Linotype"/>
          <w:b/>
          <w:sz w:val="22"/>
          <w:szCs w:val="22"/>
        </w:rPr>
      </w:pPr>
    </w:p>
    <w:p w14:paraId="24B2446C" w14:textId="77777777" w:rsidR="002B3E11" w:rsidRPr="006B7F0D" w:rsidRDefault="00811D5F">
      <w:pPr>
        <w:keepNext/>
        <w:keepLines/>
        <w:spacing w:after="240" w:line="360" w:lineRule="auto"/>
        <w:jc w:val="both"/>
        <w:rPr>
          <w:rFonts w:ascii="Palatino Linotype" w:eastAsia="Palatino Linotype" w:hAnsi="Palatino Linotype" w:cs="Palatino Linotype"/>
          <w:b/>
          <w:sz w:val="22"/>
          <w:szCs w:val="22"/>
        </w:rPr>
      </w:pPr>
      <w:r w:rsidRPr="006B7F0D">
        <w:rPr>
          <w:rFonts w:ascii="Palatino Linotype" w:eastAsia="Palatino Linotype" w:hAnsi="Palatino Linotype" w:cs="Palatino Linotype"/>
          <w:b/>
          <w:sz w:val="22"/>
          <w:szCs w:val="22"/>
        </w:rPr>
        <w:t>SEGUNDO. De la oportunidad y procedencia.</w:t>
      </w:r>
    </w:p>
    <w:p w14:paraId="65F7AD1D" w14:textId="618789FF" w:rsidR="002B3E11" w:rsidRPr="006B7F0D" w:rsidRDefault="00811D5F">
      <w:pPr>
        <w:numPr>
          <w:ilvl w:val="0"/>
          <w:numId w:val="4"/>
        </w:numPr>
        <w:spacing w:before="240" w:line="360" w:lineRule="auto"/>
        <w:ind w:left="0" w:right="48" w:firstLine="0"/>
        <w:jc w:val="both"/>
        <w:rPr>
          <w:rFonts w:ascii="Palatino Linotype" w:eastAsia="Palatino Linotype" w:hAnsi="Palatino Linotype" w:cs="Palatino Linotype"/>
          <w:sz w:val="22"/>
          <w:szCs w:val="22"/>
        </w:rPr>
      </w:pPr>
      <w:r w:rsidRPr="006B7F0D">
        <w:rPr>
          <w:rFonts w:ascii="Palatino Linotype" w:eastAsia="Palatino Linotype" w:hAnsi="Palatino Linotype" w:cs="Palatino Linotype"/>
          <w:sz w:val="22"/>
          <w:szCs w:val="22"/>
        </w:rPr>
        <w:t xml:space="preserve">El medio de impugnación fue presentado a través del </w:t>
      </w:r>
      <w:r w:rsidRPr="006B7F0D">
        <w:rPr>
          <w:rFonts w:ascii="Palatino Linotype" w:eastAsia="Palatino Linotype" w:hAnsi="Palatino Linotype" w:cs="Palatino Linotype"/>
          <w:b/>
          <w:sz w:val="22"/>
          <w:szCs w:val="22"/>
        </w:rPr>
        <w:t>SAIMEX,</w:t>
      </w:r>
      <w:r w:rsidRPr="006B7F0D">
        <w:rPr>
          <w:rFonts w:ascii="Palatino Linotype" w:eastAsia="Palatino Linotype" w:hAnsi="Palatino Linotype" w:cs="Palatino Linotype"/>
          <w:sz w:val="22"/>
          <w:szCs w:val="22"/>
        </w:rPr>
        <w:t xml:space="preserve"> en el formato previamente aprobado para tal efecto y dentro del plazo legal de quince días hábiles </w:t>
      </w:r>
      <w:r w:rsidRPr="006B7F0D">
        <w:rPr>
          <w:rFonts w:ascii="Palatino Linotype" w:eastAsia="Palatino Linotype" w:hAnsi="Palatino Linotype" w:cs="Palatino Linotype"/>
          <w:sz w:val="22"/>
          <w:szCs w:val="22"/>
        </w:rPr>
        <w:lastRenderedPageBreak/>
        <w:t xml:space="preserve">otorgados; para el caso en particular es de señalar que el </w:t>
      </w:r>
      <w:r w:rsidRPr="006B7F0D">
        <w:rPr>
          <w:rFonts w:ascii="Palatino Linotype" w:eastAsia="Palatino Linotype" w:hAnsi="Palatino Linotype" w:cs="Palatino Linotype"/>
          <w:b/>
          <w:sz w:val="22"/>
          <w:szCs w:val="22"/>
        </w:rPr>
        <w:t>SUJETO OBLIGADO</w:t>
      </w:r>
      <w:r w:rsidRPr="006B7F0D">
        <w:rPr>
          <w:rFonts w:ascii="Palatino Linotype" w:eastAsia="Palatino Linotype" w:hAnsi="Palatino Linotype" w:cs="Palatino Linotype"/>
          <w:sz w:val="22"/>
          <w:szCs w:val="22"/>
        </w:rPr>
        <w:t xml:space="preserve"> entregó respuestas el </w:t>
      </w:r>
      <w:r w:rsidR="005407AC" w:rsidRPr="006B7F0D">
        <w:rPr>
          <w:rFonts w:ascii="Palatino Linotype" w:eastAsia="Palatino Linotype" w:hAnsi="Palatino Linotype" w:cs="Palatino Linotype"/>
          <w:sz w:val="22"/>
          <w:szCs w:val="22"/>
        </w:rPr>
        <w:t>veintiséis de noviembre de dos mil veinticuatro</w:t>
      </w:r>
      <w:r w:rsidRPr="006B7F0D">
        <w:rPr>
          <w:rFonts w:ascii="Palatino Linotype" w:eastAsia="Palatino Linotype" w:hAnsi="Palatino Linotype" w:cs="Palatino Linotype"/>
          <w:sz w:val="22"/>
          <w:szCs w:val="22"/>
        </w:rPr>
        <w:t xml:space="preserve">, de tal forma que el plazo para interponer el recurso transcurrió del </w:t>
      </w:r>
      <w:r w:rsidR="00681C82" w:rsidRPr="006B7F0D">
        <w:rPr>
          <w:rFonts w:ascii="Palatino Linotype" w:eastAsia="Palatino Linotype" w:hAnsi="Palatino Linotype" w:cs="Palatino Linotype"/>
          <w:sz w:val="22"/>
          <w:szCs w:val="22"/>
        </w:rPr>
        <w:t>veintisiete de noviembre</w:t>
      </w:r>
      <w:r w:rsidRPr="006B7F0D">
        <w:rPr>
          <w:rFonts w:ascii="Palatino Linotype" w:eastAsia="Palatino Linotype" w:hAnsi="Palatino Linotype" w:cs="Palatino Linotype"/>
          <w:sz w:val="22"/>
          <w:szCs w:val="22"/>
        </w:rPr>
        <w:t xml:space="preserve"> al </w:t>
      </w:r>
      <w:r w:rsidR="00681C82" w:rsidRPr="006B7F0D">
        <w:rPr>
          <w:rFonts w:ascii="Palatino Linotype" w:eastAsia="Palatino Linotype" w:hAnsi="Palatino Linotype" w:cs="Palatino Linotype"/>
          <w:sz w:val="22"/>
          <w:szCs w:val="22"/>
        </w:rPr>
        <w:t>diecisiete de diciembre de dos mil veinticuatro</w:t>
      </w:r>
      <w:r w:rsidRPr="006B7F0D">
        <w:rPr>
          <w:rFonts w:ascii="Palatino Linotype" w:eastAsia="Palatino Linotype" w:hAnsi="Palatino Linotype" w:cs="Palatino Linotype"/>
          <w:sz w:val="22"/>
          <w:szCs w:val="22"/>
        </w:rPr>
        <w:t xml:space="preserve">; en consecuencia, si el </w:t>
      </w:r>
      <w:r w:rsidRPr="006B7F0D">
        <w:rPr>
          <w:rFonts w:ascii="Palatino Linotype" w:eastAsia="Palatino Linotype" w:hAnsi="Palatino Linotype" w:cs="Palatino Linotype"/>
          <w:b/>
          <w:sz w:val="22"/>
          <w:szCs w:val="22"/>
        </w:rPr>
        <w:t>RECURRENTE</w:t>
      </w:r>
      <w:r w:rsidRPr="006B7F0D">
        <w:rPr>
          <w:rFonts w:ascii="Palatino Linotype" w:eastAsia="Palatino Linotype" w:hAnsi="Palatino Linotype" w:cs="Palatino Linotype"/>
          <w:sz w:val="22"/>
          <w:szCs w:val="22"/>
        </w:rPr>
        <w:t xml:space="preserve"> presentó su inconformidad el </w:t>
      </w:r>
      <w:r w:rsidR="00681C82" w:rsidRPr="006B7F0D">
        <w:rPr>
          <w:rFonts w:ascii="Palatino Linotype" w:eastAsia="Palatino Linotype" w:hAnsi="Palatino Linotype" w:cs="Palatino Linotype"/>
          <w:sz w:val="22"/>
          <w:szCs w:val="22"/>
        </w:rPr>
        <w:t>diecisiete de diciembre de dos mil veinticuatro</w:t>
      </w:r>
      <w:r w:rsidRPr="006B7F0D">
        <w:rPr>
          <w:rFonts w:ascii="Palatino Linotype" w:eastAsia="Palatino Linotype" w:hAnsi="Palatino Linotype" w:cs="Palatino Linotype"/>
          <w:sz w:val="22"/>
          <w:szCs w:val="22"/>
        </w:rPr>
        <w:t xml:space="preserve">, se encuentra dentro de los márgenes temporales previstos en el artículo 178 de la </w:t>
      </w:r>
      <w:r w:rsidRPr="006B7F0D">
        <w:rPr>
          <w:rFonts w:ascii="Palatino Linotype" w:eastAsia="Palatino Linotype" w:hAnsi="Palatino Linotype" w:cs="Palatino Linotype"/>
          <w:b/>
          <w:sz w:val="22"/>
          <w:szCs w:val="22"/>
        </w:rPr>
        <w:t>Ley de Transparencia y Acceso a la Información Pública del Estado de México y Municipios vigente.</w:t>
      </w:r>
      <w:r w:rsidRPr="006B7F0D">
        <w:rPr>
          <w:rFonts w:ascii="Palatino Linotype" w:eastAsia="Palatino Linotype" w:hAnsi="Palatino Linotype" w:cs="Palatino Linotype"/>
          <w:sz w:val="22"/>
          <w:szCs w:val="22"/>
        </w:rPr>
        <w:t xml:space="preserve"> </w:t>
      </w:r>
    </w:p>
    <w:p w14:paraId="69B90F1E" w14:textId="77777777" w:rsidR="002B3E11" w:rsidRPr="006B7F0D" w:rsidRDefault="002B3E11">
      <w:pPr>
        <w:spacing w:line="360" w:lineRule="auto"/>
        <w:ind w:right="48"/>
        <w:jc w:val="both"/>
        <w:rPr>
          <w:rFonts w:ascii="Palatino Linotype" w:eastAsia="Palatino Linotype" w:hAnsi="Palatino Linotype" w:cs="Palatino Linotype"/>
          <w:sz w:val="22"/>
          <w:szCs w:val="22"/>
        </w:rPr>
      </w:pPr>
    </w:p>
    <w:p w14:paraId="7B85ED14" w14:textId="77777777" w:rsidR="002B3E11" w:rsidRPr="006B7F0D" w:rsidRDefault="00811D5F">
      <w:pPr>
        <w:numPr>
          <w:ilvl w:val="0"/>
          <w:numId w:val="4"/>
        </w:numPr>
        <w:spacing w:line="360" w:lineRule="auto"/>
        <w:ind w:left="0" w:right="49" w:firstLine="0"/>
        <w:jc w:val="both"/>
        <w:rPr>
          <w:rFonts w:ascii="Palatino Linotype" w:eastAsia="Palatino Linotype" w:hAnsi="Palatino Linotype" w:cs="Palatino Linotype"/>
          <w:b/>
          <w:sz w:val="22"/>
          <w:szCs w:val="22"/>
        </w:rPr>
      </w:pPr>
      <w:r w:rsidRPr="006B7F0D">
        <w:rPr>
          <w:rFonts w:ascii="Palatino Linotype" w:eastAsia="Palatino Linotype" w:hAnsi="Palatino Linotype" w:cs="Palatino Linotype"/>
          <w:sz w:val="22"/>
          <w:szCs w:val="22"/>
        </w:rPr>
        <w:t>Consecuentemente, el escrito contiene las formalidades previstas por el artículo 180 último párrafo de la Ley de la materia actual, por lo que es procedente que este Instituto de Transparencia, Acceso a la Información Pública y Protección de Datos Personales del Estado de México y Municipios, conozca y resuelva el presente recurso.</w:t>
      </w:r>
    </w:p>
    <w:p w14:paraId="27C5D601" w14:textId="77777777" w:rsidR="00681C82" w:rsidRPr="006B7F0D" w:rsidRDefault="00681C82" w:rsidP="00681C82">
      <w:pPr>
        <w:spacing w:line="360" w:lineRule="auto"/>
        <w:ind w:right="49"/>
        <w:jc w:val="both"/>
        <w:rPr>
          <w:rFonts w:ascii="Palatino Linotype" w:eastAsia="Palatino Linotype" w:hAnsi="Palatino Linotype" w:cs="Palatino Linotype"/>
          <w:b/>
          <w:sz w:val="22"/>
          <w:szCs w:val="22"/>
        </w:rPr>
      </w:pPr>
    </w:p>
    <w:p w14:paraId="5BE509C8" w14:textId="77777777" w:rsidR="002B3E11" w:rsidRPr="006B7F0D" w:rsidRDefault="00811D5F">
      <w:pPr>
        <w:keepNext/>
        <w:keepLines/>
        <w:spacing w:after="240" w:line="360" w:lineRule="auto"/>
        <w:ind w:right="48"/>
        <w:rPr>
          <w:rFonts w:ascii="Palatino Linotype" w:eastAsia="Palatino Linotype" w:hAnsi="Palatino Linotype" w:cs="Palatino Linotype"/>
          <w:b/>
          <w:sz w:val="22"/>
          <w:szCs w:val="22"/>
        </w:rPr>
      </w:pPr>
      <w:bookmarkStart w:id="6" w:name="_heading=h.tyjcwt" w:colFirst="0" w:colLast="0"/>
      <w:bookmarkEnd w:id="6"/>
      <w:r w:rsidRPr="006B7F0D">
        <w:rPr>
          <w:rFonts w:ascii="Palatino Linotype" w:eastAsia="Palatino Linotype" w:hAnsi="Palatino Linotype" w:cs="Palatino Linotype"/>
          <w:b/>
          <w:sz w:val="22"/>
          <w:szCs w:val="22"/>
        </w:rPr>
        <w:t>TERCERO. Planteamiento de la Litis.</w:t>
      </w:r>
    </w:p>
    <w:p w14:paraId="7CB51EAF" w14:textId="3E883138" w:rsidR="002B3E11" w:rsidRPr="006B7F0D" w:rsidRDefault="00811D5F">
      <w:pPr>
        <w:numPr>
          <w:ilvl w:val="0"/>
          <w:numId w:val="4"/>
        </w:numPr>
        <w:pBdr>
          <w:top w:val="nil"/>
          <w:left w:val="nil"/>
          <w:bottom w:val="nil"/>
          <w:right w:val="nil"/>
          <w:between w:val="nil"/>
        </w:pBdr>
        <w:spacing w:before="240" w:line="360" w:lineRule="auto"/>
        <w:ind w:left="0" w:right="48" w:firstLine="0"/>
        <w:jc w:val="both"/>
        <w:rPr>
          <w:rFonts w:ascii="Palatino Linotype" w:eastAsia="Palatino Linotype" w:hAnsi="Palatino Linotype" w:cs="Palatino Linotype"/>
          <w:color w:val="000000"/>
          <w:sz w:val="22"/>
          <w:szCs w:val="22"/>
        </w:rPr>
      </w:pPr>
      <w:r w:rsidRPr="006B7F0D">
        <w:rPr>
          <w:rFonts w:ascii="Palatino Linotype" w:eastAsia="Palatino Linotype" w:hAnsi="Palatino Linotype" w:cs="Palatino Linotype"/>
          <w:color w:val="000000"/>
          <w:sz w:val="22"/>
          <w:szCs w:val="22"/>
        </w:rPr>
        <w:t xml:space="preserve">El </w:t>
      </w:r>
      <w:r w:rsidRPr="006B7F0D">
        <w:rPr>
          <w:rFonts w:ascii="Palatino Linotype" w:eastAsia="Palatino Linotype" w:hAnsi="Palatino Linotype" w:cs="Palatino Linotype"/>
          <w:b/>
          <w:color w:val="000000"/>
          <w:sz w:val="22"/>
          <w:szCs w:val="22"/>
        </w:rPr>
        <w:t>RECURRENTE</w:t>
      </w:r>
      <w:r w:rsidRPr="006B7F0D">
        <w:rPr>
          <w:rFonts w:ascii="Palatino Linotype" w:eastAsia="Palatino Linotype" w:hAnsi="Palatino Linotype" w:cs="Palatino Linotype"/>
          <w:color w:val="000000"/>
          <w:sz w:val="22"/>
          <w:szCs w:val="22"/>
        </w:rPr>
        <w:t xml:space="preserve"> solicitó </w:t>
      </w:r>
      <w:r w:rsidR="00F30D9F" w:rsidRPr="006B7F0D">
        <w:rPr>
          <w:rFonts w:ascii="Palatino Linotype" w:eastAsia="Palatino Linotype" w:hAnsi="Palatino Linotype" w:cs="Palatino Linotype"/>
          <w:color w:val="000000"/>
          <w:sz w:val="22"/>
          <w:szCs w:val="22"/>
        </w:rPr>
        <w:t xml:space="preserve">el expediente actualizado y vigente </w:t>
      </w:r>
      <w:r w:rsidR="00681C82" w:rsidRPr="006B7F0D">
        <w:rPr>
          <w:rFonts w:ascii="Palatino Linotype" w:eastAsia="Palatino Linotype" w:hAnsi="Palatino Linotype" w:cs="Palatino Linotype"/>
          <w:color w:val="000000"/>
          <w:sz w:val="22"/>
          <w:szCs w:val="22"/>
        </w:rPr>
        <w:t xml:space="preserve">de la obra pública </w:t>
      </w:r>
      <w:r w:rsidR="00F30D9F" w:rsidRPr="006B7F0D">
        <w:rPr>
          <w:rFonts w:ascii="Palatino Linotype" w:eastAsia="Palatino Linotype" w:hAnsi="Palatino Linotype" w:cs="Palatino Linotype"/>
          <w:color w:val="000000"/>
          <w:sz w:val="22"/>
          <w:szCs w:val="22"/>
        </w:rPr>
        <w:t>realizada</w:t>
      </w:r>
      <w:r w:rsidR="00681C82" w:rsidRPr="006B7F0D">
        <w:rPr>
          <w:rFonts w:ascii="Palatino Linotype" w:eastAsia="Palatino Linotype" w:hAnsi="Palatino Linotype" w:cs="Palatino Linotype"/>
          <w:color w:val="000000"/>
          <w:sz w:val="22"/>
          <w:szCs w:val="22"/>
        </w:rPr>
        <w:t xml:space="preserve"> en calle La Paz, Cabecera Municipal, Chimalhuacán, Estado de México</w:t>
      </w:r>
      <w:r w:rsidR="00F30D9F" w:rsidRPr="006B7F0D">
        <w:rPr>
          <w:rFonts w:ascii="Palatino Linotype" w:eastAsia="Palatino Linotype" w:hAnsi="Palatino Linotype" w:cs="Palatino Linotype"/>
          <w:color w:val="000000"/>
          <w:sz w:val="22"/>
          <w:szCs w:val="22"/>
        </w:rPr>
        <w:t>, al cinco de noviembre de dos mil veinticuatro.</w:t>
      </w:r>
    </w:p>
    <w:p w14:paraId="4B672865" w14:textId="77777777" w:rsidR="002B3E11" w:rsidRPr="006B7F0D" w:rsidRDefault="002B3E11">
      <w:pPr>
        <w:pBdr>
          <w:top w:val="nil"/>
          <w:left w:val="nil"/>
          <w:bottom w:val="nil"/>
          <w:right w:val="nil"/>
          <w:between w:val="nil"/>
        </w:pBdr>
        <w:spacing w:line="360" w:lineRule="auto"/>
        <w:ind w:right="48"/>
        <w:jc w:val="both"/>
        <w:rPr>
          <w:rFonts w:ascii="Palatino Linotype" w:eastAsia="Palatino Linotype" w:hAnsi="Palatino Linotype" w:cs="Palatino Linotype"/>
          <w:color w:val="000000"/>
          <w:sz w:val="22"/>
          <w:szCs w:val="22"/>
        </w:rPr>
      </w:pPr>
    </w:p>
    <w:p w14:paraId="4E62BC49" w14:textId="3DB041DF" w:rsidR="002B3E11" w:rsidRPr="006B7F0D" w:rsidRDefault="00811D5F" w:rsidP="00777385">
      <w:pPr>
        <w:numPr>
          <w:ilvl w:val="0"/>
          <w:numId w:val="4"/>
        </w:numPr>
        <w:pBdr>
          <w:top w:val="nil"/>
          <w:left w:val="nil"/>
          <w:bottom w:val="nil"/>
          <w:right w:val="nil"/>
          <w:between w:val="nil"/>
        </w:pBdr>
        <w:spacing w:line="360" w:lineRule="auto"/>
        <w:ind w:left="0" w:right="48" w:firstLine="0"/>
        <w:jc w:val="both"/>
        <w:rPr>
          <w:rFonts w:ascii="Palatino Linotype" w:eastAsia="Palatino Linotype" w:hAnsi="Palatino Linotype" w:cs="Palatino Linotype"/>
          <w:color w:val="000000"/>
          <w:sz w:val="22"/>
          <w:szCs w:val="22"/>
        </w:rPr>
      </w:pPr>
      <w:r w:rsidRPr="006B7F0D">
        <w:rPr>
          <w:rFonts w:ascii="Palatino Linotype" w:eastAsia="Palatino Linotype" w:hAnsi="Palatino Linotype" w:cs="Palatino Linotype"/>
          <w:color w:val="000000"/>
          <w:sz w:val="22"/>
          <w:szCs w:val="22"/>
        </w:rPr>
        <w:t xml:space="preserve">En respuesta, el </w:t>
      </w:r>
      <w:r w:rsidRPr="006B7F0D">
        <w:rPr>
          <w:rFonts w:ascii="Palatino Linotype" w:eastAsia="Palatino Linotype" w:hAnsi="Palatino Linotype" w:cs="Palatino Linotype"/>
          <w:b/>
          <w:color w:val="000000"/>
          <w:sz w:val="22"/>
          <w:szCs w:val="22"/>
        </w:rPr>
        <w:t>SUJETO OBLIGADO</w:t>
      </w:r>
      <w:r w:rsidRPr="006B7F0D">
        <w:rPr>
          <w:rFonts w:ascii="Palatino Linotype" w:eastAsia="Palatino Linotype" w:hAnsi="Palatino Linotype" w:cs="Palatino Linotype"/>
          <w:color w:val="000000"/>
          <w:sz w:val="22"/>
          <w:szCs w:val="22"/>
        </w:rPr>
        <w:t xml:space="preserve"> por medio del </w:t>
      </w:r>
      <w:r w:rsidR="00C4655E" w:rsidRPr="006B7F0D">
        <w:rPr>
          <w:rFonts w:ascii="Palatino Linotype" w:eastAsia="Palatino Linotype" w:hAnsi="Palatino Linotype" w:cs="Palatino Linotype"/>
          <w:color w:val="000000"/>
          <w:sz w:val="22"/>
          <w:szCs w:val="22"/>
        </w:rPr>
        <w:t>Director de Obras Públicas</w:t>
      </w:r>
      <w:r w:rsidR="00DD62AB" w:rsidRPr="006B7F0D">
        <w:rPr>
          <w:rFonts w:ascii="Palatino Linotype" w:eastAsia="Palatino Linotype" w:hAnsi="Palatino Linotype" w:cs="Palatino Linotype"/>
          <w:color w:val="000000"/>
          <w:sz w:val="22"/>
          <w:szCs w:val="22"/>
        </w:rPr>
        <w:t xml:space="preserve">, refirió que por medio del link </w:t>
      </w:r>
      <w:r w:rsidR="00DD62AB" w:rsidRPr="006B7F0D">
        <w:rPr>
          <w:rFonts w:ascii="Palatino Linotype" w:hAnsi="Palatino Linotype" w:cs="Arial"/>
          <w:bCs/>
          <w:color w:val="333333"/>
          <w:sz w:val="22"/>
          <w:szCs w:val="22"/>
        </w:rPr>
        <w:t>https://1drv.ms/f/c/ad767745fa82b6cc/Elawny-fZbpNtvYJ-A9Dt-oBSPj6Yl1LDk INPPSgZrnkg?e=jw5ZXj, se podría acceder a la información actual y vigente de la vía pública Calle La Paz, que forma parte de la información dispo</w:t>
      </w:r>
      <w:r w:rsidR="0019508A" w:rsidRPr="006B7F0D">
        <w:rPr>
          <w:rFonts w:ascii="Palatino Linotype" w:hAnsi="Palatino Linotype" w:cs="Arial"/>
          <w:bCs/>
          <w:color w:val="333333"/>
          <w:sz w:val="22"/>
          <w:szCs w:val="22"/>
        </w:rPr>
        <w:t>nible</w:t>
      </w:r>
      <w:r w:rsidR="00DD62AB" w:rsidRPr="006B7F0D">
        <w:rPr>
          <w:rFonts w:ascii="Palatino Linotype" w:hAnsi="Palatino Linotype" w:cs="Arial"/>
          <w:bCs/>
          <w:color w:val="333333"/>
          <w:sz w:val="22"/>
          <w:szCs w:val="22"/>
        </w:rPr>
        <w:t xml:space="preserve"> en el Portal de Información Pública de Oficio Mexiquense (IPOMEX); por su parte, el Director General de Desarrollo Urbano, señaló que la ejecución de la obra </w:t>
      </w:r>
      <w:r w:rsidR="0019508A" w:rsidRPr="006B7F0D">
        <w:rPr>
          <w:rFonts w:ascii="Palatino Linotype" w:hAnsi="Palatino Linotype" w:cs="Arial"/>
          <w:bCs/>
          <w:color w:val="333333"/>
          <w:sz w:val="22"/>
          <w:szCs w:val="22"/>
        </w:rPr>
        <w:t>de interés</w:t>
      </w:r>
      <w:r w:rsidR="00DD62AB" w:rsidRPr="006B7F0D">
        <w:rPr>
          <w:rFonts w:ascii="Palatino Linotype" w:hAnsi="Palatino Linotype" w:cs="Arial"/>
          <w:bCs/>
          <w:color w:val="333333"/>
          <w:sz w:val="22"/>
          <w:szCs w:val="22"/>
        </w:rPr>
        <w:t xml:space="preserve">, </w:t>
      </w:r>
      <w:r w:rsidR="0019508A" w:rsidRPr="006B7F0D">
        <w:rPr>
          <w:rFonts w:ascii="Palatino Linotype" w:hAnsi="Palatino Linotype" w:cs="Arial"/>
          <w:bCs/>
          <w:color w:val="333333"/>
          <w:sz w:val="22"/>
          <w:szCs w:val="22"/>
        </w:rPr>
        <w:t xml:space="preserve">se encontraba </w:t>
      </w:r>
      <w:r w:rsidR="00DD62AB" w:rsidRPr="006B7F0D">
        <w:rPr>
          <w:rFonts w:ascii="Palatino Linotype" w:hAnsi="Palatino Linotype" w:cs="Arial"/>
          <w:bCs/>
          <w:color w:val="333333"/>
          <w:sz w:val="22"/>
          <w:szCs w:val="22"/>
        </w:rPr>
        <w:t>bajo la responsabilidad de la Dirección de Obras Publicas Municipal</w:t>
      </w:r>
      <w:r w:rsidR="00777385" w:rsidRPr="006B7F0D">
        <w:rPr>
          <w:rFonts w:ascii="Palatino Linotype" w:hAnsi="Palatino Linotype" w:cs="Arial"/>
          <w:bCs/>
          <w:color w:val="333333"/>
          <w:sz w:val="22"/>
          <w:szCs w:val="22"/>
        </w:rPr>
        <w:t>.</w:t>
      </w:r>
    </w:p>
    <w:p w14:paraId="3CDE2D96" w14:textId="4D581054" w:rsidR="002B3E11" w:rsidRPr="006B7F0D" w:rsidRDefault="00811D5F">
      <w:pPr>
        <w:numPr>
          <w:ilvl w:val="0"/>
          <w:numId w:val="4"/>
        </w:numPr>
        <w:pBdr>
          <w:top w:val="nil"/>
          <w:left w:val="nil"/>
          <w:bottom w:val="nil"/>
          <w:right w:val="nil"/>
          <w:between w:val="nil"/>
        </w:pBdr>
        <w:spacing w:line="360" w:lineRule="auto"/>
        <w:ind w:left="0" w:right="48" w:firstLine="0"/>
        <w:jc w:val="both"/>
        <w:rPr>
          <w:rFonts w:ascii="Palatino Linotype" w:eastAsia="Palatino Linotype" w:hAnsi="Palatino Linotype" w:cs="Palatino Linotype"/>
          <w:color w:val="000000"/>
          <w:sz w:val="22"/>
          <w:szCs w:val="22"/>
        </w:rPr>
      </w:pPr>
      <w:r w:rsidRPr="006B7F0D">
        <w:rPr>
          <w:rFonts w:ascii="Palatino Linotype" w:eastAsia="Palatino Linotype" w:hAnsi="Palatino Linotype" w:cs="Palatino Linotype"/>
          <w:color w:val="000000"/>
          <w:sz w:val="22"/>
          <w:szCs w:val="22"/>
        </w:rPr>
        <w:lastRenderedPageBreak/>
        <w:t xml:space="preserve">En consecuencia, el </w:t>
      </w:r>
      <w:r w:rsidRPr="006B7F0D">
        <w:rPr>
          <w:rFonts w:ascii="Palatino Linotype" w:eastAsia="Palatino Linotype" w:hAnsi="Palatino Linotype" w:cs="Palatino Linotype"/>
          <w:b/>
          <w:color w:val="000000"/>
          <w:sz w:val="22"/>
          <w:szCs w:val="22"/>
        </w:rPr>
        <w:t xml:space="preserve">RECURRENTE </w:t>
      </w:r>
      <w:r w:rsidR="00C81A28" w:rsidRPr="006B7F0D">
        <w:rPr>
          <w:rFonts w:ascii="Palatino Linotype" w:eastAsia="Palatino Linotype" w:hAnsi="Palatino Linotype" w:cs="Palatino Linotype"/>
          <w:color w:val="000000"/>
          <w:sz w:val="22"/>
          <w:szCs w:val="22"/>
        </w:rPr>
        <w:t xml:space="preserve">interpuso recurso de revisión, mediante el cual, </w:t>
      </w:r>
      <w:r w:rsidRPr="006B7F0D">
        <w:rPr>
          <w:rFonts w:ascii="Palatino Linotype" w:eastAsia="Palatino Linotype" w:hAnsi="Palatino Linotype" w:cs="Palatino Linotype"/>
          <w:color w:val="000000"/>
          <w:sz w:val="22"/>
          <w:szCs w:val="22"/>
        </w:rPr>
        <w:t>manifestó como motivos de inconformidad,</w:t>
      </w:r>
      <w:r w:rsidR="00C81A28" w:rsidRPr="006B7F0D">
        <w:rPr>
          <w:rFonts w:ascii="Palatino Linotype" w:eastAsia="Palatino Linotype" w:hAnsi="Palatino Linotype" w:cs="Palatino Linotype"/>
          <w:color w:val="000000"/>
          <w:sz w:val="22"/>
          <w:szCs w:val="22"/>
        </w:rPr>
        <w:t xml:space="preserve"> la negativa de la información solicitada, toda vez que, al intentar ingresar al link proporcionado</w:t>
      </w:r>
      <w:r w:rsidR="00777385" w:rsidRPr="006B7F0D">
        <w:rPr>
          <w:rFonts w:ascii="Palatino Linotype" w:eastAsia="Palatino Linotype" w:hAnsi="Palatino Linotype" w:cs="Palatino Linotype"/>
          <w:color w:val="000000"/>
          <w:sz w:val="22"/>
          <w:szCs w:val="22"/>
        </w:rPr>
        <w:t>,</w:t>
      </w:r>
      <w:r w:rsidR="00C81A28" w:rsidRPr="006B7F0D">
        <w:rPr>
          <w:rFonts w:ascii="Palatino Linotype" w:eastAsia="Palatino Linotype" w:hAnsi="Palatino Linotype" w:cs="Palatino Linotype"/>
          <w:color w:val="000000"/>
          <w:sz w:val="22"/>
          <w:szCs w:val="22"/>
        </w:rPr>
        <w:t xml:space="preserve"> la página no muestra ningún resultado.</w:t>
      </w:r>
    </w:p>
    <w:p w14:paraId="3287B101" w14:textId="77777777" w:rsidR="002B3E11" w:rsidRPr="006B7F0D" w:rsidRDefault="002B3E11">
      <w:pPr>
        <w:pBdr>
          <w:top w:val="nil"/>
          <w:left w:val="nil"/>
          <w:bottom w:val="nil"/>
          <w:right w:val="nil"/>
          <w:between w:val="nil"/>
        </w:pBdr>
        <w:spacing w:line="360" w:lineRule="auto"/>
        <w:ind w:right="48"/>
        <w:jc w:val="both"/>
        <w:rPr>
          <w:rFonts w:ascii="Palatino Linotype" w:eastAsia="Palatino Linotype" w:hAnsi="Palatino Linotype" w:cs="Palatino Linotype"/>
          <w:color w:val="000000"/>
          <w:sz w:val="22"/>
          <w:szCs w:val="22"/>
        </w:rPr>
      </w:pPr>
    </w:p>
    <w:p w14:paraId="1A9E4137" w14:textId="77777777" w:rsidR="002B3E11" w:rsidRPr="006B7F0D" w:rsidRDefault="00811D5F">
      <w:pPr>
        <w:numPr>
          <w:ilvl w:val="0"/>
          <w:numId w:val="4"/>
        </w:numPr>
        <w:pBdr>
          <w:top w:val="nil"/>
          <w:left w:val="nil"/>
          <w:bottom w:val="nil"/>
          <w:right w:val="nil"/>
          <w:between w:val="nil"/>
        </w:pBdr>
        <w:spacing w:line="360" w:lineRule="auto"/>
        <w:ind w:left="0" w:right="48" w:firstLine="0"/>
        <w:jc w:val="both"/>
        <w:rPr>
          <w:rFonts w:ascii="Palatino Linotype" w:eastAsia="Palatino Linotype" w:hAnsi="Palatino Linotype" w:cs="Palatino Linotype"/>
          <w:color w:val="000000"/>
          <w:sz w:val="22"/>
          <w:szCs w:val="22"/>
        </w:rPr>
      </w:pPr>
      <w:r w:rsidRPr="006B7F0D">
        <w:rPr>
          <w:rFonts w:ascii="Palatino Linotype" w:eastAsia="Palatino Linotype" w:hAnsi="Palatino Linotype" w:cs="Palatino Linotype"/>
          <w:color w:val="000000"/>
          <w:sz w:val="22"/>
          <w:szCs w:val="22"/>
        </w:rPr>
        <w:t>En consecuencia, la Litis a resolver en este recurso, se circunscribe a determinar si la respuesta colma con lo solicitado o si se actualizan las causales de procedencia previstas en el artículo 179, fracción I de la Ley de Transparencia y Acceso a la Información Pública del Estado de México y Municipios; que establece la negativa de la información solicitada.</w:t>
      </w:r>
    </w:p>
    <w:p w14:paraId="4438AA41" w14:textId="77777777" w:rsidR="002B3E11" w:rsidRPr="006B7F0D" w:rsidRDefault="002B3E11" w:rsidP="00241792">
      <w:pPr>
        <w:pBdr>
          <w:top w:val="nil"/>
          <w:left w:val="nil"/>
          <w:bottom w:val="nil"/>
          <w:right w:val="nil"/>
          <w:between w:val="nil"/>
        </w:pBdr>
        <w:spacing w:after="240"/>
        <w:ind w:right="48"/>
        <w:jc w:val="both"/>
        <w:rPr>
          <w:rFonts w:ascii="Palatino Linotype" w:eastAsia="Palatino Linotype" w:hAnsi="Palatino Linotype" w:cs="Palatino Linotype"/>
          <w:color w:val="000000"/>
          <w:sz w:val="22"/>
          <w:szCs w:val="22"/>
        </w:rPr>
      </w:pPr>
    </w:p>
    <w:p w14:paraId="4CE86032" w14:textId="77777777" w:rsidR="002B3E11" w:rsidRPr="006B7F0D" w:rsidRDefault="00811D5F">
      <w:pPr>
        <w:pStyle w:val="Ttulo1"/>
        <w:spacing w:before="0" w:after="240" w:line="360" w:lineRule="auto"/>
        <w:rPr>
          <w:rFonts w:ascii="Palatino Linotype" w:eastAsia="Palatino Linotype" w:hAnsi="Palatino Linotype" w:cs="Palatino Linotype"/>
          <w:b/>
          <w:color w:val="000000"/>
          <w:sz w:val="22"/>
          <w:szCs w:val="22"/>
        </w:rPr>
      </w:pPr>
      <w:bookmarkStart w:id="7" w:name="_heading=h.3dy6vkm" w:colFirst="0" w:colLast="0"/>
      <w:bookmarkEnd w:id="7"/>
      <w:r w:rsidRPr="006B7F0D">
        <w:rPr>
          <w:rFonts w:ascii="Palatino Linotype" w:eastAsia="Palatino Linotype" w:hAnsi="Palatino Linotype" w:cs="Palatino Linotype"/>
          <w:b/>
          <w:color w:val="000000"/>
          <w:sz w:val="22"/>
          <w:szCs w:val="22"/>
        </w:rPr>
        <w:t>CUARTO. Del estudio y resolución del recurso de revisión.</w:t>
      </w:r>
    </w:p>
    <w:p w14:paraId="09BF3D2D" w14:textId="77777777" w:rsidR="002B3E11" w:rsidRPr="006B7F0D" w:rsidRDefault="00811D5F">
      <w:pPr>
        <w:pStyle w:val="Ttulo1"/>
        <w:numPr>
          <w:ilvl w:val="0"/>
          <w:numId w:val="1"/>
        </w:numPr>
        <w:spacing w:before="0" w:after="240" w:line="360" w:lineRule="auto"/>
        <w:rPr>
          <w:rFonts w:ascii="Palatino Linotype" w:eastAsia="Palatino Linotype" w:hAnsi="Palatino Linotype" w:cs="Palatino Linotype"/>
          <w:b/>
          <w:color w:val="000000"/>
          <w:sz w:val="22"/>
          <w:szCs w:val="22"/>
        </w:rPr>
      </w:pPr>
      <w:bookmarkStart w:id="8" w:name="_heading=h.1t3h5sf" w:colFirst="0" w:colLast="0"/>
      <w:bookmarkEnd w:id="8"/>
      <w:r w:rsidRPr="006B7F0D">
        <w:rPr>
          <w:rFonts w:ascii="Palatino Linotype" w:eastAsia="Palatino Linotype" w:hAnsi="Palatino Linotype" w:cs="Palatino Linotype"/>
          <w:b/>
          <w:color w:val="000000"/>
          <w:sz w:val="22"/>
          <w:szCs w:val="22"/>
        </w:rPr>
        <w:t>Del derecho de acceso a la información.</w:t>
      </w:r>
    </w:p>
    <w:p w14:paraId="089AA71E" w14:textId="77777777" w:rsidR="002B3E11" w:rsidRPr="006B7F0D" w:rsidRDefault="00811D5F">
      <w:pPr>
        <w:numPr>
          <w:ilvl w:val="0"/>
          <w:numId w:val="4"/>
        </w:numPr>
        <w:pBdr>
          <w:top w:val="nil"/>
          <w:left w:val="nil"/>
          <w:bottom w:val="nil"/>
          <w:right w:val="nil"/>
          <w:between w:val="nil"/>
        </w:pBdr>
        <w:spacing w:before="240" w:after="240" w:line="360" w:lineRule="auto"/>
        <w:ind w:left="0" w:right="48" w:firstLine="0"/>
        <w:jc w:val="both"/>
        <w:rPr>
          <w:rFonts w:ascii="Palatino Linotype" w:eastAsia="Palatino Linotype" w:hAnsi="Palatino Linotype" w:cs="Palatino Linotype"/>
          <w:color w:val="000000"/>
          <w:sz w:val="22"/>
          <w:szCs w:val="22"/>
        </w:rPr>
      </w:pPr>
      <w:r w:rsidRPr="006B7F0D">
        <w:rPr>
          <w:rFonts w:ascii="Palatino Linotype" w:eastAsia="Palatino Linotype" w:hAnsi="Palatino Linotype" w:cs="Palatino Linotype"/>
          <w:color w:val="000000"/>
          <w:sz w:val="22"/>
          <w:szCs w:val="22"/>
        </w:rPr>
        <w:t xml:space="preserve">El Derecho de Acceso a la Información Pública, es un derecho humano reconocido en el Pacto de Derechos Civiles y Políticos en su artículo 19.2; en la Convención Americana sobre Derechos Humanos en su artículo 13.1; en el artículo sexto de la Constitución Política de los Estados Unidos Mexicanos y en el artículo quinto de la Particular del Estado de México. </w:t>
      </w:r>
    </w:p>
    <w:p w14:paraId="4BAD0EAE" w14:textId="184DC1E1" w:rsidR="00DB689B" w:rsidRPr="006B7F0D" w:rsidRDefault="00811D5F" w:rsidP="00DB689B">
      <w:pPr>
        <w:numPr>
          <w:ilvl w:val="0"/>
          <w:numId w:val="4"/>
        </w:numPr>
        <w:spacing w:before="240" w:line="360" w:lineRule="auto"/>
        <w:ind w:left="0" w:right="49" w:firstLine="0"/>
        <w:jc w:val="both"/>
        <w:rPr>
          <w:rFonts w:ascii="Palatino Linotype" w:eastAsia="Palatino Linotype" w:hAnsi="Palatino Linotype" w:cs="Palatino Linotype"/>
          <w:sz w:val="22"/>
          <w:szCs w:val="22"/>
        </w:rPr>
      </w:pPr>
      <w:r w:rsidRPr="006B7F0D">
        <w:rPr>
          <w:rFonts w:ascii="Palatino Linotype" w:eastAsia="Palatino Linotype" w:hAnsi="Palatino Linotype" w:cs="Palatino Linotype"/>
          <w:sz w:val="22"/>
          <w:szCs w:val="22"/>
        </w:rPr>
        <w:t xml:space="preserve">Definiendo el Derecho de Acceso a la Información Pública como: </w:t>
      </w:r>
      <w:r w:rsidRPr="006B7F0D">
        <w:rPr>
          <w:rFonts w:ascii="Palatino Linotype" w:eastAsia="Palatino Linotype" w:hAnsi="Palatino Linotype" w:cs="Palatino Linotype"/>
          <w:i/>
          <w:color w:val="000000"/>
          <w:sz w:val="22"/>
          <w:szCs w:val="22"/>
        </w:rPr>
        <w:t>La igualdad de oportunidades para recibir, buscar e impartir información</w:t>
      </w:r>
      <w:r w:rsidRPr="006B7F0D">
        <w:rPr>
          <w:rFonts w:ascii="Palatino Linotype" w:eastAsia="Palatino Linotype" w:hAnsi="Palatino Linotype" w:cs="Palatino Linotype"/>
          <w:i/>
          <w:sz w:val="22"/>
          <w:szCs w:val="22"/>
          <w:vertAlign w:val="superscript"/>
        </w:rPr>
        <w:footnoteReference w:id="1"/>
      </w:r>
      <w:r w:rsidRPr="006B7F0D">
        <w:rPr>
          <w:rFonts w:ascii="Palatino Linotype" w:eastAsia="Palatino Linotype" w:hAnsi="Palatino Linotype" w:cs="Palatino Linotype"/>
          <w:i/>
          <w:color w:val="000000"/>
          <w:sz w:val="22"/>
          <w:szCs w:val="22"/>
        </w:rPr>
        <w:t>en posesión de cualquier autoridad, entidad, órgano y organismo de los poderes Ejecutivo, Legislativo y Judicial, órganos autónomos, partidos políticos, fideicomisos y fondos públicos, así como de cualquier persona física, moral o sindicato que reciba y ejerza recursos públicos o realice actos de autoridad en el ámbito federal, estatal y municipal,</w:t>
      </w:r>
      <w:r w:rsidRPr="006B7F0D">
        <w:rPr>
          <w:rFonts w:ascii="Palatino Linotype" w:eastAsia="Palatino Linotype" w:hAnsi="Palatino Linotype" w:cs="Palatino Linotype"/>
          <w:i/>
          <w:sz w:val="22"/>
          <w:szCs w:val="22"/>
          <w:vertAlign w:val="superscript"/>
        </w:rPr>
        <w:footnoteReference w:id="2"/>
      </w:r>
      <w:r w:rsidRPr="006B7F0D">
        <w:rPr>
          <w:rFonts w:ascii="Palatino Linotype" w:eastAsia="Palatino Linotype" w:hAnsi="Palatino Linotype" w:cs="Palatino Linotype"/>
          <w:color w:val="000000"/>
          <w:sz w:val="22"/>
          <w:szCs w:val="22"/>
        </w:rPr>
        <w:t>que se constituye como una herramienta fundamental para ejercer</w:t>
      </w:r>
      <w:r w:rsidRPr="006B7F0D">
        <w:rPr>
          <w:rFonts w:ascii="Palatino Linotype" w:eastAsia="Palatino Linotype" w:hAnsi="Palatino Linotype" w:cs="Palatino Linotype"/>
          <w:i/>
          <w:color w:val="000000"/>
          <w:sz w:val="22"/>
          <w:szCs w:val="22"/>
        </w:rPr>
        <w:t xml:space="preserve"> el control democrático de las gestiones estatales, de forma tal que puedan cuestionar, indagar y considerar si se </w:t>
      </w:r>
      <w:r w:rsidRPr="006B7F0D">
        <w:rPr>
          <w:rFonts w:ascii="Palatino Linotype" w:eastAsia="Palatino Linotype" w:hAnsi="Palatino Linotype" w:cs="Palatino Linotype"/>
          <w:i/>
          <w:color w:val="000000"/>
          <w:sz w:val="22"/>
          <w:szCs w:val="22"/>
        </w:rPr>
        <w:lastRenderedPageBreak/>
        <w:t>está dando un adecuado cumplimiento a las funciones públicas,</w:t>
      </w:r>
      <w:r w:rsidRPr="006B7F0D">
        <w:rPr>
          <w:rFonts w:ascii="Palatino Linotype" w:eastAsia="Palatino Linotype" w:hAnsi="Palatino Linotype" w:cs="Palatino Linotype"/>
          <w:i/>
          <w:sz w:val="22"/>
          <w:szCs w:val="22"/>
          <w:vertAlign w:val="superscript"/>
        </w:rPr>
        <w:footnoteReference w:id="3"/>
      </w:r>
      <w:r w:rsidRPr="006B7F0D">
        <w:rPr>
          <w:rFonts w:ascii="Palatino Linotype" w:eastAsia="Palatino Linotype" w:hAnsi="Palatino Linotype" w:cs="Palatino Linotype"/>
          <w:color w:val="000000"/>
          <w:sz w:val="22"/>
          <w:szCs w:val="22"/>
        </w:rPr>
        <w:t>fomentando</w:t>
      </w:r>
      <w:r w:rsidRPr="006B7F0D">
        <w:rPr>
          <w:rFonts w:ascii="Palatino Linotype" w:eastAsia="Palatino Linotype" w:hAnsi="Palatino Linotype" w:cs="Palatino Linotype"/>
          <w:i/>
          <w:color w:val="000000"/>
          <w:sz w:val="22"/>
          <w:szCs w:val="22"/>
        </w:rPr>
        <w:t xml:space="preserve"> la transparencia de las actividades estatales y </w:t>
      </w:r>
      <w:r w:rsidRPr="006B7F0D">
        <w:rPr>
          <w:rFonts w:ascii="Palatino Linotype" w:eastAsia="Palatino Linotype" w:hAnsi="Palatino Linotype" w:cs="Palatino Linotype"/>
          <w:color w:val="000000"/>
          <w:sz w:val="22"/>
          <w:szCs w:val="22"/>
        </w:rPr>
        <w:t>promoviendo</w:t>
      </w:r>
      <w:r w:rsidRPr="006B7F0D">
        <w:rPr>
          <w:rFonts w:ascii="Palatino Linotype" w:eastAsia="Palatino Linotype" w:hAnsi="Palatino Linotype" w:cs="Palatino Linotype"/>
          <w:i/>
          <w:color w:val="000000"/>
          <w:sz w:val="22"/>
          <w:szCs w:val="22"/>
        </w:rPr>
        <w:t xml:space="preserve"> la responsabilidad de los funcionarios sobre su gestión pública,</w:t>
      </w:r>
      <w:r w:rsidRPr="006B7F0D">
        <w:rPr>
          <w:rFonts w:ascii="Palatino Linotype" w:eastAsia="Palatino Linotype" w:hAnsi="Palatino Linotype" w:cs="Palatino Linotype"/>
          <w:i/>
          <w:sz w:val="22"/>
          <w:szCs w:val="22"/>
          <w:vertAlign w:val="superscript"/>
        </w:rPr>
        <w:footnoteReference w:id="4"/>
      </w:r>
      <w:r w:rsidRPr="006B7F0D">
        <w:rPr>
          <w:rFonts w:ascii="Palatino Linotype" w:eastAsia="Palatino Linotype" w:hAnsi="Palatino Linotype" w:cs="Palatino Linotype"/>
          <w:color w:val="000000"/>
          <w:sz w:val="22"/>
          <w:szCs w:val="22"/>
        </w:rPr>
        <w:t>que permite</w:t>
      </w:r>
      <w:r w:rsidRPr="006B7F0D">
        <w:rPr>
          <w:rFonts w:ascii="Palatino Linotype" w:eastAsia="Palatino Linotype" w:hAnsi="Palatino Linotype" w:cs="Palatino Linotype"/>
          <w:i/>
          <w:color w:val="000000"/>
          <w:sz w:val="22"/>
          <w:szCs w:val="22"/>
        </w:rPr>
        <w:t xml:space="preserve"> saber qué están haciendo los gobiernos por sus pueblos, sin lo cual la verdad languidecería y la participación en el gobierno permanecería fragmentada.</w:t>
      </w:r>
    </w:p>
    <w:p w14:paraId="7A1399DB" w14:textId="77777777" w:rsidR="00DB689B" w:rsidRPr="006B7F0D" w:rsidRDefault="00DB689B" w:rsidP="00DB689B">
      <w:pPr>
        <w:spacing w:before="240" w:line="360" w:lineRule="auto"/>
        <w:ind w:right="49"/>
        <w:jc w:val="both"/>
        <w:rPr>
          <w:rFonts w:ascii="Palatino Linotype" w:eastAsia="Palatino Linotype" w:hAnsi="Palatino Linotype" w:cs="Palatino Linotype"/>
          <w:sz w:val="22"/>
          <w:szCs w:val="22"/>
        </w:rPr>
      </w:pPr>
    </w:p>
    <w:p w14:paraId="66F37AF9" w14:textId="77777777" w:rsidR="002B3E11" w:rsidRPr="006B7F0D" w:rsidRDefault="00811D5F">
      <w:pPr>
        <w:numPr>
          <w:ilvl w:val="0"/>
          <w:numId w:val="4"/>
        </w:numPr>
        <w:spacing w:line="360" w:lineRule="auto"/>
        <w:ind w:left="0" w:right="49" w:firstLine="0"/>
        <w:jc w:val="both"/>
        <w:rPr>
          <w:rFonts w:ascii="Palatino Linotype" w:eastAsia="Palatino Linotype" w:hAnsi="Palatino Linotype" w:cs="Palatino Linotype"/>
          <w:sz w:val="22"/>
          <w:szCs w:val="22"/>
        </w:rPr>
      </w:pPr>
      <w:r w:rsidRPr="006B7F0D">
        <w:rPr>
          <w:rFonts w:ascii="Palatino Linotype" w:eastAsia="Palatino Linotype" w:hAnsi="Palatino Linotype" w:cs="Palatino Linotype"/>
          <w:sz w:val="22"/>
          <w:szCs w:val="22"/>
        </w:rPr>
        <w:t>En México, además de los derechos, están reconocidas las garantías para su protección, en ese sentido el párrafo tercero de artículo primero de la Constitución Política de los Estados Unidos Mexicanos dispone lo siguiente:</w:t>
      </w:r>
    </w:p>
    <w:p w14:paraId="25C1927B" w14:textId="77777777" w:rsidR="002B3E11" w:rsidRPr="006B7F0D" w:rsidRDefault="002B3E11">
      <w:pPr>
        <w:ind w:right="49"/>
        <w:jc w:val="both"/>
        <w:rPr>
          <w:rFonts w:ascii="Palatino Linotype" w:eastAsia="Palatino Linotype" w:hAnsi="Palatino Linotype" w:cs="Palatino Linotype"/>
          <w:sz w:val="22"/>
          <w:szCs w:val="22"/>
        </w:rPr>
      </w:pPr>
    </w:p>
    <w:p w14:paraId="0E1D3202" w14:textId="77777777" w:rsidR="002B3E11" w:rsidRPr="006B7F0D" w:rsidRDefault="00811D5F">
      <w:pPr>
        <w:ind w:left="567" w:right="567"/>
        <w:jc w:val="both"/>
        <w:rPr>
          <w:rFonts w:ascii="Palatino Linotype" w:eastAsia="Palatino Linotype" w:hAnsi="Palatino Linotype" w:cs="Palatino Linotype"/>
          <w:i/>
          <w:sz w:val="22"/>
          <w:szCs w:val="22"/>
        </w:rPr>
      </w:pPr>
      <w:r w:rsidRPr="006B7F0D">
        <w:rPr>
          <w:rFonts w:ascii="Palatino Linotype" w:eastAsia="Palatino Linotype" w:hAnsi="Palatino Linotype" w:cs="Palatino Linotype"/>
          <w:i/>
          <w:sz w:val="22"/>
          <w:szCs w:val="22"/>
        </w:rPr>
        <w:t>“</w:t>
      </w:r>
      <w:r w:rsidRPr="006B7F0D">
        <w:rPr>
          <w:rFonts w:ascii="Palatino Linotype" w:eastAsia="Palatino Linotype" w:hAnsi="Palatino Linotype" w:cs="Palatino Linotype"/>
          <w:b/>
          <w:i/>
          <w:sz w:val="22"/>
          <w:szCs w:val="22"/>
        </w:rPr>
        <w:t>Artículo 1.-</w:t>
      </w:r>
      <w:r w:rsidRPr="006B7F0D">
        <w:rPr>
          <w:rFonts w:ascii="Palatino Linotype" w:eastAsia="Palatino Linotype" w:hAnsi="Palatino Linotype" w:cs="Palatino Linotype"/>
          <w:i/>
          <w:sz w:val="22"/>
          <w:szCs w:val="22"/>
        </w:rPr>
        <w:t xml:space="preserve"> </w:t>
      </w:r>
    </w:p>
    <w:p w14:paraId="1114287B" w14:textId="77777777" w:rsidR="002B3E11" w:rsidRPr="006B7F0D" w:rsidRDefault="00811D5F">
      <w:pPr>
        <w:ind w:left="567" w:right="567"/>
        <w:jc w:val="both"/>
        <w:rPr>
          <w:rFonts w:ascii="Palatino Linotype" w:eastAsia="Palatino Linotype" w:hAnsi="Palatino Linotype" w:cs="Palatino Linotype"/>
          <w:i/>
          <w:sz w:val="22"/>
          <w:szCs w:val="22"/>
        </w:rPr>
      </w:pPr>
      <w:r w:rsidRPr="006B7F0D">
        <w:rPr>
          <w:rFonts w:ascii="Palatino Linotype" w:eastAsia="Palatino Linotype" w:hAnsi="Palatino Linotype" w:cs="Palatino Linotype"/>
          <w:i/>
          <w:sz w:val="22"/>
          <w:szCs w:val="22"/>
        </w:rPr>
        <w:t>(…)</w:t>
      </w:r>
    </w:p>
    <w:p w14:paraId="4D61C189" w14:textId="77777777" w:rsidR="002B3E11" w:rsidRPr="006B7F0D" w:rsidRDefault="00811D5F">
      <w:pPr>
        <w:ind w:left="567" w:right="567"/>
        <w:jc w:val="both"/>
        <w:rPr>
          <w:rFonts w:ascii="Palatino Linotype" w:eastAsia="Palatino Linotype" w:hAnsi="Palatino Linotype" w:cs="Palatino Linotype"/>
          <w:i/>
          <w:sz w:val="22"/>
          <w:szCs w:val="22"/>
        </w:rPr>
      </w:pPr>
      <w:r w:rsidRPr="006B7F0D">
        <w:rPr>
          <w:rFonts w:ascii="Palatino Linotype" w:eastAsia="Palatino Linotype" w:hAnsi="Palatino Linotype" w:cs="Palatino Linotype"/>
          <w:i/>
          <w:sz w:val="22"/>
          <w:szCs w:val="22"/>
        </w:rPr>
        <w:t>Todas las</w:t>
      </w:r>
      <w:r w:rsidRPr="006B7F0D">
        <w:rPr>
          <w:rFonts w:ascii="Palatino Linotype" w:eastAsia="Palatino Linotype" w:hAnsi="Palatino Linotype" w:cs="Palatino Linotype"/>
          <w:sz w:val="22"/>
          <w:szCs w:val="22"/>
        </w:rPr>
        <w:t xml:space="preserve"> </w:t>
      </w:r>
      <w:r w:rsidRPr="006B7F0D">
        <w:rPr>
          <w:rFonts w:ascii="Palatino Linotype" w:eastAsia="Palatino Linotype" w:hAnsi="Palatino Linotype" w:cs="Palatino Linotype"/>
          <w:i/>
          <w:sz w:val="22"/>
          <w:szCs w:val="22"/>
        </w:rPr>
        <w:t>autoridades, en el ámbito de sus competencias, tienen la obligación de promover, respetar, proteger y garantizar los derechos humanos de conformidad con los principios de universalidad, interdependencia, indivisibilidad y progresividad. En consecuencia, el Estado deberá prevenir, investigar, sancionar y reparar las violaciones a los derechos humanos, en los términos que establezca la ley.</w:t>
      </w:r>
    </w:p>
    <w:p w14:paraId="3A4A9038" w14:textId="77777777" w:rsidR="002B3E11" w:rsidRPr="006B7F0D" w:rsidRDefault="00811D5F">
      <w:pPr>
        <w:ind w:left="567" w:right="567"/>
        <w:jc w:val="both"/>
        <w:rPr>
          <w:rFonts w:ascii="Palatino Linotype" w:eastAsia="Palatino Linotype" w:hAnsi="Palatino Linotype" w:cs="Palatino Linotype"/>
          <w:sz w:val="22"/>
          <w:szCs w:val="22"/>
        </w:rPr>
      </w:pPr>
      <w:r w:rsidRPr="006B7F0D">
        <w:rPr>
          <w:rFonts w:ascii="Palatino Linotype" w:eastAsia="Palatino Linotype" w:hAnsi="Palatino Linotype" w:cs="Palatino Linotype"/>
          <w:i/>
          <w:sz w:val="22"/>
          <w:szCs w:val="22"/>
        </w:rPr>
        <w:t>(…)</w:t>
      </w:r>
      <w:r w:rsidRPr="006B7F0D">
        <w:rPr>
          <w:rFonts w:ascii="Palatino Linotype" w:eastAsia="Palatino Linotype" w:hAnsi="Palatino Linotype" w:cs="Palatino Linotype"/>
          <w:sz w:val="22"/>
          <w:szCs w:val="22"/>
        </w:rPr>
        <w:t>”.</w:t>
      </w:r>
    </w:p>
    <w:p w14:paraId="598B79F3" w14:textId="77777777" w:rsidR="002B3E11" w:rsidRPr="006B7F0D" w:rsidRDefault="002B3E11">
      <w:pPr>
        <w:ind w:right="567"/>
        <w:jc w:val="both"/>
        <w:rPr>
          <w:rFonts w:ascii="Palatino Linotype" w:eastAsia="Palatino Linotype" w:hAnsi="Palatino Linotype" w:cs="Palatino Linotype"/>
          <w:sz w:val="22"/>
          <w:szCs w:val="22"/>
        </w:rPr>
      </w:pPr>
    </w:p>
    <w:p w14:paraId="56D255AA" w14:textId="77777777" w:rsidR="002B3E11" w:rsidRPr="006B7F0D" w:rsidRDefault="00811D5F">
      <w:pPr>
        <w:numPr>
          <w:ilvl w:val="0"/>
          <w:numId w:val="4"/>
        </w:numPr>
        <w:spacing w:line="360" w:lineRule="auto"/>
        <w:ind w:left="0" w:right="49" w:firstLine="0"/>
        <w:jc w:val="both"/>
        <w:rPr>
          <w:rFonts w:ascii="Palatino Linotype" w:eastAsia="Palatino Linotype" w:hAnsi="Palatino Linotype" w:cs="Palatino Linotype"/>
          <w:sz w:val="22"/>
          <w:szCs w:val="22"/>
        </w:rPr>
      </w:pPr>
      <w:r w:rsidRPr="006B7F0D">
        <w:rPr>
          <w:rFonts w:ascii="Palatino Linotype" w:eastAsia="Palatino Linotype" w:hAnsi="Palatino Linotype" w:cs="Palatino Linotype"/>
          <w:sz w:val="22"/>
          <w:szCs w:val="22"/>
        </w:rPr>
        <w:t>Por lo anterior, se deduce que el Derecho de Acceso a la Información Pública es un Derecho Humano de Fuente Internacional y Constitucionalmente reconocido. Además del derecho, también se reconocen garantías para su protección, lo que vincula con el mandato del párrafo tercero del mismo artículo.</w:t>
      </w:r>
    </w:p>
    <w:p w14:paraId="5E2D344C" w14:textId="77777777" w:rsidR="002B3E11" w:rsidRPr="006B7F0D" w:rsidRDefault="002B3E11">
      <w:pPr>
        <w:spacing w:line="360" w:lineRule="auto"/>
        <w:ind w:right="49"/>
        <w:jc w:val="both"/>
        <w:rPr>
          <w:rFonts w:ascii="Palatino Linotype" w:eastAsia="Palatino Linotype" w:hAnsi="Palatino Linotype" w:cs="Palatino Linotype"/>
          <w:sz w:val="22"/>
          <w:szCs w:val="22"/>
        </w:rPr>
      </w:pPr>
    </w:p>
    <w:p w14:paraId="073C23C6" w14:textId="77777777" w:rsidR="002B3E11" w:rsidRPr="006B7F0D" w:rsidRDefault="00811D5F">
      <w:pPr>
        <w:numPr>
          <w:ilvl w:val="0"/>
          <w:numId w:val="4"/>
        </w:numPr>
        <w:spacing w:line="360" w:lineRule="auto"/>
        <w:ind w:left="0" w:right="49" w:firstLine="0"/>
        <w:jc w:val="both"/>
        <w:rPr>
          <w:rFonts w:ascii="Palatino Linotype" w:eastAsia="Palatino Linotype" w:hAnsi="Palatino Linotype" w:cs="Palatino Linotype"/>
          <w:sz w:val="22"/>
          <w:szCs w:val="22"/>
        </w:rPr>
      </w:pPr>
      <w:r w:rsidRPr="006B7F0D">
        <w:rPr>
          <w:rFonts w:ascii="Palatino Linotype" w:eastAsia="Palatino Linotype" w:hAnsi="Palatino Linotype" w:cs="Palatino Linotype"/>
          <w:sz w:val="22"/>
          <w:szCs w:val="22"/>
        </w:rPr>
        <w:t xml:space="preserve">Así, conforme a la Constitución Política de las Estado Unidos Mexicanos y la Constitución Política del Estado Libre y Soberano de México respectivamente, el cumplimiento de las garantías primarias, entendidas como obligaciones inmediatamente </w:t>
      </w:r>
      <w:r w:rsidRPr="006B7F0D">
        <w:rPr>
          <w:rFonts w:ascii="Palatino Linotype" w:eastAsia="Palatino Linotype" w:hAnsi="Palatino Linotype" w:cs="Palatino Linotype"/>
          <w:sz w:val="22"/>
          <w:szCs w:val="22"/>
        </w:rPr>
        <w:lastRenderedPageBreak/>
        <w:t>relacionadas con el Derecho de Acceso a la Información Pública, permiten que todas las autoridades, en el ámbito de sus atribuciones lo respeten, protejan y garanticen.</w:t>
      </w:r>
    </w:p>
    <w:p w14:paraId="29352671" w14:textId="77777777" w:rsidR="002B3E11" w:rsidRPr="006B7F0D" w:rsidRDefault="002B3E11">
      <w:pPr>
        <w:spacing w:line="360" w:lineRule="auto"/>
        <w:ind w:right="49"/>
        <w:jc w:val="both"/>
        <w:rPr>
          <w:rFonts w:ascii="Palatino Linotype" w:eastAsia="Palatino Linotype" w:hAnsi="Palatino Linotype" w:cs="Palatino Linotype"/>
          <w:sz w:val="22"/>
          <w:szCs w:val="22"/>
        </w:rPr>
      </w:pPr>
    </w:p>
    <w:p w14:paraId="771089C6" w14:textId="77777777" w:rsidR="002B3E11" w:rsidRPr="006B7F0D" w:rsidRDefault="00811D5F">
      <w:pPr>
        <w:spacing w:after="240"/>
        <w:ind w:left="567" w:right="567"/>
        <w:jc w:val="both"/>
        <w:rPr>
          <w:rFonts w:ascii="Palatino Linotype" w:eastAsia="Palatino Linotype" w:hAnsi="Palatino Linotype" w:cs="Palatino Linotype"/>
          <w:b/>
          <w:i/>
          <w:sz w:val="22"/>
          <w:szCs w:val="22"/>
        </w:rPr>
      </w:pPr>
      <w:r w:rsidRPr="006B7F0D">
        <w:rPr>
          <w:rFonts w:ascii="Palatino Linotype" w:eastAsia="Palatino Linotype" w:hAnsi="Palatino Linotype" w:cs="Palatino Linotype"/>
          <w:b/>
          <w:i/>
          <w:sz w:val="22"/>
          <w:szCs w:val="22"/>
        </w:rPr>
        <w:t>Constitución Política de los Estados Unidos Mexicanos</w:t>
      </w:r>
    </w:p>
    <w:p w14:paraId="50827122" w14:textId="77777777" w:rsidR="002B3E11" w:rsidRPr="006B7F0D" w:rsidRDefault="00811D5F">
      <w:pPr>
        <w:spacing w:before="240" w:after="240"/>
        <w:ind w:left="567" w:right="567"/>
        <w:jc w:val="both"/>
        <w:rPr>
          <w:rFonts w:ascii="Palatino Linotype" w:eastAsia="Palatino Linotype" w:hAnsi="Palatino Linotype" w:cs="Palatino Linotype"/>
          <w:b/>
          <w:i/>
          <w:sz w:val="22"/>
          <w:szCs w:val="22"/>
        </w:rPr>
      </w:pPr>
      <w:r w:rsidRPr="006B7F0D">
        <w:rPr>
          <w:rFonts w:ascii="Palatino Linotype" w:eastAsia="Palatino Linotype" w:hAnsi="Palatino Linotype" w:cs="Palatino Linotype"/>
          <w:b/>
          <w:i/>
          <w:sz w:val="22"/>
          <w:szCs w:val="22"/>
        </w:rPr>
        <w:t>“Artículo 6.</w:t>
      </w:r>
    </w:p>
    <w:p w14:paraId="373AF719" w14:textId="77777777" w:rsidR="002B3E11" w:rsidRPr="006B7F0D" w:rsidRDefault="00811D5F">
      <w:pPr>
        <w:spacing w:before="240" w:after="240"/>
        <w:ind w:left="567" w:right="567"/>
        <w:jc w:val="both"/>
        <w:rPr>
          <w:rFonts w:ascii="Palatino Linotype" w:eastAsia="Palatino Linotype" w:hAnsi="Palatino Linotype" w:cs="Palatino Linotype"/>
          <w:i/>
          <w:sz w:val="22"/>
          <w:szCs w:val="22"/>
        </w:rPr>
      </w:pPr>
      <w:r w:rsidRPr="006B7F0D">
        <w:rPr>
          <w:rFonts w:ascii="Palatino Linotype" w:eastAsia="Palatino Linotype" w:hAnsi="Palatino Linotype" w:cs="Palatino Linotype"/>
          <w:i/>
          <w:sz w:val="22"/>
          <w:szCs w:val="22"/>
        </w:rPr>
        <w:t>(…)</w:t>
      </w:r>
    </w:p>
    <w:p w14:paraId="6C265A70" w14:textId="77777777" w:rsidR="002B3E11" w:rsidRPr="006B7F0D" w:rsidRDefault="00811D5F">
      <w:pPr>
        <w:spacing w:before="240" w:after="240"/>
        <w:ind w:left="567" w:right="567"/>
        <w:jc w:val="both"/>
        <w:rPr>
          <w:rFonts w:ascii="Palatino Linotype" w:eastAsia="Palatino Linotype" w:hAnsi="Palatino Linotype" w:cs="Palatino Linotype"/>
          <w:i/>
          <w:sz w:val="22"/>
          <w:szCs w:val="22"/>
        </w:rPr>
      </w:pPr>
      <w:r w:rsidRPr="006B7F0D">
        <w:rPr>
          <w:rFonts w:ascii="Palatino Linotype" w:eastAsia="Palatino Linotype" w:hAnsi="Palatino Linotype" w:cs="Palatino Linotype"/>
          <w:i/>
          <w:sz w:val="22"/>
          <w:szCs w:val="22"/>
        </w:rPr>
        <w:t>Para efectos de lo dispuesto en el presente artículo se observará lo siguiente:</w:t>
      </w:r>
    </w:p>
    <w:p w14:paraId="16686B28" w14:textId="77777777" w:rsidR="002B3E11" w:rsidRPr="006B7F0D" w:rsidRDefault="00811D5F">
      <w:pPr>
        <w:spacing w:before="240" w:after="240"/>
        <w:ind w:left="567" w:right="567"/>
        <w:jc w:val="both"/>
        <w:rPr>
          <w:rFonts w:ascii="Palatino Linotype" w:eastAsia="Palatino Linotype" w:hAnsi="Palatino Linotype" w:cs="Palatino Linotype"/>
          <w:b/>
          <w:i/>
          <w:sz w:val="22"/>
          <w:szCs w:val="22"/>
        </w:rPr>
      </w:pPr>
      <w:r w:rsidRPr="006B7F0D">
        <w:rPr>
          <w:rFonts w:ascii="Palatino Linotype" w:eastAsia="Palatino Linotype" w:hAnsi="Palatino Linotype" w:cs="Palatino Linotype"/>
          <w:b/>
          <w:i/>
          <w:sz w:val="22"/>
          <w:szCs w:val="22"/>
        </w:rPr>
        <w:t>A</w:t>
      </w:r>
      <w:r w:rsidRPr="006B7F0D">
        <w:rPr>
          <w:rFonts w:ascii="Palatino Linotype" w:eastAsia="Palatino Linotype" w:hAnsi="Palatino Linotype" w:cs="Palatino Linotype"/>
          <w:i/>
          <w:sz w:val="22"/>
          <w:szCs w:val="22"/>
        </w:rPr>
        <w:t xml:space="preserve">. </w:t>
      </w:r>
      <w:r w:rsidRPr="006B7F0D">
        <w:rPr>
          <w:rFonts w:ascii="Palatino Linotype" w:eastAsia="Palatino Linotype" w:hAnsi="Palatino Linotype" w:cs="Palatino Linotype"/>
          <w:b/>
          <w:i/>
          <w:sz w:val="22"/>
          <w:szCs w:val="22"/>
        </w:rPr>
        <w:t>Para el ejercicio del derecho de acceso a la información</w:t>
      </w:r>
      <w:r w:rsidRPr="006B7F0D">
        <w:rPr>
          <w:rFonts w:ascii="Palatino Linotype" w:eastAsia="Palatino Linotype" w:hAnsi="Palatino Linotype" w:cs="Palatino Linotype"/>
          <w:i/>
          <w:sz w:val="22"/>
          <w:szCs w:val="22"/>
        </w:rPr>
        <w:t xml:space="preserve">, la Federación y </w:t>
      </w:r>
      <w:r w:rsidRPr="006B7F0D">
        <w:rPr>
          <w:rFonts w:ascii="Palatino Linotype" w:eastAsia="Palatino Linotype" w:hAnsi="Palatino Linotype" w:cs="Palatino Linotype"/>
          <w:b/>
          <w:i/>
          <w:sz w:val="22"/>
          <w:szCs w:val="22"/>
        </w:rPr>
        <w:t>las entidades federativas, en el ámbito de sus respectivas competencias, se regirán por los siguientes principios y bases:</w:t>
      </w:r>
    </w:p>
    <w:p w14:paraId="3EE3A9BC" w14:textId="77777777" w:rsidR="002B3E11" w:rsidRPr="006B7F0D" w:rsidRDefault="00811D5F">
      <w:pPr>
        <w:spacing w:before="240" w:after="240"/>
        <w:ind w:left="567" w:right="567"/>
        <w:jc w:val="both"/>
        <w:rPr>
          <w:rFonts w:ascii="Palatino Linotype" w:eastAsia="Palatino Linotype" w:hAnsi="Palatino Linotype" w:cs="Palatino Linotype"/>
          <w:i/>
          <w:sz w:val="22"/>
          <w:szCs w:val="22"/>
        </w:rPr>
      </w:pPr>
      <w:r w:rsidRPr="006B7F0D">
        <w:rPr>
          <w:rFonts w:ascii="Palatino Linotype" w:eastAsia="Palatino Linotype" w:hAnsi="Palatino Linotype" w:cs="Palatino Linotype"/>
          <w:b/>
          <w:i/>
          <w:sz w:val="22"/>
          <w:szCs w:val="22"/>
        </w:rPr>
        <w:t xml:space="preserve">I. </w:t>
      </w:r>
      <w:r w:rsidRPr="006B7F0D">
        <w:rPr>
          <w:rFonts w:ascii="Palatino Linotype" w:eastAsia="Palatino Linotype" w:hAnsi="Palatino Linotype" w:cs="Palatino Linotype"/>
          <w:b/>
          <w:i/>
          <w:sz w:val="22"/>
          <w:szCs w:val="22"/>
        </w:rPr>
        <w:tab/>
        <w:t>Toda la información en posesión de cualquier</w:t>
      </w:r>
      <w:r w:rsidRPr="006B7F0D">
        <w:rPr>
          <w:rFonts w:ascii="Palatino Linotype" w:eastAsia="Palatino Linotype" w:hAnsi="Palatino Linotype" w:cs="Palatino Linotype"/>
          <w:i/>
          <w:sz w:val="22"/>
          <w:szCs w:val="22"/>
        </w:rPr>
        <w:t xml:space="preserve"> </w:t>
      </w:r>
      <w:r w:rsidRPr="006B7F0D">
        <w:rPr>
          <w:rFonts w:ascii="Palatino Linotype" w:eastAsia="Palatino Linotype" w:hAnsi="Palatino Linotype" w:cs="Palatino Linotype"/>
          <w:b/>
          <w:i/>
          <w:sz w:val="22"/>
          <w:szCs w:val="22"/>
        </w:rPr>
        <w:t>autoridad</w:t>
      </w:r>
      <w:r w:rsidRPr="006B7F0D">
        <w:rPr>
          <w:rFonts w:ascii="Palatino Linotype" w:eastAsia="Palatino Linotype" w:hAnsi="Palatino Linotype" w:cs="Palatino Linotype"/>
          <w:i/>
          <w:sz w:val="22"/>
          <w:szCs w:val="22"/>
        </w:rPr>
        <w:t xml:space="preserve">, entidad, órgano y organismo de los Poderes Ejecutivo, Legislativo y Judicial, órganos autónomos, partidos políticos, fideicomisos y fondos públicos, así como de cualquier persona física, moral o sindicato que reciba y ejerza recursos públicos o realice actos de autoridad en el ámbito federal, estatal y </w:t>
      </w:r>
      <w:r w:rsidRPr="006B7F0D">
        <w:rPr>
          <w:rFonts w:ascii="Palatino Linotype" w:eastAsia="Palatino Linotype" w:hAnsi="Palatino Linotype" w:cs="Palatino Linotype"/>
          <w:b/>
          <w:i/>
          <w:sz w:val="22"/>
          <w:szCs w:val="22"/>
        </w:rPr>
        <w:t>municipal</w:t>
      </w:r>
      <w:r w:rsidRPr="006B7F0D">
        <w:rPr>
          <w:rFonts w:ascii="Palatino Linotype" w:eastAsia="Palatino Linotype" w:hAnsi="Palatino Linotype" w:cs="Palatino Linotype"/>
          <w:i/>
          <w:sz w:val="22"/>
          <w:szCs w:val="22"/>
        </w:rPr>
        <w:t xml:space="preserve">, </w:t>
      </w:r>
      <w:r w:rsidRPr="006B7F0D">
        <w:rPr>
          <w:rFonts w:ascii="Palatino Linotype" w:eastAsia="Palatino Linotype" w:hAnsi="Palatino Linotype" w:cs="Palatino Linotype"/>
          <w:b/>
          <w:i/>
          <w:sz w:val="22"/>
          <w:szCs w:val="22"/>
        </w:rPr>
        <w:t>es pública</w:t>
      </w:r>
      <w:r w:rsidRPr="006B7F0D">
        <w:rPr>
          <w:rFonts w:ascii="Palatino Linotype" w:eastAsia="Palatino Linotype" w:hAnsi="Palatino Linotype" w:cs="Palatino Linotype"/>
          <w:i/>
          <w:sz w:val="22"/>
          <w:szCs w:val="22"/>
        </w:rPr>
        <w:t xml:space="preserve"> y sólo podrá ser reservada temporalmente por razones de interés público y seguridad nacional, en los términos que fijen las leyes. </w:t>
      </w:r>
      <w:r w:rsidRPr="006B7F0D">
        <w:rPr>
          <w:rFonts w:ascii="Palatino Linotype" w:eastAsia="Palatino Linotype" w:hAnsi="Palatino Linotype" w:cs="Palatino Linotype"/>
          <w:b/>
          <w:i/>
          <w:sz w:val="22"/>
          <w:szCs w:val="22"/>
        </w:rPr>
        <w:t>En la interpretación de este derecho deberá prevalecer el principio de máxima publicidad. Los sujetos obligados deberán documentar todo acto que derive del ejercicio de sus facultades, competencias o funciones</w:t>
      </w:r>
      <w:r w:rsidRPr="006B7F0D">
        <w:rPr>
          <w:rFonts w:ascii="Palatino Linotype" w:eastAsia="Palatino Linotype" w:hAnsi="Palatino Linotype" w:cs="Palatino Linotype"/>
          <w:i/>
          <w:sz w:val="22"/>
          <w:szCs w:val="22"/>
        </w:rPr>
        <w:t>, la ley determinará los supuestos específicos bajo los cuales procederá la declaración de inexistencia de la información.”</w:t>
      </w:r>
    </w:p>
    <w:p w14:paraId="3EF360B9" w14:textId="77777777" w:rsidR="002B3E11" w:rsidRPr="006B7F0D" w:rsidRDefault="002B3E11">
      <w:pPr>
        <w:pBdr>
          <w:top w:val="nil"/>
          <w:left w:val="nil"/>
          <w:bottom w:val="nil"/>
          <w:right w:val="nil"/>
          <w:between w:val="nil"/>
        </w:pBdr>
        <w:tabs>
          <w:tab w:val="left" w:pos="567"/>
        </w:tabs>
        <w:spacing w:before="240" w:after="240"/>
        <w:ind w:left="567" w:right="567"/>
        <w:jc w:val="both"/>
        <w:rPr>
          <w:rFonts w:ascii="Palatino Linotype" w:eastAsia="Palatino Linotype" w:hAnsi="Palatino Linotype" w:cs="Palatino Linotype"/>
          <w:b/>
          <w:i/>
          <w:color w:val="000000"/>
          <w:sz w:val="22"/>
          <w:szCs w:val="22"/>
        </w:rPr>
      </w:pPr>
    </w:p>
    <w:p w14:paraId="19D2615E" w14:textId="77777777" w:rsidR="002B3E11" w:rsidRPr="006B7F0D" w:rsidRDefault="00811D5F">
      <w:pPr>
        <w:spacing w:before="240" w:after="240"/>
        <w:ind w:left="567" w:right="567"/>
        <w:jc w:val="both"/>
        <w:rPr>
          <w:rFonts w:ascii="Palatino Linotype" w:eastAsia="Palatino Linotype" w:hAnsi="Palatino Linotype" w:cs="Palatino Linotype"/>
          <w:b/>
          <w:i/>
          <w:sz w:val="22"/>
          <w:szCs w:val="22"/>
        </w:rPr>
      </w:pPr>
      <w:r w:rsidRPr="006B7F0D">
        <w:rPr>
          <w:rFonts w:ascii="Palatino Linotype" w:eastAsia="Palatino Linotype" w:hAnsi="Palatino Linotype" w:cs="Palatino Linotype"/>
          <w:b/>
          <w:i/>
          <w:sz w:val="22"/>
          <w:szCs w:val="22"/>
        </w:rPr>
        <w:t>Constitución Política del Estado Libre y Soberano de México</w:t>
      </w:r>
    </w:p>
    <w:p w14:paraId="36EE038E" w14:textId="77777777" w:rsidR="002B3E11" w:rsidRPr="006B7F0D" w:rsidRDefault="00811D5F">
      <w:pPr>
        <w:spacing w:before="240" w:after="240"/>
        <w:ind w:left="567" w:right="567"/>
        <w:jc w:val="both"/>
        <w:rPr>
          <w:rFonts w:ascii="Palatino Linotype" w:eastAsia="Palatino Linotype" w:hAnsi="Palatino Linotype" w:cs="Palatino Linotype"/>
          <w:i/>
          <w:sz w:val="22"/>
          <w:szCs w:val="22"/>
        </w:rPr>
      </w:pPr>
      <w:r w:rsidRPr="006B7F0D">
        <w:rPr>
          <w:rFonts w:ascii="Palatino Linotype" w:eastAsia="Palatino Linotype" w:hAnsi="Palatino Linotype" w:cs="Palatino Linotype"/>
          <w:b/>
          <w:i/>
          <w:sz w:val="22"/>
          <w:szCs w:val="22"/>
        </w:rPr>
        <w:t>“Artículo 5</w:t>
      </w:r>
      <w:r w:rsidRPr="006B7F0D">
        <w:rPr>
          <w:rFonts w:ascii="Palatino Linotype" w:eastAsia="Palatino Linotype" w:hAnsi="Palatino Linotype" w:cs="Palatino Linotype"/>
          <w:i/>
          <w:sz w:val="22"/>
          <w:szCs w:val="22"/>
        </w:rPr>
        <w:t xml:space="preserve">.- </w:t>
      </w:r>
    </w:p>
    <w:p w14:paraId="640B1F19" w14:textId="77777777" w:rsidR="002B3E11" w:rsidRPr="006B7F0D" w:rsidRDefault="00811D5F">
      <w:pPr>
        <w:spacing w:before="240" w:after="240"/>
        <w:ind w:left="567" w:right="567"/>
        <w:jc w:val="both"/>
        <w:rPr>
          <w:rFonts w:ascii="Palatino Linotype" w:eastAsia="Palatino Linotype" w:hAnsi="Palatino Linotype" w:cs="Palatino Linotype"/>
          <w:i/>
          <w:sz w:val="22"/>
          <w:szCs w:val="22"/>
        </w:rPr>
      </w:pPr>
      <w:r w:rsidRPr="006B7F0D">
        <w:rPr>
          <w:rFonts w:ascii="Palatino Linotype" w:eastAsia="Palatino Linotype" w:hAnsi="Palatino Linotype" w:cs="Palatino Linotype"/>
          <w:i/>
          <w:sz w:val="22"/>
          <w:szCs w:val="22"/>
        </w:rPr>
        <w:t>(…)</w:t>
      </w:r>
    </w:p>
    <w:p w14:paraId="19B4EAFC" w14:textId="77777777" w:rsidR="002B3E11" w:rsidRPr="006B7F0D" w:rsidRDefault="00811D5F">
      <w:pPr>
        <w:spacing w:before="240" w:after="240"/>
        <w:ind w:left="567" w:right="567"/>
        <w:jc w:val="both"/>
        <w:rPr>
          <w:rFonts w:ascii="Palatino Linotype" w:eastAsia="Palatino Linotype" w:hAnsi="Palatino Linotype" w:cs="Palatino Linotype"/>
          <w:i/>
          <w:sz w:val="22"/>
          <w:szCs w:val="22"/>
        </w:rPr>
      </w:pPr>
      <w:r w:rsidRPr="006B7F0D">
        <w:rPr>
          <w:rFonts w:ascii="Palatino Linotype" w:eastAsia="Palatino Linotype" w:hAnsi="Palatino Linotype" w:cs="Palatino Linotype"/>
          <w:b/>
          <w:i/>
          <w:sz w:val="22"/>
          <w:szCs w:val="22"/>
        </w:rPr>
        <w:t>El derecho a la información será garantizado por el Estado. La ley establecerá las previsiones que permitan asegurar la protección, el respeto y la difusión de este derecho</w:t>
      </w:r>
      <w:r w:rsidRPr="006B7F0D">
        <w:rPr>
          <w:rFonts w:ascii="Palatino Linotype" w:eastAsia="Palatino Linotype" w:hAnsi="Palatino Linotype" w:cs="Palatino Linotype"/>
          <w:i/>
          <w:sz w:val="22"/>
          <w:szCs w:val="22"/>
        </w:rPr>
        <w:t>.</w:t>
      </w:r>
    </w:p>
    <w:p w14:paraId="4CA78469" w14:textId="77777777" w:rsidR="002B3E11" w:rsidRPr="006B7F0D" w:rsidRDefault="00811D5F">
      <w:pPr>
        <w:spacing w:before="240" w:after="240"/>
        <w:ind w:left="567" w:right="567"/>
        <w:jc w:val="both"/>
        <w:rPr>
          <w:rFonts w:ascii="Palatino Linotype" w:eastAsia="Palatino Linotype" w:hAnsi="Palatino Linotype" w:cs="Palatino Linotype"/>
          <w:i/>
          <w:sz w:val="22"/>
          <w:szCs w:val="22"/>
        </w:rPr>
      </w:pPr>
      <w:r w:rsidRPr="006B7F0D">
        <w:rPr>
          <w:rFonts w:ascii="Palatino Linotype" w:eastAsia="Palatino Linotype" w:hAnsi="Palatino Linotype" w:cs="Palatino Linotype"/>
          <w:i/>
          <w:sz w:val="22"/>
          <w:szCs w:val="22"/>
        </w:rPr>
        <w:t xml:space="preserve">Para garantizar el ejercicio del derecho de transparencia, acceso a la información pública y protección de datos personales, los poderes públicos y los organismos autónomos, </w:t>
      </w:r>
      <w:r w:rsidRPr="006B7F0D">
        <w:rPr>
          <w:rFonts w:ascii="Palatino Linotype" w:eastAsia="Palatino Linotype" w:hAnsi="Palatino Linotype" w:cs="Palatino Linotype"/>
          <w:i/>
          <w:sz w:val="22"/>
          <w:szCs w:val="22"/>
        </w:rPr>
        <w:lastRenderedPageBreak/>
        <w:t>transparentarán sus acciones, en términos de las disposiciones aplicables, la información será oportuna, clara, veraz y de fácil acceso.</w:t>
      </w:r>
    </w:p>
    <w:p w14:paraId="518F9931" w14:textId="77777777" w:rsidR="002B3E11" w:rsidRPr="006B7F0D" w:rsidRDefault="00811D5F">
      <w:pPr>
        <w:spacing w:before="240" w:after="240"/>
        <w:ind w:left="567" w:right="567"/>
        <w:jc w:val="both"/>
        <w:rPr>
          <w:rFonts w:ascii="Palatino Linotype" w:eastAsia="Palatino Linotype" w:hAnsi="Palatino Linotype" w:cs="Palatino Linotype"/>
          <w:i/>
          <w:sz w:val="22"/>
          <w:szCs w:val="22"/>
        </w:rPr>
      </w:pPr>
      <w:r w:rsidRPr="006B7F0D">
        <w:rPr>
          <w:rFonts w:ascii="Palatino Linotype" w:eastAsia="Palatino Linotype" w:hAnsi="Palatino Linotype" w:cs="Palatino Linotype"/>
          <w:b/>
          <w:i/>
          <w:sz w:val="22"/>
          <w:szCs w:val="22"/>
        </w:rPr>
        <w:t>Este derecho se regirá por los principios y bases siguientes</w:t>
      </w:r>
      <w:r w:rsidRPr="006B7F0D">
        <w:rPr>
          <w:rFonts w:ascii="Palatino Linotype" w:eastAsia="Palatino Linotype" w:hAnsi="Palatino Linotype" w:cs="Palatino Linotype"/>
          <w:i/>
          <w:sz w:val="22"/>
          <w:szCs w:val="22"/>
        </w:rPr>
        <w:t>:</w:t>
      </w:r>
    </w:p>
    <w:p w14:paraId="0CF4DFF8" w14:textId="77777777" w:rsidR="002B3E11" w:rsidRPr="006B7F0D" w:rsidRDefault="00811D5F">
      <w:pPr>
        <w:spacing w:before="240" w:after="240"/>
        <w:ind w:left="567" w:right="567"/>
        <w:jc w:val="both"/>
        <w:rPr>
          <w:rFonts w:ascii="Palatino Linotype" w:eastAsia="Palatino Linotype" w:hAnsi="Palatino Linotype" w:cs="Palatino Linotype"/>
          <w:i/>
          <w:sz w:val="22"/>
          <w:szCs w:val="22"/>
        </w:rPr>
      </w:pPr>
      <w:r w:rsidRPr="006B7F0D">
        <w:rPr>
          <w:rFonts w:ascii="Palatino Linotype" w:eastAsia="Palatino Linotype" w:hAnsi="Palatino Linotype" w:cs="Palatino Linotype"/>
          <w:b/>
          <w:i/>
          <w:sz w:val="22"/>
          <w:szCs w:val="22"/>
        </w:rPr>
        <w:t>I. Toda la información en posesión de cualquier autoridad, entidad, órgano y organismos de los</w:t>
      </w:r>
      <w:r w:rsidRPr="006B7F0D">
        <w:rPr>
          <w:rFonts w:ascii="Palatino Linotype" w:eastAsia="Palatino Linotype" w:hAnsi="Palatino Linotype" w:cs="Palatino Linotype"/>
          <w:i/>
          <w:sz w:val="22"/>
          <w:szCs w:val="22"/>
        </w:rPr>
        <w:t xml:space="preserve"> Poderes Ejecutivo, Legislativo y Judicial, órganos autónomos, partidos políticos, fideicomisos y fondos públicos estatales y </w:t>
      </w:r>
      <w:r w:rsidRPr="006B7F0D">
        <w:rPr>
          <w:rFonts w:ascii="Palatino Linotype" w:eastAsia="Palatino Linotype" w:hAnsi="Palatino Linotype" w:cs="Palatino Linotype"/>
          <w:b/>
          <w:i/>
          <w:sz w:val="22"/>
          <w:szCs w:val="22"/>
        </w:rPr>
        <w:t>municipales</w:t>
      </w:r>
      <w:r w:rsidRPr="006B7F0D">
        <w:rPr>
          <w:rFonts w:ascii="Palatino Linotype" w:eastAsia="Palatino Linotype" w:hAnsi="Palatino Linotype" w:cs="Palatino Linotype"/>
          <w:i/>
          <w:sz w:val="22"/>
          <w:szCs w:val="22"/>
        </w:rPr>
        <w:t xml:space="preserve">, así como del gobierno y de la administración pública municipal y sus organismos descentralizados, asimismo de cualquier persona física, jurídica colectiva o sindicato que reciba y ejerza recursos públicos o realice actos de autoridad en el ámbito estatal y municipal, </w:t>
      </w:r>
      <w:r w:rsidRPr="006B7F0D">
        <w:rPr>
          <w:rFonts w:ascii="Palatino Linotype" w:eastAsia="Palatino Linotype" w:hAnsi="Palatino Linotype" w:cs="Palatino Linotype"/>
          <w:b/>
          <w:i/>
          <w:sz w:val="22"/>
          <w:szCs w:val="22"/>
        </w:rPr>
        <w:t>es pública</w:t>
      </w:r>
      <w:r w:rsidRPr="006B7F0D">
        <w:rPr>
          <w:rFonts w:ascii="Palatino Linotype" w:eastAsia="Palatino Linotype" w:hAnsi="Palatino Linotype" w:cs="Palatino Linotype"/>
          <w:i/>
          <w:sz w:val="22"/>
          <w:szCs w:val="22"/>
        </w:rPr>
        <w:t xml:space="preserve"> y sólo podrá ser reservada temporalmente por razones previstas en la Constitución Política de los Estados Unidos Mexicanos de interés público y seguridad, en los términos que fijen las leyes. </w:t>
      </w:r>
      <w:r w:rsidRPr="006B7F0D">
        <w:rPr>
          <w:rFonts w:ascii="Palatino Linotype" w:eastAsia="Palatino Linotype" w:hAnsi="Palatino Linotype" w:cs="Palatino Linotype"/>
          <w:b/>
          <w:i/>
          <w:sz w:val="22"/>
          <w:szCs w:val="22"/>
        </w:rPr>
        <w:t>En la interpretación de este derecho deberá prevalecer el principio de máxima publicidad</w:t>
      </w:r>
      <w:r w:rsidRPr="006B7F0D">
        <w:rPr>
          <w:rFonts w:ascii="Palatino Linotype" w:eastAsia="Palatino Linotype" w:hAnsi="Palatino Linotype" w:cs="Palatino Linotype"/>
          <w:i/>
          <w:sz w:val="22"/>
          <w:szCs w:val="22"/>
        </w:rPr>
        <w:t xml:space="preserve">. </w:t>
      </w:r>
      <w:r w:rsidRPr="006B7F0D">
        <w:rPr>
          <w:rFonts w:ascii="Palatino Linotype" w:eastAsia="Palatino Linotype" w:hAnsi="Palatino Linotype" w:cs="Palatino Linotype"/>
          <w:b/>
          <w:i/>
          <w:sz w:val="22"/>
          <w:szCs w:val="22"/>
        </w:rPr>
        <w:t>Los sujetos obligados deberán documentar todo acto que derive del ejercicio de sus facultades, competencias o funciones</w:t>
      </w:r>
      <w:r w:rsidRPr="006B7F0D">
        <w:rPr>
          <w:rFonts w:ascii="Palatino Linotype" w:eastAsia="Palatino Linotype" w:hAnsi="Palatino Linotype" w:cs="Palatino Linotype"/>
          <w:i/>
          <w:sz w:val="22"/>
          <w:szCs w:val="22"/>
        </w:rPr>
        <w:t>, la ley determinará los supuestos específicos bajo los cuales procederá la declaración de inexistencia de la información.”</w:t>
      </w:r>
    </w:p>
    <w:p w14:paraId="2940E78A" w14:textId="77777777" w:rsidR="002B3E11" w:rsidRPr="006B7F0D" w:rsidRDefault="002B3E11" w:rsidP="00241792">
      <w:pPr>
        <w:tabs>
          <w:tab w:val="left" w:pos="567"/>
        </w:tabs>
        <w:spacing w:before="240" w:after="240"/>
        <w:ind w:right="567"/>
        <w:jc w:val="both"/>
        <w:rPr>
          <w:rFonts w:ascii="Palatino Linotype" w:eastAsia="Palatino Linotype" w:hAnsi="Palatino Linotype" w:cs="Palatino Linotype"/>
          <w:b/>
          <w:i/>
          <w:sz w:val="22"/>
          <w:szCs w:val="22"/>
        </w:rPr>
      </w:pPr>
    </w:p>
    <w:p w14:paraId="39FF66AF" w14:textId="77777777" w:rsidR="002B3E11" w:rsidRPr="006B7F0D" w:rsidRDefault="00811D5F">
      <w:pPr>
        <w:numPr>
          <w:ilvl w:val="0"/>
          <w:numId w:val="4"/>
        </w:numPr>
        <w:spacing w:before="240" w:line="360" w:lineRule="auto"/>
        <w:ind w:left="0" w:right="49" w:firstLine="0"/>
        <w:jc w:val="both"/>
        <w:rPr>
          <w:rFonts w:ascii="Palatino Linotype" w:eastAsia="Palatino Linotype" w:hAnsi="Palatino Linotype" w:cs="Palatino Linotype"/>
          <w:sz w:val="22"/>
          <w:szCs w:val="22"/>
        </w:rPr>
      </w:pPr>
      <w:r w:rsidRPr="006B7F0D">
        <w:rPr>
          <w:rFonts w:ascii="Palatino Linotype" w:eastAsia="Palatino Linotype" w:hAnsi="Palatino Linotype" w:cs="Palatino Linotype"/>
          <w:sz w:val="22"/>
          <w:szCs w:val="22"/>
        </w:rPr>
        <w:t xml:space="preserve">Según el artículo 150 de la Ley de Transparencia del Estado, la solicitud es la garantía primaria del Derecho de Acceso a la Información, además, establece que se regirá </w:t>
      </w:r>
      <w:r w:rsidRPr="006B7F0D">
        <w:rPr>
          <w:rFonts w:ascii="Palatino Linotype" w:eastAsia="Palatino Linotype" w:hAnsi="Palatino Linotype" w:cs="Palatino Linotype"/>
          <w:i/>
          <w:sz w:val="22"/>
          <w:szCs w:val="22"/>
        </w:rPr>
        <w:t>por los principios de simplicidad, rapidez gratuidad del procedimiento, auxilio y orientación a los particulares</w:t>
      </w:r>
      <w:r w:rsidRPr="006B7F0D">
        <w:rPr>
          <w:rFonts w:ascii="Palatino Linotype" w:eastAsia="Palatino Linotype" w:hAnsi="Palatino Linotype" w:cs="Palatino Linotype"/>
          <w:sz w:val="22"/>
          <w:szCs w:val="22"/>
        </w:rPr>
        <w:t>, contemplando el derecho de las personas con discapacidad y hablantes de lengua indígena.</w:t>
      </w:r>
    </w:p>
    <w:p w14:paraId="16132157" w14:textId="77777777" w:rsidR="002B3E11" w:rsidRPr="006B7F0D" w:rsidRDefault="002B3E11">
      <w:pPr>
        <w:spacing w:line="360" w:lineRule="auto"/>
        <w:ind w:right="49"/>
        <w:jc w:val="both"/>
        <w:rPr>
          <w:rFonts w:ascii="Palatino Linotype" w:eastAsia="Palatino Linotype" w:hAnsi="Palatino Linotype" w:cs="Palatino Linotype"/>
          <w:sz w:val="22"/>
          <w:szCs w:val="22"/>
        </w:rPr>
      </w:pPr>
    </w:p>
    <w:p w14:paraId="76F2D14E" w14:textId="77777777" w:rsidR="002B3E11" w:rsidRPr="006B7F0D" w:rsidRDefault="00811D5F">
      <w:pPr>
        <w:numPr>
          <w:ilvl w:val="0"/>
          <w:numId w:val="4"/>
        </w:numPr>
        <w:spacing w:line="360" w:lineRule="auto"/>
        <w:ind w:left="0" w:right="49" w:firstLine="0"/>
        <w:jc w:val="both"/>
        <w:rPr>
          <w:rFonts w:ascii="Palatino Linotype" w:eastAsia="Palatino Linotype" w:hAnsi="Palatino Linotype" w:cs="Palatino Linotype"/>
          <w:sz w:val="22"/>
          <w:szCs w:val="22"/>
        </w:rPr>
      </w:pPr>
      <w:r w:rsidRPr="006B7F0D">
        <w:rPr>
          <w:rFonts w:ascii="Palatino Linotype" w:eastAsia="Palatino Linotype" w:hAnsi="Palatino Linotype" w:cs="Palatino Linotype"/>
          <w:sz w:val="22"/>
          <w:szCs w:val="22"/>
        </w:rPr>
        <w:t xml:space="preserve">El Derecho de Acceso a la Información se garantiza y respeta oportunamente, y según lo que dispone la Ley, las </w:t>
      </w:r>
      <w:r w:rsidRPr="006B7F0D">
        <w:rPr>
          <w:rFonts w:ascii="Palatino Linotype" w:eastAsia="Palatino Linotype" w:hAnsi="Palatino Linotype" w:cs="Palatino Linotype"/>
          <w:i/>
          <w:sz w:val="22"/>
          <w:szCs w:val="22"/>
        </w:rPr>
        <w:t>solicitudes de acceso a la información</w:t>
      </w:r>
      <w:r w:rsidRPr="006B7F0D">
        <w:rPr>
          <w:rFonts w:ascii="Palatino Linotype" w:eastAsia="Palatino Linotype" w:hAnsi="Palatino Linotype" w:cs="Palatino Linotype"/>
          <w:sz w:val="22"/>
          <w:szCs w:val="22"/>
        </w:rPr>
        <w:t>.</w:t>
      </w:r>
    </w:p>
    <w:p w14:paraId="5C54A135" w14:textId="77777777" w:rsidR="002B3E11" w:rsidRPr="006B7F0D" w:rsidRDefault="002B3E11">
      <w:pPr>
        <w:spacing w:line="360" w:lineRule="auto"/>
        <w:ind w:right="49"/>
        <w:jc w:val="both"/>
        <w:rPr>
          <w:rFonts w:ascii="Palatino Linotype" w:eastAsia="Palatino Linotype" w:hAnsi="Palatino Linotype" w:cs="Palatino Linotype"/>
          <w:sz w:val="22"/>
          <w:szCs w:val="22"/>
        </w:rPr>
      </w:pPr>
    </w:p>
    <w:p w14:paraId="240364DF" w14:textId="4BE235AD" w:rsidR="002B3E11" w:rsidRPr="006B7F0D" w:rsidRDefault="00811D5F" w:rsidP="00DB689B">
      <w:pPr>
        <w:numPr>
          <w:ilvl w:val="0"/>
          <w:numId w:val="4"/>
        </w:numPr>
        <w:spacing w:line="360" w:lineRule="auto"/>
        <w:ind w:left="0" w:right="49" w:firstLine="0"/>
        <w:jc w:val="both"/>
        <w:rPr>
          <w:rFonts w:ascii="Palatino Linotype" w:eastAsia="Palatino Linotype" w:hAnsi="Palatino Linotype" w:cs="Palatino Linotype"/>
          <w:sz w:val="22"/>
          <w:szCs w:val="22"/>
        </w:rPr>
      </w:pPr>
      <w:bookmarkStart w:id="9" w:name="_heading=h.4d34og8" w:colFirst="0" w:colLast="0"/>
      <w:bookmarkEnd w:id="9"/>
      <w:r w:rsidRPr="006B7F0D">
        <w:rPr>
          <w:rFonts w:ascii="Palatino Linotype" w:eastAsia="Palatino Linotype" w:hAnsi="Palatino Linotype" w:cs="Palatino Linotype"/>
          <w:sz w:val="22"/>
          <w:szCs w:val="22"/>
        </w:rPr>
        <w:t xml:space="preserve">Así entonces, se procede analizar, en primer lugar, si el </w:t>
      </w:r>
      <w:r w:rsidRPr="006B7F0D">
        <w:rPr>
          <w:rFonts w:ascii="Palatino Linotype" w:eastAsia="Palatino Linotype" w:hAnsi="Palatino Linotype" w:cs="Palatino Linotype"/>
          <w:b/>
          <w:sz w:val="22"/>
          <w:szCs w:val="22"/>
        </w:rPr>
        <w:t>SUJETO OBLIGADO</w:t>
      </w:r>
      <w:r w:rsidRPr="006B7F0D">
        <w:rPr>
          <w:rFonts w:ascii="Palatino Linotype" w:eastAsia="Palatino Linotype" w:hAnsi="Palatino Linotype" w:cs="Palatino Linotype"/>
          <w:sz w:val="22"/>
          <w:szCs w:val="22"/>
        </w:rPr>
        <w:t xml:space="preserve"> al atender la solicitud de acceso a la información, satisfizo la garantía primaria del derecho según lo dispuesto por el artículo 150 de la Ley de Transparencia y Acceso a la Información Pública del Estado de México y Municipios y en segundo término si cumplió con su deber de respetar y garantizar el derecho, entregando la información solicitada.</w:t>
      </w:r>
    </w:p>
    <w:p w14:paraId="3141793B" w14:textId="567CAD87" w:rsidR="002B3E11" w:rsidRPr="006B7F0D" w:rsidRDefault="00811D5F">
      <w:pPr>
        <w:pStyle w:val="Ttulo1"/>
        <w:spacing w:before="0" w:after="240" w:line="360" w:lineRule="auto"/>
        <w:rPr>
          <w:rFonts w:ascii="Palatino Linotype" w:eastAsia="Palatino Linotype" w:hAnsi="Palatino Linotype" w:cs="Palatino Linotype"/>
          <w:b/>
          <w:color w:val="000000"/>
          <w:sz w:val="22"/>
          <w:szCs w:val="22"/>
        </w:rPr>
      </w:pPr>
      <w:bookmarkStart w:id="10" w:name="_heading=h.2s8eyo1" w:colFirst="0" w:colLast="0"/>
      <w:bookmarkEnd w:id="10"/>
      <w:r w:rsidRPr="006B7F0D">
        <w:rPr>
          <w:rFonts w:ascii="Palatino Linotype" w:eastAsia="Palatino Linotype" w:hAnsi="Palatino Linotype" w:cs="Palatino Linotype"/>
          <w:b/>
          <w:color w:val="000000"/>
          <w:sz w:val="22"/>
          <w:szCs w:val="22"/>
        </w:rPr>
        <w:lastRenderedPageBreak/>
        <w:t>II. De la información solicitada y la respuesta del SUJETO OBLIGADO</w:t>
      </w:r>
      <w:r w:rsidR="00241792" w:rsidRPr="006B7F0D">
        <w:rPr>
          <w:rFonts w:ascii="Palatino Linotype" w:eastAsia="Palatino Linotype" w:hAnsi="Palatino Linotype" w:cs="Palatino Linotype"/>
          <w:b/>
          <w:color w:val="000000"/>
          <w:sz w:val="22"/>
          <w:szCs w:val="22"/>
        </w:rPr>
        <w:t>.</w:t>
      </w:r>
    </w:p>
    <w:p w14:paraId="37D4AB72" w14:textId="77777777" w:rsidR="002B3E11" w:rsidRPr="006B7F0D" w:rsidRDefault="00811D5F">
      <w:pPr>
        <w:numPr>
          <w:ilvl w:val="0"/>
          <w:numId w:val="4"/>
        </w:numPr>
        <w:pBdr>
          <w:top w:val="nil"/>
          <w:left w:val="nil"/>
          <w:bottom w:val="nil"/>
          <w:right w:val="nil"/>
          <w:between w:val="nil"/>
        </w:pBdr>
        <w:spacing w:before="240" w:line="360" w:lineRule="auto"/>
        <w:ind w:left="0" w:firstLine="0"/>
        <w:jc w:val="both"/>
        <w:rPr>
          <w:rFonts w:ascii="Palatino Linotype" w:eastAsia="Palatino Linotype" w:hAnsi="Palatino Linotype" w:cs="Palatino Linotype"/>
          <w:color w:val="000000"/>
          <w:sz w:val="22"/>
          <w:szCs w:val="22"/>
        </w:rPr>
      </w:pPr>
      <w:r w:rsidRPr="006B7F0D">
        <w:rPr>
          <w:rFonts w:ascii="Palatino Linotype" w:eastAsia="Palatino Linotype" w:hAnsi="Palatino Linotype" w:cs="Palatino Linotype"/>
          <w:color w:val="000000"/>
          <w:sz w:val="22"/>
          <w:szCs w:val="22"/>
        </w:rPr>
        <w:t>Derivado del Planteamiento de la Litis, se procede a analizar el contenido íntegro de las actuaciones que obran en el expediente electrónico y con ello, este Órgano Garante dicte la resolución correspondiente, tomando en consideración los elementos aportados por las partes y apegándose en todo momento al principio de máxima publicidad, de acuerdo con lo establecido en el artículo 8 de la Ley de Transparencia y Acceso a la Información Pública del Estado de México y Municipios.</w:t>
      </w:r>
    </w:p>
    <w:p w14:paraId="74C1F42D" w14:textId="77777777" w:rsidR="002B3E11" w:rsidRPr="006B7F0D" w:rsidRDefault="002B3E11">
      <w:pPr>
        <w:pBdr>
          <w:top w:val="nil"/>
          <w:left w:val="nil"/>
          <w:bottom w:val="nil"/>
          <w:right w:val="nil"/>
          <w:between w:val="nil"/>
        </w:pBdr>
        <w:spacing w:line="360" w:lineRule="auto"/>
        <w:jc w:val="both"/>
        <w:rPr>
          <w:rFonts w:ascii="Palatino Linotype" w:eastAsia="Palatino Linotype" w:hAnsi="Palatino Linotype" w:cs="Palatino Linotype"/>
          <w:color w:val="000000"/>
          <w:sz w:val="22"/>
          <w:szCs w:val="22"/>
        </w:rPr>
      </w:pPr>
    </w:p>
    <w:p w14:paraId="4FC1524A" w14:textId="3D1999B9" w:rsidR="002B3E11" w:rsidRPr="006B7F0D" w:rsidRDefault="00811D5F">
      <w:pPr>
        <w:numPr>
          <w:ilvl w:val="0"/>
          <w:numId w:val="4"/>
        </w:numPr>
        <w:pBdr>
          <w:top w:val="nil"/>
          <w:left w:val="nil"/>
          <w:bottom w:val="nil"/>
          <w:right w:val="nil"/>
          <w:between w:val="nil"/>
        </w:pBdr>
        <w:spacing w:line="360" w:lineRule="auto"/>
        <w:ind w:left="0" w:right="48" w:firstLine="0"/>
        <w:jc w:val="both"/>
        <w:rPr>
          <w:rFonts w:ascii="Palatino Linotype" w:eastAsia="Palatino Linotype" w:hAnsi="Palatino Linotype" w:cs="Palatino Linotype"/>
          <w:color w:val="000000"/>
          <w:sz w:val="22"/>
          <w:szCs w:val="22"/>
        </w:rPr>
      </w:pPr>
      <w:r w:rsidRPr="006B7F0D">
        <w:rPr>
          <w:rFonts w:ascii="Palatino Linotype" w:eastAsia="Palatino Linotype" w:hAnsi="Palatino Linotype" w:cs="Palatino Linotype"/>
          <w:color w:val="000000"/>
          <w:sz w:val="22"/>
          <w:szCs w:val="22"/>
        </w:rPr>
        <w:t>Así, debemos recapitular que</w:t>
      </w:r>
      <w:r w:rsidR="00802676" w:rsidRPr="006B7F0D">
        <w:rPr>
          <w:rFonts w:ascii="Palatino Linotype" w:eastAsia="Palatino Linotype" w:hAnsi="Palatino Linotype" w:cs="Palatino Linotype"/>
          <w:color w:val="000000"/>
          <w:sz w:val="22"/>
          <w:szCs w:val="22"/>
        </w:rPr>
        <w:t>,</w:t>
      </w:r>
      <w:r w:rsidRPr="006B7F0D">
        <w:rPr>
          <w:rFonts w:ascii="Palatino Linotype" w:eastAsia="Palatino Linotype" w:hAnsi="Palatino Linotype" w:cs="Palatino Linotype"/>
          <w:color w:val="000000"/>
          <w:sz w:val="22"/>
          <w:szCs w:val="22"/>
        </w:rPr>
        <w:t xml:space="preserve"> el </w:t>
      </w:r>
      <w:r w:rsidRPr="006B7F0D">
        <w:rPr>
          <w:rFonts w:ascii="Palatino Linotype" w:eastAsia="Palatino Linotype" w:hAnsi="Palatino Linotype" w:cs="Palatino Linotype"/>
          <w:b/>
          <w:color w:val="000000"/>
          <w:sz w:val="22"/>
          <w:szCs w:val="22"/>
        </w:rPr>
        <w:t>RECURRENTE</w:t>
      </w:r>
      <w:r w:rsidRPr="006B7F0D">
        <w:rPr>
          <w:rFonts w:ascii="Palatino Linotype" w:eastAsia="Palatino Linotype" w:hAnsi="Palatino Linotype" w:cs="Palatino Linotype"/>
          <w:color w:val="000000"/>
          <w:sz w:val="22"/>
          <w:szCs w:val="22"/>
        </w:rPr>
        <w:t xml:space="preserve"> solicitó </w:t>
      </w:r>
      <w:r w:rsidR="00965E10" w:rsidRPr="006B7F0D">
        <w:rPr>
          <w:rFonts w:ascii="Palatino Linotype" w:eastAsia="Palatino Linotype" w:hAnsi="Palatino Linotype" w:cs="Palatino Linotype"/>
          <w:color w:val="000000"/>
          <w:sz w:val="22"/>
          <w:szCs w:val="22"/>
        </w:rPr>
        <w:t>el expediente actualizado y vigente de la obra pública realizada en vía pública, Calle La Paz, Cabecera Municipal, Chimalhuacán, Estado de México, al cinco de noviembre de dos mil veinticuatro.</w:t>
      </w:r>
    </w:p>
    <w:p w14:paraId="467EC91C" w14:textId="77777777" w:rsidR="002B3E11" w:rsidRPr="006B7F0D" w:rsidRDefault="002B3E11">
      <w:pPr>
        <w:pBdr>
          <w:top w:val="nil"/>
          <w:left w:val="nil"/>
          <w:bottom w:val="nil"/>
          <w:right w:val="nil"/>
          <w:between w:val="nil"/>
        </w:pBdr>
        <w:spacing w:line="360" w:lineRule="auto"/>
        <w:ind w:right="48"/>
        <w:jc w:val="both"/>
        <w:rPr>
          <w:rFonts w:ascii="Palatino Linotype" w:eastAsia="Palatino Linotype" w:hAnsi="Palatino Linotype" w:cs="Palatino Linotype"/>
          <w:color w:val="000000"/>
          <w:sz w:val="22"/>
          <w:szCs w:val="22"/>
        </w:rPr>
      </w:pPr>
    </w:p>
    <w:p w14:paraId="7290BA02" w14:textId="2004FC0E" w:rsidR="00965E10" w:rsidRPr="006B7F0D" w:rsidRDefault="00965E10" w:rsidP="00777385">
      <w:pPr>
        <w:numPr>
          <w:ilvl w:val="0"/>
          <w:numId w:val="4"/>
        </w:numPr>
        <w:pBdr>
          <w:top w:val="nil"/>
          <w:left w:val="nil"/>
          <w:bottom w:val="nil"/>
          <w:right w:val="nil"/>
          <w:between w:val="nil"/>
        </w:pBdr>
        <w:spacing w:line="360" w:lineRule="auto"/>
        <w:ind w:left="0" w:right="48" w:firstLine="0"/>
        <w:jc w:val="both"/>
        <w:rPr>
          <w:rFonts w:ascii="Palatino Linotype" w:eastAsia="Palatino Linotype" w:hAnsi="Palatino Linotype" w:cs="Palatino Linotype"/>
          <w:color w:val="000000"/>
          <w:sz w:val="22"/>
          <w:szCs w:val="22"/>
        </w:rPr>
      </w:pPr>
      <w:r w:rsidRPr="006B7F0D">
        <w:rPr>
          <w:rFonts w:ascii="Palatino Linotype" w:eastAsia="Palatino Linotype" w:hAnsi="Palatino Linotype" w:cs="Palatino Linotype"/>
          <w:color w:val="000000"/>
          <w:sz w:val="22"/>
          <w:szCs w:val="22"/>
        </w:rPr>
        <w:t xml:space="preserve">Posteriormente, el </w:t>
      </w:r>
      <w:r w:rsidRPr="006B7F0D">
        <w:rPr>
          <w:rFonts w:ascii="Palatino Linotype" w:eastAsia="Palatino Linotype" w:hAnsi="Palatino Linotype" w:cs="Palatino Linotype"/>
          <w:b/>
          <w:color w:val="000000"/>
          <w:sz w:val="22"/>
          <w:szCs w:val="22"/>
        </w:rPr>
        <w:t>SUJETO OBLIGADO</w:t>
      </w:r>
      <w:r w:rsidRPr="006B7F0D">
        <w:rPr>
          <w:rFonts w:ascii="Palatino Linotype" w:eastAsia="Palatino Linotype" w:hAnsi="Palatino Linotype" w:cs="Palatino Linotype"/>
          <w:color w:val="000000"/>
          <w:sz w:val="22"/>
          <w:szCs w:val="22"/>
        </w:rPr>
        <w:t xml:space="preserve"> realizó un requerimiento de información a los Servidores Públicos Habilitados de la Dirección de Obras Públicas y </w:t>
      </w:r>
      <w:r w:rsidR="00777385" w:rsidRPr="006B7F0D">
        <w:rPr>
          <w:rFonts w:ascii="Palatino Linotype" w:eastAsia="Palatino Linotype" w:hAnsi="Palatino Linotype" w:cs="Palatino Linotype"/>
          <w:color w:val="000000"/>
          <w:sz w:val="22"/>
          <w:szCs w:val="22"/>
        </w:rPr>
        <w:t>la Dirección General de Desarrollo Urbano. Como se observa:</w:t>
      </w:r>
    </w:p>
    <w:p w14:paraId="199174DA" w14:textId="77777777" w:rsidR="00777385" w:rsidRPr="006B7F0D" w:rsidRDefault="00777385" w:rsidP="00777385">
      <w:pPr>
        <w:rPr>
          <w:rFonts w:ascii="Palatino Linotype" w:eastAsia="Palatino Linotype" w:hAnsi="Palatino Linotype" w:cs="Palatino Linotype"/>
          <w:color w:val="000000"/>
          <w:sz w:val="22"/>
          <w:szCs w:val="22"/>
        </w:rPr>
      </w:pPr>
    </w:p>
    <w:p w14:paraId="7C3C81FE" w14:textId="7A467615" w:rsidR="00777385" w:rsidRPr="006B7F0D" w:rsidRDefault="00777385" w:rsidP="00DB689B">
      <w:pPr>
        <w:pBdr>
          <w:top w:val="nil"/>
          <w:left w:val="nil"/>
          <w:bottom w:val="nil"/>
          <w:right w:val="nil"/>
          <w:between w:val="nil"/>
        </w:pBdr>
        <w:spacing w:line="360" w:lineRule="auto"/>
        <w:ind w:right="48"/>
        <w:jc w:val="center"/>
        <w:rPr>
          <w:rFonts w:ascii="Palatino Linotype" w:eastAsia="Palatino Linotype" w:hAnsi="Palatino Linotype" w:cs="Palatino Linotype"/>
          <w:color w:val="000000"/>
          <w:sz w:val="22"/>
          <w:szCs w:val="22"/>
        </w:rPr>
      </w:pPr>
      <w:r w:rsidRPr="006B7F0D">
        <w:rPr>
          <w:rFonts w:ascii="Palatino Linotype" w:eastAsia="Palatino Linotype" w:hAnsi="Palatino Linotype" w:cs="Palatino Linotype"/>
          <w:noProof/>
          <w:color w:val="000000"/>
          <w:sz w:val="22"/>
          <w:szCs w:val="22"/>
        </w:rPr>
        <w:drawing>
          <wp:inline distT="0" distB="0" distL="0" distR="0" wp14:anchorId="1DE0AF74" wp14:editId="302F8549">
            <wp:extent cx="5742940" cy="844550"/>
            <wp:effectExtent l="19050" t="19050" r="10160" b="1270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742940" cy="844550"/>
                    </a:xfrm>
                    <a:prstGeom prst="rect">
                      <a:avLst/>
                    </a:prstGeom>
                    <a:ln>
                      <a:solidFill>
                        <a:schemeClr val="tx1"/>
                      </a:solidFill>
                    </a:ln>
                  </pic:spPr>
                </pic:pic>
              </a:graphicData>
            </a:graphic>
          </wp:inline>
        </w:drawing>
      </w:r>
    </w:p>
    <w:p w14:paraId="403207C3" w14:textId="77777777" w:rsidR="00DB689B" w:rsidRPr="006B7F0D" w:rsidRDefault="00DB689B" w:rsidP="00777385">
      <w:pPr>
        <w:pBdr>
          <w:top w:val="nil"/>
          <w:left w:val="nil"/>
          <w:bottom w:val="nil"/>
          <w:right w:val="nil"/>
          <w:between w:val="nil"/>
        </w:pBdr>
        <w:spacing w:line="360" w:lineRule="auto"/>
        <w:ind w:right="48"/>
        <w:jc w:val="both"/>
        <w:rPr>
          <w:rFonts w:ascii="Palatino Linotype" w:eastAsia="Palatino Linotype" w:hAnsi="Palatino Linotype" w:cs="Palatino Linotype"/>
          <w:color w:val="000000"/>
          <w:sz w:val="22"/>
          <w:szCs w:val="22"/>
        </w:rPr>
      </w:pPr>
    </w:p>
    <w:p w14:paraId="5501FB41" w14:textId="475FEFF4" w:rsidR="00777385" w:rsidRPr="006B7F0D" w:rsidRDefault="00777385" w:rsidP="00777385">
      <w:pPr>
        <w:numPr>
          <w:ilvl w:val="0"/>
          <w:numId w:val="4"/>
        </w:numPr>
        <w:pBdr>
          <w:top w:val="nil"/>
          <w:left w:val="nil"/>
          <w:bottom w:val="nil"/>
          <w:right w:val="nil"/>
          <w:between w:val="nil"/>
        </w:pBdr>
        <w:spacing w:line="360" w:lineRule="auto"/>
        <w:ind w:left="0" w:right="48" w:firstLine="0"/>
        <w:jc w:val="both"/>
        <w:rPr>
          <w:rFonts w:ascii="Palatino Linotype" w:eastAsia="Palatino Linotype" w:hAnsi="Palatino Linotype" w:cs="Palatino Linotype"/>
          <w:color w:val="000000"/>
          <w:sz w:val="22"/>
          <w:szCs w:val="22"/>
        </w:rPr>
      </w:pPr>
      <w:r w:rsidRPr="006B7F0D">
        <w:rPr>
          <w:rFonts w:ascii="Palatino Linotype" w:eastAsia="Palatino Linotype" w:hAnsi="Palatino Linotype" w:cs="Palatino Linotype"/>
          <w:color w:val="000000"/>
          <w:sz w:val="22"/>
          <w:szCs w:val="22"/>
        </w:rPr>
        <w:t xml:space="preserve">En atención a lo anterior, el Director de Obras Públicas, refirió que, por medio del link </w:t>
      </w:r>
      <w:r w:rsidRPr="006B7F0D">
        <w:rPr>
          <w:rFonts w:ascii="Palatino Linotype" w:hAnsi="Palatino Linotype" w:cs="Arial"/>
          <w:bCs/>
          <w:color w:val="333333"/>
          <w:sz w:val="18"/>
          <w:szCs w:val="22"/>
        </w:rPr>
        <w:t>https://1drv.ms/f/c/ad767745fa82b6cc/Elawny-fZbpNtvYJ-A9Dt-oBSPj6Yl1LDk INPPSgZrnkg?e=jw5ZXj</w:t>
      </w:r>
      <w:r w:rsidRPr="006B7F0D">
        <w:rPr>
          <w:rFonts w:ascii="Palatino Linotype" w:hAnsi="Palatino Linotype" w:cs="Arial"/>
          <w:bCs/>
          <w:color w:val="333333"/>
          <w:sz w:val="22"/>
          <w:szCs w:val="22"/>
        </w:rPr>
        <w:t xml:space="preserve">, se podría acceder a la información actual y vigente de la vía pública Calle La Paz, misma que forma parte de la información disponible en el Portal de Información Pública de Oficio Mexiquense (IPOMEX); por su parte, el Director General de Desarrollo Urbano, señaló que la </w:t>
      </w:r>
      <w:r w:rsidRPr="006B7F0D">
        <w:rPr>
          <w:rFonts w:ascii="Palatino Linotype" w:hAnsi="Palatino Linotype" w:cs="Arial"/>
          <w:bCs/>
          <w:color w:val="333333"/>
          <w:sz w:val="22"/>
          <w:szCs w:val="22"/>
        </w:rPr>
        <w:lastRenderedPageBreak/>
        <w:t>ejecución de la obra de interés, se encontraba bajo la responsabilidad de la Dirección de Obras Públicas.</w:t>
      </w:r>
    </w:p>
    <w:p w14:paraId="61062822" w14:textId="77777777" w:rsidR="002B3E11" w:rsidRPr="006B7F0D" w:rsidRDefault="002B3E11">
      <w:pPr>
        <w:pBdr>
          <w:top w:val="nil"/>
          <w:left w:val="nil"/>
          <w:bottom w:val="nil"/>
          <w:right w:val="nil"/>
          <w:between w:val="nil"/>
        </w:pBdr>
        <w:spacing w:line="360" w:lineRule="auto"/>
        <w:ind w:right="48"/>
        <w:rPr>
          <w:rFonts w:ascii="Palatino Linotype" w:eastAsia="Palatino Linotype" w:hAnsi="Palatino Linotype" w:cs="Palatino Linotype"/>
          <w:color w:val="000000"/>
          <w:sz w:val="22"/>
          <w:szCs w:val="22"/>
        </w:rPr>
      </w:pPr>
    </w:p>
    <w:p w14:paraId="2F2CB595" w14:textId="17EF9C71" w:rsidR="002B3E11" w:rsidRPr="006B7F0D" w:rsidRDefault="00811D5F" w:rsidP="00777385">
      <w:pPr>
        <w:numPr>
          <w:ilvl w:val="0"/>
          <w:numId w:val="4"/>
        </w:numPr>
        <w:pBdr>
          <w:top w:val="nil"/>
          <w:left w:val="nil"/>
          <w:bottom w:val="nil"/>
          <w:right w:val="nil"/>
          <w:between w:val="nil"/>
        </w:pBdr>
        <w:spacing w:line="360" w:lineRule="auto"/>
        <w:ind w:left="0" w:right="48" w:firstLine="0"/>
        <w:jc w:val="both"/>
        <w:rPr>
          <w:rFonts w:ascii="Palatino Linotype" w:eastAsia="Palatino Linotype" w:hAnsi="Palatino Linotype" w:cs="Palatino Linotype"/>
          <w:b/>
          <w:color w:val="000000"/>
          <w:sz w:val="22"/>
          <w:szCs w:val="22"/>
        </w:rPr>
      </w:pPr>
      <w:bookmarkStart w:id="11" w:name="_heading=h.17dp8vu" w:colFirst="0" w:colLast="0"/>
      <w:bookmarkEnd w:id="11"/>
      <w:r w:rsidRPr="006B7F0D">
        <w:rPr>
          <w:rFonts w:ascii="Palatino Linotype" w:eastAsia="Palatino Linotype" w:hAnsi="Palatino Linotype" w:cs="Palatino Linotype"/>
          <w:color w:val="000000"/>
          <w:sz w:val="22"/>
          <w:szCs w:val="22"/>
        </w:rPr>
        <w:t xml:space="preserve">En consecuencia, el </w:t>
      </w:r>
      <w:r w:rsidRPr="006B7F0D">
        <w:rPr>
          <w:rFonts w:ascii="Palatino Linotype" w:eastAsia="Palatino Linotype" w:hAnsi="Palatino Linotype" w:cs="Palatino Linotype"/>
          <w:b/>
          <w:color w:val="000000"/>
          <w:sz w:val="22"/>
          <w:szCs w:val="22"/>
        </w:rPr>
        <w:t xml:space="preserve">RECURRENTE </w:t>
      </w:r>
      <w:r w:rsidR="00777385" w:rsidRPr="006B7F0D">
        <w:rPr>
          <w:rFonts w:ascii="Palatino Linotype" w:eastAsia="Palatino Linotype" w:hAnsi="Palatino Linotype" w:cs="Palatino Linotype"/>
          <w:color w:val="000000"/>
          <w:sz w:val="22"/>
          <w:szCs w:val="22"/>
        </w:rPr>
        <w:t xml:space="preserve">interpuso recurso de revisión, mediante el cual, </w:t>
      </w:r>
      <w:r w:rsidRPr="006B7F0D">
        <w:rPr>
          <w:rFonts w:ascii="Palatino Linotype" w:eastAsia="Palatino Linotype" w:hAnsi="Palatino Linotype" w:cs="Palatino Linotype"/>
          <w:color w:val="000000"/>
          <w:sz w:val="22"/>
          <w:szCs w:val="22"/>
        </w:rPr>
        <w:t xml:space="preserve">manifestó como motivos de inconformidad, </w:t>
      </w:r>
      <w:r w:rsidR="00777385" w:rsidRPr="006B7F0D">
        <w:rPr>
          <w:rFonts w:ascii="Palatino Linotype" w:eastAsia="Palatino Linotype" w:hAnsi="Palatino Linotype" w:cs="Palatino Linotype"/>
          <w:color w:val="000000"/>
          <w:sz w:val="22"/>
          <w:szCs w:val="22"/>
        </w:rPr>
        <w:t>la negativa de la información solicitada, toda vez que, al intentar ingresar al link proporcionado, la página no muestra ningún resultado.</w:t>
      </w:r>
    </w:p>
    <w:p w14:paraId="5E5153C5" w14:textId="77777777" w:rsidR="00777385" w:rsidRPr="006B7F0D" w:rsidRDefault="00777385" w:rsidP="00777385">
      <w:pPr>
        <w:pBdr>
          <w:top w:val="nil"/>
          <w:left w:val="nil"/>
          <w:bottom w:val="nil"/>
          <w:right w:val="nil"/>
          <w:between w:val="nil"/>
        </w:pBdr>
        <w:spacing w:line="360" w:lineRule="auto"/>
        <w:ind w:right="48"/>
        <w:jc w:val="both"/>
        <w:rPr>
          <w:rFonts w:ascii="Palatino Linotype" w:eastAsia="Palatino Linotype" w:hAnsi="Palatino Linotype" w:cs="Palatino Linotype"/>
          <w:b/>
          <w:color w:val="000000"/>
          <w:sz w:val="22"/>
          <w:szCs w:val="22"/>
        </w:rPr>
      </w:pPr>
    </w:p>
    <w:p w14:paraId="613EDC4F" w14:textId="77777777" w:rsidR="002B3E11" w:rsidRPr="006B7F0D" w:rsidRDefault="00811D5F">
      <w:pPr>
        <w:numPr>
          <w:ilvl w:val="0"/>
          <w:numId w:val="4"/>
        </w:numPr>
        <w:pBdr>
          <w:top w:val="nil"/>
          <w:left w:val="nil"/>
          <w:bottom w:val="nil"/>
          <w:right w:val="nil"/>
          <w:between w:val="nil"/>
        </w:pBdr>
        <w:spacing w:line="360" w:lineRule="auto"/>
        <w:ind w:left="0" w:right="48" w:firstLine="0"/>
        <w:jc w:val="both"/>
        <w:rPr>
          <w:rFonts w:ascii="Palatino Linotype" w:eastAsia="Palatino Linotype" w:hAnsi="Palatino Linotype" w:cs="Palatino Linotype"/>
          <w:color w:val="000000"/>
          <w:sz w:val="22"/>
          <w:szCs w:val="22"/>
        </w:rPr>
      </w:pPr>
      <w:r w:rsidRPr="006B7F0D">
        <w:rPr>
          <w:rFonts w:ascii="Palatino Linotype" w:eastAsia="Palatino Linotype" w:hAnsi="Palatino Linotype" w:cs="Palatino Linotype"/>
          <w:color w:val="000000"/>
          <w:sz w:val="22"/>
          <w:szCs w:val="22"/>
        </w:rPr>
        <w:t xml:space="preserve">Precisado lo anterior, se obvia el análisis de la competencia por parte del </w:t>
      </w:r>
      <w:r w:rsidRPr="006B7F0D">
        <w:rPr>
          <w:rFonts w:ascii="Palatino Linotype" w:eastAsia="Palatino Linotype" w:hAnsi="Palatino Linotype" w:cs="Palatino Linotype"/>
          <w:b/>
          <w:color w:val="000000"/>
          <w:sz w:val="22"/>
          <w:szCs w:val="22"/>
        </w:rPr>
        <w:t>SUJETO OBLIGADO</w:t>
      </w:r>
      <w:r w:rsidRPr="006B7F0D">
        <w:rPr>
          <w:rFonts w:ascii="Palatino Linotype" w:eastAsia="Palatino Linotype" w:hAnsi="Palatino Linotype" w:cs="Palatino Linotype"/>
          <w:color w:val="000000"/>
          <w:sz w:val="22"/>
          <w:szCs w:val="22"/>
        </w:rPr>
        <w:t>, para generar, administrar o poseer la información solicitada, dado que éste ha asumido la misma razón por la cual, al haberse pronunciado es que acepta poseer y administrar dicha información, en ejercicio de sus funciones de derecho público, motivo por el cual se actualiza el supuesto jurídico, previsto en el artículo 12 de la Ley de Transparencia y Acceso a la Información Pública del Estado de México y Municipios.</w:t>
      </w:r>
    </w:p>
    <w:p w14:paraId="4396B1F8" w14:textId="77777777" w:rsidR="002B3E11" w:rsidRPr="006B7F0D" w:rsidRDefault="002B3E11">
      <w:pPr>
        <w:pBdr>
          <w:top w:val="nil"/>
          <w:left w:val="nil"/>
          <w:bottom w:val="nil"/>
          <w:right w:val="nil"/>
          <w:between w:val="nil"/>
        </w:pBdr>
        <w:spacing w:line="360" w:lineRule="auto"/>
        <w:ind w:right="48"/>
        <w:jc w:val="both"/>
        <w:rPr>
          <w:rFonts w:ascii="Palatino Linotype" w:eastAsia="Palatino Linotype" w:hAnsi="Palatino Linotype" w:cs="Palatino Linotype"/>
          <w:color w:val="000000"/>
          <w:sz w:val="22"/>
          <w:szCs w:val="22"/>
        </w:rPr>
      </w:pPr>
    </w:p>
    <w:p w14:paraId="073646D2" w14:textId="77777777" w:rsidR="002B3E11" w:rsidRPr="006B7F0D" w:rsidRDefault="00811D5F">
      <w:pPr>
        <w:numPr>
          <w:ilvl w:val="0"/>
          <w:numId w:val="4"/>
        </w:numPr>
        <w:pBdr>
          <w:top w:val="nil"/>
          <w:left w:val="nil"/>
          <w:bottom w:val="nil"/>
          <w:right w:val="nil"/>
          <w:between w:val="nil"/>
        </w:pBdr>
        <w:spacing w:line="360" w:lineRule="auto"/>
        <w:ind w:left="0" w:right="48" w:firstLine="0"/>
        <w:jc w:val="both"/>
        <w:rPr>
          <w:rFonts w:ascii="Palatino Linotype" w:eastAsia="Palatino Linotype" w:hAnsi="Palatino Linotype" w:cs="Palatino Linotype"/>
          <w:color w:val="000000"/>
          <w:sz w:val="22"/>
          <w:szCs w:val="22"/>
        </w:rPr>
      </w:pPr>
      <w:r w:rsidRPr="006B7F0D">
        <w:rPr>
          <w:rFonts w:ascii="Palatino Linotype" w:eastAsia="Palatino Linotype" w:hAnsi="Palatino Linotype" w:cs="Palatino Linotype"/>
          <w:color w:val="000000"/>
          <w:sz w:val="22"/>
          <w:szCs w:val="22"/>
        </w:rPr>
        <w:t xml:space="preserve">Por lo que, el estudio de la naturaleza jurídica de la información pública solicitada, tiene por objeto determinar si ésta la genera, posee o administra el </w:t>
      </w:r>
      <w:r w:rsidRPr="006B7F0D">
        <w:rPr>
          <w:rFonts w:ascii="Palatino Linotype" w:eastAsia="Palatino Linotype" w:hAnsi="Palatino Linotype" w:cs="Palatino Linotype"/>
          <w:b/>
          <w:color w:val="000000"/>
          <w:sz w:val="22"/>
          <w:szCs w:val="22"/>
        </w:rPr>
        <w:t>SUJETO OBLIGADO</w:t>
      </w:r>
      <w:r w:rsidRPr="006B7F0D">
        <w:rPr>
          <w:rFonts w:ascii="Palatino Linotype" w:eastAsia="Palatino Linotype" w:hAnsi="Palatino Linotype" w:cs="Palatino Linotype"/>
          <w:color w:val="000000"/>
          <w:sz w:val="22"/>
          <w:szCs w:val="22"/>
        </w:rPr>
        <w:t xml:space="preserve">; sin embargo, en aquellos casos en que éste la asume, implica que cuenta con la misma; por consiguiente, a nada práctico nos conduciría su estudio, ya que se insiste la información pública solicitada, fue asumida por el </w:t>
      </w:r>
      <w:r w:rsidRPr="006B7F0D">
        <w:rPr>
          <w:rFonts w:ascii="Palatino Linotype" w:eastAsia="Palatino Linotype" w:hAnsi="Palatino Linotype" w:cs="Palatino Linotype"/>
          <w:b/>
          <w:color w:val="000000"/>
          <w:sz w:val="22"/>
          <w:szCs w:val="22"/>
        </w:rPr>
        <w:t>SUJETO OBLIGADO</w:t>
      </w:r>
      <w:r w:rsidRPr="006B7F0D">
        <w:rPr>
          <w:rFonts w:ascii="Palatino Linotype" w:eastAsia="Palatino Linotype" w:hAnsi="Palatino Linotype" w:cs="Palatino Linotype"/>
          <w:color w:val="000000"/>
          <w:sz w:val="22"/>
          <w:szCs w:val="22"/>
        </w:rPr>
        <w:t>.</w:t>
      </w:r>
    </w:p>
    <w:p w14:paraId="4847A3F4" w14:textId="77777777" w:rsidR="002B3E11" w:rsidRPr="006B7F0D" w:rsidRDefault="002B3E11">
      <w:pPr>
        <w:pBdr>
          <w:top w:val="nil"/>
          <w:left w:val="nil"/>
          <w:bottom w:val="nil"/>
          <w:right w:val="nil"/>
          <w:between w:val="nil"/>
        </w:pBdr>
        <w:spacing w:line="360" w:lineRule="auto"/>
        <w:ind w:right="48"/>
        <w:jc w:val="both"/>
        <w:rPr>
          <w:rFonts w:ascii="Palatino Linotype" w:eastAsia="Palatino Linotype" w:hAnsi="Palatino Linotype" w:cs="Palatino Linotype"/>
          <w:color w:val="000000"/>
          <w:sz w:val="22"/>
          <w:szCs w:val="22"/>
        </w:rPr>
      </w:pPr>
    </w:p>
    <w:p w14:paraId="7F69B448" w14:textId="5FA6336A" w:rsidR="002B3E11" w:rsidRPr="006B7F0D" w:rsidRDefault="00811D5F">
      <w:pPr>
        <w:numPr>
          <w:ilvl w:val="0"/>
          <w:numId w:val="4"/>
        </w:numPr>
        <w:pBdr>
          <w:top w:val="nil"/>
          <w:left w:val="nil"/>
          <w:bottom w:val="nil"/>
          <w:right w:val="nil"/>
          <w:between w:val="nil"/>
        </w:pBdr>
        <w:spacing w:line="360" w:lineRule="auto"/>
        <w:ind w:left="0" w:right="48" w:firstLine="0"/>
        <w:jc w:val="both"/>
        <w:rPr>
          <w:rFonts w:ascii="Palatino Linotype" w:eastAsia="Palatino Linotype" w:hAnsi="Palatino Linotype" w:cs="Palatino Linotype"/>
          <w:color w:val="000000"/>
          <w:sz w:val="22"/>
          <w:szCs w:val="22"/>
        </w:rPr>
      </w:pPr>
      <w:r w:rsidRPr="006B7F0D">
        <w:rPr>
          <w:rFonts w:ascii="Palatino Linotype" w:eastAsia="Palatino Linotype" w:hAnsi="Palatino Linotype" w:cs="Palatino Linotype"/>
          <w:color w:val="000000"/>
          <w:sz w:val="22"/>
          <w:szCs w:val="22"/>
        </w:rPr>
        <w:t xml:space="preserve">No obstante, este Organismo Garante consultó la liga electrónica proporcionada por el </w:t>
      </w:r>
      <w:r w:rsidRPr="006B7F0D">
        <w:rPr>
          <w:rFonts w:ascii="Palatino Linotype" w:eastAsia="Palatino Linotype" w:hAnsi="Palatino Linotype" w:cs="Palatino Linotype"/>
          <w:b/>
          <w:color w:val="000000"/>
          <w:sz w:val="22"/>
          <w:szCs w:val="22"/>
        </w:rPr>
        <w:t>SUJETO OBLIGADO</w:t>
      </w:r>
      <w:r w:rsidRPr="006B7F0D">
        <w:rPr>
          <w:rFonts w:ascii="Palatino Linotype" w:eastAsia="Palatino Linotype" w:hAnsi="Palatino Linotype" w:cs="Palatino Linotype"/>
          <w:color w:val="000000"/>
          <w:sz w:val="22"/>
          <w:szCs w:val="22"/>
        </w:rPr>
        <w:t>, de la cual, se desprende lo siguiente:</w:t>
      </w:r>
      <w:r w:rsidRPr="006B7F0D">
        <w:rPr>
          <w:rFonts w:ascii="Palatino Linotype" w:eastAsia="Century Gothic" w:hAnsi="Palatino Linotype" w:cs="Century Gothic"/>
          <w:color w:val="000000"/>
          <w:sz w:val="22"/>
          <w:szCs w:val="22"/>
        </w:rPr>
        <w:t xml:space="preserve"> </w:t>
      </w:r>
    </w:p>
    <w:p w14:paraId="15363CE6" w14:textId="77777777" w:rsidR="002B3E11" w:rsidRPr="006B7F0D" w:rsidRDefault="002B3E11">
      <w:pPr>
        <w:pBdr>
          <w:top w:val="nil"/>
          <w:left w:val="nil"/>
          <w:bottom w:val="nil"/>
          <w:right w:val="nil"/>
          <w:between w:val="nil"/>
        </w:pBdr>
        <w:spacing w:line="360" w:lineRule="auto"/>
        <w:ind w:right="48"/>
        <w:jc w:val="both"/>
        <w:rPr>
          <w:rFonts w:ascii="Palatino Linotype" w:eastAsia="Palatino Linotype" w:hAnsi="Palatino Linotype" w:cs="Palatino Linotype"/>
          <w:color w:val="000000"/>
          <w:sz w:val="22"/>
          <w:szCs w:val="22"/>
        </w:rPr>
      </w:pPr>
    </w:p>
    <w:p w14:paraId="5CCAF814" w14:textId="7F461138" w:rsidR="002B3E11" w:rsidRPr="006B7F0D" w:rsidRDefault="00802676">
      <w:pPr>
        <w:pBdr>
          <w:top w:val="nil"/>
          <w:left w:val="nil"/>
          <w:bottom w:val="nil"/>
          <w:right w:val="nil"/>
          <w:between w:val="nil"/>
        </w:pBdr>
        <w:spacing w:line="360" w:lineRule="auto"/>
        <w:ind w:right="48"/>
        <w:jc w:val="center"/>
        <w:rPr>
          <w:rFonts w:ascii="Palatino Linotype" w:eastAsia="Palatino Linotype" w:hAnsi="Palatino Linotype" w:cs="Palatino Linotype"/>
          <w:color w:val="000000"/>
          <w:sz w:val="22"/>
          <w:szCs w:val="22"/>
        </w:rPr>
      </w:pPr>
      <w:r w:rsidRPr="006B7F0D">
        <w:rPr>
          <w:rFonts w:ascii="Palatino Linotype" w:eastAsia="Palatino Linotype" w:hAnsi="Palatino Linotype" w:cs="Palatino Linotype"/>
          <w:noProof/>
          <w:color w:val="000000"/>
          <w:sz w:val="22"/>
          <w:szCs w:val="22"/>
        </w:rPr>
        <w:lastRenderedPageBreak/>
        <w:drawing>
          <wp:inline distT="0" distB="0" distL="0" distR="0" wp14:anchorId="3E0F9555" wp14:editId="75DCB36D">
            <wp:extent cx="3650776" cy="3171422"/>
            <wp:effectExtent l="19050" t="19050" r="26035" b="1016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r="4003"/>
                    <a:stretch/>
                  </pic:blipFill>
                  <pic:spPr bwMode="auto">
                    <a:xfrm>
                      <a:off x="0" y="0"/>
                      <a:ext cx="3669385" cy="3187588"/>
                    </a:xfrm>
                    <a:prstGeom prst="rect">
                      <a:avLst/>
                    </a:prstGeom>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719BFDC4" w14:textId="77777777" w:rsidR="002B3E11" w:rsidRPr="006B7F0D" w:rsidRDefault="00811D5F" w:rsidP="00802676">
      <w:pPr>
        <w:pBdr>
          <w:top w:val="nil"/>
          <w:left w:val="nil"/>
          <w:bottom w:val="nil"/>
          <w:right w:val="nil"/>
          <w:between w:val="nil"/>
        </w:pBdr>
        <w:ind w:right="48"/>
        <w:jc w:val="center"/>
        <w:rPr>
          <w:rFonts w:ascii="Palatino Linotype" w:eastAsia="Palatino Linotype" w:hAnsi="Palatino Linotype" w:cs="Palatino Linotype"/>
          <w:b/>
          <w:color w:val="000000"/>
          <w:sz w:val="22"/>
          <w:szCs w:val="22"/>
        </w:rPr>
      </w:pPr>
      <w:r w:rsidRPr="006B7F0D">
        <w:rPr>
          <w:rFonts w:ascii="Palatino Linotype" w:eastAsia="Palatino Linotype" w:hAnsi="Palatino Linotype" w:cs="Palatino Linotype"/>
          <w:b/>
          <w:color w:val="000000"/>
          <w:sz w:val="22"/>
          <w:szCs w:val="22"/>
        </w:rPr>
        <w:t>(…)</w:t>
      </w:r>
    </w:p>
    <w:p w14:paraId="620E701A" w14:textId="77777777" w:rsidR="002F0A2E" w:rsidRPr="006B7F0D" w:rsidRDefault="002F0A2E" w:rsidP="00B51D66">
      <w:pPr>
        <w:pBdr>
          <w:top w:val="nil"/>
          <w:left w:val="nil"/>
          <w:bottom w:val="nil"/>
          <w:right w:val="nil"/>
          <w:between w:val="nil"/>
        </w:pBdr>
        <w:spacing w:line="360" w:lineRule="auto"/>
        <w:ind w:right="48"/>
        <w:jc w:val="both"/>
        <w:rPr>
          <w:rFonts w:ascii="Palatino Linotype" w:eastAsia="Palatino Linotype" w:hAnsi="Palatino Linotype" w:cs="Palatino Linotype"/>
          <w:b/>
          <w:color w:val="000000"/>
          <w:sz w:val="22"/>
          <w:szCs w:val="22"/>
        </w:rPr>
      </w:pPr>
    </w:p>
    <w:p w14:paraId="039432D5" w14:textId="71842461" w:rsidR="00811D5F" w:rsidRPr="006B7F0D" w:rsidRDefault="00B51D66" w:rsidP="005043A9">
      <w:pPr>
        <w:numPr>
          <w:ilvl w:val="0"/>
          <w:numId w:val="4"/>
        </w:numPr>
        <w:pBdr>
          <w:top w:val="nil"/>
          <w:left w:val="nil"/>
          <w:bottom w:val="nil"/>
          <w:right w:val="nil"/>
          <w:between w:val="nil"/>
        </w:pBdr>
        <w:spacing w:line="360" w:lineRule="auto"/>
        <w:ind w:left="0" w:right="48" w:firstLine="0"/>
        <w:jc w:val="both"/>
        <w:rPr>
          <w:rFonts w:ascii="Palatino Linotype" w:eastAsia="Palatino Linotype" w:hAnsi="Palatino Linotype" w:cs="Palatino Linotype"/>
          <w:color w:val="000000"/>
          <w:sz w:val="22"/>
          <w:szCs w:val="22"/>
        </w:rPr>
      </w:pPr>
      <w:r w:rsidRPr="006B7F0D">
        <w:rPr>
          <w:rFonts w:ascii="Palatino Linotype" w:eastAsia="Palatino Linotype" w:hAnsi="Palatino Linotype" w:cs="Palatino Linotype"/>
          <w:color w:val="000000"/>
          <w:sz w:val="22"/>
          <w:szCs w:val="22"/>
        </w:rPr>
        <w:t>En atención a lo anterior</w:t>
      </w:r>
      <w:r w:rsidR="00811D5F" w:rsidRPr="006B7F0D">
        <w:rPr>
          <w:rFonts w:ascii="Palatino Linotype" w:eastAsia="Palatino Linotype" w:hAnsi="Palatino Linotype" w:cs="Palatino Linotype"/>
          <w:color w:val="000000"/>
          <w:sz w:val="22"/>
          <w:szCs w:val="22"/>
        </w:rPr>
        <w:t>,</w:t>
      </w:r>
      <w:r w:rsidRPr="006B7F0D">
        <w:rPr>
          <w:rFonts w:ascii="Palatino Linotype" w:eastAsia="Palatino Linotype" w:hAnsi="Palatino Linotype" w:cs="Palatino Linotype"/>
          <w:color w:val="000000"/>
          <w:sz w:val="22"/>
          <w:szCs w:val="22"/>
        </w:rPr>
        <w:t xml:space="preserve"> se advierte que,</w:t>
      </w:r>
      <w:r w:rsidR="00811D5F" w:rsidRPr="006B7F0D">
        <w:rPr>
          <w:rFonts w:ascii="Palatino Linotype" w:eastAsia="Palatino Linotype" w:hAnsi="Palatino Linotype" w:cs="Palatino Linotype"/>
          <w:color w:val="000000"/>
          <w:sz w:val="22"/>
          <w:szCs w:val="22"/>
        </w:rPr>
        <w:t xml:space="preserve"> el link</w:t>
      </w:r>
      <w:r w:rsidRPr="006B7F0D">
        <w:rPr>
          <w:rFonts w:ascii="Palatino Linotype" w:eastAsia="Palatino Linotype" w:hAnsi="Palatino Linotype" w:cs="Palatino Linotype"/>
          <w:color w:val="000000"/>
          <w:sz w:val="22"/>
          <w:szCs w:val="22"/>
        </w:rPr>
        <w:t xml:space="preserve"> no</w:t>
      </w:r>
      <w:r w:rsidR="00811D5F" w:rsidRPr="006B7F0D">
        <w:rPr>
          <w:rFonts w:ascii="Palatino Linotype" w:eastAsia="Palatino Linotype" w:hAnsi="Palatino Linotype" w:cs="Palatino Linotype"/>
          <w:color w:val="000000"/>
          <w:sz w:val="22"/>
          <w:szCs w:val="22"/>
        </w:rPr>
        <w:t xml:space="preserve"> permite acceder a </w:t>
      </w:r>
      <w:r w:rsidR="009D0EA8" w:rsidRPr="006B7F0D">
        <w:rPr>
          <w:rFonts w:ascii="Palatino Linotype" w:eastAsia="Palatino Linotype" w:hAnsi="Palatino Linotype" w:cs="Palatino Linotype"/>
          <w:color w:val="000000"/>
          <w:sz w:val="22"/>
          <w:szCs w:val="22"/>
        </w:rPr>
        <w:t>ningún tipo de</w:t>
      </w:r>
      <w:r w:rsidR="00811D5F" w:rsidRPr="006B7F0D">
        <w:rPr>
          <w:rFonts w:ascii="Palatino Linotype" w:eastAsia="Palatino Linotype" w:hAnsi="Palatino Linotype" w:cs="Palatino Linotype"/>
          <w:color w:val="000000"/>
          <w:sz w:val="22"/>
          <w:szCs w:val="22"/>
        </w:rPr>
        <w:t xml:space="preserve"> información</w:t>
      </w:r>
      <w:r w:rsidR="009D0EA8" w:rsidRPr="006B7F0D">
        <w:rPr>
          <w:rFonts w:ascii="Palatino Linotype" w:eastAsia="Palatino Linotype" w:hAnsi="Palatino Linotype" w:cs="Palatino Linotype"/>
          <w:color w:val="000000"/>
          <w:sz w:val="22"/>
          <w:szCs w:val="22"/>
        </w:rPr>
        <w:t>,</w:t>
      </w:r>
      <w:r w:rsidR="00811D5F" w:rsidRPr="006B7F0D">
        <w:rPr>
          <w:rFonts w:ascii="Palatino Linotype" w:eastAsia="Palatino Linotype" w:hAnsi="Palatino Linotype" w:cs="Palatino Linotype"/>
          <w:color w:val="000000"/>
          <w:sz w:val="22"/>
          <w:szCs w:val="22"/>
        </w:rPr>
        <w:t xml:space="preserve"> </w:t>
      </w:r>
      <w:r w:rsidR="005043A9" w:rsidRPr="006B7F0D">
        <w:rPr>
          <w:rFonts w:ascii="Palatino Linotype" w:eastAsia="Palatino Linotype" w:hAnsi="Palatino Linotype" w:cs="Palatino Linotype"/>
          <w:color w:val="000000"/>
          <w:sz w:val="22"/>
          <w:szCs w:val="22"/>
        </w:rPr>
        <w:t>consecuentemente</w:t>
      </w:r>
      <w:r w:rsidR="009D0EA8" w:rsidRPr="006B7F0D">
        <w:rPr>
          <w:rFonts w:ascii="Palatino Linotype" w:eastAsia="Palatino Linotype" w:hAnsi="Palatino Linotype" w:cs="Palatino Linotype"/>
          <w:color w:val="000000"/>
          <w:sz w:val="22"/>
          <w:szCs w:val="22"/>
        </w:rPr>
        <w:t xml:space="preserve"> </w:t>
      </w:r>
      <w:r w:rsidR="00811D5F" w:rsidRPr="006B7F0D">
        <w:rPr>
          <w:rFonts w:ascii="Palatino Linotype" w:eastAsia="Palatino Linotype" w:hAnsi="Palatino Linotype" w:cs="Palatino Linotype"/>
          <w:color w:val="000000"/>
          <w:sz w:val="22"/>
          <w:szCs w:val="22"/>
        </w:rPr>
        <w:t xml:space="preserve">no da acceso a los documentos solicitados por el </w:t>
      </w:r>
      <w:r w:rsidR="00811D5F" w:rsidRPr="006B7F0D">
        <w:rPr>
          <w:rFonts w:ascii="Palatino Linotype" w:eastAsia="Palatino Linotype" w:hAnsi="Palatino Linotype" w:cs="Palatino Linotype"/>
          <w:b/>
          <w:color w:val="000000"/>
          <w:sz w:val="22"/>
          <w:szCs w:val="22"/>
        </w:rPr>
        <w:t>RECURRENTE</w:t>
      </w:r>
      <w:r w:rsidR="005043A9" w:rsidRPr="006B7F0D">
        <w:rPr>
          <w:rFonts w:ascii="Palatino Linotype" w:eastAsia="Palatino Linotype" w:hAnsi="Palatino Linotype" w:cs="Palatino Linotype"/>
          <w:color w:val="000000"/>
          <w:sz w:val="22"/>
          <w:szCs w:val="22"/>
        </w:rPr>
        <w:t xml:space="preserve">; asimismo, se tiene que, </w:t>
      </w:r>
      <w:r w:rsidR="00811D5F" w:rsidRPr="006B7F0D">
        <w:rPr>
          <w:rFonts w:ascii="Palatino Linotype" w:eastAsia="Palatino Linotype" w:hAnsi="Palatino Linotype" w:cs="Palatino Linotype"/>
          <w:color w:val="000000"/>
          <w:sz w:val="22"/>
          <w:szCs w:val="22"/>
        </w:rPr>
        <w:t>por medio de la respuesta se</w:t>
      </w:r>
      <w:r w:rsidR="005043A9" w:rsidRPr="006B7F0D">
        <w:rPr>
          <w:rFonts w:ascii="Palatino Linotype" w:eastAsia="Palatino Linotype" w:hAnsi="Palatino Linotype" w:cs="Palatino Linotype"/>
          <w:color w:val="000000"/>
          <w:sz w:val="22"/>
          <w:szCs w:val="22"/>
        </w:rPr>
        <w:t xml:space="preserve"> omitió proporcionar las </w:t>
      </w:r>
      <w:r w:rsidR="00811D5F" w:rsidRPr="006B7F0D">
        <w:rPr>
          <w:rFonts w:ascii="Palatino Linotype" w:eastAsia="Palatino Linotype" w:hAnsi="Palatino Linotype" w:cs="Palatino Linotype"/>
          <w:color w:val="000000"/>
          <w:sz w:val="22"/>
          <w:szCs w:val="22"/>
        </w:rPr>
        <w:t>indicaciones precis</w:t>
      </w:r>
      <w:r w:rsidR="009D0EA8" w:rsidRPr="006B7F0D">
        <w:rPr>
          <w:rFonts w:ascii="Palatino Linotype" w:eastAsia="Palatino Linotype" w:hAnsi="Palatino Linotype" w:cs="Palatino Linotype"/>
          <w:color w:val="000000"/>
          <w:sz w:val="22"/>
          <w:szCs w:val="22"/>
        </w:rPr>
        <w:t>as para acceder a la información.</w:t>
      </w:r>
    </w:p>
    <w:p w14:paraId="5440EC2C" w14:textId="77777777" w:rsidR="00CB3303" w:rsidRPr="006B7F0D" w:rsidRDefault="00CB3303" w:rsidP="00811D5F">
      <w:pPr>
        <w:pBdr>
          <w:top w:val="nil"/>
          <w:left w:val="nil"/>
          <w:bottom w:val="nil"/>
          <w:right w:val="nil"/>
          <w:between w:val="nil"/>
        </w:pBdr>
        <w:spacing w:line="360" w:lineRule="auto"/>
        <w:ind w:right="48"/>
        <w:jc w:val="both"/>
        <w:rPr>
          <w:rFonts w:ascii="Palatino Linotype" w:eastAsia="Palatino Linotype" w:hAnsi="Palatino Linotype" w:cs="Palatino Linotype"/>
          <w:color w:val="000000"/>
          <w:sz w:val="22"/>
          <w:szCs w:val="22"/>
        </w:rPr>
      </w:pPr>
    </w:p>
    <w:p w14:paraId="00DA965D" w14:textId="3D4D8D9B" w:rsidR="005043A9" w:rsidRPr="006B7F0D" w:rsidRDefault="00CB3303" w:rsidP="005043A9">
      <w:pPr>
        <w:numPr>
          <w:ilvl w:val="0"/>
          <w:numId w:val="4"/>
        </w:numPr>
        <w:pBdr>
          <w:top w:val="nil"/>
          <w:left w:val="nil"/>
          <w:bottom w:val="nil"/>
          <w:right w:val="nil"/>
          <w:between w:val="nil"/>
        </w:pBdr>
        <w:spacing w:line="360" w:lineRule="auto"/>
        <w:ind w:left="0" w:right="48" w:firstLine="0"/>
        <w:jc w:val="both"/>
        <w:rPr>
          <w:rFonts w:ascii="Palatino Linotype" w:eastAsia="Palatino Linotype" w:hAnsi="Palatino Linotype" w:cs="Palatino Linotype"/>
          <w:color w:val="000000"/>
          <w:sz w:val="22"/>
          <w:szCs w:val="20"/>
        </w:rPr>
      </w:pPr>
      <w:r w:rsidRPr="006B7F0D">
        <w:rPr>
          <w:rFonts w:ascii="Palatino Linotype" w:eastAsia="Palatino Linotype" w:hAnsi="Palatino Linotype" w:cs="Palatino Linotype"/>
          <w:color w:val="000000"/>
          <w:sz w:val="22"/>
          <w:szCs w:val="22"/>
        </w:rPr>
        <w:t>Ahora bien</w:t>
      </w:r>
      <w:r w:rsidR="00811D5F" w:rsidRPr="006B7F0D">
        <w:rPr>
          <w:rFonts w:ascii="Palatino Linotype" w:eastAsia="Palatino Linotype" w:hAnsi="Palatino Linotype" w:cs="Palatino Linotype"/>
          <w:color w:val="000000"/>
          <w:sz w:val="22"/>
          <w:szCs w:val="22"/>
        </w:rPr>
        <w:t xml:space="preserve">, no pasa desapercibido mencionar que, la respuesta fue emitida por el </w:t>
      </w:r>
      <w:r w:rsidR="00811D5F" w:rsidRPr="006B7F0D">
        <w:rPr>
          <w:rFonts w:ascii="Palatino Linotype" w:eastAsia="Palatino Linotype" w:hAnsi="Palatino Linotype" w:cs="Palatino Linotype"/>
          <w:b/>
          <w:color w:val="000000"/>
          <w:sz w:val="22"/>
          <w:szCs w:val="22"/>
        </w:rPr>
        <w:t xml:space="preserve">Servidor Público Habilitado de la Dirección </w:t>
      </w:r>
      <w:r w:rsidR="005043A9" w:rsidRPr="006B7F0D">
        <w:rPr>
          <w:rFonts w:ascii="Palatino Linotype" w:eastAsia="Palatino Linotype" w:hAnsi="Palatino Linotype" w:cs="Palatino Linotype"/>
          <w:b/>
          <w:color w:val="000000"/>
          <w:sz w:val="22"/>
          <w:szCs w:val="22"/>
        </w:rPr>
        <w:t>de Obras Públicas</w:t>
      </w:r>
      <w:r w:rsidR="00811D5F" w:rsidRPr="006B7F0D">
        <w:rPr>
          <w:rFonts w:ascii="Palatino Linotype" w:eastAsia="Palatino Linotype" w:hAnsi="Palatino Linotype" w:cs="Palatino Linotype"/>
          <w:color w:val="000000"/>
          <w:sz w:val="22"/>
          <w:szCs w:val="22"/>
        </w:rPr>
        <w:t xml:space="preserve">, </w:t>
      </w:r>
      <w:r w:rsidR="0017418D" w:rsidRPr="006B7F0D">
        <w:rPr>
          <w:rFonts w:ascii="Palatino Linotype" w:eastAsia="Palatino Linotype" w:hAnsi="Palatino Linotype" w:cs="Palatino Linotype"/>
          <w:color w:val="000000"/>
          <w:sz w:val="22"/>
          <w:szCs w:val="22"/>
        </w:rPr>
        <w:t xml:space="preserve">unidad administrativa que </w:t>
      </w:r>
      <w:r w:rsidR="005043A9" w:rsidRPr="006B7F0D">
        <w:rPr>
          <w:rFonts w:ascii="Palatino Linotype" w:eastAsia="Palatino Linotype" w:hAnsi="Palatino Linotype" w:cs="Palatino Linotype"/>
          <w:color w:val="000000"/>
          <w:sz w:val="22"/>
          <w:szCs w:val="22"/>
        </w:rPr>
        <w:t xml:space="preserve">de conformidad con el artículo 72 del Bando Municipal del Ayuntamiento de Chimalhuacán, </w:t>
      </w:r>
      <w:r w:rsidR="0017418D" w:rsidRPr="006B7F0D">
        <w:rPr>
          <w:rFonts w:ascii="Palatino Linotype" w:hAnsi="Palatino Linotype"/>
          <w:sz w:val="22"/>
          <w:szCs w:val="22"/>
        </w:rPr>
        <w:t>es la encargada</w:t>
      </w:r>
      <w:r w:rsidR="005043A9" w:rsidRPr="006B7F0D">
        <w:rPr>
          <w:rFonts w:ascii="Palatino Linotype" w:hAnsi="Palatino Linotype"/>
          <w:sz w:val="22"/>
          <w:szCs w:val="22"/>
        </w:rPr>
        <w:t xml:space="preserve"> de planear y llevar a cabo los proyectos de mejora a la imagen urbana, así como gestionar y ejecutar la obra pública municipal, con base en lo establecido en el </w:t>
      </w:r>
      <w:r w:rsidR="0017418D" w:rsidRPr="006B7F0D">
        <w:rPr>
          <w:rFonts w:ascii="Palatino Linotype" w:hAnsi="Palatino Linotype"/>
          <w:sz w:val="22"/>
          <w:szCs w:val="22"/>
        </w:rPr>
        <w:t>Plan de Desarrollo Municipal. Asimismo, establece que su</w:t>
      </w:r>
      <w:r w:rsidR="005043A9" w:rsidRPr="006B7F0D">
        <w:rPr>
          <w:rFonts w:ascii="Palatino Linotype" w:hAnsi="Palatino Linotype"/>
          <w:sz w:val="22"/>
          <w:szCs w:val="22"/>
        </w:rPr>
        <w:t xml:space="preserve"> objetivo principal</w:t>
      </w:r>
      <w:r w:rsidR="0017418D" w:rsidRPr="006B7F0D">
        <w:rPr>
          <w:rFonts w:ascii="Palatino Linotype" w:hAnsi="Palatino Linotype"/>
          <w:sz w:val="22"/>
          <w:szCs w:val="22"/>
        </w:rPr>
        <w:t xml:space="preserve">, </w:t>
      </w:r>
      <w:r w:rsidR="005043A9" w:rsidRPr="006B7F0D">
        <w:rPr>
          <w:rFonts w:ascii="Palatino Linotype" w:hAnsi="Palatino Linotype"/>
          <w:sz w:val="22"/>
          <w:szCs w:val="22"/>
        </w:rPr>
        <w:t xml:space="preserve">es atender las demandas en materia de infraestructura y equipamiento urbano, así como coadyuvar con las </w:t>
      </w:r>
      <w:r w:rsidR="005043A9" w:rsidRPr="006B7F0D">
        <w:rPr>
          <w:rFonts w:ascii="Palatino Linotype" w:hAnsi="Palatino Linotype"/>
          <w:sz w:val="22"/>
          <w:szCs w:val="22"/>
        </w:rPr>
        <w:lastRenderedPageBreak/>
        <w:t xml:space="preserve">autoridades </w:t>
      </w:r>
      <w:r w:rsidR="005043A9" w:rsidRPr="006B7F0D">
        <w:rPr>
          <w:rFonts w:ascii="Palatino Linotype" w:hAnsi="Palatino Linotype"/>
          <w:sz w:val="22"/>
          <w:szCs w:val="20"/>
        </w:rPr>
        <w:t>competentes para la realización de obras que cubran las necesidades del Municipio</w:t>
      </w:r>
      <w:r w:rsidR="0017418D" w:rsidRPr="006B7F0D">
        <w:rPr>
          <w:rFonts w:ascii="Palatino Linotype" w:hAnsi="Palatino Linotype"/>
          <w:sz w:val="22"/>
          <w:szCs w:val="20"/>
        </w:rPr>
        <w:t>.</w:t>
      </w:r>
    </w:p>
    <w:p w14:paraId="2F9134FF" w14:textId="77777777" w:rsidR="0017418D" w:rsidRPr="006B7F0D" w:rsidRDefault="0017418D" w:rsidP="00241792">
      <w:pPr>
        <w:rPr>
          <w:rFonts w:ascii="Palatino Linotype" w:eastAsia="Palatino Linotype" w:hAnsi="Palatino Linotype" w:cs="Palatino Linotype"/>
          <w:color w:val="000000"/>
          <w:szCs w:val="20"/>
        </w:rPr>
      </w:pPr>
    </w:p>
    <w:p w14:paraId="328DCEC8" w14:textId="168311C6" w:rsidR="0017418D" w:rsidRPr="006B7F0D" w:rsidRDefault="0017418D" w:rsidP="0017418D">
      <w:pPr>
        <w:numPr>
          <w:ilvl w:val="0"/>
          <w:numId w:val="4"/>
        </w:numPr>
        <w:pBdr>
          <w:top w:val="nil"/>
          <w:left w:val="nil"/>
          <w:bottom w:val="nil"/>
          <w:right w:val="nil"/>
          <w:between w:val="nil"/>
        </w:pBdr>
        <w:spacing w:line="360" w:lineRule="auto"/>
        <w:ind w:left="0" w:right="48" w:firstLine="0"/>
        <w:jc w:val="both"/>
        <w:rPr>
          <w:rFonts w:ascii="Palatino Linotype" w:eastAsia="Palatino Linotype" w:hAnsi="Palatino Linotype" w:cs="Palatino Linotype"/>
          <w:color w:val="000000"/>
          <w:sz w:val="22"/>
          <w:szCs w:val="20"/>
        </w:rPr>
      </w:pPr>
      <w:r w:rsidRPr="006B7F0D">
        <w:rPr>
          <w:rFonts w:ascii="Palatino Linotype" w:eastAsia="Palatino Linotype" w:hAnsi="Palatino Linotype" w:cs="Palatino Linotype"/>
          <w:color w:val="000000"/>
          <w:sz w:val="22"/>
          <w:szCs w:val="20"/>
        </w:rPr>
        <w:t xml:space="preserve">Correlativo a lo anterior, el </w:t>
      </w:r>
      <w:r w:rsidRPr="006B7F0D">
        <w:rPr>
          <w:rFonts w:ascii="Palatino Linotype" w:hAnsi="Palatino Linotype"/>
          <w:sz w:val="22"/>
          <w:szCs w:val="20"/>
        </w:rPr>
        <w:t>Reglamento Orgánico de la Administración Pública Municipal de Chimalhuacán, establece en su artículo 36 que</w:t>
      </w:r>
      <w:r w:rsidR="00FD1D6C" w:rsidRPr="006B7F0D">
        <w:rPr>
          <w:rFonts w:ascii="Palatino Linotype" w:hAnsi="Palatino Linotype"/>
          <w:sz w:val="22"/>
          <w:szCs w:val="20"/>
        </w:rPr>
        <w:t>,</w:t>
      </w:r>
      <w:r w:rsidRPr="006B7F0D">
        <w:rPr>
          <w:rFonts w:ascii="Palatino Linotype" w:hAnsi="Palatino Linotype"/>
          <w:sz w:val="22"/>
          <w:szCs w:val="20"/>
        </w:rPr>
        <w:t xml:space="preserve"> la Dirección de Obra</w:t>
      </w:r>
      <w:r w:rsidR="00FD1D6C" w:rsidRPr="006B7F0D">
        <w:rPr>
          <w:rFonts w:ascii="Palatino Linotype" w:hAnsi="Palatino Linotype"/>
          <w:sz w:val="22"/>
          <w:szCs w:val="20"/>
        </w:rPr>
        <w:t>s Públicas</w:t>
      </w:r>
      <w:r w:rsidRPr="006B7F0D">
        <w:rPr>
          <w:rFonts w:ascii="Palatino Linotype" w:hAnsi="Palatino Linotype"/>
          <w:sz w:val="22"/>
          <w:szCs w:val="20"/>
        </w:rPr>
        <w:t xml:space="preserve"> por conducto de su Titular y mediante delegación de funciones, a través de los Titulares de las unidades administrativas que tiene adscritas, contará con las siguientes atribuciones:</w:t>
      </w:r>
    </w:p>
    <w:p w14:paraId="40511EE9" w14:textId="77777777" w:rsidR="0017418D" w:rsidRPr="006B7F0D" w:rsidRDefault="0017418D" w:rsidP="0017418D">
      <w:pPr>
        <w:pBdr>
          <w:top w:val="nil"/>
          <w:left w:val="nil"/>
          <w:bottom w:val="nil"/>
          <w:right w:val="nil"/>
          <w:between w:val="nil"/>
        </w:pBdr>
        <w:spacing w:line="360" w:lineRule="auto"/>
        <w:ind w:right="48"/>
        <w:jc w:val="both"/>
        <w:rPr>
          <w:rFonts w:ascii="Palatino Linotype" w:eastAsia="Palatino Linotype" w:hAnsi="Palatino Linotype" w:cs="Palatino Linotype"/>
          <w:color w:val="000000"/>
          <w:sz w:val="22"/>
          <w:szCs w:val="20"/>
        </w:rPr>
      </w:pPr>
    </w:p>
    <w:p w14:paraId="6A9C9530" w14:textId="00A398F6" w:rsidR="0017418D" w:rsidRPr="006B7F0D" w:rsidRDefault="00FD1D6C" w:rsidP="00FD1D6C">
      <w:pPr>
        <w:pBdr>
          <w:top w:val="nil"/>
          <w:left w:val="nil"/>
          <w:bottom w:val="nil"/>
          <w:right w:val="nil"/>
          <w:between w:val="nil"/>
        </w:pBdr>
        <w:ind w:left="567" w:right="48"/>
        <w:jc w:val="both"/>
        <w:rPr>
          <w:rFonts w:ascii="Palatino Linotype" w:hAnsi="Palatino Linotype"/>
          <w:i/>
          <w:sz w:val="22"/>
        </w:rPr>
      </w:pPr>
      <w:r w:rsidRPr="006B7F0D">
        <w:rPr>
          <w:rFonts w:ascii="Palatino Linotype" w:hAnsi="Palatino Linotype"/>
          <w:i/>
          <w:sz w:val="22"/>
        </w:rPr>
        <w:t>“</w:t>
      </w:r>
      <w:r w:rsidR="0017418D" w:rsidRPr="006B7F0D">
        <w:rPr>
          <w:rFonts w:ascii="Palatino Linotype" w:hAnsi="Palatino Linotype"/>
          <w:i/>
          <w:sz w:val="22"/>
        </w:rPr>
        <w:t xml:space="preserve">I.- Ejecutar los trabajos que tengan por objeto crear, construir, demoler o modificar bienes inmuebles que, por su naturaleza o disposición de ley, estén destinados a un servicio público o al uso común; </w:t>
      </w:r>
    </w:p>
    <w:p w14:paraId="746B0276" w14:textId="77777777" w:rsidR="0017418D" w:rsidRPr="006B7F0D" w:rsidRDefault="0017418D" w:rsidP="00FD1D6C">
      <w:pPr>
        <w:pBdr>
          <w:top w:val="nil"/>
          <w:left w:val="nil"/>
          <w:bottom w:val="nil"/>
          <w:right w:val="nil"/>
          <w:between w:val="nil"/>
        </w:pBdr>
        <w:ind w:left="567" w:right="48"/>
        <w:jc w:val="both"/>
        <w:rPr>
          <w:rFonts w:ascii="Palatino Linotype" w:hAnsi="Palatino Linotype"/>
          <w:i/>
          <w:sz w:val="22"/>
        </w:rPr>
      </w:pPr>
      <w:r w:rsidRPr="006B7F0D">
        <w:rPr>
          <w:rFonts w:ascii="Palatino Linotype" w:hAnsi="Palatino Linotype"/>
          <w:i/>
          <w:sz w:val="22"/>
        </w:rPr>
        <w:t xml:space="preserve">II.- Acatar las disposiciones de ejecución, seguimiento y evaluación que, para la obra pública, señala la legislación de la materia, y cumplir en tiempo y forma con la entrega de los reportes correspondientes, a las dependencias municipales encargadas de presentar ante las instancias estatales y federales, la documentación comprobatoria del ejercicio de los recursos públicos; </w:t>
      </w:r>
    </w:p>
    <w:p w14:paraId="67B0D1E8" w14:textId="484A4BB3" w:rsidR="0017418D" w:rsidRPr="006B7F0D" w:rsidRDefault="0017418D" w:rsidP="00FD1D6C">
      <w:pPr>
        <w:pBdr>
          <w:top w:val="nil"/>
          <w:left w:val="nil"/>
          <w:bottom w:val="nil"/>
          <w:right w:val="nil"/>
          <w:between w:val="nil"/>
        </w:pBdr>
        <w:ind w:left="567" w:right="48"/>
        <w:jc w:val="both"/>
        <w:rPr>
          <w:rFonts w:ascii="Palatino Linotype" w:hAnsi="Palatino Linotype"/>
          <w:i/>
          <w:sz w:val="22"/>
        </w:rPr>
      </w:pPr>
      <w:r w:rsidRPr="006B7F0D">
        <w:rPr>
          <w:rFonts w:ascii="Palatino Linotype" w:hAnsi="Palatino Linotype"/>
          <w:i/>
          <w:sz w:val="22"/>
        </w:rPr>
        <w:t xml:space="preserve">III.- Administrar los bienes muebles que deban incorporarse, adherirse o destinarse a la función de la obra pública; </w:t>
      </w:r>
    </w:p>
    <w:p w14:paraId="6546DBFB" w14:textId="77777777" w:rsidR="0017418D" w:rsidRPr="006B7F0D" w:rsidRDefault="0017418D" w:rsidP="00FD1D6C">
      <w:pPr>
        <w:pBdr>
          <w:top w:val="nil"/>
          <w:left w:val="nil"/>
          <w:bottom w:val="nil"/>
          <w:right w:val="nil"/>
          <w:between w:val="nil"/>
        </w:pBdr>
        <w:ind w:left="567" w:right="48"/>
        <w:jc w:val="both"/>
        <w:rPr>
          <w:rFonts w:ascii="Palatino Linotype" w:hAnsi="Palatino Linotype"/>
          <w:i/>
          <w:sz w:val="22"/>
        </w:rPr>
      </w:pPr>
      <w:r w:rsidRPr="006B7F0D">
        <w:rPr>
          <w:rFonts w:ascii="Palatino Linotype" w:hAnsi="Palatino Linotype"/>
          <w:i/>
          <w:sz w:val="22"/>
        </w:rPr>
        <w:t xml:space="preserve">IV.- Realizar los estudios y proyectos necesarios para las obras públicas que deberán enmarcarse en el Plan de Desarrollo Municipal, dando seguimiento a las mismas para su realización; </w:t>
      </w:r>
    </w:p>
    <w:p w14:paraId="56CA7CCE" w14:textId="77777777" w:rsidR="00FD1D6C" w:rsidRPr="006B7F0D" w:rsidRDefault="0017418D" w:rsidP="00FD1D6C">
      <w:pPr>
        <w:pBdr>
          <w:top w:val="nil"/>
          <w:left w:val="nil"/>
          <w:bottom w:val="nil"/>
          <w:right w:val="nil"/>
          <w:between w:val="nil"/>
        </w:pBdr>
        <w:ind w:left="567" w:right="48"/>
        <w:jc w:val="both"/>
        <w:rPr>
          <w:rFonts w:ascii="Palatino Linotype" w:hAnsi="Palatino Linotype"/>
          <w:i/>
          <w:sz w:val="22"/>
        </w:rPr>
      </w:pPr>
      <w:r w:rsidRPr="006B7F0D">
        <w:rPr>
          <w:rFonts w:ascii="Palatino Linotype" w:hAnsi="Palatino Linotype"/>
          <w:i/>
          <w:sz w:val="22"/>
        </w:rPr>
        <w:t xml:space="preserve">V.- Realizar las licitaciones, adquisiciones e informes referentes a la obra pública municipal; </w:t>
      </w:r>
    </w:p>
    <w:p w14:paraId="34F8F35C" w14:textId="3122BDA2" w:rsidR="0017418D" w:rsidRPr="006B7F0D" w:rsidRDefault="0017418D" w:rsidP="00FD1D6C">
      <w:pPr>
        <w:pBdr>
          <w:top w:val="nil"/>
          <w:left w:val="nil"/>
          <w:bottom w:val="nil"/>
          <w:right w:val="nil"/>
          <w:between w:val="nil"/>
        </w:pBdr>
        <w:ind w:left="567" w:right="48"/>
        <w:jc w:val="both"/>
        <w:rPr>
          <w:rFonts w:ascii="Palatino Linotype" w:hAnsi="Palatino Linotype"/>
          <w:i/>
          <w:sz w:val="22"/>
        </w:rPr>
      </w:pPr>
      <w:r w:rsidRPr="006B7F0D">
        <w:rPr>
          <w:rFonts w:ascii="Palatino Linotype" w:hAnsi="Palatino Linotype"/>
          <w:i/>
          <w:sz w:val="22"/>
        </w:rPr>
        <w:t xml:space="preserve">VI.- Realizar la planeación urbana necesaria para ser integrada al Plan de Desarrollo Municipal y a los programas anuales, con los proyectos que sean requeridos; </w:t>
      </w:r>
    </w:p>
    <w:p w14:paraId="571D6C15" w14:textId="4D9CDBF3" w:rsidR="0017418D" w:rsidRPr="006B7F0D" w:rsidRDefault="0017418D" w:rsidP="00FD1D6C">
      <w:pPr>
        <w:pBdr>
          <w:top w:val="nil"/>
          <w:left w:val="nil"/>
          <w:bottom w:val="nil"/>
          <w:right w:val="nil"/>
          <w:between w:val="nil"/>
        </w:pBdr>
        <w:ind w:left="567" w:right="48"/>
        <w:jc w:val="both"/>
        <w:rPr>
          <w:rFonts w:ascii="Palatino Linotype" w:hAnsi="Palatino Linotype"/>
          <w:i/>
          <w:sz w:val="22"/>
        </w:rPr>
      </w:pPr>
      <w:r w:rsidRPr="006B7F0D">
        <w:rPr>
          <w:rFonts w:ascii="Palatino Linotype" w:hAnsi="Palatino Linotype"/>
          <w:i/>
          <w:sz w:val="22"/>
        </w:rPr>
        <w:t>VII.- Tener a su cargo la coordinación de la maquinaria, propiedad o a cargo del municipio y realizar el mantenimiento preventivo y correctivo de la misma;</w:t>
      </w:r>
    </w:p>
    <w:p w14:paraId="7463F33C" w14:textId="77777777" w:rsidR="0017418D" w:rsidRPr="006B7F0D" w:rsidRDefault="0017418D" w:rsidP="00FD1D6C">
      <w:pPr>
        <w:pBdr>
          <w:top w:val="nil"/>
          <w:left w:val="nil"/>
          <w:bottom w:val="nil"/>
          <w:right w:val="nil"/>
          <w:between w:val="nil"/>
        </w:pBdr>
        <w:ind w:left="567" w:right="48"/>
        <w:jc w:val="both"/>
        <w:rPr>
          <w:rFonts w:ascii="Palatino Linotype" w:hAnsi="Palatino Linotype"/>
          <w:i/>
          <w:sz w:val="22"/>
        </w:rPr>
      </w:pPr>
      <w:r w:rsidRPr="006B7F0D">
        <w:rPr>
          <w:rFonts w:ascii="Palatino Linotype" w:hAnsi="Palatino Linotype"/>
          <w:i/>
          <w:sz w:val="22"/>
        </w:rPr>
        <w:t xml:space="preserve">VIII.- Por conducto del Departamento de Bacheo y Balizamiento, coordinará el mantenimiento de calles conforme a las atribuciones siguientes: </w:t>
      </w:r>
    </w:p>
    <w:p w14:paraId="2E487633" w14:textId="77777777" w:rsidR="0017418D" w:rsidRPr="006B7F0D" w:rsidRDefault="0017418D" w:rsidP="00FD1D6C">
      <w:pPr>
        <w:pBdr>
          <w:top w:val="nil"/>
          <w:left w:val="nil"/>
          <w:bottom w:val="nil"/>
          <w:right w:val="nil"/>
          <w:between w:val="nil"/>
        </w:pBdr>
        <w:ind w:left="567" w:right="48"/>
        <w:jc w:val="both"/>
        <w:rPr>
          <w:rFonts w:ascii="Palatino Linotype" w:hAnsi="Palatino Linotype"/>
          <w:i/>
          <w:sz w:val="22"/>
        </w:rPr>
      </w:pPr>
      <w:r w:rsidRPr="006B7F0D">
        <w:rPr>
          <w:rFonts w:ascii="Palatino Linotype" w:hAnsi="Palatino Linotype"/>
          <w:i/>
          <w:sz w:val="22"/>
        </w:rPr>
        <w:t xml:space="preserve">a).- Ejecutar los trabajos que tengan por objeto la nivelación y conformación de calles y avenidas de uso común; </w:t>
      </w:r>
    </w:p>
    <w:p w14:paraId="1F2FBA62" w14:textId="77777777" w:rsidR="00FD1D6C" w:rsidRPr="006B7F0D" w:rsidRDefault="0017418D" w:rsidP="00FD1D6C">
      <w:pPr>
        <w:pBdr>
          <w:top w:val="nil"/>
          <w:left w:val="nil"/>
          <w:bottom w:val="nil"/>
          <w:right w:val="nil"/>
          <w:between w:val="nil"/>
        </w:pBdr>
        <w:ind w:left="567" w:right="48"/>
        <w:jc w:val="both"/>
        <w:rPr>
          <w:rFonts w:ascii="Palatino Linotype" w:hAnsi="Palatino Linotype"/>
          <w:i/>
          <w:sz w:val="22"/>
        </w:rPr>
      </w:pPr>
      <w:r w:rsidRPr="006B7F0D">
        <w:rPr>
          <w:rFonts w:ascii="Palatino Linotype" w:hAnsi="Palatino Linotype"/>
          <w:i/>
          <w:sz w:val="22"/>
        </w:rPr>
        <w:t xml:space="preserve">b).- Ejecutar los trabajos que tengan por objeto el traslado de materiales o bienes muebles que por su naturaleza, o por disposición de ley, estén destinados a un servicio público o uso común; </w:t>
      </w:r>
    </w:p>
    <w:p w14:paraId="5CB92E84" w14:textId="41B84F64" w:rsidR="0017418D" w:rsidRPr="006B7F0D" w:rsidRDefault="0017418D" w:rsidP="00FD1D6C">
      <w:pPr>
        <w:pBdr>
          <w:top w:val="nil"/>
          <w:left w:val="nil"/>
          <w:bottom w:val="nil"/>
          <w:right w:val="nil"/>
          <w:between w:val="nil"/>
        </w:pBdr>
        <w:ind w:left="567" w:right="48"/>
        <w:jc w:val="both"/>
        <w:rPr>
          <w:rFonts w:ascii="Palatino Linotype" w:hAnsi="Palatino Linotype"/>
          <w:i/>
          <w:sz w:val="22"/>
        </w:rPr>
      </w:pPr>
      <w:r w:rsidRPr="006B7F0D">
        <w:rPr>
          <w:rFonts w:ascii="Palatino Linotype" w:hAnsi="Palatino Linotype"/>
          <w:i/>
          <w:sz w:val="22"/>
        </w:rPr>
        <w:t xml:space="preserve">c).- Administrar y supervisar los camiones de volteo que tenga a su cargo, con la </w:t>
      </w:r>
      <w:r w:rsidR="00FD1D6C" w:rsidRPr="006B7F0D">
        <w:rPr>
          <w:rFonts w:ascii="Palatino Linotype" w:hAnsi="Palatino Linotype"/>
          <w:i/>
          <w:sz w:val="22"/>
        </w:rPr>
        <w:t>finalidad</w:t>
      </w:r>
      <w:r w:rsidRPr="006B7F0D">
        <w:rPr>
          <w:rFonts w:ascii="Palatino Linotype" w:hAnsi="Palatino Linotype"/>
          <w:i/>
          <w:sz w:val="22"/>
        </w:rPr>
        <w:t xml:space="preserve"> de que siempre estén en buenas condiciones de funcionamiento; </w:t>
      </w:r>
    </w:p>
    <w:p w14:paraId="1903C690" w14:textId="77777777" w:rsidR="0017418D" w:rsidRPr="006B7F0D" w:rsidRDefault="0017418D" w:rsidP="00FD1D6C">
      <w:pPr>
        <w:pBdr>
          <w:top w:val="nil"/>
          <w:left w:val="nil"/>
          <w:bottom w:val="nil"/>
          <w:right w:val="nil"/>
          <w:between w:val="nil"/>
        </w:pBdr>
        <w:ind w:left="567" w:right="48"/>
        <w:jc w:val="both"/>
        <w:rPr>
          <w:rFonts w:ascii="Palatino Linotype" w:hAnsi="Palatino Linotype"/>
          <w:i/>
          <w:sz w:val="22"/>
        </w:rPr>
      </w:pPr>
      <w:r w:rsidRPr="006B7F0D">
        <w:rPr>
          <w:rFonts w:ascii="Palatino Linotype" w:hAnsi="Palatino Linotype"/>
          <w:i/>
          <w:sz w:val="22"/>
        </w:rPr>
        <w:t xml:space="preserve">d).- Presentar un informe mensual al Ejecutivo Municipal, sobre la situación que guardan los vehículos y maquinaria a su cargo, así como de los trabajos realizados; y </w:t>
      </w:r>
    </w:p>
    <w:p w14:paraId="36FC5926" w14:textId="77777777" w:rsidR="0017418D" w:rsidRPr="006B7F0D" w:rsidRDefault="0017418D" w:rsidP="00FD1D6C">
      <w:pPr>
        <w:pBdr>
          <w:top w:val="nil"/>
          <w:left w:val="nil"/>
          <w:bottom w:val="nil"/>
          <w:right w:val="nil"/>
          <w:between w:val="nil"/>
        </w:pBdr>
        <w:ind w:left="567" w:right="48"/>
        <w:jc w:val="both"/>
        <w:rPr>
          <w:rFonts w:ascii="Palatino Linotype" w:hAnsi="Palatino Linotype"/>
          <w:i/>
          <w:sz w:val="22"/>
        </w:rPr>
      </w:pPr>
      <w:r w:rsidRPr="006B7F0D">
        <w:rPr>
          <w:rFonts w:ascii="Palatino Linotype" w:hAnsi="Palatino Linotype"/>
          <w:i/>
          <w:sz w:val="22"/>
        </w:rPr>
        <w:lastRenderedPageBreak/>
        <w:t xml:space="preserve">e).- Realizar las demás actividades que se deriven de la naturaleza de su cargo o las que le sean encomendadas por la Dirección. </w:t>
      </w:r>
    </w:p>
    <w:p w14:paraId="15AED6B7" w14:textId="7613C7EB" w:rsidR="0017418D" w:rsidRPr="006B7F0D" w:rsidRDefault="0017418D" w:rsidP="00FD1D6C">
      <w:pPr>
        <w:pBdr>
          <w:top w:val="nil"/>
          <w:left w:val="nil"/>
          <w:bottom w:val="nil"/>
          <w:right w:val="nil"/>
          <w:between w:val="nil"/>
        </w:pBdr>
        <w:ind w:left="567" w:right="48"/>
        <w:jc w:val="both"/>
        <w:rPr>
          <w:rFonts w:ascii="Palatino Linotype" w:eastAsia="Palatino Linotype" w:hAnsi="Palatino Linotype" w:cs="Palatino Linotype"/>
          <w:i/>
          <w:color w:val="000000"/>
          <w:sz w:val="20"/>
          <w:szCs w:val="20"/>
        </w:rPr>
      </w:pPr>
      <w:r w:rsidRPr="006B7F0D">
        <w:rPr>
          <w:rFonts w:ascii="Palatino Linotype" w:hAnsi="Palatino Linotype"/>
          <w:i/>
          <w:sz w:val="22"/>
        </w:rPr>
        <w:t>IX.- Las demás que le confieran los ordenamientos legales en la materia y las que le asigne la Presidenta.</w:t>
      </w:r>
      <w:r w:rsidR="00FD1D6C" w:rsidRPr="006B7F0D">
        <w:rPr>
          <w:rFonts w:ascii="Palatino Linotype" w:hAnsi="Palatino Linotype"/>
          <w:i/>
          <w:sz w:val="22"/>
        </w:rPr>
        <w:t>”</w:t>
      </w:r>
    </w:p>
    <w:p w14:paraId="4487D336" w14:textId="77777777" w:rsidR="009D0EA8" w:rsidRPr="006B7F0D" w:rsidRDefault="009D0EA8" w:rsidP="005043A9">
      <w:pPr>
        <w:spacing w:line="360" w:lineRule="auto"/>
        <w:ind w:right="539"/>
        <w:jc w:val="both"/>
        <w:rPr>
          <w:rFonts w:ascii="Palatino Linotype" w:hAnsi="Palatino Linotype"/>
          <w:i/>
          <w:sz w:val="22"/>
          <w:szCs w:val="22"/>
        </w:rPr>
      </w:pPr>
    </w:p>
    <w:p w14:paraId="3F55AF09" w14:textId="5B903E8A" w:rsidR="00811D5F" w:rsidRPr="006B7F0D" w:rsidRDefault="00E223B2" w:rsidP="00700B22">
      <w:pPr>
        <w:numPr>
          <w:ilvl w:val="0"/>
          <w:numId w:val="4"/>
        </w:numPr>
        <w:pBdr>
          <w:top w:val="nil"/>
          <w:left w:val="nil"/>
          <w:bottom w:val="nil"/>
          <w:right w:val="nil"/>
          <w:between w:val="nil"/>
        </w:pBdr>
        <w:spacing w:line="360" w:lineRule="auto"/>
        <w:ind w:left="0" w:right="48" w:firstLine="0"/>
        <w:jc w:val="both"/>
        <w:rPr>
          <w:rFonts w:ascii="Palatino Linotype" w:eastAsia="Palatino Linotype" w:hAnsi="Palatino Linotype" w:cs="Palatino Linotype"/>
          <w:color w:val="000000"/>
          <w:sz w:val="22"/>
          <w:szCs w:val="22"/>
        </w:rPr>
      </w:pPr>
      <w:r w:rsidRPr="006B7F0D">
        <w:rPr>
          <w:rFonts w:ascii="Palatino Linotype" w:eastAsia="Palatino Linotype" w:hAnsi="Palatino Linotype" w:cs="Palatino Linotype"/>
          <w:color w:val="000000"/>
          <w:sz w:val="22"/>
          <w:szCs w:val="22"/>
        </w:rPr>
        <w:t>No obstante</w:t>
      </w:r>
      <w:r w:rsidR="00811D5F" w:rsidRPr="006B7F0D">
        <w:rPr>
          <w:rFonts w:ascii="Palatino Linotype" w:eastAsia="Palatino Linotype" w:hAnsi="Palatino Linotype" w:cs="Palatino Linotype"/>
          <w:color w:val="000000"/>
          <w:sz w:val="22"/>
          <w:szCs w:val="22"/>
        </w:rPr>
        <w:t xml:space="preserve">, se </w:t>
      </w:r>
      <w:r w:rsidR="00FD1D6C" w:rsidRPr="006B7F0D">
        <w:rPr>
          <w:rFonts w:ascii="Palatino Linotype" w:eastAsia="Palatino Linotype" w:hAnsi="Palatino Linotype" w:cs="Palatino Linotype"/>
          <w:color w:val="000000"/>
          <w:sz w:val="22"/>
          <w:szCs w:val="22"/>
        </w:rPr>
        <w:t>insiste</w:t>
      </w:r>
      <w:r w:rsidR="00811D5F" w:rsidRPr="006B7F0D">
        <w:rPr>
          <w:rFonts w:ascii="Palatino Linotype" w:eastAsia="Palatino Linotype" w:hAnsi="Palatino Linotype" w:cs="Palatino Linotype"/>
          <w:color w:val="000000"/>
          <w:sz w:val="22"/>
          <w:szCs w:val="22"/>
        </w:rPr>
        <w:t xml:space="preserve"> que, </w:t>
      </w:r>
      <w:r w:rsidR="00FD1D6C" w:rsidRPr="006B7F0D">
        <w:rPr>
          <w:rFonts w:ascii="Palatino Linotype" w:eastAsia="Palatino Linotype" w:hAnsi="Palatino Linotype" w:cs="Palatino Linotype"/>
          <w:color w:val="000000"/>
          <w:sz w:val="22"/>
          <w:szCs w:val="22"/>
        </w:rPr>
        <w:t>si bien el Servidor Público Habilitado competente refirió proporcionar lo solicitado por medio de un</w:t>
      </w:r>
      <w:r w:rsidRPr="006B7F0D">
        <w:rPr>
          <w:rFonts w:ascii="Palatino Linotype" w:eastAsia="Palatino Linotype" w:hAnsi="Palatino Linotype" w:cs="Palatino Linotype"/>
          <w:color w:val="000000"/>
          <w:sz w:val="22"/>
          <w:szCs w:val="22"/>
        </w:rPr>
        <w:t xml:space="preserve"> </w:t>
      </w:r>
      <w:r w:rsidR="00811D5F" w:rsidRPr="006B7F0D">
        <w:rPr>
          <w:rFonts w:ascii="Palatino Linotype" w:eastAsia="Palatino Linotype" w:hAnsi="Palatino Linotype" w:cs="Palatino Linotype"/>
          <w:color w:val="000000"/>
          <w:sz w:val="22"/>
          <w:szCs w:val="22"/>
        </w:rPr>
        <w:t>link,</w:t>
      </w:r>
      <w:r w:rsidR="00FD1D6C" w:rsidRPr="006B7F0D">
        <w:rPr>
          <w:rFonts w:ascii="Palatino Linotype" w:eastAsia="Palatino Linotype" w:hAnsi="Palatino Linotype" w:cs="Palatino Linotype"/>
          <w:color w:val="000000"/>
          <w:sz w:val="22"/>
          <w:szCs w:val="22"/>
        </w:rPr>
        <w:t xml:space="preserve"> este</w:t>
      </w:r>
      <w:r w:rsidR="00811D5F" w:rsidRPr="006B7F0D">
        <w:rPr>
          <w:rFonts w:ascii="Palatino Linotype" w:eastAsia="Palatino Linotype" w:hAnsi="Palatino Linotype" w:cs="Palatino Linotype"/>
          <w:color w:val="000000"/>
          <w:sz w:val="22"/>
          <w:szCs w:val="22"/>
        </w:rPr>
        <w:t xml:space="preserve"> </w:t>
      </w:r>
      <w:r w:rsidRPr="006B7F0D">
        <w:rPr>
          <w:rFonts w:ascii="Palatino Linotype" w:eastAsia="Palatino Linotype" w:hAnsi="Palatino Linotype" w:cs="Palatino Linotype"/>
          <w:color w:val="000000"/>
          <w:sz w:val="22"/>
          <w:szCs w:val="22"/>
        </w:rPr>
        <w:t xml:space="preserve">no </w:t>
      </w:r>
      <w:r w:rsidR="00811D5F" w:rsidRPr="006B7F0D">
        <w:rPr>
          <w:rFonts w:ascii="Palatino Linotype" w:eastAsia="Palatino Linotype" w:hAnsi="Palatino Linotype" w:cs="Palatino Linotype"/>
          <w:color w:val="000000"/>
          <w:sz w:val="22"/>
          <w:szCs w:val="22"/>
        </w:rPr>
        <w:t xml:space="preserve">dirige </w:t>
      </w:r>
      <w:r w:rsidR="00FD1D6C" w:rsidRPr="006B7F0D">
        <w:rPr>
          <w:rFonts w:ascii="Palatino Linotype" w:eastAsia="Palatino Linotype" w:hAnsi="Palatino Linotype" w:cs="Palatino Linotype"/>
          <w:color w:val="000000"/>
          <w:sz w:val="22"/>
          <w:szCs w:val="22"/>
        </w:rPr>
        <w:t>a ningún tipo de información.</w:t>
      </w:r>
    </w:p>
    <w:p w14:paraId="18583AE4" w14:textId="77777777" w:rsidR="00FD1D6C" w:rsidRPr="006B7F0D" w:rsidRDefault="00FD1D6C" w:rsidP="00FD1D6C">
      <w:pPr>
        <w:pBdr>
          <w:top w:val="nil"/>
          <w:left w:val="nil"/>
          <w:bottom w:val="nil"/>
          <w:right w:val="nil"/>
          <w:between w:val="nil"/>
        </w:pBdr>
        <w:spacing w:line="360" w:lineRule="auto"/>
        <w:ind w:right="48"/>
        <w:jc w:val="both"/>
        <w:rPr>
          <w:rFonts w:ascii="Palatino Linotype" w:eastAsia="Palatino Linotype" w:hAnsi="Palatino Linotype" w:cs="Palatino Linotype"/>
          <w:color w:val="000000"/>
          <w:sz w:val="22"/>
          <w:szCs w:val="22"/>
        </w:rPr>
      </w:pPr>
    </w:p>
    <w:p w14:paraId="25FA99FE" w14:textId="77777777" w:rsidR="002B3E11" w:rsidRPr="006B7F0D" w:rsidRDefault="00811D5F">
      <w:pPr>
        <w:numPr>
          <w:ilvl w:val="0"/>
          <w:numId w:val="4"/>
        </w:numPr>
        <w:pBdr>
          <w:top w:val="nil"/>
          <w:left w:val="nil"/>
          <w:bottom w:val="nil"/>
          <w:right w:val="nil"/>
          <w:between w:val="nil"/>
        </w:pBdr>
        <w:spacing w:line="360" w:lineRule="auto"/>
        <w:ind w:left="0" w:right="48" w:firstLine="0"/>
        <w:jc w:val="both"/>
        <w:rPr>
          <w:rFonts w:ascii="Palatino Linotype" w:eastAsia="Palatino Linotype" w:hAnsi="Palatino Linotype" w:cs="Palatino Linotype"/>
          <w:color w:val="000000"/>
          <w:sz w:val="22"/>
          <w:szCs w:val="22"/>
        </w:rPr>
      </w:pPr>
      <w:r w:rsidRPr="006B7F0D">
        <w:rPr>
          <w:rFonts w:ascii="Palatino Linotype" w:eastAsia="Palatino Linotype" w:hAnsi="Palatino Linotype" w:cs="Palatino Linotype"/>
          <w:color w:val="000000"/>
          <w:sz w:val="22"/>
          <w:szCs w:val="22"/>
        </w:rPr>
        <w:t>En este sentido, resulta conveniente referir lo establecido en el artículo 161 de la citada Ley de Transparencia Local, mismo que se transcribe a continuación:</w:t>
      </w:r>
    </w:p>
    <w:p w14:paraId="19F27A65" w14:textId="77777777" w:rsidR="002B3E11" w:rsidRPr="006B7F0D" w:rsidRDefault="002B3E11">
      <w:pPr>
        <w:pBdr>
          <w:top w:val="nil"/>
          <w:left w:val="nil"/>
          <w:bottom w:val="nil"/>
          <w:right w:val="nil"/>
          <w:between w:val="nil"/>
        </w:pBdr>
        <w:spacing w:line="360" w:lineRule="auto"/>
        <w:ind w:right="48"/>
        <w:jc w:val="both"/>
        <w:rPr>
          <w:rFonts w:ascii="Palatino Linotype" w:eastAsia="Palatino Linotype" w:hAnsi="Palatino Linotype" w:cs="Palatino Linotype"/>
          <w:color w:val="000000"/>
          <w:sz w:val="22"/>
          <w:szCs w:val="22"/>
        </w:rPr>
      </w:pPr>
    </w:p>
    <w:p w14:paraId="064E355C" w14:textId="77777777" w:rsidR="002B3E11" w:rsidRPr="006B7F0D" w:rsidRDefault="00811D5F">
      <w:pPr>
        <w:pBdr>
          <w:top w:val="nil"/>
          <w:left w:val="nil"/>
          <w:bottom w:val="nil"/>
          <w:right w:val="nil"/>
          <w:between w:val="nil"/>
        </w:pBdr>
        <w:ind w:left="567" w:right="539"/>
        <w:jc w:val="both"/>
        <w:rPr>
          <w:rFonts w:ascii="Palatino Linotype" w:eastAsia="Palatino Linotype" w:hAnsi="Palatino Linotype" w:cs="Palatino Linotype"/>
          <w:i/>
          <w:color w:val="000000"/>
          <w:sz w:val="22"/>
          <w:szCs w:val="22"/>
        </w:rPr>
      </w:pPr>
      <w:r w:rsidRPr="006B7F0D">
        <w:rPr>
          <w:rFonts w:ascii="Palatino Linotype" w:eastAsia="Palatino Linotype" w:hAnsi="Palatino Linotype" w:cs="Palatino Linotype"/>
          <w:b/>
          <w:i/>
          <w:color w:val="000000"/>
          <w:sz w:val="22"/>
          <w:szCs w:val="22"/>
        </w:rPr>
        <w:t>Artículo 161. Cuando la información requerida por el solicitante ya esté disponible</w:t>
      </w:r>
      <w:r w:rsidRPr="006B7F0D">
        <w:rPr>
          <w:rFonts w:ascii="Palatino Linotype" w:eastAsia="Palatino Linotype" w:hAnsi="Palatino Linotype" w:cs="Palatino Linotype"/>
          <w:i/>
          <w:color w:val="000000"/>
          <w:sz w:val="22"/>
          <w:szCs w:val="22"/>
        </w:rPr>
        <w:t xml:space="preserve"> al público en medios impresos, tales como libros, compendios, trípticos, registros públicos, </w:t>
      </w:r>
      <w:r w:rsidRPr="006B7F0D">
        <w:rPr>
          <w:rFonts w:ascii="Palatino Linotype" w:eastAsia="Palatino Linotype" w:hAnsi="Palatino Linotype" w:cs="Palatino Linotype"/>
          <w:b/>
          <w:i/>
          <w:color w:val="000000"/>
          <w:sz w:val="22"/>
          <w:szCs w:val="22"/>
        </w:rPr>
        <w:t xml:space="preserve">en formatos electrónicos disponibles en Internet </w:t>
      </w:r>
      <w:r w:rsidRPr="006B7F0D">
        <w:rPr>
          <w:rFonts w:ascii="Palatino Linotype" w:eastAsia="Palatino Linotype" w:hAnsi="Palatino Linotype" w:cs="Palatino Linotype"/>
          <w:i/>
          <w:color w:val="000000"/>
          <w:sz w:val="22"/>
          <w:szCs w:val="22"/>
        </w:rPr>
        <w:t xml:space="preserve">o en cualquier otro medio, se le hará saber por el medio requerido por el solicitante la fuente, el lugar y la forma en que puede consultar, reproducir o adquirir dicha información </w:t>
      </w:r>
      <w:r w:rsidRPr="006B7F0D">
        <w:rPr>
          <w:rFonts w:ascii="Palatino Linotype" w:eastAsia="Palatino Linotype" w:hAnsi="Palatino Linotype" w:cs="Palatino Linotype"/>
          <w:b/>
          <w:i/>
          <w:color w:val="000000"/>
          <w:sz w:val="22"/>
          <w:szCs w:val="22"/>
        </w:rPr>
        <w:t>en un plazo no mayor a cinco días hábiles</w:t>
      </w:r>
      <w:r w:rsidRPr="006B7F0D">
        <w:rPr>
          <w:rFonts w:ascii="Palatino Linotype" w:eastAsia="Palatino Linotype" w:hAnsi="Palatino Linotype" w:cs="Palatino Linotype"/>
          <w:i/>
          <w:color w:val="000000"/>
          <w:sz w:val="22"/>
          <w:szCs w:val="22"/>
        </w:rPr>
        <w:t xml:space="preserve">. </w:t>
      </w:r>
      <w:r w:rsidRPr="006B7F0D">
        <w:rPr>
          <w:rFonts w:ascii="Palatino Linotype" w:eastAsia="Palatino Linotype" w:hAnsi="Palatino Linotype" w:cs="Palatino Linotype"/>
          <w:b/>
          <w:i/>
          <w:color w:val="000000"/>
          <w:sz w:val="22"/>
          <w:szCs w:val="22"/>
        </w:rPr>
        <w:t>La fuente deberá ser precisa y concreta y no debe implicar que el solicitante realice una búsqueda en toda la información que se encuentre disponible</w:t>
      </w:r>
      <w:r w:rsidRPr="006B7F0D">
        <w:rPr>
          <w:rFonts w:ascii="Palatino Linotype" w:eastAsia="Palatino Linotype" w:hAnsi="Palatino Linotype" w:cs="Palatino Linotype"/>
          <w:i/>
          <w:color w:val="000000"/>
          <w:sz w:val="22"/>
          <w:szCs w:val="22"/>
        </w:rPr>
        <w:t>.</w:t>
      </w:r>
    </w:p>
    <w:p w14:paraId="0161B489" w14:textId="77777777" w:rsidR="002B3E11" w:rsidRPr="006B7F0D" w:rsidRDefault="002B3E11">
      <w:pPr>
        <w:pBdr>
          <w:top w:val="nil"/>
          <w:left w:val="nil"/>
          <w:bottom w:val="nil"/>
          <w:right w:val="nil"/>
          <w:between w:val="nil"/>
        </w:pBdr>
        <w:spacing w:line="360" w:lineRule="auto"/>
        <w:ind w:right="48"/>
        <w:jc w:val="both"/>
        <w:rPr>
          <w:rFonts w:ascii="Palatino Linotype" w:eastAsia="Palatino Linotype" w:hAnsi="Palatino Linotype" w:cs="Palatino Linotype"/>
          <w:color w:val="000000"/>
          <w:sz w:val="22"/>
          <w:szCs w:val="22"/>
        </w:rPr>
      </w:pPr>
    </w:p>
    <w:p w14:paraId="1C57A265" w14:textId="77777777" w:rsidR="002B3E11" w:rsidRPr="006B7F0D" w:rsidRDefault="00811D5F">
      <w:pPr>
        <w:numPr>
          <w:ilvl w:val="0"/>
          <w:numId w:val="4"/>
        </w:numPr>
        <w:pBdr>
          <w:top w:val="nil"/>
          <w:left w:val="nil"/>
          <w:bottom w:val="nil"/>
          <w:right w:val="nil"/>
          <w:between w:val="nil"/>
        </w:pBdr>
        <w:spacing w:line="360" w:lineRule="auto"/>
        <w:ind w:left="0" w:right="48" w:firstLine="0"/>
        <w:jc w:val="both"/>
        <w:rPr>
          <w:rFonts w:ascii="Palatino Linotype" w:eastAsia="Palatino Linotype" w:hAnsi="Palatino Linotype" w:cs="Palatino Linotype"/>
          <w:b/>
          <w:color w:val="000000"/>
          <w:sz w:val="22"/>
          <w:szCs w:val="22"/>
        </w:rPr>
      </w:pPr>
      <w:r w:rsidRPr="006B7F0D">
        <w:rPr>
          <w:rFonts w:ascii="Palatino Linotype" w:eastAsia="Palatino Linotype" w:hAnsi="Palatino Linotype" w:cs="Palatino Linotype"/>
          <w:color w:val="000000"/>
          <w:sz w:val="22"/>
          <w:szCs w:val="22"/>
        </w:rPr>
        <w:t xml:space="preserve">Es así que, toda aquella información que sea requerida por los Particulares pero que, previamente se encuentre disponible en sitios electrónicos, como puede ser de manera enunciativa más no limitativa, el sitio oficial del </w:t>
      </w:r>
      <w:r w:rsidRPr="006B7F0D">
        <w:rPr>
          <w:rFonts w:ascii="Palatino Linotype" w:eastAsia="Palatino Linotype" w:hAnsi="Palatino Linotype" w:cs="Palatino Linotype"/>
          <w:b/>
          <w:color w:val="000000"/>
          <w:sz w:val="22"/>
          <w:szCs w:val="22"/>
        </w:rPr>
        <w:t>SUJETO OBLIGADO</w:t>
      </w:r>
      <w:r w:rsidRPr="006B7F0D">
        <w:rPr>
          <w:rFonts w:ascii="Palatino Linotype" w:eastAsia="Palatino Linotype" w:hAnsi="Palatino Linotype" w:cs="Palatino Linotype"/>
          <w:color w:val="000000"/>
          <w:sz w:val="22"/>
          <w:szCs w:val="22"/>
        </w:rPr>
        <w:t xml:space="preserve"> o el </w:t>
      </w:r>
      <w:r w:rsidRPr="006B7F0D">
        <w:rPr>
          <w:rFonts w:ascii="Palatino Linotype" w:eastAsia="Palatino Linotype" w:hAnsi="Palatino Linotype" w:cs="Palatino Linotype"/>
          <w:b/>
          <w:color w:val="000000"/>
          <w:sz w:val="22"/>
          <w:szCs w:val="22"/>
        </w:rPr>
        <w:t>portal IPOMEX o las páginas institucionales.</w:t>
      </w:r>
      <w:r w:rsidRPr="006B7F0D">
        <w:rPr>
          <w:rFonts w:ascii="Palatino Linotype" w:eastAsia="Palatino Linotype" w:hAnsi="Palatino Linotype" w:cs="Palatino Linotype"/>
          <w:color w:val="000000"/>
          <w:sz w:val="22"/>
          <w:szCs w:val="22"/>
        </w:rPr>
        <w:t xml:space="preserve"> Los Sujetos Obligado pueden indicar la dirección electrónica donde obra la información solicitada, no obstante, </w:t>
      </w:r>
      <w:r w:rsidRPr="006B7F0D">
        <w:rPr>
          <w:rFonts w:ascii="Palatino Linotype" w:eastAsia="Palatino Linotype" w:hAnsi="Palatino Linotype" w:cs="Palatino Linotype"/>
          <w:b/>
          <w:color w:val="000000"/>
          <w:sz w:val="22"/>
          <w:szCs w:val="22"/>
        </w:rPr>
        <w:t>esta dirección electrónica debe ser precisa, de tal modo que no implique realizar una búsqueda en toda la información que ahí se encuentre. Además, debe ir acompañada del procedimiento a seguir, en caso de que la información se encuentre en distintos puntos del sitio electrónico referido.</w:t>
      </w:r>
    </w:p>
    <w:p w14:paraId="68FDC020" w14:textId="77777777" w:rsidR="002B3E11" w:rsidRPr="006B7F0D" w:rsidRDefault="002B3E11">
      <w:pPr>
        <w:pBdr>
          <w:top w:val="nil"/>
          <w:left w:val="nil"/>
          <w:bottom w:val="nil"/>
          <w:right w:val="nil"/>
          <w:between w:val="nil"/>
        </w:pBdr>
        <w:spacing w:line="360" w:lineRule="auto"/>
        <w:ind w:right="48"/>
        <w:jc w:val="both"/>
        <w:rPr>
          <w:rFonts w:ascii="Palatino Linotype" w:eastAsia="Palatino Linotype" w:hAnsi="Palatino Linotype" w:cs="Palatino Linotype"/>
          <w:color w:val="000000"/>
          <w:sz w:val="22"/>
          <w:szCs w:val="22"/>
        </w:rPr>
      </w:pPr>
    </w:p>
    <w:p w14:paraId="69C0833F" w14:textId="77777777" w:rsidR="002B3E11" w:rsidRPr="006B7F0D" w:rsidRDefault="00811D5F">
      <w:pPr>
        <w:numPr>
          <w:ilvl w:val="0"/>
          <w:numId w:val="4"/>
        </w:numPr>
        <w:pBdr>
          <w:top w:val="nil"/>
          <w:left w:val="nil"/>
          <w:bottom w:val="nil"/>
          <w:right w:val="nil"/>
          <w:between w:val="nil"/>
        </w:pBdr>
        <w:spacing w:line="360" w:lineRule="auto"/>
        <w:ind w:left="0" w:right="48" w:firstLine="0"/>
        <w:jc w:val="both"/>
        <w:rPr>
          <w:rFonts w:ascii="Palatino Linotype" w:eastAsia="Palatino Linotype" w:hAnsi="Palatino Linotype" w:cs="Palatino Linotype"/>
          <w:color w:val="000000"/>
          <w:sz w:val="22"/>
          <w:szCs w:val="22"/>
        </w:rPr>
      </w:pPr>
      <w:r w:rsidRPr="006B7F0D">
        <w:rPr>
          <w:rFonts w:ascii="Palatino Linotype" w:eastAsia="Palatino Linotype" w:hAnsi="Palatino Linotype" w:cs="Palatino Linotype"/>
          <w:color w:val="000000"/>
          <w:sz w:val="22"/>
          <w:szCs w:val="22"/>
        </w:rPr>
        <w:lastRenderedPageBreak/>
        <w:t xml:space="preserve">En este sentido, </w:t>
      </w:r>
      <w:r w:rsidRPr="006B7F0D">
        <w:rPr>
          <w:rFonts w:ascii="Palatino Linotype" w:eastAsia="Palatino Linotype" w:hAnsi="Palatino Linotype" w:cs="Palatino Linotype"/>
          <w:b/>
          <w:color w:val="000000"/>
          <w:sz w:val="22"/>
          <w:szCs w:val="22"/>
        </w:rPr>
        <w:t>la orientación</w:t>
      </w:r>
      <w:r w:rsidRPr="006B7F0D">
        <w:rPr>
          <w:rFonts w:ascii="Palatino Linotype" w:eastAsia="Palatino Linotype" w:hAnsi="Palatino Linotype" w:cs="Palatino Linotype"/>
          <w:color w:val="000000"/>
          <w:sz w:val="22"/>
          <w:szCs w:val="22"/>
        </w:rPr>
        <w:t xml:space="preserve"> que realicen los Sujetos Obligados a los sitios electrónicos para la consulta de la información </w:t>
      </w:r>
      <w:r w:rsidRPr="006B7F0D">
        <w:rPr>
          <w:rFonts w:ascii="Palatino Linotype" w:eastAsia="Palatino Linotype" w:hAnsi="Palatino Linotype" w:cs="Palatino Linotype"/>
          <w:b/>
          <w:color w:val="000000"/>
          <w:sz w:val="22"/>
          <w:szCs w:val="22"/>
        </w:rPr>
        <w:t>debe cumplir con las características de tiempo y forma.</w:t>
      </w:r>
    </w:p>
    <w:p w14:paraId="1977F489" w14:textId="77777777" w:rsidR="002B3E11" w:rsidRPr="006B7F0D" w:rsidRDefault="002B3E11">
      <w:pPr>
        <w:pBdr>
          <w:top w:val="nil"/>
          <w:left w:val="nil"/>
          <w:bottom w:val="nil"/>
          <w:right w:val="nil"/>
          <w:between w:val="nil"/>
        </w:pBdr>
        <w:spacing w:line="360" w:lineRule="auto"/>
        <w:ind w:right="48"/>
        <w:jc w:val="both"/>
        <w:rPr>
          <w:rFonts w:ascii="Palatino Linotype" w:eastAsia="Palatino Linotype" w:hAnsi="Palatino Linotype" w:cs="Palatino Linotype"/>
          <w:color w:val="000000"/>
          <w:sz w:val="22"/>
          <w:szCs w:val="22"/>
        </w:rPr>
      </w:pPr>
    </w:p>
    <w:p w14:paraId="29ECEDC8" w14:textId="007A749F" w:rsidR="002B3E11" w:rsidRPr="006B7F0D" w:rsidRDefault="00811D5F">
      <w:pPr>
        <w:numPr>
          <w:ilvl w:val="0"/>
          <w:numId w:val="4"/>
        </w:numPr>
        <w:pBdr>
          <w:top w:val="nil"/>
          <w:left w:val="nil"/>
          <w:bottom w:val="nil"/>
          <w:right w:val="nil"/>
          <w:between w:val="nil"/>
        </w:pBdr>
        <w:spacing w:line="360" w:lineRule="auto"/>
        <w:ind w:left="0" w:right="48" w:firstLine="0"/>
        <w:jc w:val="both"/>
        <w:rPr>
          <w:rFonts w:ascii="Palatino Linotype" w:eastAsia="Palatino Linotype" w:hAnsi="Palatino Linotype" w:cs="Palatino Linotype"/>
          <w:color w:val="000000"/>
          <w:sz w:val="22"/>
          <w:szCs w:val="22"/>
        </w:rPr>
      </w:pPr>
      <w:r w:rsidRPr="006B7F0D">
        <w:rPr>
          <w:rFonts w:ascii="Palatino Linotype" w:eastAsia="Palatino Linotype" w:hAnsi="Palatino Linotype" w:cs="Palatino Linotype"/>
          <w:color w:val="000000"/>
          <w:sz w:val="22"/>
          <w:szCs w:val="22"/>
        </w:rPr>
        <w:t xml:space="preserve">Y, para que la orientación se encuentre en tiempo, debe realizarse en un plazo no mayor a cinco días hábiles. En este caso, el </w:t>
      </w:r>
      <w:r w:rsidRPr="006B7F0D">
        <w:rPr>
          <w:rFonts w:ascii="Palatino Linotype" w:eastAsia="Palatino Linotype" w:hAnsi="Palatino Linotype" w:cs="Palatino Linotype"/>
          <w:b/>
          <w:color w:val="000000"/>
          <w:sz w:val="22"/>
          <w:szCs w:val="22"/>
        </w:rPr>
        <w:t>RECURRENTE</w:t>
      </w:r>
      <w:r w:rsidRPr="006B7F0D">
        <w:rPr>
          <w:rFonts w:ascii="Palatino Linotype" w:eastAsia="Palatino Linotype" w:hAnsi="Palatino Linotype" w:cs="Palatino Linotype"/>
          <w:color w:val="000000"/>
          <w:sz w:val="22"/>
          <w:szCs w:val="22"/>
        </w:rPr>
        <w:t xml:space="preserve"> presentó su solicitud el </w:t>
      </w:r>
      <w:r w:rsidR="009D0EA8" w:rsidRPr="006B7F0D">
        <w:rPr>
          <w:rFonts w:ascii="Palatino Linotype" w:eastAsia="Palatino Linotype" w:hAnsi="Palatino Linotype" w:cs="Palatino Linotype"/>
          <w:color w:val="000000"/>
          <w:sz w:val="22"/>
          <w:szCs w:val="22"/>
        </w:rPr>
        <w:t>cinco de noviembre de dos mil veinticuatro</w:t>
      </w:r>
      <w:r w:rsidRPr="006B7F0D">
        <w:rPr>
          <w:rFonts w:ascii="Palatino Linotype" w:eastAsia="Palatino Linotype" w:hAnsi="Palatino Linotype" w:cs="Palatino Linotype"/>
          <w:color w:val="000000"/>
          <w:sz w:val="22"/>
          <w:szCs w:val="22"/>
        </w:rPr>
        <w:t xml:space="preserve">, por lo que, el plazo de cinco días hábiles para señalar los sitios electrónicos en donde obra la información transcurrió del </w:t>
      </w:r>
      <w:r w:rsidR="009D0EA8" w:rsidRPr="006B7F0D">
        <w:rPr>
          <w:rFonts w:ascii="Palatino Linotype" w:eastAsia="Palatino Linotype" w:hAnsi="Palatino Linotype" w:cs="Palatino Linotype"/>
          <w:b/>
          <w:color w:val="000000"/>
          <w:sz w:val="22"/>
          <w:szCs w:val="22"/>
        </w:rPr>
        <w:t>seis</w:t>
      </w:r>
      <w:r w:rsidRPr="006B7F0D">
        <w:rPr>
          <w:rFonts w:ascii="Palatino Linotype" w:eastAsia="Palatino Linotype" w:hAnsi="Palatino Linotype" w:cs="Palatino Linotype"/>
          <w:b/>
          <w:color w:val="000000"/>
          <w:sz w:val="22"/>
          <w:szCs w:val="22"/>
        </w:rPr>
        <w:t xml:space="preserve"> al </w:t>
      </w:r>
      <w:r w:rsidR="009D0EA8" w:rsidRPr="006B7F0D">
        <w:rPr>
          <w:rFonts w:ascii="Palatino Linotype" w:eastAsia="Palatino Linotype" w:hAnsi="Palatino Linotype" w:cs="Palatino Linotype"/>
          <w:b/>
          <w:color w:val="000000"/>
          <w:sz w:val="22"/>
          <w:szCs w:val="22"/>
        </w:rPr>
        <w:t>doce de noviembre</w:t>
      </w:r>
      <w:r w:rsidRPr="006B7F0D">
        <w:rPr>
          <w:rFonts w:ascii="Palatino Linotype" w:eastAsia="Palatino Linotype" w:hAnsi="Palatino Linotype" w:cs="Palatino Linotype"/>
          <w:b/>
          <w:color w:val="000000"/>
          <w:sz w:val="22"/>
          <w:szCs w:val="22"/>
        </w:rPr>
        <w:t xml:space="preserve"> de dos mil veintitrés</w:t>
      </w:r>
      <w:r w:rsidRPr="006B7F0D">
        <w:rPr>
          <w:rFonts w:ascii="Palatino Linotype" w:eastAsia="Palatino Linotype" w:hAnsi="Palatino Linotype" w:cs="Palatino Linotype"/>
          <w:color w:val="000000"/>
          <w:sz w:val="22"/>
          <w:szCs w:val="22"/>
        </w:rPr>
        <w:t xml:space="preserve">, en relación al calendario oficial emitido por el Instituto de Transparencia, Protección de Datos y Acceso a la Información Pública del Estado de México y Municipios; en este caso, el </w:t>
      </w:r>
      <w:r w:rsidR="009D0EA8" w:rsidRPr="006B7F0D">
        <w:rPr>
          <w:rFonts w:ascii="Palatino Linotype" w:eastAsia="Palatino Linotype" w:hAnsi="Palatino Linotype" w:cs="Palatino Linotype"/>
          <w:b/>
          <w:color w:val="000000"/>
          <w:sz w:val="22"/>
          <w:szCs w:val="22"/>
        </w:rPr>
        <w:t>SUJETO OBLIGADO</w:t>
      </w:r>
      <w:r w:rsidR="009D0EA8" w:rsidRPr="006B7F0D">
        <w:rPr>
          <w:rFonts w:ascii="Palatino Linotype" w:eastAsia="Palatino Linotype" w:hAnsi="Palatino Linotype" w:cs="Palatino Linotype"/>
          <w:color w:val="000000"/>
          <w:sz w:val="22"/>
          <w:szCs w:val="22"/>
        </w:rPr>
        <w:t xml:space="preserve"> </w:t>
      </w:r>
      <w:r w:rsidRPr="006B7F0D">
        <w:rPr>
          <w:rFonts w:ascii="Palatino Linotype" w:eastAsia="Palatino Linotype" w:hAnsi="Palatino Linotype" w:cs="Palatino Linotype"/>
          <w:color w:val="000000"/>
          <w:sz w:val="22"/>
          <w:szCs w:val="22"/>
        </w:rPr>
        <w:t xml:space="preserve">dio respuesta el </w:t>
      </w:r>
      <w:r w:rsidR="009D0EA8" w:rsidRPr="006B7F0D">
        <w:rPr>
          <w:rFonts w:ascii="Palatino Linotype" w:eastAsia="Palatino Linotype" w:hAnsi="Palatino Linotype" w:cs="Palatino Linotype"/>
          <w:b/>
          <w:color w:val="000000"/>
          <w:sz w:val="22"/>
          <w:szCs w:val="22"/>
        </w:rPr>
        <w:t>veintiséis de noviembre de dos mil veinticuatro</w:t>
      </w:r>
      <w:r w:rsidRPr="006B7F0D">
        <w:rPr>
          <w:rFonts w:ascii="Palatino Linotype" w:eastAsia="Palatino Linotype" w:hAnsi="Palatino Linotype" w:cs="Palatino Linotype"/>
          <w:color w:val="000000"/>
          <w:sz w:val="22"/>
          <w:szCs w:val="22"/>
        </w:rPr>
        <w:t>, por lo que evidentemente no se encuentra en el plazo que señala la normatividad en materia.</w:t>
      </w:r>
    </w:p>
    <w:p w14:paraId="016AEC79" w14:textId="77777777" w:rsidR="002B3E11" w:rsidRPr="006B7F0D" w:rsidRDefault="002B3E11">
      <w:pPr>
        <w:pBdr>
          <w:top w:val="nil"/>
          <w:left w:val="nil"/>
          <w:bottom w:val="nil"/>
          <w:right w:val="nil"/>
          <w:between w:val="nil"/>
        </w:pBdr>
        <w:spacing w:line="360" w:lineRule="auto"/>
        <w:ind w:right="48"/>
        <w:jc w:val="both"/>
        <w:rPr>
          <w:rFonts w:ascii="Palatino Linotype" w:eastAsia="Palatino Linotype" w:hAnsi="Palatino Linotype" w:cs="Palatino Linotype"/>
          <w:color w:val="000000"/>
          <w:sz w:val="22"/>
          <w:szCs w:val="22"/>
        </w:rPr>
      </w:pPr>
    </w:p>
    <w:p w14:paraId="7DFE9720" w14:textId="77777777" w:rsidR="002B3E11" w:rsidRPr="006B7F0D" w:rsidRDefault="00811D5F">
      <w:pPr>
        <w:numPr>
          <w:ilvl w:val="0"/>
          <w:numId w:val="4"/>
        </w:numPr>
        <w:pBdr>
          <w:top w:val="nil"/>
          <w:left w:val="nil"/>
          <w:bottom w:val="nil"/>
          <w:right w:val="nil"/>
          <w:between w:val="nil"/>
        </w:pBdr>
        <w:tabs>
          <w:tab w:val="left" w:pos="851"/>
        </w:tabs>
        <w:spacing w:line="360" w:lineRule="auto"/>
        <w:ind w:left="0" w:right="49" w:firstLine="0"/>
        <w:jc w:val="both"/>
        <w:rPr>
          <w:rFonts w:ascii="Palatino Linotype" w:eastAsia="Palatino Linotype" w:hAnsi="Palatino Linotype" w:cs="Palatino Linotype"/>
          <w:color w:val="000000"/>
          <w:sz w:val="22"/>
          <w:szCs w:val="22"/>
        </w:rPr>
      </w:pPr>
      <w:r w:rsidRPr="006B7F0D">
        <w:rPr>
          <w:rFonts w:ascii="Palatino Linotype" w:eastAsia="Palatino Linotype" w:hAnsi="Palatino Linotype" w:cs="Palatino Linotype"/>
          <w:color w:val="000000"/>
          <w:sz w:val="22"/>
          <w:szCs w:val="22"/>
        </w:rPr>
        <w:t xml:space="preserve">Por otro lado, el </w:t>
      </w:r>
      <w:r w:rsidRPr="006B7F0D">
        <w:rPr>
          <w:rFonts w:ascii="Palatino Linotype" w:eastAsia="Palatino Linotype" w:hAnsi="Palatino Linotype" w:cs="Palatino Linotype"/>
          <w:b/>
          <w:color w:val="000000"/>
          <w:sz w:val="22"/>
          <w:szCs w:val="22"/>
        </w:rPr>
        <w:t>SUJETO OBLIGADO</w:t>
      </w:r>
      <w:r w:rsidRPr="006B7F0D">
        <w:rPr>
          <w:rFonts w:ascii="Palatino Linotype" w:eastAsia="Palatino Linotype" w:hAnsi="Palatino Linotype" w:cs="Palatino Linotype"/>
          <w:color w:val="000000"/>
          <w:sz w:val="22"/>
          <w:szCs w:val="22"/>
        </w:rPr>
        <w:t xml:space="preserve"> </w:t>
      </w:r>
      <w:r w:rsidRPr="006B7F0D">
        <w:rPr>
          <w:rFonts w:ascii="Palatino Linotype" w:eastAsia="Palatino Linotype" w:hAnsi="Palatino Linotype" w:cs="Palatino Linotype"/>
          <w:b/>
          <w:color w:val="000000"/>
          <w:sz w:val="22"/>
          <w:szCs w:val="22"/>
        </w:rPr>
        <w:t xml:space="preserve">no refirió el procedimiento para acceder a la información precisa, </w:t>
      </w:r>
      <w:r w:rsidRPr="006B7F0D">
        <w:rPr>
          <w:rFonts w:ascii="Palatino Linotype" w:eastAsia="Palatino Linotype" w:hAnsi="Palatino Linotype" w:cs="Palatino Linotype"/>
          <w:color w:val="000000"/>
          <w:sz w:val="22"/>
          <w:szCs w:val="22"/>
        </w:rPr>
        <w:t xml:space="preserve">por lo tanto, no se cumple el requisito de forma establecido por la Ley en la materia. Por tal motivo, las razones y motivos de inconformidad vertidos por el </w:t>
      </w:r>
      <w:r w:rsidRPr="006B7F0D">
        <w:rPr>
          <w:rFonts w:ascii="Palatino Linotype" w:eastAsia="Palatino Linotype" w:hAnsi="Palatino Linotype" w:cs="Palatino Linotype"/>
          <w:b/>
          <w:color w:val="000000"/>
          <w:sz w:val="22"/>
          <w:szCs w:val="22"/>
        </w:rPr>
        <w:t xml:space="preserve">RECURRENTE </w:t>
      </w:r>
      <w:r w:rsidRPr="006B7F0D">
        <w:rPr>
          <w:rFonts w:ascii="Palatino Linotype" w:eastAsia="Palatino Linotype" w:hAnsi="Palatino Linotype" w:cs="Palatino Linotype"/>
          <w:color w:val="000000"/>
          <w:sz w:val="22"/>
          <w:szCs w:val="22"/>
        </w:rPr>
        <w:t xml:space="preserve">en el presente recurso de revisión resultan fundados. </w:t>
      </w:r>
    </w:p>
    <w:p w14:paraId="2AF8972C" w14:textId="77777777" w:rsidR="002B3E11" w:rsidRPr="006B7F0D" w:rsidRDefault="002B3E11">
      <w:pPr>
        <w:pBdr>
          <w:top w:val="nil"/>
          <w:left w:val="nil"/>
          <w:bottom w:val="nil"/>
          <w:right w:val="nil"/>
          <w:between w:val="nil"/>
        </w:pBdr>
        <w:spacing w:line="360" w:lineRule="auto"/>
        <w:ind w:right="48"/>
        <w:jc w:val="both"/>
        <w:rPr>
          <w:rFonts w:ascii="Palatino Linotype" w:eastAsia="Palatino Linotype" w:hAnsi="Palatino Linotype" w:cs="Palatino Linotype"/>
          <w:color w:val="000000"/>
          <w:sz w:val="22"/>
          <w:szCs w:val="22"/>
        </w:rPr>
      </w:pPr>
    </w:p>
    <w:p w14:paraId="1DCC2B42" w14:textId="77777777" w:rsidR="002B3E11" w:rsidRPr="006B7F0D" w:rsidRDefault="00811D5F">
      <w:pPr>
        <w:numPr>
          <w:ilvl w:val="0"/>
          <w:numId w:val="4"/>
        </w:numPr>
        <w:pBdr>
          <w:top w:val="nil"/>
          <w:left w:val="nil"/>
          <w:bottom w:val="nil"/>
          <w:right w:val="nil"/>
          <w:between w:val="nil"/>
        </w:pBdr>
        <w:spacing w:after="240" w:line="360" w:lineRule="auto"/>
        <w:ind w:left="0" w:right="48" w:firstLine="0"/>
        <w:jc w:val="both"/>
        <w:rPr>
          <w:rFonts w:ascii="Palatino Linotype" w:eastAsia="Palatino Linotype" w:hAnsi="Palatino Linotype" w:cs="Palatino Linotype"/>
          <w:color w:val="000000"/>
          <w:sz w:val="22"/>
          <w:szCs w:val="22"/>
        </w:rPr>
      </w:pPr>
      <w:bookmarkStart w:id="12" w:name="_heading=h.3rdcrjn" w:colFirst="0" w:colLast="0"/>
      <w:bookmarkEnd w:id="12"/>
      <w:r w:rsidRPr="006B7F0D">
        <w:rPr>
          <w:rFonts w:ascii="Palatino Linotype" w:eastAsia="Palatino Linotype" w:hAnsi="Palatino Linotype" w:cs="Palatino Linotype"/>
          <w:color w:val="000000"/>
          <w:sz w:val="22"/>
          <w:szCs w:val="22"/>
        </w:rPr>
        <w:t xml:space="preserve">En consecuencia, no es posible tener por atendido el requerimiento con la entrega de la liga electrónica, pues los enlaces no permiten acceder a la información solicitada; razón por la cual, será necesario que el </w:t>
      </w:r>
      <w:r w:rsidRPr="006B7F0D">
        <w:rPr>
          <w:rFonts w:ascii="Palatino Linotype" w:eastAsia="Palatino Linotype" w:hAnsi="Palatino Linotype" w:cs="Palatino Linotype"/>
          <w:b/>
          <w:color w:val="000000"/>
          <w:sz w:val="22"/>
          <w:szCs w:val="22"/>
        </w:rPr>
        <w:t>SUJETO OBLIGADO</w:t>
      </w:r>
      <w:r w:rsidRPr="006B7F0D">
        <w:rPr>
          <w:rFonts w:ascii="Palatino Linotype" w:eastAsia="Palatino Linotype" w:hAnsi="Palatino Linotype" w:cs="Palatino Linotype"/>
          <w:color w:val="000000"/>
          <w:sz w:val="22"/>
          <w:szCs w:val="22"/>
        </w:rPr>
        <w:t xml:space="preserve"> realice la búsqueda de la información y entregue de ser procedente en versión pública.</w:t>
      </w:r>
    </w:p>
    <w:p w14:paraId="3CA44643" w14:textId="77777777" w:rsidR="002B3E11" w:rsidRPr="006B7F0D" w:rsidRDefault="002B3E11">
      <w:pPr>
        <w:spacing w:before="240" w:after="240" w:line="360" w:lineRule="auto"/>
        <w:ind w:left="567" w:right="539"/>
        <w:jc w:val="both"/>
        <w:rPr>
          <w:rFonts w:ascii="Palatino Linotype" w:eastAsia="Palatino Linotype" w:hAnsi="Palatino Linotype" w:cs="Palatino Linotype"/>
          <w:b/>
          <w:sz w:val="22"/>
          <w:szCs w:val="22"/>
        </w:rPr>
      </w:pPr>
    </w:p>
    <w:p w14:paraId="1B8BB6F5" w14:textId="2C373008" w:rsidR="00206715" w:rsidRPr="006B7F0D" w:rsidRDefault="00811D5F" w:rsidP="00206715">
      <w:pPr>
        <w:numPr>
          <w:ilvl w:val="0"/>
          <w:numId w:val="4"/>
        </w:numPr>
        <w:pBdr>
          <w:top w:val="nil"/>
          <w:left w:val="nil"/>
          <w:bottom w:val="nil"/>
          <w:right w:val="nil"/>
          <w:between w:val="nil"/>
        </w:pBdr>
        <w:tabs>
          <w:tab w:val="left" w:pos="426"/>
        </w:tabs>
        <w:spacing w:before="240" w:line="360" w:lineRule="auto"/>
        <w:ind w:left="0" w:right="51" w:firstLine="0"/>
        <w:jc w:val="both"/>
        <w:rPr>
          <w:rFonts w:ascii="Palatino Linotype" w:eastAsia="Palatino Linotype" w:hAnsi="Palatino Linotype" w:cs="Palatino Linotype"/>
          <w:color w:val="000000"/>
          <w:sz w:val="22"/>
          <w:szCs w:val="22"/>
        </w:rPr>
      </w:pPr>
      <w:r w:rsidRPr="006B7F0D">
        <w:rPr>
          <w:rFonts w:ascii="Palatino Linotype" w:eastAsia="Palatino Linotype" w:hAnsi="Palatino Linotype" w:cs="Palatino Linotype"/>
          <w:color w:val="000000"/>
          <w:sz w:val="22"/>
          <w:szCs w:val="22"/>
        </w:rPr>
        <w:lastRenderedPageBreak/>
        <w:t xml:space="preserve">En mérito de lo expuesto en líneas anteriores, resultan fundadas las razones o motivos de inconformidad hechos valer por el </w:t>
      </w:r>
      <w:r w:rsidRPr="006B7F0D">
        <w:rPr>
          <w:rFonts w:ascii="Palatino Linotype" w:eastAsia="Palatino Linotype" w:hAnsi="Palatino Linotype" w:cs="Palatino Linotype"/>
          <w:b/>
          <w:color w:val="000000"/>
          <w:sz w:val="22"/>
          <w:szCs w:val="22"/>
        </w:rPr>
        <w:t>RECURRENTE</w:t>
      </w:r>
      <w:r w:rsidRPr="006B7F0D">
        <w:rPr>
          <w:rFonts w:ascii="Palatino Linotype" w:eastAsia="Palatino Linotype" w:hAnsi="Palatino Linotype" w:cs="Palatino Linotype"/>
          <w:color w:val="000000"/>
          <w:sz w:val="22"/>
          <w:szCs w:val="22"/>
        </w:rPr>
        <w:t xml:space="preserve"> dentro del recurso de revisión </w:t>
      </w:r>
      <w:r w:rsidR="009D0EA8" w:rsidRPr="006B7F0D">
        <w:rPr>
          <w:rFonts w:ascii="Palatino Linotype" w:eastAsia="Palatino Linotype" w:hAnsi="Palatino Linotype" w:cs="Palatino Linotype"/>
          <w:b/>
          <w:color w:val="000000"/>
          <w:sz w:val="22"/>
          <w:szCs w:val="22"/>
        </w:rPr>
        <w:t>07688/INFOEM/IP/RR/2024</w:t>
      </w:r>
      <w:r w:rsidRPr="006B7F0D">
        <w:rPr>
          <w:rFonts w:ascii="Palatino Linotype" w:eastAsia="Palatino Linotype" w:hAnsi="Palatino Linotype" w:cs="Palatino Linotype"/>
          <w:color w:val="000000"/>
          <w:sz w:val="22"/>
          <w:szCs w:val="22"/>
        </w:rPr>
        <w:t xml:space="preserve">; por ello, y con fundamento en la fracción III del numeral 186 de la Ley de Transparencia y Acceso a la Información Pública del Estado de México y Municipios, se </w:t>
      </w:r>
      <w:r w:rsidRPr="006B7F0D">
        <w:rPr>
          <w:rFonts w:ascii="Palatino Linotype" w:eastAsia="Palatino Linotype" w:hAnsi="Palatino Linotype" w:cs="Palatino Linotype"/>
          <w:b/>
          <w:color w:val="000000"/>
          <w:sz w:val="22"/>
          <w:szCs w:val="22"/>
        </w:rPr>
        <w:t>REVOCA</w:t>
      </w:r>
      <w:r w:rsidRPr="006B7F0D">
        <w:rPr>
          <w:rFonts w:ascii="Palatino Linotype" w:eastAsia="Palatino Linotype" w:hAnsi="Palatino Linotype" w:cs="Palatino Linotype"/>
          <w:color w:val="000000"/>
          <w:sz w:val="22"/>
          <w:szCs w:val="22"/>
        </w:rPr>
        <w:t xml:space="preserve"> la respuesta del </w:t>
      </w:r>
      <w:r w:rsidRPr="006B7F0D">
        <w:rPr>
          <w:rFonts w:ascii="Palatino Linotype" w:eastAsia="Palatino Linotype" w:hAnsi="Palatino Linotype" w:cs="Palatino Linotype"/>
          <w:b/>
          <w:color w:val="000000"/>
          <w:sz w:val="22"/>
          <w:szCs w:val="22"/>
        </w:rPr>
        <w:t>SUJETO OBLIGADO</w:t>
      </w:r>
      <w:r w:rsidRPr="006B7F0D">
        <w:rPr>
          <w:rFonts w:ascii="Palatino Linotype" w:eastAsia="Palatino Linotype" w:hAnsi="Palatino Linotype" w:cs="Palatino Linotype"/>
          <w:color w:val="000000"/>
          <w:sz w:val="22"/>
          <w:szCs w:val="22"/>
        </w:rPr>
        <w:t xml:space="preserve"> y se ordena la entrega en versión pública de ser procedente.</w:t>
      </w:r>
    </w:p>
    <w:p w14:paraId="778C38E1" w14:textId="77777777" w:rsidR="002B3E11" w:rsidRPr="006B7F0D" w:rsidRDefault="002B3E11">
      <w:pPr>
        <w:pBdr>
          <w:top w:val="nil"/>
          <w:left w:val="nil"/>
          <w:bottom w:val="nil"/>
          <w:right w:val="nil"/>
          <w:between w:val="nil"/>
        </w:pBdr>
        <w:tabs>
          <w:tab w:val="left" w:pos="426"/>
        </w:tabs>
        <w:spacing w:after="240" w:line="360" w:lineRule="auto"/>
        <w:ind w:right="51"/>
        <w:jc w:val="both"/>
        <w:rPr>
          <w:rFonts w:ascii="Palatino Linotype" w:eastAsia="Palatino Linotype" w:hAnsi="Palatino Linotype" w:cs="Palatino Linotype"/>
          <w:color w:val="000000"/>
          <w:sz w:val="22"/>
          <w:szCs w:val="22"/>
        </w:rPr>
      </w:pPr>
    </w:p>
    <w:p w14:paraId="4077E5B8" w14:textId="5C3A6092" w:rsidR="00206715" w:rsidRPr="006B7F0D" w:rsidRDefault="00811D5F">
      <w:pPr>
        <w:keepNext/>
        <w:keepLines/>
        <w:spacing w:before="240" w:line="360" w:lineRule="auto"/>
        <w:rPr>
          <w:rFonts w:ascii="Palatino Linotype" w:eastAsia="Palatino Linotype" w:hAnsi="Palatino Linotype" w:cs="Palatino Linotype"/>
          <w:b/>
          <w:sz w:val="22"/>
          <w:szCs w:val="22"/>
        </w:rPr>
      </w:pPr>
      <w:r w:rsidRPr="006B7F0D">
        <w:rPr>
          <w:rFonts w:ascii="Palatino Linotype" w:eastAsia="Palatino Linotype" w:hAnsi="Palatino Linotype" w:cs="Palatino Linotype"/>
          <w:b/>
          <w:sz w:val="22"/>
          <w:szCs w:val="22"/>
        </w:rPr>
        <w:t>QUINTO. VERSIÓN PÚBLICA.</w:t>
      </w:r>
    </w:p>
    <w:p w14:paraId="135EF256" w14:textId="77777777" w:rsidR="002B3E11" w:rsidRPr="006B7F0D" w:rsidRDefault="00811D5F">
      <w:pPr>
        <w:keepNext/>
        <w:keepLines/>
        <w:numPr>
          <w:ilvl w:val="0"/>
          <w:numId w:val="3"/>
        </w:numPr>
        <w:spacing w:line="360" w:lineRule="auto"/>
        <w:ind w:left="284" w:firstLine="0"/>
        <w:rPr>
          <w:rFonts w:ascii="Palatino Linotype" w:eastAsia="Palatino Linotype" w:hAnsi="Palatino Linotype" w:cs="Palatino Linotype"/>
          <w:b/>
          <w:color w:val="000000"/>
          <w:sz w:val="22"/>
          <w:szCs w:val="22"/>
        </w:rPr>
      </w:pPr>
      <w:bookmarkStart w:id="13" w:name="_heading=h.26in1rg" w:colFirst="0" w:colLast="0"/>
      <w:bookmarkEnd w:id="13"/>
      <w:r w:rsidRPr="006B7F0D">
        <w:rPr>
          <w:rFonts w:ascii="Palatino Linotype" w:eastAsia="Palatino Linotype" w:hAnsi="Palatino Linotype" w:cs="Palatino Linotype"/>
          <w:b/>
          <w:color w:val="000000"/>
          <w:sz w:val="22"/>
          <w:szCs w:val="22"/>
        </w:rPr>
        <w:t xml:space="preserve">Nociones generales. </w:t>
      </w:r>
    </w:p>
    <w:p w14:paraId="3C839387" w14:textId="43EEFAF3" w:rsidR="002B3E11" w:rsidRPr="006B7F0D" w:rsidRDefault="00811D5F">
      <w:pPr>
        <w:numPr>
          <w:ilvl w:val="0"/>
          <w:numId w:val="4"/>
        </w:numPr>
        <w:pBdr>
          <w:top w:val="nil"/>
          <w:left w:val="nil"/>
          <w:bottom w:val="nil"/>
          <w:right w:val="nil"/>
          <w:between w:val="nil"/>
        </w:pBdr>
        <w:tabs>
          <w:tab w:val="left" w:pos="426"/>
        </w:tabs>
        <w:spacing w:before="240" w:line="360" w:lineRule="auto"/>
        <w:ind w:left="0" w:right="51" w:firstLine="0"/>
        <w:jc w:val="both"/>
        <w:rPr>
          <w:rFonts w:ascii="Palatino Linotype" w:eastAsia="Palatino Linotype" w:hAnsi="Palatino Linotype" w:cs="Palatino Linotype"/>
          <w:color w:val="000000"/>
          <w:sz w:val="22"/>
          <w:szCs w:val="22"/>
        </w:rPr>
      </w:pPr>
      <w:r w:rsidRPr="006B7F0D">
        <w:rPr>
          <w:rFonts w:ascii="Palatino Linotype" w:eastAsia="Palatino Linotype" w:hAnsi="Palatino Linotype" w:cs="Palatino Linotype"/>
          <w:color w:val="000000"/>
          <w:sz w:val="22"/>
          <w:szCs w:val="22"/>
        </w:rPr>
        <w:t>Debe destacarse que, debido a la naturaleza de la información solicitada</w:t>
      </w:r>
      <w:r w:rsidRPr="006B7F0D">
        <w:rPr>
          <w:rFonts w:ascii="Palatino Linotype" w:eastAsia="Palatino Linotype" w:hAnsi="Palatino Linotype" w:cs="Palatino Linotype"/>
          <w:b/>
          <w:color w:val="000000"/>
          <w:sz w:val="22"/>
          <w:szCs w:val="22"/>
        </w:rPr>
        <w:t xml:space="preserve">, </w:t>
      </w:r>
      <w:r w:rsidRPr="006B7F0D">
        <w:rPr>
          <w:rFonts w:ascii="Palatino Linotype" w:eastAsia="Palatino Linotype" w:hAnsi="Palatino Linotype" w:cs="Palatino Linotype"/>
          <w:color w:val="000000"/>
          <w:sz w:val="22"/>
          <w:szCs w:val="22"/>
        </w:rPr>
        <w:t xml:space="preserve">eventualmente pudiera obrar datos personales susceptibles de protegerse, el </w:t>
      </w:r>
      <w:r w:rsidR="009D0EA8" w:rsidRPr="006B7F0D">
        <w:rPr>
          <w:rFonts w:ascii="Palatino Linotype" w:eastAsia="Palatino Linotype" w:hAnsi="Palatino Linotype" w:cs="Palatino Linotype"/>
          <w:b/>
          <w:color w:val="000000"/>
          <w:sz w:val="22"/>
          <w:szCs w:val="22"/>
        </w:rPr>
        <w:t xml:space="preserve">SUJETO OBLIGADO </w:t>
      </w:r>
      <w:r w:rsidRPr="006B7F0D">
        <w:rPr>
          <w:rFonts w:ascii="Palatino Linotype" w:eastAsia="Palatino Linotype" w:hAnsi="Palatino Linotype" w:cs="Palatino Linotype"/>
          <w:color w:val="000000"/>
          <w:sz w:val="22"/>
          <w:szCs w:val="22"/>
        </w:rPr>
        <w:t xml:space="preserve">deberá de hacer la adecuada versión pública, protegiendo los datos que no son susceptibles de ser proporcionados. </w:t>
      </w:r>
    </w:p>
    <w:p w14:paraId="1EBF640F" w14:textId="77777777" w:rsidR="002B3E11" w:rsidRPr="006B7F0D" w:rsidRDefault="002B3E11">
      <w:pPr>
        <w:pBdr>
          <w:top w:val="nil"/>
          <w:left w:val="nil"/>
          <w:bottom w:val="nil"/>
          <w:right w:val="nil"/>
          <w:between w:val="nil"/>
        </w:pBdr>
        <w:tabs>
          <w:tab w:val="left" w:pos="426"/>
        </w:tabs>
        <w:spacing w:line="360" w:lineRule="auto"/>
        <w:ind w:right="51"/>
        <w:jc w:val="both"/>
        <w:rPr>
          <w:rFonts w:ascii="Palatino Linotype" w:eastAsia="Palatino Linotype" w:hAnsi="Palatino Linotype" w:cs="Palatino Linotype"/>
          <w:color w:val="000000"/>
          <w:sz w:val="22"/>
          <w:szCs w:val="22"/>
        </w:rPr>
      </w:pPr>
    </w:p>
    <w:p w14:paraId="2F6E47E6" w14:textId="77777777" w:rsidR="002B3E11" w:rsidRPr="006B7F0D" w:rsidRDefault="00811D5F">
      <w:pPr>
        <w:numPr>
          <w:ilvl w:val="0"/>
          <w:numId w:val="4"/>
        </w:numPr>
        <w:pBdr>
          <w:top w:val="nil"/>
          <w:left w:val="nil"/>
          <w:bottom w:val="nil"/>
          <w:right w:val="nil"/>
          <w:between w:val="nil"/>
        </w:pBdr>
        <w:tabs>
          <w:tab w:val="left" w:pos="426"/>
        </w:tabs>
        <w:spacing w:after="240" w:line="360" w:lineRule="auto"/>
        <w:ind w:left="0" w:right="51" w:firstLine="0"/>
        <w:jc w:val="both"/>
        <w:rPr>
          <w:rFonts w:ascii="Palatino Linotype" w:eastAsia="Palatino Linotype" w:hAnsi="Palatino Linotype" w:cs="Palatino Linotype"/>
          <w:color w:val="000000"/>
          <w:sz w:val="22"/>
          <w:szCs w:val="22"/>
        </w:rPr>
      </w:pPr>
      <w:r w:rsidRPr="006B7F0D">
        <w:rPr>
          <w:rFonts w:ascii="Palatino Linotype" w:eastAsia="Palatino Linotype" w:hAnsi="Palatino Linotype" w:cs="Palatino Linotype"/>
          <w:color w:val="000000"/>
          <w:sz w:val="22"/>
          <w:szCs w:val="22"/>
        </w:rPr>
        <w:t>No pasa desapercibido para este Órgano Garante que los Sujetos Obligados</w:t>
      </w:r>
      <w:r w:rsidRPr="006B7F0D">
        <w:rPr>
          <w:rFonts w:ascii="Palatino Linotype" w:eastAsia="Palatino Linotype" w:hAnsi="Palatino Linotype" w:cs="Palatino Linotype"/>
          <w:b/>
          <w:color w:val="000000"/>
          <w:sz w:val="22"/>
          <w:szCs w:val="22"/>
        </w:rPr>
        <w:t xml:space="preserve"> </w:t>
      </w:r>
      <w:r w:rsidRPr="006B7F0D">
        <w:rPr>
          <w:rFonts w:ascii="Palatino Linotype" w:eastAsia="Palatino Linotype" w:hAnsi="Palatino Linotype" w:cs="Palatino Linotype"/>
          <w:color w:val="000000"/>
          <w:sz w:val="22"/>
          <w:szCs w:val="22"/>
        </w:rPr>
        <w:t>serán responsables de los datos personales en su posesión y que, en caso de localizarse datos concernientes a terceros, éstos no podrán difundir, distribuir o comercializar los datos personales.  Cabe destacar que, para la realización de la clasificación de la información, se deben seguir una serie de pasos y procedimientos, por lo que es menester reiterar los mismos:</w:t>
      </w:r>
    </w:p>
    <w:p w14:paraId="34C92217" w14:textId="77777777" w:rsidR="002B3E11" w:rsidRPr="006B7F0D" w:rsidRDefault="002B3E11">
      <w:pPr>
        <w:spacing w:line="360" w:lineRule="auto"/>
        <w:ind w:right="49"/>
        <w:jc w:val="both"/>
        <w:rPr>
          <w:rFonts w:ascii="Palatino Linotype" w:eastAsia="Palatino Linotype" w:hAnsi="Palatino Linotype" w:cs="Palatino Linotype"/>
          <w:color w:val="000000"/>
          <w:sz w:val="22"/>
          <w:szCs w:val="22"/>
        </w:rPr>
      </w:pPr>
    </w:p>
    <w:tbl>
      <w:tblPr>
        <w:tblStyle w:val="a"/>
        <w:tblW w:w="8828" w:type="dxa"/>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1838"/>
        <w:gridCol w:w="6990"/>
      </w:tblGrid>
      <w:tr w:rsidR="002B3E11" w:rsidRPr="006B7F0D" w14:paraId="012AE9DA" w14:textId="77777777" w:rsidTr="002B3E1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Pr>
          <w:p w14:paraId="232D9689" w14:textId="77777777" w:rsidR="002B3E11" w:rsidRPr="006B7F0D" w:rsidRDefault="00811D5F">
            <w:pPr>
              <w:rPr>
                <w:rFonts w:ascii="Palatino Linotype" w:eastAsia="Palatino Linotype" w:hAnsi="Palatino Linotype" w:cs="Palatino Linotype"/>
                <w:sz w:val="22"/>
                <w:szCs w:val="22"/>
              </w:rPr>
            </w:pPr>
            <w:r w:rsidRPr="006B7F0D">
              <w:rPr>
                <w:rFonts w:ascii="Palatino Linotype" w:eastAsia="Palatino Linotype" w:hAnsi="Palatino Linotype" w:cs="Palatino Linotype"/>
                <w:sz w:val="22"/>
                <w:szCs w:val="22"/>
              </w:rPr>
              <w:t>a) Requisitos previos.</w:t>
            </w:r>
          </w:p>
        </w:tc>
        <w:tc>
          <w:tcPr>
            <w:tcW w:w="6990" w:type="dxa"/>
          </w:tcPr>
          <w:p w14:paraId="26F4D8DE" w14:textId="77777777" w:rsidR="002B3E11" w:rsidRPr="006B7F0D" w:rsidRDefault="00811D5F">
            <w:pPr>
              <w:ind w:right="49"/>
              <w:jc w:val="both"/>
              <w:cnfStyle w:val="100000000000" w:firstRow="1" w:lastRow="0" w:firstColumn="0" w:lastColumn="0" w:oddVBand="0" w:evenVBand="0" w:oddHBand="0" w:evenHBand="0" w:firstRowFirstColumn="0" w:firstRowLastColumn="0" w:lastRowFirstColumn="0" w:lastRowLastColumn="0"/>
              <w:rPr>
                <w:rFonts w:ascii="Palatino Linotype" w:eastAsia="Palatino Linotype" w:hAnsi="Palatino Linotype" w:cs="Palatino Linotype"/>
                <w:sz w:val="22"/>
                <w:szCs w:val="22"/>
              </w:rPr>
            </w:pPr>
            <w:r w:rsidRPr="006B7F0D">
              <w:rPr>
                <w:rFonts w:ascii="Palatino Linotype" w:eastAsia="Palatino Linotype" w:hAnsi="Palatino Linotype" w:cs="Palatino Linotype"/>
                <w:b w:val="0"/>
                <w:sz w:val="22"/>
                <w:szCs w:val="22"/>
              </w:rPr>
              <w:t xml:space="preserve">Los artículos 100 y 122 de la Ley Estatal y de la Ley General, respectivamente, señalan que si los Sujetos Obligados determinan que la información actualiza alguno de los supuestos de clasificación, es deber de los titulares de las áreas proponer su clasificación y no del Comité de Transparencia. </w:t>
            </w:r>
          </w:p>
          <w:p w14:paraId="1A3080FC" w14:textId="77777777" w:rsidR="002B3E11" w:rsidRPr="006B7F0D" w:rsidRDefault="00811D5F">
            <w:pPr>
              <w:ind w:right="49"/>
              <w:jc w:val="both"/>
              <w:cnfStyle w:val="100000000000" w:firstRow="1" w:lastRow="0" w:firstColumn="0" w:lastColumn="0" w:oddVBand="0" w:evenVBand="0" w:oddHBand="0" w:evenHBand="0" w:firstRowFirstColumn="0" w:firstRowLastColumn="0" w:lastRowFirstColumn="0" w:lastRowLastColumn="0"/>
              <w:rPr>
                <w:rFonts w:ascii="Palatino Linotype" w:eastAsia="Palatino Linotype" w:hAnsi="Palatino Linotype" w:cs="Palatino Linotype"/>
                <w:sz w:val="22"/>
                <w:szCs w:val="22"/>
              </w:rPr>
            </w:pPr>
            <w:r w:rsidRPr="006B7F0D">
              <w:rPr>
                <w:rFonts w:ascii="Palatino Linotype" w:eastAsia="Palatino Linotype" w:hAnsi="Palatino Linotype" w:cs="Palatino Linotype"/>
                <w:b w:val="0"/>
                <w:sz w:val="22"/>
                <w:szCs w:val="22"/>
              </w:rPr>
              <w:lastRenderedPageBreak/>
              <w:t>Al hacerlo tienen que precisar de qué información se trata, señalando el supuesto de clasificación (confidencialidad o reserva).</w:t>
            </w:r>
          </w:p>
          <w:p w14:paraId="51D11033" w14:textId="77777777" w:rsidR="002B3E11" w:rsidRPr="006B7F0D" w:rsidRDefault="00811D5F">
            <w:pPr>
              <w:ind w:right="49"/>
              <w:jc w:val="both"/>
              <w:cnfStyle w:val="100000000000" w:firstRow="1" w:lastRow="0" w:firstColumn="0" w:lastColumn="0" w:oddVBand="0" w:evenVBand="0" w:oddHBand="0" w:evenHBand="0" w:firstRowFirstColumn="0" w:firstRowLastColumn="0" w:lastRowFirstColumn="0" w:lastRowLastColumn="0"/>
              <w:rPr>
                <w:rFonts w:ascii="Palatino Linotype" w:eastAsia="Palatino Linotype" w:hAnsi="Palatino Linotype" w:cs="Palatino Linotype"/>
                <w:sz w:val="22"/>
                <w:szCs w:val="22"/>
              </w:rPr>
            </w:pPr>
            <w:r w:rsidRPr="006B7F0D">
              <w:rPr>
                <w:rFonts w:ascii="Palatino Linotype" w:eastAsia="Palatino Linotype" w:hAnsi="Palatino Linotype" w:cs="Palatino Linotype"/>
                <w:b w:val="0"/>
                <w:sz w:val="22"/>
                <w:szCs w:val="22"/>
              </w:rPr>
              <w:t>Además, se debe señalar el procedimiento, de los tres que establecen los artículos 132 y 106 de la Ley Estatal y General, respectivamente.</w:t>
            </w:r>
          </w:p>
          <w:p w14:paraId="5C674766" w14:textId="77777777" w:rsidR="002B3E11" w:rsidRPr="006B7F0D" w:rsidRDefault="00811D5F">
            <w:pPr>
              <w:jc w:val="both"/>
              <w:cnfStyle w:val="100000000000" w:firstRow="1" w:lastRow="0" w:firstColumn="0" w:lastColumn="0" w:oddVBand="0" w:evenVBand="0" w:oddHBand="0" w:evenHBand="0" w:firstRowFirstColumn="0" w:firstRowLastColumn="0" w:lastRowFirstColumn="0" w:lastRowLastColumn="0"/>
              <w:rPr>
                <w:rFonts w:ascii="Palatino Linotype" w:eastAsia="Palatino Linotype" w:hAnsi="Palatino Linotype" w:cs="Palatino Linotype"/>
                <w:sz w:val="22"/>
                <w:szCs w:val="22"/>
              </w:rPr>
            </w:pPr>
            <w:r w:rsidRPr="006B7F0D">
              <w:rPr>
                <w:rFonts w:ascii="Palatino Linotype" w:eastAsia="Palatino Linotype" w:hAnsi="Palatino Linotype" w:cs="Palatino Linotype"/>
                <w:b w:val="0"/>
                <w:sz w:val="22"/>
                <w:szCs w:val="22"/>
              </w:rPr>
              <w:t>El último de estos requisitos previos consiste en que no se pueden emitir acuerdos de carácter general ni particular, esto es, no se puede hacer un acuerdo para clasificar de manera general todos los documentos de un expediente o área, sin individualizar su análisis y tampoco se puede hacer un acuerdo por cada dato que se vaya a clasificar dentro de un documento con diez datos, por ejemplo, susceptibles de ser clasificados.</w:t>
            </w:r>
          </w:p>
        </w:tc>
      </w:tr>
      <w:tr w:rsidR="002B3E11" w:rsidRPr="006B7F0D" w14:paraId="71F78A54" w14:textId="77777777" w:rsidTr="002B3E1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Pr>
          <w:p w14:paraId="665A02D8" w14:textId="77777777" w:rsidR="002B3E11" w:rsidRPr="006B7F0D" w:rsidRDefault="00811D5F">
            <w:pPr>
              <w:rPr>
                <w:rFonts w:ascii="Palatino Linotype" w:eastAsia="Palatino Linotype" w:hAnsi="Palatino Linotype" w:cs="Palatino Linotype"/>
                <w:sz w:val="22"/>
                <w:szCs w:val="22"/>
              </w:rPr>
            </w:pPr>
            <w:r w:rsidRPr="006B7F0D">
              <w:rPr>
                <w:rFonts w:ascii="Palatino Linotype" w:eastAsia="Palatino Linotype" w:hAnsi="Palatino Linotype" w:cs="Palatino Linotype"/>
                <w:sz w:val="22"/>
                <w:szCs w:val="22"/>
              </w:rPr>
              <w:lastRenderedPageBreak/>
              <w:t>b) Supuestos de clasificación.</w:t>
            </w:r>
          </w:p>
        </w:tc>
        <w:tc>
          <w:tcPr>
            <w:tcW w:w="6990" w:type="dxa"/>
          </w:tcPr>
          <w:p w14:paraId="262C1095" w14:textId="77777777" w:rsidR="002B3E11" w:rsidRPr="006B7F0D" w:rsidRDefault="00811D5F">
            <w:pPr>
              <w:ind w:right="49"/>
              <w:jc w:val="both"/>
              <w:cnfStyle w:val="000000100000" w:firstRow="0" w:lastRow="0" w:firstColumn="0" w:lastColumn="0" w:oddVBand="0" w:evenVBand="0" w:oddHBand="1" w:evenHBand="0" w:firstRowFirstColumn="0" w:firstRowLastColumn="0" w:lastRowFirstColumn="0" w:lastRowLastColumn="0"/>
              <w:rPr>
                <w:rFonts w:ascii="Palatino Linotype" w:eastAsia="Palatino Linotype" w:hAnsi="Palatino Linotype" w:cs="Palatino Linotype"/>
                <w:sz w:val="22"/>
                <w:szCs w:val="22"/>
              </w:rPr>
            </w:pPr>
            <w:r w:rsidRPr="006B7F0D">
              <w:rPr>
                <w:rFonts w:ascii="Palatino Linotype" w:eastAsia="Palatino Linotype" w:hAnsi="Palatino Linotype" w:cs="Palatino Linotype"/>
                <w:sz w:val="22"/>
                <w:szCs w:val="22"/>
              </w:rPr>
              <w:t>Las disposiciones constitucionales y legales en la materia establecen los dos supuestos generales para clasificar la información: por reserva y por confidencialidad.</w:t>
            </w:r>
          </w:p>
          <w:p w14:paraId="0384E997" w14:textId="77777777" w:rsidR="002B3E11" w:rsidRPr="006B7F0D" w:rsidRDefault="00811D5F">
            <w:pPr>
              <w:ind w:right="49"/>
              <w:jc w:val="both"/>
              <w:cnfStyle w:val="000000100000" w:firstRow="0" w:lastRow="0" w:firstColumn="0" w:lastColumn="0" w:oddVBand="0" w:evenVBand="0" w:oddHBand="1" w:evenHBand="0" w:firstRowFirstColumn="0" w:firstRowLastColumn="0" w:lastRowFirstColumn="0" w:lastRowLastColumn="0"/>
              <w:rPr>
                <w:rFonts w:ascii="Palatino Linotype" w:eastAsia="Palatino Linotype" w:hAnsi="Palatino Linotype" w:cs="Palatino Linotype"/>
                <w:sz w:val="22"/>
                <w:szCs w:val="22"/>
              </w:rPr>
            </w:pPr>
            <w:r w:rsidRPr="006B7F0D">
              <w:rPr>
                <w:rFonts w:ascii="Palatino Linotype" w:eastAsia="Palatino Linotype" w:hAnsi="Palatino Linotype" w:cs="Palatino Linotype"/>
                <w:sz w:val="22"/>
                <w:szCs w:val="22"/>
              </w:rPr>
              <w:t>Los artículos 116 y 143 de la Ley Estatal y de la Ley General, respectivamente, señalan los supuestos para que la información pueda ser clasificada como confidencial. Mientras que los artículos 105 y 130 de la Ley Estatal y de la Ley General, respectivamente, señalan que la aplicación de estos supuestos debe realizarse de manera restrictiva y limitada, por lo que debe acreditarse que se cumple con esta condición y no se pueden ampliar las excepciones o supuestos de clasificación aduciendo analogía o mayoría de razón.</w:t>
            </w:r>
          </w:p>
          <w:p w14:paraId="1D0207F2" w14:textId="77777777" w:rsidR="002B3E11" w:rsidRPr="006B7F0D" w:rsidRDefault="00811D5F">
            <w:pPr>
              <w:jc w:val="both"/>
              <w:cnfStyle w:val="000000100000" w:firstRow="0" w:lastRow="0" w:firstColumn="0" w:lastColumn="0" w:oddVBand="0" w:evenVBand="0" w:oddHBand="1" w:evenHBand="0" w:firstRowFirstColumn="0" w:firstRowLastColumn="0" w:lastRowFirstColumn="0" w:lastRowLastColumn="0"/>
              <w:rPr>
                <w:rFonts w:ascii="Palatino Linotype" w:eastAsia="Palatino Linotype" w:hAnsi="Palatino Linotype" w:cs="Palatino Linotype"/>
                <w:sz w:val="22"/>
                <w:szCs w:val="22"/>
              </w:rPr>
            </w:pPr>
            <w:r w:rsidRPr="006B7F0D">
              <w:rPr>
                <w:rFonts w:ascii="Palatino Linotype" w:eastAsia="Palatino Linotype" w:hAnsi="Palatino Linotype" w:cs="Palatino Linotype"/>
                <w:sz w:val="22"/>
                <w:szCs w:val="22"/>
              </w:rPr>
              <w:t xml:space="preserve">El </w:t>
            </w:r>
            <w:r w:rsidRPr="006B7F0D">
              <w:rPr>
                <w:rFonts w:ascii="Palatino Linotype" w:eastAsia="Palatino Linotype" w:hAnsi="Palatino Linotype" w:cs="Palatino Linotype"/>
                <w:b/>
                <w:sz w:val="22"/>
                <w:szCs w:val="22"/>
              </w:rPr>
              <w:t>Sujeto Obligado</w:t>
            </w:r>
            <w:r w:rsidRPr="006B7F0D">
              <w:rPr>
                <w:rFonts w:ascii="Palatino Linotype" w:eastAsia="Palatino Linotype" w:hAnsi="Palatino Linotype" w:cs="Palatino Linotype"/>
                <w:sz w:val="22"/>
                <w:szCs w:val="22"/>
              </w:rPr>
              <w:t xml:space="preserve"> debe identificar claramente el tipo de información y hacer un juicio de subsunción o encaje para acreditar que el supuesto de hecho corresponde estrictamente con la hipótesis jurídica. Esto también lo debe de realizar el servidor público habilitado y el titular del área que administra la información.</w:t>
            </w:r>
          </w:p>
        </w:tc>
      </w:tr>
      <w:tr w:rsidR="002B3E11" w:rsidRPr="006B7F0D" w14:paraId="21968F7C" w14:textId="77777777" w:rsidTr="002B3E11">
        <w:tc>
          <w:tcPr>
            <w:cnfStyle w:val="001000000000" w:firstRow="0" w:lastRow="0" w:firstColumn="1" w:lastColumn="0" w:oddVBand="0" w:evenVBand="0" w:oddHBand="0" w:evenHBand="0" w:firstRowFirstColumn="0" w:firstRowLastColumn="0" w:lastRowFirstColumn="0" w:lastRowLastColumn="0"/>
            <w:tcW w:w="1838" w:type="dxa"/>
          </w:tcPr>
          <w:p w14:paraId="4082BA4B" w14:textId="77777777" w:rsidR="002B3E11" w:rsidRPr="006B7F0D" w:rsidRDefault="00811D5F">
            <w:pPr>
              <w:rPr>
                <w:rFonts w:ascii="Palatino Linotype" w:eastAsia="Palatino Linotype" w:hAnsi="Palatino Linotype" w:cs="Palatino Linotype"/>
                <w:sz w:val="22"/>
                <w:szCs w:val="22"/>
              </w:rPr>
            </w:pPr>
            <w:r w:rsidRPr="006B7F0D">
              <w:rPr>
                <w:rFonts w:ascii="Palatino Linotype" w:eastAsia="Palatino Linotype" w:hAnsi="Palatino Linotype" w:cs="Palatino Linotype"/>
                <w:sz w:val="22"/>
                <w:szCs w:val="22"/>
              </w:rPr>
              <w:t>c) Formalidades para emitir el acuerdo de clasificación.</w:t>
            </w:r>
          </w:p>
        </w:tc>
        <w:tc>
          <w:tcPr>
            <w:tcW w:w="6990" w:type="dxa"/>
          </w:tcPr>
          <w:p w14:paraId="723199CC" w14:textId="77777777" w:rsidR="002B3E11" w:rsidRPr="006B7F0D" w:rsidRDefault="00811D5F">
            <w:pPr>
              <w:ind w:right="49"/>
              <w:jc w:val="both"/>
              <w:cnfStyle w:val="000000000000" w:firstRow="0" w:lastRow="0" w:firstColumn="0" w:lastColumn="0" w:oddVBand="0" w:evenVBand="0" w:oddHBand="0" w:evenHBand="0" w:firstRowFirstColumn="0" w:firstRowLastColumn="0" w:lastRowFirstColumn="0" w:lastRowLastColumn="0"/>
              <w:rPr>
                <w:rFonts w:ascii="Palatino Linotype" w:eastAsia="Palatino Linotype" w:hAnsi="Palatino Linotype" w:cs="Palatino Linotype"/>
                <w:sz w:val="22"/>
                <w:szCs w:val="22"/>
              </w:rPr>
            </w:pPr>
            <w:r w:rsidRPr="006B7F0D">
              <w:rPr>
                <w:rFonts w:ascii="Palatino Linotype" w:eastAsia="Palatino Linotype" w:hAnsi="Palatino Linotype" w:cs="Palatino Linotype"/>
                <w:sz w:val="22"/>
                <w:szCs w:val="22"/>
              </w:rPr>
              <w:t xml:space="preserve">El Comité de Transparencia, según lo dispuesto en los artículos cuenta con las facultades para aprobar, modificar o revocar la clasificación de la información que haya propuesto. </w:t>
            </w:r>
          </w:p>
          <w:p w14:paraId="73E61D0B" w14:textId="77777777" w:rsidR="002B3E11" w:rsidRPr="006B7F0D" w:rsidRDefault="00811D5F">
            <w:pPr>
              <w:ind w:right="49"/>
              <w:jc w:val="both"/>
              <w:cnfStyle w:val="000000000000" w:firstRow="0" w:lastRow="0" w:firstColumn="0" w:lastColumn="0" w:oddVBand="0" w:evenVBand="0" w:oddHBand="0" w:evenHBand="0" w:firstRowFirstColumn="0" w:firstRowLastColumn="0" w:lastRowFirstColumn="0" w:lastRowLastColumn="0"/>
              <w:rPr>
                <w:rFonts w:ascii="Palatino Linotype" w:eastAsia="Palatino Linotype" w:hAnsi="Palatino Linotype" w:cs="Palatino Linotype"/>
                <w:sz w:val="22"/>
                <w:szCs w:val="22"/>
              </w:rPr>
            </w:pPr>
            <w:r w:rsidRPr="006B7F0D">
              <w:rPr>
                <w:rFonts w:ascii="Palatino Linotype" w:eastAsia="Palatino Linotype" w:hAnsi="Palatino Linotype" w:cs="Palatino Linotype"/>
                <w:sz w:val="22"/>
                <w:szCs w:val="22"/>
              </w:rPr>
              <w:t xml:space="preserve">Es necesario que </w:t>
            </w:r>
            <w:r w:rsidRPr="006B7F0D">
              <w:rPr>
                <w:rFonts w:ascii="Palatino Linotype" w:eastAsia="Palatino Linotype" w:hAnsi="Palatino Linotype" w:cs="Palatino Linotype"/>
                <w:b/>
                <w:sz w:val="22"/>
                <w:szCs w:val="22"/>
                <w:u w:val="single"/>
              </w:rPr>
              <w:t>el acto reúna con los requisitos elementales</w:t>
            </w:r>
            <w:r w:rsidRPr="006B7F0D">
              <w:rPr>
                <w:rFonts w:ascii="Palatino Linotype" w:eastAsia="Palatino Linotype" w:hAnsi="Palatino Linotype" w:cs="Palatino Linotype"/>
                <w:sz w:val="22"/>
                <w:szCs w:val="22"/>
              </w:rPr>
              <w:t>, entre ellos, que la autoridad que va a emitir el acto de autoridad sea la legalmente facultada para ello.</w:t>
            </w:r>
          </w:p>
          <w:p w14:paraId="5DF52B9A" w14:textId="77777777" w:rsidR="002B3E11" w:rsidRPr="006B7F0D" w:rsidRDefault="00811D5F">
            <w:pPr>
              <w:jc w:val="both"/>
              <w:cnfStyle w:val="000000000000" w:firstRow="0" w:lastRow="0" w:firstColumn="0" w:lastColumn="0" w:oddVBand="0" w:evenVBand="0" w:oddHBand="0" w:evenHBand="0" w:firstRowFirstColumn="0" w:firstRowLastColumn="0" w:lastRowFirstColumn="0" w:lastRowLastColumn="0"/>
              <w:rPr>
                <w:rFonts w:ascii="Palatino Linotype" w:eastAsia="Palatino Linotype" w:hAnsi="Palatino Linotype" w:cs="Palatino Linotype"/>
                <w:sz w:val="22"/>
                <w:szCs w:val="22"/>
              </w:rPr>
            </w:pPr>
            <w:r w:rsidRPr="006B7F0D">
              <w:rPr>
                <w:rFonts w:ascii="Palatino Linotype" w:eastAsia="Palatino Linotype" w:hAnsi="Palatino Linotype" w:cs="Palatino Linotype"/>
                <w:sz w:val="22"/>
                <w:szCs w:val="22"/>
              </w:rPr>
              <w:t xml:space="preserve">La decisión de aprobar, modificar o revocar la clasificación deberá de asentarse en un documento que registre la determinación a la que se llegue después de un análisis minucioso a partir de lo propuesto por el Titular del I. área que administra la información, cuyo análisis debe integrarse en la agenda de los asuntos a tratar en las sesiones, se insiste, a partir de las decisiones adoptadas previamente por los titulares de </w:t>
            </w:r>
            <w:r w:rsidRPr="006B7F0D">
              <w:rPr>
                <w:rFonts w:ascii="Palatino Linotype" w:eastAsia="Palatino Linotype" w:hAnsi="Palatino Linotype" w:cs="Palatino Linotype"/>
                <w:sz w:val="22"/>
                <w:szCs w:val="22"/>
              </w:rPr>
              <w:lastRenderedPageBreak/>
              <w:t>áreas y que son sujetas a control, en primera instancia, por el Comité de Transparencia.</w:t>
            </w:r>
          </w:p>
        </w:tc>
      </w:tr>
      <w:tr w:rsidR="002B3E11" w:rsidRPr="006B7F0D" w14:paraId="4A77176D" w14:textId="77777777" w:rsidTr="002B3E1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Pr>
          <w:p w14:paraId="280B480A" w14:textId="77777777" w:rsidR="002B3E11" w:rsidRPr="006B7F0D" w:rsidRDefault="002B3E11">
            <w:pPr>
              <w:rPr>
                <w:rFonts w:ascii="Palatino Linotype" w:eastAsia="Palatino Linotype" w:hAnsi="Palatino Linotype" w:cs="Palatino Linotype"/>
                <w:sz w:val="22"/>
                <w:szCs w:val="22"/>
              </w:rPr>
            </w:pPr>
          </w:p>
          <w:p w14:paraId="53D75FC1" w14:textId="77777777" w:rsidR="002B3E11" w:rsidRPr="006B7F0D" w:rsidRDefault="00811D5F">
            <w:pPr>
              <w:jc w:val="both"/>
              <w:rPr>
                <w:rFonts w:ascii="Palatino Linotype" w:eastAsia="Palatino Linotype" w:hAnsi="Palatino Linotype" w:cs="Palatino Linotype"/>
                <w:sz w:val="22"/>
                <w:szCs w:val="22"/>
              </w:rPr>
            </w:pPr>
            <w:r w:rsidRPr="006B7F0D">
              <w:rPr>
                <w:rFonts w:ascii="Palatino Linotype" w:eastAsia="Palatino Linotype" w:hAnsi="Palatino Linotype" w:cs="Palatino Linotype"/>
                <w:sz w:val="22"/>
                <w:szCs w:val="22"/>
              </w:rPr>
              <w:t xml:space="preserve">d) Requisitos de fondo del acuerdo de clasificación. </w:t>
            </w:r>
          </w:p>
        </w:tc>
        <w:tc>
          <w:tcPr>
            <w:tcW w:w="6990" w:type="dxa"/>
          </w:tcPr>
          <w:p w14:paraId="08814AD4" w14:textId="77777777" w:rsidR="002B3E11" w:rsidRPr="006B7F0D" w:rsidRDefault="00811D5F">
            <w:pPr>
              <w:ind w:right="49"/>
              <w:jc w:val="both"/>
              <w:cnfStyle w:val="000000100000" w:firstRow="0" w:lastRow="0" w:firstColumn="0" w:lastColumn="0" w:oddVBand="0" w:evenVBand="0" w:oddHBand="1" w:evenHBand="0" w:firstRowFirstColumn="0" w:firstRowLastColumn="0" w:lastRowFirstColumn="0" w:lastRowLastColumn="0"/>
              <w:rPr>
                <w:rFonts w:ascii="Palatino Linotype" w:eastAsia="Palatino Linotype" w:hAnsi="Palatino Linotype" w:cs="Palatino Linotype"/>
                <w:sz w:val="22"/>
                <w:szCs w:val="22"/>
              </w:rPr>
            </w:pPr>
            <w:r w:rsidRPr="006B7F0D">
              <w:rPr>
                <w:rFonts w:ascii="Palatino Linotype" w:eastAsia="Palatino Linotype" w:hAnsi="Palatino Linotype" w:cs="Palatino Linotype"/>
                <w:sz w:val="22"/>
                <w:szCs w:val="22"/>
              </w:rPr>
              <w:t xml:space="preserve">Como se ha señalado antes, al hacer el juicio de subsunción o encaje entre el supuesto de hecho y la hipótesis jurídica, se debe acreditar la estricta correspondencia entre un elemento y otro. Ahora, en esta parte del procedimiento, que se desahoga en sede del Comité de Transparencia, la ley señala que la carga de la prueba, para justificar las restricciones, corresponde a los </w:t>
            </w:r>
            <w:r w:rsidRPr="006B7F0D">
              <w:rPr>
                <w:rFonts w:ascii="Palatino Linotype" w:eastAsia="Palatino Linotype" w:hAnsi="Palatino Linotype" w:cs="Palatino Linotype"/>
                <w:b/>
                <w:sz w:val="22"/>
                <w:szCs w:val="22"/>
              </w:rPr>
              <w:t>Sujetos Obligados</w:t>
            </w:r>
            <w:r w:rsidRPr="006B7F0D">
              <w:rPr>
                <w:rFonts w:ascii="Palatino Linotype" w:eastAsia="Palatino Linotype" w:hAnsi="Palatino Linotype" w:cs="Palatino Linotype"/>
                <w:sz w:val="22"/>
                <w:szCs w:val="22"/>
              </w:rPr>
              <w:t xml:space="preserve">, por lo que deberán fundar y motivar debidamente la clasificación. </w:t>
            </w:r>
          </w:p>
          <w:p w14:paraId="63206714" w14:textId="77777777" w:rsidR="002B3E11" w:rsidRPr="006B7F0D" w:rsidRDefault="00811D5F">
            <w:pPr>
              <w:ind w:right="49"/>
              <w:jc w:val="both"/>
              <w:cnfStyle w:val="000000100000" w:firstRow="0" w:lastRow="0" w:firstColumn="0" w:lastColumn="0" w:oddVBand="0" w:evenVBand="0" w:oddHBand="1" w:evenHBand="0" w:firstRowFirstColumn="0" w:firstRowLastColumn="0" w:lastRowFirstColumn="0" w:lastRowLastColumn="0"/>
              <w:rPr>
                <w:rFonts w:ascii="Palatino Linotype" w:eastAsia="Palatino Linotype" w:hAnsi="Palatino Linotype" w:cs="Palatino Linotype"/>
                <w:sz w:val="22"/>
                <w:szCs w:val="22"/>
              </w:rPr>
            </w:pPr>
            <w:r w:rsidRPr="006B7F0D">
              <w:rPr>
                <w:rFonts w:ascii="Palatino Linotype" w:eastAsia="Palatino Linotype" w:hAnsi="Palatino Linotype" w:cs="Palatino Linotype"/>
                <w:sz w:val="22"/>
                <w:szCs w:val="22"/>
              </w:rPr>
              <w:t xml:space="preserve">De lo anterior, se desprende que para una correcta </w:t>
            </w:r>
            <w:r w:rsidRPr="006B7F0D">
              <w:rPr>
                <w:rFonts w:ascii="Palatino Linotype" w:eastAsia="Palatino Linotype" w:hAnsi="Palatino Linotype" w:cs="Palatino Linotype"/>
                <w:b/>
                <w:sz w:val="22"/>
                <w:szCs w:val="22"/>
              </w:rPr>
              <w:t>clasificación total o parcial</w:t>
            </w:r>
            <w:r w:rsidRPr="006B7F0D">
              <w:rPr>
                <w:rFonts w:ascii="Palatino Linotype" w:eastAsia="Palatino Linotype" w:hAnsi="Palatino Linotype" w:cs="Palatino Linotype"/>
                <w:sz w:val="22"/>
                <w:szCs w:val="22"/>
              </w:rPr>
              <w:t>, esto es determinar los datos que se suprimen en las versiones públicas, es necesario fundar y motivar, de manera correcta, la clasificación; considerando que todo acto que la autoridad pronuncie en el ejercicio de sus atribuciones, debe expresar los fundamentos legales que le dieron origen y las razones por las que se deben aplicar al caso concreto.</w:t>
            </w:r>
          </w:p>
          <w:p w14:paraId="6D1F4FB7" w14:textId="77777777" w:rsidR="002B3E11" w:rsidRPr="006B7F0D" w:rsidRDefault="00811D5F">
            <w:pPr>
              <w:ind w:right="49"/>
              <w:jc w:val="both"/>
              <w:cnfStyle w:val="000000100000" w:firstRow="0" w:lastRow="0" w:firstColumn="0" w:lastColumn="0" w:oddVBand="0" w:evenVBand="0" w:oddHBand="1" w:evenHBand="0" w:firstRowFirstColumn="0" w:firstRowLastColumn="0" w:lastRowFirstColumn="0" w:lastRowLastColumn="0"/>
              <w:rPr>
                <w:rFonts w:ascii="Palatino Linotype" w:eastAsia="Palatino Linotype" w:hAnsi="Palatino Linotype" w:cs="Palatino Linotype"/>
                <w:sz w:val="22"/>
                <w:szCs w:val="22"/>
              </w:rPr>
            </w:pPr>
            <w:r w:rsidRPr="006B7F0D">
              <w:rPr>
                <w:rFonts w:ascii="Palatino Linotype" w:eastAsia="Palatino Linotype" w:hAnsi="Palatino Linotype" w:cs="Palatino Linotype"/>
                <w:sz w:val="22"/>
                <w:szCs w:val="22"/>
              </w:rPr>
              <w:t>Así, en un acto de autoridad se cumple con la debida fundamentación cuando se cita el precepto legal aplicable al caso concreto y la debida motivación cuando se expresan las razones, motivos o circunstancias que tomó en cuenta la autoridad para adecuar el hecho a los fundamentos de derecho. De este modo, la persona que se sienta afectada pueda impugnar la decisión, permitiéndole una real y auténtica defensa.</w:t>
            </w:r>
          </w:p>
          <w:p w14:paraId="65421D6F" w14:textId="77777777" w:rsidR="002B3E11" w:rsidRPr="006B7F0D" w:rsidRDefault="00811D5F">
            <w:pPr>
              <w:ind w:right="49"/>
              <w:jc w:val="both"/>
              <w:cnfStyle w:val="000000100000" w:firstRow="0" w:lastRow="0" w:firstColumn="0" w:lastColumn="0" w:oddVBand="0" w:evenVBand="0" w:oddHBand="1" w:evenHBand="0" w:firstRowFirstColumn="0" w:firstRowLastColumn="0" w:lastRowFirstColumn="0" w:lastRowLastColumn="0"/>
              <w:rPr>
                <w:rFonts w:ascii="Palatino Linotype" w:eastAsia="Palatino Linotype" w:hAnsi="Palatino Linotype" w:cs="Palatino Linotype"/>
                <w:sz w:val="22"/>
                <w:szCs w:val="22"/>
              </w:rPr>
            </w:pPr>
            <w:r w:rsidRPr="006B7F0D">
              <w:rPr>
                <w:rFonts w:ascii="Palatino Linotype" w:eastAsia="Palatino Linotype" w:hAnsi="Palatino Linotype" w:cs="Palatino Linotype"/>
                <w:sz w:val="22"/>
                <w:szCs w:val="22"/>
              </w:rPr>
              <w:t>En ese mismo sentido, el numeral trigésimo tercero fracción V de los Lineamientos Generales, precisa que para motivar la clasificación se deben acreditar las circunstancias de tiempo, modo y lugar.</w:t>
            </w:r>
          </w:p>
          <w:p w14:paraId="34701234" w14:textId="77777777" w:rsidR="002B3E11" w:rsidRPr="006B7F0D" w:rsidRDefault="00811D5F">
            <w:pPr>
              <w:ind w:right="49"/>
              <w:jc w:val="both"/>
              <w:cnfStyle w:val="000000100000" w:firstRow="0" w:lastRow="0" w:firstColumn="0" w:lastColumn="0" w:oddVBand="0" w:evenVBand="0" w:oddHBand="1" w:evenHBand="0" w:firstRowFirstColumn="0" w:firstRowLastColumn="0" w:lastRowFirstColumn="0" w:lastRowLastColumn="0"/>
              <w:rPr>
                <w:rFonts w:ascii="Palatino Linotype" w:eastAsia="Palatino Linotype" w:hAnsi="Palatino Linotype" w:cs="Palatino Linotype"/>
                <w:sz w:val="22"/>
                <w:szCs w:val="22"/>
              </w:rPr>
            </w:pPr>
            <w:r w:rsidRPr="006B7F0D">
              <w:rPr>
                <w:rFonts w:ascii="Palatino Linotype" w:eastAsia="Palatino Linotype" w:hAnsi="Palatino Linotype" w:cs="Palatino Linotype"/>
                <w:sz w:val="22"/>
                <w:szCs w:val="22"/>
              </w:rPr>
              <w:t xml:space="preserve">Ahora bien, </w:t>
            </w:r>
            <w:r w:rsidRPr="006B7F0D">
              <w:rPr>
                <w:rFonts w:ascii="Palatino Linotype" w:eastAsia="Palatino Linotype" w:hAnsi="Palatino Linotype" w:cs="Palatino Linotype"/>
                <w:b/>
                <w:sz w:val="22"/>
                <w:szCs w:val="22"/>
                <w:u w:val="single"/>
              </w:rPr>
              <w:t>para cada caso además de fundar y motivar</w:t>
            </w:r>
            <w:r w:rsidRPr="006B7F0D">
              <w:rPr>
                <w:rFonts w:ascii="Palatino Linotype" w:eastAsia="Palatino Linotype" w:hAnsi="Palatino Linotype" w:cs="Palatino Linotype"/>
                <w:sz w:val="22"/>
                <w:szCs w:val="22"/>
              </w:rPr>
              <w:t>, se debe identificar con claridad que datos contenidos en las documentales que son susceptibles de suprimirse, por ejemplo; Clave Única de Registro de Población (CURP), Registro Federal de Contribuyentes (R.F.C.), claves de seguros, préstamos o descuentos personales, secretos bancario, fiduciario, industrial, comercial, fiscal, bursátil y postal, cuya titularidad corresponda a particulares, entre otros.</w:t>
            </w:r>
          </w:p>
        </w:tc>
      </w:tr>
      <w:tr w:rsidR="002B3E11" w:rsidRPr="006B7F0D" w14:paraId="1DE2443A" w14:textId="77777777" w:rsidTr="002B3E11">
        <w:tc>
          <w:tcPr>
            <w:cnfStyle w:val="001000000000" w:firstRow="0" w:lastRow="0" w:firstColumn="1" w:lastColumn="0" w:oddVBand="0" w:evenVBand="0" w:oddHBand="0" w:evenHBand="0" w:firstRowFirstColumn="0" w:firstRowLastColumn="0" w:lastRowFirstColumn="0" w:lastRowLastColumn="0"/>
            <w:tcW w:w="1838" w:type="dxa"/>
          </w:tcPr>
          <w:p w14:paraId="55CA95D3" w14:textId="77777777" w:rsidR="002B3E11" w:rsidRPr="006B7F0D" w:rsidRDefault="00811D5F">
            <w:pPr>
              <w:ind w:right="49"/>
              <w:jc w:val="both"/>
              <w:rPr>
                <w:rFonts w:ascii="Palatino Linotype" w:eastAsia="Palatino Linotype" w:hAnsi="Palatino Linotype" w:cs="Palatino Linotype"/>
                <w:sz w:val="22"/>
                <w:szCs w:val="22"/>
              </w:rPr>
            </w:pPr>
            <w:r w:rsidRPr="006B7F0D">
              <w:rPr>
                <w:rFonts w:ascii="Palatino Linotype" w:eastAsia="Palatino Linotype" w:hAnsi="Palatino Linotype" w:cs="Palatino Linotype"/>
                <w:b w:val="0"/>
                <w:sz w:val="22"/>
                <w:szCs w:val="22"/>
              </w:rPr>
              <w:t>e</w:t>
            </w:r>
            <w:r w:rsidRPr="006B7F0D">
              <w:rPr>
                <w:rFonts w:ascii="Palatino Linotype" w:eastAsia="Palatino Linotype" w:hAnsi="Palatino Linotype" w:cs="Palatino Linotype"/>
                <w:sz w:val="22"/>
                <w:szCs w:val="22"/>
              </w:rPr>
              <w:t xml:space="preserve">) Condiciones especiales de la clasificación de la información como confidencial. </w:t>
            </w:r>
          </w:p>
        </w:tc>
        <w:tc>
          <w:tcPr>
            <w:tcW w:w="6990" w:type="dxa"/>
          </w:tcPr>
          <w:p w14:paraId="57E2A8B3" w14:textId="77777777" w:rsidR="002B3E11" w:rsidRPr="006B7F0D" w:rsidRDefault="00811D5F">
            <w:pPr>
              <w:ind w:right="49"/>
              <w:jc w:val="both"/>
              <w:cnfStyle w:val="000000000000" w:firstRow="0" w:lastRow="0" w:firstColumn="0" w:lastColumn="0" w:oddVBand="0" w:evenVBand="0" w:oddHBand="0" w:evenHBand="0" w:firstRowFirstColumn="0" w:firstRowLastColumn="0" w:lastRowFirstColumn="0" w:lastRowLastColumn="0"/>
              <w:rPr>
                <w:rFonts w:ascii="Palatino Linotype" w:eastAsia="Palatino Linotype" w:hAnsi="Palatino Linotype" w:cs="Palatino Linotype"/>
                <w:sz w:val="22"/>
                <w:szCs w:val="22"/>
              </w:rPr>
            </w:pPr>
            <w:r w:rsidRPr="006B7F0D">
              <w:rPr>
                <w:rFonts w:ascii="Palatino Linotype" w:eastAsia="Palatino Linotype" w:hAnsi="Palatino Linotype" w:cs="Palatino Linotype"/>
                <w:sz w:val="22"/>
                <w:szCs w:val="22"/>
              </w:rPr>
              <w:t xml:space="preserve">Los artículos 148 y 120 de la Ley Estatal y de la Ley General, respectivamente, establecen que aun tratándose de datos personales, se podrán proporcionar, incluso sin solicitar el consentimiento de su titular. </w:t>
            </w:r>
          </w:p>
          <w:p w14:paraId="2D6ECE32" w14:textId="77777777" w:rsidR="002B3E11" w:rsidRPr="006B7F0D" w:rsidRDefault="00811D5F">
            <w:pPr>
              <w:ind w:right="49"/>
              <w:jc w:val="both"/>
              <w:cnfStyle w:val="000000000000" w:firstRow="0" w:lastRow="0" w:firstColumn="0" w:lastColumn="0" w:oddVBand="0" w:evenVBand="0" w:oddHBand="0" w:evenHBand="0" w:firstRowFirstColumn="0" w:firstRowLastColumn="0" w:lastRowFirstColumn="0" w:lastRowLastColumn="0"/>
              <w:rPr>
                <w:rFonts w:ascii="Palatino Linotype" w:eastAsia="Palatino Linotype" w:hAnsi="Palatino Linotype" w:cs="Palatino Linotype"/>
                <w:sz w:val="22"/>
                <w:szCs w:val="22"/>
              </w:rPr>
            </w:pPr>
            <w:r w:rsidRPr="006B7F0D">
              <w:rPr>
                <w:rFonts w:ascii="Palatino Linotype" w:eastAsia="Palatino Linotype" w:hAnsi="Palatino Linotype" w:cs="Palatino Linotype"/>
                <w:sz w:val="22"/>
                <w:szCs w:val="22"/>
              </w:rPr>
              <w:t xml:space="preserve">En el caso de lo señalado en la fracción IV, será el Instituto quien deba aplicar la prueba de interés público, considerando también que como </w:t>
            </w:r>
            <w:r w:rsidRPr="006B7F0D">
              <w:rPr>
                <w:rFonts w:ascii="Palatino Linotype" w:eastAsia="Palatino Linotype" w:hAnsi="Palatino Linotype" w:cs="Palatino Linotype"/>
                <w:sz w:val="22"/>
                <w:szCs w:val="22"/>
              </w:rPr>
              <w:lastRenderedPageBreak/>
              <w:t xml:space="preserve">recientemente ha discutido la Suprema Corte de Justicia de la Nación, los servidores públicos nos encontramos sujetos a un régimen menor de protección. </w:t>
            </w:r>
          </w:p>
          <w:p w14:paraId="0EE90E9D" w14:textId="77777777" w:rsidR="002B3E11" w:rsidRPr="006B7F0D" w:rsidRDefault="00811D5F">
            <w:pPr>
              <w:cnfStyle w:val="000000000000" w:firstRow="0" w:lastRow="0" w:firstColumn="0" w:lastColumn="0" w:oddVBand="0" w:evenVBand="0" w:oddHBand="0" w:evenHBand="0" w:firstRowFirstColumn="0" w:firstRowLastColumn="0" w:lastRowFirstColumn="0" w:lastRowLastColumn="0"/>
              <w:rPr>
                <w:rFonts w:ascii="Palatino Linotype" w:eastAsia="Palatino Linotype" w:hAnsi="Palatino Linotype" w:cs="Palatino Linotype"/>
                <w:sz w:val="22"/>
                <w:szCs w:val="22"/>
              </w:rPr>
            </w:pPr>
            <w:r w:rsidRPr="006B7F0D">
              <w:rPr>
                <w:rFonts w:ascii="Palatino Linotype" w:eastAsia="Palatino Linotype" w:hAnsi="Palatino Linotype" w:cs="Palatino Linotype"/>
                <w:sz w:val="22"/>
                <w:szCs w:val="22"/>
              </w:rPr>
              <w:t>Pero si la información que se pretende clasificar como confidencial no se encuentra en los supuestos de los artículos señalados y es posible, se deberá consultar al titular de los datos si permite o no el acceso. De no ser posible, la realización de la consulta, procede, fundando y motivando, la clasificación.</w:t>
            </w:r>
          </w:p>
        </w:tc>
      </w:tr>
    </w:tbl>
    <w:p w14:paraId="0C601879" w14:textId="77777777" w:rsidR="002B3E11" w:rsidRPr="006B7F0D" w:rsidRDefault="002B3E11">
      <w:pPr>
        <w:pBdr>
          <w:top w:val="nil"/>
          <w:left w:val="nil"/>
          <w:bottom w:val="nil"/>
          <w:right w:val="nil"/>
          <w:between w:val="nil"/>
        </w:pBdr>
        <w:tabs>
          <w:tab w:val="left" w:pos="426"/>
        </w:tabs>
        <w:spacing w:before="240" w:line="360" w:lineRule="auto"/>
        <w:ind w:right="51"/>
        <w:jc w:val="both"/>
        <w:rPr>
          <w:rFonts w:ascii="Palatino Linotype" w:eastAsia="Palatino Linotype" w:hAnsi="Palatino Linotype" w:cs="Palatino Linotype"/>
          <w:color w:val="000000"/>
          <w:sz w:val="22"/>
          <w:szCs w:val="22"/>
        </w:rPr>
      </w:pPr>
    </w:p>
    <w:p w14:paraId="5D97A4A9" w14:textId="77777777" w:rsidR="002B3E11" w:rsidRPr="006B7F0D" w:rsidRDefault="00811D5F">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sz w:val="22"/>
          <w:szCs w:val="22"/>
        </w:rPr>
      </w:pPr>
      <w:r w:rsidRPr="006B7F0D">
        <w:rPr>
          <w:rFonts w:ascii="Palatino Linotype" w:eastAsia="Palatino Linotype" w:hAnsi="Palatino Linotype" w:cs="Palatino Linotype"/>
          <w:color w:val="000000"/>
          <w:sz w:val="22"/>
          <w:szCs w:val="22"/>
        </w:rPr>
        <w:t>Si el Servidor Público incumple con estas formalidades y entrega la información sin proteger los datos personales incumple con lo que estipula las disposiciones legales establecidas, asimismo que si entrega un documento testado sin el debido acuerdo de clasificación.</w:t>
      </w:r>
    </w:p>
    <w:p w14:paraId="1D94C4E8" w14:textId="77777777" w:rsidR="002B3E11" w:rsidRPr="006B7F0D" w:rsidRDefault="002B3E11">
      <w:pPr>
        <w:pBdr>
          <w:top w:val="nil"/>
          <w:left w:val="nil"/>
          <w:bottom w:val="nil"/>
          <w:right w:val="nil"/>
          <w:between w:val="nil"/>
        </w:pBdr>
        <w:spacing w:line="360" w:lineRule="auto"/>
        <w:jc w:val="both"/>
        <w:rPr>
          <w:rFonts w:ascii="Palatino Linotype" w:eastAsia="Palatino Linotype" w:hAnsi="Palatino Linotype" w:cs="Palatino Linotype"/>
          <w:color w:val="000000"/>
          <w:sz w:val="22"/>
          <w:szCs w:val="22"/>
        </w:rPr>
      </w:pPr>
    </w:p>
    <w:p w14:paraId="6F52C621" w14:textId="77777777" w:rsidR="002B3E11" w:rsidRPr="006B7F0D" w:rsidRDefault="00811D5F">
      <w:pPr>
        <w:numPr>
          <w:ilvl w:val="0"/>
          <w:numId w:val="4"/>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sz w:val="22"/>
          <w:szCs w:val="22"/>
        </w:rPr>
      </w:pPr>
      <w:r w:rsidRPr="006B7F0D">
        <w:rPr>
          <w:rFonts w:ascii="Palatino Linotype" w:eastAsia="Palatino Linotype" w:hAnsi="Palatino Linotype" w:cs="Palatino Linotype"/>
          <w:color w:val="000000"/>
          <w:sz w:val="22"/>
          <w:szCs w:val="22"/>
        </w:rPr>
        <w:t xml:space="preserve">Por lo anteriormente expuesto y fundado, este </w:t>
      </w:r>
      <w:r w:rsidRPr="006B7F0D">
        <w:rPr>
          <w:rFonts w:ascii="Palatino Linotype" w:eastAsia="Palatino Linotype" w:hAnsi="Palatino Linotype" w:cs="Palatino Linotype"/>
          <w:b/>
          <w:color w:val="000000"/>
          <w:sz w:val="22"/>
          <w:szCs w:val="22"/>
        </w:rPr>
        <w:t>ÓRGANO GARANTE</w:t>
      </w:r>
      <w:r w:rsidRPr="006B7F0D">
        <w:rPr>
          <w:rFonts w:ascii="Palatino Linotype" w:eastAsia="Palatino Linotype" w:hAnsi="Palatino Linotype" w:cs="Palatino Linotype"/>
          <w:color w:val="000000"/>
          <w:sz w:val="22"/>
          <w:szCs w:val="22"/>
        </w:rPr>
        <w:t xml:space="preserve"> emite los siguientes:</w:t>
      </w:r>
    </w:p>
    <w:p w14:paraId="5587D5A0" w14:textId="77777777" w:rsidR="002B3E11" w:rsidRPr="006B7F0D" w:rsidRDefault="002B3E11">
      <w:pPr>
        <w:pBdr>
          <w:top w:val="nil"/>
          <w:left w:val="nil"/>
          <w:bottom w:val="nil"/>
          <w:right w:val="nil"/>
          <w:between w:val="nil"/>
        </w:pBdr>
        <w:spacing w:line="360" w:lineRule="auto"/>
        <w:jc w:val="both"/>
        <w:rPr>
          <w:rFonts w:ascii="Palatino Linotype" w:eastAsia="Palatino Linotype" w:hAnsi="Palatino Linotype" w:cs="Palatino Linotype"/>
          <w:color w:val="000000"/>
          <w:sz w:val="22"/>
          <w:szCs w:val="22"/>
        </w:rPr>
      </w:pPr>
    </w:p>
    <w:p w14:paraId="571B3BDB" w14:textId="77777777" w:rsidR="002B3E11" w:rsidRPr="006B7F0D" w:rsidRDefault="00811D5F">
      <w:pPr>
        <w:keepNext/>
        <w:keepLines/>
        <w:spacing w:before="240" w:after="240" w:line="360" w:lineRule="auto"/>
        <w:jc w:val="center"/>
        <w:rPr>
          <w:rFonts w:ascii="Palatino Linotype" w:eastAsia="Palatino Linotype" w:hAnsi="Palatino Linotype" w:cs="Palatino Linotype"/>
          <w:b/>
          <w:color w:val="000000"/>
          <w:sz w:val="22"/>
          <w:szCs w:val="22"/>
        </w:rPr>
      </w:pPr>
      <w:bookmarkStart w:id="14" w:name="_heading=h.lnxbz9" w:colFirst="0" w:colLast="0"/>
      <w:bookmarkEnd w:id="14"/>
      <w:r w:rsidRPr="006B7F0D">
        <w:rPr>
          <w:rFonts w:ascii="Palatino Linotype" w:eastAsia="Palatino Linotype" w:hAnsi="Palatino Linotype" w:cs="Palatino Linotype"/>
          <w:b/>
          <w:color w:val="000000"/>
          <w:sz w:val="22"/>
          <w:szCs w:val="22"/>
        </w:rPr>
        <w:t>R E S O L U T I V O S</w:t>
      </w:r>
    </w:p>
    <w:p w14:paraId="48E28BC0" w14:textId="4FA7E77A" w:rsidR="002B3E11" w:rsidRPr="006B7F0D" w:rsidRDefault="00811D5F">
      <w:pPr>
        <w:spacing w:before="240" w:after="240" w:line="360" w:lineRule="auto"/>
        <w:ind w:right="48"/>
        <w:jc w:val="both"/>
        <w:rPr>
          <w:rFonts w:ascii="Palatino Linotype" w:eastAsia="Palatino Linotype" w:hAnsi="Palatino Linotype" w:cs="Palatino Linotype"/>
          <w:sz w:val="22"/>
          <w:szCs w:val="22"/>
        </w:rPr>
      </w:pPr>
      <w:r w:rsidRPr="006B7F0D">
        <w:rPr>
          <w:rFonts w:ascii="Palatino Linotype" w:eastAsia="Palatino Linotype" w:hAnsi="Palatino Linotype" w:cs="Palatino Linotype"/>
          <w:b/>
          <w:sz w:val="22"/>
          <w:szCs w:val="22"/>
        </w:rPr>
        <w:t xml:space="preserve">PRIMERO. </w:t>
      </w:r>
      <w:r w:rsidRPr="006B7F0D">
        <w:rPr>
          <w:rFonts w:ascii="Palatino Linotype" w:eastAsia="Palatino Linotype" w:hAnsi="Palatino Linotype" w:cs="Palatino Linotype"/>
          <w:sz w:val="22"/>
          <w:szCs w:val="22"/>
        </w:rPr>
        <w:t>Resultan fundadas las</w:t>
      </w:r>
      <w:r w:rsidRPr="006B7F0D">
        <w:rPr>
          <w:rFonts w:ascii="Palatino Linotype" w:eastAsia="Palatino Linotype" w:hAnsi="Palatino Linotype" w:cs="Palatino Linotype"/>
          <w:b/>
          <w:sz w:val="22"/>
          <w:szCs w:val="22"/>
        </w:rPr>
        <w:t xml:space="preserve"> </w:t>
      </w:r>
      <w:r w:rsidRPr="006B7F0D">
        <w:rPr>
          <w:rFonts w:ascii="Palatino Linotype" w:eastAsia="Palatino Linotype" w:hAnsi="Palatino Linotype" w:cs="Palatino Linotype"/>
          <w:sz w:val="22"/>
          <w:szCs w:val="22"/>
        </w:rPr>
        <w:t xml:space="preserve">razones o motivos de inconformidad hechos valer en el recurso de revisión </w:t>
      </w:r>
      <w:r w:rsidR="009D0EA8" w:rsidRPr="006B7F0D">
        <w:rPr>
          <w:rFonts w:ascii="Palatino Linotype" w:eastAsia="Palatino Linotype" w:hAnsi="Palatino Linotype" w:cs="Palatino Linotype"/>
          <w:b/>
          <w:sz w:val="22"/>
          <w:szCs w:val="22"/>
        </w:rPr>
        <w:t>07688/INFOEM/IP/RR/2024</w:t>
      </w:r>
      <w:r w:rsidRPr="006B7F0D">
        <w:rPr>
          <w:rFonts w:ascii="Palatino Linotype" w:eastAsia="Palatino Linotype" w:hAnsi="Palatino Linotype" w:cs="Palatino Linotype"/>
          <w:b/>
          <w:sz w:val="22"/>
          <w:szCs w:val="22"/>
        </w:rPr>
        <w:t xml:space="preserve">, </w:t>
      </w:r>
      <w:r w:rsidRPr="006B7F0D">
        <w:rPr>
          <w:rFonts w:ascii="Palatino Linotype" w:eastAsia="Palatino Linotype" w:hAnsi="Palatino Linotype" w:cs="Palatino Linotype"/>
          <w:sz w:val="22"/>
          <w:szCs w:val="22"/>
        </w:rPr>
        <w:t xml:space="preserve">en términos del </w:t>
      </w:r>
      <w:r w:rsidRPr="006B7F0D">
        <w:rPr>
          <w:rFonts w:ascii="Palatino Linotype" w:eastAsia="Palatino Linotype" w:hAnsi="Palatino Linotype" w:cs="Palatino Linotype"/>
          <w:b/>
          <w:sz w:val="22"/>
          <w:szCs w:val="22"/>
        </w:rPr>
        <w:t>Considerando</w:t>
      </w:r>
      <w:r w:rsidRPr="006B7F0D">
        <w:rPr>
          <w:rFonts w:ascii="Palatino Linotype" w:eastAsia="Palatino Linotype" w:hAnsi="Palatino Linotype" w:cs="Palatino Linotype"/>
          <w:sz w:val="22"/>
          <w:szCs w:val="22"/>
        </w:rPr>
        <w:t xml:space="preserve"> </w:t>
      </w:r>
      <w:r w:rsidRPr="006B7F0D">
        <w:rPr>
          <w:rFonts w:ascii="Palatino Linotype" w:eastAsia="Palatino Linotype" w:hAnsi="Palatino Linotype" w:cs="Palatino Linotype"/>
          <w:b/>
          <w:sz w:val="22"/>
          <w:szCs w:val="22"/>
        </w:rPr>
        <w:t xml:space="preserve">CUARTO y QUINTO </w:t>
      </w:r>
      <w:r w:rsidRPr="006B7F0D">
        <w:rPr>
          <w:rFonts w:ascii="Palatino Linotype" w:eastAsia="Palatino Linotype" w:hAnsi="Palatino Linotype" w:cs="Palatino Linotype"/>
          <w:sz w:val="22"/>
          <w:szCs w:val="22"/>
        </w:rPr>
        <w:t>de la presente resolución.</w:t>
      </w:r>
    </w:p>
    <w:p w14:paraId="36180F14" w14:textId="180C5FCD" w:rsidR="002B3E11" w:rsidRPr="006B7F0D" w:rsidRDefault="00811D5F" w:rsidP="00206715">
      <w:pPr>
        <w:spacing w:before="240" w:after="240" w:line="360" w:lineRule="auto"/>
        <w:ind w:right="48"/>
        <w:jc w:val="both"/>
        <w:rPr>
          <w:rFonts w:ascii="Palatino Linotype" w:eastAsia="Palatino Linotype" w:hAnsi="Palatino Linotype" w:cs="Palatino Linotype"/>
          <w:sz w:val="22"/>
          <w:szCs w:val="22"/>
        </w:rPr>
      </w:pPr>
      <w:bookmarkStart w:id="15" w:name="_heading=h.35nkun2" w:colFirst="0" w:colLast="0"/>
      <w:bookmarkEnd w:id="15"/>
      <w:r w:rsidRPr="006B7F0D">
        <w:rPr>
          <w:rFonts w:ascii="Palatino Linotype" w:eastAsia="Palatino Linotype" w:hAnsi="Palatino Linotype" w:cs="Palatino Linotype"/>
          <w:b/>
          <w:sz w:val="22"/>
          <w:szCs w:val="22"/>
        </w:rPr>
        <w:t>SEGUNDO.</w:t>
      </w:r>
      <w:r w:rsidRPr="006B7F0D">
        <w:rPr>
          <w:rFonts w:ascii="Palatino Linotype" w:eastAsia="Palatino Linotype" w:hAnsi="Palatino Linotype" w:cs="Palatino Linotype"/>
          <w:color w:val="2F5496"/>
          <w:sz w:val="22"/>
          <w:szCs w:val="22"/>
        </w:rPr>
        <w:t xml:space="preserve"> </w:t>
      </w:r>
      <w:r w:rsidRPr="006B7F0D">
        <w:rPr>
          <w:rFonts w:ascii="Palatino Linotype" w:eastAsia="Palatino Linotype" w:hAnsi="Palatino Linotype" w:cs="Palatino Linotype"/>
          <w:sz w:val="22"/>
          <w:szCs w:val="22"/>
        </w:rPr>
        <w:t>Se</w:t>
      </w:r>
      <w:r w:rsidRPr="006B7F0D">
        <w:rPr>
          <w:rFonts w:ascii="Palatino Linotype" w:eastAsia="Palatino Linotype" w:hAnsi="Palatino Linotype" w:cs="Palatino Linotype"/>
          <w:b/>
          <w:sz w:val="22"/>
          <w:szCs w:val="22"/>
        </w:rPr>
        <w:t xml:space="preserve"> REVOCA </w:t>
      </w:r>
      <w:r w:rsidR="009D0EA8" w:rsidRPr="006B7F0D">
        <w:rPr>
          <w:rFonts w:ascii="Palatino Linotype" w:eastAsia="Palatino Linotype" w:hAnsi="Palatino Linotype" w:cs="Palatino Linotype"/>
          <w:sz w:val="22"/>
          <w:szCs w:val="22"/>
        </w:rPr>
        <w:t xml:space="preserve">la respuesta emitida por el </w:t>
      </w:r>
      <w:r w:rsidR="009D0EA8" w:rsidRPr="006B7F0D">
        <w:rPr>
          <w:rFonts w:ascii="Palatino Linotype" w:eastAsia="Palatino Linotype" w:hAnsi="Palatino Linotype" w:cs="Palatino Linotype"/>
          <w:b/>
          <w:sz w:val="22"/>
          <w:szCs w:val="22"/>
        </w:rPr>
        <w:t>Ayuntamiento de Chimalhuacán</w:t>
      </w:r>
      <w:r w:rsidR="009D0EA8" w:rsidRPr="006B7F0D">
        <w:rPr>
          <w:rFonts w:ascii="Palatino Linotype" w:eastAsia="Palatino Linotype" w:hAnsi="Palatino Linotype" w:cs="Palatino Linotype"/>
          <w:sz w:val="22"/>
          <w:szCs w:val="22"/>
        </w:rPr>
        <w:t xml:space="preserve"> </w:t>
      </w:r>
      <w:r w:rsidRPr="006B7F0D">
        <w:rPr>
          <w:rFonts w:ascii="Palatino Linotype" w:eastAsia="Palatino Linotype" w:hAnsi="Palatino Linotype" w:cs="Palatino Linotype"/>
          <w:sz w:val="22"/>
          <w:szCs w:val="22"/>
        </w:rPr>
        <w:t>y se</w:t>
      </w:r>
      <w:r w:rsidR="009D0EA8" w:rsidRPr="006B7F0D">
        <w:rPr>
          <w:rFonts w:ascii="Palatino Linotype" w:eastAsia="Palatino Linotype" w:hAnsi="Palatino Linotype" w:cs="Palatino Linotype"/>
          <w:b/>
          <w:sz w:val="22"/>
          <w:szCs w:val="22"/>
        </w:rPr>
        <w:t xml:space="preserve"> ORDENA</w:t>
      </w:r>
      <w:r w:rsidR="00206715" w:rsidRPr="006B7F0D">
        <w:rPr>
          <w:rFonts w:ascii="Palatino Linotype" w:eastAsia="Palatino Linotype" w:hAnsi="Palatino Linotype" w:cs="Palatino Linotype"/>
          <w:b/>
          <w:sz w:val="22"/>
          <w:szCs w:val="22"/>
        </w:rPr>
        <w:t xml:space="preserve"> </w:t>
      </w:r>
      <w:r w:rsidRPr="006B7F0D">
        <w:rPr>
          <w:rFonts w:ascii="Palatino Linotype" w:eastAsia="Palatino Linotype" w:hAnsi="Palatino Linotype" w:cs="Palatino Linotype"/>
          <w:sz w:val="22"/>
          <w:szCs w:val="22"/>
        </w:rPr>
        <w:t xml:space="preserve">entregar vía Sistema de Accesos a la Información Mexiquense </w:t>
      </w:r>
      <w:r w:rsidRPr="006B7F0D">
        <w:rPr>
          <w:rFonts w:ascii="Palatino Linotype" w:eastAsia="Palatino Linotype" w:hAnsi="Palatino Linotype" w:cs="Palatino Linotype"/>
          <w:b/>
          <w:sz w:val="22"/>
          <w:szCs w:val="22"/>
        </w:rPr>
        <w:t>(SAIMEX)</w:t>
      </w:r>
      <w:r w:rsidRPr="006B7F0D">
        <w:rPr>
          <w:rFonts w:ascii="Palatino Linotype" w:eastAsia="Palatino Linotype" w:hAnsi="Palatino Linotype" w:cs="Palatino Linotype"/>
          <w:sz w:val="22"/>
          <w:szCs w:val="22"/>
        </w:rPr>
        <w:t xml:space="preserve">, de ser procedente en versión pública, </w:t>
      </w:r>
      <w:r w:rsidRPr="006B7F0D">
        <w:rPr>
          <w:rFonts w:ascii="Palatino Linotype" w:eastAsia="Palatino Linotype" w:hAnsi="Palatino Linotype" w:cs="Palatino Linotype"/>
          <w:color w:val="000000"/>
          <w:sz w:val="22"/>
          <w:szCs w:val="22"/>
        </w:rPr>
        <w:t>al seis de junio de dos mil veintitrés:</w:t>
      </w:r>
    </w:p>
    <w:p w14:paraId="5407534C" w14:textId="4B57F1F8" w:rsidR="002B3E11" w:rsidRPr="006B7F0D" w:rsidRDefault="00811D5F" w:rsidP="00241792">
      <w:pPr>
        <w:numPr>
          <w:ilvl w:val="0"/>
          <w:numId w:val="2"/>
        </w:numPr>
        <w:pBdr>
          <w:top w:val="nil"/>
          <w:left w:val="nil"/>
          <w:bottom w:val="nil"/>
          <w:right w:val="nil"/>
          <w:between w:val="nil"/>
        </w:pBdr>
        <w:spacing w:before="240" w:after="240" w:line="360" w:lineRule="auto"/>
        <w:ind w:left="567" w:right="539" w:hanging="141"/>
        <w:jc w:val="both"/>
        <w:rPr>
          <w:rFonts w:ascii="Palatino Linotype" w:eastAsia="Palatino Linotype" w:hAnsi="Palatino Linotype" w:cs="Palatino Linotype"/>
          <w:b/>
          <w:color w:val="000000"/>
          <w:sz w:val="22"/>
          <w:szCs w:val="22"/>
        </w:rPr>
      </w:pPr>
      <w:r w:rsidRPr="006B7F0D">
        <w:rPr>
          <w:rFonts w:ascii="Palatino Linotype" w:eastAsia="Palatino Linotype" w:hAnsi="Palatino Linotype" w:cs="Palatino Linotype"/>
          <w:b/>
          <w:color w:val="000000"/>
          <w:sz w:val="22"/>
          <w:szCs w:val="22"/>
        </w:rPr>
        <w:lastRenderedPageBreak/>
        <w:t xml:space="preserve">Expediente </w:t>
      </w:r>
      <w:r w:rsidR="00FD1D6C" w:rsidRPr="006B7F0D">
        <w:rPr>
          <w:rFonts w:ascii="Palatino Linotype" w:eastAsia="Palatino Linotype" w:hAnsi="Palatino Linotype" w:cs="Palatino Linotype"/>
          <w:b/>
          <w:color w:val="000000"/>
          <w:sz w:val="22"/>
          <w:szCs w:val="22"/>
        </w:rPr>
        <w:t>de la obra pública realizada en vía pública, Calle La Paz, Cabecera Municipal, Chimalhuacán, Estado de México; al cinco de noviembre de dos mil veinticuatro.</w:t>
      </w:r>
    </w:p>
    <w:p w14:paraId="38136D11" w14:textId="77777777" w:rsidR="002B3E11" w:rsidRPr="006B7F0D" w:rsidRDefault="00811D5F">
      <w:pPr>
        <w:tabs>
          <w:tab w:val="left" w:pos="8080"/>
        </w:tabs>
        <w:spacing w:before="240" w:line="360" w:lineRule="auto"/>
        <w:ind w:right="48"/>
        <w:jc w:val="both"/>
        <w:rPr>
          <w:rFonts w:ascii="Palatino Linotype" w:eastAsia="Palatino Linotype" w:hAnsi="Palatino Linotype" w:cs="Palatino Linotype"/>
          <w:b/>
          <w:sz w:val="22"/>
          <w:szCs w:val="22"/>
        </w:rPr>
      </w:pPr>
      <w:r w:rsidRPr="006B7F0D">
        <w:rPr>
          <w:rFonts w:ascii="Palatino Linotype" w:eastAsia="Palatino Linotype" w:hAnsi="Palatino Linotype" w:cs="Palatino Linotype"/>
          <w:sz w:val="22"/>
          <w:szCs w:val="22"/>
        </w:rPr>
        <w:t>Para efectos de lo anterior, se deberá emitir el Acuerdo del Comité de Transparencia en términos de los artículos 49, fracción VIII y 132, fracción II de la Ley de Transparencia y Acceso a la Información Pública del Estado de México y Municipios, en el que funde y motive las razones sobre los datos que se supriman o eliminen dentro del soporte documental respectivo objeto de las versiones públicas que se formulen y se pongan a disposición del</w:t>
      </w:r>
      <w:r w:rsidRPr="006B7F0D">
        <w:rPr>
          <w:rFonts w:ascii="Palatino Linotype" w:eastAsia="Palatino Linotype" w:hAnsi="Palatino Linotype" w:cs="Palatino Linotype"/>
          <w:b/>
          <w:sz w:val="22"/>
          <w:szCs w:val="22"/>
        </w:rPr>
        <w:t xml:space="preserve"> RECURRENTE.</w:t>
      </w:r>
    </w:p>
    <w:p w14:paraId="5C4BF293" w14:textId="77777777" w:rsidR="002B3E11" w:rsidRPr="006B7F0D" w:rsidRDefault="002B3E11">
      <w:pPr>
        <w:tabs>
          <w:tab w:val="left" w:pos="8080"/>
        </w:tabs>
        <w:spacing w:line="360" w:lineRule="auto"/>
        <w:ind w:right="48"/>
        <w:jc w:val="both"/>
        <w:rPr>
          <w:rFonts w:ascii="Palatino Linotype" w:eastAsia="Palatino Linotype" w:hAnsi="Palatino Linotype" w:cs="Palatino Linotype"/>
          <w:b/>
          <w:sz w:val="22"/>
          <w:szCs w:val="22"/>
        </w:rPr>
      </w:pPr>
    </w:p>
    <w:p w14:paraId="68A5E397" w14:textId="06C1B543" w:rsidR="002B3E11" w:rsidRPr="006B7F0D" w:rsidRDefault="00811D5F">
      <w:pPr>
        <w:tabs>
          <w:tab w:val="left" w:pos="8080"/>
        </w:tabs>
        <w:spacing w:line="360" w:lineRule="auto"/>
        <w:ind w:right="48"/>
        <w:jc w:val="both"/>
        <w:rPr>
          <w:rFonts w:ascii="Palatino Linotype" w:eastAsia="Palatino Linotype" w:hAnsi="Palatino Linotype" w:cs="Palatino Linotype"/>
          <w:color w:val="222222"/>
          <w:sz w:val="22"/>
          <w:szCs w:val="22"/>
        </w:rPr>
      </w:pPr>
      <w:r w:rsidRPr="006B7F0D">
        <w:rPr>
          <w:rFonts w:ascii="Palatino Linotype" w:eastAsia="Palatino Linotype" w:hAnsi="Palatino Linotype" w:cs="Palatino Linotype"/>
          <w:b/>
          <w:sz w:val="22"/>
          <w:szCs w:val="22"/>
        </w:rPr>
        <w:t xml:space="preserve">TERCERO. </w:t>
      </w:r>
      <w:r w:rsidRPr="006B7F0D">
        <w:rPr>
          <w:rFonts w:ascii="Palatino Linotype" w:eastAsia="Palatino Linotype" w:hAnsi="Palatino Linotype" w:cs="Palatino Linotype"/>
          <w:b/>
          <w:color w:val="000000"/>
          <w:sz w:val="22"/>
          <w:szCs w:val="22"/>
        </w:rPr>
        <w:t xml:space="preserve">Notifíquese </w:t>
      </w:r>
      <w:r w:rsidR="00241792" w:rsidRPr="006B7F0D">
        <w:rPr>
          <w:rFonts w:ascii="Palatino Linotype" w:eastAsia="Palatino Linotype" w:hAnsi="Palatino Linotype" w:cs="Palatino Linotype"/>
          <w:b/>
          <w:color w:val="000000"/>
          <w:sz w:val="22"/>
          <w:szCs w:val="22"/>
        </w:rPr>
        <w:t xml:space="preserve">vía SAIMEX </w:t>
      </w:r>
      <w:r w:rsidR="00241792" w:rsidRPr="006B7F0D">
        <w:rPr>
          <w:rFonts w:ascii="Palatino Linotype" w:eastAsia="Palatino Linotype" w:hAnsi="Palatino Linotype" w:cs="Palatino Linotype"/>
          <w:color w:val="000000"/>
          <w:sz w:val="22"/>
          <w:szCs w:val="22"/>
        </w:rPr>
        <w:t>l</w:t>
      </w:r>
      <w:r w:rsidRPr="006B7F0D">
        <w:rPr>
          <w:rFonts w:ascii="Palatino Linotype" w:eastAsia="Palatino Linotype" w:hAnsi="Palatino Linotype" w:cs="Palatino Linotype"/>
          <w:sz w:val="22"/>
          <w:szCs w:val="22"/>
        </w:rPr>
        <w:t xml:space="preserve">a presente resolución al Titular de la Unidad de Transparencia del </w:t>
      </w:r>
      <w:r w:rsidRPr="006B7F0D">
        <w:rPr>
          <w:rFonts w:ascii="Palatino Linotype" w:eastAsia="Palatino Linotype" w:hAnsi="Palatino Linotype" w:cs="Palatino Linotype"/>
          <w:b/>
          <w:sz w:val="22"/>
          <w:szCs w:val="22"/>
        </w:rPr>
        <w:t>SUJETO OBLIGADO</w:t>
      </w:r>
      <w:r w:rsidRPr="006B7F0D">
        <w:rPr>
          <w:rFonts w:ascii="Palatino Linotype" w:eastAsia="Palatino Linotype" w:hAnsi="Palatino Linotype" w:cs="Palatino Linotype"/>
          <w:sz w:val="22"/>
          <w:szCs w:val="22"/>
        </w:rPr>
        <w:t xml:space="preserve">, para que conforme al artículo 186 último párrafo, 189 segundo párrafo y 194 de la Ley de Transparencia y Acceso a la Información Pública del Estado de México y Municipios; dé cumplimiento a lo ordenado dentro del plazo de </w:t>
      </w:r>
      <w:r w:rsidRPr="006B7F0D">
        <w:rPr>
          <w:rFonts w:ascii="Palatino Linotype" w:eastAsia="Palatino Linotype" w:hAnsi="Palatino Linotype" w:cs="Palatino Linotype"/>
          <w:b/>
          <w:sz w:val="22"/>
          <w:szCs w:val="22"/>
        </w:rPr>
        <w:t>diez días hábiles</w:t>
      </w:r>
      <w:r w:rsidRPr="006B7F0D">
        <w:rPr>
          <w:rFonts w:ascii="Palatino Linotype" w:eastAsia="Palatino Linotype" w:hAnsi="Palatino Linotype" w:cs="Palatino Linotype"/>
          <w:sz w:val="22"/>
          <w:szCs w:val="22"/>
        </w:rPr>
        <w:t>, e informe a este Instituto en un plazo de tres días hábiles siguientes sobre el cumplimiento dado a la presente y, 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p>
    <w:p w14:paraId="3F19112A" w14:textId="77777777" w:rsidR="002B3E11" w:rsidRPr="006B7F0D" w:rsidRDefault="002B3E11">
      <w:pPr>
        <w:tabs>
          <w:tab w:val="left" w:pos="8080"/>
        </w:tabs>
        <w:spacing w:line="360" w:lineRule="auto"/>
        <w:ind w:right="48"/>
        <w:jc w:val="both"/>
        <w:rPr>
          <w:rFonts w:ascii="Palatino Linotype" w:eastAsia="Palatino Linotype" w:hAnsi="Palatino Linotype" w:cs="Palatino Linotype"/>
          <w:color w:val="222222"/>
          <w:sz w:val="22"/>
          <w:szCs w:val="22"/>
        </w:rPr>
      </w:pPr>
    </w:p>
    <w:p w14:paraId="042E75B7" w14:textId="6D431DE2" w:rsidR="002B3E11" w:rsidRPr="006B7F0D" w:rsidRDefault="00811D5F" w:rsidP="00241792">
      <w:pPr>
        <w:shd w:val="clear" w:color="auto" w:fill="FFFFFF"/>
        <w:spacing w:after="240" w:line="360" w:lineRule="auto"/>
        <w:ind w:right="48"/>
        <w:jc w:val="both"/>
        <w:rPr>
          <w:rFonts w:ascii="Palatino Linotype" w:eastAsia="Palatino Linotype" w:hAnsi="Palatino Linotype" w:cs="Palatino Linotype"/>
          <w:b/>
          <w:sz w:val="22"/>
          <w:szCs w:val="22"/>
        </w:rPr>
      </w:pPr>
      <w:r w:rsidRPr="006B7F0D">
        <w:rPr>
          <w:rFonts w:ascii="Palatino Linotype" w:eastAsia="Palatino Linotype" w:hAnsi="Palatino Linotype" w:cs="Palatino Linotype"/>
          <w:b/>
          <w:sz w:val="22"/>
          <w:szCs w:val="22"/>
        </w:rPr>
        <w:t>CUARTO. Notifíquese al RECURRENTE</w:t>
      </w:r>
      <w:r w:rsidRPr="006B7F0D">
        <w:rPr>
          <w:rFonts w:ascii="Palatino Linotype" w:eastAsia="Palatino Linotype" w:hAnsi="Palatino Linotype" w:cs="Palatino Linotype"/>
          <w:sz w:val="22"/>
          <w:szCs w:val="22"/>
        </w:rPr>
        <w:t xml:space="preserve"> la presente resolución vía </w:t>
      </w:r>
      <w:r w:rsidRPr="006B7F0D">
        <w:rPr>
          <w:rFonts w:ascii="Palatino Linotype" w:eastAsia="Palatino Linotype" w:hAnsi="Palatino Linotype" w:cs="Palatino Linotype"/>
          <w:b/>
          <w:sz w:val="22"/>
          <w:szCs w:val="22"/>
        </w:rPr>
        <w:t>SAIMEX.</w:t>
      </w:r>
    </w:p>
    <w:p w14:paraId="4C1195FF" w14:textId="2D6E9EC6" w:rsidR="002B3E11" w:rsidRPr="006B7F0D" w:rsidRDefault="00811D5F">
      <w:pPr>
        <w:spacing w:before="240" w:after="240" w:line="360" w:lineRule="auto"/>
        <w:ind w:right="48"/>
        <w:jc w:val="both"/>
        <w:rPr>
          <w:rFonts w:ascii="Palatino Linotype" w:eastAsia="Palatino Linotype" w:hAnsi="Palatino Linotype" w:cs="Palatino Linotype"/>
          <w:sz w:val="22"/>
          <w:szCs w:val="22"/>
        </w:rPr>
      </w:pPr>
      <w:r w:rsidRPr="006B7F0D">
        <w:rPr>
          <w:rFonts w:ascii="Palatino Linotype" w:eastAsia="Palatino Linotype" w:hAnsi="Palatino Linotype" w:cs="Palatino Linotype"/>
          <w:b/>
          <w:sz w:val="22"/>
          <w:szCs w:val="22"/>
        </w:rPr>
        <w:t>QUINTO.</w:t>
      </w:r>
      <w:r w:rsidRPr="006B7F0D">
        <w:rPr>
          <w:rFonts w:ascii="Palatino Linotype" w:eastAsia="Palatino Linotype" w:hAnsi="Palatino Linotype" w:cs="Palatino Linotype"/>
          <w:sz w:val="22"/>
          <w:szCs w:val="22"/>
        </w:rPr>
        <w:t xml:space="preserve"> Se hace del conocimiento del </w:t>
      </w:r>
      <w:r w:rsidRPr="006B7F0D">
        <w:rPr>
          <w:rFonts w:ascii="Palatino Linotype" w:eastAsia="Palatino Linotype" w:hAnsi="Palatino Linotype" w:cs="Palatino Linotype"/>
          <w:b/>
          <w:sz w:val="22"/>
          <w:szCs w:val="22"/>
        </w:rPr>
        <w:t>RECURRENTE</w:t>
      </w:r>
      <w:r w:rsidRPr="006B7F0D">
        <w:rPr>
          <w:rFonts w:ascii="Palatino Linotype" w:eastAsia="Palatino Linotype" w:hAnsi="Palatino Linotype" w:cs="Palatino Linotype"/>
          <w:sz w:val="22"/>
          <w:szCs w:val="22"/>
        </w:rPr>
        <w:t xml:space="preserve"> que de conformidad con lo establecido en el artículo 196</w:t>
      </w:r>
      <w:r w:rsidR="00B74AC4" w:rsidRPr="006B7F0D">
        <w:rPr>
          <w:rFonts w:ascii="Palatino Linotype" w:eastAsia="Palatino Linotype" w:hAnsi="Palatino Linotype" w:cs="Palatino Linotype"/>
          <w:sz w:val="22"/>
          <w:szCs w:val="22"/>
        </w:rPr>
        <w:t>,</w:t>
      </w:r>
      <w:r w:rsidRPr="006B7F0D">
        <w:rPr>
          <w:rFonts w:ascii="Palatino Linotype" w:eastAsia="Palatino Linotype" w:hAnsi="Palatino Linotype" w:cs="Palatino Linotype"/>
          <w:sz w:val="22"/>
          <w:szCs w:val="22"/>
        </w:rPr>
        <w:t xml:space="preserve"> de la Ley de Transparencia y Acceso a la Información Pública del Estado de México y Municipios, en caso de que considere que la resolución le cause algún perjuicio podrá impugnarla vía juicio de amparo en los términos de las leyes aplicables.</w:t>
      </w:r>
    </w:p>
    <w:p w14:paraId="59B4337F" w14:textId="77777777" w:rsidR="002B3E11" w:rsidRPr="006B7F0D" w:rsidRDefault="00811D5F">
      <w:pPr>
        <w:spacing w:before="240" w:after="240" w:line="360" w:lineRule="auto"/>
        <w:ind w:right="48"/>
        <w:jc w:val="both"/>
        <w:rPr>
          <w:rFonts w:ascii="Palatino Linotype" w:eastAsia="Palatino Linotype" w:hAnsi="Palatino Linotype" w:cs="Palatino Linotype"/>
          <w:sz w:val="22"/>
          <w:szCs w:val="22"/>
        </w:rPr>
      </w:pPr>
      <w:r w:rsidRPr="006B7F0D">
        <w:rPr>
          <w:rFonts w:ascii="Palatino Linotype" w:eastAsia="Palatino Linotype" w:hAnsi="Palatino Linotype" w:cs="Palatino Linotype"/>
          <w:b/>
          <w:color w:val="000000"/>
          <w:sz w:val="22"/>
          <w:szCs w:val="22"/>
        </w:rPr>
        <w:lastRenderedPageBreak/>
        <w:t xml:space="preserve">SEXTO. </w:t>
      </w:r>
      <w:r w:rsidRPr="006B7F0D">
        <w:rPr>
          <w:rFonts w:ascii="Palatino Linotype" w:eastAsia="Palatino Linotype" w:hAnsi="Palatino Linotype" w:cs="Palatino Linotype"/>
          <w:sz w:val="22"/>
          <w:szCs w:val="22"/>
        </w:rPr>
        <w:t>De conformidad con el artículo 198 de la Ley de Transparencia y Acceso a la Información Pública del Estado de México y Municipios, de considerarlo procedente, el Sujeto Obligado de manera fundada y motivada, podrá solicitar una ampliación de plazo para el cumplimiento de la presente resolución.</w:t>
      </w:r>
    </w:p>
    <w:p w14:paraId="6E66D453" w14:textId="77777777" w:rsidR="00B74AC4" w:rsidRPr="006B7F0D" w:rsidRDefault="00B74AC4">
      <w:pPr>
        <w:spacing w:before="240" w:after="240" w:line="360" w:lineRule="auto"/>
        <w:ind w:right="48"/>
        <w:jc w:val="both"/>
        <w:rPr>
          <w:rFonts w:ascii="Palatino Linotype" w:eastAsia="Palatino Linotype" w:hAnsi="Palatino Linotype" w:cs="Palatino Linotype"/>
          <w:sz w:val="22"/>
          <w:szCs w:val="22"/>
        </w:rPr>
      </w:pPr>
    </w:p>
    <w:p w14:paraId="67A2DF8B" w14:textId="77777777" w:rsidR="00B74AC4" w:rsidRPr="003C7186" w:rsidRDefault="00B74AC4" w:rsidP="00B74AC4">
      <w:pPr>
        <w:spacing w:line="360" w:lineRule="auto"/>
        <w:ind w:left="-142" w:right="-234" w:firstLine="1"/>
        <w:jc w:val="both"/>
        <w:rPr>
          <w:rFonts w:ascii="Palatino Linotype" w:hAnsi="Palatino Linotype"/>
        </w:rPr>
      </w:pPr>
      <w:r w:rsidRPr="006B7F0D">
        <w:rPr>
          <w:rFonts w:ascii="Palatino Linotype" w:hAnsi="Palatino Linotype"/>
        </w:rPr>
        <w:t>ASÍ LO RESUELVE,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RAMÍREZ PEÑA; EN LA CUARTA SESIÓN ORDINARIA CELEBRADA EL SEIS (06) DE FEBRERO DE DOS MIL VEINTICINCO, ANTE EL SECRETARIO TÉCNICO DEL PLENO ALEXIS TAPIA RAMÍREZ.</w:t>
      </w:r>
      <w:r w:rsidRPr="003C7186">
        <w:rPr>
          <w:rFonts w:ascii="Palatino Linotype" w:hAnsi="Palatino Linotype"/>
        </w:rPr>
        <w:t xml:space="preserve"> </w:t>
      </w:r>
    </w:p>
    <w:p w14:paraId="5B9C5874" w14:textId="77777777" w:rsidR="002B3E11" w:rsidRDefault="002B3E11">
      <w:pPr>
        <w:spacing w:before="240" w:after="240" w:line="360" w:lineRule="auto"/>
        <w:rPr>
          <w:rFonts w:ascii="Palatino Linotype" w:eastAsia="Palatino Linotype" w:hAnsi="Palatino Linotype" w:cs="Palatino Linotype"/>
          <w:sz w:val="22"/>
          <w:szCs w:val="22"/>
        </w:rPr>
      </w:pPr>
    </w:p>
    <w:p w14:paraId="1C9C1A74" w14:textId="77777777" w:rsidR="006B7F0D" w:rsidRDefault="006B7F0D">
      <w:pPr>
        <w:spacing w:before="240" w:after="240" w:line="360" w:lineRule="auto"/>
        <w:rPr>
          <w:rFonts w:ascii="Palatino Linotype" w:eastAsia="Palatino Linotype" w:hAnsi="Palatino Linotype" w:cs="Palatino Linotype"/>
          <w:sz w:val="22"/>
          <w:szCs w:val="22"/>
        </w:rPr>
      </w:pPr>
    </w:p>
    <w:p w14:paraId="2BAF9C4C" w14:textId="77777777" w:rsidR="006B7F0D" w:rsidRDefault="006B7F0D">
      <w:pPr>
        <w:spacing w:before="240" w:after="240" w:line="360" w:lineRule="auto"/>
        <w:rPr>
          <w:rFonts w:ascii="Palatino Linotype" w:eastAsia="Palatino Linotype" w:hAnsi="Palatino Linotype" w:cs="Palatino Linotype"/>
          <w:sz w:val="22"/>
          <w:szCs w:val="22"/>
        </w:rPr>
      </w:pPr>
    </w:p>
    <w:p w14:paraId="0B0BE661" w14:textId="77777777" w:rsidR="006B7F0D" w:rsidRDefault="006B7F0D">
      <w:pPr>
        <w:spacing w:before="240" w:after="240" w:line="360" w:lineRule="auto"/>
        <w:rPr>
          <w:rFonts w:ascii="Palatino Linotype" w:eastAsia="Palatino Linotype" w:hAnsi="Palatino Linotype" w:cs="Palatino Linotype"/>
          <w:sz w:val="22"/>
          <w:szCs w:val="22"/>
        </w:rPr>
      </w:pPr>
    </w:p>
    <w:p w14:paraId="6291D7C0" w14:textId="77777777" w:rsidR="006B7F0D" w:rsidRDefault="006B7F0D">
      <w:pPr>
        <w:spacing w:before="240" w:after="240" w:line="360" w:lineRule="auto"/>
        <w:rPr>
          <w:rFonts w:ascii="Palatino Linotype" w:eastAsia="Palatino Linotype" w:hAnsi="Palatino Linotype" w:cs="Palatino Linotype"/>
          <w:sz w:val="22"/>
          <w:szCs w:val="22"/>
        </w:rPr>
      </w:pPr>
    </w:p>
    <w:p w14:paraId="100EC9A7" w14:textId="77777777" w:rsidR="006B7F0D" w:rsidRDefault="006B7F0D">
      <w:pPr>
        <w:spacing w:before="240" w:after="240" w:line="360" w:lineRule="auto"/>
        <w:rPr>
          <w:rFonts w:ascii="Palatino Linotype" w:eastAsia="Palatino Linotype" w:hAnsi="Palatino Linotype" w:cs="Palatino Linotype"/>
          <w:sz w:val="22"/>
          <w:szCs w:val="22"/>
        </w:rPr>
      </w:pPr>
    </w:p>
    <w:p w14:paraId="225ACA89" w14:textId="77777777" w:rsidR="006B7F0D" w:rsidRDefault="006B7F0D">
      <w:pPr>
        <w:spacing w:before="240" w:after="240" w:line="360" w:lineRule="auto"/>
        <w:rPr>
          <w:rFonts w:ascii="Palatino Linotype" w:eastAsia="Palatino Linotype" w:hAnsi="Palatino Linotype" w:cs="Palatino Linotype"/>
          <w:sz w:val="22"/>
          <w:szCs w:val="22"/>
        </w:rPr>
      </w:pPr>
    </w:p>
    <w:p w14:paraId="1018AC75" w14:textId="77777777" w:rsidR="006B7F0D" w:rsidRDefault="006B7F0D">
      <w:pPr>
        <w:spacing w:before="240" w:after="240" w:line="360" w:lineRule="auto"/>
        <w:rPr>
          <w:rFonts w:ascii="Palatino Linotype" w:eastAsia="Palatino Linotype" w:hAnsi="Palatino Linotype" w:cs="Palatino Linotype"/>
          <w:sz w:val="22"/>
          <w:szCs w:val="22"/>
        </w:rPr>
      </w:pPr>
    </w:p>
    <w:p w14:paraId="1D9CD14F" w14:textId="77777777" w:rsidR="006B7F0D" w:rsidRPr="007D1EA8" w:rsidRDefault="006B7F0D">
      <w:pPr>
        <w:spacing w:before="240" w:after="240" w:line="360" w:lineRule="auto"/>
        <w:rPr>
          <w:rFonts w:ascii="Palatino Linotype" w:eastAsia="Palatino Linotype" w:hAnsi="Palatino Linotype" w:cs="Palatino Linotype"/>
          <w:sz w:val="22"/>
          <w:szCs w:val="22"/>
        </w:rPr>
      </w:pPr>
    </w:p>
    <w:sectPr w:rsidR="006B7F0D" w:rsidRPr="007D1EA8">
      <w:headerReference w:type="even" r:id="rId11"/>
      <w:headerReference w:type="default" r:id="rId12"/>
      <w:footerReference w:type="default" r:id="rId13"/>
      <w:headerReference w:type="first" r:id="rId14"/>
      <w:footerReference w:type="first" r:id="rId15"/>
      <w:pgSz w:w="12240" w:h="15840"/>
      <w:pgMar w:top="80" w:right="1608" w:bottom="1418" w:left="1588" w:header="709" w:footer="919"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6D9C044" w14:textId="77777777" w:rsidR="00377DF4" w:rsidRDefault="00377DF4">
      <w:r>
        <w:separator/>
      </w:r>
    </w:p>
  </w:endnote>
  <w:endnote w:type="continuationSeparator" w:id="0">
    <w:p w14:paraId="4E612E73" w14:textId="77777777" w:rsidR="00377DF4" w:rsidRDefault="00377D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2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Lucida Grande">
    <w:charset w:val="00"/>
    <w:family w:val="swiss"/>
    <w:pitch w:val="variable"/>
    <w:sig w:usb0="E1000AEF" w:usb1="5000A1FF" w:usb2="00000000" w:usb3="00000000" w:csb0="000001B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D58B149" w14:textId="77777777" w:rsidR="005043A9" w:rsidRDefault="005043A9">
    <w:pPr>
      <w:pBdr>
        <w:top w:val="nil"/>
        <w:left w:val="nil"/>
        <w:bottom w:val="nil"/>
        <w:right w:val="nil"/>
        <w:between w:val="nil"/>
      </w:pBdr>
      <w:tabs>
        <w:tab w:val="center" w:pos="4419"/>
        <w:tab w:val="right" w:pos="8838"/>
      </w:tabs>
      <w:jc w:val="right"/>
      <w:rPr>
        <w:color w:val="000000"/>
      </w:rPr>
    </w:pPr>
    <w:r>
      <w:rPr>
        <w:color w:val="000000"/>
      </w:rPr>
      <w:t xml:space="preserve">Página </w:t>
    </w:r>
    <w:r>
      <w:rPr>
        <w:b/>
        <w:color w:val="000000"/>
      </w:rPr>
      <w:fldChar w:fldCharType="begin"/>
    </w:r>
    <w:r>
      <w:rPr>
        <w:b/>
        <w:color w:val="000000"/>
      </w:rPr>
      <w:instrText>PAGE</w:instrText>
    </w:r>
    <w:r>
      <w:rPr>
        <w:b/>
        <w:color w:val="000000"/>
      </w:rPr>
      <w:fldChar w:fldCharType="separate"/>
    </w:r>
    <w:r w:rsidR="00902A92">
      <w:rPr>
        <w:b/>
        <w:noProof/>
        <w:color w:val="000000"/>
      </w:rPr>
      <w:t>16</w:t>
    </w:r>
    <w:r>
      <w:rPr>
        <w:b/>
        <w:color w:val="000000"/>
      </w:rPr>
      <w:fldChar w:fldCharType="end"/>
    </w:r>
    <w:r>
      <w:rPr>
        <w:color w:val="000000"/>
      </w:rPr>
      <w:t xml:space="preserve"> de </w:t>
    </w:r>
    <w:r>
      <w:rPr>
        <w:b/>
        <w:color w:val="000000"/>
      </w:rPr>
      <w:fldChar w:fldCharType="begin"/>
    </w:r>
    <w:r>
      <w:rPr>
        <w:b/>
        <w:color w:val="000000"/>
      </w:rPr>
      <w:instrText>NUMPAGES</w:instrText>
    </w:r>
    <w:r>
      <w:rPr>
        <w:b/>
        <w:color w:val="000000"/>
      </w:rPr>
      <w:fldChar w:fldCharType="separate"/>
    </w:r>
    <w:r w:rsidR="00902A92">
      <w:rPr>
        <w:b/>
        <w:noProof/>
        <w:color w:val="000000"/>
      </w:rPr>
      <w:t>23</w:t>
    </w:r>
    <w:r>
      <w:rPr>
        <w:b/>
        <w:color w:val="000000"/>
      </w:rPr>
      <w:fldChar w:fldCharType="end"/>
    </w:r>
  </w:p>
  <w:p w14:paraId="6E95F08B" w14:textId="77777777" w:rsidR="005043A9" w:rsidRDefault="005043A9">
    <w:pPr>
      <w:pBdr>
        <w:top w:val="nil"/>
        <w:left w:val="nil"/>
        <w:bottom w:val="nil"/>
        <w:right w:val="nil"/>
        <w:between w:val="nil"/>
      </w:pBdr>
      <w:tabs>
        <w:tab w:val="center" w:pos="4419"/>
        <w:tab w:val="right" w:pos="8838"/>
      </w:tabs>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55680A" w14:textId="77777777" w:rsidR="005043A9" w:rsidRDefault="005043A9">
    <w:pPr>
      <w:pBdr>
        <w:top w:val="nil"/>
        <w:left w:val="nil"/>
        <w:bottom w:val="nil"/>
        <w:right w:val="nil"/>
        <w:between w:val="nil"/>
      </w:pBdr>
      <w:tabs>
        <w:tab w:val="center" w:pos="4419"/>
        <w:tab w:val="right" w:pos="8838"/>
      </w:tabs>
      <w:jc w:val="right"/>
      <w:rPr>
        <w:color w:val="000000"/>
      </w:rPr>
    </w:pPr>
    <w:r>
      <w:rPr>
        <w:color w:val="000000"/>
      </w:rPr>
      <w:t xml:space="preserve">Página </w:t>
    </w:r>
    <w:r>
      <w:rPr>
        <w:b/>
        <w:color w:val="000000"/>
      </w:rPr>
      <w:fldChar w:fldCharType="begin"/>
    </w:r>
    <w:r>
      <w:rPr>
        <w:b/>
        <w:color w:val="000000"/>
      </w:rPr>
      <w:instrText>PAGE</w:instrText>
    </w:r>
    <w:r>
      <w:rPr>
        <w:b/>
        <w:color w:val="000000"/>
      </w:rPr>
      <w:fldChar w:fldCharType="separate"/>
    </w:r>
    <w:r w:rsidR="00902A92">
      <w:rPr>
        <w:b/>
        <w:noProof/>
        <w:color w:val="000000"/>
      </w:rPr>
      <w:t>1</w:t>
    </w:r>
    <w:r>
      <w:rPr>
        <w:b/>
        <w:color w:val="000000"/>
      </w:rPr>
      <w:fldChar w:fldCharType="end"/>
    </w:r>
    <w:r>
      <w:rPr>
        <w:color w:val="000000"/>
      </w:rPr>
      <w:t xml:space="preserve"> de </w:t>
    </w:r>
    <w:r>
      <w:rPr>
        <w:b/>
        <w:color w:val="000000"/>
      </w:rPr>
      <w:fldChar w:fldCharType="begin"/>
    </w:r>
    <w:r>
      <w:rPr>
        <w:b/>
        <w:color w:val="000000"/>
      </w:rPr>
      <w:instrText>NUMPAGES</w:instrText>
    </w:r>
    <w:r>
      <w:rPr>
        <w:b/>
        <w:color w:val="000000"/>
      </w:rPr>
      <w:fldChar w:fldCharType="separate"/>
    </w:r>
    <w:r w:rsidR="00902A92">
      <w:rPr>
        <w:b/>
        <w:noProof/>
        <w:color w:val="000000"/>
      </w:rPr>
      <w:t>23</w:t>
    </w:r>
    <w:r>
      <w:rPr>
        <w:b/>
        <w:color w:val="000000"/>
      </w:rPr>
      <w:fldChar w:fldCharType="end"/>
    </w:r>
  </w:p>
  <w:p w14:paraId="7485321A" w14:textId="77777777" w:rsidR="005043A9" w:rsidRDefault="005043A9">
    <w:pPr>
      <w:pBdr>
        <w:top w:val="nil"/>
        <w:left w:val="nil"/>
        <w:bottom w:val="nil"/>
        <w:right w:val="nil"/>
        <w:between w:val="nil"/>
      </w:pBdr>
      <w:tabs>
        <w:tab w:val="center" w:pos="4419"/>
        <w:tab w:val="right" w:pos="8838"/>
      </w:tabs>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27465A7" w14:textId="77777777" w:rsidR="00377DF4" w:rsidRDefault="00377DF4">
      <w:r>
        <w:separator/>
      </w:r>
    </w:p>
  </w:footnote>
  <w:footnote w:type="continuationSeparator" w:id="0">
    <w:p w14:paraId="0C289025" w14:textId="77777777" w:rsidR="00377DF4" w:rsidRDefault="00377DF4">
      <w:r>
        <w:continuationSeparator/>
      </w:r>
    </w:p>
  </w:footnote>
  <w:footnote w:id="1">
    <w:p w14:paraId="12E859A1" w14:textId="77777777" w:rsidR="005043A9" w:rsidRDefault="005043A9">
      <w:pPr>
        <w:pBdr>
          <w:top w:val="nil"/>
          <w:left w:val="nil"/>
          <w:bottom w:val="nil"/>
          <w:right w:val="nil"/>
          <w:between w:val="nil"/>
        </w:pBdr>
        <w:rPr>
          <w:rFonts w:ascii="Calibri" w:eastAsia="Calibri" w:hAnsi="Calibri" w:cs="Calibri"/>
          <w:color w:val="000000"/>
          <w:sz w:val="20"/>
          <w:szCs w:val="20"/>
        </w:rPr>
      </w:pPr>
      <w:r>
        <w:rPr>
          <w:vertAlign w:val="superscript"/>
        </w:rPr>
        <w:footnoteRef/>
      </w:r>
      <w:r>
        <w:rPr>
          <w:rFonts w:ascii="Calibri" w:eastAsia="Calibri" w:hAnsi="Calibri" w:cs="Calibri"/>
          <w:color w:val="000000"/>
          <w:sz w:val="20"/>
          <w:szCs w:val="20"/>
        </w:rPr>
        <w:t xml:space="preserve"> Convención Americana sobre Derechos Humanos. Artículo 13.</w:t>
      </w:r>
    </w:p>
  </w:footnote>
  <w:footnote w:id="2">
    <w:p w14:paraId="76C33B52" w14:textId="77777777" w:rsidR="005043A9" w:rsidRDefault="005043A9">
      <w:pPr>
        <w:pBdr>
          <w:top w:val="nil"/>
          <w:left w:val="nil"/>
          <w:bottom w:val="nil"/>
          <w:right w:val="nil"/>
          <w:between w:val="nil"/>
        </w:pBdr>
        <w:rPr>
          <w:rFonts w:ascii="Calibri" w:eastAsia="Calibri" w:hAnsi="Calibri" w:cs="Calibri"/>
          <w:color w:val="000000"/>
          <w:sz w:val="20"/>
          <w:szCs w:val="20"/>
        </w:rPr>
      </w:pPr>
      <w:r>
        <w:rPr>
          <w:vertAlign w:val="superscript"/>
        </w:rPr>
        <w:footnoteRef/>
      </w:r>
      <w:r>
        <w:rPr>
          <w:rFonts w:ascii="Calibri" w:eastAsia="Calibri" w:hAnsi="Calibri" w:cs="Calibri"/>
          <w:color w:val="000000"/>
          <w:sz w:val="20"/>
          <w:szCs w:val="20"/>
        </w:rPr>
        <w:t xml:space="preserve"> Constitución Política de los Estados Unidos Mexicanos. Artículo sexto, sección A, fracción I.</w:t>
      </w:r>
    </w:p>
  </w:footnote>
  <w:footnote w:id="3">
    <w:p w14:paraId="3AC79DB8" w14:textId="77777777" w:rsidR="005043A9" w:rsidRDefault="005043A9">
      <w:pPr>
        <w:pBdr>
          <w:top w:val="nil"/>
          <w:left w:val="nil"/>
          <w:bottom w:val="nil"/>
          <w:right w:val="nil"/>
          <w:between w:val="nil"/>
        </w:pBdr>
        <w:rPr>
          <w:rFonts w:ascii="Calibri" w:eastAsia="Calibri" w:hAnsi="Calibri" w:cs="Calibri"/>
          <w:color w:val="000000"/>
          <w:sz w:val="20"/>
          <w:szCs w:val="20"/>
        </w:rPr>
      </w:pPr>
      <w:r>
        <w:rPr>
          <w:vertAlign w:val="superscript"/>
        </w:rPr>
        <w:footnoteRef/>
      </w:r>
      <w:r>
        <w:rPr>
          <w:rFonts w:ascii="Calibri" w:eastAsia="Calibri" w:hAnsi="Calibri" w:cs="Calibri"/>
          <w:color w:val="000000"/>
          <w:sz w:val="20"/>
          <w:szCs w:val="20"/>
        </w:rPr>
        <w:t xml:space="preserve"> Corte Interamericana de Derechos Humanos. Caso Claude Reyes y otros vs. Chile. Sentencia de 19 de septiembre de 2006. Serie C. No. 151. Párr. 86.</w:t>
      </w:r>
    </w:p>
  </w:footnote>
  <w:footnote w:id="4">
    <w:p w14:paraId="16FA6919" w14:textId="77777777" w:rsidR="005043A9" w:rsidRDefault="005043A9">
      <w:pPr>
        <w:pBdr>
          <w:top w:val="nil"/>
          <w:left w:val="nil"/>
          <w:bottom w:val="nil"/>
          <w:right w:val="nil"/>
          <w:between w:val="nil"/>
        </w:pBdr>
        <w:rPr>
          <w:rFonts w:ascii="Calibri" w:eastAsia="Calibri" w:hAnsi="Calibri" w:cs="Calibri"/>
          <w:color w:val="000000"/>
          <w:sz w:val="20"/>
          <w:szCs w:val="20"/>
        </w:rPr>
      </w:pPr>
      <w:r>
        <w:rPr>
          <w:vertAlign w:val="superscript"/>
        </w:rPr>
        <w:footnoteRef/>
      </w:r>
      <w:r>
        <w:rPr>
          <w:rFonts w:ascii="Calibri" w:eastAsia="Calibri" w:hAnsi="Calibri" w:cs="Calibri"/>
          <w:color w:val="000000"/>
          <w:sz w:val="20"/>
          <w:szCs w:val="20"/>
        </w:rPr>
        <w:t xml:space="preserve"> Ibídem. Parr. 87.</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0CF98B" w14:textId="77777777" w:rsidR="005043A9" w:rsidRDefault="00377DF4">
    <w:pPr>
      <w:pBdr>
        <w:top w:val="nil"/>
        <w:left w:val="nil"/>
        <w:bottom w:val="nil"/>
        <w:right w:val="nil"/>
        <w:between w:val="nil"/>
      </w:pBdr>
      <w:tabs>
        <w:tab w:val="center" w:pos="4419"/>
        <w:tab w:val="right" w:pos="8838"/>
      </w:tabs>
      <w:rPr>
        <w:color w:val="000000"/>
      </w:rPr>
    </w:pPr>
    <w:r>
      <w:rPr>
        <w:color w:val="000000"/>
      </w:rPr>
      <w:pict w14:anchorId="2C1F41B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49" type="#_x0000_t75" alt="" style="position:absolute;margin-left:0;margin-top:0;width:589.8pt;height:768pt;z-index:-251657728;mso-position-horizontal:center;mso-position-horizontal-relative:margin;mso-position-vertical:center;mso-position-vertical-relative:margin">
          <v:imagedata r:id="rId1" o:title="image1"/>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DC7F5A2" w14:textId="77777777" w:rsidR="005043A9" w:rsidRDefault="005043A9">
    <w:pPr>
      <w:widowControl w:val="0"/>
      <w:pBdr>
        <w:top w:val="nil"/>
        <w:left w:val="nil"/>
        <w:bottom w:val="nil"/>
        <w:right w:val="nil"/>
        <w:between w:val="nil"/>
      </w:pBdr>
      <w:spacing w:line="276" w:lineRule="auto"/>
      <w:rPr>
        <w:rFonts w:ascii="Calibri" w:eastAsia="Calibri" w:hAnsi="Calibri" w:cs="Calibri"/>
        <w:color w:val="000000"/>
        <w:sz w:val="20"/>
        <w:szCs w:val="20"/>
      </w:rPr>
    </w:pPr>
  </w:p>
  <w:tbl>
    <w:tblPr>
      <w:tblStyle w:val="a0"/>
      <w:tblW w:w="9214" w:type="dxa"/>
      <w:tblInd w:w="0" w:type="dxa"/>
      <w:tblLayout w:type="fixed"/>
      <w:tblLook w:val="0400" w:firstRow="0" w:lastRow="0" w:firstColumn="0" w:lastColumn="0" w:noHBand="0" w:noVBand="1"/>
    </w:tblPr>
    <w:tblGrid>
      <w:gridCol w:w="2268"/>
      <w:gridCol w:w="6946"/>
    </w:tblGrid>
    <w:tr w:rsidR="005043A9" w14:paraId="6E0BF36C" w14:textId="77777777">
      <w:trPr>
        <w:trHeight w:val="1435"/>
      </w:trPr>
      <w:tc>
        <w:tcPr>
          <w:tcW w:w="2268" w:type="dxa"/>
          <w:shd w:val="clear" w:color="auto" w:fill="auto"/>
        </w:tcPr>
        <w:p w14:paraId="1B270F30" w14:textId="77777777" w:rsidR="005043A9" w:rsidRDefault="005043A9">
          <w:pPr>
            <w:tabs>
              <w:tab w:val="right" w:pos="4273"/>
            </w:tabs>
            <w:rPr>
              <w:rFonts w:ascii="Garamond" w:eastAsia="Garamond" w:hAnsi="Garamond" w:cs="Garamond"/>
              <w:sz w:val="16"/>
              <w:szCs w:val="16"/>
            </w:rPr>
          </w:pPr>
        </w:p>
      </w:tc>
      <w:tc>
        <w:tcPr>
          <w:tcW w:w="6946" w:type="dxa"/>
          <w:shd w:val="clear" w:color="auto" w:fill="auto"/>
        </w:tcPr>
        <w:p w14:paraId="447E54EB" w14:textId="77777777" w:rsidR="005043A9" w:rsidRDefault="005043A9"/>
        <w:tbl>
          <w:tblPr>
            <w:tblStyle w:val="a1"/>
            <w:tblW w:w="6662" w:type="dxa"/>
            <w:tblInd w:w="40" w:type="dxa"/>
            <w:tblLayout w:type="fixed"/>
            <w:tblLook w:val="0400" w:firstRow="0" w:lastRow="0" w:firstColumn="0" w:lastColumn="0" w:noHBand="0" w:noVBand="1"/>
          </w:tblPr>
          <w:tblGrid>
            <w:gridCol w:w="2551"/>
            <w:gridCol w:w="4111"/>
          </w:tblGrid>
          <w:tr w:rsidR="005043A9" w14:paraId="4B453B0F" w14:textId="77777777">
            <w:trPr>
              <w:trHeight w:val="150"/>
            </w:trPr>
            <w:tc>
              <w:tcPr>
                <w:tcW w:w="2551" w:type="dxa"/>
                <w:shd w:val="clear" w:color="auto" w:fill="auto"/>
              </w:tcPr>
              <w:p w14:paraId="3D8C82DA" w14:textId="77777777" w:rsidR="005043A9" w:rsidRDefault="005043A9">
                <w:pPr>
                  <w:tabs>
                    <w:tab w:val="right" w:pos="8838"/>
                  </w:tabs>
                  <w:ind w:right="-105"/>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4111" w:type="dxa"/>
                <w:shd w:val="clear" w:color="auto" w:fill="auto"/>
              </w:tcPr>
              <w:p w14:paraId="5284C9F9" w14:textId="275C1D95" w:rsidR="005043A9" w:rsidRDefault="005043A9">
                <w:pPr>
                  <w:tabs>
                    <w:tab w:val="right" w:pos="8838"/>
                  </w:tabs>
                  <w:ind w:left="-108" w:right="-102"/>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07688/INFOEM/IP/RR/2024</w:t>
                </w:r>
              </w:p>
            </w:tc>
          </w:tr>
          <w:tr w:rsidR="005043A9" w14:paraId="6CEBB7EB" w14:textId="77777777">
            <w:trPr>
              <w:trHeight w:val="295"/>
            </w:trPr>
            <w:tc>
              <w:tcPr>
                <w:tcW w:w="2551" w:type="dxa"/>
                <w:shd w:val="clear" w:color="auto" w:fill="auto"/>
              </w:tcPr>
              <w:p w14:paraId="39F793FA" w14:textId="77777777" w:rsidR="005043A9" w:rsidRDefault="005043A9">
                <w:pPr>
                  <w:tabs>
                    <w:tab w:val="right" w:pos="8838"/>
                  </w:tabs>
                  <w:ind w:right="-105"/>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4111" w:type="dxa"/>
                <w:shd w:val="clear" w:color="auto" w:fill="auto"/>
              </w:tcPr>
              <w:p w14:paraId="69F4BC61" w14:textId="61A3B506" w:rsidR="005043A9" w:rsidRDefault="005043A9">
                <w:pPr>
                  <w:tabs>
                    <w:tab w:val="left" w:pos="2834"/>
                    <w:tab w:val="right" w:pos="8838"/>
                  </w:tabs>
                  <w:ind w:left="-108" w:right="-102"/>
                  <w:jc w:val="both"/>
                  <w:rPr>
                    <w:rFonts w:ascii="Palatino Linotype" w:eastAsia="Palatino Linotype" w:hAnsi="Palatino Linotype" w:cs="Palatino Linotype"/>
                    <w:b/>
                    <w:sz w:val="22"/>
                    <w:szCs w:val="22"/>
                  </w:rPr>
                </w:pPr>
                <w:r>
                  <w:rPr>
                    <w:rFonts w:ascii="Palatino Linotype" w:eastAsia="Palatino Linotype" w:hAnsi="Palatino Linotype" w:cs="Palatino Linotype"/>
                    <w:sz w:val="22"/>
                    <w:szCs w:val="22"/>
                  </w:rPr>
                  <w:t>Ayuntamiento de Chimalhuacán</w:t>
                </w:r>
              </w:p>
            </w:tc>
          </w:tr>
          <w:tr w:rsidR="005043A9" w14:paraId="3AD28F91" w14:textId="77777777">
            <w:trPr>
              <w:trHeight w:val="295"/>
            </w:trPr>
            <w:tc>
              <w:tcPr>
                <w:tcW w:w="2551" w:type="dxa"/>
                <w:shd w:val="clear" w:color="auto" w:fill="auto"/>
              </w:tcPr>
              <w:p w14:paraId="29FB94AE" w14:textId="77777777" w:rsidR="005043A9" w:rsidRDefault="005043A9">
                <w:pPr>
                  <w:tabs>
                    <w:tab w:val="right" w:pos="8838"/>
                  </w:tabs>
                  <w:ind w:right="-105"/>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4111" w:type="dxa"/>
                <w:shd w:val="clear" w:color="auto" w:fill="auto"/>
              </w:tcPr>
              <w:p w14:paraId="338396AD" w14:textId="77777777" w:rsidR="005043A9" w:rsidRDefault="005043A9">
                <w:pPr>
                  <w:tabs>
                    <w:tab w:val="right" w:pos="8838"/>
                  </w:tabs>
                  <w:ind w:left="-108" w:right="171"/>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María del Rosario Mejía Ayala</w:t>
                </w:r>
              </w:p>
              <w:p w14:paraId="5A383EEA" w14:textId="77777777" w:rsidR="005043A9" w:rsidRDefault="005043A9">
                <w:pPr>
                  <w:tabs>
                    <w:tab w:val="right" w:pos="8838"/>
                  </w:tabs>
                  <w:ind w:left="-108" w:right="171"/>
                  <w:jc w:val="both"/>
                  <w:rPr>
                    <w:rFonts w:ascii="Palatino Linotype" w:eastAsia="Palatino Linotype" w:hAnsi="Palatino Linotype" w:cs="Palatino Linotype"/>
                    <w:b/>
                    <w:sz w:val="22"/>
                    <w:szCs w:val="22"/>
                  </w:rPr>
                </w:pPr>
              </w:p>
            </w:tc>
          </w:tr>
        </w:tbl>
        <w:p w14:paraId="3ADA917B" w14:textId="77777777" w:rsidR="005043A9" w:rsidRDefault="005043A9">
          <w:pPr>
            <w:tabs>
              <w:tab w:val="right" w:pos="8838"/>
            </w:tabs>
            <w:ind w:left="-28"/>
            <w:jc w:val="both"/>
            <w:rPr>
              <w:rFonts w:ascii="Arial" w:eastAsia="Arial" w:hAnsi="Arial" w:cs="Arial"/>
              <w:b/>
              <w:sz w:val="22"/>
              <w:szCs w:val="22"/>
            </w:rPr>
          </w:pPr>
        </w:p>
      </w:tc>
    </w:tr>
  </w:tbl>
  <w:p w14:paraId="5B866AF9" w14:textId="77777777" w:rsidR="005043A9" w:rsidRDefault="00377DF4">
    <w:pPr>
      <w:pBdr>
        <w:top w:val="nil"/>
        <w:left w:val="nil"/>
        <w:bottom w:val="nil"/>
        <w:right w:val="nil"/>
        <w:between w:val="nil"/>
      </w:pBdr>
      <w:tabs>
        <w:tab w:val="center" w:pos="4419"/>
        <w:tab w:val="right" w:pos="8838"/>
      </w:tabs>
      <w:rPr>
        <w:color w:val="000000"/>
        <w:sz w:val="14"/>
        <w:szCs w:val="14"/>
      </w:rPr>
    </w:pPr>
    <w:r>
      <w:rPr>
        <w:color w:val="000000"/>
        <w:sz w:val="14"/>
        <w:szCs w:val="14"/>
      </w:rPr>
      <w:pict w14:anchorId="4629CF7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51" type="#_x0000_t75" alt="" style="position:absolute;margin-left:-68.8pt;margin-top:-120.5pt;width:589.8pt;height:768pt;z-index:-251659776;mso-position-horizontal:absolute;mso-position-horizontal-relative:margin;mso-position-vertical:absolute;mso-position-vertical-relative:margin">
          <v:imagedata r:id="rId1" o:title="image1"/>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158CBF" w14:textId="77777777" w:rsidR="005043A9" w:rsidRDefault="005043A9">
    <w:pPr>
      <w:widowControl w:val="0"/>
      <w:pBdr>
        <w:top w:val="nil"/>
        <w:left w:val="nil"/>
        <w:bottom w:val="nil"/>
        <w:right w:val="nil"/>
        <w:between w:val="nil"/>
      </w:pBdr>
      <w:spacing w:line="276" w:lineRule="auto"/>
      <w:rPr>
        <w:color w:val="000000"/>
      </w:rPr>
    </w:pPr>
  </w:p>
  <w:tbl>
    <w:tblPr>
      <w:tblStyle w:val="a2"/>
      <w:tblW w:w="9072" w:type="dxa"/>
      <w:tblInd w:w="0" w:type="dxa"/>
      <w:tblLayout w:type="fixed"/>
      <w:tblLook w:val="0400" w:firstRow="0" w:lastRow="0" w:firstColumn="0" w:lastColumn="0" w:noHBand="0" w:noVBand="1"/>
    </w:tblPr>
    <w:tblGrid>
      <w:gridCol w:w="2268"/>
      <w:gridCol w:w="6804"/>
    </w:tblGrid>
    <w:tr w:rsidR="005043A9" w14:paraId="72AE1E69" w14:textId="77777777">
      <w:trPr>
        <w:trHeight w:val="1435"/>
      </w:trPr>
      <w:tc>
        <w:tcPr>
          <w:tcW w:w="2268" w:type="dxa"/>
          <w:shd w:val="clear" w:color="auto" w:fill="auto"/>
        </w:tcPr>
        <w:p w14:paraId="25C5475E" w14:textId="77777777" w:rsidR="005043A9" w:rsidRDefault="005043A9">
          <w:pPr>
            <w:tabs>
              <w:tab w:val="right" w:pos="4273"/>
            </w:tabs>
            <w:rPr>
              <w:rFonts w:ascii="Garamond" w:eastAsia="Garamond" w:hAnsi="Garamond" w:cs="Garamond"/>
              <w:sz w:val="22"/>
              <w:szCs w:val="22"/>
            </w:rPr>
          </w:pPr>
        </w:p>
      </w:tc>
      <w:tc>
        <w:tcPr>
          <w:tcW w:w="6804" w:type="dxa"/>
          <w:shd w:val="clear" w:color="auto" w:fill="auto"/>
        </w:tcPr>
        <w:p w14:paraId="1C4F9BAC" w14:textId="77777777" w:rsidR="005043A9" w:rsidRDefault="005043A9">
          <w:pPr>
            <w:widowControl w:val="0"/>
            <w:pBdr>
              <w:top w:val="nil"/>
              <w:left w:val="nil"/>
              <w:bottom w:val="nil"/>
              <w:right w:val="nil"/>
              <w:between w:val="nil"/>
            </w:pBdr>
            <w:spacing w:line="276" w:lineRule="auto"/>
            <w:rPr>
              <w:rFonts w:ascii="Garamond" w:eastAsia="Garamond" w:hAnsi="Garamond" w:cs="Garamond"/>
              <w:sz w:val="22"/>
              <w:szCs w:val="22"/>
            </w:rPr>
          </w:pPr>
        </w:p>
        <w:tbl>
          <w:tblPr>
            <w:tblStyle w:val="a3"/>
            <w:tblW w:w="6662" w:type="dxa"/>
            <w:tblInd w:w="40" w:type="dxa"/>
            <w:tblLayout w:type="fixed"/>
            <w:tblLook w:val="0400" w:firstRow="0" w:lastRow="0" w:firstColumn="0" w:lastColumn="0" w:noHBand="0" w:noVBand="1"/>
          </w:tblPr>
          <w:tblGrid>
            <w:gridCol w:w="2444"/>
            <w:gridCol w:w="4218"/>
          </w:tblGrid>
          <w:tr w:rsidR="005043A9" w14:paraId="45BD95C9" w14:textId="77777777">
            <w:trPr>
              <w:trHeight w:val="144"/>
            </w:trPr>
            <w:tc>
              <w:tcPr>
                <w:tcW w:w="2444" w:type="dxa"/>
                <w:shd w:val="clear" w:color="auto" w:fill="auto"/>
              </w:tcPr>
              <w:p w14:paraId="3513C3A4" w14:textId="77777777" w:rsidR="005043A9" w:rsidRDefault="005043A9">
                <w:pPr>
                  <w:tabs>
                    <w:tab w:val="right" w:pos="8838"/>
                  </w:tabs>
                  <w:ind w:left="-264" w:right="-105" w:firstLine="195"/>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4218" w:type="dxa"/>
                <w:shd w:val="clear" w:color="auto" w:fill="auto"/>
              </w:tcPr>
              <w:p w14:paraId="52454038" w14:textId="36D4C63E" w:rsidR="005043A9" w:rsidRDefault="005043A9">
                <w:pPr>
                  <w:tabs>
                    <w:tab w:val="right" w:pos="8838"/>
                  </w:tabs>
                  <w:ind w:left="-74" w:right="-105"/>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07688/INFOEM/IP/RR/2024</w:t>
                </w:r>
              </w:p>
            </w:tc>
          </w:tr>
          <w:tr w:rsidR="005043A9" w14:paraId="01191A65" w14:textId="77777777">
            <w:trPr>
              <w:trHeight w:val="144"/>
            </w:trPr>
            <w:tc>
              <w:tcPr>
                <w:tcW w:w="2444" w:type="dxa"/>
                <w:shd w:val="clear" w:color="auto" w:fill="auto"/>
              </w:tcPr>
              <w:p w14:paraId="15281A03" w14:textId="77777777" w:rsidR="005043A9" w:rsidRDefault="005043A9">
                <w:pPr>
                  <w:tabs>
                    <w:tab w:val="right" w:pos="8838"/>
                  </w:tabs>
                  <w:ind w:left="-74" w:right="-105"/>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Recurrente:</w:t>
                </w:r>
              </w:p>
            </w:tc>
            <w:tc>
              <w:tcPr>
                <w:tcW w:w="4218" w:type="dxa"/>
                <w:shd w:val="clear" w:color="auto" w:fill="auto"/>
              </w:tcPr>
              <w:p w14:paraId="3E7A9E56" w14:textId="6B13DF16" w:rsidR="005043A9" w:rsidRDefault="00902A92">
                <w:pPr>
                  <w:tabs>
                    <w:tab w:val="left" w:pos="3122"/>
                    <w:tab w:val="right" w:pos="8838"/>
                  </w:tabs>
                  <w:ind w:left="-74" w:right="-105"/>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XXXX XXXXX XXXXX</w:t>
                </w:r>
              </w:p>
            </w:tc>
          </w:tr>
          <w:tr w:rsidR="005043A9" w14:paraId="66CE06F4" w14:textId="77777777">
            <w:trPr>
              <w:trHeight w:val="283"/>
            </w:trPr>
            <w:tc>
              <w:tcPr>
                <w:tcW w:w="2444" w:type="dxa"/>
                <w:shd w:val="clear" w:color="auto" w:fill="auto"/>
              </w:tcPr>
              <w:p w14:paraId="3B163D4E" w14:textId="77777777" w:rsidR="005043A9" w:rsidRDefault="005043A9">
                <w:pPr>
                  <w:tabs>
                    <w:tab w:val="right" w:pos="8838"/>
                  </w:tabs>
                  <w:ind w:left="-74" w:right="-105"/>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4218" w:type="dxa"/>
                <w:shd w:val="clear" w:color="auto" w:fill="auto"/>
              </w:tcPr>
              <w:p w14:paraId="5F3A9E0B" w14:textId="12DF0419" w:rsidR="005043A9" w:rsidRDefault="005043A9">
                <w:pPr>
                  <w:tabs>
                    <w:tab w:val="left" w:pos="2834"/>
                    <w:tab w:val="right" w:pos="8838"/>
                  </w:tabs>
                  <w:ind w:left="-74" w:right="-105"/>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Ayuntamiento de Chimalhuacán</w:t>
                </w:r>
              </w:p>
            </w:tc>
          </w:tr>
          <w:tr w:rsidR="005043A9" w14:paraId="0D59E582" w14:textId="77777777">
            <w:trPr>
              <w:trHeight w:val="283"/>
            </w:trPr>
            <w:tc>
              <w:tcPr>
                <w:tcW w:w="2444" w:type="dxa"/>
                <w:shd w:val="clear" w:color="auto" w:fill="auto"/>
              </w:tcPr>
              <w:p w14:paraId="08ED9B41" w14:textId="77777777" w:rsidR="005043A9" w:rsidRDefault="005043A9">
                <w:pPr>
                  <w:tabs>
                    <w:tab w:val="right" w:pos="8838"/>
                  </w:tabs>
                  <w:ind w:left="-74" w:right="-105"/>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4218" w:type="dxa"/>
                <w:shd w:val="clear" w:color="auto" w:fill="auto"/>
              </w:tcPr>
              <w:p w14:paraId="1E69D393" w14:textId="77777777" w:rsidR="005043A9" w:rsidRDefault="005043A9">
                <w:pPr>
                  <w:tabs>
                    <w:tab w:val="right" w:pos="8838"/>
                  </w:tabs>
                  <w:ind w:left="-74" w:right="-105"/>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María del Rosario Mejía Ayala</w:t>
                </w:r>
              </w:p>
              <w:p w14:paraId="5CE66267" w14:textId="77777777" w:rsidR="005043A9" w:rsidRDefault="005043A9">
                <w:pPr>
                  <w:tabs>
                    <w:tab w:val="right" w:pos="8838"/>
                  </w:tabs>
                  <w:ind w:left="-74" w:right="-105"/>
                  <w:jc w:val="both"/>
                  <w:rPr>
                    <w:rFonts w:ascii="Palatino Linotype" w:eastAsia="Palatino Linotype" w:hAnsi="Palatino Linotype" w:cs="Palatino Linotype"/>
                    <w:b/>
                    <w:sz w:val="22"/>
                    <w:szCs w:val="22"/>
                  </w:rPr>
                </w:pPr>
              </w:p>
            </w:tc>
          </w:tr>
        </w:tbl>
        <w:p w14:paraId="4CC668C5" w14:textId="77777777" w:rsidR="005043A9" w:rsidRDefault="005043A9">
          <w:pPr>
            <w:tabs>
              <w:tab w:val="right" w:pos="8838"/>
            </w:tabs>
            <w:ind w:left="-28"/>
            <w:jc w:val="both"/>
            <w:rPr>
              <w:rFonts w:ascii="Arial" w:eastAsia="Arial" w:hAnsi="Arial" w:cs="Arial"/>
              <w:b/>
              <w:sz w:val="22"/>
              <w:szCs w:val="22"/>
            </w:rPr>
          </w:pPr>
        </w:p>
      </w:tc>
    </w:tr>
  </w:tbl>
  <w:p w14:paraId="1CD1A1FA" w14:textId="77777777" w:rsidR="005043A9" w:rsidRDefault="00377DF4">
    <w:pPr>
      <w:pBdr>
        <w:top w:val="nil"/>
        <w:left w:val="nil"/>
        <w:bottom w:val="nil"/>
        <w:right w:val="nil"/>
        <w:between w:val="nil"/>
      </w:pBdr>
      <w:tabs>
        <w:tab w:val="center" w:pos="4419"/>
        <w:tab w:val="right" w:pos="8838"/>
      </w:tabs>
      <w:rPr>
        <w:color w:val="000000"/>
        <w:sz w:val="2"/>
        <w:szCs w:val="2"/>
      </w:rPr>
    </w:pPr>
    <w:r>
      <w:rPr>
        <w:color w:val="000000"/>
        <w:sz w:val="2"/>
        <w:szCs w:val="2"/>
      </w:rPr>
      <w:pict w14:anchorId="4D09FAD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50" type="#_x0000_t75" alt="" style="position:absolute;margin-left:-68.8pt;margin-top:-117.6pt;width:589.8pt;height:768pt;z-index:-251658752;mso-position-horizontal:absolute;mso-position-horizontal-relative:margin;mso-position-vertical:absolute;mso-position-vertical-relative:margin">
          <v:imagedata r:id="rId1" o:title="image1"/>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B433EC"/>
    <w:multiLevelType w:val="hybridMultilevel"/>
    <w:tmpl w:val="468A89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103046D"/>
    <w:multiLevelType w:val="multilevel"/>
    <w:tmpl w:val="FA52D9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3AE03D3"/>
    <w:multiLevelType w:val="multilevel"/>
    <w:tmpl w:val="C0E49718"/>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5B8A0DAB"/>
    <w:multiLevelType w:val="multilevel"/>
    <w:tmpl w:val="1A5EE742"/>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6A657535"/>
    <w:multiLevelType w:val="multilevel"/>
    <w:tmpl w:val="8C74B5C0"/>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5" w15:restartNumberingAfterBreak="0">
    <w:nsid w:val="6CD74F29"/>
    <w:multiLevelType w:val="multilevel"/>
    <w:tmpl w:val="34646FB8"/>
    <w:lvl w:ilvl="0">
      <w:start w:val="1"/>
      <w:numFmt w:val="decimal"/>
      <w:lvlText w:val="%1."/>
      <w:lvlJc w:val="left"/>
      <w:pPr>
        <w:ind w:left="360" w:hanging="360"/>
      </w:pPr>
      <w:rPr>
        <w:rFonts w:ascii="Palatino Linotype" w:eastAsia="Palatino Linotype" w:hAnsi="Palatino Linotype" w:cs="Palatino Linotype"/>
        <w:b/>
        <w:i w:val="0"/>
        <w:color w:val="00000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3"/>
  </w:num>
  <w:num w:numId="2">
    <w:abstractNumId w:val="4"/>
  </w:num>
  <w:num w:numId="3">
    <w:abstractNumId w:val="2"/>
  </w:num>
  <w:num w:numId="4">
    <w:abstractNumId w:val="5"/>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defaultTabStop w:val="720"/>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3E11"/>
    <w:rsid w:val="000D5A60"/>
    <w:rsid w:val="000D61CB"/>
    <w:rsid w:val="0017418D"/>
    <w:rsid w:val="0019508A"/>
    <w:rsid w:val="001A702E"/>
    <w:rsid w:val="00206715"/>
    <w:rsid w:val="00241792"/>
    <w:rsid w:val="00266EAF"/>
    <w:rsid w:val="00280F77"/>
    <w:rsid w:val="002B3E11"/>
    <w:rsid w:val="002F0A2E"/>
    <w:rsid w:val="00347341"/>
    <w:rsid w:val="003502AB"/>
    <w:rsid w:val="00377DF4"/>
    <w:rsid w:val="003E0CAF"/>
    <w:rsid w:val="004114D5"/>
    <w:rsid w:val="00445CEE"/>
    <w:rsid w:val="00491BF7"/>
    <w:rsid w:val="004D6358"/>
    <w:rsid w:val="005043A9"/>
    <w:rsid w:val="005407AC"/>
    <w:rsid w:val="005F1999"/>
    <w:rsid w:val="00681C82"/>
    <w:rsid w:val="006B7F0D"/>
    <w:rsid w:val="006C3D1C"/>
    <w:rsid w:val="00777385"/>
    <w:rsid w:val="007D1EA8"/>
    <w:rsid w:val="00802676"/>
    <w:rsid w:val="00811D5F"/>
    <w:rsid w:val="008E5E35"/>
    <w:rsid w:val="008F57FA"/>
    <w:rsid w:val="00902A92"/>
    <w:rsid w:val="009171A5"/>
    <w:rsid w:val="00965E10"/>
    <w:rsid w:val="009D0EA8"/>
    <w:rsid w:val="009D7722"/>
    <w:rsid w:val="00B51D66"/>
    <w:rsid w:val="00B74AC4"/>
    <w:rsid w:val="00BB6998"/>
    <w:rsid w:val="00BD112C"/>
    <w:rsid w:val="00C4655E"/>
    <w:rsid w:val="00C81A28"/>
    <w:rsid w:val="00CB3303"/>
    <w:rsid w:val="00DA1AEE"/>
    <w:rsid w:val="00DB689B"/>
    <w:rsid w:val="00DD62AB"/>
    <w:rsid w:val="00E136DD"/>
    <w:rsid w:val="00E223B2"/>
    <w:rsid w:val="00E9214E"/>
    <w:rsid w:val="00F30D9F"/>
    <w:rsid w:val="00F41D57"/>
    <w:rsid w:val="00F66CD4"/>
    <w:rsid w:val="00F74253"/>
    <w:rsid w:val="00F75468"/>
    <w:rsid w:val="00FD1D6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7E2A9DF3"/>
  <w15:docId w15:val="{5675CA37-EBDB-4B47-86CE-172AA438DF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es-MX" w:eastAsia="es-MX"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75718"/>
  </w:style>
  <w:style w:type="paragraph" w:styleId="Ttulo1">
    <w:name w:val="heading 1"/>
    <w:basedOn w:val="Normal"/>
    <w:next w:val="Normal"/>
    <w:link w:val="Ttulo1Car"/>
    <w:uiPriority w:val="9"/>
    <w:qFormat/>
    <w:rsid w:val="00E93FC1"/>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semiHidden/>
    <w:unhideWhenUsed/>
    <w:qFormat/>
    <w:rsid w:val="00EE743E"/>
    <w:pPr>
      <w:keepNext/>
      <w:keepLines/>
      <w:spacing w:before="40" w:line="259" w:lineRule="auto"/>
      <w:outlineLvl w:val="1"/>
    </w:pPr>
    <w:rPr>
      <w:rFonts w:asciiTheme="majorHAnsi" w:eastAsiaTheme="majorEastAsia" w:hAnsiTheme="majorHAnsi" w:cstheme="majorBidi"/>
      <w:color w:val="2E74B5" w:themeColor="accent1" w:themeShade="BF"/>
      <w:sz w:val="26"/>
      <w:szCs w:val="26"/>
      <w:lang w:eastAsia="en-US"/>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rPr>
  </w:style>
  <w:style w:type="paragraph" w:styleId="Ttulo5">
    <w:name w:val="heading 5"/>
    <w:basedOn w:val="Normal"/>
    <w:next w:val="Normal"/>
    <w:uiPriority w:val="9"/>
    <w:semiHidden/>
    <w:unhideWhenUsed/>
    <w:qFormat/>
    <w:pPr>
      <w:keepNext/>
      <w:keepLines/>
      <w:spacing w:before="220" w:after="40"/>
      <w:outlineLvl w:val="4"/>
    </w:pPr>
    <w:rPr>
      <w:b/>
      <w:sz w:val="22"/>
      <w:szCs w:val="22"/>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Puesto">
    <w:name w:val="Title"/>
    <w:basedOn w:val="Normal"/>
    <w:next w:val="Normal"/>
    <w:uiPriority w:val="10"/>
    <w:qFormat/>
    <w:pPr>
      <w:keepNext/>
      <w:keepLines/>
      <w:spacing w:before="480" w:after="120"/>
    </w:pPr>
    <w:rPr>
      <w:b/>
      <w:sz w:val="72"/>
      <w:szCs w:val="72"/>
    </w:rPr>
  </w:style>
  <w:style w:type="character" w:customStyle="1" w:styleId="Ttulo1Car">
    <w:name w:val="Título 1 Car"/>
    <w:basedOn w:val="Fuentedeprrafopredeter"/>
    <w:link w:val="Ttulo1"/>
    <w:uiPriority w:val="9"/>
    <w:rsid w:val="00E93FC1"/>
    <w:rPr>
      <w:rFonts w:asciiTheme="majorHAnsi" w:eastAsiaTheme="majorEastAsia" w:hAnsiTheme="majorHAnsi" w:cstheme="majorBidi"/>
      <w:color w:val="2E74B5" w:themeColor="accent1" w:themeShade="BF"/>
      <w:sz w:val="32"/>
      <w:szCs w:val="32"/>
      <w:lang w:val="es-MX" w:eastAsia="es-MX"/>
    </w:rPr>
  </w:style>
  <w:style w:type="paragraph" w:styleId="Encabezado">
    <w:name w:val="header"/>
    <w:basedOn w:val="Normal"/>
    <w:link w:val="EncabezadoCar"/>
    <w:uiPriority w:val="99"/>
    <w:unhideWhenUsed/>
    <w:rsid w:val="00E93FC1"/>
    <w:pPr>
      <w:tabs>
        <w:tab w:val="center" w:pos="4419"/>
        <w:tab w:val="right" w:pos="8838"/>
      </w:tabs>
    </w:pPr>
  </w:style>
  <w:style w:type="character" w:customStyle="1" w:styleId="EncabezadoCar">
    <w:name w:val="Encabezado Car"/>
    <w:basedOn w:val="Fuentedeprrafopredeter"/>
    <w:link w:val="Encabezado"/>
    <w:uiPriority w:val="99"/>
    <w:rsid w:val="00E93FC1"/>
    <w:rPr>
      <w:rFonts w:ascii="Times New Roman" w:eastAsia="Times New Roman" w:hAnsi="Times New Roman" w:cs="Times New Roman"/>
      <w:sz w:val="24"/>
      <w:szCs w:val="24"/>
      <w:lang w:val="es-MX" w:eastAsia="es-MX"/>
    </w:rPr>
  </w:style>
  <w:style w:type="paragraph" w:styleId="Piedepgina">
    <w:name w:val="footer"/>
    <w:basedOn w:val="Normal"/>
    <w:link w:val="PiedepginaCar"/>
    <w:uiPriority w:val="99"/>
    <w:unhideWhenUsed/>
    <w:rsid w:val="00E93FC1"/>
    <w:pPr>
      <w:tabs>
        <w:tab w:val="center" w:pos="4419"/>
        <w:tab w:val="right" w:pos="8838"/>
      </w:tabs>
    </w:pPr>
  </w:style>
  <w:style w:type="character" w:customStyle="1" w:styleId="PiedepginaCar">
    <w:name w:val="Pie de página Car"/>
    <w:basedOn w:val="Fuentedeprrafopredeter"/>
    <w:link w:val="Piedepgina"/>
    <w:uiPriority w:val="99"/>
    <w:rsid w:val="00E93FC1"/>
    <w:rPr>
      <w:rFonts w:ascii="Times New Roman" w:eastAsia="Times New Roman" w:hAnsi="Times New Roman" w:cs="Times New Roman"/>
      <w:sz w:val="24"/>
      <w:szCs w:val="24"/>
      <w:lang w:val="es-MX" w:eastAsia="es-MX"/>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E93FC1"/>
    <w:pPr>
      <w:ind w:left="720"/>
      <w:contextualSpacing/>
    </w:pPr>
    <w:rPr>
      <w:rFonts w:ascii="Century Gothic" w:hAnsi="Century Gothic"/>
      <w:sz w:val="22"/>
    </w:r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rsid w:val="00E93FC1"/>
    <w:rPr>
      <w:rFonts w:ascii="Century Gothic" w:eastAsia="Times New Roman" w:hAnsi="Century Gothic" w:cs="Times New Roman"/>
      <w:szCs w:val="24"/>
      <w:lang w:val="es-MX" w:eastAsia="es-MX"/>
    </w:rPr>
  </w:style>
  <w:style w:type="character" w:styleId="Hipervnculo">
    <w:name w:val="Hyperlink"/>
    <w:aliases w:val="Hipervínculo1,Hipervínculo11,Hipervínculo12,Hipervínculo13,Hipervínculo14,Hipervínculo15"/>
    <w:uiPriority w:val="99"/>
    <w:unhideWhenUsed/>
    <w:rsid w:val="00E93FC1"/>
    <w:rPr>
      <w:color w:val="0563C1"/>
      <w:u w:val="single"/>
    </w:rPr>
  </w:style>
  <w:style w:type="paragraph" w:styleId="TDC1">
    <w:name w:val="toc 1"/>
    <w:basedOn w:val="Normal"/>
    <w:next w:val="Normal"/>
    <w:autoRedefine/>
    <w:uiPriority w:val="39"/>
    <w:unhideWhenUsed/>
    <w:rsid w:val="00E93FC1"/>
    <w:pPr>
      <w:spacing w:after="100" w:line="259" w:lineRule="auto"/>
    </w:pPr>
    <w:rPr>
      <w:rFonts w:asciiTheme="minorHAnsi" w:eastAsiaTheme="minorHAnsi" w:hAnsiTheme="minorHAnsi" w:cstheme="minorBidi"/>
      <w:sz w:val="22"/>
      <w:szCs w:val="22"/>
      <w:lang w:eastAsia="en-US"/>
    </w:rPr>
  </w:style>
  <w:style w:type="paragraph" w:styleId="TDC2">
    <w:name w:val="toc 2"/>
    <w:basedOn w:val="Normal"/>
    <w:next w:val="Normal"/>
    <w:autoRedefine/>
    <w:uiPriority w:val="39"/>
    <w:unhideWhenUsed/>
    <w:rsid w:val="00E93FC1"/>
    <w:pPr>
      <w:tabs>
        <w:tab w:val="right" w:leader="dot" w:pos="8637"/>
      </w:tabs>
      <w:spacing w:line="480" w:lineRule="auto"/>
    </w:pPr>
    <w:rPr>
      <w:rFonts w:asciiTheme="minorHAnsi" w:eastAsiaTheme="minorHAnsi" w:hAnsiTheme="minorHAnsi" w:cstheme="minorBidi"/>
      <w:sz w:val="22"/>
      <w:szCs w:val="22"/>
      <w:lang w:eastAsia="en-US"/>
    </w:rPr>
  </w:style>
  <w:style w:type="character" w:styleId="Refdenotaalpie">
    <w:name w:val="footnote reference"/>
    <w:aliases w:val="Footnotes refss,Texto de nota al pie,Ref. de nota al pie 2,Appel note de bas de page,referencia nota al pie,BVI fnr,Footnote number,f,4_G,16 Point,Superscript 6 Point,Texto nota al pie,Footnote Reference Char3,Ref,de nota al pie,註腳內容"/>
    <w:basedOn w:val="Fuentedeprrafopredeter"/>
    <w:uiPriority w:val="99"/>
    <w:unhideWhenUsed/>
    <w:qFormat/>
    <w:rsid w:val="00E93FC1"/>
    <w:rPr>
      <w:vertAlign w:val="superscript"/>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uiPriority w:val="99"/>
    <w:qFormat/>
    <w:locked/>
    <w:rsid w:val="00E93FC1"/>
    <w:rPr>
      <w:sz w:val="20"/>
      <w:szCs w:val="20"/>
    </w:rPr>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iPriority w:val="99"/>
    <w:unhideWhenUsed/>
    <w:qFormat/>
    <w:rsid w:val="00E93FC1"/>
    <w:rPr>
      <w:rFonts w:asciiTheme="minorHAnsi" w:eastAsiaTheme="minorHAnsi" w:hAnsiTheme="minorHAnsi" w:cstheme="minorBidi"/>
      <w:sz w:val="20"/>
      <w:szCs w:val="20"/>
      <w:lang w:val="es-ES" w:eastAsia="en-US"/>
    </w:rPr>
  </w:style>
  <w:style w:type="character" w:customStyle="1" w:styleId="TextonotapieCar1">
    <w:name w:val="Texto nota pie Car1"/>
    <w:basedOn w:val="Fuentedeprrafopredeter"/>
    <w:uiPriority w:val="99"/>
    <w:semiHidden/>
    <w:rsid w:val="00E93FC1"/>
    <w:rPr>
      <w:rFonts w:ascii="Times New Roman" w:eastAsia="Times New Roman" w:hAnsi="Times New Roman" w:cs="Times New Roman"/>
      <w:sz w:val="20"/>
      <w:szCs w:val="20"/>
      <w:lang w:val="es-MX" w:eastAsia="es-MX"/>
    </w:rPr>
  </w:style>
  <w:style w:type="paragraph" w:styleId="TtulodeTDC">
    <w:name w:val="TOC Heading"/>
    <w:basedOn w:val="Ttulo1"/>
    <w:next w:val="Normal"/>
    <w:uiPriority w:val="39"/>
    <w:semiHidden/>
    <w:unhideWhenUsed/>
    <w:qFormat/>
    <w:rsid w:val="00E93FC1"/>
    <w:pPr>
      <w:outlineLvl w:val="9"/>
    </w:pPr>
  </w:style>
  <w:style w:type="character" w:customStyle="1" w:styleId="apple-converted-space">
    <w:name w:val="apple-converted-space"/>
    <w:basedOn w:val="Fuentedeprrafopredeter"/>
    <w:qFormat/>
    <w:rsid w:val="00E93FC1"/>
  </w:style>
  <w:style w:type="table" w:styleId="Tablaconcuadrcula">
    <w:name w:val="Table Grid"/>
    <w:basedOn w:val="Tablanormal"/>
    <w:uiPriority w:val="39"/>
    <w:rsid w:val="00E93FC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adecuadrcula6concolores">
    <w:name w:val="Grid Table 6 Colorful"/>
    <w:basedOn w:val="Tablanormal"/>
    <w:uiPriority w:val="51"/>
    <w:rsid w:val="003F2E3B"/>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Sinespaciado">
    <w:name w:val="No Spacing"/>
    <w:uiPriority w:val="1"/>
    <w:qFormat/>
    <w:rsid w:val="007D567D"/>
  </w:style>
  <w:style w:type="paragraph" w:styleId="TDC3">
    <w:name w:val="toc 3"/>
    <w:basedOn w:val="Normal"/>
    <w:next w:val="Normal"/>
    <w:autoRedefine/>
    <w:uiPriority w:val="39"/>
    <w:unhideWhenUsed/>
    <w:rsid w:val="00730D0C"/>
    <w:pPr>
      <w:spacing w:after="100"/>
      <w:ind w:left="480"/>
    </w:pPr>
  </w:style>
  <w:style w:type="character" w:customStyle="1" w:styleId="Ttulo2Car">
    <w:name w:val="Título 2 Car"/>
    <w:basedOn w:val="Fuentedeprrafopredeter"/>
    <w:link w:val="Ttulo2"/>
    <w:uiPriority w:val="9"/>
    <w:rsid w:val="00EE743E"/>
    <w:rPr>
      <w:rFonts w:asciiTheme="majorHAnsi" w:eastAsiaTheme="majorEastAsia" w:hAnsiTheme="majorHAnsi" w:cstheme="majorBidi"/>
      <w:color w:val="2E74B5" w:themeColor="accent1" w:themeShade="BF"/>
      <w:sz w:val="26"/>
      <w:szCs w:val="26"/>
      <w:lang w:val="es-MX"/>
    </w:rPr>
  </w:style>
  <w:style w:type="table" w:customStyle="1" w:styleId="Tablaconcuadrcula1">
    <w:name w:val="Tabla con cuadrícula1"/>
    <w:basedOn w:val="Tablanormal"/>
    <w:next w:val="Tablaconcuadrcula"/>
    <w:uiPriority w:val="59"/>
    <w:rsid w:val="00C5684D"/>
    <w:rPr>
      <w:lang w:val="es-ES_tradnl"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cinsinresolver1">
    <w:name w:val="Mención sin resolver1"/>
    <w:basedOn w:val="Fuentedeprrafopredeter"/>
    <w:uiPriority w:val="99"/>
    <w:semiHidden/>
    <w:unhideWhenUsed/>
    <w:rsid w:val="008E5D90"/>
    <w:rPr>
      <w:color w:val="605E5C"/>
      <w:shd w:val="clear" w:color="auto" w:fill="E1DFDD"/>
    </w:rPr>
  </w:style>
  <w:style w:type="character" w:styleId="Hipervnculovisitado">
    <w:name w:val="FollowedHyperlink"/>
    <w:basedOn w:val="Fuentedeprrafopredeter"/>
    <w:uiPriority w:val="99"/>
    <w:semiHidden/>
    <w:unhideWhenUsed/>
    <w:rsid w:val="00A95951"/>
    <w:rPr>
      <w:color w:val="954F72" w:themeColor="followedHyperlink"/>
      <w:u w:val="single"/>
    </w:rPr>
  </w:style>
  <w:style w:type="paragraph" w:customStyle="1" w:styleId="Default">
    <w:name w:val="Default"/>
    <w:rsid w:val="001D67DC"/>
    <w:pPr>
      <w:autoSpaceDE w:val="0"/>
      <w:autoSpaceDN w:val="0"/>
      <w:adjustRightInd w:val="0"/>
    </w:pPr>
    <w:rPr>
      <w:rFonts w:ascii="Palatino Linotype" w:hAnsi="Palatino Linotype" w:cs="Palatino Linotype"/>
      <w:color w:val="000000"/>
    </w:rPr>
  </w:style>
  <w:style w:type="character" w:customStyle="1" w:styleId="UnresolvedMention">
    <w:name w:val="Unresolved Mention"/>
    <w:basedOn w:val="Fuentedeprrafopredeter"/>
    <w:uiPriority w:val="99"/>
    <w:semiHidden/>
    <w:unhideWhenUsed/>
    <w:rsid w:val="00C2564D"/>
    <w:rPr>
      <w:color w:val="605E5C"/>
      <w:shd w:val="clear" w:color="auto" w:fill="E1DFDD"/>
    </w:rPr>
  </w:style>
  <w:style w:type="paragraph" w:styleId="Textodeglobo">
    <w:name w:val="Balloon Text"/>
    <w:basedOn w:val="Normal"/>
    <w:link w:val="TextodegloboCar"/>
    <w:uiPriority w:val="99"/>
    <w:semiHidden/>
    <w:unhideWhenUsed/>
    <w:rsid w:val="00F00C14"/>
    <w:rPr>
      <w:rFonts w:ascii="Lucida Grande" w:eastAsiaTheme="minorEastAsia" w:hAnsi="Lucida Grande" w:cs="Lucida Grande"/>
      <w:sz w:val="18"/>
      <w:szCs w:val="18"/>
      <w:lang w:val="es-ES_tradnl" w:eastAsia="es-ES"/>
    </w:rPr>
  </w:style>
  <w:style w:type="character" w:customStyle="1" w:styleId="TextodegloboCar">
    <w:name w:val="Texto de globo Car"/>
    <w:basedOn w:val="Fuentedeprrafopredeter"/>
    <w:link w:val="Textodeglobo"/>
    <w:uiPriority w:val="99"/>
    <w:semiHidden/>
    <w:rsid w:val="00F00C14"/>
    <w:rPr>
      <w:rFonts w:ascii="Lucida Grande" w:eastAsiaTheme="minorEastAsia" w:hAnsi="Lucida Grande" w:cs="Lucida Grande"/>
      <w:sz w:val="18"/>
      <w:szCs w:val="18"/>
      <w:lang w:val="es-ES_tradnl" w:eastAsia="es-ES"/>
    </w:rPr>
  </w:style>
  <w:style w:type="table" w:customStyle="1" w:styleId="Tablanormal13">
    <w:name w:val="Tabla normal 13"/>
    <w:basedOn w:val="Tablanormal"/>
    <w:next w:val="Tablanormal1"/>
    <w:uiPriority w:val="41"/>
    <w:rsid w:val="000C0051"/>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styleId="Tablanormal1">
    <w:name w:val="Plain Table 1"/>
    <w:basedOn w:val="Tablanormal"/>
    <w:uiPriority w:val="41"/>
    <w:rsid w:val="000C0051"/>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rPr>
      <w:color w:val="000000"/>
    </w:rPr>
    <w:tblPr>
      <w:tblStyleRowBandSize w:val="1"/>
      <w:tblStyleColBandSize w:val="1"/>
      <w:tblCellMar>
        <w:left w:w="108" w:type="dxa"/>
        <w:right w:w="108" w:type="dxa"/>
      </w:tblCellMar>
    </w:tblPr>
    <w:tblStylePr w:type="firstRow">
      <w:rPr>
        <w:b/>
      </w:rPr>
    </w:tblStylePr>
    <w:tblStylePr w:type="lastRow">
      <w:rPr>
        <w:b/>
      </w:rPr>
      <w:tblPr/>
      <w:tcPr>
        <w:tcBorders>
          <w:top w:val="single" w:sz="4" w:space="0" w:color="BFBFBF"/>
        </w:tcBorders>
      </w:tcPr>
    </w:tblStylePr>
    <w:tblStylePr w:type="firstCol">
      <w:rPr>
        <w:b/>
      </w:rPr>
    </w:tblStylePr>
    <w:tblStylePr w:type="lastCol">
      <w:rPr>
        <w:b/>
      </w:rPr>
    </w:tblStylePr>
    <w:tblStylePr w:type="band1Vert">
      <w:tblPr/>
      <w:tcPr>
        <w:shd w:val="clear" w:color="auto" w:fill="F2F2F2"/>
      </w:tcPr>
    </w:tblStylePr>
    <w:tblStylePr w:type="band1Horz">
      <w:tblPr/>
      <w:tcPr>
        <w:shd w:val="clear" w:color="auto" w:fill="F2F2F2"/>
      </w:tcPr>
    </w:tblStyle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4791651">
      <w:bodyDiv w:val="1"/>
      <w:marLeft w:val="0"/>
      <w:marRight w:val="0"/>
      <w:marTop w:val="0"/>
      <w:marBottom w:val="0"/>
      <w:divBdr>
        <w:top w:val="none" w:sz="0" w:space="0" w:color="auto"/>
        <w:left w:val="none" w:sz="0" w:space="0" w:color="auto"/>
        <w:bottom w:val="none" w:sz="0" w:space="0" w:color="auto"/>
        <w:right w:val="none" w:sz="0" w:space="0" w:color="auto"/>
      </w:divBdr>
    </w:div>
    <w:div w:id="530611120">
      <w:bodyDiv w:val="1"/>
      <w:marLeft w:val="0"/>
      <w:marRight w:val="0"/>
      <w:marTop w:val="0"/>
      <w:marBottom w:val="0"/>
      <w:divBdr>
        <w:top w:val="none" w:sz="0" w:space="0" w:color="auto"/>
        <w:left w:val="none" w:sz="0" w:space="0" w:color="auto"/>
        <w:bottom w:val="none" w:sz="0" w:space="0" w:color="auto"/>
        <w:right w:val="none" w:sz="0" w:space="0" w:color="auto"/>
      </w:divBdr>
    </w:div>
    <w:div w:id="170147505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saimex.org.mx/saimex/solicitud/downloadAttach/2268765.page"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VSFMADGow9/RaWC2mhndDiaJibg==">CgMxLjAyCGguZ2pkZ3hzMgloLjMwajB6bGwyCWguMWZvYjl0ZTIJaC4zem55c2g3MgloLjJldDkycDAyCGgudHlqY3d0MgloLjNkeTZ2a20yCWguMXQzaDVzZjIJaC40ZDM0b2c4MgloLjJzOGV5bzEyCWguMTdkcDh2dTIJaC4zcmRjcmpuMgloLjI2aW4xcmcyCGgubG54Yno5MgloLjM1bmt1bjI4AHIhMTJLYWFPVENuTnI2NHN2dXAxeVpodVVkRVRncjFJOEhI</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23</Pages>
  <Words>6330</Words>
  <Characters>34820</Characters>
  <Application>Microsoft Office Word</Application>
  <DocSecurity>0</DocSecurity>
  <Lines>290</Lines>
  <Paragraphs>82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41068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USUARIO</dc:creator>
  <cp:lastModifiedBy>INFOEM403</cp:lastModifiedBy>
  <cp:revision>6</cp:revision>
  <cp:lastPrinted>2025-02-07T15:56:00Z</cp:lastPrinted>
  <dcterms:created xsi:type="dcterms:W3CDTF">2025-02-04T23:59:00Z</dcterms:created>
  <dcterms:modified xsi:type="dcterms:W3CDTF">2025-03-25T01:22:00Z</dcterms:modified>
</cp:coreProperties>
</file>