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Resolución del Pleno del Instituto de Transparencia, Acceso a la Información Pública y Protección de Datos Personales del Estado de México y Municipios, con domicilio en Metepec, Estado de México, de fecha seis de marzo de dos mil veinticinco.</w:t>
      </w:r>
    </w:p>
    <w:p w:rsidR="00000000" w:rsidDel="00000000" w:rsidP="00000000" w:rsidRDefault="00000000" w:rsidRPr="00000000" w14:paraId="00000002">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03">
      <w:pPr>
        <w:spacing w:line="36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Visto</w:t>
      </w:r>
      <w:r w:rsidDel="00000000" w:rsidR="00000000" w:rsidRPr="00000000">
        <w:rPr>
          <w:rFonts w:ascii="Palatino Linotype" w:cs="Palatino Linotype" w:eastAsia="Palatino Linotype" w:hAnsi="Palatino Linotype"/>
          <w:sz w:val="22"/>
          <w:szCs w:val="22"/>
          <w:rtl w:val="0"/>
        </w:rPr>
        <w:t xml:space="preserve"> el expediente relativo al recurso de revisión </w:t>
      </w:r>
      <w:r w:rsidDel="00000000" w:rsidR="00000000" w:rsidRPr="00000000">
        <w:rPr>
          <w:rFonts w:ascii="Palatino Linotype" w:cs="Palatino Linotype" w:eastAsia="Palatino Linotype" w:hAnsi="Palatino Linotype"/>
          <w:b w:val="1"/>
          <w:sz w:val="22"/>
          <w:szCs w:val="22"/>
          <w:rtl w:val="0"/>
        </w:rPr>
        <w:t xml:space="preserve">00794/INFOEM/IP/RR/2025</w:t>
      </w:r>
      <w:r w:rsidDel="00000000" w:rsidR="00000000" w:rsidRPr="00000000">
        <w:rPr>
          <w:rFonts w:ascii="Palatino Linotype" w:cs="Palatino Linotype" w:eastAsia="Palatino Linotype" w:hAnsi="Palatino Linotype"/>
          <w:sz w:val="22"/>
          <w:szCs w:val="22"/>
          <w:rtl w:val="0"/>
        </w:rPr>
        <w:t xml:space="preserve">, interpuesto por </w:t>
      </w:r>
      <w:r w:rsidDel="00000000" w:rsidR="00000000" w:rsidRPr="00000000">
        <w:rPr>
          <w:rFonts w:ascii="Palatino Linotype" w:cs="Palatino Linotype" w:eastAsia="Palatino Linotype" w:hAnsi="Palatino Linotype"/>
          <w:b w:val="1"/>
          <w:sz w:val="22"/>
          <w:szCs w:val="22"/>
          <w:rtl w:val="0"/>
        </w:rPr>
        <w:t xml:space="preserve">XXXXXX XXXXXXXXXX,</w:t>
      </w:r>
      <w:r w:rsidDel="00000000" w:rsidR="00000000" w:rsidRPr="00000000">
        <w:rPr>
          <w:rFonts w:ascii="Palatino Linotype" w:cs="Palatino Linotype" w:eastAsia="Palatino Linotype" w:hAnsi="Palatino Linotype"/>
          <w:sz w:val="22"/>
          <w:szCs w:val="22"/>
          <w:rtl w:val="0"/>
        </w:rPr>
        <w:t xml:space="preserve"> en lo sucesivo se le denominará la parte</w:t>
      </w:r>
      <w:r w:rsidDel="00000000" w:rsidR="00000000" w:rsidRPr="00000000">
        <w:rPr>
          <w:rFonts w:ascii="Palatino Linotype" w:cs="Palatino Linotype" w:eastAsia="Palatino Linotype" w:hAnsi="Palatino Linotype"/>
          <w:b w:val="1"/>
          <w:sz w:val="22"/>
          <w:szCs w:val="22"/>
          <w:rtl w:val="0"/>
        </w:rPr>
        <w:t xml:space="preserve"> RECURRENTE</w:t>
      </w:r>
      <w:r w:rsidDel="00000000" w:rsidR="00000000" w:rsidRPr="00000000">
        <w:rPr>
          <w:rFonts w:ascii="Palatino Linotype" w:cs="Palatino Linotype" w:eastAsia="Palatino Linotype" w:hAnsi="Palatino Linotype"/>
          <w:sz w:val="22"/>
          <w:szCs w:val="22"/>
          <w:rtl w:val="0"/>
        </w:rPr>
        <w:t xml:space="preserve">, en contra de la respuesta a su solicitud de información con número de folio</w:t>
      </w:r>
      <w:r w:rsidDel="00000000" w:rsidR="00000000" w:rsidRPr="00000000">
        <w:rPr>
          <w:rFonts w:ascii="Palatino Linotype" w:cs="Palatino Linotype" w:eastAsia="Palatino Linotype" w:hAnsi="Palatino Linotype"/>
          <w:b w:val="1"/>
          <w:sz w:val="22"/>
          <w:szCs w:val="22"/>
          <w:rtl w:val="0"/>
        </w:rPr>
        <w:t xml:space="preserve"> 00292/TOLUCA/IP/2025</w:t>
      </w:r>
      <w:r w:rsidDel="00000000" w:rsidR="00000000" w:rsidRPr="00000000">
        <w:rPr>
          <w:rFonts w:ascii="Palatino Linotype" w:cs="Palatino Linotype" w:eastAsia="Palatino Linotype" w:hAnsi="Palatino Linotype"/>
          <w:sz w:val="22"/>
          <w:szCs w:val="22"/>
          <w:rtl w:val="0"/>
        </w:rPr>
        <w:t xml:space="preserve">, por parte de la </w:t>
      </w:r>
      <w:r w:rsidDel="00000000" w:rsidR="00000000" w:rsidRPr="00000000">
        <w:rPr>
          <w:rFonts w:ascii="Palatino Linotype" w:cs="Palatino Linotype" w:eastAsia="Palatino Linotype" w:hAnsi="Palatino Linotype"/>
          <w:b w:val="1"/>
          <w:sz w:val="22"/>
          <w:szCs w:val="22"/>
          <w:rtl w:val="0"/>
        </w:rPr>
        <w:t xml:space="preserve">Ayuntamiento de Toluca </w:t>
      </w:r>
      <w:r w:rsidDel="00000000" w:rsidR="00000000" w:rsidRPr="00000000">
        <w:rPr>
          <w:rFonts w:ascii="Palatino Linotype" w:cs="Palatino Linotype" w:eastAsia="Palatino Linotype" w:hAnsi="Palatino Linotype"/>
          <w:sz w:val="22"/>
          <w:szCs w:val="22"/>
          <w:rtl w:val="0"/>
        </w:rPr>
        <w:t xml:space="preserve">en lo sucesivo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w:t>
      </w:r>
      <w:r w:rsidDel="00000000" w:rsidR="00000000" w:rsidRPr="00000000">
        <w:rPr>
          <w:rFonts w:ascii="Palatino Linotype" w:cs="Palatino Linotype" w:eastAsia="Palatino Linotype" w:hAnsi="Palatino Linotype"/>
          <w:b w:val="1"/>
          <w:sz w:val="22"/>
          <w:szCs w:val="22"/>
          <w:rtl w:val="0"/>
        </w:rPr>
        <w:t xml:space="preserve"> </w:t>
      </w:r>
      <w:r w:rsidDel="00000000" w:rsidR="00000000" w:rsidRPr="00000000">
        <w:rPr>
          <w:rFonts w:ascii="Palatino Linotype" w:cs="Palatino Linotype" w:eastAsia="Palatino Linotype" w:hAnsi="Palatino Linotype"/>
          <w:sz w:val="22"/>
          <w:szCs w:val="22"/>
          <w:rtl w:val="0"/>
        </w:rPr>
        <w:t xml:space="preserve">se procede a dictar la presente resolución, con base en los siguientes:</w:t>
      </w:r>
      <w:r w:rsidDel="00000000" w:rsidR="00000000" w:rsidRPr="00000000">
        <w:rPr>
          <w:rtl w:val="0"/>
        </w:rPr>
      </w:r>
    </w:p>
    <w:p w:rsidR="00000000" w:rsidDel="00000000" w:rsidP="00000000" w:rsidRDefault="00000000" w:rsidRPr="00000000" w14:paraId="00000004">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05">
      <w:pPr>
        <w:numPr>
          <w:ilvl w:val="0"/>
          <w:numId w:val="3"/>
        </w:numPr>
        <w:pBdr>
          <w:top w:space="0" w:sz="0" w:val="nil"/>
          <w:left w:space="0" w:sz="0" w:val="nil"/>
          <w:bottom w:space="0" w:sz="0" w:val="nil"/>
          <w:right w:space="0" w:sz="0" w:val="nil"/>
          <w:between w:space="0" w:sz="0" w:val="nil"/>
        </w:pBdr>
        <w:spacing w:line="360" w:lineRule="auto"/>
        <w:ind w:left="993" w:hanging="276.0000000000001"/>
        <w:jc w:val="cente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A N T E C E D E N T E S:</w:t>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line="360" w:lineRule="auto"/>
        <w:ind w:left="1077" w:firstLine="0"/>
        <w:jc w:val="center"/>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07">
      <w:pPr>
        <w:numPr>
          <w:ilvl w:val="1"/>
          <w:numId w:val="1"/>
        </w:numPr>
        <w:pBdr>
          <w:top w:space="0" w:sz="0" w:val="nil"/>
          <w:left w:space="0" w:sz="0" w:val="nil"/>
          <w:bottom w:space="0" w:sz="0" w:val="nil"/>
          <w:right w:space="0" w:sz="0" w:val="nil"/>
          <w:between w:space="0" w:sz="0" w:val="nil"/>
        </w:pBdr>
        <w:spacing w:line="360" w:lineRule="auto"/>
        <w:ind w:left="0" w:firstLine="0"/>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Solicitud de acceso a la información. </w:t>
      </w:r>
      <w:r w:rsidDel="00000000" w:rsidR="00000000" w:rsidRPr="00000000">
        <w:rPr>
          <w:rFonts w:ascii="Palatino Linotype" w:cs="Palatino Linotype" w:eastAsia="Palatino Linotype" w:hAnsi="Palatino Linotype"/>
          <w:sz w:val="22"/>
          <w:szCs w:val="22"/>
          <w:rtl w:val="0"/>
        </w:rPr>
        <w:t xml:space="preserve">Con fecha </w:t>
      </w:r>
      <w:r w:rsidDel="00000000" w:rsidR="00000000" w:rsidRPr="00000000">
        <w:rPr>
          <w:rFonts w:ascii="Palatino Linotype" w:cs="Palatino Linotype" w:eastAsia="Palatino Linotype" w:hAnsi="Palatino Linotype"/>
          <w:b w:val="1"/>
          <w:sz w:val="22"/>
          <w:szCs w:val="22"/>
          <w:rtl w:val="0"/>
        </w:rPr>
        <w:t xml:space="preserve">quince de enero de dos mil veinticinco</w:t>
      </w:r>
      <w:r w:rsidDel="00000000" w:rsidR="00000000" w:rsidRPr="00000000">
        <w:rPr>
          <w:rFonts w:ascii="Palatino Linotype" w:cs="Palatino Linotype" w:eastAsia="Palatino Linotype" w:hAnsi="Palatino Linotype"/>
          <w:sz w:val="22"/>
          <w:szCs w:val="22"/>
          <w:rtl w:val="0"/>
        </w:rPr>
        <w:t xml:space="preserve">,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formuló solicitud de acceso a información pública al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a través del Sistema de Acceso a la Información Mexiquense, en adelante </w:t>
      </w:r>
      <w:r w:rsidDel="00000000" w:rsidR="00000000" w:rsidRPr="00000000">
        <w:rPr>
          <w:rFonts w:ascii="Palatino Linotype" w:cs="Palatino Linotype" w:eastAsia="Palatino Linotype" w:hAnsi="Palatino Linotype"/>
          <w:b w:val="1"/>
          <w:sz w:val="22"/>
          <w:szCs w:val="22"/>
          <w:rtl w:val="0"/>
        </w:rPr>
        <w:t xml:space="preserve">SAIMEX</w:t>
      </w:r>
      <w:r w:rsidDel="00000000" w:rsidR="00000000" w:rsidRPr="00000000">
        <w:rPr>
          <w:rFonts w:ascii="Palatino Linotype" w:cs="Palatino Linotype" w:eastAsia="Palatino Linotype" w:hAnsi="Palatino Linotype"/>
          <w:sz w:val="22"/>
          <w:szCs w:val="22"/>
          <w:rtl w:val="0"/>
        </w:rPr>
        <w:t xml:space="preserve">, en la que requirió lo siguiente:  </w:t>
      </w: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spacing w:line="360" w:lineRule="auto"/>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09">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“Acta de instalacion del comité de giro de la actual administración”</w:t>
      </w:r>
    </w:p>
    <w:p w:rsidR="00000000" w:rsidDel="00000000" w:rsidP="00000000" w:rsidRDefault="00000000" w:rsidRPr="00000000" w14:paraId="0000000A">
      <w:pPr>
        <w:spacing w:line="360" w:lineRule="auto"/>
        <w:ind w:left="709" w:right="900" w:firstLine="0"/>
        <w:jc w:val="both"/>
        <w:rPr>
          <w:rFonts w:ascii="Palatino Linotype" w:cs="Palatino Linotype" w:eastAsia="Palatino Linotype" w:hAnsi="Palatino Linotype"/>
          <w:b w:val="1"/>
          <w:i w:val="1"/>
          <w:sz w:val="22"/>
          <w:szCs w:val="22"/>
        </w:rPr>
      </w:pPr>
      <w:r w:rsidDel="00000000" w:rsidR="00000000" w:rsidRPr="00000000">
        <w:rPr>
          <w:rtl w:val="0"/>
        </w:rPr>
      </w:r>
    </w:p>
    <w:p w:rsidR="00000000" w:rsidDel="00000000" w:rsidP="00000000" w:rsidRDefault="00000000" w:rsidRPr="00000000" w14:paraId="0000000B">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Modalidad elegida para la entrega de la información: </w:t>
      </w:r>
      <w:r w:rsidDel="00000000" w:rsidR="00000000" w:rsidRPr="00000000">
        <w:rPr>
          <w:rFonts w:ascii="Palatino Linotype" w:cs="Palatino Linotype" w:eastAsia="Palatino Linotype" w:hAnsi="Palatino Linotype"/>
          <w:sz w:val="22"/>
          <w:szCs w:val="22"/>
          <w:rtl w:val="0"/>
        </w:rPr>
        <w:t xml:space="preserve">a través del Sistema de Acceso a la Información Mexiquense.</w:t>
      </w:r>
    </w:p>
    <w:p w:rsidR="00000000" w:rsidDel="00000000" w:rsidP="00000000" w:rsidRDefault="00000000" w:rsidRPr="00000000" w14:paraId="0000000C">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0D">
      <w:pPr>
        <w:numPr>
          <w:ilvl w:val="0"/>
          <w:numId w:val="1"/>
        </w:numPr>
        <w:pBdr>
          <w:top w:space="0" w:sz="0" w:val="nil"/>
          <w:left w:space="0" w:sz="0" w:val="nil"/>
          <w:bottom w:space="0" w:sz="0" w:val="nil"/>
          <w:right w:space="0" w:sz="0" w:val="nil"/>
          <w:between w:space="0" w:sz="0" w:val="nil"/>
        </w:pBdr>
        <w:spacing w:line="360" w:lineRule="auto"/>
        <w:ind w:left="0" w:firstLine="0"/>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Respuesta. </w:t>
      </w:r>
      <w:r w:rsidDel="00000000" w:rsidR="00000000" w:rsidRPr="00000000">
        <w:rPr>
          <w:rFonts w:ascii="Palatino Linotype" w:cs="Palatino Linotype" w:eastAsia="Palatino Linotype" w:hAnsi="Palatino Linotype"/>
          <w:sz w:val="22"/>
          <w:szCs w:val="22"/>
          <w:rtl w:val="0"/>
        </w:rPr>
        <w:t xml:space="preserve">El </w:t>
      </w:r>
      <w:r w:rsidDel="00000000" w:rsidR="00000000" w:rsidRPr="00000000">
        <w:rPr>
          <w:rFonts w:ascii="Palatino Linotype" w:cs="Palatino Linotype" w:eastAsia="Palatino Linotype" w:hAnsi="Palatino Linotype"/>
          <w:b w:val="1"/>
          <w:sz w:val="22"/>
          <w:szCs w:val="22"/>
          <w:rtl w:val="0"/>
        </w:rPr>
        <w:t xml:space="preserve">seis de febrero de dos mil veinticinco</w:t>
      </w:r>
      <w:r w:rsidDel="00000000" w:rsidR="00000000" w:rsidRPr="00000000">
        <w:rPr>
          <w:rFonts w:ascii="Palatino Linotype" w:cs="Palatino Linotype" w:eastAsia="Palatino Linotype" w:hAnsi="Palatino Linotype"/>
          <w:sz w:val="22"/>
          <w:szCs w:val="22"/>
          <w:rtl w:val="0"/>
        </w:rPr>
        <w:t xml:space="preserve"> se tuvo por presentada la respuesta,</w:t>
      </w:r>
      <w:r w:rsidDel="00000000" w:rsidR="00000000" w:rsidRPr="00000000">
        <w:rPr>
          <w:rFonts w:ascii="Palatino Linotype" w:cs="Palatino Linotype" w:eastAsia="Palatino Linotype" w:hAnsi="Palatino Linotype"/>
          <w:b w:val="1"/>
          <w:sz w:val="22"/>
          <w:szCs w:val="22"/>
          <w:rtl w:val="0"/>
        </w:rPr>
        <w:t xml:space="preserve"> </w:t>
      </w:r>
      <w:r w:rsidDel="00000000" w:rsidR="00000000" w:rsidRPr="00000000">
        <w:rPr>
          <w:rFonts w:ascii="Palatino Linotype" w:cs="Palatino Linotype" w:eastAsia="Palatino Linotype" w:hAnsi="Palatino Linotype"/>
          <w:sz w:val="22"/>
          <w:szCs w:val="22"/>
          <w:rtl w:val="0"/>
        </w:rPr>
        <w:t xml:space="preserve">mediante la cual el </w:t>
      </w:r>
      <w:r w:rsidDel="00000000" w:rsidR="00000000" w:rsidRPr="00000000">
        <w:rPr>
          <w:rFonts w:ascii="Palatino Linotype" w:cs="Palatino Linotype" w:eastAsia="Palatino Linotype" w:hAnsi="Palatino Linotype"/>
          <w:b w:val="1"/>
          <w:sz w:val="22"/>
          <w:szCs w:val="22"/>
          <w:rtl w:val="0"/>
        </w:rPr>
        <w:t xml:space="preserve">SUJETO OBLIGADO </w:t>
      </w:r>
      <w:r w:rsidDel="00000000" w:rsidR="00000000" w:rsidRPr="00000000">
        <w:rPr>
          <w:rFonts w:ascii="Palatino Linotype" w:cs="Palatino Linotype" w:eastAsia="Palatino Linotype" w:hAnsi="Palatino Linotype"/>
          <w:sz w:val="22"/>
          <w:szCs w:val="22"/>
          <w:rtl w:val="0"/>
        </w:rPr>
        <w:t xml:space="preserve">señaló de lo siguiente:</w:t>
      </w:r>
      <w:r w:rsidDel="00000000" w:rsidR="00000000" w:rsidRPr="00000000">
        <w:rPr>
          <w:rtl w:val="0"/>
        </w:rPr>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line="360" w:lineRule="auto"/>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En respuesta a la solicitud recibida, nos permitimos hacer de su conocimiento que con fundamento en el artículo 53, Fracciones: II, V y VI de la Ley de Transparencia y Acceso a la Información Pública del Estado de México y Municipios, le contestamos que:</w:t>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En atención a la solicitud con folio 00292/TOLUCA/IP/2025, me permito adjuntar al presente la respuesta correspondiente. Sin más por el momento, reciba un saludo</w:t>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ATENTAMENTE</w:t>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Dr. Nahum Miguel Mendoza Morales</w:t>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line="360" w:lineRule="auto"/>
        <w:ind w:right="49"/>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Asimismo, adjuntó el siguiente documento electrónico:</w:t>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line="360" w:lineRule="auto"/>
        <w:ind w:right="49"/>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1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360" w:lineRule="auto"/>
        <w:ind w:left="426" w:right="49" w:hanging="360"/>
        <w:jc w:val="both"/>
        <w:rPr>
          <w:rFonts w:ascii="Palatino Linotype" w:cs="Palatino Linotype" w:eastAsia="Palatino Linotype" w:hAnsi="Palatino Linotype"/>
          <w:b w:val="1"/>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00000"/>
          <w:sz w:val="22"/>
          <w:szCs w:val="22"/>
          <w:u w:val="none"/>
          <w:shd w:fill="auto" w:val="clear"/>
          <w:vertAlign w:val="baseline"/>
          <w:rtl w:val="0"/>
        </w:rPr>
        <w:t xml:space="preserve">RESPUESTA 0292. 2025.pdf: </w:t>
      </w: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Documento emitido por el Titular de la Unidad de Transparencia mediante el cual refiere que la Dirección General de Desarrollo Económico y Servidora Pública Habilitada informó que después de realizar una búsqueda exhaustiva y razonable en la dirección, no se cuenta con la información, por lo que no es posible hacer entrega de la misma.</w:t>
      </w: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720" w:right="49" w:firstLine="0"/>
        <w:jc w:val="both"/>
        <w:rPr>
          <w:rFonts w:ascii="Palatino Linotype" w:cs="Palatino Linotype" w:eastAsia="Palatino Linotype" w:hAnsi="Palatino Linotype"/>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numPr>
          <w:ilvl w:val="0"/>
          <w:numId w:val="1"/>
        </w:numPr>
        <w:pBdr>
          <w:top w:space="0" w:sz="0" w:val="nil"/>
          <w:left w:space="0" w:sz="0" w:val="nil"/>
          <w:bottom w:space="0" w:sz="0" w:val="nil"/>
          <w:right w:space="0" w:sz="0" w:val="nil"/>
          <w:between w:space="0" w:sz="0" w:val="nil"/>
        </w:pBdr>
        <w:tabs>
          <w:tab w:val="left" w:leader="none" w:pos="426"/>
        </w:tabs>
        <w:spacing w:line="360" w:lineRule="auto"/>
        <w:ind w:left="0" w:right="49"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Interposición del recurso de revisión. </w:t>
      </w:r>
      <w:r w:rsidDel="00000000" w:rsidR="00000000" w:rsidRPr="00000000">
        <w:rPr>
          <w:rFonts w:ascii="Palatino Linotype" w:cs="Palatino Linotype" w:eastAsia="Palatino Linotype" w:hAnsi="Palatino Linotype"/>
          <w:sz w:val="22"/>
          <w:szCs w:val="22"/>
          <w:rtl w:val="0"/>
        </w:rPr>
        <w:t xml:space="preserve">Inconforme con la respuesta del </w:t>
      </w:r>
      <w:r w:rsidDel="00000000" w:rsidR="00000000" w:rsidRPr="00000000">
        <w:rPr>
          <w:rFonts w:ascii="Palatino Linotype" w:cs="Palatino Linotype" w:eastAsia="Palatino Linotype" w:hAnsi="Palatino Linotype"/>
          <w:b w:val="1"/>
          <w:sz w:val="22"/>
          <w:szCs w:val="22"/>
          <w:rtl w:val="0"/>
        </w:rPr>
        <w:t xml:space="preserve">SUJETO OBLIGADO el ahora RECURRENTE</w:t>
      </w:r>
      <w:r w:rsidDel="00000000" w:rsidR="00000000" w:rsidRPr="00000000">
        <w:rPr>
          <w:rFonts w:ascii="Palatino Linotype" w:cs="Palatino Linotype" w:eastAsia="Palatino Linotype" w:hAnsi="Palatino Linotype"/>
          <w:sz w:val="22"/>
          <w:szCs w:val="22"/>
          <w:rtl w:val="0"/>
        </w:rPr>
        <w:t xml:space="preserve"> interpuso recurso de revisión a través del SAIMEX en fecha </w:t>
      </w:r>
      <w:r w:rsidDel="00000000" w:rsidR="00000000" w:rsidRPr="00000000">
        <w:rPr>
          <w:rFonts w:ascii="Palatino Linotype" w:cs="Palatino Linotype" w:eastAsia="Palatino Linotype" w:hAnsi="Palatino Linotype"/>
          <w:b w:val="1"/>
          <w:sz w:val="22"/>
          <w:szCs w:val="22"/>
          <w:rtl w:val="0"/>
        </w:rPr>
        <w:t xml:space="preserve">siete</w:t>
      </w:r>
      <w:r w:rsidDel="00000000" w:rsidR="00000000" w:rsidRPr="00000000">
        <w:rPr>
          <w:rFonts w:ascii="Palatino Linotype" w:cs="Palatino Linotype" w:eastAsia="Palatino Linotype" w:hAnsi="Palatino Linotype"/>
          <w:sz w:val="22"/>
          <w:szCs w:val="22"/>
          <w:rtl w:val="0"/>
        </w:rPr>
        <w:t xml:space="preserve"> </w:t>
      </w:r>
      <w:r w:rsidDel="00000000" w:rsidR="00000000" w:rsidRPr="00000000">
        <w:rPr>
          <w:rFonts w:ascii="Palatino Linotype" w:cs="Palatino Linotype" w:eastAsia="Palatino Linotype" w:hAnsi="Palatino Linotype"/>
          <w:b w:val="1"/>
          <w:sz w:val="22"/>
          <w:szCs w:val="22"/>
          <w:rtl w:val="0"/>
        </w:rPr>
        <w:t xml:space="preserve">de febrero de dos mil veinticinco</w:t>
      </w:r>
      <w:r w:rsidDel="00000000" w:rsidR="00000000" w:rsidRPr="00000000">
        <w:rPr>
          <w:rFonts w:ascii="Palatino Linotype" w:cs="Palatino Linotype" w:eastAsia="Palatino Linotype" w:hAnsi="Palatino Linotype"/>
          <w:sz w:val="22"/>
          <w:szCs w:val="22"/>
          <w:rtl w:val="0"/>
        </w:rPr>
        <w:t xml:space="preserve">, a través del cual expresó lo siguiente:</w:t>
      </w:r>
    </w:p>
    <w:p w:rsidR="00000000" w:rsidDel="00000000" w:rsidP="00000000" w:rsidRDefault="00000000" w:rsidRPr="00000000" w14:paraId="00000019">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1A">
      <w:pPr>
        <w:spacing w:line="360" w:lineRule="auto"/>
        <w:ind w:left="567" w:right="900"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Acto impugnado. </w:t>
      </w:r>
      <w:r w:rsidDel="00000000" w:rsidR="00000000" w:rsidRPr="00000000">
        <w:rPr>
          <w:rFonts w:ascii="Palatino Linotype" w:cs="Palatino Linotype" w:eastAsia="Palatino Linotype" w:hAnsi="Palatino Linotype"/>
          <w:i w:val="1"/>
          <w:sz w:val="22"/>
          <w:szCs w:val="22"/>
          <w:rtl w:val="0"/>
        </w:rPr>
        <w:t xml:space="preserve">“La negativa de información”. </w:t>
      </w:r>
      <w:r w:rsidDel="00000000" w:rsidR="00000000" w:rsidRPr="00000000">
        <w:rPr>
          <w:rtl w:val="0"/>
        </w:rPr>
      </w:r>
    </w:p>
    <w:p w:rsidR="00000000" w:rsidDel="00000000" w:rsidP="00000000" w:rsidRDefault="00000000" w:rsidRPr="00000000" w14:paraId="0000001B">
      <w:pPr>
        <w:spacing w:line="360" w:lineRule="auto"/>
        <w:ind w:left="567" w:right="900" w:firstLine="0"/>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1C">
      <w:pPr>
        <w:spacing w:line="360" w:lineRule="auto"/>
        <w:ind w:left="567" w:right="900"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sz w:val="22"/>
          <w:szCs w:val="22"/>
          <w:rtl w:val="0"/>
        </w:rPr>
        <w:t xml:space="preserve">Motivos de inconformidad. </w:t>
      </w:r>
      <w:r w:rsidDel="00000000" w:rsidR="00000000" w:rsidRPr="00000000">
        <w:rPr>
          <w:rFonts w:ascii="Palatino Linotype" w:cs="Palatino Linotype" w:eastAsia="Palatino Linotype" w:hAnsi="Palatino Linotype"/>
          <w:i w:val="1"/>
          <w:sz w:val="22"/>
          <w:szCs w:val="22"/>
          <w:rtl w:val="0"/>
        </w:rPr>
        <w:t xml:space="preserve">“La instalación fue publica ya q busquen y trabajen de q sirve la plataforma si niegan todo”.</w:t>
      </w:r>
    </w:p>
    <w:p w:rsidR="00000000" w:rsidDel="00000000" w:rsidP="00000000" w:rsidRDefault="00000000" w:rsidRPr="00000000" w14:paraId="0000001D">
      <w:pPr>
        <w:spacing w:line="360" w:lineRule="auto"/>
        <w:ind w:left="567" w:right="900"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1E">
      <w:pPr>
        <w:spacing w:line="360" w:lineRule="auto"/>
        <w:ind w:left="567" w:right="900"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1F">
      <w:pPr>
        <w:numPr>
          <w:ilvl w:val="0"/>
          <w:numId w:val="1"/>
        </w:numPr>
        <w:pBdr>
          <w:top w:space="0" w:sz="0" w:val="nil"/>
          <w:left w:space="0" w:sz="0" w:val="nil"/>
          <w:bottom w:space="0" w:sz="0" w:val="nil"/>
          <w:right w:space="0" w:sz="0" w:val="nil"/>
          <w:between w:space="0" w:sz="0" w:val="nil"/>
        </w:pBdr>
        <w:tabs>
          <w:tab w:val="left" w:leader="none" w:pos="284"/>
        </w:tabs>
        <w:spacing w:line="360" w:lineRule="auto"/>
        <w:ind w:left="0"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Turno. </w:t>
      </w:r>
      <w:r w:rsidDel="00000000" w:rsidR="00000000" w:rsidRPr="00000000">
        <w:rPr>
          <w:rFonts w:ascii="Palatino Linotype" w:cs="Palatino Linotype" w:eastAsia="Palatino Linotype" w:hAnsi="Palatino Linotype"/>
          <w:sz w:val="22"/>
          <w:szCs w:val="22"/>
          <w:rtl w:val="0"/>
        </w:rPr>
        <w:t xml:space="preserve">De conformidad con el artículo 185, fracción I de la Ley de Transparencia y Acceso a la Información Pública del Estado de México y Municipios, el recurso de revisión número </w:t>
      </w:r>
      <w:r w:rsidDel="00000000" w:rsidR="00000000" w:rsidRPr="00000000">
        <w:rPr>
          <w:rFonts w:ascii="Palatino Linotype" w:cs="Palatino Linotype" w:eastAsia="Palatino Linotype" w:hAnsi="Palatino Linotype"/>
          <w:b w:val="1"/>
          <w:sz w:val="22"/>
          <w:szCs w:val="22"/>
          <w:rtl w:val="0"/>
        </w:rPr>
        <w:t xml:space="preserve">00794/INFOEM/IP/RR/2025</w:t>
      </w:r>
      <w:r w:rsidDel="00000000" w:rsidR="00000000" w:rsidRPr="00000000">
        <w:rPr>
          <w:rFonts w:ascii="Palatino Linotype" w:cs="Palatino Linotype" w:eastAsia="Palatino Linotype" w:hAnsi="Palatino Linotype"/>
          <w:sz w:val="22"/>
          <w:szCs w:val="22"/>
          <w:rtl w:val="0"/>
        </w:rPr>
        <w:t xml:space="preserve">, se turnó por el sistema electrónico del Instituto de Transparencia, Acceso a la Información Pública y Protección de Datos Personales del Estado de México y Municipios, a la Comisionada </w:t>
      </w:r>
      <w:r w:rsidDel="00000000" w:rsidR="00000000" w:rsidRPr="00000000">
        <w:rPr>
          <w:rFonts w:ascii="Palatino Linotype" w:cs="Palatino Linotype" w:eastAsia="Palatino Linotype" w:hAnsi="Palatino Linotype"/>
          <w:b w:val="1"/>
          <w:sz w:val="22"/>
          <w:szCs w:val="22"/>
          <w:rtl w:val="0"/>
        </w:rPr>
        <w:t xml:space="preserve">Guadalupe Ramírez Peña</w:t>
      </w:r>
      <w:r w:rsidDel="00000000" w:rsidR="00000000" w:rsidRPr="00000000">
        <w:rPr>
          <w:rFonts w:ascii="Palatino Linotype" w:cs="Palatino Linotype" w:eastAsia="Palatino Linotype" w:hAnsi="Palatino Linotype"/>
          <w:sz w:val="22"/>
          <w:szCs w:val="22"/>
          <w:rtl w:val="0"/>
        </w:rPr>
        <w:t xml:space="preserve">, para su análisis, estudio, elaboración del proyecto y presentación ante el Pleno de este Instituto.</w:t>
      </w:r>
    </w:p>
    <w:p w:rsidR="00000000" w:rsidDel="00000000" w:rsidP="00000000" w:rsidRDefault="00000000" w:rsidRPr="00000000" w14:paraId="00000020">
      <w:pPr>
        <w:pBdr>
          <w:top w:space="0" w:sz="0" w:val="nil"/>
          <w:left w:space="0" w:sz="0" w:val="nil"/>
          <w:bottom w:space="0" w:sz="0" w:val="nil"/>
          <w:right w:space="0" w:sz="0" w:val="nil"/>
          <w:between w:space="0" w:sz="0" w:val="nil"/>
        </w:pBdr>
        <w:tabs>
          <w:tab w:val="left" w:leader="none" w:pos="284"/>
        </w:tabs>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1">
      <w:pPr>
        <w:numPr>
          <w:ilvl w:val="0"/>
          <w:numId w:val="1"/>
        </w:numPr>
        <w:pBdr>
          <w:top w:space="0" w:sz="0" w:val="nil"/>
          <w:left w:space="0" w:sz="0" w:val="nil"/>
          <w:bottom w:space="0" w:sz="0" w:val="nil"/>
          <w:right w:space="0" w:sz="0" w:val="nil"/>
          <w:between w:space="0" w:sz="0" w:val="nil"/>
        </w:pBdr>
        <w:tabs>
          <w:tab w:val="left" w:leader="none" w:pos="284"/>
        </w:tabs>
        <w:spacing w:line="360" w:lineRule="auto"/>
        <w:ind w:left="0" w:firstLine="0"/>
        <w:jc w:val="both"/>
        <w:rPr>
          <w:rFonts w:ascii="Palatino Linotype" w:cs="Palatino Linotype" w:eastAsia="Palatino Linotype" w:hAnsi="Palatino Linotype"/>
          <w:sz w:val="22"/>
          <w:szCs w:val="22"/>
        </w:rPr>
      </w:pPr>
      <w:bookmarkStart w:colFirst="0" w:colLast="0" w:name="_heading=h.gjdgxs" w:id="0"/>
      <w:bookmarkEnd w:id="0"/>
      <w:r w:rsidDel="00000000" w:rsidR="00000000" w:rsidRPr="00000000">
        <w:rPr>
          <w:rFonts w:ascii="Palatino Linotype" w:cs="Palatino Linotype" w:eastAsia="Palatino Linotype" w:hAnsi="Palatino Linotype"/>
          <w:b w:val="1"/>
          <w:sz w:val="22"/>
          <w:szCs w:val="22"/>
          <w:rtl w:val="0"/>
        </w:rPr>
        <w:t xml:space="preserve">Admisión del recurso de revisión: </w:t>
      </w:r>
      <w:r w:rsidDel="00000000" w:rsidR="00000000" w:rsidRPr="00000000">
        <w:rPr>
          <w:rFonts w:ascii="Palatino Linotype" w:cs="Palatino Linotype" w:eastAsia="Palatino Linotype" w:hAnsi="Palatino Linotype"/>
          <w:sz w:val="22"/>
          <w:szCs w:val="22"/>
          <w:rtl w:val="0"/>
        </w:rPr>
        <w:t xml:space="preserve">En fecha </w:t>
      </w:r>
      <w:r w:rsidDel="00000000" w:rsidR="00000000" w:rsidRPr="00000000">
        <w:rPr>
          <w:rFonts w:ascii="Palatino Linotype" w:cs="Palatino Linotype" w:eastAsia="Palatino Linotype" w:hAnsi="Palatino Linotype"/>
          <w:b w:val="1"/>
          <w:sz w:val="22"/>
          <w:szCs w:val="22"/>
          <w:rtl w:val="0"/>
        </w:rPr>
        <w:t xml:space="preserve">doce de febrero de dos mil veinticinco</w:t>
      </w:r>
      <w:r w:rsidDel="00000000" w:rsidR="00000000" w:rsidRPr="00000000">
        <w:rPr>
          <w:rFonts w:ascii="Palatino Linotype" w:cs="Palatino Linotype" w:eastAsia="Palatino Linotype" w:hAnsi="Palatino Linotype"/>
          <w:sz w:val="22"/>
          <w:szCs w:val="22"/>
          <w:rtl w:val="0"/>
        </w:rPr>
        <w:t xml:space="preserve">, la Comisionada Ponente admitió a trámite el recurso de revisión que ahora se resuelve, dando un plazo máximo de siete días hábiles para que las partes manifestaran lo que a su derecho resultara conveniente, ofrecieran pruebas, formularan alegatos y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presentara su informe justificado.</w:t>
      </w:r>
    </w:p>
    <w:p w:rsidR="00000000" w:rsidDel="00000000" w:rsidP="00000000" w:rsidRDefault="00000000" w:rsidRPr="00000000" w14:paraId="00000022">
      <w:pPr>
        <w:pBdr>
          <w:top w:space="0" w:sz="0" w:val="nil"/>
          <w:left w:space="0" w:sz="0" w:val="nil"/>
          <w:bottom w:space="0" w:sz="0" w:val="nil"/>
          <w:right w:space="0" w:sz="0" w:val="nil"/>
          <w:between w:space="0" w:sz="0" w:val="nil"/>
        </w:pBdr>
        <w:tabs>
          <w:tab w:val="left" w:leader="none" w:pos="284"/>
        </w:tabs>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3">
      <w:pPr>
        <w:numPr>
          <w:ilvl w:val="0"/>
          <w:numId w:val="1"/>
        </w:numPr>
        <w:pBdr>
          <w:top w:space="0" w:sz="0" w:val="nil"/>
          <w:left w:space="0" w:sz="0" w:val="nil"/>
          <w:bottom w:space="0" w:sz="0" w:val="nil"/>
          <w:right w:space="0" w:sz="0" w:val="nil"/>
          <w:between w:space="0" w:sz="0" w:val="nil"/>
        </w:pBdr>
        <w:tabs>
          <w:tab w:val="left" w:leader="none" w:pos="284"/>
        </w:tabs>
        <w:spacing w:line="360" w:lineRule="auto"/>
        <w:ind w:left="0"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Manifestaciones</w:t>
      </w:r>
      <w:r w:rsidDel="00000000" w:rsidR="00000000" w:rsidRPr="00000000">
        <w:rPr>
          <w:rFonts w:ascii="Palatino Linotype" w:cs="Palatino Linotype" w:eastAsia="Palatino Linotype" w:hAnsi="Palatino Linotype"/>
          <w:sz w:val="22"/>
          <w:szCs w:val="22"/>
          <w:rtl w:val="0"/>
        </w:rPr>
        <w:t xml:space="preserve">: El </w:t>
      </w:r>
      <w:r w:rsidDel="00000000" w:rsidR="00000000" w:rsidRPr="00000000">
        <w:rPr>
          <w:rFonts w:ascii="Palatino Linotype" w:cs="Palatino Linotype" w:eastAsia="Palatino Linotype" w:hAnsi="Palatino Linotype"/>
          <w:b w:val="1"/>
          <w:sz w:val="22"/>
          <w:szCs w:val="22"/>
          <w:rtl w:val="0"/>
        </w:rPr>
        <w:t xml:space="preserve">veintiuno de febrero de dos mil veinticinco</w:t>
      </w:r>
      <w:r w:rsidDel="00000000" w:rsidR="00000000" w:rsidRPr="00000000">
        <w:rPr>
          <w:rFonts w:ascii="Palatino Linotype" w:cs="Palatino Linotype" w:eastAsia="Palatino Linotype" w:hAnsi="Palatino Linotype"/>
          <w:sz w:val="22"/>
          <w:szCs w:val="22"/>
          <w:rtl w:val="0"/>
        </w:rPr>
        <w:t xml:space="preserve">, el Sujeto Obligado rindió su informe justificado, el cual se puso a la vista de la parte Recurrente el </w:t>
      </w:r>
      <w:r w:rsidDel="00000000" w:rsidR="00000000" w:rsidRPr="00000000">
        <w:rPr>
          <w:rFonts w:ascii="Palatino Linotype" w:cs="Palatino Linotype" w:eastAsia="Palatino Linotype" w:hAnsi="Palatino Linotype"/>
          <w:b w:val="1"/>
          <w:sz w:val="22"/>
          <w:szCs w:val="22"/>
          <w:rtl w:val="0"/>
        </w:rPr>
        <w:t xml:space="preserve">veinticinco de febrero de la misma anualidad</w:t>
      </w:r>
      <w:r w:rsidDel="00000000" w:rsidR="00000000" w:rsidRPr="00000000">
        <w:rPr>
          <w:rFonts w:ascii="Palatino Linotype" w:cs="Palatino Linotype" w:eastAsia="Palatino Linotype" w:hAnsi="Palatino Linotype"/>
          <w:sz w:val="22"/>
          <w:szCs w:val="22"/>
          <w:rtl w:val="0"/>
        </w:rPr>
        <w:t xml:space="preserve">, dicho informe justificado consiste en los documentos electrónicos siguientes:</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284"/>
        </w:tabs>
        <w:spacing w:after="0" w:before="0" w:line="360" w:lineRule="auto"/>
        <w:ind w:left="720" w:right="0" w:hanging="360"/>
        <w:jc w:val="both"/>
        <w:rPr>
          <w:rFonts w:ascii="Palatino Linotype" w:cs="Palatino Linotype" w:eastAsia="Palatino Linotype" w:hAnsi="Palatino Linotype"/>
          <w:b w:val="1"/>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00000"/>
          <w:sz w:val="22"/>
          <w:szCs w:val="22"/>
          <w:u w:val="none"/>
          <w:shd w:fill="auto" w:val="clear"/>
          <w:vertAlign w:val="baseline"/>
          <w:rtl w:val="0"/>
        </w:rPr>
        <w:t xml:space="preserve">ANEXO.pdf: </w:t>
      </w: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Documento que se integra de 8 páginas que contiene el</w:t>
      </w:r>
      <w:r w:rsidDel="00000000" w:rsidR="00000000" w:rsidRPr="00000000">
        <w:rPr>
          <w:rFonts w:ascii="Palatino Linotype" w:cs="Palatino Linotype" w:eastAsia="Palatino Linotype" w:hAnsi="Palatino Linotype"/>
          <w:b w:val="1"/>
          <w:i w:val="0"/>
          <w:smallCaps w:val="0"/>
          <w:strike w:val="0"/>
          <w:color w:val="000000"/>
          <w:sz w:val="22"/>
          <w:szCs w:val="22"/>
          <w:u w:val="none"/>
          <w:shd w:fill="auto" w:val="clear"/>
          <w:vertAlign w:val="baseline"/>
          <w:rtl w:val="0"/>
        </w:rPr>
        <w:t xml:space="preserve"> </w:t>
      </w: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Acta de Sesión de Instalación del Comité Municipal de Dictamen de Giro CMDG/ACTA/01/2025 de fecha catorce de enero de dos mil veinticinco.</w:t>
      </w:r>
      <w:r w:rsidDel="00000000" w:rsidR="00000000" w:rsidRPr="00000000">
        <w:rPr>
          <w:rtl w:val="0"/>
        </w:rPr>
      </w:r>
    </w:p>
    <w:p w:rsidR="00000000" w:rsidDel="00000000" w:rsidP="00000000" w:rsidRDefault="00000000" w:rsidRPr="00000000" w14:paraId="0000002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284"/>
        </w:tabs>
        <w:spacing w:after="0" w:before="0" w:line="360" w:lineRule="auto"/>
        <w:ind w:left="720" w:right="0" w:hanging="360"/>
        <w:jc w:val="both"/>
        <w:rPr>
          <w:rFonts w:ascii="Palatino Linotype" w:cs="Palatino Linotype" w:eastAsia="Palatino Linotype" w:hAnsi="Palatino Linotype"/>
          <w:b w:val="1"/>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00000"/>
          <w:sz w:val="22"/>
          <w:szCs w:val="22"/>
          <w:u w:val="none"/>
          <w:shd w:fill="auto" w:val="clear"/>
          <w:vertAlign w:val="baseline"/>
          <w:rtl w:val="0"/>
        </w:rPr>
        <w:t xml:space="preserve">Informe Justificado 794.pdf: </w:t>
      </w: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Documento emitido por el Titular de la Unidad de Transparencia mediante el cual refiere que al momento de la solicitud no se contaba con la información debidamente protocolizada.</w:t>
      </w:r>
      <w:r w:rsidDel="00000000" w:rsidR="00000000" w:rsidRPr="00000000">
        <w:rPr>
          <w:rtl w:val="0"/>
        </w:rPr>
      </w:r>
    </w:p>
    <w:p w:rsidR="00000000" w:rsidDel="00000000" w:rsidP="00000000" w:rsidRDefault="00000000" w:rsidRPr="00000000" w14:paraId="00000027">
      <w:pPr>
        <w:pBdr>
          <w:top w:space="0" w:sz="0" w:val="nil"/>
          <w:left w:space="0" w:sz="0" w:val="nil"/>
          <w:bottom w:space="0" w:sz="0" w:val="nil"/>
          <w:right w:space="0" w:sz="0" w:val="nil"/>
          <w:between w:space="0" w:sz="0" w:val="nil"/>
        </w:pBdr>
        <w:tabs>
          <w:tab w:val="left" w:leader="none" w:pos="284"/>
        </w:tabs>
        <w:spacing w:line="360" w:lineRule="auto"/>
        <w:jc w:val="both"/>
        <w:rPr>
          <w:rFonts w:ascii="Palatino Linotype" w:cs="Palatino Linotype" w:eastAsia="Palatino Linotype" w:hAnsi="Palatino Linotype"/>
          <w:b w:val="1"/>
        </w:rPr>
      </w:pPr>
      <w:r w:rsidDel="00000000" w:rsidR="00000000" w:rsidRPr="00000000">
        <w:rPr>
          <w:rtl w:val="0"/>
        </w:rPr>
      </w:r>
    </w:p>
    <w:p w:rsidR="00000000" w:rsidDel="00000000" w:rsidP="00000000" w:rsidRDefault="00000000" w:rsidRPr="00000000" w14:paraId="0000002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tabs>
          <w:tab w:val="left" w:leader="none" w:pos="360"/>
        </w:tabs>
        <w:spacing w:after="0" w:before="0" w:line="360" w:lineRule="auto"/>
        <w:ind w:left="0" w:right="49" w:firstLine="0"/>
        <w:jc w:val="both"/>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1"/>
          <w:i w:val="0"/>
          <w:smallCaps w:val="0"/>
          <w:strike w:val="0"/>
          <w:color w:val="000000"/>
          <w:sz w:val="22"/>
          <w:szCs w:val="22"/>
          <w:u w:val="none"/>
          <w:shd w:fill="auto" w:val="clear"/>
          <w:vertAlign w:val="baseline"/>
          <w:rtl w:val="0"/>
        </w:rPr>
        <w:t xml:space="preserve">Cierre de instrucción. </w:t>
      </w: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El cuatro de marzo de dos mil veinticinco, la Comisionada Ponente determinó el cierre de instrucción en términos de la fracción VI del artículo 185 de la Ley de Transparencia y Acceso a la Información Pública del Estado de México y Municipios.</w:t>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08" w:right="0" w:firstLine="0"/>
        <w:jc w:val="left"/>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2A">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razón de que fue debidamente sustanciado el expediente electrónico y no existe diligencia pendiente de desahogo, se emite la Resolución que conforme a Derecho proceda, de acuerdo con los siguientes: </w:t>
      </w:r>
    </w:p>
    <w:p w:rsidR="00000000" w:rsidDel="00000000" w:rsidP="00000000" w:rsidRDefault="00000000" w:rsidRPr="00000000" w14:paraId="0000002B">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2C">
      <w:pPr>
        <w:numPr>
          <w:ilvl w:val="0"/>
          <w:numId w:val="3"/>
        </w:numPr>
        <w:pBdr>
          <w:top w:space="0" w:sz="0" w:val="nil"/>
          <w:left w:space="0" w:sz="0" w:val="nil"/>
          <w:bottom w:space="0" w:sz="0" w:val="nil"/>
          <w:right w:space="0" w:sz="0" w:val="nil"/>
          <w:between w:space="0" w:sz="0" w:val="nil"/>
        </w:pBdr>
        <w:spacing w:line="360" w:lineRule="auto"/>
        <w:ind w:left="1077" w:hanging="360"/>
        <w:jc w:val="center"/>
        <w:rPr>
          <w:rFonts w:ascii="Palatino Linotype" w:cs="Palatino Linotype" w:eastAsia="Palatino Linotype" w:hAnsi="Palatino Linotype"/>
          <w:b w:val="1"/>
          <w:sz w:val="22"/>
          <w:szCs w:val="22"/>
        </w:rPr>
      </w:pPr>
      <w:bookmarkStart w:colFirst="0" w:colLast="0" w:name="_heading=h.30j0zll" w:id="1"/>
      <w:bookmarkEnd w:id="1"/>
      <w:r w:rsidDel="00000000" w:rsidR="00000000" w:rsidRPr="00000000">
        <w:rPr>
          <w:rFonts w:ascii="Palatino Linotype" w:cs="Palatino Linotype" w:eastAsia="Palatino Linotype" w:hAnsi="Palatino Linotype"/>
          <w:b w:val="1"/>
          <w:sz w:val="22"/>
          <w:szCs w:val="22"/>
          <w:rtl w:val="0"/>
        </w:rPr>
        <w:t xml:space="preserve">C O N S I D E R A N D O:</w:t>
      </w:r>
    </w:p>
    <w:p w:rsidR="00000000" w:rsidDel="00000000" w:rsidP="00000000" w:rsidRDefault="00000000" w:rsidRPr="00000000" w14:paraId="0000002D">
      <w:pPr>
        <w:pBdr>
          <w:top w:space="0" w:sz="0" w:val="nil"/>
          <w:left w:space="0" w:sz="0" w:val="nil"/>
          <w:bottom w:space="0" w:sz="0" w:val="nil"/>
          <w:right w:space="0" w:sz="0" w:val="nil"/>
          <w:between w:space="0" w:sz="0" w:val="nil"/>
        </w:pBdr>
        <w:spacing w:line="360" w:lineRule="auto"/>
        <w:ind w:left="1077" w:firstLine="0"/>
        <w:jc w:val="center"/>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2E">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Primero. Competencia. </w:t>
      </w:r>
      <w:r w:rsidDel="00000000" w:rsidR="00000000" w:rsidRPr="00000000">
        <w:rPr>
          <w:rFonts w:ascii="Palatino Linotype" w:cs="Palatino Linotype" w:eastAsia="Palatino Linotype" w:hAnsi="Palatino Linotype"/>
          <w:sz w:val="22"/>
          <w:szCs w:val="22"/>
          <w:rtl w:val="0"/>
        </w:rPr>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fracciones IV y V de la Constitución Política del Estado Libre y Soberano de México; 1, 2, fracción II; 13,  29, 36, fracciones I y II; 176, 178, 179, 181 párrafo tercero y 185 de la 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rsidR="00000000" w:rsidDel="00000000" w:rsidP="00000000" w:rsidRDefault="00000000" w:rsidRPr="00000000" w14:paraId="0000002F">
      <w:pPr>
        <w:spacing w:line="360" w:lineRule="auto"/>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30">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Segundo. Oportunidad y Procedibilidad del Recurso de Revisión</w:t>
      </w:r>
      <w:r w:rsidDel="00000000" w:rsidR="00000000" w:rsidRPr="00000000">
        <w:rPr>
          <w:rFonts w:ascii="Palatino Linotype" w:cs="Palatino Linotype" w:eastAsia="Palatino Linotype" w:hAnsi="Palatino Linotype"/>
          <w:sz w:val="22"/>
          <w:szCs w:val="22"/>
          <w:rtl w:val="0"/>
        </w:rPr>
        <w:t xml:space="preserve">. 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rsidR="00000000" w:rsidDel="00000000" w:rsidP="00000000" w:rsidRDefault="00000000" w:rsidRPr="00000000" w14:paraId="00000031">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32">
      <w:pP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El recurso de revisión fue interpuesto dentro del plazo de quince días hábiles, previsto en el artículo 178 de la Ley de Transparencia y Acceso a la Información Pública del Estado de México y Municipios, ya que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proporcionó su respuesta a la solicitud de información el </w:t>
      </w:r>
      <w:r w:rsidDel="00000000" w:rsidR="00000000" w:rsidRPr="00000000">
        <w:rPr>
          <w:rFonts w:ascii="Palatino Linotype" w:cs="Palatino Linotype" w:eastAsia="Palatino Linotype" w:hAnsi="Palatino Linotype"/>
          <w:b w:val="1"/>
          <w:sz w:val="22"/>
          <w:szCs w:val="22"/>
          <w:rtl w:val="0"/>
        </w:rPr>
        <w:t xml:space="preserve">seis</w:t>
      </w:r>
      <w:r w:rsidDel="00000000" w:rsidR="00000000" w:rsidRPr="00000000">
        <w:rPr>
          <w:rFonts w:ascii="Palatino Linotype" w:cs="Palatino Linotype" w:eastAsia="Palatino Linotype" w:hAnsi="Palatino Linotype"/>
          <w:sz w:val="22"/>
          <w:szCs w:val="22"/>
          <w:rtl w:val="0"/>
        </w:rPr>
        <w:t xml:space="preserve"> </w:t>
      </w:r>
      <w:r w:rsidDel="00000000" w:rsidR="00000000" w:rsidRPr="00000000">
        <w:rPr>
          <w:rFonts w:ascii="Palatino Linotype" w:cs="Palatino Linotype" w:eastAsia="Palatino Linotype" w:hAnsi="Palatino Linotype"/>
          <w:b w:val="1"/>
          <w:sz w:val="22"/>
          <w:szCs w:val="22"/>
          <w:rtl w:val="0"/>
        </w:rPr>
        <w:t xml:space="preserve">de febrero de dos mil veinticinco</w:t>
      </w:r>
      <w:r w:rsidDel="00000000" w:rsidR="00000000" w:rsidRPr="00000000">
        <w:rPr>
          <w:rFonts w:ascii="Palatino Linotype" w:cs="Palatino Linotype" w:eastAsia="Palatino Linotype" w:hAnsi="Palatino Linotype"/>
          <w:sz w:val="22"/>
          <w:szCs w:val="22"/>
          <w:rtl w:val="0"/>
        </w:rPr>
        <w:t xml:space="preserve">, y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presentó su recurso de revisión el </w:t>
      </w:r>
      <w:r w:rsidDel="00000000" w:rsidR="00000000" w:rsidRPr="00000000">
        <w:rPr>
          <w:rFonts w:ascii="Palatino Linotype" w:cs="Palatino Linotype" w:eastAsia="Palatino Linotype" w:hAnsi="Palatino Linotype"/>
          <w:b w:val="1"/>
          <w:sz w:val="22"/>
          <w:szCs w:val="22"/>
          <w:rtl w:val="0"/>
        </w:rPr>
        <w:t xml:space="preserve">siete de febrero de dos mil veinticinco</w:t>
      </w:r>
      <w:r w:rsidDel="00000000" w:rsidR="00000000" w:rsidRPr="00000000">
        <w:rPr>
          <w:rFonts w:ascii="Palatino Linotype" w:cs="Palatino Linotype" w:eastAsia="Palatino Linotype" w:hAnsi="Palatino Linotype"/>
          <w:sz w:val="22"/>
          <w:szCs w:val="22"/>
          <w:rtl w:val="0"/>
        </w:rPr>
        <w:t xml:space="preserve">, es decir, al primer día hábil posterior a la fecha de la respuesta, por lo que se encuentra dentro de los márgenes temporales previstos para tal efecto. </w:t>
      </w:r>
    </w:p>
    <w:p w:rsidR="00000000" w:rsidDel="00000000" w:rsidP="00000000" w:rsidRDefault="00000000" w:rsidRPr="00000000" w14:paraId="00000033">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34">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Al mismo tiempo, tras la revisión del formato de interposición del recurso, se concluye en la acreditación plena de todos y cada uno de los elementos formales exigidos por el artículo 180 de la Ley de Transparencia y Acceso a la Información Pública del Estado de México y Municipios, toda vez que fue ingresado a través del SAIMEX.</w:t>
      </w:r>
    </w:p>
    <w:p w:rsidR="00000000" w:rsidDel="00000000" w:rsidP="00000000" w:rsidRDefault="00000000" w:rsidRPr="00000000" w14:paraId="00000035">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 efecto de sustentar lo anterior, es de suma importancia mencionar que si bien la persona solicitante</w:t>
      </w:r>
      <w:r w:rsidDel="00000000" w:rsidR="00000000" w:rsidRPr="00000000">
        <w:rPr>
          <w:rFonts w:ascii="Palatino Linotype" w:cs="Palatino Linotype" w:eastAsia="Palatino Linotype" w:hAnsi="Palatino Linotype"/>
          <w:b w:val="1"/>
          <w:sz w:val="22"/>
          <w:szCs w:val="22"/>
          <w:rtl w:val="0"/>
        </w:rPr>
        <w:t xml:space="preserve"> proporcionó un seudónimo, </w:t>
      </w:r>
      <w:r w:rsidDel="00000000" w:rsidR="00000000" w:rsidRPr="00000000">
        <w:rPr>
          <w:rFonts w:ascii="Palatino Linotype" w:cs="Palatino Linotype" w:eastAsia="Palatino Linotype" w:hAnsi="Palatino Linotype"/>
          <w:sz w:val="22"/>
          <w:szCs w:val="22"/>
          <w:rtl w:val="0"/>
        </w:rPr>
        <w:t xml:space="preserve">como se advierte en el detalle de seguimiento del SAIMEX, ello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rsidR="00000000" w:rsidDel="00000000" w:rsidP="00000000" w:rsidRDefault="00000000" w:rsidRPr="00000000" w14:paraId="00000036">
      <w:pPr>
        <w:spacing w:after="120" w:before="120" w:line="360" w:lineRule="auto"/>
        <w:ind w:left="851" w:right="902"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Las solicitudes </w:t>
      </w:r>
      <w:r w:rsidDel="00000000" w:rsidR="00000000" w:rsidRPr="00000000">
        <w:rPr>
          <w:rFonts w:ascii="Palatino Linotype" w:cs="Palatino Linotype" w:eastAsia="Palatino Linotype" w:hAnsi="Palatino Linotype"/>
          <w:i w:val="1"/>
          <w:sz w:val="22"/>
          <w:szCs w:val="22"/>
          <w:rtl w:val="0"/>
        </w:rPr>
        <w:t xml:space="preserve">anónimas, </w:t>
      </w:r>
      <w:r w:rsidDel="00000000" w:rsidR="00000000" w:rsidRPr="00000000">
        <w:rPr>
          <w:rFonts w:ascii="Palatino Linotype" w:cs="Palatino Linotype" w:eastAsia="Palatino Linotype" w:hAnsi="Palatino Linotype"/>
          <w:b w:val="1"/>
          <w:i w:val="1"/>
          <w:sz w:val="22"/>
          <w:szCs w:val="22"/>
          <w:rtl w:val="0"/>
        </w:rPr>
        <w:t xml:space="preserve">con nombre incompleto</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o seudónimo</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serán procedentes para su trámite por parte del sujeto obligado ante quien se presente</w:t>
      </w:r>
      <w:r w:rsidDel="00000000" w:rsidR="00000000" w:rsidRPr="00000000">
        <w:rPr>
          <w:rFonts w:ascii="Palatino Linotype" w:cs="Palatino Linotype" w:eastAsia="Palatino Linotype" w:hAnsi="Palatino Linotype"/>
          <w:i w:val="1"/>
          <w:sz w:val="22"/>
          <w:szCs w:val="22"/>
          <w:rtl w:val="0"/>
        </w:rPr>
        <w:t xml:space="preserve">. No podrá requerirse información adicional con motivo del nombre proporcionado por el solicitante."</w:t>
      </w:r>
      <w:r w:rsidDel="00000000" w:rsidR="00000000" w:rsidRPr="00000000">
        <w:rPr>
          <w:rtl w:val="0"/>
        </w:rPr>
      </w:r>
    </w:p>
    <w:p w:rsidR="00000000" w:rsidDel="00000000" w:rsidP="00000000" w:rsidRDefault="00000000" w:rsidRPr="00000000" w14:paraId="00000037">
      <w:pPr>
        <w:spacing w:after="240" w:before="240" w:line="360" w:lineRule="auto"/>
        <w:jc w:val="both"/>
        <w:rPr>
          <w:rFonts w:ascii="Palatino Linotype" w:cs="Palatino Linotype" w:eastAsia="Palatino Linotype" w:hAnsi="Palatino Linotype"/>
          <w:sz w:val="20"/>
          <w:szCs w:val="20"/>
        </w:rPr>
      </w:pPr>
      <w:r w:rsidDel="00000000" w:rsidR="00000000" w:rsidRPr="00000000">
        <w:rPr>
          <w:rFonts w:ascii="Palatino Linotype" w:cs="Palatino Linotype" w:eastAsia="Palatino Linotype" w:hAnsi="Palatino Linotype"/>
          <w:sz w:val="22"/>
          <w:szCs w:val="22"/>
          <w:rtl w:val="0"/>
        </w:rPr>
        <w:t xml:space="preserve">En el mismo tenor, el propio artículo 180 de la Ley de Transparencia local citado, en su último párrafo establece que cuando el recurso se interponga de manera electrónica, no será indispensable que contenga determinados requisitos, entre ellos, el nombre completo de 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por lo que, en el presente caso, al haber sido presentado el recurso de revisión de forma electrónica, dicho requisito no resulta indispensable.</w:t>
      </w:r>
      <w:r w:rsidDel="00000000" w:rsidR="00000000" w:rsidRPr="00000000">
        <w:rPr>
          <w:rtl w:val="0"/>
        </w:rPr>
      </w:r>
    </w:p>
    <w:p w:rsidR="00000000" w:rsidDel="00000000" w:rsidP="00000000" w:rsidRDefault="00000000" w:rsidRPr="00000000" w14:paraId="00000038">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ese sentido, resulta procedente la interposición del recurso de revisión al rubro anotado, toda vez que se actualiza la hipótesis prevista en el artículo 179, fracción I de la ley de la materia, que a la letra dice:</w:t>
      </w:r>
    </w:p>
    <w:p w:rsidR="00000000" w:rsidDel="00000000" w:rsidP="00000000" w:rsidRDefault="00000000" w:rsidRPr="00000000" w14:paraId="00000039">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3A">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179. </w:t>
      </w:r>
      <w:r w:rsidDel="00000000" w:rsidR="00000000" w:rsidRPr="00000000">
        <w:rPr>
          <w:rFonts w:ascii="Palatino Linotype" w:cs="Palatino Linotype" w:eastAsia="Palatino Linotype" w:hAnsi="Palatino Linotype"/>
          <w:i w:val="1"/>
          <w:sz w:val="22"/>
          <w:szCs w:val="22"/>
          <w:rtl w:val="0"/>
        </w:rPr>
        <w:t xml:space="preserve">El recurso de revisión es un medio de protección que la Ley otorga a los particulares, para hacer valer su derecho de acceso a la información pública, y procederá en contra de las siguientes causas:</w:t>
      </w:r>
    </w:p>
    <w:p w:rsidR="00000000" w:rsidDel="00000000" w:rsidP="00000000" w:rsidRDefault="00000000" w:rsidRPr="00000000" w14:paraId="0000003B">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I. negativa de la información solicitada</w:t>
        <w:br w:type="textWrapping"/>
        <w:t xml:space="preserve"> … </w:t>
      </w:r>
    </w:p>
    <w:p w:rsidR="00000000" w:rsidDel="00000000" w:rsidP="00000000" w:rsidRDefault="00000000" w:rsidRPr="00000000" w14:paraId="0000003C">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Tercero. Análisis de las causales de sobreseimiento del recurso de revisión.</w:t>
      </w:r>
      <w:r w:rsidDel="00000000" w:rsidR="00000000" w:rsidRPr="00000000">
        <w:rPr>
          <w:rFonts w:ascii="Palatino Linotype" w:cs="Palatino Linotype" w:eastAsia="Palatino Linotype" w:hAnsi="Palatino Linotype"/>
          <w:sz w:val="22"/>
          <w:szCs w:val="22"/>
          <w:rtl w:val="0"/>
        </w:rPr>
        <w:t xml:space="preserve"> En primera instancia, debe apuntarse que del análisis al recurso de revisión que ahora se resuelve, se tiene que se actualiza la causal de sobreseimiento del recurso de revisión establecido en la fracción III del artículo 192 en relación con el diverso 186 fracción I, ambos de la Ley de Transparencia y Acceso a la Información Pública del Estado de México y Municipios, derivado del contenido del informe justificado rendido por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w:t>
      </w:r>
    </w:p>
    <w:p w:rsidR="00000000" w:rsidDel="00000000" w:rsidP="00000000" w:rsidRDefault="00000000" w:rsidRPr="00000000" w14:paraId="0000003D">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principio, es conveniente analizar si la respuesta del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cumple con los requisitos y procedimientos del derecho de acceso a la información pública, en atención a que en la Ley de Transparencia y Acceso a la Información Pública del Estado de México y Municipios en su artículo 4, que dice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trascribe para un mejor entendimiento:</w:t>
      </w:r>
    </w:p>
    <w:p w:rsidR="00000000" w:rsidDel="00000000" w:rsidP="00000000" w:rsidRDefault="00000000" w:rsidRPr="00000000" w14:paraId="0000003E">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3F">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4</w:t>
      </w:r>
      <w:r w:rsidDel="00000000" w:rsidR="00000000" w:rsidRPr="00000000">
        <w:rPr>
          <w:rFonts w:ascii="Palatino Linotype" w:cs="Palatino Linotype" w:eastAsia="Palatino Linotype" w:hAnsi="Palatino Linotype"/>
          <w:i w:val="1"/>
          <w:sz w:val="22"/>
          <w:szCs w:val="22"/>
          <w:rtl w:val="0"/>
        </w:rPr>
        <w:t xml:space="preserve">. El derecho humano de acceso a la información pública es la prerrogativa de las personas para buscar, difundir, investigar, recabar, recibir y solicitar información pública, sin necesidad de acreditar personalidad ni interés jurídico. </w:t>
      </w:r>
    </w:p>
    <w:p w:rsidR="00000000" w:rsidDel="00000000" w:rsidP="00000000" w:rsidRDefault="00000000" w:rsidRPr="00000000" w14:paraId="00000040">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Toda la información generada, obtenida, adquirida, transformada, administrada o en posesión de los sujetos obligados es pública y accesible de manera permanente a cualquier persona</w:t>
      </w:r>
      <w:r w:rsidDel="00000000" w:rsidR="00000000" w:rsidRPr="00000000">
        <w:rPr>
          <w:rFonts w:ascii="Palatino Linotype" w:cs="Palatino Linotype" w:eastAsia="Palatino Linotype" w:hAnsi="Palatino Linotype"/>
          <w:i w:val="1"/>
          <w:sz w:val="22"/>
          <w:szCs w:val="22"/>
          <w:rtl w:val="0"/>
        </w:rPr>
        <w:t xml:space="preserve">,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rsidR="00000000" w:rsidDel="00000000" w:rsidP="00000000" w:rsidRDefault="00000000" w:rsidRPr="00000000" w14:paraId="00000041">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Los sujetos obligados deben poner en práctica, políticas y programas de acceso a la información que se apeguen a criterios de publicidad, veracidad, oportunidad, precisión y suficiencia en beneficio de los solicitantes</w:t>
      </w:r>
      <w:r w:rsidDel="00000000" w:rsidR="00000000" w:rsidRPr="00000000">
        <w:rPr>
          <w:rFonts w:ascii="Palatino Linotype" w:cs="Palatino Linotype" w:eastAsia="Palatino Linotype" w:hAnsi="Palatino Linotype"/>
          <w:i w:val="1"/>
          <w:sz w:val="22"/>
          <w:szCs w:val="22"/>
          <w:rtl w:val="0"/>
        </w:rPr>
        <w:t xml:space="preserve">.”</w:t>
      </w:r>
    </w:p>
    <w:p w:rsidR="00000000" w:rsidDel="00000000" w:rsidP="00000000" w:rsidRDefault="00000000" w:rsidRPr="00000000" w14:paraId="00000042">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43">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Esto es, que los Sujetos Obligados tiene la obligación o deber de atender las solicitudes de acceso a la información pública que se les hagan de su conocimiento y proporcionar la información pública que obren en su poder conforme el estado que se encuentra y no hacer un procesamiento de la misma, ni presentarla conforme al interés del solicitante; como así lo establece el artículo 12 de la Ley de Transparencia y Acceso a la Información Pública del Estado de México y Municipios, que a la letra dice:</w:t>
      </w:r>
    </w:p>
    <w:p w:rsidR="00000000" w:rsidDel="00000000" w:rsidP="00000000" w:rsidRDefault="00000000" w:rsidRPr="00000000" w14:paraId="00000044">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45">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“Artículo 12.-</w:t>
      </w:r>
      <w:r w:rsidDel="00000000" w:rsidR="00000000" w:rsidRPr="00000000">
        <w:rPr>
          <w:rFonts w:ascii="Palatino Linotype" w:cs="Palatino Linotype" w:eastAsia="Palatino Linotype" w:hAnsi="Palatino Linotype"/>
          <w:i w:val="1"/>
          <w:sz w:val="22"/>
          <w:szCs w:val="22"/>
          <w:rtl w:val="0"/>
        </w:rPr>
        <w:t xml:space="preserve"> Quienes generen, recopilen, administren, manejen, procesen, archiven o conserven información pública serán responsables de la misma en los términos de las disposiciones jurídicas aplicables. </w:t>
      </w:r>
    </w:p>
    <w:p w:rsidR="00000000" w:rsidDel="00000000" w:rsidP="00000000" w:rsidRDefault="00000000" w:rsidRPr="00000000" w14:paraId="00000046">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47">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Los sujetos obligados sólo proporcionarán la información pública que se les requiera y que obre en sus archivos y en el estado en que ésta se encuentre</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La obligación de proporcionar información no comprende el procesamiento de la misma, ni el presentarla conforme al interés del solicitante; no estarán obligados a generarla, resumirla, efectuar cálculos o practicar investigaciones.” </w:t>
      </w:r>
      <w:r w:rsidDel="00000000" w:rsidR="00000000" w:rsidRPr="00000000">
        <w:rPr>
          <w:rtl w:val="0"/>
        </w:rPr>
      </w:r>
    </w:p>
    <w:p w:rsidR="00000000" w:rsidDel="00000000" w:rsidP="00000000" w:rsidRDefault="00000000" w:rsidRPr="00000000" w14:paraId="00000048">
      <w:pPr>
        <w:spacing w:line="360" w:lineRule="auto"/>
        <w:ind w:right="-93"/>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49">
      <w:pPr>
        <w:spacing w:line="360" w:lineRule="auto"/>
        <w:ind w:right="-93"/>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Es decir, que todo sujeto obligado que genere, recopile, administre, procese, archive, posea o conserven, son responsables de la misma teniendo a su vez la obligación de proporcionar la información que se les requiera sin necesidad de resumirla, efectuar procedimientos para obtenerla, calcular y practicar investigaciones; en otras palabras, que los Sujetos Obligados solo se concretaran a proporcionar la información solicitada que tengan en su poder en el estado que se encuentran, sin necesidad de concretarse al interés o términos específicos del solicitante.</w:t>
      </w:r>
    </w:p>
    <w:p w:rsidR="00000000" w:rsidDel="00000000" w:rsidP="00000000" w:rsidRDefault="00000000" w:rsidRPr="00000000" w14:paraId="0000004A">
      <w:pPr>
        <w:spacing w:line="360" w:lineRule="auto"/>
        <w:ind w:right="-93"/>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4B">
      <w:pPr>
        <w:spacing w:line="360" w:lineRule="auto"/>
        <w:ind w:right="-93"/>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Sirve de apoyo a lo anterior, el criterio 03-17, expuesto por el Instituto Nacional de Transparencia, Acceso a la Información y Protección de Datos Personales, que dice:</w:t>
      </w:r>
      <w:r w:rsidDel="00000000" w:rsidR="00000000" w:rsidRPr="00000000">
        <w:rPr>
          <w:rFonts w:ascii="Palatino Linotype" w:cs="Palatino Linotype" w:eastAsia="Palatino Linotype" w:hAnsi="Palatino Linotype"/>
          <w:b w:val="1"/>
          <w:sz w:val="22"/>
          <w:szCs w:val="22"/>
          <w:rtl w:val="0"/>
        </w:rPr>
        <w:t xml:space="preserve"> </w:t>
      </w:r>
      <w:r w:rsidDel="00000000" w:rsidR="00000000" w:rsidRPr="00000000">
        <w:rPr>
          <w:rtl w:val="0"/>
        </w:rPr>
      </w:r>
    </w:p>
    <w:p w:rsidR="00000000" w:rsidDel="00000000" w:rsidP="00000000" w:rsidRDefault="00000000" w:rsidRPr="00000000" w14:paraId="0000004C">
      <w:pPr>
        <w:spacing w:line="360" w:lineRule="auto"/>
        <w:jc w:val="both"/>
        <w:rPr>
          <w:rFonts w:ascii="Palatino Linotype" w:cs="Palatino Linotype" w:eastAsia="Palatino Linotype" w:hAnsi="Palatino Linotype"/>
          <w:b w:val="1"/>
          <w:sz w:val="22"/>
          <w:szCs w:val="22"/>
        </w:rPr>
      </w:pPr>
      <w:r w:rsidDel="00000000" w:rsidR="00000000" w:rsidRPr="00000000">
        <w:rPr>
          <w:rtl w:val="0"/>
        </w:rPr>
      </w:r>
    </w:p>
    <w:p w:rsidR="00000000" w:rsidDel="00000000" w:rsidP="00000000" w:rsidRDefault="00000000" w:rsidRPr="00000000" w14:paraId="0000004D">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No existe obligación de elaborar documentos ad hoc para atender las solicitudes de acceso a la información.</w:t>
      </w:r>
      <w:r w:rsidDel="00000000" w:rsidR="00000000" w:rsidRPr="00000000">
        <w:rPr>
          <w:rFonts w:ascii="Palatino Linotype" w:cs="Palatino Linotype" w:eastAsia="Palatino Linotype" w:hAnsi="Palatino Linotype"/>
          <w:i w:val="1"/>
          <w:sz w:val="22"/>
          <w:szCs w:val="22"/>
          <w:rtl w:val="0"/>
        </w:rPr>
        <w:t xml:space="preserve"> 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 </w:t>
      </w:r>
    </w:p>
    <w:p w:rsidR="00000000" w:rsidDel="00000000" w:rsidP="00000000" w:rsidRDefault="00000000" w:rsidRPr="00000000" w14:paraId="0000004E">
      <w:pPr>
        <w:spacing w:line="360" w:lineRule="auto"/>
        <w:ind w:right="-93"/>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4F">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esa tesitura, el artículo 24 en su último párrafo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rsidR="00000000" w:rsidDel="00000000" w:rsidP="00000000" w:rsidRDefault="00000000" w:rsidRPr="00000000" w14:paraId="00000050">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51">
      <w:pPr>
        <w:spacing w:line="360" w:lineRule="auto"/>
        <w:ind w:right="49"/>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rsidR="00000000" w:rsidDel="00000000" w:rsidP="00000000" w:rsidRDefault="00000000" w:rsidRPr="00000000" w14:paraId="00000052">
      <w:pPr>
        <w:spacing w:line="360" w:lineRule="auto"/>
        <w:ind w:right="49"/>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53">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rsidR="00000000" w:rsidDel="00000000" w:rsidP="00000000" w:rsidRDefault="00000000" w:rsidRPr="00000000" w14:paraId="00000054">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55">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3. </w:t>
      </w:r>
      <w:r w:rsidDel="00000000" w:rsidR="00000000" w:rsidRPr="00000000">
        <w:rPr>
          <w:rFonts w:ascii="Palatino Linotype" w:cs="Palatino Linotype" w:eastAsia="Palatino Linotype" w:hAnsi="Palatino Linotype"/>
          <w:i w:val="1"/>
          <w:sz w:val="22"/>
          <w:szCs w:val="22"/>
          <w:rtl w:val="0"/>
        </w:rPr>
        <w:t xml:space="preserve">Para los efectos de la presente Ley se entenderá por:</w:t>
      </w:r>
    </w:p>
    <w:p w:rsidR="00000000" w:rsidDel="00000000" w:rsidP="00000000" w:rsidRDefault="00000000" w:rsidRPr="00000000" w14:paraId="00000056">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p>
    <w:p w:rsidR="00000000" w:rsidDel="00000000" w:rsidP="00000000" w:rsidRDefault="00000000" w:rsidRPr="00000000" w14:paraId="00000057">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XI. Documento:</w:t>
      </w:r>
      <w:r w:rsidDel="00000000" w:rsidR="00000000" w:rsidRPr="00000000">
        <w:rPr>
          <w:rFonts w:ascii="Palatino Linotype" w:cs="Palatino Linotype" w:eastAsia="Palatino Linotype" w:hAnsi="Palatino Linotype"/>
          <w:i w:val="1"/>
          <w:sz w:val="22"/>
          <w:szCs w:val="22"/>
          <w:rtl w:val="0"/>
        </w:rPr>
        <w:t xml:space="preserve"> Los expedientes, reportes, estudios, actas</w:t>
      </w:r>
      <w:r w:rsidDel="00000000" w:rsidR="00000000" w:rsidRPr="00000000">
        <w:rPr>
          <w:rFonts w:ascii="Palatino Linotype" w:cs="Palatino Linotype" w:eastAsia="Palatino Linotype" w:hAnsi="Palatino Linotype"/>
          <w:b w:val="1"/>
          <w:i w:val="1"/>
          <w:sz w:val="22"/>
          <w:szCs w:val="22"/>
          <w:rtl w:val="0"/>
        </w:rPr>
        <w:t xml:space="preserve">,</w:t>
      </w:r>
      <w:r w:rsidDel="00000000" w:rsidR="00000000" w:rsidRPr="00000000">
        <w:rPr>
          <w:rFonts w:ascii="Palatino Linotype" w:cs="Palatino Linotype" w:eastAsia="Palatino Linotype" w:hAnsi="Palatino Linotype"/>
          <w:i w:val="1"/>
          <w:sz w:val="22"/>
          <w:szCs w:val="22"/>
          <w:rtl w:val="0"/>
        </w:rPr>
        <w:t xml:space="preserve">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rsidR="00000000" w:rsidDel="00000000" w:rsidP="00000000" w:rsidRDefault="00000000" w:rsidRPr="00000000" w14:paraId="00000058">
      <w:pPr>
        <w:spacing w:line="360" w:lineRule="auto"/>
        <w:ind w:left="851" w:right="899" w:firstLine="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59">
      <w:pPr>
        <w:spacing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Siendo aplicable, el Criterio de interpretación en el orden administrativo número 0002-11, emitido por Acuerdo del Pleno del Instituto de Transparencia y Acceso a la Información Pública del Estado de México y Municipios; publicado en el Periódico Oficial del Gobierno del Estado Libre y Soberano de México “Gaceta del Gobierno”, el diecinueve de octubre de dos mil once, cuyo rubro y texto refieren lo siguiente:</w:t>
      </w:r>
    </w:p>
    <w:p w:rsidR="00000000" w:rsidDel="00000000" w:rsidP="00000000" w:rsidRDefault="00000000" w:rsidRPr="00000000" w14:paraId="0000005A">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5B">
      <w:pPr>
        <w:spacing w:line="360" w:lineRule="auto"/>
        <w:ind w:left="567"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b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CRITERIO 0002-11. INFORMACIÓN PÚBLICA, CONCEPTO DE, EN MATERIA DE TRANSPARENCIA. INTERPRETACIÓN SISTEMÁTICA DE LOS ARTÍCULOS 2°, FRACCIÓN V, XV, Y XVI, 3°, 4°, 11 Y 41.</w:t>
      </w:r>
      <w:r w:rsidDel="00000000" w:rsidR="00000000" w:rsidRPr="00000000">
        <w:rPr>
          <w:rFonts w:ascii="Palatino Linotype" w:cs="Palatino Linotype" w:eastAsia="Palatino Linotype" w:hAnsi="Palatino Linotype"/>
          <w:i w:val="1"/>
          <w:sz w:val="22"/>
          <w:szCs w:val="22"/>
          <w:rtl w:val="0"/>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r w:rsidDel="00000000" w:rsidR="00000000" w:rsidRPr="00000000">
        <w:rPr>
          <w:rtl w:val="0"/>
        </w:rPr>
      </w:r>
    </w:p>
    <w:p w:rsidR="00000000" w:rsidDel="00000000" w:rsidP="00000000" w:rsidRDefault="00000000" w:rsidRPr="00000000" w14:paraId="0000005C">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En consecuencia el acceso a la información se refiere a que se cumplan cualquiera de los siguientes tres supuestos:</w:t>
      </w:r>
    </w:p>
    <w:p w:rsidR="00000000" w:rsidDel="00000000" w:rsidP="00000000" w:rsidRDefault="00000000" w:rsidRPr="00000000" w14:paraId="0000005D">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1) Que se trate de información registrada en cualquier soporte documental, que en ejercicio de las atribuciones conferidas, sea generada por los Sujetos Obligados;</w:t>
      </w:r>
    </w:p>
    <w:p w:rsidR="00000000" w:rsidDel="00000000" w:rsidP="00000000" w:rsidRDefault="00000000" w:rsidRPr="00000000" w14:paraId="0000005E">
      <w:pPr>
        <w:spacing w:line="360" w:lineRule="auto"/>
        <w:ind w:left="567"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2) Que se trate de información registrada en cualquier soporte documental, que en ejercicio de las atribuciones conferidas, sea administrada por los Sujetos Obligados, y</w:t>
      </w:r>
    </w:p>
    <w:p w:rsidR="00000000" w:rsidDel="00000000" w:rsidP="00000000" w:rsidRDefault="00000000" w:rsidRPr="00000000" w14:paraId="0000005F">
      <w:pPr>
        <w:spacing w:line="360" w:lineRule="auto"/>
        <w:ind w:left="567" w:right="616" w:firstLine="0"/>
        <w:jc w:val="both"/>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3) Que se trate de información registrada en cualquier soporte documental, que en ejercicio de las atribuciones conferidas, se encuentre en posesión de los Sujetos Obligados.” </w:t>
      </w:r>
    </w:p>
    <w:p w:rsidR="00000000" w:rsidDel="00000000" w:rsidP="00000000" w:rsidRDefault="00000000" w:rsidRPr="00000000" w14:paraId="00000060">
      <w:pPr>
        <w:spacing w:line="360" w:lineRule="auto"/>
        <w:ind w:right="-93"/>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61">
      <w:pPr>
        <w:pBdr>
          <w:top w:space="0" w:sz="0" w:val="nil"/>
          <w:left w:space="0" w:sz="0" w:val="nil"/>
          <w:bottom w:space="0" w:sz="0" w:val="nil"/>
          <w:right w:space="0" w:sz="0" w:val="nil"/>
          <w:between w:space="0" w:sz="0" w:val="nil"/>
        </w:pBdr>
        <w:spacing w:line="360" w:lineRule="auto"/>
        <w:ind w:right="-15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Dicho lo anterior, se procede al análisis de los agravios hechos valer por la parte Recurrente que actualizan la causal de procedencia prevista en la fracción I del artículo 179 de la Ley de Transparencia y Acceso a la Información del Estado de México y Municipios, relativa a la negativa de la información solicitada.</w:t>
      </w:r>
    </w:p>
    <w:p w:rsidR="00000000" w:rsidDel="00000000" w:rsidP="00000000" w:rsidRDefault="00000000" w:rsidRPr="00000000" w14:paraId="00000062">
      <w:pPr>
        <w:pBdr>
          <w:top w:space="0" w:sz="0" w:val="nil"/>
          <w:left w:space="0" w:sz="0" w:val="nil"/>
          <w:bottom w:space="0" w:sz="0" w:val="nil"/>
          <w:right w:space="0" w:sz="0" w:val="nil"/>
          <w:between w:space="0" w:sz="0" w:val="nil"/>
        </w:pBdr>
        <w:spacing w:line="360" w:lineRule="auto"/>
        <w:ind w:right="-15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63">
      <w:pPr>
        <w:pBdr>
          <w:top w:space="0" w:sz="0" w:val="nil"/>
          <w:left w:space="0" w:sz="0" w:val="nil"/>
          <w:bottom w:space="0" w:sz="0" w:val="nil"/>
          <w:right w:space="0" w:sz="0" w:val="nil"/>
          <w:between w:space="0" w:sz="0" w:val="nil"/>
        </w:pBdr>
        <w:spacing w:line="360" w:lineRule="auto"/>
        <w:ind w:right="-15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principio, resulta conveniente recordar que la pretensión del Recurrente es acceder a la información relativa al Acta de Instalación del Comité de Giro de la Actual Administración, por tal razón, es necesario traer a contexto la Ley de Competitividad y Ordenamiento Comercial del Estado de México:</w:t>
      </w:r>
    </w:p>
    <w:p w:rsidR="00000000" w:rsidDel="00000000" w:rsidP="00000000" w:rsidRDefault="00000000" w:rsidRPr="00000000" w14:paraId="00000064">
      <w:pPr>
        <w:pBdr>
          <w:top w:space="0" w:sz="0" w:val="nil"/>
          <w:left w:space="0" w:sz="0" w:val="nil"/>
          <w:bottom w:space="0" w:sz="0" w:val="nil"/>
          <w:right w:space="0" w:sz="0" w:val="nil"/>
          <w:between w:space="0" w:sz="0" w:val="nil"/>
        </w:pBdr>
        <w:spacing w:line="360" w:lineRule="auto"/>
        <w:ind w:right="-150"/>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65">
      <w:pPr>
        <w:spacing w:line="360" w:lineRule="auto"/>
        <w:ind w:left="426" w:right="425" w:firstLine="0"/>
        <w:jc w:val="center"/>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LEY DE COMPETITIVIDAD Y ORDENAMIENTO</w:t>
      </w:r>
    </w:p>
    <w:p w:rsidR="00000000" w:rsidDel="00000000" w:rsidP="00000000" w:rsidRDefault="00000000" w:rsidRPr="00000000" w14:paraId="00000066">
      <w:pPr>
        <w:spacing w:line="360" w:lineRule="auto"/>
        <w:ind w:left="426" w:right="425" w:firstLine="0"/>
        <w:jc w:val="center"/>
        <w:rPr>
          <w:rFonts w:ascii="Palatino Linotype" w:cs="Palatino Linotype" w:eastAsia="Palatino Linotype" w:hAnsi="Palatino Linotype"/>
          <w:b w:val="1"/>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COMERCIAL DEL ESTADO DE MÉXICO</w:t>
      </w:r>
    </w:p>
    <w:p w:rsidR="00000000" w:rsidDel="00000000" w:rsidP="00000000" w:rsidRDefault="00000000" w:rsidRPr="00000000" w14:paraId="00000067">
      <w:pPr>
        <w:spacing w:line="360" w:lineRule="auto"/>
        <w:ind w:left="567" w:right="567" w:firstLine="0"/>
        <w:jc w:val="center"/>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SECCIÓN TERCERA DEL DICTAMEN DE GIRO</w:t>
      </w:r>
    </w:p>
    <w:p w:rsidR="00000000" w:rsidDel="00000000" w:rsidP="00000000" w:rsidRDefault="00000000" w:rsidRPr="00000000" w14:paraId="00000068">
      <w:pPr>
        <w:spacing w:line="360" w:lineRule="auto"/>
        <w:ind w:left="567" w:right="567" w:firstLine="0"/>
        <w:jc w:val="center"/>
        <w:rPr>
          <w:rFonts w:ascii="Palatino Linotype" w:cs="Palatino Linotype" w:eastAsia="Palatino Linotype" w:hAnsi="Palatino Linotype"/>
          <w:i w:val="1"/>
          <w:sz w:val="22"/>
          <w:szCs w:val="22"/>
        </w:rPr>
      </w:pPr>
      <w:r w:rsidDel="00000000" w:rsidR="00000000" w:rsidRPr="00000000">
        <w:rPr>
          <w:rtl w:val="0"/>
        </w:rPr>
      </w:r>
    </w:p>
    <w:p w:rsidR="00000000" w:rsidDel="00000000" w:rsidP="00000000" w:rsidRDefault="00000000" w:rsidRPr="00000000" w14:paraId="00000069">
      <w:pPr>
        <w:spacing w:line="360" w:lineRule="auto"/>
        <w:ind w:left="567" w:right="567"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Artículo 20 Bis</w:t>
      </w:r>
      <w:r w:rsidDel="00000000" w:rsidR="00000000" w:rsidRPr="00000000">
        <w:rPr>
          <w:rFonts w:ascii="Palatino Linotype" w:cs="Palatino Linotype" w:eastAsia="Palatino Linotype" w:hAnsi="Palatino Linotype"/>
          <w:i w:val="1"/>
          <w:sz w:val="22"/>
          <w:szCs w:val="22"/>
          <w:rtl w:val="0"/>
        </w:rPr>
        <w:t xml:space="preserve">. - El Dictamen de Giro es el documento de carácter permanente emitido por el Comité Municipal de Dictámenes de Giro, sustentado en las evaluaciones técnicas de factibilidad en materias de salubridad local tratándose de venta de bebidas alcohólicas y rastros, cuya finalidad es determinar el funcionamiento de unidades económicas, en términos de esta Ley y las disposiciones jurídicas aplicables de acuerdo con los principios de transparencia y publicidad. </w:t>
      </w:r>
    </w:p>
    <w:p w:rsidR="00000000" w:rsidDel="00000000" w:rsidP="00000000" w:rsidRDefault="00000000" w:rsidRPr="00000000" w14:paraId="0000006A">
      <w:pPr>
        <w:spacing w:line="360" w:lineRule="auto"/>
        <w:ind w:left="567" w:right="567" w:firstLine="0"/>
        <w:jc w:val="both"/>
        <w:rPr>
          <w:rFonts w:ascii="Palatino Linotype" w:cs="Palatino Linotype" w:eastAsia="Palatino Linotype" w:hAnsi="Palatino Linotype"/>
          <w:i w:val="1"/>
          <w:sz w:val="22"/>
          <w:szCs w:val="22"/>
          <w:u w:val="single"/>
        </w:rPr>
      </w:pPr>
      <w:r w:rsidDel="00000000" w:rsidR="00000000" w:rsidRPr="00000000">
        <w:rPr>
          <w:rFonts w:ascii="Palatino Linotype" w:cs="Palatino Linotype" w:eastAsia="Palatino Linotype" w:hAnsi="Palatino Linotype"/>
          <w:b w:val="1"/>
          <w:i w:val="1"/>
          <w:sz w:val="22"/>
          <w:szCs w:val="22"/>
          <w:rtl w:val="0"/>
        </w:rPr>
        <w:t xml:space="preserve">El Comité</w:t>
      </w:r>
      <w:r w:rsidDel="00000000" w:rsidR="00000000" w:rsidRPr="00000000">
        <w:rPr>
          <w:rFonts w:ascii="Palatino Linotype" w:cs="Palatino Linotype" w:eastAsia="Palatino Linotype" w:hAnsi="Palatino Linotype"/>
          <w:i w:val="1"/>
          <w:sz w:val="22"/>
          <w:szCs w:val="22"/>
          <w:rtl w:val="0"/>
        </w:rPr>
        <w:t xml:space="preserve"> a que se refiere el párrafo anterior, </w:t>
      </w:r>
      <w:r w:rsidDel="00000000" w:rsidR="00000000" w:rsidRPr="00000000">
        <w:rPr>
          <w:rFonts w:ascii="Palatino Linotype" w:cs="Palatino Linotype" w:eastAsia="Palatino Linotype" w:hAnsi="Palatino Linotype"/>
          <w:b w:val="1"/>
          <w:i w:val="1"/>
          <w:sz w:val="22"/>
          <w:szCs w:val="22"/>
          <w:u w:val="single"/>
          <w:rtl w:val="0"/>
        </w:rPr>
        <w:t xml:space="preserve">estará integrado por las personas titulares de las Direcciones municipales de Desarrollo Económico, </w:t>
      </w:r>
      <w:r w:rsidDel="00000000" w:rsidR="00000000" w:rsidRPr="00000000">
        <w:rPr>
          <w:rFonts w:ascii="Palatino Linotype" w:cs="Palatino Linotype" w:eastAsia="Palatino Linotype" w:hAnsi="Palatino Linotype"/>
          <w:i w:val="1"/>
          <w:sz w:val="22"/>
          <w:szCs w:val="22"/>
          <w:u w:val="single"/>
          <w:rtl w:val="0"/>
        </w:rPr>
        <w:t xml:space="preserve">Desarrollo Urbano, Ecología, Protección Civil, Salud o sus equivalentes, un representante de las Cámaras Empresariales, así como un representante del Comité Coordinador del Sistema Municipal Anticorrupción y un representante de la Contraloría Municipal. Será presidido por la o el Presidente Municipal o quien éste determine, y tendrá la finalidad de establecer la factibilidad para la operación de las actividades previstas en la presente Ley en términos de las disposiciones jurídicas aplicables.</w:t>
      </w:r>
    </w:p>
    <w:p w:rsidR="00000000" w:rsidDel="00000000" w:rsidP="00000000" w:rsidRDefault="00000000" w:rsidRPr="00000000" w14:paraId="0000006B">
      <w:pPr>
        <w:spacing w:line="360" w:lineRule="auto"/>
        <w:ind w:right="567"/>
        <w:jc w:val="both"/>
        <w:rPr>
          <w:rFonts w:ascii="Palatino Linotype" w:cs="Palatino Linotype" w:eastAsia="Palatino Linotype" w:hAnsi="Palatino Linotype"/>
          <w:b w:val="1"/>
          <w:i w:val="1"/>
          <w:sz w:val="22"/>
          <w:szCs w:val="22"/>
        </w:rPr>
      </w:pPr>
      <w:r w:rsidDel="00000000" w:rsidR="00000000" w:rsidRPr="00000000">
        <w:rPr>
          <w:rtl w:val="0"/>
        </w:rPr>
      </w:r>
    </w:p>
    <w:p w:rsidR="00000000" w:rsidDel="00000000" w:rsidP="00000000" w:rsidRDefault="00000000" w:rsidRPr="00000000" w14:paraId="0000006C">
      <w:pPr>
        <w:spacing w:line="360" w:lineRule="auto"/>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Bajo la óptica del precepto legal invocado de advierte que el Comité Municipal de Dictamen de Giro, se encuentra integrado por los Titulares de las Direcciones Municipales de Desarrollo Económico, Desarrollo Urbano, Ecología, Protección Civil, Salud o sus equivalentes, un representante de las Cámaras Empresariales, así como un representante del Comité Coordinador del Sistema Municipal Anticorrupción y un representante de la Contraloría Municipal.</w:t>
      </w:r>
    </w:p>
    <w:p w:rsidR="00000000" w:rsidDel="00000000" w:rsidP="00000000" w:rsidRDefault="00000000" w:rsidRPr="00000000" w14:paraId="0000006D">
      <w:pPr>
        <w:spacing w:line="36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6E">
      <w:pPr>
        <w:spacing w:line="360" w:lineRule="auto"/>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Asimismo, la Ley Orgánica Municipal en el artículo 48, fracción XXIV establece lo siguiente: </w:t>
      </w:r>
    </w:p>
    <w:p w:rsidR="00000000" w:rsidDel="00000000" w:rsidP="00000000" w:rsidRDefault="00000000" w:rsidRPr="00000000" w14:paraId="0000006F">
      <w:pPr>
        <w:spacing w:line="36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0">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Artículo 48.- La persona titular de la presidencia municipal tiene las siguientes atribuciones:</w:t>
      </w:r>
    </w:p>
    <w:p w:rsidR="00000000" w:rsidDel="00000000" w:rsidP="00000000" w:rsidRDefault="00000000" w:rsidRPr="00000000" w14:paraId="00000071">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p>
    <w:p w:rsidR="00000000" w:rsidDel="00000000" w:rsidP="00000000" w:rsidRDefault="00000000" w:rsidRPr="00000000" w14:paraId="00000072">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XXIV. Presidir el Comité Municipal de Dictámenes de Giro a que se refiere la Ley de Competitividad y Ordenamiento Comercial del Estado de México, y</w:t>
      </w:r>
    </w:p>
    <w:p w:rsidR="00000000" w:rsidDel="00000000" w:rsidP="00000000" w:rsidRDefault="00000000" w:rsidRPr="00000000" w14:paraId="00000073">
      <w:pPr>
        <w:spacing w:line="360" w:lineRule="auto"/>
        <w:ind w:left="567" w:right="616"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p>
    <w:p w:rsidR="00000000" w:rsidDel="00000000" w:rsidP="00000000" w:rsidRDefault="00000000" w:rsidRPr="00000000" w14:paraId="00000074">
      <w:pPr>
        <w:spacing w:line="360" w:lineRule="auto"/>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De la interpretación a los preceptos legales, se determina que en los Ayuntamientos se debe constituir el Comité Municipal de Dictámenes de Giro, el cual será Presidido por el Presidente Municipal, así como la integración de diversos Titulares de Unidades Administrativas. Dicho Comité de acuerdo a la Ley de Competitividad y Ordenamiento Comercial del Estado de México, tiene como función determinar si existe la necesidad de practicar visita o supervisión técnica y física a las unidades económicas, previa a la entrega de los documentos y formatos que acrediten los requisitos por el solicitante, notificándose a las autoridades municipales correspondientes, para que realicen la supervisión técnica y física del inmueble de la unidad económica</w:t>
      </w:r>
    </w:p>
    <w:p w:rsidR="00000000" w:rsidDel="00000000" w:rsidP="00000000" w:rsidRDefault="00000000" w:rsidRPr="00000000" w14:paraId="00000075">
      <w:pPr>
        <w:spacing w:line="36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6">
      <w:pPr>
        <w:spacing w:line="360" w:lineRule="auto"/>
        <w:jc w:val="both"/>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tl w:val="0"/>
        </w:rPr>
        <w:t xml:space="preserve">Establecido lo anterior, si bien el Sujeto Obligado manifestó en respuesta que no se contaba con la información, a través del Informe justificado remitió la siguiente información:</w:t>
      </w:r>
    </w:p>
    <w:p w:rsidR="00000000" w:rsidDel="00000000" w:rsidP="00000000" w:rsidRDefault="00000000" w:rsidRPr="00000000" w14:paraId="00000077">
      <w:pPr>
        <w:spacing w:line="36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8">
      <w:pPr>
        <w:spacing w:line="36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9">
      <w:pPr>
        <w:spacing w:line="360" w:lineRule="auto"/>
        <w:jc w:val="center"/>
        <w:rPr>
          <w:rFonts w:ascii="Palatino Linotype" w:cs="Palatino Linotype" w:eastAsia="Palatino Linotype" w:hAnsi="Palatino Linotype"/>
        </w:rPr>
      </w:pPr>
      <w:r w:rsidDel="00000000" w:rsidR="00000000" w:rsidRPr="00000000">
        <w:rPr>
          <w:rFonts w:ascii="Palatino Linotype" w:cs="Palatino Linotype" w:eastAsia="Palatino Linotype" w:hAnsi="Palatino Linotype"/>
        </w:rPr>
        <w:drawing>
          <wp:inline distB="0" distT="0" distL="0" distR="0">
            <wp:extent cx="4963218" cy="6849431"/>
            <wp:effectExtent b="0" l="0" r="0" t="0"/>
            <wp:docPr id="35"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4963218" cy="6849431"/>
                    </a:xfrm>
                    <a:prstGeom prst="rect"/>
                    <a:ln/>
                  </pic:spPr>
                </pic:pic>
              </a:graphicData>
            </a:graphic>
          </wp:inline>
        </w:drawing>
      </w:r>
      <w:r w:rsidDel="00000000" w:rsidR="00000000" w:rsidRPr="00000000">
        <w:rPr>
          <w:rtl w:val="0"/>
        </w:rPr>
      </w:r>
    </w:p>
    <w:p w:rsidR="00000000" w:rsidDel="00000000" w:rsidP="00000000" w:rsidRDefault="00000000" w:rsidRPr="00000000" w14:paraId="0000007A">
      <w:pPr>
        <w:spacing w:line="36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B">
      <w:pPr>
        <w:spacing w:line="360" w:lineRule="auto"/>
        <w:jc w:val="both"/>
        <w:rPr>
          <w:rFonts w:ascii="Palatino Linotype" w:cs="Palatino Linotype" w:eastAsia="Palatino Linotype" w:hAnsi="Palatino Linotype"/>
        </w:rPr>
      </w:pPr>
      <w:r w:rsidDel="00000000" w:rsidR="00000000" w:rsidRPr="00000000">
        <w:rPr>
          <w:rtl w:val="0"/>
        </w:rPr>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Tal y como se aprecia, el Sujeto Obligado a través del informe justificado entregó el Acta de Instalación del Comité Municipal de Dictamen de Giro CMDG/ACTA/01/2025, de fecha catorce de enero de dos mil veinticinco, información que colma el requerimiento inicial del Particular.</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60" w:lineRule="auto"/>
        <w:ind w:left="0" w:right="0" w:firstLine="0"/>
        <w:jc w:val="both"/>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En consecuencia, al haber existido un pronunciamiento por el Sujeto Obligado a través del informe justificado,  es que no se puede dudar de la veracidad. Sirve de apoyo a lo anterior por analogía </w:t>
      </w:r>
      <w:r w:rsidDel="00000000" w:rsidR="00000000" w:rsidRPr="00000000">
        <w:rPr>
          <w:rFonts w:ascii="Palatino Linotype" w:cs="Palatino Linotype" w:eastAsia="Palatino Linotype" w:hAnsi="Palatino Linotype"/>
          <w:b w:val="1"/>
          <w:i w:val="0"/>
          <w:smallCaps w:val="0"/>
          <w:strike w:val="0"/>
          <w:color w:val="000000"/>
          <w:sz w:val="22"/>
          <w:szCs w:val="22"/>
          <w:u w:val="none"/>
          <w:shd w:fill="auto" w:val="clear"/>
          <w:vertAlign w:val="baseline"/>
          <w:rtl w:val="0"/>
        </w:rPr>
        <w:t xml:space="preserve">el criterio histórico 31-10 </w:t>
      </w: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emitido por el entonces Instituto Federal de Acceso a la Información y Protección de Datos, que a la letra dice: </w:t>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740"/>
        </w:tabs>
        <w:spacing w:after="0" w:before="0" w:line="240" w:lineRule="auto"/>
        <w:ind w:left="708" w:right="0" w:firstLine="0"/>
        <w:jc w:val="left"/>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ab/>
      </w:r>
    </w:p>
    <w:p w:rsidR="00000000" w:rsidDel="00000000" w:rsidP="00000000" w:rsidRDefault="00000000" w:rsidRPr="00000000" w14:paraId="00000080">
      <w:pPr>
        <w:ind w:left="567" w:right="567"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El Instituto Federal de Acceso a la Información y Protección de Datos no cuenta con facultades para pronunciarse respecto de la veracidad de los documentos proporcionados por los sujetos obligados.</w:t>
      </w:r>
      <w:r w:rsidDel="00000000" w:rsidR="00000000" w:rsidRPr="00000000">
        <w:rPr>
          <w:rFonts w:ascii="Palatino Linotype" w:cs="Palatino Linotype" w:eastAsia="Palatino Linotype" w:hAnsi="Palatino Linotype"/>
          <w:i w:val="1"/>
          <w:sz w:val="22"/>
          <w:szCs w:val="22"/>
          <w:rtl w:val="0"/>
        </w:rPr>
        <w:t xml:space="preserve"> El Instituto Federal de Acceso a la Información y Protección de Datos es un órgano de la Administración Pública Federal con autonomía operativa, presupuestaria y de decisión, encargado de promover y difundir el ejercicio del derecho de acceso a la información; resolver sobre la negativa de las solicitudes de acceso a la información; y proteger los datos personales en poder de las dependencias y entidades. Sin embargo, no está facultado para pronunciarse sobre la veracidad de la información proporcionada por las autoridades en respuesta a las solicitudes de información que les presentan los particulares, en virtud de que en los artículos 49 y 50 de la Ley Federal de Transparencia y Acceso a la Información Pública Gubernamental no se prevé una causal que permita al Instituto Federal de Acceso a la Información y Protección de Datos conocer, vía recurso revisión, al respecto.”</w:t>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284"/>
        </w:tabs>
        <w:spacing w:after="240" w:before="240" w:line="360" w:lineRule="auto"/>
        <w:ind w:left="0" w:right="49" w:firstLine="0"/>
        <w:jc w:val="both"/>
        <w:rPr>
          <w:rFonts w:ascii="Palatino Linotype" w:cs="Palatino Linotype" w:eastAsia="Palatino Linotype" w:hAnsi="Palatino Linotype"/>
          <w:b w:val="0"/>
          <w:i w:val="0"/>
          <w:smallCaps w:val="0"/>
          <w:strike w:val="0"/>
          <w:color w:val="000000"/>
          <w:sz w:val="22"/>
          <w:szCs w:val="22"/>
          <w:u w:val="none"/>
          <w:shd w:fill="auto" w:val="clear"/>
          <w:vertAlign w:val="baseline"/>
        </w:rPr>
      </w:pPr>
      <w:r w:rsidDel="00000000" w:rsidR="00000000" w:rsidRPr="00000000">
        <w:rPr>
          <w:rFonts w:ascii="Palatino Linotype" w:cs="Palatino Linotype" w:eastAsia="Palatino Linotype" w:hAnsi="Palatino Linotype"/>
          <w:b w:val="0"/>
          <w:i w:val="0"/>
          <w:smallCaps w:val="0"/>
          <w:strike w:val="0"/>
          <w:color w:val="000000"/>
          <w:sz w:val="22"/>
          <w:szCs w:val="22"/>
          <w:u w:val="none"/>
          <w:shd w:fill="auto" w:val="clear"/>
          <w:vertAlign w:val="baseline"/>
          <w:rtl w:val="0"/>
        </w:rPr>
        <w:t xml:space="preserve">Este Órgano Garante carece de facultades para dudar de la veracidad sobre la información proporcionada por el Sujeto Obligado, en consecuencia, deben declararse atendido el Requerimiento del particular.</w:t>
      </w:r>
    </w:p>
    <w:p w:rsidR="00000000" w:rsidDel="00000000" w:rsidP="00000000" w:rsidRDefault="00000000" w:rsidRPr="00000000" w14:paraId="00000082">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Corolario a lo anterior, se estima que el presente caso actualiza el supuesto previsto en el artículo 192, fracción III de la Ley de Transparencia y Acceso a la Información Pública del Estado de México y Municipios vigente, a saber:</w:t>
      </w:r>
    </w:p>
    <w:p w:rsidR="00000000" w:rsidDel="00000000" w:rsidP="00000000" w:rsidRDefault="00000000" w:rsidRPr="00000000" w14:paraId="00000083">
      <w:pPr>
        <w:spacing w:after="240" w:before="240" w:lineRule="auto"/>
        <w:ind w:left="851" w:right="900"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r w:rsidDel="00000000" w:rsidR="00000000" w:rsidRPr="00000000">
        <w:rPr>
          <w:rFonts w:ascii="Palatino Linotype" w:cs="Palatino Linotype" w:eastAsia="Palatino Linotype" w:hAnsi="Palatino Linotype"/>
          <w:b w:val="1"/>
          <w:i w:val="1"/>
          <w:sz w:val="22"/>
          <w:szCs w:val="22"/>
          <w:rtl w:val="0"/>
        </w:rPr>
        <w:t xml:space="preserve">Artículo 192</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El recurso será sobreseído</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en todo o en parte,</w:t>
      </w:r>
      <w:r w:rsidDel="00000000" w:rsidR="00000000" w:rsidRPr="00000000">
        <w:rPr>
          <w:rFonts w:ascii="Palatino Linotype" w:cs="Palatino Linotype" w:eastAsia="Palatino Linotype" w:hAnsi="Palatino Linotype"/>
          <w:i w:val="1"/>
          <w:sz w:val="22"/>
          <w:szCs w:val="22"/>
          <w:rtl w:val="0"/>
        </w:rPr>
        <w:t xml:space="preserve"> </w:t>
      </w:r>
      <w:r w:rsidDel="00000000" w:rsidR="00000000" w:rsidRPr="00000000">
        <w:rPr>
          <w:rFonts w:ascii="Palatino Linotype" w:cs="Palatino Linotype" w:eastAsia="Palatino Linotype" w:hAnsi="Palatino Linotype"/>
          <w:b w:val="1"/>
          <w:i w:val="1"/>
          <w:sz w:val="22"/>
          <w:szCs w:val="22"/>
          <w:rtl w:val="0"/>
        </w:rPr>
        <w:t xml:space="preserve">cuando una vez admitido, se actualicen alguno de los siguientes supuestos</w:t>
      </w:r>
      <w:r w:rsidDel="00000000" w:rsidR="00000000" w:rsidRPr="00000000">
        <w:rPr>
          <w:rFonts w:ascii="Palatino Linotype" w:cs="Palatino Linotype" w:eastAsia="Palatino Linotype" w:hAnsi="Palatino Linotype"/>
          <w:i w:val="1"/>
          <w:sz w:val="22"/>
          <w:szCs w:val="22"/>
          <w:rtl w:val="0"/>
        </w:rPr>
        <w:t xml:space="preserve">: </w:t>
      </w:r>
    </w:p>
    <w:p w:rsidR="00000000" w:rsidDel="00000000" w:rsidP="00000000" w:rsidRDefault="00000000" w:rsidRPr="00000000" w14:paraId="00000084">
      <w:pPr>
        <w:spacing w:after="240" w:before="240" w:lineRule="auto"/>
        <w:ind w:left="1134" w:right="900"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i w:val="1"/>
          <w:sz w:val="22"/>
          <w:szCs w:val="22"/>
          <w:rtl w:val="0"/>
        </w:rPr>
        <w:t xml:space="preserve">(…)</w:t>
      </w:r>
    </w:p>
    <w:p w:rsidR="00000000" w:rsidDel="00000000" w:rsidP="00000000" w:rsidRDefault="00000000" w:rsidRPr="00000000" w14:paraId="00000085">
      <w:pPr>
        <w:spacing w:after="240" w:before="240" w:lineRule="auto"/>
        <w:ind w:left="1134" w:right="900" w:firstLine="0"/>
        <w:jc w:val="both"/>
        <w:rPr>
          <w:rFonts w:ascii="Palatino Linotype" w:cs="Palatino Linotype" w:eastAsia="Palatino Linotype" w:hAnsi="Palatino Linotype"/>
          <w:i w:val="1"/>
          <w:sz w:val="22"/>
          <w:szCs w:val="22"/>
        </w:rPr>
      </w:pPr>
      <w:r w:rsidDel="00000000" w:rsidR="00000000" w:rsidRPr="00000000">
        <w:rPr>
          <w:rFonts w:ascii="Palatino Linotype" w:cs="Palatino Linotype" w:eastAsia="Palatino Linotype" w:hAnsi="Palatino Linotype"/>
          <w:b w:val="1"/>
          <w:i w:val="1"/>
          <w:sz w:val="22"/>
          <w:szCs w:val="22"/>
          <w:rtl w:val="0"/>
        </w:rPr>
        <w:t xml:space="preserve">III. El sujeto obligado responsable del acto, lo modifique o revoque de tal manera que el recurso de revisión quede sin materia...</w:t>
      </w:r>
      <w:r w:rsidDel="00000000" w:rsidR="00000000" w:rsidRPr="00000000">
        <w:rPr>
          <w:rFonts w:ascii="Palatino Linotype" w:cs="Palatino Linotype" w:eastAsia="Palatino Linotype" w:hAnsi="Palatino Linotype"/>
          <w:i w:val="1"/>
          <w:sz w:val="22"/>
          <w:szCs w:val="22"/>
          <w:rtl w:val="0"/>
        </w:rPr>
        <w:t xml:space="preserve">”</w:t>
      </w:r>
    </w:p>
    <w:p w:rsidR="00000000" w:rsidDel="00000000" w:rsidP="00000000" w:rsidRDefault="00000000" w:rsidRPr="00000000" w14:paraId="00000086">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De lo establecido en el precepto legal citado se advierte que el sobreseimiento del recurso de revisión procede en los siguientes casos</w:t>
      </w:r>
    </w:p>
    <w:p w:rsidR="00000000" w:rsidDel="00000000" w:rsidP="00000000" w:rsidRDefault="00000000" w:rsidRPr="00000000" w14:paraId="00000087">
      <w:pPr>
        <w:spacing w:after="240" w:before="240" w:line="360" w:lineRule="auto"/>
        <w:ind w:left="284"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 Cuando el sujeto obligado modifique el acto impugnado. </w:t>
      </w:r>
    </w:p>
    <w:p w:rsidR="00000000" w:rsidDel="00000000" w:rsidP="00000000" w:rsidRDefault="00000000" w:rsidRPr="00000000" w14:paraId="00000088">
      <w:pPr>
        <w:spacing w:after="240" w:before="240" w:line="360" w:lineRule="auto"/>
        <w:ind w:left="284" w:firstLine="0"/>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b) Cuando el sujeto obligado revoque el acto impugnado; </w:t>
      </w:r>
    </w:p>
    <w:p w:rsidR="00000000" w:rsidDel="00000000" w:rsidP="00000000" w:rsidRDefault="00000000" w:rsidRPr="00000000" w14:paraId="00000089">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Quedando en ambos casos el acto combatido sin materia o sin efectos.</w:t>
      </w:r>
    </w:p>
    <w:p w:rsidR="00000000" w:rsidDel="00000000" w:rsidP="00000000" w:rsidRDefault="00000000" w:rsidRPr="00000000" w14:paraId="0000008A">
      <w:pPr>
        <w:spacing w:after="240" w:before="240" w:line="36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sz w:val="22"/>
          <w:szCs w:val="22"/>
          <w:rtl w:val="0"/>
        </w:rPr>
        <w:t xml:space="preserve">Como se observa de lo anterior, un acto impugnado es modificado en aquellos casos en los que el Sujeto Obligado después de haber otorgado una respuesta, o haber omitido hacerlo (acto de no hacer), emite una o una diversa de manera posterior y en esta subsana las deficiencias que hubiera tenido, quedando satisfecho el derecho subjetivo accionado por la parte Recurrente</w:t>
      </w:r>
      <w:r w:rsidDel="00000000" w:rsidR="00000000" w:rsidRPr="00000000">
        <w:rPr>
          <w:rFonts w:ascii="Palatino Linotype" w:cs="Palatino Linotype" w:eastAsia="Palatino Linotype" w:hAnsi="Palatino Linotype"/>
          <w:b w:val="1"/>
          <w:sz w:val="22"/>
          <w:szCs w:val="22"/>
          <w:rtl w:val="0"/>
        </w:rPr>
        <w:t xml:space="preserve">.</w:t>
      </w:r>
    </w:p>
    <w:p w:rsidR="00000000" w:rsidDel="00000000" w:rsidP="00000000" w:rsidRDefault="00000000" w:rsidRPr="00000000" w14:paraId="0000008B">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Por lo que hace a la revocación, esta se actualiza cuando el Sujeto Obligado deja sin efectos la primera respuesta o su primer acto y en su lugar emite otro con las características y cualidades suficientes para dejar satisfecho el ejercicio del derecho al acceso a la información pública.</w:t>
      </w:r>
    </w:p>
    <w:p w:rsidR="00000000" w:rsidDel="00000000" w:rsidP="00000000" w:rsidRDefault="00000000" w:rsidRPr="00000000" w14:paraId="0000008C">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este orden de ideas, un acto impugnado queda sin efectos, cuando aun existiendo jurídicamente (esto es, que no se ha modificado, ni revocado) ya no genera ninguna consecuencia legal.</w:t>
      </w:r>
    </w:p>
    <w:p w:rsidR="00000000" w:rsidDel="00000000" w:rsidP="00000000" w:rsidRDefault="00000000" w:rsidRPr="00000000" w14:paraId="0000008D">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En tanto que, un acto impugnado queda sin materia, cuando ha sido satisfecha la pretensión de la parte Recurrente de manera que el Sujeto Obligado entrega una respuesta, aunque sea posterior a los términos previstos en la ley y mediante ésta concede la información solicitada.</w:t>
      </w:r>
    </w:p>
    <w:p w:rsidR="00000000" w:rsidDel="00000000" w:rsidP="00000000" w:rsidRDefault="00000000" w:rsidRPr="00000000" w14:paraId="0000008E">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Con base en los argumentos expuestos, resulta evidente que en el presente asunto, 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modificó la respuesta a la solicitud de la persona solicitante, aunque ello haya sido de manera posterior a su respuesta inicial, información que se hizo su conocimiento con la finalidad de que manifestara lo que a su derecho estimara conveniente, sin que obre constancia en el expediente electrónico de que hubiera ejercido dicha prerrogativa hasta el momento de decretar el cierre de instrucción correspondiente. </w:t>
      </w:r>
    </w:p>
    <w:p w:rsidR="00000000" w:rsidDel="00000000" w:rsidP="00000000" w:rsidRDefault="00000000" w:rsidRPr="00000000" w14:paraId="0000008F">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Es así que se concluye que la información remitida por el </w:t>
      </w:r>
      <w:r w:rsidDel="00000000" w:rsidR="00000000" w:rsidRPr="00000000">
        <w:rPr>
          <w:rFonts w:ascii="Palatino Linotype" w:cs="Palatino Linotype" w:eastAsia="Palatino Linotype" w:hAnsi="Palatino Linotype"/>
          <w:b w:val="1"/>
          <w:sz w:val="22"/>
          <w:szCs w:val="22"/>
          <w:rtl w:val="0"/>
        </w:rPr>
        <w:t xml:space="preserve">Sujeto Obligado </w:t>
      </w:r>
      <w:r w:rsidDel="00000000" w:rsidR="00000000" w:rsidRPr="00000000">
        <w:rPr>
          <w:rFonts w:ascii="Palatino Linotype" w:cs="Palatino Linotype" w:eastAsia="Palatino Linotype" w:hAnsi="Palatino Linotype"/>
          <w:sz w:val="22"/>
          <w:szCs w:val="22"/>
          <w:rtl w:val="0"/>
        </w:rPr>
        <w:t xml:space="preserve">en la etapa de manifestaciones satisface el requerimiento de información combatido, con lo cual quedó sin materia el presente recurso de revisión, actualizando entonces la causal prevista en la fracción III del artículo 192 de la Ley de la Materia vigente en la Entidad, antes transcrita. </w:t>
      </w:r>
    </w:p>
    <w:p w:rsidR="00000000" w:rsidDel="00000000" w:rsidP="00000000" w:rsidRDefault="00000000" w:rsidRPr="00000000" w14:paraId="00000090">
      <w:pPr>
        <w:spacing w:after="240" w:before="240" w:line="360" w:lineRule="auto"/>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sz w:val="22"/>
          <w:szCs w:val="22"/>
          <w:rtl w:val="0"/>
        </w:rPr>
        <w:t xml:space="preserve">Siendo el </w:t>
      </w:r>
      <w:r w:rsidDel="00000000" w:rsidR="00000000" w:rsidRPr="00000000">
        <w:rPr>
          <w:rFonts w:ascii="Palatino Linotype" w:cs="Palatino Linotype" w:eastAsia="Palatino Linotype" w:hAnsi="Palatino Linotype"/>
          <w:i w:val="1"/>
          <w:sz w:val="22"/>
          <w:szCs w:val="22"/>
          <w:rtl w:val="0"/>
        </w:rPr>
        <w:t xml:space="preserve">sobreseimiento</w:t>
      </w:r>
      <w:r w:rsidDel="00000000" w:rsidR="00000000" w:rsidRPr="00000000">
        <w:rPr>
          <w:rFonts w:ascii="Palatino Linotype" w:cs="Palatino Linotype" w:eastAsia="Palatino Linotype" w:hAnsi="Palatino Linotype"/>
          <w:sz w:val="22"/>
          <w:szCs w:val="22"/>
          <w:rtl w:val="0"/>
        </w:rPr>
        <w:t xml:space="preserve"> un acto que da por terminado el procedimiento administrativo de impugnación por alguna causa sobreviniente en el juicio de que se trate, que impide a la autoridad referirse a lo sustancial de lo planteado por el recurrente teniendo como consecuencia dar por concluido el medio de impugnación, este Instituto se encuentra imposibilitado para entrar al estudio de fondo del recurso de revisión, lo anterior con apoyo en el criterio del Poder Judicial de la Federación con rubro: </w:t>
      </w:r>
      <w:r w:rsidDel="00000000" w:rsidR="00000000" w:rsidRPr="00000000">
        <w:rPr>
          <w:rFonts w:ascii="Palatino Linotype" w:cs="Palatino Linotype" w:eastAsia="Palatino Linotype" w:hAnsi="Palatino Linotype"/>
          <w:b w:val="1"/>
          <w:sz w:val="22"/>
          <w:szCs w:val="22"/>
          <w:rtl w:val="0"/>
        </w:rPr>
        <w:t xml:space="preserve">SOBRESEIMIENTO, NO PERMITE ENTRAR AL ESTUDIO DE LAS CUESTIONES DE FONDO</w:t>
      </w:r>
      <w:r w:rsidDel="00000000" w:rsidR="00000000" w:rsidRPr="00000000">
        <w:rPr>
          <w:rFonts w:ascii="Palatino Linotype" w:cs="Palatino Linotype" w:eastAsia="Palatino Linotype" w:hAnsi="Palatino Linotype"/>
          <w:b w:val="1"/>
          <w:sz w:val="22"/>
          <w:szCs w:val="22"/>
          <w:vertAlign w:val="superscript"/>
        </w:rPr>
        <w:footnoteReference w:customMarkFollows="0" w:id="0"/>
      </w:r>
      <w:r w:rsidDel="00000000" w:rsidR="00000000" w:rsidRPr="00000000">
        <w:rPr>
          <w:rFonts w:ascii="Palatino Linotype" w:cs="Palatino Linotype" w:eastAsia="Palatino Linotype" w:hAnsi="Palatino Linotype"/>
          <w:b w:val="1"/>
          <w:sz w:val="22"/>
          <w:szCs w:val="22"/>
          <w:rtl w:val="0"/>
        </w:rPr>
        <w:t xml:space="preserve">.</w:t>
      </w:r>
    </w:p>
    <w:p w:rsidR="00000000" w:rsidDel="00000000" w:rsidP="00000000" w:rsidRDefault="00000000" w:rsidRPr="00000000" w14:paraId="00000091">
      <w:pPr>
        <w:spacing w:line="360" w:lineRule="auto"/>
        <w:ind w:right="96"/>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sz w:val="22"/>
          <w:szCs w:val="22"/>
          <w:rtl w:val="0"/>
        </w:rPr>
        <w:t xml:space="preserve">Así, con fundamento en lo prescrito en los artículos 5 párrafos trigésimo tercero, trigésimo cuarto y trigésimo quinto de la Constitución Política del Estado Libre y Soberano de México; 2, fracción II; 29, 36 fracciones I y II; 176, 178, 181, 185 y 186 fracción I de la Ley de Transparencia y Acceso a la Información Pública del Estado de México y Municipios, este Pleno:</w:t>
      </w:r>
    </w:p>
    <w:p w:rsidR="00000000" w:rsidDel="00000000" w:rsidP="00000000" w:rsidRDefault="00000000" w:rsidRPr="00000000" w14:paraId="00000092">
      <w:pPr>
        <w:pBdr>
          <w:top w:space="0" w:sz="0" w:val="nil"/>
          <w:left w:space="0" w:sz="0" w:val="nil"/>
          <w:bottom w:space="0" w:sz="0" w:val="nil"/>
          <w:right w:space="0" w:sz="0" w:val="nil"/>
          <w:between w:space="0" w:sz="0" w:val="nil"/>
        </w:pBdr>
        <w:spacing w:after="240" w:before="240" w:line="360" w:lineRule="auto"/>
        <w:jc w:val="center"/>
        <w:rPr>
          <w:rFonts w:ascii="Palatino Linotype" w:cs="Palatino Linotype" w:eastAsia="Palatino Linotype" w:hAnsi="Palatino Linotype"/>
          <w:b w:val="1"/>
          <w:sz w:val="22"/>
          <w:szCs w:val="22"/>
        </w:rPr>
      </w:pPr>
      <w:bookmarkStart w:colFirst="0" w:colLast="0" w:name="_heading=h.lnxbz9" w:id="2"/>
      <w:bookmarkEnd w:id="2"/>
      <w:r w:rsidDel="00000000" w:rsidR="00000000" w:rsidRPr="00000000">
        <w:rPr>
          <w:rFonts w:ascii="Palatino Linotype" w:cs="Palatino Linotype" w:eastAsia="Palatino Linotype" w:hAnsi="Palatino Linotype"/>
          <w:b w:val="1"/>
          <w:sz w:val="22"/>
          <w:szCs w:val="22"/>
          <w:rtl w:val="0"/>
        </w:rPr>
        <w:t xml:space="preserve">III. R E S U E L V E</w:t>
      </w:r>
    </w:p>
    <w:p w:rsidR="00000000" w:rsidDel="00000000" w:rsidP="00000000" w:rsidRDefault="00000000" w:rsidRPr="00000000" w14:paraId="00000093">
      <w:pPr>
        <w:spacing w:before="160" w:line="360" w:lineRule="auto"/>
        <w:jc w:val="both"/>
        <w:rPr>
          <w:rFonts w:ascii="Palatino Linotype" w:cs="Palatino Linotype" w:eastAsia="Palatino Linotype" w:hAnsi="Palatino Linotype"/>
          <w:sz w:val="22"/>
          <w:szCs w:val="22"/>
        </w:rPr>
      </w:pPr>
      <w:bookmarkStart w:colFirst="0" w:colLast="0" w:name="_heading=h.1fob9te" w:id="3"/>
      <w:bookmarkEnd w:id="3"/>
      <w:r w:rsidDel="00000000" w:rsidR="00000000" w:rsidRPr="00000000">
        <w:rPr>
          <w:rFonts w:ascii="Palatino Linotype" w:cs="Palatino Linotype" w:eastAsia="Palatino Linotype" w:hAnsi="Palatino Linotype"/>
          <w:b w:val="1"/>
          <w:sz w:val="22"/>
          <w:szCs w:val="22"/>
          <w:rtl w:val="0"/>
        </w:rPr>
        <w:t xml:space="preserve">Primero. </w:t>
      </w:r>
      <w:r w:rsidDel="00000000" w:rsidR="00000000" w:rsidRPr="00000000">
        <w:rPr>
          <w:rFonts w:ascii="Palatino Linotype" w:cs="Palatino Linotype" w:eastAsia="Palatino Linotype" w:hAnsi="Palatino Linotype"/>
          <w:sz w:val="22"/>
          <w:szCs w:val="22"/>
          <w:rtl w:val="0"/>
        </w:rPr>
        <w:t xml:space="preserve">Se</w:t>
      </w:r>
      <w:r w:rsidDel="00000000" w:rsidR="00000000" w:rsidRPr="00000000">
        <w:rPr>
          <w:rFonts w:ascii="Palatino Linotype" w:cs="Palatino Linotype" w:eastAsia="Palatino Linotype" w:hAnsi="Palatino Linotype"/>
          <w:b w:val="1"/>
          <w:sz w:val="22"/>
          <w:szCs w:val="22"/>
          <w:rtl w:val="0"/>
        </w:rPr>
        <w:t xml:space="preserve"> Sobresee </w:t>
      </w:r>
      <w:r w:rsidDel="00000000" w:rsidR="00000000" w:rsidRPr="00000000">
        <w:rPr>
          <w:rFonts w:ascii="Palatino Linotype" w:cs="Palatino Linotype" w:eastAsia="Palatino Linotype" w:hAnsi="Palatino Linotype"/>
          <w:sz w:val="22"/>
          <w:szCs w:val="22"/>
          <w:rtl w:val="0"/>
        </w:rPr>
        <w:t xml:space="preserve">el recurso de revisión número </w:t>
      </w:r>
      <w:r w:rsidDel="00000000" w:rsidR="00000000" w:rsidRPr="00000000">
        <w:rPr>
          <w:rFonts w:ascii="Palatino Linotype" w:cs="Palatino Linotype" w:eastAsia="Palatino Linotype" w:hAnsi="Palatino Linotype"/>
          <w:b w:val="1"/>
          <w:sz w:val="22"/>
          <w:szCs w:val="22"/>
          <w:rtl w:val="0"/>
        </w:rPr>
        <w:t xml:space="preserve">00794/INFOEM/IP/RR/2025, </w:t>
      </w:r>
      <w:r w:rsidDel="00000000" w:rsidR="00000000" w:rsidRPr="00000000">
        <w:rPr>
          <w:rFonts w:ascii="Palatino Linotype" w:cs="Palatino Linotype" w:eastAsia="Palatino Linotype" w:hAnsi="Palatino Linotype"/>
          <w:sz w:val="22"/>
          <w:szCs w:val="22"/>
          <w:rtl w:val="0"/>
        </w:rPr>
        <w:t xml:space="preserve">porque al </w:t>
      </w:r>
      <w:r w:rsidDel="00000000" w:rsidR="00000000" w:rsidRPr="00000000">
        <w:rPr>
          <w:rFonts w:ascii="Palatino Linotype" w:cs="Palatino Linotype" w:eastAsia="Palatino Linotype" w:hAnsi="Palatino Linotype"/>
          <w:b w:val="1"/>
          <w:sz w:val="22"/>
          <w:szCs w:val="22"/>
          <w:rtl w:val="0"/>
        </w:rPr>
        <w:t xml:space="preserve">modificar la respuesta</w:t>
      </w:r>
      <w:r w:rsidDel="00000000" w:rsidR="00000000" w:rsidRPr="00000000">
        <w:rPr>
          <w:rFonts w:ascii="Palatino Linotype" w:cs="Palatino Linotype" w:eastAsia="Palatino Linotype" w:hAnsi="Palatino Linotype"/>
          <w:sz w:val="22"/>
          <w:szCs w:val="22"/>
          <w:rtl w:val="0"/>
        </w:rPr>
        <w:t xml:space="preserve"> se actualizó la causal prevista en el artículo 192, fracción III, de la Ley de Transparencia y Acceso a la Información Pública del Estado de México y Municipios, quedando sin materia en términos del considerando </w:t>
      </w:r>
      <w:r w:rsidDel="00000000" w:rsidR="00000000" w:rsidRPr="00000000">
        <w:rPr>
          <w:rFonts w:ascii="Palatino Linotype" w:cs="Palatino Linotype" w:eastAsia="Palatino Linotype" w:hAnsi="Palatino Linotype"/>
          <w:b w:val="1"/>
          <w:sz w:val="22"/>
          <w:szCs w:val="22"/>
          <w:rtl w:val="0"/>
        </w:rPr>
        <w:t xml:space="preserve">Tercero </w:t>
      </w:r>
      <w:r w:rsidDel="00000000" w:rsidR="00000000" w:rsidRPr="00000000">
        <w:rPr>
          <w:rFonts w:ascii="Palatino Linotype" w:cs="Palatino Linotype" w:eastAsia="Palatino Linotype" w:hAnsi="Palatino Linotype"/>
          <w:sz w:val="22"/>
          <w:szCs w:val="22"/>
          <w:rtl w:val="0"/>
        </w:rPr>
        <w:t xml:space="preserve">de la presente Resolución.</w:t>
      </w:r>
    </w:p>
    <w:p w:rsidR="00000000" w:rsidDel="00000000" w:rsidP="00000000" w:rsidRDefault="00000000" w:rsidRPr="00000000" w14:paraId="00000094">
      <w:pPr>
        <w:spacing w:after="240" w:before="240" w:line="360" w:lineRule="auto"/>
        <w:jc w:val="both"/>
        <w:rPr>
          <w:rFonts w:ascii="Palatino Linotype" w:cs="Palatino Linotype" w:eastAsia="Palatino Linotype" w:hAnsi="Palatino Linotype"/>
          <w:sz w:val="22"/>
          <w:szCs w:val="22"/>
        </w:rPr>
      </w:pPr>
      <w:r w:rsidDel="00000000" w:rsidR="00000000" w:rsidRPr="00000000">
        <w:rPr>
          <w:rFonts w:ascii="Palatino Linotype" w:cs="Palatino Linotype" w:eastAsia="Palatino Linotype" w:hAnsi="Palatino Linotype"/>
          <w:b w:val="1"/>
          <w:sz w:val="22"/>
          <w:szCs w:val="22"/>
          <w:rtl w:val="0"/>
        </w:rPr>
        <w:t xml:space="preserve">Segundo. Notifíquese, </w:t>
      </w:r>
      <w:r w:rsidDel="00000000" w:rsidR="00000000" w:rsidRPr="00000000">
        <w:rPr>
          <w:rFonts w:ascii="Palatino Linotype" w:cs="Palatino Linotype" w:eastAsia="Palatino Linotype" w:hAnsi="Palatino Linotype"/>
          <w:sz w:val="22"/>
          <w:szCs w:val="22"/>
          <w:rtl w:val="0"/>
        </w:rPr>
        <w:t xml:space="preserve">vía</w:t>
      </w:r>
      <w:r w:rsidDel="00000000" w:rsidR="00000000" w:rsidRPr="00000000">
        <w:rPr>
          <w:rFonts w:ascii="Palatino Linotype" w:cs="Palatino Linotype" w:eastAsia="Palatino Linotype" w:hAnsi="Palatino Linotype"/>
          <w:b w:val="1"/>
          <w:sz w:val="22"/>
          <w:szCs w:val="22"/>
          <w:rtl w:val="0"/>
        </w:rPr>
        <w:t xml:space="preserve"> SAIMEX</w:t>
      </w:r>
      <w:r w:rsidDel="00000000" w:rsidR="00000000" w:rsidRPr="00000000">
        <w:rPr>
          <w:rFonts w:ascii="Palatino Linotype" w:cs="Palatino Linotype" w:eastAsia="Palatino Linotype" w:hAnsi="Palatino Linotype"/>
          <w:b w:val="1"/>
          <w:i w:val="1"/>
          <w:sz w:val="22"/>
          <w:szCs w:val="22"/>
          <w:rtl w:val="0"/>
        </w:rPr>
        <w:t xml:space="preserve">, </w:t>
      </w:r>
      <w:r w:rsidDel="00000000" w:rsidR="00000000" w:rsidRPr="00000000">
        <w:rPr>
          <w:rFonts w:ascii="Palatino Linotype" w:cs="Palatino Linotype" w:eastAsia="Palatino Linotype" w:hAnsi="Palatino Linotype"/>
          <w:sz w:val="22"/>
          <w:szCs w:val="22"/>
          <w:rtl w:val="0"/>
        </w:rPr>
        <w:t xml:space="preserve">al Titular de la Unidad de Transparencia del </w:t>
      </w:r>
      <w:r w:rsidDel="00000000" w:rsidR="00000000" w:rsidRPr="00000000">
        <w:rPr>
          <w:rFonts w:ascii="Palatino Linotype" w:cs="Palatino Linotype" w:eastAsia="Palatino Linotype" w:hAnsi="Palatino Linotype"/>
          <w:b w:val="1"/>
          <w:sz w:val="22"/>
          <w:szCs w:val="22"/>
          <w:rtl w:val="0"/>
        </w:rPr>
        <w:t xml:space="preserve">Sujeto Obligado</w:t>
      </w:r>
      <w:r w:rsidDel="00000000" w:rsidR="00000000" w:rsidRPr="00000000">
        <w:rPr>
          <w:rFonts w:ascii="Palatino Linotype" w:cs="Palatino Linotype" w:eastAsia="Palatino Linotype" w:hAnsi="Palatino Linotype"/>
          <w:sz w:val="22"/>
          <w:szCs w:val="22"/>
          <w:rtl w:val="0"/>
        </w:rPr>
        <w:t xml:space="preserve"> la presente resolución, para su conocimiento. </w:t>
      </w:r>
    </w:p>
    <w:p w:rsidR="00000000" w:rsidDel="00000000" w:rsidP="00000000" w:rsidRDefault="00000000" w:rsidRPr="00000000" w14:paraId="00000095">
      <w:pPr>
        <w:spacing w:after="240" w:before="240" w:line="360" w:lineRule="auto"/>
        <w:jc w:val="both"/>
        <w:rPr>
          <w:rFonts w:ascii="Palatino Linotype" w:cs="Palatino Linotype" w:eastAsia="Palatino Linotype" w:hAnsi="Palatino Linotype"/>
          <w:sz w:val="22"/>
          <w:szCs w:val="22"/>
        </w:rPr>
      </w:pPr>
      <w:bookmarkStart w:colFirst="0" w:colLast="0" w:name="_heading=h.26in1rg" w:id="4"/>
      <w:bookmarkEnd w:id="4"/>
      <w:r w:rsidDel="00000000" w:rsidR="00000000" w:rsidRPr="00000000">
        <w:rPr>
          <w:rFonts w:ascii="Palatino Linotype" w:cs="Palatino Linotype" w:eastAsia="Palatino Linotype" w:hAnsi="Palatino Linotype"/>
          <w:b w:val="1"/>
          <w:sz w:val="22"/>
          <w:szCs w:val="22"/>
          <w:rtl w:val="0"/>
        </w:rPr>
        <w:t xml:space="preserve">Tercero. Notifíquese, </w:t>
      </w:r>
      <w:r w:rsidDel="00000000" w:rsidR="00000000" w:rsidRPr="00000000">
        <w:rPr>
          <w:rFonts w:ascii="Palatino Linotype" w:cs="Palatino Linotype" w:eastAsia="Palatino Linotype" w:hAnsi="Palatino Linotype"/>
          <w:sz w:val="22"/>
          <w:szCs w:val="22"/>
          <w:rtl w:val="0"/>
        </w:rPr>
        <w:t xml:space="preserve">vía</w:t>
      </w:r>
      <w:r w:rsidDel="00000000" w:rsidR="00000000" w:rsidRPr="00000000">
        <w:rPr>
          <w:rFonts w:ascii="Palatino Linotype" w:cs="Palatino Linotype" w:eastAsia="Palatino Linotype" w:hAnsi="Palatino Linotype"/>
          <w:b w:val="1"/>
          <w:sz w:val="22"/>
          <w:szCs w:val="22"/>
          <w:rtl w:val="0"/>
        </w:rPr>
        <w:t xml:space="preserve"> SAIMEX</w:t>
      </w:r>
      <w:r w:rsidDel="00000000" w:rsidR="00000000" w:rsidRPr="00000000">
        <w:rPr>
          <w:rFonts w:ascii="Palatino Linotype" w:cs="Palatino Linotype" w:eastAsia="Palatino Linotype" w:hAnsi="Palatino Linotype"/>
          <w:sz w:val="22"/>
          <w:szCs w:val="22"/>
          <w:rtl w:val="0"/>
        </w:rPr>
        <w:t xml:space="preserve">, a</w:t>
      </w:r>
      <w:r w:rsidDel="00000000" w:rsidR="00000000" w:rsidRPr="00000000">
        <w:rPr>
          <w:rFonts w:ascii="Palatino Linotype" w:cs="Palatino Linotype" w:eastAsia="Palatino Linotype" w:hAnsi="Palatino Linotype"/>
          <w:b w:val="1"/>
          <w:sz w:val="22"/>
          <w:szCs w:val="22"/>
          <w:rtl w:val="0"/>
        </w:rPr>
        <w:t xml:space="preserve"> </w:t>
      </w:r>
      <w:r w:rsidDel="00000000" w:rsidR="00000000" w:rsidRPr="00000000">
        <w:rPr>
          <w:rFonts w:ascii="Palatino Linotype" w:cs="Palatino Linotype" w:eastAsia="Palatino Linotype" w:hAnsi="Palatino Linotype"/>
          <w:sz w:val="22"/>
          <w:szCs w:val="22"/>
          <w:rtl w:val="0"/>
        </w:rPr>
        <w:t xml:space="preserve">la parte </w:t>
      </w:r>
      <w:r w:rsidDel="00000000" w:rsidR="00000000" w:rsidRPr="00000000">
        <w:rPr>
          <w:rFonts w:ascii="Palatino Linotype" w:cs="Palatino Linotype" w:eastAsia="Palatino Linotype" w:hAnsi="Palatino Linotype"/>
          <w:b w:val="1"/>
          <w:sz w:val="22"/>
          <w:szCs w:val="22"/>
          <w:rtl w:val="0"/>
        </w:rPr>
        <w:t xml:space="preserve">Recurrente</w:t>
      </w:r>
      <w:r w:rsidDel="00000000" w:rsidR="00000000" w:rsidRPr="00000000">
        <w:rPr>
          <w:rFonts w:ascii="Palatino Linotype" w:cs="Palatino Linotype" w:eastAsia="Palatino Linotype" w:hAnsi="Palatino Linotype"/>
          <w:sz w:val="22"/>
          <w:szCs w:val="22"/>
          <w:rtl w:val="0"/>
        </w:rPr>
        <w:t xml:space="preserve"> la presente resolución, así como, que de conformidad con lo establecido en el artículo 196 de la Ley de Transparencia y Acceso a la Información Pública del Estado de México y Municipios, podrá impugnarla vía el Juicio de Amparo en los términos de las leyes aplicables.</w:t>
      </w:r>
    </w:p>
    <w:p w:rsidR="00000000" w:rsidDel="00000000" w:rsidP="00000000" w:rsidRDefault="00000000" w:rsidRPr="00000000" w14:paraId="00000096">
      <w:pPr>
        <w:spacing w:line="360" w:lineRule="auto"/>
        <w:jc w:val="both"/>
        <w:rPr>
          <w:rFonts w:ascii="Palatino Linotype" w:cs="Palatino Linotype" w:eastAsia="Palatino Linotype" w:hAnsi="Palatino Linotype"/>
          <w:sz w:val="22"/>
          <w:szCs w:val="22"/>
        </w:rPr>
        <w:sectPr>
          <w:headerReference r:id="rId9" w:type="default"/>
          <w:headerReference r:id="rId10" w:type="first"/>
          <w:footerReference r:id="rId11" w:type="default"/>
          <w:footerReference r:id="rId12" w:type="first"/>
          <w:pgSz w:h="15840" w:w="12240" w:orient="portrait"/>
          <w:pgMar w:bottom="1701" w:top="2041" w:left="1701" w:right="1701" w:header="709" w:footer="709"/>
          <w:pgNumType w:start="1"/>
          <w:titlePg w:val="1"/>
        </w:sectPr>
      </w:pPr>
      <w:r w:rsidDel="00000000" w:rsidR="00000000" w:rsidRPr="00000000">
        <w:rPr>
          <w:rFonts w:ascii="Palatino Linotype" w:cs="Palatino Linotype" w:eastAsia="Palatino Linotype" w:hAnsi="Palatino Linotype"/>
          <w:sz w:val="22"/>
          <w:szCs w:val="22"/>
          <w:rtl w:val="0"/>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OCTAVA SESIÓN ORDINARIA CELEBRADA EL SEIS DE MARZO DE DOS MIL VEINTICINCO ANTE EL SECRETARIO TÉCNICO DEL PLENO ALEXIS TAPIA RAMÍREZ.                             </w:t>
      </w:r>
    </w:p>
    <w:p w:rsidR="00000000" w:rsidDel="00000000" w:rsidP="00000000" w:rsidRDefault="00000000" w:rsidRPr="00000000" w14:paraId="00000097">
      <w:pPr>
        <w:spacing w:line="360" w:lineRule="auto"/>
        <w:jc w:val="both"/>
        <w:rPr>
          <w:rFonts w:ascii="Palatino Linotype" w:cs="Palatino Linotype" w:eastAsia="Palatino Linotype" w:hAnsi="Palatino Linotype"/>
          <w:sz w:val="22"/>
          <w:szCs w:val="22"/>
        </w:rPr>
      </w:pPr>
      <w:r w:rsidDel="00000000" w:rsidR="00000000" w:rsidRPr="00000000">
        <w:rPr>
          <w:rtl w:val="0"/>
        </w:rPr>
      </w:r>
    </w:p>
    <w:p w:rsidR="00000000" w:rsidDel="00000000" w:rsidP="00000000" w:rsidRDefault="00000000" w:rsidRPr="00000000" w14:paraId="00000098">
      <w:pPr>
        <w:spacing w:line="360" w:lineRule="auto"/>
        <w:jc w:val="both"/>
        <w:rPr>
          <w:rFonts w:ascii="Palatino Linotype" w:cs="Palatino Linotype" w:eastAsia="Palatino Linotype" w:hAnsi="Palatino Linotype"/>
          <w:sz w:val="22"/>
          <w:szCs w:val="22"/>
        </w:rPr>
      </w:pPr>
      <w:r w:rsidDel="00000000" w:rsidR="00000000" w:rsidRPr="00000000">
        <w:rPr>
          <w:rtl w:val="0"/>
        </w:rPr>
      </w:r>
    </w:p>
    <w:sectPr>
      <w:headerReference r:id="rId13" w:type="first"/>
      <w:type w:val="nextPage"/>
      <w:pgSz w:h="15840" w:w="12240" w:orient="portrait"/>
      <w:pgMar w:bottom="1701" w:top="2041" w:left="1701" w:right="1701" w:header="709" w:footer="709"/>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Calibri"/>
  <w:font w:name="Arial"/>
  <w:font w:name="Courier New"/>
  <w:font w:name="Palatino Linotyp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F">
    <w:pPr>
      <w:pBdr>
        <w:top w:space="0" w:sz="0" w:val="nil"/>
        <w:left w:space="0" w:sz="0" w:val="nil"/>
        <w:bottom w:space="0" w:sz="0" w:val="nil"/>
        <w:right w:space="0" w:sz="0" w:val="nil"/>
        <w:between w:space="0" w:sz="0" w:val="nil"/>
      </w:pBdr>
      <w:tabs>
        <w:tab w:val="center" w:leader="none" w:pos="4252"/>
        <w:tab w:val="right" w:leader="none" w:pos="8504"/>
      </w:tabs>
      <w:jc w:val="right"/>
      <w:rPr>
        <w:rFonts w:ascii="Arial" w:cs="Arial" w:eastAsia="Arial" w:hAnsi="Arial"/>
        <w:color w:val="000000"/>
        <w:sz w:val="20"/>
        <w:szCs w:val="20"/>
      </w:rPr>
    </w:pPr>
    <w:r w:rsidDel="00000000" w:rsidR="00000000" w:rsidRPr="00000000">
      <w:rPr>
        <w:rFonts w:ascii="Arial" w:cs="Arial" w:eastAsia="Arial" w:hAnsi="Arial"/>
        <w:b w:val="1"/>
        <w:color w:val="000000"/>
        <w:sz w:val="20"/>
        <w:szCs w:val="20"/>
        <w:rtl w:val="0"/>
      </w:rPr>
      <w:t xml:space="preserve">Página </w:t>
    </w:r>
    <w:r w:rsidDel="00000000" w:rsidR="00000000" w:rsidRPr="00000000">
      <w:rPr>
        <w:rFonts w:ascii="Arial" w:cs="Arial" w:eastAsia="Arial" w:hAnsi="Arial"/>
        <w:b w:val="1"/>
        <w:color w:val="000000"/>
        <w:sz w:val="20"/>
        <w:szCs w:val="20"/>
      </w:rPr>
      <w:fldChar w:fldCharType="begin"/>
      <w:instrText xml:space="preserve">PAGE</w:instrText>
      <w:fldChar w:fldCharType="separate"/>
      <w:fldChar w:fldCharType="end"/>
    </w:r>
    <w:r w:rsidDel="00000000" w:rsidR="00000000" w:rsidRPr="00000000">
      <w:rPr>
        <w:rFonts w:ascii="Arial" w:cs="Arial" w:eastAsia="Arial" w:hAnsi="Arial"/>
        <w:color w:val="000000"/>
        <w:sz w:val="20"/>
        <w:szCs w:val="20"/>
        <w:rtl w:val="0"/>
      </w:rPr>
      <w:t xml:space="preserve"> de </w:t>
    </w:r>
    <w:r w:rsidDel="00000000" w:rsidR="00000000" w:rsidRPr="00000000">
      <w:rPr>
        <w:rFonts w:ascii="Arial" w:cs="Arial" w:eastAsia="Arial" w:hAnsi="Arial"/>
        <w:b w:val="1"/>
        <w:color w:val="000000"/>
        <w:sz w:val="20"/>
        <w:szCs w:val="20"/>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B0">
    <w:pPr>
      <w:pBdr>
        <w:top w:space="0" w:sz="0" w:val="nil"/>
        <w:left w:space="0" w:sz="0" w:val="nil"/>
        <w:bottom w:space="0" w:sz="0" w:val="nil"/>
        <w:right w:space="0" w:sz="0" w:val="nil"/>
        <w:between w:space="0" w:sz="0" w:val="nil"/>
      </w:pBdr>
      <w:tabs>
        <w:tab w:val="center" w:leader="none" w:pos="4252"/>
        <w:tab w:val="right" w:leader="none" w:pos="8504"/>
      </w:tabs>
      <w:rPr>
        <w:color w:val="000000"/>
      </w:rPr>
    </w:pPr>
    <w:r w:rsidDel="00000000" w:rsidR="00000000" w:rsidRPr="00000000">
      <w:rPr>
        <w:rtl w:val="0"/>
      </w:rPr>
    </w:r>
  </w:p>
  <w:p w:rsidR="00000000" w:rsidDel="00000000" w:rsidP="00000000" w:rsidRDefault="00000000" w:rsidRPr="00000000" w14:paraId="000000B1">
    <w:pPr>
      <w:pBdr>
        <w:top w:space="0" w:sz="0" w:val="nil"/>
        <w:left w:space="0" w:sz="0" w:val="nil"/>
        <w:bottom w:space="0" w:sz="0" w:val="nil"/>
        <w:right w:space="0" w:sz="0" w:val="nil"/>
        <w:between w:space="0" w:sz="0" w:val="nil"/>
      </w:pBdr>
      <w:tabs>
        <w:tab w:val="center" w:leader="none" w:pos="4252"/>
        <w:tab w:val="right" w:leader="none" w:pos="8504"/>
      </w:tabs>
      <w:ind w:firstLine="708"/>
      <w:rPr>
        <w:rFonts w:ascii="Calibri" w:cs="Calibri" w:eastAsia="Calibri" w:hAnsi="Calibri"/>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2">
    <w:pPr>
      <w:pBdr>
        <w:top w:space="0" w:sz="0" w:val="nil"/>
        <w:left w:space="0" w:sz="0" w:val="nil"/>
        <w:bottom w:space="0" w:sz="0" w:val="nil"/>
        <w:right w:space="0" w:sz="0" w:val="nil"/>
        <w:between w:space="0" w:sz="0" w:val="nil"/>
      </w:pBdr>
      <w:tabs>
        <w:tab w:val="center" w:leader="none" w:pos="4252"/>
        <w:tab w:val="right" w:leader="none" w:pos="8504"/>
      </w:tabs>
      <w:jc w:val="right"/>
      <w:rPr>
        <w:rFonts w:ascii="Arial" w:cs="Arial" w:eastAsia="Arial" w:hAnsi="Arial"/>
        <w:color w:val="000000"/>
        <w:sz w:val="20"/>
        <w:szCs w:val="20"/>
      </w:rPr>
    </w:pPr>
    <w:r w:rsidDel="00000000" w:rsidR="00000000" w:rsidRPr="00000000">
      <w:rPr>
        <w:rFonts w:ascii="Arial" w:cs="Arial" w:eastAsia="Arial" w:hAnsi="Arial"/>
        <w:b w:val="1"/>
        <w:color w:val="000000"/>
        <w:sz w:val="20"/>
        <w:szCs w:val="20"/>
        <w:rtl w:val="0"/>
      </w:rPr>
      <w:t xml:space="preserve">Página </w:t>
    </w:r>
    <w:r w:rsidDel="00000000" w:rsidR="00000000" w:rsidRPr="00000000">
      <w:rPr>
        <w:rFonts w:ascii="Arial" w:cs="Arial" w:eastAsia="Arial" w:hAnsi="Arial"/>
        <w:b w:val="1"/>
        <w:color w:val="000000"/>
        <w:sz w:val="20"/>
        <w:szCs w:val="20"/>
      </w:rPr>
      <w:fldChar w:fldCharType="begin"/>
      <w:instrText xml:space="preserve">PAGE</w:instrText>
      <w:fldChar w:fldCharType="separate"/>
      <w:fldChar w:fldCharType="end"/>
    </w:r>
    <w:r w:rsidDel="00000000" w:rsidR="00000000" w:rsidRPr="00000000">
      <w:rPr>
        <w:rFonts w:ascii="Arial" w:cs="Arial" w:eastAsia="Arial" w:hAnsi="Arial"/>
        <w:color w:val="000000"/>
        <w:sz w:val="20"/>
        <w:szCs w:val="20"/>
        <w:rtl w:val="0"/>
      </w:rPr>
      <w:t xml:space="preserve"> de </w:t>
    </w:r>
    <w:r w:rsidDel="00000000" w:rsidR="00000000" w:rsidRPr="00000000">
      <w:rPr>
        <w:rFonts w:ascii="Arial" w:cs="Arial" w:eastAsia="Arial" w:hAnsi="Arial"/>
        <w:b w:val="1"/>
        <w:color w:val="000000"/>
        <w:sz w:val="20"/>
        <w:szCs w:val="20"/>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B3">
    <w:pPr>
      <w:pBdr>
        <w:top w:space="0" w:sz="0" w:val="nil"/>
        <w:left w:space="0" w:sz="0" w:val="nil"/>
        <w:bottom w:space="0" w:sz="0" w:val="nil"/>
        <w:right w:space="0" w:sz="0" w:val="nil"/>
        <w:between w:space="0" w:sz="0" w:val="nil"/>
      </w:pBdr>
      <w:tabs>
        <w:tab w:val="center" w:leader="none" w:pos="4252"/>
        <w:tab w:val="right" w:leader="none" w:pos="8504"/>
      </w:tabs>
      <w:rPr>
        <w:rFonts w:ascii="Calibri" w:cs="Calibri" w:eastAsia="Calibri" w:hAnsi="Calibri"/>
        <w:color w:val="000000"/>
      </w:rPr>
    </w:pPr>
    <w:r w:rsidDel="00000000" w:rsidR="00000000" w:rsidRPr="00000000">
      <w:rPr>
        <w:rtl w:val="0"/>
      </w:rPr>
    </w:r>
  </w:p>
</w:ftr>
</file>

<file path=word/footnotes.xml><?xml version="1.0" encoding="utf-8"?>
<w:footnot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otnote w:id="0">
    <w:p w:rsidR="00000000" w:rsidDel="00000000" w:rsidP="00000000" w:rsidRDefault="00000000" w:rsidRPr="00000000" w14:paraId="00000099">
      <w:pPr>
        <w:jc w:val="both"/>
        <w:rPr>
          <w:rFonts w:ascii="Palatino Linotype" w:cs="Palatino Linotype" w:eastAsia="Palatino Linotype" w:hAnsi="Palatino Linotype"/>
          <w:color w:val="000000"/>
          <w:sz w:val="16"/>
          <w:szCs w:val="16"/>
        </w:rPr>
      </w:pPr>
      <w:r w:rsidDel="00000000" w:rsidR="00000000" w:rsidRPr="00000000">
        <w:rPr>
          <w:rStyle w:val="FootnoteReference"/>
          <w:vertAlign w:val="superscript"/>
        </w:rPr>
        <w:footnoteRef/>
      </w:r>
      <w:r w:rsidDel="00000000" w:rsidR="00000000" w:rsidRPr="00000000">
        <w:rPr>
          <w:rFonts w:ascii="Palatino Linotype" w:cs="Palatino Linotype" w:eastAsia="Palatino Linotype" w:hAnsi="Palatino Linotype"/>
          <w:color w:val="000000"/>
          <w:sz w:val="16"/>
          <w:szCs w:val="16"/>
          <w:rtl w:val="0"/>
        </w:rPr>
        <w:t xml:space="preserve"> </w:t>
      </w:r>
      <w:r w:rsidDel="00000000" w:rsidR="00000000" w:rsidRPr="00000000">
        <w:rPr>
          <w:rFonts w:ascii="Palatino Linotype" w:cs="Palatino Linotype" w:eastAsia="Palatino Linotype" w:hAnsi="Palatino Linotype"/>
          <w:b w:val="1"/>
          <w:color w:val="000000"/>
          <w:sz w:val="16"/>
          <w:szCs w:val="16"/>
          <w:rtl w:val="0"/>
        </w:rPr>
        <w:t xml:space="preserve">Cuerpo de tesis:</w:t>
      </w:r>
      <w:r w:rsidDel="00000000" w:rsidR="00000000" w:rsidRPr="00000000">
        <w:rPr>
          <w:rFonts w:ascii="Palatino Linotype" w:cs="Palatino Linotype" w:eastAsia="Palatino Linotype" w:hAnsi="Palatino Linotype"/>
          <w:color w:val="000000"/>
          <w:sz w:val="16"/>
          <w:szCs w:val="16"/>
          <w:rtl w:val="0"/>
        </w:rPr>
        <w:t xml:space="preserve"> No causa agravio la sentencia que no se ocupa de los razonamientos tendientes a demostrar la inconstitucionalidad de los actos reclamados de las autoridades responsables, que constituyen el problema de fondo, si se decreta el sobreseimiento del juicio.</w:t>
      </w:r>
    </w:p>
    <w:p w:rsidR="00000000" w:rsidDel="00000000" w:rsidP="00000000" w:rsidRDefault="00000000" w:rsidRPr="00000000" w14:paraId="0000009A">
      <w:pPr>
        <w:jc w:val="both"/>
        <w:rPr>
          <w:rFonts w:ascii="Palatino Linotype" w:cs="Palatino Linotype" w:eastAsia="Palatino Linotype" w:hAnsi="Palatino Linotype"/>
          <w:color w:val="000000"/>
          <w:sz w:val="16"/>
          <w:szCs w:val="16"/>
        </w:rPr>
      </w:pPr>
      <w:r w:rsidDel="00000000" w:rsidR="00000000" w:rsidRPr="00000000">
        <w:rPr>
          <w:rFonts w:ascii="Palatino Linotype" w:cs="Palatino Linotype" w:eastAsia="Palatino Linotype" w:hAnsi="Palatino Linotype"/>
          <w:b w:val="1"/>
          <w:color w:val="000000"/>
          <w:sz w:val="16"/>
          <w:szCs w:val="16"/>
          <w:rtl w:val="0"/>
        </w:rPr>
        <w:t xml:space="preserve">Localización</w:t>
      </w:r>
      <w:r w:rsidDel="00000000" w:rsidR="00000000" w:rsidRPr="00000000">
        <w:rPr>
          <w:rFonts w:ascii="Palatino Linotype" w:cs="Palatino Linotype" w:eastAsia="Palatino Linotype" w:hAnsi="Palatino Linotype"/>
          <w:color w:val="000000"/>
          <w:sz w:val="16"/>
          <w:szCs w:val="16"/>
          <w:rtl w:val="0"/>
        </w:rPr>
        <w:t xml:space="preserve">: 2</w:t>
      </w:r>
      <w:r w:rsidDel="00000000" w:rsidR="00000000" w:rsidRPr="00000000">
        <w:rPr>
          <w:rFonts w:ascii="Palatino Linotype" w:cs="Palatino Linotype" w:eastAsia="Palatino Linotype" w:hAnsi="Palatino Linotype"/>
          <w:color w:val="000000"/>
          <w:sz w:val="16"/>
          <w:szCs w:val="16"/>
          <w:highlight w:val="white"/>
          <w:rtl w:val="0"/>
        </w:rPr>
        <w:t xml:space="preserve">13609. II.2o.183 K. Tribunales Colegiados de Circuito. Octava Época. Semanario Judicial de la Federación. Tomo XIII, Febrero de 1994, Pág. 420</w:t>
      </w:r>
      <w:r w:rsidDel="00000000" w:rsidR="00000000" w:rsidRPr="00000000">
        <w:rPr>
          <w:rtl w:val="0"/>
        </w:rPr>
      </w:r>
    </w:p>
  </w:footnote>
</w:footnote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B">
    <w:pPr>
      <w:widowControl w:val="0"/>
      <w:pBdr>
        <w:top w:space="0" w:sz="0" w:val="nil"/>
        <w:left w:space="0" w:sz="0" w:val="nil"/>
        <w:bottom w:space="0" w:sz="0" w:val="nil"/>
        <w:right w:space="0" w:sz="0" w:val="nil"/>
        <w:between w:space="0" w:sz="0" w:val="nil"/>
      </w:pBdr>
      <w:spacing w:line="276" w:lineRule="auto"/>
      <w:rPr>
        <w:rFonts w:ascii="Calibri" w:cs="Calibri" w:eastAsia="Calibri" w:hAnsi="Calibri"/>
        <w:color w:val="000000"/>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-781049</wp:posOffset>
          </wp:positionH>
          <wp:positionV relativeFrom="paragraph">
            <wp:posOffset>-316864</wp:posOffset>
          </wp:positionV>
          <wp:extent cx="7809876" cy="10165823"/>
          <wp:effectExtent b="0" l="0" r="0" t="0"/>
          <wp:wrapNone/>
          <wp:docPr id="3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809876" cy="10165823"/>
                  </a:xfrm>
                  <a:prstGeom prst="rect"/>
                  <a:ln/>
                </pic:spPr>
              </pic:pic>
            </a:graphicData>
          </a:graphic>
        </wp:anchor>
      </w:drawing>
    </w:r>
  </w:p>
  <w:tbl>
    <w:tblPr>
      <w:tblStyle w:val="Table1"/>
      <w:tblW w:w="5528.0" w:type="dxa"/>
      <w:jc w:val="left"/>
      <w:tblInd w:w="3261.0" w:type="dxa"/>
      <w:tblLayout w:type="fixed"/>
      <w:tblLook w:val="0400"/>
    </w:tblPr>
    <w:tblGrid>
      <w:gridCol w:w="2551"/>
      <w:gridCol w:w="2977"/>
      <w:tblGridChange w:id="0">
        <w:tblGrid>
          <w:gridCol w:w="2551"/>
          <w:gridCol w:w="2977"/>
        </w:tblGrid>
      </w:tblGridChange>
    </w:tblGrid>
    <w:tr>
      <w:trPr>
        <w:cantSplit w:val="0"/>
        <w:tblHeader w:val="0"/>
      </w:trPr>
      <w:tc>
        <w:tcPr>
          <w:vAlign w:val="center"/>
        </w:tcPr>
        <w:p w:rsidR="00000000" w:rsidDel="00000000" w:rsidP="00000000" w:rsidRDefault="00000000" w:rsidRPr="00000000" w14:paraId="0000009C">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Recurso de Revisión:</w:t>
          </w:r>
        </w:p>
      </w:tc>
      <w:tc>
        <w:tcPr>
          <w:vAlign w:val="center"/>
        </w:tcPr>
        <w:p w:rsidR="00000000" w:rsidDel="00000000" w:rsidP="00000000" w:rsidRDefault="00000000" w:rsidRPr="00000000" w14:paraId="0000009D">
          <w:pPr>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00794/INFOEM/IP/RR/2025</w:t>
          </w:r>
        </w:p>
      </w:tc>
    </w:tr>
    <w:tr>
      <w:trPr>
        <w:cantSplit w:val="0"/>
        <w:trHeight w:val="228" w:hRule="atLeast"/>
        <w:tblHeader w:val="0"/>
      </w:trPr>
      <w:tc>
        <w:tcPr>
          <w:vAlign w:val="center"/>
        </w:tcPr>
        <w:p w:rsidR="00000000" w:rsidDel="00000000" w:rsidP="00000000" w:rsidRDefault="00000000" w:rsidRPr="00000000" w14:paraId="0000009E">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Sujeto obligado:</w:t>
          </w:r>
        </w:p>
      </w:tc>
      <w:tc>
        <w:tcPr>
          <w:vAlign w:val="center"/>
        </w:tcPr>
        <w:p w:rsidR="00000000" w:rsidDel="00000000" w:rsidP="00000000" w:rsidRDefault="00000000" w:rsidRPr="00000000" w14:paraId="0000009F">
          <w:pPr>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Ayuntamiento de Toluca</w:t>
          </w:r>
        </w:p>
      </w:tc>
    </w:tr>
    <w:tr>
      <w:trPr>
        <w:cantSplit w:val="0"/>
        <w:tblHeader w:val="0"/>
      </w:trPr>
      <w:tc>
        <w:tcPr>
          <w:vAlign w:val="center"/>
        </w:tcPr>
        <w:p w:rsidR="00000000" w:rsidDel="00000000" w:rsidP="00000000" w:rsidRDefault="00000000" w:rsidRPr="00000000" w14:paraId="000000A0">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Comisionada ponente:</w:t>
          </w:r>
        </w:p>
      </w:tc>
      <w:tc>
        <w:tcPr>
          <w:vAlign w:val="center"/>
        </w:tcPr>
        <w:p w:rsidR="00000000" w:rsidDel="00000000" w:rsidP="00000000" w:rsidRDefault="00000000" w:rsidRPr="00000000" w14:paraId="000000A1">
          <w:pPr>
            <w:ind w:right="-533"/>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Guadalupe Ramírez Peña</w:t>
          </w:r>
        </w:p>
      </w:tc>
    </w:tr>
  </w:tbl>
  <w:p w:rsidR="00000000" w:rsidDel="00000000" w:rsidP="00000000" w:rsidRDefault="00000000" w:rsidRPr="00000000" w14:paraId="000000A2">
    <w:pPr>
      <w:pBdr>
        <w:top w:space="0" w:sz="0" w:val="nil"/>
        <w:left w:space="0" w:sz="0" w:val="nil"/>
        <w:bottom w:space="0" w:sz="0" w:val="nil"/>
        <w:right w:space="0" w:sz="0" w:val="nil"/>
        <w:between w:space="0" w:sz="0" w:val="nil"/>
      </w:pBdr>
      <w:tabs>
        <w:tab w:val="center" w:leader="none" w:pos="4252"/>
        <w:tab w:val="right" w:leader="none" w:pos="8504"/>
        <w:tab w:val="left" w:leader="none" w:pos="2326"/>
      </w:tabs>
      <w:rPr>
        <w:rFonts w:ascii="Calibri" w:cs="Calibri" w:eastAsia="Calibri" w:hAnsi="Calibri"/>
        <w:color w:val="000000"/>
      </w:rPr>
    </w:pPr>
    <w:r w:rsidDel="00000000" w:rsidR="00000000" w:rsidRPr="00000000">
      <w:rPr>
        <w:rFonts w:ascii="Calibri" w:cs="Calibri" w:eastAsia="Calibri" w:hAnsi="Calibri"/>
        <w:color w:val="000000"/>
        <w:rtl w:val="0"/>
      </w:rPr>
      <w:tab/>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3">
    <w:pPr>
      <w:pBdr>
        <w:top w:space="0" w:sz="0" w:val="nil"/>
        <w:left w:space="0" w:sz="0" w:val="nil"/>
        <w:bottom w:space="0" w:sz="0" w:val="nil"/>
        <w:right w:space="0" w:sz="0" w:val="nil"/>
        <w:between w:space="0" w:sz="0" w:val="nil"/>
      </w:pBdr>
      <w:tabs>
        <w:tab w:val="center" w:leader="none" w:pos="4252"/>
        <w:tab w:val="right" w:leader="none" w:pos="8504"/>
      </w:tabs>
      <w:jc w:val="both"/>
      <w:rPr>
        <w:rFonts w:ascii="Calibri" w:cs="Calibri" w:eastAsia="Calibri" w:hAnsi="Calibri"/>
        <w:color w:val="000000"/>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-798193</wp:posOffset>
          </wp:positionH>
          <wp:positionV relativeFrom="paragraph">
            <wp:posOffset>-399413</wp:posOffset>
          </wp:positionV>
          <wp:extent cx="7809876" cy="10165823"/>
          <wp:effectExtent b="0" l="0" r="0" t="0"/>
          <wp:wrapNone/>
          <wp:docPr id="34"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809876" cy="10165823"/>
                  </a:xfrm>
                  <a:prstGeom prst="rect"/>
                  <a:ln/>
                </pic:spPr>
              </pic:pic>
            </a:graphicData>
          </a:graphic>
        </wp:anchor>
      </w:drawing>
    </w:r>
  </w:p>
  <w:tbl>
    <w:tblPr>
      <w:tblStyle w:val="Table2"/>
      <w:tblW w:w="5670.0" w:type="dxa"/>
      <w:jc w:val="left"/>
      <w:tblInd w:w="3119.0" w:type="dxa"/>
      <w:tblLayout w:type="fixed"/>
      <w:tblLook w:val="0400"/>
    </w:tblPr>
    <w:tblGrid>
      <w:gridCol w:w="2551"/>
      <w:gridCol w:w="3119"/>
      <w:tblGridChange w:id="0">
        <w:tblGrid>
          <w:gridCol w:w="2551"/>
          <w:gridCol w:w="3119"/>
        </w:tblGrid>
      </w:tblGridChange>
    </w:tblGrid>
    <w:tr>
      <w:trPr>
        <w:cantSplit w:val="0"/>
        <w:tblHeader w:val="0"/>
      </w:trPr>
      <w:tc>
        <w:tcPr>
          <w:vAlign w:val="center"/>
        </w:tcPr>
        <w:p w:rsidR="00000000" w:rsidDel="00000000" w:rsidP="00000000" w:rsidRDefault="00000000" w:rsidRPr="00000000" w14:paraId="000000A4">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Recurso de Revisión:</w:t>
          </w:r>
        </w:p>
      </w:tc>
      <w:tc>
        <w:tcPr>
          <w:vAlign w:val="center"/>
        </w:tcPr>
        <w:p w:rsidR="00000000" w:rsidDel="00000000" w:rsidP="00000000" w:rsidRDefault="00000000" w:rsidRPr="00000000" w14:paraId="000000A5">
          <w:pPr>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00794/INFOEM/IP/RR/2025 </w:t>
          </w:r>
        </w:p>
      </w:tc>
    </w:tr>
    <w:tr>
      <w:trPr>
        <w:cantSplit w:val="0"/>
        <w:tblHeader w:val="0"/>
      </w:trPr>
      <w:tc>
        <w:tcPr>
          <w:vAlign w:val="center"/>
        </w:tcPr>
        <w:p w:rsidR="00000000" w:rsidDel="00000000" w:rsidP="00000000" w:rsidRDefault="00000000" w:rsidRPr="00000000" w14:paraId="000000A6">
          <w:pPr>
            <w:ind w:left="35" w:hanging="35"/>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Recurrente:</w:t>
          </w:r>
        </w:p>
      </w:tc>
      <w:tc>
        <w:tcPr>
          <w:vAlign w:val="center"/>
        </w:tcPr>
        <w:p w:rsidR="00000000" w:rsidDel="00000000" w:rsidP="00000000" w:rsidRDefault="00000000" w:rsidRPr="00000000" w14:paraId="000000A7">
          <w:pPr>
            <w:ind w:right="27"/>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XXXXXX XXXXXXXXXX </w:t>
          </w:r>
        </w:p>
      </w:tc>
    </w:tr>
    <w:tr>
      <w:trPr>
        <w:cantSplit w:val="0"/>
        <w:trHeight w:val="228" w:hRule="atLeast"/>
        <w:tblHeader w:val="0"/>
      </w:trPr>
      <w:tc>
        <w:tcPr>
          <w:vAlign w:val="center"/>
        </w:tcPr>
        <w:p w:rsidR="00000000" w:rsidDel="00000000" w:rsidP="00000000" w:rsidRDefault="00000000" w:rsidRPr="00000000" w14:paraId="000000A8">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Sujeto obligado:</w:t>
          </w:r>
        </w:p>
      </w:tc>
      <w:tc>
        <w:tcPr>
          <w:vAlign w:val="center"/>
        </w:tcPr>
        <w:p w:rsidR="00000000" w:rsidDel="00000000" w:rsidP="00000000" w:rsidRDefault="00000000" w:rsidRPr="00000000" w14:paraId="000000A9">
          <w:pPr>
            <w:ind w:right="27"/>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Ayuntamiento de Toluca</w:t>
          </w:r>
        </w:p>
      </w:tc>
    </w:tr>
    <w:tr>
      <w:trPr>
        <w:cantSplit w:val="0"/>
        <w:tblHeader w:val="0"/>
      </w:trPr>
      <w:tc>
        <w:tcPr>
          <w:vAlign w:val="center"/>
        </w:tcPr>
        <w:p w:rsidR="00000000" w:rsidDel="00000000" w:rsidP="00000000" w:rsidRDefault="00000000" w:rsidRPr="00000000" w14:paraId="000000AA">
          <w:pPr>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Comisionada ponente:</w:t>
          </w:r>
        </w:p>
      </w:tc>
      <w:tc>
        <w:tcPr>
          <w:vAlign w:val="center"/>
        </w:tcPr>
        <w:p w:rsidR="00000000" w:rsidDel="00000000" w:rsidP="00000000" w:rsidRDefault="00000000" w:rsidRPr="00000000" w14:paraId="000000AB">
          <w:pPr>
            <w:ind w:right="-533"/>
            <w:jc w:val="both"/>
            <w:rPr>
              <w:rFonts w:ascii="Palatino Linotype" w:cs="Palatino Linotype" w:eastAsia="Palatino Linotype" w:hAnsi="Palatino Linotype"/>
              <w:b w:val="1"/>
              <w:sz w:val="22"/>
              <w:szCs w:val="22"/>
            </w:rPr>
          </w:pPr>
          <w:r w:rsidDel="00000000" w:rsidR="00000000" w:rsidRPr="00000000">
            <w:rPr>
              <w:rFonts w:ascii="Palatino Linotype" w:cs="Palatino Linotype" w:eastAsia="Palatino Linotype" w:hAnsi="Palatino Linotype"/>
              <w:b w:val="1"/>
              <w:sz w:val="22"/>
              <w:szCs w:val="22"/>
              <w:rtl w:val="0"/>
            </w:rPr>
            <w:t xml:space="preserve">Guadalupe Ramírez Peña</w:t>
          </w:r>
        </w:p>
      </w:tc>
    </w:tr>
  </w:tbl>
  <w:p w:rsidR="00000000" w:rsidDel="00000000" w:rsidP="00000000" w:rsidRDefault="00000000" w:rsidRPr="00000000" w14:paraId="000000AC">
    <w:pPr>
      <w:pBdr>
        <w:top w:space="0" w:sz="0" w:val="nil"/>
        <w:left w:space="0" w:sz="0" w:val="nil"/>
        <w:bottom w:space="0" w:sz="0" w:val="nil"/>
        <w:right w:space="0" w:sz="0" w:val="nil"/>
        <w:between w:space="0" w:sz="0" w:val="nil"/>
      </w:pBdr>
      <w:tabs>
        <w:tab w:val="center" w:leader="none" w:pos="4252"/>
        <w:tab w:val="right" w:leader="none" w:pos="8504"/>
      </w:tabs>
      <w:rPr>
        <w:rFonts w:ascii="Calibri" w:cs="Calibri" w:eastAsia="Calibri" w:hAnsi="Calibri"/>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D">
    <w:pPr>
      <w:pBdr>
        <w:top w:space="0" w:sz="0" w:val="nil"/>
        <w:left w:space="0" w:sz="0" w:val="nil"/>
        <w:bottom w:space="0" w:sz="0" w:val="nil"/>
        <w:right w:space="0" w:sz="0" w:val="nil"/>
        <w:between w:space="0" w:sz="0" w:val="nil"/>
      </w:pBdr>
      <w:tabs>
        <w:tab w:val="center" w:leader="none" w:pos="4252"/>
        <w:tab w:val="right" w:leader="none" w:pos="8504"/>
      </w:tabs>
      <w:jc w:val="both"/>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AE">
    <w:pPr>
      <w:pBdr>
        <w:top w:space="0" w:sz="0" w:val="nil"/>
        <w:left w:space="0" w:sz="0" w:val="nil"/>
        <w:bottom w:space="0" w:sz="0" w:val="nil"/>
        <w:right w:space="0" w:sz="0" w:val="nil"/>
        <w:between w:space="0" w:sz="0" w:val="nil"/>
      </w:pBdr>
      <w:tabs>
        <w:tab w:val="center" w:leader="none" w:pos="4252"/>
        <w:tab w:val="right" w:leader="none" w:pos="8504"/>
      </w:tabs>
      <w:rPr>
        <w:rFonts w:ascii="Calibri" w:cs="Calibri" w:eastAsia="Calibri" w:hAnsi="Calibri"/>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b w:val="1"/>
      </w:rPr>
    </w:lvl>
    <w:lvl w:ilvl="1">
      <w:start w:val="1"/>
      <w:numFmt w:val="decimal"/>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upperRoman"/>
      <w:lvlText w:val="%1."/>
      <w:lvlJc w:val="right"/>
      <w:pPr>
        <w:ind w:left="1077" w:hanging="360"/>
      </w:pPr>
      <w:rPr/>
    </w:lvl>
    <w:lvl w:ilvl="1">
      <w:start w:val="1"/>
      <w:numFmt w:val="decimal"/>
      <w:lvlText w:val="%2."/>
      <w:lvlJc w:val="left"/>
      <w:pPr>
        <w:ind w:left="1797" w:hanging="360"/>
      </w:pPr>
      <w:rPr/>
    </w:lvl>
    <w:lvl w:ilvl="2">
      <w:start w:val="1"/>
      <w:numFmt w:val="lowerRoman"/>
      <w:lvlText w:val="%3."/>
      <w:lvlJc w:val="right"/>
      <w:pPr>
        <w:ind w:left="2517" w:hanging="180"/>
      </w:pPr>
      <w:rPr/>
    </w:lvl>
    <w:lvl w:ilvl="3">
      <w:start w:val="1"/>
      <w:numFmt w:val="decimal"/>
      <w:lvlText w:val="%4."/>
      <w:lvlJc w:val="left"/>
      <w:pPr>
        <w:ind w:left="3237" w:hanging="360"/>
      </w:pPr>
      <w:rPr/>
    </w:lvl>
    <w:lvl w:ilvl="4">
      <w:start w:val="1"/>
      <w:numFmt w:val="lowerLetter"/>
      <w:lvlText w:val="%5."/>
      <w:lvlJc w:val="left"/>
      <w:pPr>
        <w:ind w:left="3957" w:hanging="360"/>
      </w:pPr>
      <w:rPr/>
    </w:lvl>
    <w:lvl w:ilvl="5">
      <w:start w:val="1"/>
      <w:numFmt w:val="lowerRoman"/>
      <w:lvlText w:val="%6."/>
      <w:lvlJc w:val="right"/>
      <w:pPr>
        <w:ind w:left="4677" w:hanging="180"/>
      </w:pPr>
      <w:rPr/>
    </w:lvl>
    <w:lvl w:ilvl="6">
      <w:start w:val="1"/>
      <w:numFmt w:val="decimal"/>
      <w:lvlText w:val="%7."/>
      <w:lvlJc w:val="left"/>
      <w:pPr>
        <w:ind w:left="5397" w:hanging="360"/>
      </w:pPr>
      <w:rPr/>
    </w:lvl>
    <w:lvl w:ilvl="7">
      <w:start w:val="1"/>
      <w:numFmt w:val="lowerLetter"/>
      <w:lvlText w:val="%8."/>
      <w:lvlJc w:val="left"/>
      <w:pPr>
        <w:ind w:left="6117" w:hanging="360"/>
      </w:pPr>
      <w:rPr/>
    </w:lvl>
    <w:lvl w:ilvl="8">
      <w:start w:val="1"/>
      <w:numFmt w:val="lowerRoman"/>
      <w:lvlText w:val="%9."/>
      <w:lvlJc w:val="right"/>
      <w:pPr>
        <w:ind w:left="6837" w:hanging="180"/>
      </w:pPr>
      <w:rPr/>
    </w:lvl>
  </w:abstractNum>
  <w:abstractNum w:abstractNumId="4">
    <w:lvl w:ilvl="0">
      <w:start w:val="3"/>
      <w:numFmt w:val="bullet"/>
      <w:lvlText w:val="-"/>
      <w:lvlJc w:val="left"/>
      <w:pPr>
        <w:ind w:left="720" w:hanging="360"/>
      </w:pPr>
      <w:rPr>
        <w:rFonts w:ascii="Palatino Linotype" w:cs="Palatino Linotype" w:eastAsia="Palatino Linotype" w:hAnsi="Palatino Linotype"/>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s-E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rPr>
      <w:b w:val="1"/>
      <w:sz w:val="27"/>
      <w:szCs w:val="27"/>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AC3C64"/>
    <w:rPr>
      <w:lang w:eastAsia="es-ES"/>
    </w:rPr>
  </w:style>
  <w:style w:type="paragraph" w:styleId="Ttulo1">
    <w:name w:val="heading 1"/>
    <w:basedOn w:val="Normal"/>
    <w:next w:val="Normal"/>
    <w:pPr>
      <w:keepNext w:val="1"/>
      <w:keepLines w:val="1"/>
      <w:spacing w:after="120" w:before="480"/>
      <w:outlineLvl w:val="0"/>
    </w:pPr>
    <w:rPr>
      <w:b w:val="1"/>
      <w:sz w:val="48"/>
      <w:szCs w:val="48"/>
    </w:rPr>
  </w:style>
  <w:style w:type="paragraph" w:styleId="Ttulo2">
    <w:name w:val="heading 2"/>
    <w:basedOn w:val="Normal"/>
    <w:next w:val="Normal"/>
    <w:pPr>
      <w:keepNext w:val="1"/>
      <w:keepLines w:val="1"/>
      <w:spacing w:after="80" w:before="360"/>
      <w:outlineLvl w:val="1"/>
    </w:pPr>
    <w:rPr>
      <w:b w:val="1"/>
      <w:sz w:val="36"/>
      <w:szCs w:val="36"/>
    </w:rPr>
  </w:style>
  <w:style w:type="paragraph" w:styleId="Ttulo3">
    <w:name w:val="heading 3"/>
    <w:basedOn w:val="Normal"/>
    <w:link w:val="Ttulo3Car"/>
    <w:uiPriority w:val="9"/>
    <w:qFormat w:val="1"/>
    <w:rsid w:val="002D2EAC"/>
    <w:pPr>
      <w:spacing w:after="100" w:afterAutospacing="1" w:before="100" w:beforeAutospacing="1"/>
      <w:outlineLvl w:val="2"/>
    </w:pPr>
    <w:rPr>
      <w:b w:val="1"/>
      <w:bCs w:val="1"/>
      <w:sz w:val="27"/>
      <w:szCs w:val="27"/>
      <w:lang w:eastAsia="es-MX" w:val="es-MX"/>
    </w:rPr>
  </w:style>
  <w:style w:type="paragraph" w:styleId="Ttulo4">
    <w:name w:val="heading 4"/>
    <w:basedOn w:val="Normal"/>
    <w:next w:val="Normal"/>
    <w:pPr>
      <w:keepNext w:val="1"/>
      <w:keepLines w:val="1"/>
      <w:spacing w:after="40" w:before="240"/>
      <w:outlineLvl w:val="3"/>
    </w:pPr>
    <w:rPr>
      <w:b w:val="1"/>
    </w:rPr>
  </w:style>
  <w:style w:type="paragraph" w:styleId="Ttulo5">
    <w:name w:val="heading 5"/>
    <w:basedOn w:val="Normal"/>
    <w:next w:val="Normal"/>
    <w:pPr>
      <w:keepNext w:val="1"/>
      <w:keepLines w:val="1"/>
      <w:spacing w:after="40" w:before="220"/>
      <w:outlineLvl w:val="4"/>
    </w:pPr>
    <w:rPr>
      <w:b w:val="1"/>
      <w:sz w:val="22"/>
      <w:szCs w:val="22"/>
    </w:rPr>
  </w:style>
  <w:style w:type="paragraph" w:styleId="Ttulo6">
    <w:name w:val="heading 6"/>
    <w:basedOn w:val="Normal"/>
    <w:next w:val="Normal"/>
    <w:pPr>
      <w:keepNext w:val="1"/>
      <w:keepLines w:val="1"/>
      <w:spacing w:after="40" w:before="200"/>
      <w:outlineLvl w:val="5"/>
    </w:pPr>
    <w:rPr>
      <w:b w:val="1"/>
      <w:sz w:val="20"/>
      <w:szCs w:val="20"/>
    </w:rPr>
  </w:style>
  <w:style w:type="character" w:styleId="Fuentedeprrafopredeter" w:default="1">
    <w:name w:val="Default Paragraph Font"/>
    <w:uiPriority w:val="1"/>
    <w:semiHidden w:val="1"/>
    <w:unhideWhenUsed w:val="1"/>
  </w:style>
  <w:style w:type="table" w:styleId="Tab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in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
    <w:next w:val="Normal"/>
    <w:pPr>
      <w:keepNext w:val="1"/>
      <w:keepLines w:val="1"/>
      <w:spacing w:after="120" w:before="480"/>
    </w:pPr>
    <w:rPr>
      <w:b w:val="1"/>
      <w:sz w:val="72"/>
      <w:szCs w:val="7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tblPr>
      <w:tblCellMar>
        <w:top w:w="0.0" w:type="dxa"/>
        <w:left w:w="0.0" w:type="dxa"/>
        <w:bottom w:w="0.0" w:type="dxa"/>
        <w:right w:w="0.0" w:type="dxa"/>
      </w:tblCellMar>
    </w:tblPr>
  </w:style>
  <w:style w:type="table" w:styleId="TableNormal2" w:customStyle="1">
    <w:name w:val="Table Normal"/>
    <w:tblPr>
      <w:tblCellMar>
        <w:top w:w="0.0" w:type="dxa"/>
        <w:left w:w="0.0" w:type="dxa"/>
        <w:bottom w:w="0.0" w:type="dxa"/>
        <w:right w:w="0.0" w:type="dxa"/>
      </w:tblCellMar>
    </w:tblPr>
  </w:style>
  <w:style w:type="paragraph" w:styleId="Encabezado">
    <w:name w:val="header"/>
    <w:basedOn w:val="Normal"/>
    <w:link w:val="EncabezadoCar"/>
    <w:uiPriority w:val="99"/>
    <w:unhideWhenUsed w:val="1"/>
    <w:rsid w:val="00AC3C64"/>
    <w:pPr>
      <w:tabs>
        <w:tab w:val="center" w:pos="4252"/>
        <w:tab w:val="right" w:pos="8504"/>
      </w:tabs>
    </w:pPr>
    <w:rPr>
      <w:rFonts w:asciiTheme="minorHAnsi" w:cstheme="minorBidi" w:eastAsiaTheme="minorEastAsia" w:hAnsiTheme="minorHAnsi"/>
      <w:lang w:val="es-ES_tradnl"/>
    </w:rPr>
  </w:style>
  <w:style w:type="character" w:styleId="EncabezadoCar" w:customStyle="1">
    <w:name w:val="Encabezado Car"/>
    <w:basedOn w:val="Fuentedeprrafopredeter"/>
    <w:link w:val="Encabezado"/>
    <w:uiPriority w:val="99"/>
    <w:rsid w:val="00AC3C64"/>
    <w:rPr>
      <w:rFonts w:eastAsiaTheme="minorEastAsia"/>
      <w:sz w:val="24"/>
      <w:szCs w:val="24"/>
      <w:lang w:eastAsia="es-ES" w:val="es-ES_tradnl"/>
    </w:rPr>
  </w:style>
  <w:style w:type="paragraph" w:styleId="Piedepgina">
    <w:name w:val="footer"/>
    <w:basedOn w:val="Normal"/>
    <w:link w:val="PiedepginaCar"/>
    <w:uiPriority w:val="99"/>
    <w:unhideWhenUsed w:val="1"/>
    <w:rsid w:val="00AC3C64"/>
    <w:pPr>
      <w:tabs>
        <w:tab w:val="center" w:pos="4252"/>
        <w:tab w:val="right" w:pos="8504"/>
      </w:tabs>
    </w:pPr>
    <w:rPr>
      <w:rFonts w:asciiTheme="minorHAnsi" w:cstheme="minorBidi" w:eastAsiaTheme="minorEastAsia" w:hAnsiTheme="minorHAnsi"/>
      <w:lang w:val="es-ES_tradnl"/>
    </w:rPr>
  </w:style>
  <w:style w:type="character" w:styleId="PiedepginaCar" w:customStyle="1">
    <w:name w:val="Pie de página Car"/>
    <w:basedOn w:val="Fuentedeprrafopredeter"/>
    <w:link w:val="Piedepgina"/>
    <w:uiPriority w:val="99"/>
    <w:rsid w:val="00AC3C64"/>
    <w:rPr>
      <w:rFonts w:eastAsiaTheme="minorEastAsia"/>
      <w:sz w:val="24"/>
      <w:szCs w:val="24"/>
      <w:lang w:eastAsia="es-ES" w:val="es-ES_tradnl"/>
    </w:rPr>
  </w:style>
  <w:style w:type="character" w:styleId="PrrafodelistaCar" w:customStyle="1">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val="1"/>
    <w:locked w:val="1"/>
    <w:rsid w:val="00AC3C64"/>
    <w:rPr>
      <w:rFonts w:ascii="Times New Roman" w:cs="Times New Roman" w:eastAsia="Times New Roman" w:hAnsi="Times New Roman"/>
      <w:lang w:val="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val="1"/>
    <w:rsid w:val="00AC3C64"/>
    <w:pPr>
      <w:ind w:left="708"/>
    </w:pPr>
    <w:rPr>
      <w:sz w:val="22"/>
      <w:szCs w:val="22"/>
      <w:lang w:eastAsia="en-US"/>
    </w:rPr>
  </w:style>
  <w:style w:type="table" w:styleId="Tablaconcuadrcula">
    <w:name w:val="Table Grid"/>
    <w:basedOn w:val="Tablanormal"/>
    <w:uiPriority w:val="39"/>
    <w:rsid w:val="00AC3C64"/>
    <w:rPr>
      <w:rFonts w:eastAsiaTheme="minorEastAsia"/>
      <w:lang w:eastAsia="es-ES" w:val="es-ES_tradnl"/>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normaltextrun" w:customStyle="1">
    <w:name w:val="normaltextrun"/>
    <w:basedOn w:val="Fuentedeprrafopredeter"/>
    <w:rsid w:val="00AC3C64"/>
  </w:style>
  <w:style w:type="character" w:styleId="apple-converted-space" w:customStyle="1">
    <w:name w:val="apple-converted-space"/>
    <w:basedOn w:val="Fuentedeprrafopredeter"/>
    <w:rsid w:val="00AC3C64"/>
  </w:style>
  <w:style w:type="paragraph" w:styleId="paragraph" w:customStyle="1">
    <w:name w:val="paragraph"/>
    <w:basedOn w:val="Normal"/>
    <w:rsid w:val="00AC3C64"/>
    <w:pPr>
      <w:spacing w:after="100" w:afterAutospacing="1" w:before="100" w:beforeAutospacing="1"/>
    </w:pPr>
    <w:rPr>
      <w:lang w:eastAsia="es-MX" w:val="es-MX"/>
    </w:rPr>
  </w:style>
  <w:style w:type="character" w:styleId="eop" w:customStyle="1">
    <w:name w:val="eop"/>
    <w:basedOn w:val="Fuentedeprrafopredeter"/>
    <w:rsid w:val="00AC3C64"/>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val="1"/>
    <w:qFormat w:val="1"/>
    <w:rsid w:val="00AC3C64"/>
    <w:rPr>
      <w:rFonts w:asciiTheme="minorHAnsi" w:cstheme="minorBidi" w:eastAsiaTheme="minorHAnsi" w:hAnsiTheme="minorHAnsi"/>
      <w:sz w:val="20"/>
      <w:szCs w:val="20"/>
      <w:lang w:eastAsia="en-US" w:val="es-MX"/>
    </w:rPr>
  </w:style>
  <w:style w:type="character" w:styleId="TextonotapieCar" w:customStyle="1">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val="1"/>
    <w:rsid w:val="00AC3C64"/>
    <w:rPr>
      <w:sz w:val="20"/>
      <w:szCs w:val="20"/>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val="1"/>
    <w:qFormat w:val="1"/>
    <w:rsid w:val="00AC3C64"/>
    <w:rPr>
      <w:vertAlign w:val="superscript"/>
    </w:rPr>
  </w:style>
  <w:style w:type="character" w:styleId="Hipervnculo">
    <w:name w:val="Hyperlink"/>
    <w:aliases w:val="Hipervínculo1,Hipervínculo11,Hipervínculo12,Hipervínculo13,Hipervínculo14,Hipervínculo15"/>
    <w:basedOn w:val="Fuentedeprrafopredeter"/>
    <w:uiPriority w:val="99"/>
    <w:unhideWhenUsed w:val="1"/>
    <w:qFormat w:val="1"/>
    <w:rsid w:val="00AC3C64"/>
    <w:rPr>
      <w:color w:val="0563c1" w:themeColor="hyperlink"/>
      <w:u w:val="single"/>
    </w:rPr>
  </w:style>
  <w:style w:type="paragraph" w:styleId="NormalWeb">
    <w:name w:val="Normal (Web)"/>
    <w:basedOn w:val="Normal"/>
    <w:uiPriority w:val="99"/>
    <w:unhideWhenUsed w:val="1"/>
    <w:rsid w:val="00AC3C64"/>
    <w:pPr>
      <w:spacing w:after="100" w:afterAutospacing="1" w:before="100" w:beforeAutospacing="1"/>
    </w:pPr>
    <w:rPr>
      <w:lang w:eastAsia="es-MX" w:val="es-MX"/>
    </w:rPr>
  </w:style>
  <w:style w:type="character" w:styleId="Ttulo3Car" w:customStyle="1">
    <w:name w:val="Título 3 Car"/>
    <w:basedOn w:val="Fuentedeprrafopredeter"/>
    <w:link w:val="Ttulo3"/>
    <w:uiPriority w:val="9"/>
    <w:rsid w:val="002D2EAC"/>
    <w:rPr>
      <w:rFonts w:ascii="Times New Roman" w:cs="Times New Roman" w:eastAsia="Times New Roman" w:hAnsi="Times New Roman"/>
      <w:b w:val="1"/>
      <w:bCs w:val="1"/>
      <w:sz w:val="27"/>
      <w:szCs w:val="27"/>
      <w:lang w:eastAsia="es-MX"/>
    </w:rPr>
  </w:style>
  <w:style w:type="character" w:styleId="titulorubro" w:customStyle="1">
    <w:name w:val="titulorubro"/>
    <w:basedOn w:val="Fuentedeprrafopredeter"/>
    <w:rsid w:val="002D2EAC"/>
  </w:style>
  <w:style w:type="paragraph" w:styleId="Textoindependiente">
    <w:name w:val="Body Text"/>
    <w:basedOn w:val="Normal"/>
    <w:link w:val="TextoindependienteCar"/>
    <w:uiPriority w:val="1"/>
    <w:qFormat w:val="1"/>
    <w:rsid w:val="006F3C93"/>
    <w:pPr>
      <w:autoSpaceDE w:val="0"/>
      <w:autoSpaceDN w:val="0"/>
      <w:adjustRightInd w:val="0"/>
      <w:ind w:left="93"/>
    </w:pPr>
    <w:rPr>
      <w:rFonts w:eastAsiaTheme="minorHAnsi"/>
      <w:sz w:val="23"/>
      <w:szCs w:val="23"/>
      <w:lang w:eastAsia="en-US" w:val="es-MX"/>
    </w:rPr>
  </w:style>
  <w:style w:type="character" w:styleId="TextoindependienteCar" w:customStyle="1">
    <w:name w:val="Texto independiente Car"/>
    <w:basedOn w:val="Fuentedeprrafopredeter"/>
    <w:link w:val="Textoindependiente"/>
    <w:uiPriority w:val="1"/>
    <w:rsid w:val="006F3C93"/>
    <w:rPr>
      <w:rFonts w:ascii="Times New Roman" w:cs="Times New Roman" w:hAnsi="Times New Roman"/>
      <w:sz w:val="23"/>
      <w:szCs w:val="23"/>
    </w:rPr>
  </w:style>
  <w:style w:type="paragraph" w:styleId="Textodeglobo">
    <w:name w:val="Balloon Text"/>
    <w:basedOn w:val="Normal"/>
    <w:link w:val="TextodegloboCar"/>
    <w:uiPriority w:val="99"/>
    <w:semiHidden w:val="1"/>
    <w:unhideWhenUsed w:val="1"/>
    <w:rsid w:val="00A037B6"/>
    <w:rPr>
      <w:rFonts w:ascii="Segoe UI" w:cs="Segoe UI" w:hAnsi="Segoe UI"/>
      <w:sz w:val="18"/>
      <w:szCs w:val="18"/>
    </w:rPr>
  </w:style>
  <w:style w:type="character" w:styleId="TextodegloboCar" w:customStyle="1">
    <w:name w:val="Texto de globo Car"/>
    <w:basedOn w:val="Fuentedeprrafopredeter"/>
    <w:link w:val="Textodeglobo"/>
    <w:uiPriority w:val="99"/>
    <w:semiHidden w:val="1"/>
    <w:rsid w:val="00A037B6"/>
    <w:rPr>
      <w:rFonts w:ascii="Segoe UI" w:cs="Segoe UI" w:eastAsia="Times New Roman" w:hAnsi="Segoe UI"/>
      <w:sz w:val="18"/>
      <w:szCs w:val="18"/>
      <w:lang w:eastAsia="es-ES" w:val="es-ES"/>
    </w:rPr>
  </w:style>
  <w:style w:type="paragraph" w:styleId="Pa1" w:customStyle="1">
    <w:name w:val="Pa1"/>
    <w:basedOn w:val="Normal"/>
    <w:next w:val="Normal"/>
    <w:uiPriority w:val="99"/>
    <w:rsid w:val="0074718F"/>
    <w:pPr>
      <w:autoSpaceDE w:val="0"/>
      <w:autoSpaceDN w:val="0"/>
      <w:adjustRightInd w:val="0"/>
      <w:spacing w:line="191" w:lineRule="atLeast"/>
    </w:pPr>
    <w:rPr>
      <w:rFonts w:ascii="Helvetica" w:cs="Helvetica" w:hAnsi="Helvetica" w:eastAsiaTheme="minorHAnsi"/>
      <w:lang w:eastAsia="en-US" w:val="es-MX"/>
    </w:rPr>
  </w:style>
  <w:style w:type="paragraph" w:styleId="Pa2" w:customStyle="1">
    <w:name w:val="Pa2"/>
    <w:basedOn w:val="Normal"/>
    <w:next w:val="Normal"/>
    <w:uiPriority w:val="99"/>
    <w:rsid w:val="0074718F"/>
    <w:pPr>
      <w:autoSpaceDE w:val="0"/>
      <w:autoSpaceDN w:val="0"/>
      <w:adjustRightInd w:val="0"/>
      <w:spacing w:line="191" w:lineRule="atLeast"/>
    </w:pPr>
    <w:rPr>
      <w:rFonts w:ascii="Helvetica" w:cs="Helvetica" w:hAnsi="Helvetica" w:eastAsiaTheme="minorHAnsi"/>
      <w:lang w:eastAsia="en-US" w:val="es-MX"/>
    </w:rPr>
  </w:style>
  <w:style w:type="paragraph" w:styleId="Pa3" w:customStyle="1">
    <w:name w:val="Pa3"/>
    <w:basedOn w:val="Normal"/>
    <w:next w:val="Normal"/>
    <w:uiPriority w:val="99"/>
    <w:rsid w:val="0074718F"/>
    <w:pPr>
      <w:autoSpaceDE w:val="0"/>
      <w:autoSpaceDN w:val="0"/>
      <w:adjustRightInd w:val="0"/>
      <w:spacing w:line="191" w:lineRule="atLeast"/>
    </w:pPr>
    <w:rPr>
      <w:rFonts w:ascii="Helvetica" w:cs="Helvetica" w:hAnsi="Helvetica" w:eastAsiaTheme="minorHAnsi"/>
      <w:lang w:eastAsia="en-US" w:val="es-MX"/>
    </w:rPr>
  </w:style>
  <w:style w:type="paragraph" w:styleId="Sinespaciado">
    <w:name w:val="No Spacing"/>
    <w:aliases w:val="Francesa,INAI"/>
    <w:link w:val="SinespaciadoCar"/>
    <w:uiPriority w:val="1"/>
    <w:qFormat w:val="1"/>
    <w:rsid w:val="00CE2CFE"/>
  </w:style>
  <w:style w:type="character" w:styleId="SinespaciadoCar" w:customStyle="1">
    <w:name w:val="Sin espaciado Car"/>
    <w:aliases w:val="Francesa Car,INAI Car"/>
    <w:link w:val="Sinespaciado"/>
    <w:uiPriority w:val="1"/>
    <w:locked w:val="1"/>
    <w:rsid w:val="00CE2CFE"/>
  </w:style>
  <w:style w:type="table" w:styleId="Tabladelista1clara-nfasis1">
    <w:name w:val="List Table 1 Light Accent 1"/>
    <w:basedOn w:val="Tablanormal"/>
    <w:uiPriority w:val="46"/>
    <w:rsid w:val="00D30935"/>
    <w:rPr>
      <w:rFonts w:eastAsiaTheme="minorEastAsia"/>
      <w:lang w:eastAsia="es-ES" w:val="es-ES_tradnl"/>
    </w:rPr>
    <w:tblPr>
      <w:tblStyleRowBandSize w:val="1"/>
      <w:tblStyleColBandSize w:val="1"/>
    </w:tblPr>
    <w:tblStylePr w:type="firstRow">
      <w:rPr>
        <w:b w:val="1"/>
        <w:bCs w:val="1"/>
      </w:rPr>
      <w:tblPr/>
      <w:tcPr>
        <w:tcBorders>
          <w:bottom w:color="9cc2e5" w:space="0" w:sz="4" w:themeColor="accent1" w:themeTint="000099" w:val="single"/>
        </w:tcBorders>
      </w:tcPr>
    </w:tblStylePr>
    <w:tblStylePr w:type="lastRow">
      <w:rPr>
        <w:b w:val="1"/>
        <w:bCs w:val="1"/>
      </w:rPr>
      <w:tblPr/>
      <w:tcPr>
        <w:tcBorders>
          <w:top w:color="9cc2e5" w:space="0" w:sz="4" w:themeColor="accent1" w:themeTint="000099" w:val="single"/>
        </w:tcBorders>
      </w:tcPr>
    </w:tblStylePr>
    <w:tblStylePr w:type="firstCol">
      <w:rPr>
        <w:b w:val="1"/>
        <w:bCs w:val="1"/>
      </w:rPr>
    </w:tblStylePr>
    <w:tblStylePr w:type="lastCol">
      <w:rPr>
        <w:b w:val="1"/>
        <w:bCs w:val="1"/>
      </w:rPr>
    </w:tblStylePr>
    <w:tblStylePr w:type="band1Vert">
      <w:tblPr/>
      <w:tcPr>
        <w:shd w:color="auto" w:fill="deeaf6" w:themeFill="accent1" w:themeFillTint="000033" w:val="clear"/>
      </w:tcPr>
    </w:tblStylePr>
    <w:tblStylePr w:type="band1Horz">
      <w:tblPr/>
      <w:tcPr>
        <w:shd w:color="auto" w:fill="deeaf6" w:themeFill="accent1" w:themeFillTint="000033" w:val="clear"/>
      </w:tcPr>
    </w:tblStylePr>
  </w:style>
  <w:style w:type="paragraph" w:styleId="Subttulo">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2"/>
    <w:tblPr>
      <w:tblStyleRowBandSize w:val="1"/>
      <w:tblStyleColBandSize w:val="1"/>
      <w:tblCellMar>
        <w:left w:w="108.0" w:type="dxa"/>
        <w:right w:w="108.0" w:type="dxa"/>
      </w:tblCellMar>
    </w:tblPr>
  </w:style>
  <w:style w:type="table" w:styleId="a0" w:customStyle="1">
    <w:basedOn w:val="TableNormal2"/>
    <w:tblPr>
      <w:tblStyleRowBandSize w:val="1"/>
      <w:tblStyleColBandSize w:val="1"/>
      <w:tblCellMar>
        <w:left w:w="115.0" w:type="dxa"/>
        <w:right w:w="115.0" w:type="dxa"/>
      </w:tblCellMar>
    </w:tblPr>
  </w:style>
  <w:style w:type="table" w:styleId="a1" w:customStyle="1">
    <w:basedOn w:val="TableNormal2"/>
    <w:tblPr>
      <w:tblStyleRowBandSize w:val="1"/>
      <w:tblStyleColBandSize w:val="1"/>
      <w:tblCellMar>
        <w:left w:w="115.0" w:type="dxa"/>
        <w:right w:w="115.0" w:type="dxa"/>
      </w:tblCellMar>
    </w:tblPr>
  </w:style>
  <w:style w:type="character" w:styleId="Hipervnculovisitado">
    <w:name w:val="FollowedHyperlink"/>
    <w:basedOn w:val="Fuentedeprrafopredeter"/>
    <w:uiPriority w:val="99"/>
    <w:semiHidden w:val="1"/>
    <w:unhideWhenUsed w:val="1"/>
    <w:rsid w:val="00B93218"/>
    <w:rPr>
      <w:color w:val="954f72" w:themeColor="followedHyperlink"/>
      <w:u w:val="single"/>
    </w:rPr>
  </w:style>
  <w:style w:type="table" w:styleId="a2" w:customStyle="1">
    <w:basedOn w:val="TableNormal2"/>
    <w:tblPr>
      <w:tblStyleRowBandSize w:val="1"/>
      <w:tblStyleColBandSize w:val="1"/>
      <w:tblCellMar>
        <w:left w:w="108.0" w:type="dxa"/>
        <w:right w:w="108.0" w:type="dxa"/>
      </w:tblCellMar>
    </w:tblPr>
  </w:style>
  <w:style w:type="table" w:styleId="a3" w:customStyle="1">
    <w:basedOn w:val="TableNormal2"/>
    <w:tblPr>
      <w:tblStyleRowBandSize w:val="1"/>
      <w:tblStyleColBandSize w:val="1"/>
      <w:tblCellMar>
        <w:left w:w="108.0" w:type="dxa"/>
        <w:right w:w="108.0" w:type="dxa"/>
      </w:tblCellMar>
    </w:tblPr>
  </w:style>
  <w:style w:type="table" w:styleId="a4" w:customStyle="1">
    <w:basedOn w:val="TableNormal2"/>
    <w:tblPr>
      <w:tblStyleRowBandSize w:val="1"/>
      <w:tblStyleColBandSize w:val="1"/>
      <w:tblCellMar>
        <w:left w:w="108.0" w:type="dxa"/>
        <w:right w:w="108.0" w:type="dxa"/>
      </w:tblCellMar>
    </w:tblPr>
  </w:style>
  <w:style w:type="table" w:styleId="a5" w:customStyle="1">
    <w:basedOn w:val="TableNormal2"/>
    <w:tblPr>
      <w:tblStyleRowBandSize w:val="1"/>
      <w:tblStyleColBandSize w:val="1"/>
      <w:tblCellMar>
        <w:left w:w="108.0" w:type="dxa"/>
        <w:right w:w="108.0" w:type="dxa"/>
      </w:tblCellMar>
    </w:tblPr>
  </w:style>
  <w:style w:type="table" w:styleId="a6" w:customStyle="1">
    <w:basedOn w:val="TableNormal2"/>
    <w:tblPr>
      <w:tblStyleRowBandSize w:val="1"/>
      <w:tblStyleColBandSize w:val="1"/>
      <w:tblCellMar>
        <w:left w:w="108.0" w:type="dxa"/>
        <w:right w:w="108.0" w:type="dxa"/>
      </w:tblCellMar>
    </w:tblPr>
  </w:style>
  <w:style w:type="table" w:styleId="a7" w:customStyle="1">
    <w:basedOn w:val="TableNormal2"/>
    <w:tblPr>
      <w:tblStyleRowBandSize w:val="1"/>
      <w:tblStyleColBandSize w:val="1"/>
      <w:tblCellMar>
        <w:left w:w="108.0" w:type="dxa"/>
        <w:right w:w="108.0" w:type="dxa"/>
      </w:tblCellMar>
    </w:tblPr>
  </w:style>
  <w:style w:type="table" w:styleId="a8" w:customStyle="1">
    <w:basedOn w:val="TableNormal2"/>
    <w:tblPr>
      <w:tblStyleRowBandSize w:val="1"/>
      <w:tblStyleColBandSize w:val="1"/>
      <w:tblCellMar>
        <w:left w:w="108.0" w:type="dxa"/>
        <w:right w:w="108.0" w:type="dxa"/>
      </w:tblCellMar>
    </w:tblPr>
  </w:style>
  <w:style w:type="table" w:styleId="a9" w:customStyle="1">
    <w:basedOn w:val="TableNormal2"/>
    <w:tblPr>
      <w:tblStyleRowBandSize w:val="1"/>
      <w:tblStyleColBandSize w:val="1"/>
      <w:tblCellMar>
        <w:left w:w="115.0" w:type="dxa"/>
        <w:right w:w="115.0" w:type="dxa"/>
      </w:tblCellMar>
    </w:tblPr>
  </w:style>
  <w:style w:type="table" w:styleId="aa" w:customStyle="1">
    <w:basedOn w:val="TableNormal2"/>
    <w:tblPr>
      <w:tblStyleRowBandSize w:val="1"/>
      <w:tblStyleColBandSize w:val="1"/>
      <w:tblCellMar>
        <w:left w:w="115.0" w:type="dxa"/>
        <w:right w:w="115.0" w:type="dxa"/>
      </w:tblCellMar>
    </w:tblPr>
  </w:style>
  <w:style w:type="table" w:styleId="ab" w:customStyle="1">
    <w:basedOn w:val="TableNormal2"/>
    <w:tblPr>
      <w:tblStyleRowBandSize w:val="1"/>
      <w:tblStyleColBandSize w:val="1"/>
      <w:tblCellMar>
        <w:left w:w="115.0" w:type="dxa"/>
        <w:right w:w="115.0" w:type="dxa"/>
      </w:tblCellMar>
    </w:tblPr>
  </w:style>
  <w:style w:type="table" w:styleId="ac" w:customStyle="1">
    <w:basedOn w:val="TableNormal1"/>
    <w:tblPr>
      <w:tblStyleRowBandSize w:val="1"/>
      <w:tblStyleColBandSize w:val="1"/>
      <w:tblCellMar>
        <w:left w:w="115.0" w:type="dxa"/>
        <w:right w:w="115.0" w:type="dxa"/>
      </w:tblCellMar>
    </w:tblPr>
  </w:style>
  <w:style w:type="table" w:styleId="ad" w:customStyle="1">
    <w:basedOn w:val="TableNormal1"/>
    <w:tblPr>
      <w:tblStyleRowBandSize w:val="1"/>
      <w:tblStyleColBandSize w:val="1"/>
      <w:tblCellMar>
        <w:left w:w="115.0" w:type="dxa"/>
        <w:right w:w="115.0" w:type="dxa"/>
      </w:tblCellMar>
    </w:tblPr>
  </w:style>
  <w:style w:type="table" w:styleId="ae" w:customStyle="1">
    <w:basedOn w:val="TableNormal1"/>
    <w:tblPr>
      <w:tblStyleRowBandSize w:val="1"/>
      <w:tblStyleColBandSize w:val="1"/>
      <w:tblCellMar>
        <w:left w:w="115.0" w:type="dxa"/>
        <w:right w:w="115.0" w:type="dxa"/>
      </w:tblCellMar>
    </w:tblPr>
  </w:style>
  <w:style w:type="character" w:styleId="Textoennegrita">
    <w:name w:val="Strong"/>
    <w:uiPriority w:val="22"/>
    <w:qFormat w:val="1"/>
    <w:rsid w:val="002B3D0A"/>
    <w:rPr>
      <w:b w:val="1"/>
      <w:bCs w:val="1"/>
    </w:rPr>
  </w:style>
  <w:style w:type="paragraph" w:styleId="Texto" w:customStyle="1">
    <w:name w:val="Texto"/>
    <w:basedOn w:val="Normal"/>
    <w:link w:val="TextoCar"/>
    <w:qFormat w:val="1"/>
    <w:rsid w:val="002B3D0A"/>
    <w:pPr>
      <w:spacing w:after="101" w:line="216" w:lineRule="exact"/>
      <w:ind w:firstLine="288"/>
      <w:jc w:val="both"/>
    </w:pPr>
    <w:rPr>
      <w:rFonts w:ascii="Arial" w:cs="Arial" w:hAnsi="Arial"/>
      <w:sz w:val="18"/>
      <w:szCs w:val="18"/>
      <w:lang w:val="es-MX"/>
    </w:rPr>
  </w:style>
  <w:style w:type="character" w:styleId="apple-style-span" w:customStyle="1">
    <w:name w:val="apple-style-span"/>
    <w:rsid w:val="002B3D0A"/>
  </w:style>
  <w:style w:type="character" w:styleId="TextoCar" w:customStyle="1">
    <w:name w:val="Texto Car"/>
    <w:link w:val="Texto"/>
    <w:locked w:val="1"/>
    <w:rsid w:val="002B3D0A"/>
    <w:rPr>
      <w:rFonts w:ascii="Arial" w:cs="Arial" w:hAnsi="Arial"/>
      <w:sz w:val="18"/>
      <w:szCs w:val="18"/>
      <w:lang w:eastAsia="es-ES" w:val="es-MX"/>
    </w:rPr>
  </w:style>
  <w:style w:type="paragraph" w:styleId="Citas" w:customStyle="1">
    <w:name w:val="Citas"/>
    <w:basedOn w:val="Normal"/>
    <w:qFormat w:val="1"/>
    <w:rsid w:val="009D3D69"/>
    <w:pPr>
      <w:spacing w:after="160" w:before="240" w:line="360" w:lineRule="auto"/>
      <w:ind w:left="851" w:right="851"/>
      <w:jc w:val="both"/>
    </w:pPr>
    <w:rPr>
      <w:rFonts w:ascii="Palatino Linotype" w:cs="Arial" w:hAnsi="Palatino Linotype" w:eastAsiaTheme="minorHAnsi"/>
      <w:i w:val="1"/>
      <w:sz w:val="22"/>
      <w:szCs w:val="22"/>
      <w:lang w:eastAsia="en-US" w:val="es-MX"/>
    </w:rPr>
  </w:style>
  <w:style w:type="paragraph" w:styleId="Listaconvietas3">
    <w:name w:val="List Bullet 3"/>
    <w:basedOn w:val="Normal"/>
    <w:uiPriority w:val="99"/>
    <w:unhideWhenUsed w:val="1"/>
    <w:rsid w:val="009E0405"/>
    <w:pPr>
      <w:numPr>
        <w:numId w:val="3"/>
      </w:numPr>
      <w:contextualSpacing w:val="1"/>
    </w:pPr>
    <w:rPr>
      <w:lang w:eastAsia="es-MX" w:val="es-MX"/>
    </w:rPr>
  </w:style>
  <w:style w:type="paragraph" w:styleId="Listaconvietas">
    <w:name w:val="List Bullet"/>
    <w:basedOn w:val="Normal"/>
    <w:uiPriority w:val="99"/>
    <w:unhideWhenUsed w:val="1"/>
    <w:rsid w:val="00E6231A"/>
    <w:pPr>
      <w:tabs>
        <w:tab w:val="num" w:pos="720"/>
      </w:tabs>
      <w:ind w:left="720" w:hanging="720"/>
      <w:contextualSpacing w:val="1"/>
    </w:pPr>
    <w:rPr>
      <w:lang w:eastAsia="es-MX" w:val="es-MX"/>
    </w:rPr>
  </w:style>
  <w:style w:type="character" w:styleId="Mencinsinresolver1" w:customStyle="1">
    <w:name w:val="Mención sin resolver1"/>
    <w:basedOn w:val="Fuentedeprrafopredeter"/>
    <w:uiPriority w:val="99"/>
    <w:semiHidden w:val="1"/>
    <w:unhideWhenUsed w:val="1"/>
    <w:rsid w:val="00582A33"/>
    <w:rPr>
      <w:color w:val="605e5c"/>
      <w:shd w:color="auto" w:fill="e1dfdd" w:val="clear"/>
    </w:rPr>
  </w:style>
  <w:style w:type="table" w:styleId="af" w:customStyle="1">
    <w:basedOn w:val="TableNormal0"/>
    <w:tblPr>
      <w:tblStyleRowBandSize w:val="1"/>
      <w:tblStyleColBandSize w:val="1"/>
      <w:tblCellMar>
        <w:left w:w="115.0" w:type="dxa"/>
        <w:right w:w="115.0" w:type="dxa"/>
      </w:tblCellMar>
    </w:tblPr>
  </w:style>
  <w:style w:type="table" w:styleId="af0" w:customStyle="1">
    <w:basedOn w:val="TableNormal0"/>
    <w:tblPr>
      <w:tblStyleRowBandSize w:val="1"/>
      <w:tblStyleColBandSize w:val="1"/>
      <w:tblCellMar>
        <w:left w:w="115.0" w:type="dxa"/>
        <w:right w:w="115.0" w:type="dxa"/>
      </w:tblCellMar>
    </w:tblPr>
  </w:style>
  <w:style w:type="character" w:styleId="Mencinsinresolver2" w:customStyle="1">
    <w:name w:val="Mención sin resolver2"/>
    <w:basedOn w:val="Fuentedeprrafopredeter"/>
    <w:uiPriority w:val="99"/>
    <w:semiHidden w:val="1"/>
    <w:unhideWhenUsed w:val="1"/>
    <w:rsid w:val="00836A8D"/>
    <w:rPr>
      <w:color w:val="605e5c"/>
      <w:shd w:color="auto" w:fill="e1dfdd" w:val="clear"/>
    </w:rPr>
  </w:style>
  <w:style w:type="character" w:styleId="Mencinsinresolver3" w:customStyle="1">
    <w:name w:val="Mención sin resolver3"/>
    <w:basedOn w:val="Fuentedeprrafopredeter"/>
    <w:uiPriority w:val="99"/>
    <w:semiHidden w:val="1"/>
    <w:unhideWhenUsed w:val="1"/>
    <w:rsid w:val="00D21E62"/>
    <w:rPr>
      <w:color w:val="605e5c"/>
      <w:shd w:color="auto" w:fill="e1dfdd" w:val="clear"/>
    </w:rPr>
  </w:style>
  <w:style w:type="paragraph" w:styleId="INFOEM" w:customStyle="1">
    <w:name w:val="INFOEM"/>
    <w:basedOn w:val="Normal"/>
    <w:qFormat w:val="1"/>
    <w:rsid w:val="00A87C1D"/>
    <w:pPr>
      <w:spacing w:after="160" w:before="240" w:line="360" w:lineRule="auto"/>
      <w:ind w:left="851" w:right="851"/>
      <w:jc w:val="both"/>
    </w:pPr>
    <w:rPr>
      <w:rFonts w:ascii="Palatino Linotype" w:hAnsi="Palatino Linotype" w:cstheme="minorBidi" w:eastAsiaTheme="minorHAnsi"/>
      <w:i w:val="1"/>
      <w:sz w:val="22"/>
      <w:szCs w:val="14"/>
      <w:lang w:eastAsia="en-US" w:val="es-MX"/>
    </w:rPr>
  </w:style>
  <w:style w:type="paragraph" w:styleId="Default" w:customStyle="1">
    <w:name w:val="Default"/>
    <w:rsid w:val="005E228D"/>
    <w:pPr>
      <w:autoSpaceDE w:val="0"/>
      <w:autoSpaceDN w:val="0"/>
      <w:adjustRightInd w:val="0"/>
    </w:pPr>
    <w:rPr>
      <w:rFonts w:ascii="Palatino Linotype" w:cs="Palatino Linotype" w:hAnsi="Palatino Linotype" w:eastAsiaTheme="minorEastAsia"/>
      <w:color w:val="000000"/>
      <w:lang w:eastAsia="es-ES" w:val="es-MX"/>
    </w:rPr>
  </w:style>
  <w:style w:type="character" w:styleId="Mencinsinresolver4" w:customStyle="1">
    <w:name w:val="Mención sin resolver4"/>
    <w:basedOn w:val="Fuentedeprrafopredeter"/>
    <w:uiPriority w:val="99"/>
    <w:semiHidden w:val="1"/>
    <w:unhideWhenUsed w:val="1"/>
    <w:rsid w:val="00577C03"/>
    <w:rPr>
      <w:color w:val="605e5c"/>
      <w:shd w:color="auto" w:fill="e1dfdd" w:val="clear"/>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header" Target="header2.xml"/><Relationship Id="rId13" Type="http://schemas.openxmlformats.org/officeDocument/2006/relationships/header" Target="header3.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PalatinoLinotype-regular.ttf"/><Relationship Id="rId2" Type="http://schemas.openxmlformats.org/officeDocument/2006/relationships/font" Target="fonts/PalatinoLinotype-bold.ttf"/><Relationship Id="rId3" Type="http://schemas.openxmlformats.org/officeDocument/2006/relationships/font" Target="fonts/PalatinoLinotype-italic.ttf"/><Relationship Id="rId4" Type="http://schemas.openxmlformats.org/officeDocument/2006/relationships/font" Target="fonts/PalatinoLinotype-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dMrNgGecy6nmPkr0TqXghCQ7lg==">CgMxLjAyCGguZ2pkZ3hzMgloLjMwajB6bGwyCGgubG54Yno5MgloLjFmb2I5dGUyCWguMjZpbjFyZzgAciExRTA4MXAtYTBvSWtUUE1raHN2ZkR2MmtjUFc4QnJ6TVQ=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2025-03-31T20:30:00Z</dcterms:created>
  <dc:creator>USER</dc:creator>
</cp:coreProperties>
</file>