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05B3B0C1" w:rsidR="00EB0F49" w:rsidRPr="0036268D" w:rsidRDefault="001D3081" w:rsidP="00704431">
      <w:pPr>
        <w:tabs>
          <w:tab w:val="left" w:pos="0"/>
        </w:tabs>
        <w:spacing w:line="360" w:lineRule="auto"/>
        <w:jc w:val="both"/>
        <w:rPr>
          <w:rFonts w:ascii="Palatino Linotype" w:eastAsia="Palatino Linotype" w:hAnsi="Palatino Linotype" w:cs="Palatino Linotype"/>
        </w:rPr>
      </w:pPr>
      <w:bookmarkStart w:id="0" w:name="_heading=h.sre9h05q4v0b" w:colFirst="0" w:colLast="0"/>
      <w:bookmarkEnd w:id="0"/>
      <w:r w:rsidRPr="0036268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36268D">
        <w:rPr>
          <w:rFonts w:ascii="Palatino Linotype" w:eastAsia="Palatino Linotype" w:hAnsi="Palatino Linotype" w:cs="Palatino Linotype"/>
          <w:b/>
        </w:rPr>
        <w:t xml:space="preserve">de fecha </w:t>
      </w:r>
      <w:r w:rsidR="00DD2C4F" w:rsidRPr="0036268D">
        <w:rPr>
          <w:rFonts w:ascii="Palatino Linotype" w:eastAsia="Palatino Linotype" w:hAnsi="Palatino Linotype" w:cs="Palatino Linotype"/>
          <w:b/>
        </w:rPr>
        <w:t>seis (06) de agosto</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w:t>
      </w:r>
    </w:p>
    <w:p w14:paraId="6CCD2286" w14:textId="77777777" w:rsidR="00EB0F49" w:rsidRPr="0036268D" w:rsidRDefault="00EB0F49" w:rsidP="00704431">
      <w:pPr>
        <w:tabs>
          <w:tab w:val="left" w:pos="0"/>
          <w:tab w:val="left" w:pos="567"/>
        </w:tabs>
        <w:spacing w:line="360" w:lineRule="auto"/>
        <w:jc w:val="both"/>
        <w:rPr>
          <w:rFonts w:ascii="Palatino Linotype" w:eastAsia="Palatino Linotype" w:hAnsi="Palatino Linotype" w:cs="Palatino Linotype"/>
        </w:rPr>
      </w:pPr>
    </w:p>
    <w:p w14:paraId="14B25137" w14:textId="15D7A0B3" w:rsidR="00EB0F49" w:rsidRPr="0036268D" w:rsidRDefault="001D3081" w:rsidP="00704431">
      <w:pPr>
        <w:tabs>
          <w:tab w:val="left" w:pos="0"/>
        </w:tabs>
        <w:spacing w:line="360" w:lineRule="auto"/>
        <w:jc w:val="both"/>
        <w:rPr>
          <w:rFonts w:ascii="Palatino Linotype" w:eastAsia="Palatino Linotype" w:hAnsi="Palatino Linotype" w:cs="Palatino Linotype"/>
        </w:rPr>
      </w:pPr>
      <w:bookmarkStart w:id="1" w:name="_heading=h.gjdgxs" w:colFirst="0" w:colLast="0"/>
      <w:bookmarkEnd w:id="1"/>
      <w:r w:rsidRPr="0036268D">
        <w:rPr>
          <w:rFonts w:ascii="Palatino Linotype" w:eastAsia="Palatino Linotype" w:hAnsi="Palatino Linotype" w:cs="Palatino Linotype"/>
          <w:b/>
        </w:rPr>
        <w:t>VISTO</w:t>
      </w:r>
      <w:r w:rsidRPr="0036268D">
        <w:rPr>
          <w:rFonts w:ascii="Palatino Linotype" w:eastAsia="Palatino Linotype" w:hAnsi="Palatino Linotype" w:cs="Palatino Linotype"/>
        </w:rPr>
        <w:t xml:space="preserve"> el expediente electrónico formado con motivo del recurso de revisión </w:t>
      </w:r>
      <w:r w:rsidR="00BA6C84" w:rsidRPr="0036268D">
        <w:rPr>
          <w:rFonts w:ascii="Palatino Linotype" w:eastAsia="Palatino Linotype" w:hAnsi="Palatino Linotype" w:cs="Palatino Linotype"/>
          <w:b/>
        </w:rPr>
        <w:t>03338</w:t>
      </w:r>
      <w:r w:rsidRPr="0036268D">
        <w:rPr>
          <w:rFonts w:ascii="Palatino Linotype" w:eastAsia="Palatino Linotype" w:hAnsi="Palatino Linotype" w:cs="Palatino Linotype"/>
          <w:b/>
        </w:rPr>
        <w:t>/INFOEM/IP/RR/2025</w:t>
      </w:r>
      <w:r w:rsidRPr="0036268D">
        <w:rPr>
          <w:rFonts w:ascii="Palatino Linotype" w:eastAsia="Palatino Linotype" w:hAnsi="Palatino Linotype" w:cs="Palatino Linotype"/>
        </w:rPr>
        <w:t>,</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 xml:space="preserve">promovido por un </w:t>
      </w:r>
      <w:r w:rsidR="00235151">
        <w:rPr>
          <w:rFonts w:ascii="Palatino Linotype" w:eastAsia="Palatino Linotype" w:hAnsi="Palatino Linotype" w:cs="Palatino Linotype"/>
          <w:b/>
        </w:rPr>
        <w:t>XXXX</w:t>
      </w:r>
      <w:r w:rsidRPr="0036268D">
        <w:rPr>
          <w:rFonts w:ascii="Palatino Linotype" w:eastAsia="Palatino Linotype" w:hAnsi="Palatino Linotype" w:cs="Palatino Linotype"/>
        </w:rPr>
        <w:t>, a quien en lo s</w:t>
      </w:r>
      <w:r w:rsidR="00726546" w:rsidRPr="0036268D">
        <w:rPr>
          <w:rFonts w:ascii="Palatino Linotype" w:eastAsia="Palatino Linotype" w:hAnsi="Palatino Linotype" w:cs="Palatino Linotype"/>
        </w:rPr>
        <w:t>uc</w:t>
      </w:r>
      <w:r w:rsidR="00DD2C4F" w:rsidRPr="0036268D">
        <w:rPr>
          <w:rFonts w:ascii="Palatino Linotype" w:eastAsia="Palatino Linotype" w:hAnsi="Palatino Linotype" w:cs="Palatino Linotype"/>
        </w:rPr>
        <w:t>esivo se le identificará como la parte</w:t>
      </w:r>
      <w:r w:rsidRPr="0036268D">
        <w:rPr>
          <w:rFonts w:ascii="Palatino Linotype" w:eastAsia="Palatino Linotype" w:hAnsi="Palatino Linotype" w:cs="Palatino Linotype"/>
          <w:b/>
        </w:rPr>
        <w:t xml:space="preserve"> RECURRENTE</w:t>
      </w:r>
      <w:r w:rsidRPr="0036268D">
        <w:rPr>
          <w:rFonts w:ascii="Palatino Linotype" w:eastAsia="Palatino Linotype" w:hAnsi="Palatino Linotype" w:cs="Palatino Linotype"/>
        </w:rPr>
        <w:t xml:space="preserve">, en contra de la respuesta del </w:t>
      </w:r>
      <w:r w:rsidR="00BA6C84" w:rsidRPr="0036268D">
        <w:rPr>
          <w:rFonts w:ascii="Palatino Linotype" w:hAnsi="Palatino Linotype"/>
          <w:b/>
          <w:bCs/>
          <w:color w:val="000000"/>
        </w:rPr>
        <w:t>Ayuntamiento de Morelos</w:t>
      </w:r>
      <w:r w:rsidR="00726546" w:rsidRPr="0036268D">
        <w:rPr>
          <w:rFonts w:ascii="Palatino Linotype" w:eastAsia="Palatino Linotype" w:hAnsi="Palatino Linotype" w:cs="Palatino Linotype"/>
          <w:b/>
        </w:rPr>
        <w:t>,</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en adelante el</w:t>
      </w:r>
      <w:r w:rsidRPr="0036268D">
        <w:rPr>
          <w:rFonts w:ascii="Palatino Linotype" w:eastAsia="Palatino Linotype" w:hAnsi="Palatino Linotype" w:cs="Palatino Linotype"/>
          <w:b/>
        </w:rPr>
        <w:t xml:space="preserve"> SUJETO OBLIGADO</w:t>
      </w:r>
      <w:r w:rsidRPr="0036268D">
        <w:rPr>
          <w:rFonts w:ascii="Palatino Linotype" w:eastAsia="Palatino Linotype" w:hAnsi="Palatino Linotype" w:cs="Palatino Linotype"/>
        </w:rPr>
        <w:t>, se procede a dictar la presente resolución, con base en los siguientes:</w:t>
      </w:r>
    </w:p>
    <w:p w14:paraId="17E25910" w14:textId="77777777" w:rsidR="00EB0F49" w:rsidRPr="0036268D" w:rsidRDefault="00EB0F49" w:rsidP="00704431">
      <w:pPr>
        <w:tabs>
          <w:tab w:val="left" w:pos="0"/>
        </w:tabs>
        <w:spacing w:line="360" w:lineRule="auto"/>
        <w:jc w:val="both"/>
        <w:rPr>
          <w:rFonts w:ascii="Palatino Linotype" w:eastAsia="Palatino Linotype" w:hAnsi="Palatino Linotype" w:cs="Palatino Linotype"/>
        </w:rPr>
      </w:pPr>
    </w:p>
    <w:p w14:paraId="617F897C" w14:textId="77777777" w:rsidR="00EB0F49" w:rsidRPr="0036268D" w:rsidRDefault="001D3081" w:rsidP="00704431">
      <w:pPr>
        <w:pStyle w:val="Ttulo1"/>
        <w:tabs>
          <w:tab w:val="left" w:pos="0"/>
          <w:tab w:val="left" w:pos="567"/>
        </w:tabs>
        <w:spacing w:before="0" w:line="360" w:lineRule="auto"/>
        <w:jc w:val="center"/>
        <w:rPr>
          <w:b w:val="0"/>
          <w:color w:val="auto"/>
          <w:szCs w:val="24"/>
        </w:rPr>
      </w:pPr>
      <w:bookmarkStart w:id="2" w:name="_heading=h.30j0zll" w:colFirst="0" w:colLast="0"/>
      <w:bookmarkEnd w:id="2"/>
      <w:r w:rsidRPr="0036268D">
        <w:rPr>
          <w:color w:val="auto"/>
          <w:szCs w:val="24"/>
        </w:rPr>
        <w:t>A N T E C E D E N T E S</w:t>
      </w:r>
    </w:p>
    <w:p w14:paraId="74CA4F9B" w14:textId="77777777" w:rsidR="00EB0F49" w:rsidRPr="0036268D" w:rsidRDefault="00EB0F49" w:rsidP="00704431">
      <w:pPr>
        <w:pStyle w:val="Ttulo1"/>
        <w:tabs>
          <w:tab w:val="left" w:pos="0"/>
          <w:tab w:val="left" w:pos="567"/>
        </w:tabs>
        <w:spacing w:before="0" w:line="360" w:lineRule="auto"/>
        <w:jc w:val="center"/>
        <w:rPr>
          <w:color w:val="auto"/>
          <w:szCs w:val="24"/>
        </w:rPr>
      </w:pPr>
    </w:p>
    <w:p w14:paraId="105CED4A" w14:textId="6DE8DCFE"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eastAsia="Palatino Linotype" w:hAnsi="Palatino Linotype" w:cs="Palatino Linotype"/>
        </w:rPr>
        <w:t xml:space="preserve">El </w:t>
      </w:r>
      <w:r w:rsidR="00BA6C84" w:rsidRPr="0036268D">
        <w:rPr>
          <w:rFonts w:ascii="Palatino Linotype" w:eastAsia="Palatino Linotype" w:hAnsi="Palatino Linotype" w:cs="Palatino Linotype"/>
          <w:b/>
        </w:rPr>
        <w:t>diecisiete</w:t>
      </w:r>
      <w:r w:rsidR="00DD2C4F" w:rsidRPr="0036268D">
        <w:rPr>
          <w:rFonts w:ascii="Palatino Linotype" w:eastAsia="Palatino Linotype" w:hAnsi="Palatino Linotype" w:cs="Palatino Linotype"/>
          <w:b/>
        </w:rPr>
        <w:t xml:space="preserve"> de febrero</w:t>
      </w:r>
      <w:r w:rsidR="002A78AD"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 xml:space="preserve">se presentó ante el </w:t>
      </w:r>
      <w:r w:rsidRPr="0036268D">
        <w:rPr>
          <w:rFonts w:ascii="Palatino Linotype" w:eastAsia="Palatino Linotype" w:hAnsi="Palatino Linotype" w:cs="Palatino Linotype"/>
          <w:b/>
        </w:rPr>
        <w:t>SUJETO OBLIGADO</w:t>
      </w:r>
      <w:r w:rsidRPr="0036268D">
        <w:rPr>
          <w:rFonts w:ascii="Palatino Linotype" w:eastAsia="Palatino Linotype" w:hAnsi="Palatino Linotype" w:cs="Palatino Linotype"/>
        </w:rPr>
        <w:t xml:space="preserve"> vía </w:t>
      </w:r>
      <w:r w:rsidRPr="0036268D">
        <w:rPr>
          <w:rFonts w:ascii="Palatino Linotype" w:eastAsia="Palatino Linotype" w:hAnsi="Palatino Linotype" w:cs="Palatino Linotype"/>
          <w:b/>
        </w:rPr>
        <w:t>SAIMEX</w:t>
      </w:r>
      <w:r w:rsidRPr="0036268D">
        <w:rPr>
          <w:rFonts w:ascii="Palatino Linotype" w:eastAsia="Palatino Linotype" w:hAnsi="Palatino Linotype" w:cs="Palatino Linotype"/>
        </w:rPr>
        <w:t>, la solicitud de información pública registrada con el número</w:t>
      </w:r>
      <w:r w:rsidR="00BA6C84" w:rsidRPr="0036268D">
        <w:rPr>
          <w:rFonts w:ascii="Palatino Linotype" w:eastAsia="Palatino Linotype" w:hAnsi="Palatino Linotype" w:cs="Palatino Linotype"/>
          <w:b/>
        </w:rPr>
        <w:t xml:space="preserve"> 00038</w:t>
      </w:r>
      <w:r w:rsidRPr="0036268D">
        <w:rPr>
          <w:rFonts w:ascii="Palatino Linotype" w:eastAsia="Palatino Linotype" w:hAnsi="Palatino Linotype" w:cs="Palatino Linotype"/>
          <w:b/>
        </w:rPr>
        <w:t>/</w:t>
      </w:r>
      <w:r w:rsidR="00BA6C84" w:rsidRPr="0036268D">
        <w:rPr>
          <w:rFonts w:ascii="Palatino Linotype" w:eastAsia="Palatino Linotype" w:hAnsi="Palatino Linotype" w:cs="Palatino Linotype"/>
          <w:b/>
        </w:rPr>
        <w:t>MORELOS</w:t>
      </w:r>
      <w:r w:rsidRPr="0036268D">
        <w:rPr>
          <w:rFonts w:ascii="Palatino Linotype" w:eastAsia="Palatino Linotype" w:hAnsi="Palatino Linotype" w:cs="Palatino Linotype"/>
          <w:b/>
        </w:rPr>
        <w:t xml:space="preserve">/IP/2025; </w:t>
      </w:r>
      <w:r w:rsidR="001B7DE1">
        <w:rPr>
          <w:rFonts w:ascii="Palatino Linotype" w:eastAsia="Palatino Linotype" w:hAnsi="Palatino Linotype" w:cs="Palatino Linotype"/>
        </w:rPr>
        <w:t>en la que</w:t>
      </w:r>
      <w:r w:rsidRPr="0036268D">
        <w:rPr>
          <w:rFonts w:ascii="Palatino Linotype" w:eastAsia="Palatino Linotype" w:hAnsi="Palatino Linotype" w:cs="Palatino Linotype"/>
        </w:rPr>
        <w:t xml:space="preserve"> se solicitó la siguiente información:</w:t>
      </w:r>
    </w:p>
    <w:p w14:paraId="5807ECA6" w14:textId="77777777" w:rsidR="00EB0F49" w:rsidRPr="0036268D" w:rsidRDefault="00EB0F49"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430E820F" w14:textId="0AFD00A7" w:rsidR="001D3081" w:rsidRPr="0036268D" w:rsidRDefault="001D3081"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w:t>
      </w:r>
      <w:r w:rsidR="00BA6C84" w:rsidRPr="0036268D">
        <w:rPr>
          <w:rFonts w:ascii="Palatino Linotype" w:eastAsia="Palatino Linotype" w:hAnsi="Palatino Linotype" w:cs="Palatino Linotype"/>
          <w:i/>
        </w:rPr>
        <w:t>Solicit</w:t>
      </w:r>
      <w:r w:rsidR="00BA6C84" w:rsidRPr="0036268D">
        <w:rPr>
          <w:rFonts w:ascii="Palatino Linotype" w:hAnsi="Palatino Linotype"/>
          <w:i/>
          <w:color w:val="000000"/>
        </w:rPr>
        <w:t>o los recibos de nómina en su versión pública de todo el personal que conforma la administración de los meses de enero y febrero de 2025.</w:t>
      </w:r>
      <w:r w:rsidRPr="0036268D">
        <w:rPr>
          <w:rFonts w:ascii="Palatino Linotype" w:hAnsi="Palatino Linotype"/>
          <w:i/>
        </w:rPr>
        <w:t>”</w:t>
      </w:r>
      <w:r w:rsidRPr="0036268D">
        <w:rPr>
          <w:rFonts w:ascii="Palatino Linotype" w:eastAsia="Palatino Linotype" w:hAnsi="Palatino Linotype" w:cs="Palatino Linotype"/>
          <w:i/>
        </w:rPr>
        <w:t xml:space="preserve"> (Sic)</w:t>
      </w:r>
    </w:p>
    <w:p w14:paraId="1EA0468E" w14:textId="77777777" w:rsidR="001D3081" w:rsidRDefault="001D3081" w:rsidP="00704431">
      <w:pPr>
        <w:pBdr>
          <w:top w:val="nil"/>
          <w:left w:val="nil"/>
          <w:bottom w:val="nil"/>
          <w:right w:val="nil"/>
          <w:between w:val="nil"/>
        </w:pBdr>
        <w:tabs>
          <w:tab w:val="left" w:pos="0"/>
        </w:tabs>
        <w:jc w:val="both"/>
        <w:rPr>
          <w:rFonts w:ascii="Palatino Linotype" w:eastAsia="Palatino Linotype" w:hAnsi="Palatino Linotype" w:cs="Palatino Linotype"/>
          <w:i/>
        </w:rPr>
      </w:pPr>
    </w:p>
    <w:p w14:paraId="1972F210" w14:textId="77777777" w:rsidR="001B7DE1" w:rsidRPr="0036268D" w:rsidRDefault="001B7DE1" w:rsidP="00704431">
      <w:pPr>
        <w:pBdr>
          <w:top w:val="nil"/>
          <w:left w:val="nil"/>
          <w:bottom w:val="nil"/>
          <w:right w:val="nil"/>
          <w:between w:val="nil"/>
        </w:pBdr>
        <w:tabs>
          <w:tab w:val="left" w:pos="0"/>
        </w:tabs>
        <w:jc w:val="both"/>
        <w:rPr>
          <w:rFonts w:ascii="Palatino Linotype" w:eastAsia="Palatino Linotype" w:hAnsi="Palatino Linotype" w:cs="Palatino Linotype"/>
          <w:i/>
        </w:rPr>
      </w:pPr>
    </w:p>
    <w:p w14:paraId="05BF658B" w14:textId="77777777" w:rsidR="001D3081"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eastAsia="Palatino Linotype" w:hAnsi="Palatino Linotype" w:cs="Palatino Linotype"/>
        </w:rPr>
        <w:t xml:space="preserve">Se eligió como modalidad de entrega de la información: A través del </w:t>
      </w:r>
      <w:r w:rsidRPr="0036268D">
        <w:rPr>
          <w:rFonts w:ascii="Palatino Linotype" w:eastAsia="Palatino Linotype" w:hAnsi="Palatino Linotype" w:cs="Palatino Linotype"/>
          <w:b/>
        </w:rPr>
        <w:t>SAIMEX.</w:t>
      </w:r>
    </w:p>
    <w:p w14:paraId="1AA74291" w14:textId="77777777" w:rsidR="001D3081" w:rsidRPr="0036268D" w:rsidRDefault="001D3081" w:rsidP="00704431">
      <w:pPr>
        <w:pBdr>
          <w:top w:val="nil"/>
          <w:left w:val="nil"/>
          <w:bottom w:val="nil"/>
          <w:right w:val="nil"/>
          <w:between w:val="nil"/>
        </w:pBdr>
        <w:tabs>
          <w:tab w:val="left" w:pos="0"/>
        </w:tabs>
        <w:jc w:val="both"/>
        <w:rPr>
          <w:rFonts w:ascii="Palatino Linotype" w:hAnsi="Palatino Linotype"/>
        </w:rPr>
      </w:pPr>
    </w:p>
    <w:p w14:paraId="69518CD6" w14:textId="788E0EAF" w:rsidR="00BA6C84" w:rsidRPr="0036268D" w:rsidRDefault="00BA6C84"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hAnsi="Palatino Linotype"/>
        </w:rPr>
        <w:t xml:space="preserve">El siete de marzo de dos mil veinticinco, el </w:t>
      </w:r>
      <w:r w:rsidRPr="0036268D">
        <w:rPr>
          <w:rFonts w:ascii="Palatino Linotype" w:hAnsi="Palatino Linotype"/>
          <w:b/>
        </w:rPr>
        <w:t>SUJETO OBLIGADO</w:t>
      </w:r>
      <w:r w:rsidRPr="0036268D">
        <w:rPr>
          <w:rFonts w:ascii="Palatino Linotype" w:hAnsi="Palatino Linotype"/>
        </w:rPr>
        <w:t xml:space="preserve"> notificó una prórroga para atender la solicitud de información, en los siguientes términos:</w:t>
      </w:r>
    </w:p>
    <w:p w14:paraId="049B77DE" w14:textId="77777777" w:rsidR="00BA6C84" w:rsidRPr="0036268D" w:rsidRDefault="00BA6C84" w:rsidP="00704431">
      <w:pPr>
        <w:tabs>
          <w:tab w:val="left" w:pos="0"/>
        </w:tabs>
        <w:rPr>
          <w:rFonts w:ascii="Palatino Linotype" w:hAnsi="Palatino Linotype"/>
        </w:rPr>
      </w:pPr>
    </w:p>
    <w:p w14:paraId="6E1C99B7" w14:textId="6BE5AE55" w:rsidR="00BA6C84" w:rsidRPr="0036268D" w:rsidRDefault="00BA6C84" w:rsidP="00704431">
      <w:pPr>
        <w:tabs>
          <w:tab w:val="left" w:pos="0"/>
        </w:tabs>
        <w:ind w:left="567"/>
        <w:jc w:val="both"/>
        <w:rPr>
          <w:rFonts w:ascii="Palatino Linotype" w:hAnsi="Palatino Linotype"/>
          <w:i/>
          <w:color w:val="000000"/>
        </w:rPr>
      </w:pPr>
      <w:r w:rsidRPr="0036268D">
        <w:rPr>
          <w:rFonts w:ascii="Palatino Linotype" w:hAnsi="Palatino Linotype"/>
          <w:i/>
          <w:color w:val="000000"/>
        </w:rPr>
        <w:lastRenderedPageBreak/>
        <w:t>“De este modo poder garantizar el cumplimiento de dicha información, la calidad de información y entrega completa de dicha información solicitada y una vez agotada la exposición se somete a votación el punto, manifestando, el cual que se aprueba por unanimidad de votos, bajo los siguientes acuerdos: PRIMERO: El Comité de Transparencia y Acceso a la Información del Municipio de Morelos, Estado de México aprueba por unanimidad de votos, después de lo expuesto debidamente fundado y motivado, la ampliación de plazo (prorroga); emitida por la Tesorería Municipal de Morelos, Estado de México, para dar respuesta a las diferentes solicitudes de Acceso a la Información turnadas a dicha área. SEGUNDO: Se instruye al Titular de la Unidad de Transparencia para que en el ejercicio de sus funciones de cumplimiento del presente acuerdo e informe de este al a las partes correspondientes.” (Sic)</w:t>
      </w:r>
    </w:p>
    <w:p w14:paraId="4A81FDAE" w14:textId="77777777" w:rsidR="00BA6C84" w:rsidRPr="0036268D" w:rsidRDefault="00BA6C84" w:rsidP="00704431">
      <w:pPr>
        <w:tabs>
          <w:tab w:val="left" w:pos="0"/>
        </w:tabs>
        <w:jc w:val="both"/>
        <w:rPr>
          <w:rFonts w:ascii="Palatino Linotype" w:hAnsi="Palatino Linotype"/>
          <w:i/>
          <w:color w:val="000000"/>
        </w:rPr>
      </w:pPr>
    </w:p>
    <w:p w14:paraId="77EDE0C3" w14:textId="477238F7" w:rsidR="00BA6C84" w:rsidRPr="0036268D" w:rsidRDefault="00BA6C84" w:rsidP="00704431">
      <w:pPr>
        <w:tabs>
          <w:tab w:val="left" w:pos="0"/>
        </w:tabs>
        <w:jc w:val="both"/>
        <w:rPr>
          <w:rFonts w:ascii="Palatino Linotype" w:hAnsi="Palatino Linotype"/>
          <w:color w:val="000000"/>
        </w:rPr>
      </w:pPr>
      <w:r w:rsidRPr="0036268D">
        <w:rPr>
          <w:rFonts w:ascii="Palatino Linotype" w:hAnsi="Palatino Linotype"/>
          <w:color w:val="000000"/>
        </w:rPr>
        <w:t>Archivos electrónicos adjuntos:</w:t>
      </w:r>
    </w:p>
    <w:p w14:paraId="04003619" w14:textId="77777777" w:rsidR="00BA6C84" w:rsidRPr="0036268D" w:rsidRDefault="00BA6C84" w:rsidP="00704431">
      <w:pPr>
        <w:tabs>
          <w:tab w:val="left" w:pos="0"/>
        </w:tabs>
        <w:jc w:val="both"/>
        <w:rPr>
          <w:rFonts w:ascii="Palatino Linotype" w:hAnsi="Palatino Linotype"/>
          <w:color w:val="000000"/>
        </w:rPr>
      </w:pPr>
    </w:p>
    <w:p w14:paraId="172812CF" w14:textId="3DC8612A" w:rsidR="00BA6C84" w:rsidRPr="0036268D" w:rsidRDefault="007D121E" w:rsidP="00704431">
      <w:pPr>
        <w:tabs>
          <w:tab w:val="left" w:pos="0"/>
        </w:tabs>
        <w:ind w:left="567"/>
        <w:jc w:val="both"/>
        <w:rPr>
          <w:rFonts w:ascii="Palatino Linotype" w:hAnsi="Palatino Linotype"/>
          <w:b/>
        </w:rPr>
      </w:pPr>
      <w:hyperlink r:id="rId8" w:tgtFrame="_blank" w:history="1">
        <w:r w:rsidR="00BA6C84" w:rsidRPr="0036268D">
          <w:rPr>
            <w:rStyle w:val="Hipervnculo"/>
            <w:rFonts w:ascii="Palatino Linotype" w:hAnsi="Palatino Linotype" w:cs="Arial"/>
            <w:b/>
            <w:bCs/>
            <w:color w:val="auto"/>
            <w:u w:val="none"/>
          </w:rPr>
          <w:t>Acta ampliación de plazo solicitud 32_46.pdf</w:t>
        </w:r>
      </w:hyperlink>
      <w:r w:rsidR="00BA6C84" w:rsidRPr="0036268D">
        <w:rPr>
          <w:rFonts w:ascii="Palatino Linotype" w:hAnsi="Palatino Linotype"/>
          <w:b/>
        </w:rPr>
        <w:t xml:space="preserve">: </w:t>
      </w:r>
      <w:r w:rsidR="00BA6C84" w:rsidRPr="0036268D">
        <w:rPr>
          <w:rFonts w:ascii="Palatino Linotype" w:hAnsi="Palatino Linotype"/>
        </w:rPr>
        <w:t>Copia digitalizada del Acta</w:t>
      </w:r>
      <w:r w:rsidR="00686812" w:rsidRPr="0036268D">
        <w:rPr>
          <w:rFonts w:ascii="Palatino Linotype" w:hAnsi="Palatino Linotype"/>
        </w:rPr>
        <w:t xml:space="preserve"> número CTM/014E/2025</w:t>
      </w:r>
      <w:r w:rsidR="00BA6C84" w:rsidRPr="0036268D">
        <w:rPr>
          <w:rFonts w:ascii="Palatino Linotype" w:hAnsi="Palatino Linotype"/>
        </w:rPr>
        <w:t xml:space="preserve"> de la </w:t>
      </w:r>
      <w:r w:rsidR="00686812" w:rsidRPr="0036268D">
        <w:rPr>
          <w:rFonts w:ascii="Palatino Linotype" w:hAnsi="Palatino Linotype"/>
        </w:rPr>
        <w:t xml:space="preserve">Sesión Extraordinaria del Comité de Transparencia de Morelos, por medio de la cual, se aprobó la solicitud de ampliación de plazo (prórroga), emitida por la Tesorería Municipal de Morelos para dar respuesta a la solicitud </w:t>
      </w:r>
      <w:r w:rsidR="00686812" w:rsidRPr="0036268D">
        <w:rPr>
          <w:rFonts w:ascii="Palatino Linotype" w:eastAsia="Palatino Linotype" w:hAnsi="Palatino Linotype" w:cs="Palatino Linotype"/>
        </w:rPr>
        <w:t>00038/MORELOS/IP/2025.</w:t>
      </w:r>
    </w:p>
    <w:p w14:paraId="6846F114" w14:textId="77777777" w:rsidR="00BA6C84" w:rsidRPr="0036268D" w:rsidRDefault="00BA6C84" w:rsidP="00704431">
      <w:pPr>
        <w:pBdr>
          <w:top w:val="nil"/>
          <w:left w:val="nil"/>
          <w:bottom w:val="nil"/>
          <w:right w:val="nil"/>
          <w:between w:val="nil"/>
        </w:pBdr>
        <w:tabs>
          <w:tab w:val="left" w:pos="0"/>
        </w:tabs>
        <w:spacing w:line="360" w:lineRule="auto"/>
        <w:jc w:val="both"/>
        <w:rPr>
          <w:rFonts w:ascii="Palatino Linotype" w:hAnsi="Palatino Linotype"/>
        </w:rPr>
      </w:pPr>
    </w:p>
    <w:p w14:paraId="1DB16994" w14:textId="60FE1224" w:rsidR="00EB0F49" w:rsidRPr="0036268D" w:rsidRDefault="00726546"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eastAsia="Palatino Linotype" w:hAnsi="Palatino Linotype" w:cs="Palatino Linotype"/>
        </w:rPr>
        <w:t xml:space="preserve">El </w:t>
      </w:r>
      <w:r w:rsidR="00686812" w:rsidRPr="0036268D">
        <w:rPr>
          <w:rFonts w:ascii="Palatino Linotype" w:eastAsia="Palatino Linotype" w:hAnsi="Palatino Linotype" w:cs="Palatino Linotype"/>
          <w:b/>
        </w:rPr>
        <w:t xml:space="preserve">veinte </w:t>
      </w:r>
      <w:r w:rsidR="00DD2C4F" w:rsidRPr="0036268D">
        <w:rPr>
          <w:rFonts w:ascii="Palatino Linotype" w:eastAsia="Palatino Linotype" w:hAnsi="Palatino Linotype" w:cs="Palatino Linotype"/>
          <w:b/>
        </w:rPr>
        <w:t>de marzo</w:t>
      </w:r>
      <w:r w:rsidR="001D3081" w:rsidRPr="0036268D">
        <w:rPr>
          <w:rFonts w:ascii="Palatino Linotype" w:eastAsia="Palatino Linotype" w:hAnsi="Palatino Linotype" w:cs="Palatino Linotype"/>
          <w:b/>
        </w:rPr>
        <w:t xml:space="preserve"> de dos mil veinticinco</w:t>
      </w:r>
      <w:r w:rsidR="001D3081" w:rsidRPr="0036268D">
        <w:rPr>
          <w:rFonts w:ascii="Palatino Linotype" w:eastAsia="Palatino Linotype" w:hAnsi="Palatino Linotype" w:cs="Palatino Linotype"/>
        </w:rPr>
        <w:t xml:space="preserve">, el </w:t>
      </w:r>
      <w:r w:rsidR="001D3081" w:rsidRPr="0036268D">
        <w:rPr>
          <w:rFonts w:ascii="Palatino Linotype" w:eastAsia="Palatino Linotype" w:hAnsi="Palatino Linotype" w:cs="Palatino Linotype"/>
          <w:b/>
        </w:rPr>
        <w:t>SUJETO OBLIGADO,</w:t>
      </w:r>
      <w:r w:rsidR="001D3081" w:rsidRPr="0036268D">
        <w:rPr>
          <w:rFonts w:ascii="Palatino Linotype" w:eastAsia="Palatino Linotype" w:hAnsi="Palatino Linotype" w:cs="Palatino Linotype"/>
        </w:rPr>
        <w:t xml:space="preserve"> dio respuesta a la solicitud</w:t>
      </w:r>
      <w:r w:rsidR="00DD2C4F" w:rsidRPr="0036268D">
        <w:rPr>
          <w:rFonts w:ascii="Palatino Linotype" w:eastAsia="Palatino Linotype" w:hAnsi="Palatino Linotype" w:cs="Palatino Linotype"/>
        </w:rPr>
        <w:t>, en los siguientes términos</w:t>
      </w:r>
      <w:r w:rsidR="001D3081" w:rsidRPr="0036268D">
        <w:rPr>
          <w:rFonts w:ascii="Palatino Linotype" w:eastAsia="Palatino Linotype" w:hAnsi="Palatino Linotype" w:cs="Palatino Linotype"/>
        </w:rPr>
        <w:t>:</w:t>
      </w:r>
    </w:p>
    <w:p w14:paraId="4756FA6B" w14:textId="328FC8E0" w:rsidR="001D3081" w:rsidRPr="0036268D" w:rsidRDefault="007C6197" w:rsidP="00704431">
      <w:pPr>
        <w:pBdr>
          <w:top w:val="nil"/>
          <w:left w:val="nil"/>
          <w:bottom w:val="nil"/>
          <w:right w:val="nil"/>
          <w:between w:val="nil"/>
        </w:pBdr>
        <w:tabs>
          <w:tab w:val="left" w:pos="0"/>
        </w:tabs>
        <w:ind w:left="567"/>
        <w:jc w:val="both"/>
        <w:rPr>
          <w:rFonts w:ascii="Palatino Linotype" w:hAnsi="Palatino Linotype"/>
          <w:i/>
          <w:color w:val="000000"/>
        </w:rPr>
      </w:pPr>
      <w:r w:rsidRPr="0036268D">
        <w:rPr>
          <w:rFonts w:ascii="Palatino Linotype" w:hAnsi="Palatino Linotype"/>
          <w:i/>
        </w:rPr>
        <w:t>“</w:t>
      </w:r>
      <w:r w:rsidR="00DD2C4F" w:rsidRPr="0036268D">
        <w:rPr>
          <w:rFonts w:ascii="Palatino Linotype" w:hAnsi="Palatino Linotype"/>
          <w:i/>
          <w:color w:val="000000"/>
        </w:rPr>
        <w:t>A</w:t>
      </w:r>
      <w:r w:rsidR="00686812" w:rsidRPr="0036268D">
        <w:rPr>
          <w:rFonts w:ascii="Palatino Linotype" w:hAnsi="Palatino Linotype"/>
          <w:i/>
          <w:color w:val="000000"/>
        </w:rPr>
        <w:t xml:space="preserve">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00038/MORELOS/IP/2025, recibida por esta dependencia a través del Sistema de Acceso a la Información Mexiquense (SAIMEX), con fecha de 17 de febrero de 2025, dirigida al Ayuntamiento de Morelos, Estado de México como sujeto Obligado de la Ley de Transparencia y Acceso a la Información Pública del Estado de México y Municipios, haciéndolo de la siguiente forma: Usted realizo la petición consistente en: “Solicito los recibos de nómina en su versión pública de todo el personal que conforma la administración de los meses de enero y febrero de 2025.”; En base a lo anterior y conforme al artículo 152 de la Ley de Transparencia y Acceso a la Información Pública del Estado de México y Municipios, se turnó al Sujeto Habilitado Tesorero Municipal de Morelos, Estado de México, de lo cual mediante oficio signado TM/MOR094/III/2025 remite así su contestación, la cual se adjunta con el presente oficio en </w:t>
      </w:r>
      <w:r w:rsidR="00686812" w:rsidRPr="0036268D">
        <w:rPr>
          <w:rFonts w:ascii="Palatino Linotype" w:hAnsi="Palatino Linotype"/>
          <w:i/>
          <w:color w:val="000000"/>
        </w:rPr>
        <w:lastRenderedPageBreak/>
        <w:t>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r w:rsidR="001D3081" w:rsidRPr="0036268D">
        <w:rPr>
          <w:rFonts w:ascii="Palatino Linotype" w:hAnsi="Palatino Linotype"/>
          <w:i/>
        </w:rPr>
        <w:t>” (Sic)</w:t>
      </w:r>
    </w:p>
    <w:p w14:paraId="6ED1B036" w14:textId="77777777" w:rsidR="001D3081" w:rsidRPr="0036268D" w:rsidRDefault="001D3081"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7D62038C" w14:textId="4D29BA28" w:rsidR="00EB0F49" w:rsidRPr="0036268D" w:rsidRDefault="00597F01" w:rsidP="00704431">
      <w:pPr>
        <w:pBdr>
          <w:top w:val="nil"/>
          <w:left w:val="nil"/>
          <w:bottom w:val="nil"/>
          <w:right w:val="nil"/>
          <w:between w:val="nil"/>
        </w:pBdr>
        <w:tabs>
          <w:tab w:val="left" w:pos="0"/>
        </w:tabs>
        <w:jc w:val="both"/>
        <w:rPr>
          <w:rFonts w:ascii="Palatino Linotype" w:eastAsia="Palatino Linotype" w:hAnsi="Palatino Linotype" w:cs="Palatino Linotype"/>
        </w:rPr>
      </w:pPr>
      <w:r w:rsidRPr="0036268D">
        <w:rPr>
          <w:rFonts w:ascii="Palatino Linotype" w:eastAsia="Palatino Linotype" w:hAnsi="Palatino Linotype" w:cs="Palatino Linotype"/>
        </w:rPr>
        <w:t>Archivos electrónicos adjuntos:</w:t>
      </w:r>
    </w:p>
    <w:p w14:paraId="4B186A38" w14:textId="77777777" w:rsidR="002A78AD" w:rsidRPr="0036268D" w:rsidRDefault="002A78AD" w:rsidP="00704431">
      <w:pPr>
        <w:tabs>
          <w:tab w:val="left" w:pos="0"/>
        </w:tabs>
        <w:rPr>
          <w:rFonts w:ascii="Palatino Linotype" w:eastAsia="Palatino Linotype" w:hAnsi="Palatino Linotype" w:cs="Palatino Linotype"/>
        </w:rPr>
      </w:pPr>
    </w:p>
    <w:p w14:paraId="154D74ED" w14:textId="77777777" w:rsidR="00686812" w:rsidRPr="0036268D" w:rsidRDefault="007D121E" w:rsidP="00704431">
      <w:pPr>
        <w:tabs>
          <w:tab w:val="left" w:pos="0"/>
        </w:tabs>
        <w:ind w:left="567"/>
        <w:rPr>
          <w:rFonts w:ascii="Palatino Linotype" w:hAnsi="Palatino Linotype"/>
        </w:rPr>
      </w:pPr>
      <w:hyperlink r:id="rId9" w:tgtFrame="_blank" w:history="1">
        <w:r w:rsidR="00686812" w:rsidRPr="0036268D">
          <w:rPr>
            <w:rStyle w:val="Hipervnculo"/>
            <w:rFonts w:ascii="Palatino Linotype" w:hAnsi="Palatino Linotype" w:cs="Arial"/>
            <w:b/>
            <w:bCs/>
            <w:color w:val="auto"/>
            <w:u w:val="none"/>
          </w:rPr>
          <w:t>RESPUESTA A LA SOLICITUD 38.pdf</w:t>
        </w:r>
      </w:hyperlink>
      <w:r w:rsidR="00686812" w:rsidRPr="0036268D">
        <w:rPr>
          <w:rFonts w:ascii="Palatino Linotype" w:hAnsi="Palatino Linotype"/>
        </w:rPr>
        <w:t>:</w:t>
      </w:r>
    </w:p>
    <w:p w14:paraId="6652060F" w14:textId="77777777" w:rsidR="00686812" w:rsidRPr="0036268D" w:rsidRDefault="00686812" w:rsidP="00704431">
      <w:pPr>
        <w:tabs>
          <w:tab w:val="left" w:pos="0"/>
        </w:tabs>
        <w:ind w:left="567"/>
        <w:rPr>
          <w:rFonts w:ascii="Palatino Linotype" w:hAnsi="Palatino Linotype"/>
        </w:rPr>
      </w:pPr>
    </w:p>
    <w:p w14:paraId="73BF64CF" w14:textId="292E9F19" w:rsidR="00686812" w:rsidRPr="0036268D" w:rsidRDefault="00686812" w:rsidP="00704431">
      <w:pPr>
        <w:tabs>
          <w:tab w:val="left" w:pos="0"/>
        </w:tabs>
        <w:ind w:left="851"/>
        <w:jc w:val="both"/>
        <w:rPr>
          <w:rFonts w:ascii="Palatino Linotype" w:eastAsia="Palatino Linotype" w:hAnsi="Palatino Linotype" w:cs="Palatino Linotype"/>
        </w:rPr>
      </w:pPr>
      <w:r w:rsidRPr="0036268D">
        <w:rPr>
          <w:rFonts w:ascii="Palatino Linotype" w:hAnsi="Palatino Linotype"/>
        </w:rPr>
        <w:t xml:space="preserve">-Oficio UT/242/III/2025, suscrito por el Titular de la Unidad de Transparencia, por medio del cual, refirió adjuntar el oficio TM/MOR094/III/2025 para dar contestación a la solicitud de información </w:t>
      </w:r>
      <w:r w:rsidRPr="0036268D">
        <w:rPr>
          <w:rFonts w:ascii="Palatino Linotype" w:eastAsia="Palatino Linotype" w:hAnsi="Palatino Linotype" w:cs="Palatino Linotype"/>
        </w:rPr>
        <w:t>00038/MORELOS/IP/2025.</w:t>
      </w:r>
    </w:p>
    <w:p w14:paraId="0C4E0E98" w14:textId="77777777" w:rsidR="00686812" w:rsidRPr="0036268D" w:rsidRDefault="00686812" w:rsidP="00704431">
      <w:pPr>
        <w:tabs>
          <w:tab w:val="left" w:pos="0"/>
        </w:tabs>
        <w:ind w:left="851"/>
        <w:jc w:val="both"/>
        <w:rPr>
          <w:rFonts w:ascii="Palatino Linotype" w:eastAsia="Palatino Linotype" w:hAnsi="Palatino Linotype" w:cs="Palatino Linotype"/>
        </w:rPr>
      </w:pPr>
    </w:p>
    <w:p w14:paraId="1E8D4839" w14:textId="089D0ED1" w:rsidR="00686812" w:rsidRPr="0036268D" w:rsidRDefault="00686812" w:rsidP="00704431">
      <w:pPr>
        <w:tabs>
          <w:tab w:val="left" w:pos="0"/>
        </w:tabs>
        <w:ind w:left="851"/>
        <w:jc w:val="both"/>
        <w:rPr>
          <w:rFonts w:ascii="Palatino Linotype" w:hAnsi="Palatino Linotype"/>
        </w:rPr>
      </w:pPr>
      <w:r w:rsidRPr="0036268D">
        <w:rPr>
          <w:rFonts w:ascii="Palatino Linotype" w:eastAsia="Palatino Linotype" w:hAnsi="Palatino Linotype" w:cs="Palatino Linotype"/>
        </w:rPr>
        <w:t xml:space="preserve">-Oficio </w:t>
      </w:r>
      <w:r w:rsidRPr="0036268D">
        <w:rPr>
          <w:rFonts w:ascii="Palatino Linotype" w:hAnsi="Palatino Linotype"/>
        </w:rPr>
        <w:t>TM/MOR094/III/2025, suscrito por el Tesorero Municipal, por medio del cual, refirió anexar la información requerida.</w:t>
      </w:r>
    </w:p>
    <w:p w14:paraId="1822A6EB" w14:textId="77777777" w:rsidR="00686812" w:rsidRPr="0036268D" w:rsidRDefault="00686812" w:rsidP="00704431">
      <w:pPr>
        <w:tabs>
          <w:tab w:val="left" w:pos="0"/>
        </w:tabs>
        <w:ind w:left="851"/>
        <w:jc w:val="both"/>
        <w:rPr>
          <w:rFonts w:ascii="Palatino Linotype" w:hAnsi="Palatino Linotype"/>
        </w:rPr>
      </w:pPr>
    </w:p>
    <w:p w14:paraId="046A33C1" w14:textId="4D47A48B" w:rsidR="00686812" w:rsidRPr="0036268D" w:rsidRDefault="00686812" w:rsidP="00704431">
      <w:pPr>
        <w:tabs>
          <w:tab w:val="left" w:pos="0"/>
        </w:tabs>
        <w:ind w:left="851"/>
        <w:jc w:val="both"/>
        <w:rPr>
          <w:rFonts w:ascii="Palatino Linotype" w:eastAsia="Palatino Linotype" w:hAnsi="Palatino Linotype" w:cs="Palatino Linotype"/>
        </w:rPr>
      </w:pPr>
      <w:r w:rsidRPr="0036268D">
        <w:rPr>
          <w:rFonts w:ascii="Palatino Linotype" w:hAnsi="Palatino Linotype"/>
        </w:rPr>
        <w:t>-Cuadro de C</w:t>
      </w:r>
      <w:r w:rsidR="00843C8B" w:rsidRPr="0036268D">
        <w:rPr>
          <w:rFonts w:ascii="Palatino Linotype" w:hAnsi="Palatino Linotype"/>
        </w:rPr>
        <w:t>lasificación</w:t>
      </w:r>
      <w:r w:rsidRPr="0036268D">
        <w:rPr>
          <w:rFonts w:ascii="Palatino Linotype" w:hAnsi="Palatino Linotype"/>
        </w:rPr>
        <w:t xml:space="preserve"> de la información</w:t>
      </w:r>
      <w:r w:rsidR="00843C8B" w:rsidRPr="0036268D">
        <w:rPr>
          <w:rFonts w:ascii="Palatino Linotype" w:hAnsi="Palatino Linotype"/>
        </w:rPr>
        <w:t xml:space="preserve"> como confidencial</w:t>
      </w:r>
      <w:r w:rsidRPr="0036268D">
        <w:rPr>
          <w:rFonts w:ascii="Palatino Linotype" w:hAnsi="Palatino Linotype"/>
        </w:rPr>
        <w:t xml:space="preserve"> </w:t>
      </w:r>
      <w:r w:rsidR="00843C8B" w:rsidRPr="0036268D">
        <w:rPr>
          <w:rFonts w:ascii="Palatino Linotype" w:hAnsi="Palatino Linotype"/>
        </w:rPr>
        <w:t>relativa a</w:t>
      </w:r>
      <w:r w:rsidRPr="0036268D">
        <w:rPr>
          <w:rFonts w:ascii="Palatino Linotype" w:hAnsi="Palatino Linotype"/>
        </w:rPr>
        <w:t xml:space="preserve"> la solicitud de información </w:t>
      </w:r>
      <w:r w:rsidRPr="0036268D">
        <w:rPr>
          <w:rFonts w:ascii="Palatino Linotype" w:eastAsia="Palatino Linotype" w:hAnsi="Palatino Linotype" w:cs="Palatino Linotype"/>
        </w:rPr>
        <w:t>00038/MORELOS/IP/2025.</w:t>
      </w:r>
    </w:p>
    <w:p w14:paraId="49F84185" w14:textId="77777777" w:rsidR="00686812" w:rsidRPr="0036268D" w:rsidRDefault="00686812" w:rsidP="00704431">
      <w:pPr>
        <w:tabs>
          <w:tab w:val="left" w:pos="0"/>
        </w:tabs>
        <w:ind w:left="851"/>
        <w:jc w:val="both"/>
        <w:rPr>
          <w:rFonts w:ascii="Palatino Linotype" w:eastAsia="Palatino Linotype" w:hAnsi="Palatino Linotype" w:cs="Palatino Linotype"/>
        </w:rPr>
      </w:pPr>
    </w:p>
    <w:p w14:paraId="572B527D" w14:textId="1C1F5736" w:rsidR="00686812" w:rsidRPr="0036268D" w:rsidRDefault="00686812" w:rsidP="00704431">
      <w:pPr>
        <w:tabs>
          <w:tab w:val="left" w:pos="0"/>
        </w:tabs>
        <w:ind w:left="851"/>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-Prueba de daño relativa </w:t>
      </w:r>
      <w:r w:rsidR="00843C8B" w:rsidRPr="0036268D">
        <w:rPr>
          <w:rFonts w:ascii="Palatino Linotype" w:eastAsia="Palatino Linotype" w:hAnsi="Palatino Linotype" w:cs="Palatino Linotype"/>
        </w:rPr>
        <w:t>al “nombre completo de personal operativo de seguridad pública”.</w:t>
      </w:r>
    </w:p>
    <w:p w14:paraId="50804B07" w14:textId="77777777" w:rsidR="00843C8B" w:rsidRPr="0036268D" w:rsidRDefault="00843C8B" w:rsidP="00704431">
      <w:pPr>
        <w:tabs>
          <w:tab w:val="left" w:pos="0"/>
        </w:tabs>
        <w:ind w:left="851"/>
        <w:jc w:val="both"/>
        <w:rPr>
          <w:rFonts w:ascii="Palatino Linotype" w:eastAsia="Palatino Linotype" w:hAnsi="Palatino Linotype" w:cs="Palatino Linotype"/>
        </w:rPr>
      </w:pPr>
    </w:p>
    <w:p w14:paraId="64CB1FE9" w14:textId="0A4D14AA" w:rsidR="00843C8B" w:rsidRPr="0036268D" w:rsidRDefault="00843C8B" w:rsidP="00704431">
      <w:pPr>
        <w:tabs>
          <w:tab w:val="left" w:pos="0"/>
        </w:tabs>
        <w:ind w:left="851"/>
        <w:jc w:val="both"/>
        <w:rPr>
          <w:rFonts w:ascii="Palatino Linotype" w:eastAsia="Palatino Linotype" w:hAnsi="Palatino Linotype" w:cs="Palatino Linotype"/>
        </w:rPr>
      </w:pPr>
      <w:r w:rsidRPr="0036268D">
        <w:rPr>
          <w:rFonts w:ascii="Palatino Linotype" w:eastAsia="Palatino Linotype" w:hAnsi="Palatino Linotype" w:cs="Palatino Linotype"/>
        </w:rPr>
        <w:t>-Acta número CTM/020E/2025 de la Sesión extraordinaria del Comité de Transparencia de Morelos, en la que se aprobó la propuesta de clasificación como información reservada, confidencial y la prueba de daño respectiva, emitida por la Tesorería Municipal de Morelos, del Reporte de Nómina proporcionado en respuesta.</w:t>
      </w:r>
    </w:p>
    <w:p w14:paraId="34087BDF" w14:textId="77777777" w:rsidR="00686812" w:rsidRPr="0036268D" w:rsidRDefault="00686812" w:rsidP="00704431">
      <w:pPr>
        <w:tabs>
          <w:tab w:val="left" w:pos="0"/>
        </w:tabs>
        <w:jc w:val="both"/>
        <w:rPr>
          <w:rFonts w:ascii="Palatino Linotype" w:hAnsi="Palatino Linotype"/>
        </w:rPr>
      </w:pPr>
    </w:p>
    <w:p w14:paraId="510DE3D2" w14:textId="69AF35E0" w:rsidR="00DD2C4F" w:rsidRPr="0036268D" w:rsidRDefault="007D121E" w:rsidP="00704431">
      <w:pPr>
        <w:tabs>
          <w:tab w:val="left" w:pos="0"/>
        </w:tabs>
        <w:ind w:left="567"/>
        <w:rPr>
          <w:rFonts w:ascii="Palatino Linotype" w:hAnsi="Palatino Linotype"/>
        </w:rPr>
      </w:pPr>
      <w:hyperlink r:id="rId10" w:tgtFrame="_blank" w:history="1">
        <w:r w:rsidR="00686812" w:rsidRPr="0036268D">
          <w:rPr>
            <w:rStyle w:val="Hipervnculo"/>
            <w:rFonts w:ascii="Palatino Linotype" w:hAnsi="Palatino Linotype" w:cs="Arial"/>
            <w:b/>
            <w:bCs/>
            <w:color w:val="auto"/>
            <w:u w:val="none"/>
          </w:rPr>
          <w:t>38 (2).pdf</w:t>
        </w:r>
      </w:hyperlink>
      <w:r w:rsidR="00686812" w:rsidRPr="0036268D">
        <w:rPr>
          <w:rFonts w:ascii="Palatino Linotype" w:hAnsi="Palatino Linotype"/>
        </w:rPr>
        <w:t>:</w:t>
      </w:r>
      <w:r w:rsidR="00843C8B" w:rsidRPr="0036268D">
        <w:rPr>
          <w:rFonts w:ascii="Palatino Linotype" w:hAnsi="Palatino Linotype"/>
        </w:rPr>
        <w:t xml:space="preserve"> Documento que lleva por título “NOMINA”, correspondiente a la primera y segunda quincena de enero y febrero de 2025.</w:t>
      </w:r>
    </w:p>
    <w:p w14:paraId="476315F1" w14:textId="77777777" w:rsidR="00686812" w:rsidRPr="0036268D" w:rsidRDefault="00686812" w:rsidP="00704431">
      <w:pPr>
        <w:tabs>
          <w:tab w:val="left" w:pos="0"/>
        </w:tabs>
        <w:rPr>
          <w:rFonts w:ascii="Palatino Linotype" w:hAnsi="Palatino Linotype"/>
        </w:rPr>
      </w:pPr>
    </w:p>
    <w:p w14:paraId="0998E6CF" w14:textId="36998134" w:rsidR="00EB0F49" w:rsidRPr="0036268D" w:rsidRDefault="00294244"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eastAsia="Palatino Linotype" w:hAnsi="Palatino Linotype" w:cs="Palatino Linotype"/>
        </w:rPr>
        <w:t xml:space="preserve">El </w:t>
      </w:r>
      <w:r w:rsidR="00843C8B" w:rsidRPr="0036268D">
        <w:rPr>
          <w:rFonts w:ascii="Palatino Linotype" w:eastAsia="Palatino Linotype" w:hAnsi="Palatino Linotype" w:cs="Palatino Linotype"/>
          <w:b/>
        </w:rPr>
        <w:t>veintiuno de marzo</w:t>
      </w:r>
      <w:r w:rsidR="002A78AD"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b/>
        </w:rPr>
        <w:t>de dos mil veinticinco</w:t>
      </w:r>
      <w:r w:rsidR="000A1B24" w:rsidRPr="0036268D">
        <w:rPr>
          <w:rFonts w:ascii="Palatino Linotype" w:eastAsia="Palatino Linotype" w:hAnsi="Palatino Linotype" w:cs="Palatino Linotype"/>
        </w:rPr>
        <w:t xml:space="preserve">, </w:t>
      </w:r>
      <w:r w:rsidR="001D3081" w:rsidRPr="0036268D">
        <w:rPr>
          <w:rFonts w:ascii="Palatino Linotype" w:eastAsia="Palatino Linotype" w:hAnsi="Palatino Linotype" w:cs="Palatino Linotype"/>
        </w:rPr>
        <w:t>l</w:t>
      </w:r>
      <w:r w:rsidR="000A1B24" w:rsidRPr="0036268D">
        <w:rPr>
          <w:rFonts w:ascii="Palatino Linotype" w:eastAsia="Palatino Linotype" w:hAnsi="Palatino Linotype" w:cs="Palatino Linotype"/>
        </w:rPr>
        <w:t>a parte</w:t>
      </w:r>
      <w:r w:rsidR="001D3081"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b/>
        </w:rPr>
        <w:t>RECURRENTE</w:t>
      </w:r>
      <w:r w:rsidR="001D3081" w:rsidRPr="0036268D">
        <w:rPr>
          <w:rFonts w:ascii="Palatino Linotype" w:eastAsia="Palatino Linotype" w:hAnsi="Palatino Linotype" w:cs="Palatino Linotype"/>
        </w:rPr>
        <w:t xml:space="preserve"> interpuso el recurso de revisión en contra de la respuesta, manifestando las siguientes razones o motivos de inconformidad:</w:t>
      </w:r>
    </w:p>
    <w:p w14:paraId="49DB4ACC" w14:textId="77777777" w:rsidR="00294244" w:rsidRPr="0036268D" w:rsidRDefault="00294244" w:rsidP="00704431">
      <w:pPr>
        <w:pBdr>
          <w:top w:val="nil"/>
          <w:left w:val="nil"/>
          <w:bottom w:val="nil"/>
          <w:right w:val="nil"/>
          <w:between w:val="nil"/>
        </w:pBdr>
        <w:tabs>
          <w:tab w:val="left" w:pos="0"/>
        </w:tabs>
        <w:spacing w:line="360" w:lineRule="auto"/>
        <w:jc w:val="both"/>
        <w:rPr>
          <w:rFonts w:ascii="Palatino Linotype" w:hAnsi="Palatino Linotype"/>
        </w:rPr>
      </w:pPr>
    </w:p>
    <w:p w14:paraId="7CD14567" w14:textId="75CFC1AB" w:rsidR="00EB0F49" w:rsidRPr="001B7DE1" w:rsidRDefault="001D3081" w:rsidP="001B7DE1">
      <w:pPr>
        <w:pStyle w:val="Prrafodelista"/>
        <w:numPr>
          <w:ilvl w:val="0"/>
          <w:numId w:val="27"/>
        </w:numPr>
        <w:pBdr>
          <w:top w:val="nil"/>
          <w:left w:val="nil"/>
          <w:bottom w:val="nil"/>
          <w:right w:val="nil"/>
          <w:between w:val="nil"/>
        </w:pBdr>
        <w:tabs>
          <w:tab w:val="left" w:pos="0"/>
        </w:tabs>
        <w:jc w:val="both"/>
        <w:rPr>
          <w:rFonts w:ascii="Palatino Linotype" w:eastAsia="Palatino Linotype" w:hAnsi="Palatino Linotype" w:cs="Palatino Linotype"/>
          <w:i/>
        </w:rPr>
      </w:pPr>
      <w:bookmarkStart w:id="3" w:name="_heading=h.1fob9te" w:colFirst="0" w:colLast="0"/>
      <w:bookmarkEnd w:id="3"/>
      <w:r w:rsidRPr="001B7DE1">
        <w:rPr>
          <w:rFonts w:ascii="Palatino Linotype" w:eastAsia="Palatino Linotype" w:hAnsi="Palatino Linotype" w:cs="Palatino Linotype"/>
          <w:b/>
        </w:rPr>
        <w:lastRenderedPageBreak/>
        <w:t>Acto impugnado</w:t>
      </w:r>
      <w:r w:rsidRPr="001B7DE1">
        <w:rPr>
          <w:rFonts w:ascii="Palatino Linotype" w:eastAsia="Palatino Linotype" w:hAnsi="Palatino Linotype" w:cs="Palatino Linotype"/>
        </w:rPr>
        <w:t xml:space="preserve">: </w:t>
      </w:r>
      <w:r w:rsidRPr="001B7DE1">
        <w:rPr>
          <w:rFonts w:ascii="Palatino Linotype" w:eastAsia="Palatino Linotype" w:hAnsi="Palatino Linotype" w:cs="Palatino Linotype"/>
          <w:i/>
        </w:rPr>
        <w:t>“</w:t>
      </w:r>
      <w:r w:rsidR="00843C8B" w:rsidRPr="001B7DE1">
        <w:rPr>
          <w:rFonts w:ascii="Palatino Linotype" w:hAnsi="Palatino Linotype"/>
          <w:i/>
        </w:rPr>
        <w:t>0</w:t>
      </w:r>
      <w:r w:rsidR="00843C8B" w:rsidRPr="001B7DE1">
        <w:rPr>
          <w:rFonts w:ascii="Palatino Linotype" w:hAnsi="Palatino Linotype"/>
          <w:i/>
          <w:color w:val="000000"/>
        </w:rPr>
        <w:t>0038/MORELOS/IP/2025 "Solicito los recibos de nómina en su versión pública de todo el personal que conforma la administración de los meses de enero y febrero de 2025."</w:t>
      </w:r>
      <w:r w:rsidRPr="001B7DE1">
        <w:rPr>
          <w:rFonts w:ascii="Palatino Linotype" w:eastAsia="Palatino Linotype" w:hAnsi="Palatino Linotype" w:cs="Palatino Linotype"/>
          <w:i/>
        </w:rPr>
        <w:t>” (Sic.)</w:t>
      </w:r>
    </w:p>
    <w:p w14:paraId="036083B2" w14:textId="77777777" w:rsidR="00294244" w:rsidRPr="0036268D" w:rsidRDefault="00294244" w:rsidP="00704431">
      <w:pPr>
        <w:pBdr>
          <w:top w:val="nil"/>
          <w:left w:val="nil"/>
          <w:bottom w:val="nil"/>
          <w:right w:val="nil"/>
          <w:between w:val="nil"/>
        </w:pBdr>
        <w:tabs>
          <w:tab w:val="left" w:pos="0"/>
        </w:tabs>
        <w:ind w:left="567"/>
        <w:jc w:val="both"/>
        <w:rPr>
          <w:rFonts w:ascii="Palatino Linotype" w:eastAsia="Palatino Linotype" w:hAnsi="Palatino Linotype" w:cs="Palatino Linotype"/>
          <w:b/>
          <w:i/>
        </w:rPr>
      </w:pPr>
    </w:p>
    <w:p w14:paraId="28A90022" w14:textId="53236086" w:rsidR="00EB0F49" w:rsidRPr="001B7DE1" w:rsidRDefault="001D3081" w:rsidP="001B7DE1">
      <w:pPr>
        <w:pStyle w:val="Prrafodelista"/>
        <w:numPr>
          <w:ilvl w:val="0"/>
          <w:numId w:val="27"/>
        </w:numPr>
        <w:tabs>
          <w:tab w:val="left" w:pos="0"/>
        </w:tabs>
        <w:jc w:val="both"/>
        <w:rPr>
          <w:rFonts w:ascii="Palatino Linotype" w:eastAsia="Times New Roman" w:hAnsi="Palatino Linotype" w:cs="Times New Roman"/>
          <w:lang w:val="es-MX"/>
        </w:rPr>
      </w:pPr>
      <w:bookmarkStart w:id="4" w:name="_heading=h.3znysh7" w:colFirst="0" w:colLast="0"/>
      <w:bookmarkEnd w:id="4"/>
      <w:r w:rsidRPr="001B7DE1">
        <w:rPr>
          <w:rFonts w:ascii="Palatino Linotype" w:eastAsia="Palatino Linotype" w:hAnsi="Palatino Linotype" w:cs="Palatino Linotype"/>
          <w:b/>
        </w:rPr>
        <w:t xml:space="preserve">Razones o Motivos de inconformidad: </w:t>
      </w:r>
      <w:r w:rsidRPr="001B7DE1">
        <w:rPr>
          <w:rFonts w:ascii="Palatino Linotype" w:eastAsia="Palatino Linotype" w:hAnsi="Palatino Linotype" w:cs="Palatino Linotype"/>
          <w:i/>
        </w:rPr>
        <w:t>“</w:t>
      </w:r>
      <w:r w:rsidR="00843C8B" w:rsidRPr="001B7DE1">
        <w:rPr>
          <w:rFonts w:ascii="Palatino Linotype" w:hAnsi="Palatino Linotype"/>
          <w:i/>
        </w:rPr>
        <w:t>L</w:t>
      </w:r>
      <w:r w:rsidR="00843C8B" w:rsidRPr="001B7DE1">
        <w:rPr>
          <w:rFonts w:ascii="Palatino Linotype" w:hAnsi="Palatino Linotype"/>
          <w:i/>
          <w:color w:val="000000"/>
        </w:rPr>
        <w:t>a información entregada no corresponde con lo solicitado, la cual debe de ser de dominio público ya que se hace uso de recursos públicos.</w:t>
      </w:r>
      <w:r w:rsidRPr="001B7DE1">
        <w:rPr>
          <w:rFonts w:ascii="Palatino Linotype" w:eastAsia="Palatino Linotype" w:hAnsi="Palatino Linotype" w:cs="Palatino Linotype"/>
          <w:i/>
        </w:rPr>
        <w:t>” (Sic.)</w:t>
      </w:r>
    </w:p>
    <w:p w14:paraId="62AF9E9C" w14:textId="77777777" w:rsidR="002D304F" w:rsidRPr="0036268D" w:rsidRDefault="002D304F" w:rsidP="00704431">
      <w:pPr>
        <w:tabs>
          <w:tab w:val="left" w:pos="0"/>
        </w:tabs>
        <w:spacing w:line="360" w:lineRule="auto"/>
        <w:rPr>
          <w:rFonts w:ascii="Palatino Linotype" w:eastAsia="Palatino Linotype" w:hAnsi="Palatino Linotype" w:cs="Palatino Linotype"/>
          <w:i/>
        </w:rPr>
      </w:pPr>
    </w:p>
    <w:p w14:paraId="10FFC7B7" w14:textId="287FC21A"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hAnsi="Palatino Linotype"/>
        </w:rPr>
      </w:pPr>
      <w:r w:rsidRPr="0036268D">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w:t>
      </w:r>
      <w:r w:rsidR="00294244" w:rsidRPr="0036268D">
        <w:rPr>
          <w:rFonts w:ascii="Palatino Linotype" w:eastAsia="Palatino Linotype" w:hAnsi="Palatino Linotype" w:cs="Palatino Linotype"/>
        </w:rPr>
        <w:t>del</w:t>
      </w:r>
      <w:r w:rsidRPr="0036268D">
        <w:rPr>
          <w:rFonts w:ascii="Palatino Linotype" w:eastAsia="Palatino Linotype" w:hAnsi="Palatino Linotype" w:cs="Palatino Linotype"/>
        </w:rPr>
        <w:t xml:space="preserve"> </w:t>
      </w:r>
      <w:r w:rsidR="00843C8B" w:rsidRPr="0036268D">
        <w:rPr>
          <w:rFonts w:ascii="Palatino Linotype" w:eastAsia="Palatino Linotype" w:hAnsi="Palatino Linotype" w:cs="Palatino Linotype"/>
          <w:b/>
        </w:rPr>
        <w:t>veinticuatro de marzo</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 xml:space="preserve">, puso a disposición de las partes el expediente electrónico vía </w:t>
      </w:r>
      <w:r w:rsidRPr="0036268D">
        <w:rPr>
          <w:rFonts w:ascii="Palatino Linotype" w:eastAsia="Palatino Linotype" w:hAnsi="Palatino Linotype" w:cs="Palatino Linotype"/>
          <w:b/>
        </w:rPr>
        <w:t xml:space="preserve">SAIMEX </w:t>
      </w:r>
      <w:r w:rsidRPr="0036268D">
        <w:rPr>
          <w:rFonts w:ascii="Palatino Linotype" w:eastAsia="Palatino Linotype" w:hAnsi="Palatino Linotype" w:cs="Palatino Linotype"/>
        </w:rPr>
        <w:t xml:space="preserve">a efecto de que en un plazo máximo de siete días manifestara lo que a su derecho conviniera, ofreciera pruebas y alegatos según corresponda a los casos concretos, y el </w:t>
      </w:r>
      <w:r w:rsidRPr="0036268D">
        <w:rPr>
          <w:rFonts w:ascii="Palatino Linotype" w:eastAsia="Palatino Linotype" w:hAnsi="Palatino Linotype" w:cs="Palatino Linotype"/>
          <w:b/>
        </w:rPr>
        <w:t>SUJETO OBLIGADO</w:t>
      </w:r>
      <w:r w:rsidRPr="0036268D">
        <w:rPr>
          <w:rFonts w:ascii="Palatino Linotype" w:eastAsia="Palatino Linotype" w:hAnsi="Palatino Linotype" w:cs="Palatino Linotype"/>
        </w:rPr>
        <w:t xml:space="preserve"> presentará el Informe Justificado procedente.</w:t>
      </w:r>
    </w:p>
    <w:p w14:paraId="6103648C" w14:textId="77777777" w:rsidR="00843C8B" w:rsidRPr="0036268D" w:rsidRDefault="00843C8B" w:rsidP="00704431">
      <w:pPr>
        <w:pBdr>
          <w:top w:val="nil"/>
          <w:left w:val="nil"/>
          <w:bottom w:val="nil"/>
          <w:right w:val="nil"/>
          <w:between w:val="nil"/>
        </w:pBdr>
        <w:tabs>
          <w:tab w:val="left" w:pos="0"/>
        </w:tabs>
        <w:spacing w:line="360" w:lineRule="auto"/>
        <w:jc w:val="both"/>
        <w:rPr>
          <w:rFonts w:ascii="Palatino Linotype" w:hAnsi="Palatino Linotype"/>
        </w:rPr>
      </w:pPr>
    </w:p>
    <w:p w14:paraId="76652FB8" w14:textId="3C977E44" w:rsidR="0038699C" w:rsidRPr="0036268D" w:rsidRDefault="00D632F4" w:rsidP="00704431">
      <w:pPr>
        <w:numPr>
          <w:ilvl w:val="0"/>
          <w:numId w:val="11"/>
        </w:numPr>
        <w:tabs>
          <w:tab w:val="left" w:pos="0"/>
        </w:tabs>
        <w:spacing w:line="360" w:lineRule="auto"/>
        <w:jc w:val="both"/>
        <w:rPr>
          <w:rFonts w:ascii="Palatino Linotype" w:eastAsia="Palatino Linotype" w:hAnsi="Palatino Linotype" w:cs="Palatino Linotype"/>
          <w:b/>
        </w:rPr>
      </w:pPr>
      <w:bookmarkStart w:id="5" w:name="_heading=h.2et92p0" w:colFirst="0" w:colLast="0"/>
      <w:bookmarkEnd w:id="5"/>
      <w:r w:rsidRPr="0036268D">
        <w:rPr>
          <w:rFonts w:ascii="Palatino Linotype" w:eastAsia="Palatino Linotype" w:hAnsi="Palatino Linotype" w:cs="Palatino Linotype"/>
        </w:rPr>
        <w:t>E</w:t>
      </w:r>
      <w:r w:rsidR="00843C8B" w:rsidRPr="0036268D">
        <w:rPr>
          <w:rFonts w:ascii="Palatino Linotype" w:eastAsia="Palatino Linotype" w:hAnsi="Palatino Linotype" w:cs="Palatino Linotype"/>
        </w:rPr>
        <w:t>l</w:t>
      </w:r>
      <w:r w:rsidR="003F33BE" w:rsidRPr="0036268D">
        <w:rPr>
          <w:rFonts w:ascii="Palatino Linotype" w:eastAsia="Palatino Linotype" w:hAnsi="Palatino Linotype" w:cs="Palatino Linotype"/>
        </w:rPr>
        <w:t xml:space="preserve"> </w:t>
      </w:r>
      <w:r w:rsidR="001D3081" w:rsidRPr="0036268D">
        <w:rPr>
          <w:rFonts w:ascii="Palatino Linotype" w:eastAsia="Palatino Linotype" w:hAnsi="Palatino Linotype" w:cs="Palatino Linotype"/>
          <w:b/>
        </w:rPr>
        <w:t>SUJ</w:t>
      </w:r>
      <w:r w:rsidR="00294244" w:rsidRPr="0036268D">
        <w:rPr>
          <w:rFonts w:ascii="Palatino Linotype" w:eastAsia="Palatino Linotype" w:hAnsi="Palatino Linotype" w:cs="Palatino Linotype"/>
          <w:b/>
        </w:rPr>
        <w:t xml:space="preserve">ETO OBLIGADO </w:t>
      </w:r>
      <w:r w:rsidR="002A78AD" w:rsidRPr="0036268D">
        <w:rPr>
          <w:rFonts w:ascii="Palatino Linotype" w:eastAsia="Palatino Linotype" w:hAnsi="Palatino Linotype" w:cs="Palatino Linotype"/>
        </w:rPr>
        <w:t xml:space="preserve">omitió rendir </w:t>
      </w:r>
      <w:r w:rsidR="00294244" w:rsidRPr="0036268D">
        <w:rPr>
          <w:rFonts w:ascii="Palatino Linotype" w:eastAsia="Palatino Linotype" w:hAnsi="Palatino Linotype" w:cs="Palatino Linotype"/>
        </w:rPr>
        <w:t>el info</w:t>
      </w:r>
      <w:r w:rsidRPr="0036268D">
        <w:rPr>
          <w:rFonts w:ascii="Palatino Linotype" w:eastAsia="Palatino Linotype" w:hAnsi="Palatino Linotype" w:cs="Palatino Linotype"/>
        </w:rPr>
        <w:t>r</w:t>
      </w:r>
      <w:r w:rsidR="00B05B5E" w:rsidRPr="0036268D">
        <w:rPr>
          <w:rFonts w:ascii="Palatino Linotype" w:eastAsia="Palatino Linotype" w:hAnsi="Palatino Linotype" w:cs="Palatino Linotype"/>
        </w:rPr>
        <w:t>me justificad</w:t>
      </w:r>
      <w:r w:rsidR="003F33BE" w:rsidRPr="0036268D">
        <w:rPr>
          <w:rFonts w:ascii="Palatino Linotype" w:eastAsia="Palatino Linotype" w:hAnsi="Palatino Linotype" w:cs="Palatino Linotype"/>
        </w:rPr>
        <w:t>o cor</w:t>
      </w:r>
      <w:r w:rsidR="00843C8B" w:rsidRPr="0036268D">
        <w:rPr>
          <w:rFonts w:ascii="Palatino Linotype" w:eastAsia="Palatino Linotype" w:hAnsi="Palatino Linotype" w:cs="Palatino Linotype"/>
        </w:rPr>
        <w:t>respondiente, p</w:t>
      </w:r>
      <w:r w:rsidR="002A78AD" w:rsidRPr="0036268D">
        <w:rPr>
          <w:rFonts w:ascii="Palatino Linotype" w:eastAsia="Palatino Linotype" w:hAnsi="Palatino Linotype" w:cs="Palatino Linotype"/>
        </w:rPr>
        <w:t xml:space="preserve">or </w:t>
      </w:r>
      <w:r w:rsidR="00294244" w:rsidRPr="0036268D">
        <w:rPr>
          <w:rFonts w:ascii="Palatino Linotype" w:eastAsia="Palatino Linotype" w:hAnsi="Palatino Linotype" w:cs="Palatino Linotype"/>
        </w:rPr>
        <w:t xml:space="preserve">su parte, </w:t>
      </w:r>
      <w:r w:rsidR="000A1B24" w:rsidRPr="0036268D">
        <w:rPr>
          <w:rFonts w:ascii="Palatino Linotype" w:eastAsia="Palatino Linotype" w:hAnsi="Palatino Linotype" w:cs="Palatino Linotype"/>
        </w:rPr>
        <w:t>la parte</w:t>
      </w:r>
      <w:r w:rsidR="001D3081" w:rsidRPr="0036268D">
        <w:rPr>
          <w:rFonts w:ascii="Palatino Linotype" w:eastAsia="Palatino Linotype" w:hAnsi="Palatino Linotype" w:cs="Palatino Linotype"/>
          <w:b/>
        </w:rPr>
        <w:t xml:space="preserve"> RECURRENTE </w:t>
      </w:r>
      <w:r w:rsidR="00294244" w:rsidRPr="0036268D">
        <w:rPr>
          <w:rFonts w:ascii="Palatino Linotype" w:eastAsia="Palatino Linotype" w:hAnsi="Palatino Linotype" w:cs="Palatino Linotype"/>
        </w:rPr>
        <w:t xml:space="preserve">dejó </w:t>
      </w:r>
      <w:r w:rsidR="001D3081" w:rsidRPr="0036268D">
        <w:rPr>
          <w:rFonts w:ascii="Palatino Linotype" w:eastAsia="Palatino Linotype" w:hAnsi="Palatino Linotype" w:cs="Palatino Linotype"/>
        </w:rPr>
        <w:t xml:space="preserve">de realizar manifestaciones que a su </w:t>
      </w:r>
      <w:r w:rsidR="0038699C" w:rsidRPr="0036268D">
        <w:rPr>
          <w:rFonts w:ascii="Palatino Linotype" w:eastAsia="Palatino Linotype" w:hAnsi="Palatino Linotype" w:cs="Palatino Linotype"/>
        </w:rPr>
        <w:t>derecho conviniera y asistiera.</w:t>
      </w:r>
    </w:p>
    <w:p w14:paraId="4EDB5086" w14:textId="77777777" w:rsidR="0038699C" w:rsidRPr="0036268D" w:rsidRDefault="0038699C" w:rsidP="00704431">
      <w:pPr>
        <w:tabs>
          <w:tab w:val="left" w:pos="0"/>
        </w:tabs>
        <w:spacing w:line="360" w:lineRule="auto"/>
        <w:jc w:val="both"/>
        <w:rPr>
          <w:rFonts w:ascii="Palatino Linotype" w:eastAsia="Palatino Linotype" w:hAnsi="Palatino Linotype" w:cs="Palatino Linotype"/>
          <w:b/>
        </w:rPr>
      </w:pPr>
    </w:p>
    <w:p w14:paraId="2554C157" w14:textId="7AFCD728" w:rsidR="00EB0F49" w:rsidRPr="0036268D" w:rsidRDefault="0038699C" w:rsidP="00704431">
      <w:pPr>
        <w:numPr>
          <w:ilvl w:val="0"/>
          <w:numId w:val="11"/>
        </w:numPr>
        <w:tabs>
          <w:tab w:val="left" w:pos="0"/>
        </w:tabs>
        <w:spacing w:line="360" w:lineRule="auto"/>
        <w:jc w:val="both"/>
        <w:rPr>
          <w:rFonts w:ascii="Palatino Linotype" w:eastAsia="Palatino Linotype" w:hAnsi="Palatino Linotype" w:cs="Palatino Linotype"/>
          <w:b/>
        </w:rPr>
      </w:pPr>
      <w:r w:rsidRPr="0036268D">
        <w:rPr>
          <w:rFonts w:ascii="Palatino Linotype" w:eastAsia="Palatino Linotype" w:hAnsi="Palatino Linotype" w:cs="Palatino Linotype"/>
        </w:rPr>
        <w:t xml:space="preserve">El </w:t>
      </w:r>
      <w:r w:rsidR="002F2ED7" w:rsidRPr="0036268D">
        <w:rPr>
          <w:rFonts w:ascii="Palatino Linotype" w:eastAsia="Palatino Linotype" w:hAnsi="Palatino Linotype" w:cs="Palatino Linotype"/>
          <w:b/>
        </w:rPr>
        <w:t>diecinueve de mayo</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 se notificó el acuerdo mediante el</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cual se aprobó la ampliación de plazo para emitir resolución.</w:t>
      </w:r>
    </w:p>
    <w:p w14:paraId="296CD2AF" w14:textId="77777777" w:rsidR="0038699C" w:rsidRPr="0036268D" w:rsidRDefault="0038699C" w:rsidP="00704431">
      <w:pPr>
        <w:tabs>
          <w:tab w:val="left" w:pos="0"/>
        </w:tabs>
        <w:spacing w:line="360" w:lineRule="auto"/>
        <w:jc w:val="both"/>
        <w:rPr>
          <w:rFonts w:ascii="Palatino Linotype" w:eastAsia="Palatino Linotype" w:hAnsi="Palatino Linotype" w:cs="Palatino Linotype"/>
          <w:b/>
        </w:rPr>
      </w:pPr>
    </w:p>
    <w:p w14:paraId="3F89E8B1" w14:textId="6BDABCA7" w:rsidR="00EB0F49" w:rsidRPr="0036268D" w:rsidRDefault="001D3081"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Final</w:t>
      </w:r>
      <w:r w:rsidR="00294244" w:rsidRPr="0036268D">
        <w:rPr>
          <w:rFonts w:ascii="Palatino Linotype" w:eastAsia="Palatino Linotype" w:hAnsi="Palatino Linotype" w:cs="Palatino Linotype"/>
        </w:rPr>
        <w:t xml:space="preserve">mente, mediante acuerdo del </w:t>
      </w:r>
      <w:r w:rsidR="002F2ED7" w:rsidRPr="0036268D">
        <w:rPr>
          <w:rFonts w:ascii="Palatino Linotype" w:eastAsia="Palatino Linotype" w:hAnsi="Palatino Linotype" w:cs="Palatino Linotype"/>
          <w:b/>
        </w:rPr>
        <w:t>dieciséis de julio</w:t>
      </w:r>
      <w:r w:rsidR="00294244"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b/>
        </w:rPr>
        <w:t>de dos mil veinticinco</w:t>
      </w:r>
      <w:r w:rsidRPr="0036268D">
        <w:rPr>
          <w:rFonts w:ascii="Palatino Linotype" w:eastAsia="Palatino Linotype" w:hAnsi="Palatino Linotype" w:cs="Palatino Linotype"/>
        </w:rPr>
        <w:t xml:space="preserve">, </w:t>
      </w:r>
      <w:r w:rsidR="00102EE5" w:rsidRPr="0036268D">
        <w:rPr>
          <w:rFonts w:ascii="Palatino Linotype" w:eastAsia="Palatino Linotype" w:hAnsi="Palatino Linotype" w:cs="Palatino Linotype"/>
        </w:rPr>
        <w:t xml:space="preserve">la Comisionada Ponente dictó el </w:t>
      </w:r>
      <w:r w:rsidR="00102EE5" w:rsidRPr="0036268D">
        <w:rPr>
          <w:rFonts w:ascii="Palatino Linotype" w:eastAsia="Palatino Linotype" w:hAnsi="Palatino Linotype" w:cs="Palatino Linotype"/>
          <w:b/>
        </w:rPr>
        <w:t>cierre del periodo de instrucción</w:t>
      </w:r>
      <w:r w:rsidR="00102EE5" w:rsidRPr="0036268D">
        <w:rPr>
          <w:rFonts w:ascii="Palatino Linotype" w:eastAsia="Palatino Linotype" w:hAnsi="Palatino Linotype" w:cs="Palatino Linotype"/>
        </w:rPr>
        <w:t xml:space="preserve"> y, ordenó la resolución que conforme a Derecho proceda:</w:t>
      </w:r>
    </w:p>
    <w:p w14:paraId="28B0B015" w14:textId="77777777" w:rsidR="00EB0F49" w:rsidRPr="0036268D" w:rsidRDefault="00EB0F49"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1D5FF10B" w14:textId="77777777" w:rsidR="00EB0F49" w:rsidRPr="0036268D" w:rsidRDefault="001D3081" w:rsidP="00704431">
      <w:pPr>
        <w:pStyle w:val="Ttulo1"/>
        <w:tabs>
          <w:tab w:val="left" w:pos="0"/>
          <w:tab w:val="left" w:pos="567"/>
        </w:tabs>
        <w:spacing w:before="0" w:line="360" w:lineRule="auto"/>
        <w:jc w:val="center"/>
        <w:rPr>
          <w:color w:val="auto"/>
          <w:szCs w:val="24"/>
        </w:rPr>
      </w:pPr>
      <w:bookmarkStart w:id="6" w:name="_heading=h.tyjcwt" w:colFirst="0" w:colLast="0"/>
      <w:bookmarkEnd w:id="6"/>
      <w:r w:rsidRPr="0036268D">
        <w:rPr>
          <w:color w:val="auto"/>
          <w:szCs w:val="24"/>
        </w:rPr>
        <w:lastRenderedPageBreak/>
        <w:t>C O N S I D E R A N D O</w:t>
      </w:r>
    </w:p>
    <w:p w14:paraId="04AEFD8E" w14:textId="77777777" w:rsidR="00EB0F49" w:rsidRPr="0036268D" w:rsidRDefault="00EB0F49" w:rsidP="00704431">
      <w:pPr>
        <w:tabs>
          <w:tab w:val="left" w:pos="0"/>
        </w:tabs>
        <w:spacing w:line="360" w:lineRule="auto"/>
        <w:rPr>
          <w:rFonts w:ascii="Palatino Linotype" w:eastAsia="Palatino Linotype" w:hAnsi="Palatino Linotype" w:cs="Palatino Linotype"/>
        </w:rPr>
      </w:pPr>
    </w:p>
    <w:p w14:paraId="4841D9CC" w14:textId="77777777" w:rsidR="00EB0F49" w:rsidRPr="0036268D" w:rsidRDefault="001D3081" w:rsidP="00704431">
      <w:pPr>
        <w:pStyle w:val="Ttulo1"/>
        <w:tabs>
          <w:tab w:val="left" w:pos="0"/>
          <w:tab w:val="left" w:pos="567"/>
        </w:tabs>
        <w:spacing w:before="0" w:line="360" w:lineRule="auto"/>
        <w:rPr>
          <w:b w:val="0"/>
          <w:color w:val="auto"/>
          <w:szCs w:val="24"/>
        </w:rPr>
      </w:pPr>
      <w:bookmarkStart w:id="7" w:name="_heading=h.3dy6vkm" w:colFirst="0" w:colLast="0"/>
      <w:bookmarkEnd w:id="7"/>
      <w:r w:rsidRPr="0036268D">
        <w:rPr>
          <w:color w:val="auto"/>
          <w:szCs w:val="24"/>
        </w:rPr>
        <w:t>PRIMERO. De la competencia</w:t>
      </w:r>
    </w:p>
    <w:p w14:paraId="214D3D34" w14:textId="77777777" w:rsidR="00EB0F49" w:rsidRPr="0036268D" w:rsidRDefault="001D3081" w:rsidP="00704431">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B31C26B" w14:textId="77777777" w:rsidR="00EB0F49" w:rsidRPr="0036268D" w:rsidRDefault="00EB0F49" w:rsidP="00704431">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rPr>
      </w:pPr>
    </w:p>
    <w:p w14:paraId="2EFC4423" w14:textId="77777777" w:rsidR="00EB0F49" w:rsidRPr="0036268D" w:rsidRDefault="001D3081" w:rsidP="00704431">
      <w:pPr>
        <w:pStyle w:val="Ttulo2"/>
        <w:tabs>
          <w:tab w:val="left" w:pos="0"/>
        </w:tabs>
        <w:spacing w:before="0" w:line="360" w:lineRule="auto"/>
        <w:rPr>
          <w:color w:val="auto"/>
          <w:szCs w:val="24"/>
        </w:rPr>
      </w:pPr>
      <w:bookmarkStart w:id="8" w:name="_heading=h.1t3h5sf" w:colFirst="0" w:colLast="0"/>
      <w:bookmarkEnd w:id="8"/>
      <w:r w:rsidRPr="0036268D">
        <w:rPr>
          <w:color w:val="auto"/>
          <w:szCs w:val="24"/>
        </w:rPr>
        <w:t>SEGUNDO. De la oportunidad y procedencia.</w:t>
      </w:r>
    </w:p>
    <w:p w14:paraId="79FE09A2" w14:textId="417A2FAA"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 El medio de impugnación fue presentado a través del </w:t>
      </w:r>
      <w:r w:rsidRPr="0036268D">
        <w:rPr>
          <w:rFonts w:ascii="Palatino Linotype" w:eastAsia="Palatino Linotype" w:hAnsi="Palatino Linotype" w:cs="Palatino Linotype"/>
          <w:b/>
        </w:rPr>
        <w:t>SAIMEX,</w:t>
      </w:r>
      <w:r w:rsidRPr="0036268D">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36268D">
        <w:rPr>
          <w:rFonts w:ascii="Palatino Linotype" w:eastAsia="Palatino Linotype" w:hAnsi="Palatino Linotype" w:cs="Palatino Linotype"/>
          <w:b/>
        </w:rPr>
        <w:t>SUJETO OBLIGADO</w:t>
      </w:r>
      <w:r w:rsidRPr="0036268D">
        <w:rPr>
          <w:rFonts w:ascii="Palatino Linotype" w:eastAsia="Palatino Linotype" w:hAnsi="Palatino Linotype" w:cs="Palatino Linotype"/>
        </w:rPr>
        <w:t xml:space="preserve"> entregó su respuesta el </w:t>
      </w:r>
      <w:r w:rsidR="002F2ED7" w:rsidRPr="0036268D">
        <w:rPr>
          <w:rFonts w:ascii="Palatino Linotype" w:eastAsia="Palatino Linotype" w:hAnsi="Palatino Linotype" w:cs="Palatino Linotype"/>
          <w:b/>
        </w:rPr>
        <w:t>veinte de marzo</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 xml:space="preserve">, de tal forma que el plazo para interponer el recurso de revisión transcurrió del </w:t>
      </w:r>
      <w:r w:rsidR="002F2ED7" w:rsidRPr="0036268D">
        <w:rPr>
          <w:rFonts w:ascii="Palatino Linotype" w:eastAsia="Palatino Linotype" w:hAnsi="Palatino Linotype" w:cs="Palatino Linotype"/>
          <w:b/>
        </w:rPr>
        <w:t>veintiuno de marzo</w:t>
      </w:r>
      <w:r w:rsidR="00A25373"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b/>
        </w:rPr>
        <w:t xml:space="preserve">al </w:t>
      </w:r>
      <w:r w:rsidR="002F2ED7" w:rsidRPr="0036268D">
        <w:rPr>
          <w:rFonts w:ascii="Palatino Linotype" w:eastAsia="Palatino Linotype" w:hAnsi="Palatino Linotype" w:cs="Palatino Linotype"/>
          <w:b/>
        </w:rPr>
        <w:t>once de abril</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 xml:space="preserve">; en consecuencia, </w:t>
      </w:r>
      <w:r w:rsidR="000A1B24" w:rsidRPr="0036268D">
        <w:rPr>
          <w:rFonts w:ascii="Palatino Linotype" w:eastAsia="Palatino Linotype" w:hAnsi="Palatino Linotype" w:cs="Palatino Linotype"/>
        </w:rPr>
        <w:t>la parte</w:t>
      </w:r>
      <w:r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b/>
        </w:rPr>
        <w:t>RECURRENTE</w:t>
      </w:r>
      <w:r w:rsidRPr="0036268D">
        <w:rPr>
          <w:rFonts w:ascii="Palatino Linotype" w:eastAsia="Palatino Linotype" w:hAnsi="Palatino Linotype" w:cs="Palatino Linotype"/>
        </w:rPr>
        <w:t xml:space="preserve"> presentó su inconformidad el </w:t>
      </w:r>
      <w:r w:rsidR="002F2ED7" w:rsidRPr="0036268D">
        <w:rPr>
          <w:rFonts w:ascii="Palatino Linotype" w:eastAsia="Palatino Linotype" w:hAnsi="Palatino Linotype" w:cs="Palatino Linotype"/>
          <w:b/>
        </w:rPr>
        <w:t>veintiuno de marzo</w:t>
      </w:r>
      <w:r w:rsidRPr="0036268D">
        <w:rPr>
          <w:rFonts w:ascii="Palatino Linotype" w:eastAsia="Palatino Linotype" w:hAnsi="Palatino Linotype" w:cs="Palatino Linotype"/>
          <w:b/>
        </w:rPr>
        <w:t xml:space="preserve"> de dos mil veinticinco</w:t>
      </w:r>
      <w:r w:rsidRPr="0036268D">
        <w:rPr>
          <w:rFonts w:ascii="Palatino Linotype" w:eastAsia="Palatino Linotype" w:hAnsi="Palatino Linotype" w:cs="Palatino Linotype"/>
        </w:rPr>
        <w:t>; por lo que se estima que la inconformidad se presentó dentro del lapso legalmente establecido para tal efecto.</w:t>
      </w:r>
    </w:p>
    <w:p w14:paraId="3DB9EB55" w14:textId="77777777" w:rsidR="00EB0F49" w:rsidRPr="0036268D" w:rsidRDefault="00EB0F49" w:rsidP="00704431">
      <w:pPr>
        <w:pBdr>
          <w:top w:val="nil"/>
          <w:left w:val="nil"/>
          <w:bottom w:val="nil"/>
          <w:right w:val="nil"/>
          <w:between w:val="nil"/>
        </w:pBdr>
        <w:tabs>
          <w:tab w:val="left" w:pos="0"/>
        </w:tabs>
        <w:rPr>
          <w:rFonts w:ascii="Palatino Linotype" w:eastAsia="Palatino Linotype" w:hAnsi="Palatino Linotype" w:cs="Palatino Linotype"/>
        </w:rPr>
      </w:pPr>
    </w:p>
    <w:p w14:paraId="4F279A65" w14:textId="1AE63804" w:rsidR="00EB0F49" w:rsidRPr="0036268D" w:rsidRDefault="001D3081" w:rsidP="00704431">
      <w:pPr>
        <w:numPr>
          <w:ilvl w:val="0"/>
          <w:numId w:val="11"/>
        </w:numPr>
        <w:tabs>
          <w:tab w:val="left" w:pos="0"/>
        </w:tabs>
        <w:spacing w:line="360" w:lineRule="auto"/>
        <w:jc w:val="both"/>
        <w:rPr>
          <w:rFonts w:ascii="Palatino Linotype" w:eastAsia="Palatino Linotype" w:hAnsi="Palatino Linotype" w:cs="Palatino Linotype"/>
          <w:b/>
        </w:rPr>
      </w:pPr>
      <w:r w:rsidRPr="0036268D">
        <w:rPr>
          <w:rFonts w:ascii="Palatino Linotype" w:eastAsia="Palatino Linotype" w:hAnsi="Palatino Linotype" w:cs="Palatino Linotype"/>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16D9906" w14:textId="77777777" w:rsidR="002F2ED7" w:rsidRPr="0036268D" w:rsidRDefault="002F2ED7" w:rsidP="00704431">
      <w:pPr>
        <w:tabs>
          <w:tab w:val="left" w:pos="0"/>
        </w:tabs>
        <w:spacing w:line="360" w:lineRule="auto"/>
        <w:jc w:val="both"/>
        <w:rPr>
          <w:rFonts w:ascii="Palatino Linotype" w:eastAsia="Palatino Linotype" w:hAnsi="Palatino Linotype" w:cs="Palatino Linotype"/>
          <w:b/>
        </w:rPr>
      </w:pPr>
    </w:p>
    <w:p w14:paraId="3D5AE4F1" w14:textId="77777777" w:rsidR="00EB0F49" w:rsidRPr="0036268D" w:rsidRDefault="001D3081" w:rsidP="00704431">
      <w:pPr>
        <w:pStyle w:val="Ttulo1"/>
        <w:tabs>
          <w:tab w:val="left" w:pos="0"/>
        </w:tabs>
        <w:spacing w:before="0" w:line="360" w:lineRule="auto"/>
        <w:rPr>
          <w:color w:val="auto"/>
          <w:szCs w:val="24"/>
        </w:rPr>
      </w:pPr>
      <w:r w:rsidRPr="0036268D">
        <w:rPr>
          <w:color w:val="auto"/>
          <w:szCs w:val="24"/>
        </w:rPr>
        <w:t xml:space="preserve">TERCERO. Del planteamiento de la </w:t>
      </w:r>
      <w:r w:rsidRPr="0036268D">
        <w:rPr>
          <w:i/>
          <w:color w:val="auto"/>
          <w:szCs w:val="24"/>
        </w:rPr>
        <w:t>Litis</w:t>
      </w:r>
      <w:r w:rsidRPr="0036268D">
        <w:rPr>
          <w:color w:val="auto"/>
          <w:szCs w:val="24"/>
        </w:rPr>
        <w:t>.</w:t>
      </w:r>
    </w:p>
    <w:p w14:paraId="7A32992A" w14:textId="2C3C5C09" w:rsidR="002F2ED7" w:rsidRPr="0036268D" w:rsidRDefault="002F2ED7"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rPr>
        <w:t xml:space="preserve">La parte </w:t>
      </w:r>
      <w:r w:rsidRPr="0036268D">
        <w:rPr>
          <w:rFonts w:ascii="Palatino Linotype" w:eastAsia="Palatino Linotype" w:hAnsi="Palatino Linotype" w:cs="Palatino Linotype"/>
          <w:b/>
        </w:rPr>
        <w:t>RECURRENTE</w:t>
      </w:r>
      <w:r w:rsidRPr="0036268D">
        <w:rPr>
          <w:rFonts w:ascii="Palatino Linotype" w:eastAsia="Palatino Linotype" w:hAnsi="Palatino Linotype" w:cs="Palatino Linotype"/>
        </w:rPr>
        <w:t xml:space="preserve"> solicitó </w:t>
      </w:r>
      <w:r w:rsidR="00981F07" w:rsidRPr="0036268D">
        <w:rPr>
          <w:rFonts w:ascii="Palatino Linotype" w:eastAsia="Palatino Linotype" w:hAnsi="Palatino Linotype" w:cs="Palatino Linotype"/>
        </w:rPr>
        <w:t xml:space="preserve">los recibos de nómina </w:t>
      </w:r>
      <w:r w:rsidRPr="0036268D">
        <w:rPr>
          <w:rFonts w:ascii="Palatino Linotype" w:eastAsia="Palatino Linotype" w:hAnsi="Palatino Linotype" w:cs="Palatino Linotype"/>
        </w:rPr>
        <w:t xml:space="preserve">en versión pública, de todo el personal adscrito a la actual Administración Municipal de Morelos, </w:t>
      </w:r>
      <w:r w:rsidR="00721580" w:rsidRPr="0036268D">
        <w:rPr>
          <w:rFonts w:ascii="Palatino Linotype" w:eastAsia="Palatino Linotype" w:hAnsi="Palatino Linotype" w:cs="Palatino Linotype"/>
        </w:rPr>
        <w:t>del 01 de enero al 17 de febrero de 2025.</w:t>
      </w:r>
    </w:p>
    <w:p w14:paraId="3FE3D835" w14:textId="77777777" w:rsidR="002F2ED7" w:rsidRPr="0036268D" w:rsidRDefault="002F2ED7"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458AAD76" w14:textId="1095B59C" w:rsidR="002F2ED7"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rPr>
        <w:t>En r</w:t>
      </w:r>
      <w:r w:rsidR="00981F07" w:rsidRPr="0036268D">
        <w:rPr>
          <w:rFonts w:ascii="Palatino Linotype" w:eastAsia="Palatino Linotype" w:hAnsi="Palatino Linotype" w:cs="Palatino Linotype"/>
        </w:rPr>
        <w:t xml:space="preserve">espuesta, </w:t>
      </w:r>
      <w:r w:rsidRPr="0036268D">
        <w:rPr>
          <w:rFonts w:ascii="Palatino Linotype" w:eastAsia="Palatino Linotype" w:hAnsi="Palatino Linotype" w:cs="Palatino Linotype"/>
        </w:rPr>
        <w:t xml:space="preserve">el </w:t>
      </w:r>
      <w:r w:rsidR="002F2ED7" w:rsidRPr="0036268D">
        <w:rPr>
          <w:rFonts w:ascii="Palatino Linotype" w:eastAsia="Palatino Linotype" w:hAnsi="Palatino Linotype" w:cs="Palatino Linotype"/>
          <w:b/>
        </w:rPr>
        <w:t xml:space="preserve">SUJETO OBLIGADO </w:t>
      </w:r>
      <w:r w:rsidR="008B4D6B" w:rsidRPr="0036268D">
        <w:rPr>
          <w:rFonts w:ascii="Palatino Linotype" w:eastAsia="Palatino Linotype" w:hAnsi="Palatino Linotype" w:cs="Palatino Linotype"/>
        </w:rPr>
        <w:t>por medio d</w:t>
      </w:r>
      <w:r w:rsidR="008B4D6B" w:rsidRPr="0036268D">
        <w:rPr>
          <w:rFonts w:ascii="Palatino Linotype" w:hAnsi="Palatino Linotype"/>
        </w:rPr>
        <w:t xml:space="preserve">el </w:t>
      </w:r>
      <w:r w:rsidR="002F2ED7" w:rsidRPr="0036268D">
        <w:rPr>
          <w:rFonts w:ascii="Palatino Linotype" w:hAnsi="Palatino Linotype"/>
        </w:rPr>
        <w:t xml:space="preserve">Tesorero Municipal, remitió un documento que lleva por Título </w:t>
      </w:r>
      <w:r w:rsidR="002F2ED7" w:rsidRPr="0036268D">
        <w:rPr>
          <w:rFonts w:ascii="Palatino Linotype" w:hAnsi="Palatino Linotype"/>
          <w:i/>
        </w:rPr>
        <w:t>“NOMINA”,</w:t>
      </w:r>
      <w:r w:rsidR="002F2ED7" w:rsidRPr="0036268D">
        <w:rPr>
          <w:rFonts w:ascii="Palatino Linotype" w:hAnsi="Palatino Linotype"/>
        </w:rPr>
        <w:t xml:space="preserve"> correspondiente a la primera y segunda quincena de enero y febrero de 2025.</w:t>
      </w:r>
      <w:r w:rsidR="002F2ED7" w:rsidRPr="0036268D">
        <w:rPr>
          <w:rFonts w:ascii="Palatino Linotype" w:eastAsia="Palatino Linotype" w:hAnsi="Palatino Linotype" w:cs="Palatino Linotype"/>
        </w:rPr>
        <w:t xml:space="preserve"> Asimismo, el acta número CTM/020E/2025 de la Sesión Extraordinaria del Comité de Transparencia, en la cual, se aprobó la propuesta de clasificación como información reservada, confidencial y la prueba de daño respectiva, del </w:t>
      </w:r>
      <w:r w:rsidR="002F2ED7" w:rsidRPr="0036268D">
        <w:rPr>
          <w:rFonts w:ascii="Palatino Linotype" w:eastAsia="Palatino Linotype" w:hAnsi="Palatino Linotype" w:cs="Palatino Linotype"/>
          <w:i/>
        </w:rPr>
        <w:t>“Reporte de Nómina”</w:t>
      </w:r>
      <w:r w:rsidR="002F2ED7" w:rsidRPr="0036268D">
        <w:rPr>
          <w:rFonts w:ascii="Palatino Linotype" w:eastAsia="Palatino Linotype" w:hAnsi="Palatino Linotype" w:cs="Palatino Linotype"/>
        </w:rPr>
        <w:t xml:space="preserve"> previamente referido.</w:t>
      </w:r>
    </w:p>
    <w:p w14:paraId="38676B45" w14:textId="77777777" w:rsidR="00981F07" w:rsidRPr="0036268D" w:rsidRDefault="00981F07"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372FC91D" w14:textId="5112E816" w:rsidR="00A8408E" w:rsidRPr="0036268D" w:rsidRDefault="00473A26"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rPr>
        <w:t>Posteriormente</w:t>
      </w:r>
      <w:r w:rsidR="000A1B24" w:rsidRPr="0036268D">
        <w:rPr>
          <w:rFonts w:ascii="Palatino Linotype" w:eastAsia="Palatino Linotype" w:hAnsi="Palatino Linotype" w:cs="Palatino Linotype"/>
        </w:rPr>
        <w:t>, la parte</w:t>
      </w:r>
      <w:r w:rsidR="001D3081" w:rsidRPr="0036268D">
        <w:rPr>
          <w:rFonts w:ascii="Palatino Linotype" w:eastAsia="Palatino Linotype" w:hAnsi="Palatino Linotype" w:cs="Palatino Linotype"/>
        </w:rPr>
        <w:t xml:space="preserve"> </w:t>
      </w:r>
      <w:r w:rsidR="001D3081" w:rsidRPr="0036268D">
        <w:rPr>
          <w:rFonts w:ascii="Palatino Linotype" w:eastAsia="Palatino Linotype" w:hAnsi="Palatino Linotype" w:cs="Palatino Linotype"/>
          <w:b/>
        </w:rPr>
        <w:t xml:space="preserve">RECURRENTE </w:t>
      </w:r>
      <w:r w:rsidR="001D3081" w:rsidRPr="0036268D">
        <w:rPr>
          <w:rFonts w:ascii="Palatino Linotype" w:eastAsia="Palatino Linotype" w:hAnsi="Palatino Linotype" w:cs="Palatino Linotype"/>
        </w:rPr>
        <w:t xml:space="preserve">interpuso recurso de revisión </w:t>
      </w:r>
      <w:r w:rsidR="00A8408E" w:rsidRPr="0036268D">
        <w:rPr>
          <w:rFonts w:ascii="Palatino Linotype" w:eastAsia="Palatino Linotype" w:hAnsi="Palatino Linotype" w:cs="Palatino Linotype"/>
        </w:rPr>
        <w:t xml:space="preserve">en el que se inconformó </w:t>
      </w:r>
      <w:r w:rsidR="00646CA1" w:rsidRPr="0036268D">
        <w:rPr>
          <w:rFonts w:ascii="Palatino Linotype" w:eastAsia="Palatino Linotype" w:hAnsi="Palatino Linotype" w:cs="Palatino Linotype"/>
        </w:rPr>
        <w:t>porque la información proporcionada no corresponde con lo solicitado.</w:t>
      </w:r>
    </w:p>
    <w:p w14:paraId="105FB32C" w14:textId="77777777" w:rsidR="00A8408E" w:rsidRPr="0036268D" w:rsidRDefault="00A8408E" w:rsidP="00704431">
      <w:pPr>
        <w:tabs>
          <w:tab w:val="left" w:pos="0"/>
        </w:tabs>
        <w:rPr>
          <w:rFonts w:ascii="Palatino Linotype" w:eastAsia="Palatino Linotype" w:hAnsi="Palatino Linotype" w:cs="Palatino Linotype"/>
        </w:rPr>
      </w:pPr>
    </w:p>
    <w:p w14:paraId="2117504F" w14:textId="19D49FEB"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rPr>
        <w:t xml:space="preserve">En dichas condiciones, la </w:t>
      </w:r>
      <w:r w:rsidRPr="0036268D">
        <w:rPr>
          <w:rFonts w:ascii="Palatino Linotype" w:eastAsia="Palatino Linotype" w:hAnsi="Palatino Linotype" w:cs="Palatino Linotype"/>
          <w:i/>
        </w:rPr>
        <w:t>Litis</w:t>
      </w:r>
      <w:r w:rsidRPr="0036268D">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36268D">
        <w:rPr>
          <w:rFonts w:ascii="Palatino Linotype" w:eastAsia="Palatino Linotype" w:hAnsi="Palatino Linotype" w:cs="Palatino Linotype"/>
          <w:b/>
        </w:rPr>
        <w:t xml:space="preserve">fracción </w:t>
      </w:r>
      <w:r w:rsidR="00646CA1" w:rsidRPr="0036268D">
        <w:rPr>
          <w:rFonts w:ascii="Palatino Linotype" w:eastAsia="Palatino Linotype" w:hAnsi="Palatino Linotype" w:cs="Palatino Linotype"/>
          <w:b/>
        </w:rPr>
        <w:t>V</w:t>
      </w:r>
      <w:r w:rsidR="008B4D6B" w:rsidRPr="0036268D">
        <w:rPr>
          <w:rFonts w:ascii="Palatino Linotype" w:eastAsia="Palatino Linotype" w:hAnsi="Palatino Linotype" w:cs="Palatino Linotype"/>
          <w:b/>
        </w:rPr>
        <w:t>I</w:t>
      </w:r>
      <w:r w:rsidR="00A8408E"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de la Ley</w:t>
      </w:r>
      <w:r w:rsidRPr="0036268D">
        <w:rPr>
          <w:rFonts w:ascii="Palatino Linotype" w:eastAsia="Palatino Linotype" w:hAnsi="Palatino Linotype" w:cs="Palatino Linotype"/>
          <w:b/>
        </w:rPr>
        <w:t xml:space="preserve"> de Transparencia y Acceso a la Información Pública del Estado de </w:t>
      </w:r>
      <w:r w:rsidRPr="0036268D">
        <w:rPr>
          <w:rFonts w:ascii="Palatino Linotype" w:eastAsia="Palatino Linotype" w:hAnsi="Palatino Linotype" w:cs="Palatino Linotype"/>
        </w:rPr>
        <w:t>México</w:t>
      </w:r>
      <w:r w:rsidRPr="0036268D">
        <w:rPr>
          <w:rFonts w:ascii="Palatino Linotype" w:eastAsia="Palatino Linotype" w:hAnsi="Palatino Linotype" w:cs="Palatino Linotype"/>
          <w:b/>
        </w:rPr>
        <w:t xml:space="preserve"> y Municipios</w:t>
      </w:r>
      <w:r w:rsidRPr="0036268D">
        <w:rPr>
          <w:rFonts w:ascii="Palatino Linotype" w:eastAsia="Palatino Linotype" w:hAnsi="Palatino Linotype" w:cs="Palatino Linotype"/>
        </w:rPr>
        <w:t>; fracción que determina la h</w:t>
      </w:r>
      <w:r w:rsidR="00473A26" w:rsidRPr="0036268D">
        <w:rPr>
          <w:rFonts w:ascii="Palatino Linotype" w:eastAsia="Palatino Linotype" w:hAnsi="Palatino Linotype" w:cs="Palatino Linotype"/>
        </w:rPr>
        <w:t xml:space="preserve">ipótesis jurídica relativa a </w:t>
      </w:r>
      <w:r w:rsidR="00473A26" w:rsidRPr="0036268D">
        <w:rPr>
          <w:rFonts w:ascii="Palatino Linotype" w:eastAsia="Palatino Linotype" w:hAnsi="Palatino Linotype" w:cs="Palatino Linotype"/>
          <w:b/>
        </w:rPr>
        <w:t xml:space="preserve">la </w:t>
      </w:r>
      <w:r w:rsidR="00646CA1" w:rsidRPr="0036268D">
        <w:rPr>
          <w:rFonts w:ascii="Palatino Linotype" w:eastAsia="Palatino Linotype" w:hAnsi="Palatino Linotype" w:cs="Palatino Linotype"/>
          <w:b/>
        </w:rPr>
        <w:t>entrega de información que no corresponde con lo solicitado.</w:t>
      </w:r>
    </w:p>
    <w:p w14:paraId="787B8628" w14:textId="77777777" w:rsidR="00473A26" w:rsidRPr="0036268D" w:rsidRDefault="001D3081" w:rsidP="00704431">
      <w:pPr>
        <w:pStyle w:val="Ttulo1"/>
        <w:tabs>
          <w:tab w:val="left" w:pos="0"/>
        </w:tabs>
        <w:spacing w:before="0" w:line="360" w:lineRule="auto"/>
        <w:rPr>
          <w:color w:val="auto"/>
          <w:szCs w:val="24"/>
        </w:rPr>
      </w:pPr>
      <w:r w:rsidRPr="0036268D">
        <w:rPr>
          <w:color w:val="auto"/>
          <w:szCs w:val="24"/>
        </w:rPr>
        <w:lastRenderedPageBreak/>
        <w:t>CUARTO. Del estudio y resolución del asunto.</w:t>
      </w:r>
    </w:p>
    <w:p w14:paraId="00523C81" w14:textId="14493DAD"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Acotada la </w:t>
      </w:r>
      <w:r w:rsidRPr="0036268D">
        <w:rPr>
          <w:rFonts w:ascii="Palatino Linotype" w:eastAsia="Palatino Linotype" w:hAnsi="Palatino Linotype" w:cs="Palatino Linotype"/>
          <w:i/>
        </w:rPr>
        <w:t>Litis</w:t>
      </w:r>
      <w:r w:rsidRPr="0036268D">
        <w:rPr>
          <w:rFonts w:ascii="Palatino Linotype" w:eastAsia="Palatino Linotype" w:hAnsi="Palatino Linotype" w:cs="Palatino Linotype"/>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75161BC3" w14:textId="77777777" w:rsidR="00646CA1" w:rsidRPr="0036268D" w:rsidRDefault="00646CA1"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6DE7C98C" w14:textId="77777777"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36268D" w:rsidRDefault="00EB0F49" w:rsidP="00704431">
      <w:pPr>
        <w:tabs>
          <w:tab w:val="left" w:pos="0"/>
        </w:tabs>
        <w:spacing w:line="360" w:lineRule="auto"/>
        <w:jc w:val="both"/>
        <w:rPr>
          <w:rFonts w:ascii="Palatino Linotype" w:eastAsia="Palatino Linotype" w:hAnsi="Palatino Linotype" w:cs="Palatino Linotype"/>
        </w:rPr>
      </w:pPr>
    </w:p>
    <w:p w14:paraId="60EBFE50" w14:textId="77777777"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w:t>
      </w:r>
      <w:r w:rsidRPr="0036268D">
        <w:rPr>
          <w:rFonts w:ascii="Palatino Linotype" w:eastAsia="Palatino Linotype" w:hAnsi="Palatino Linotype" w:cs="Palatino Linotype"/>
        </w:rPr>
        <w:lastRenderedPageBreak/>
        <w:t>derive del ejercicio de sus facultades, competencias o funciones desde su origen la eventual publicidad y reutilización de la información que generen.</w:t>
      </w:r>
    </w:p>
    <w:p w14:paraId="58882358" w14:textId="77777777" w:rsidR="00EB0F49" w:rsidRPr="0036268D" w:rsidRDefault="00EB0F49" w:rsidP="00704431">
      <w:pPr>
        <w:pBdr>
          <w:top w:val="nil"/>
          <w:left w:val="nil"/>
          <w:bottom w:val="nil"/>
          <w:right w:val="nil"/>
          <w:between w:val="nil"/>
        </w:pBdr>
        <w:tabs>
          <w:tab w:val="left" w:pos="0"/>
        </w:tabs>
        <w:spacing w:line="360" w:lineRule="auto"/>
        <w:rPr>
          <w:rFonts w:ascii="Palatino Linotype" w:eastAsia="Palatino Linotype" w:hAnsi="Palatino Linotype" w:cs="Palatino Linotype"/>
        </w:rPr>
      </w:pPr>
    </w:p>
    <w:p w14:paraId="750A5BD7" w14:textId="22C520FD" w:rsidR="00EB0F49" w:rsidRPr="0036268D" w:rsidRDefault="001D308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CFC520" w14:textId="77777777" w:rsidR="00981F07" w:rsidRPr="0036268D" w:rsidRDefault="00981F07"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06AE24C" w14:textId="702BCFC9" w:rsidR="00646CA1" w:rsidRPr="0036268D" w:rsidRDefault="00646CA1"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36268D">
        <w:rPr>
          <w:rFonts w:ascii="Palatino Linotype" w:eastAsia="Palatino Linotype" w:hAnsi="Palatino Linotype" w:cs="Palatino Linotype"/>
        </w:rPr>
        <w:t>Ahora bien</w:t>
      </w:r>
      <w:r w:rsidR="001D3081" w:rsidRPr="0036268D">
        <w:rPr>
          <w:rFonts w:ascii="Palatino Linotype" w:eastAsia="Palatino Linotype" w:hAnsi="Palatino Linotype" w:cs="Palatino Linotype"/>
        </w:rPr>
        <w:t>, es de</w:t>
      </w:r>
      <w:r w:rsidR="00475E8A" w:rsidRPr="0036268D">
        <w:rPr>
          <w:rFonts w:ascii="Palatino Linotype" w:eastAsia="Palatino Linotype" w:hAnsi="Palatino Linotype" w:cs="Palatino Linotype"/>
        </w:rPr>
        <w:t xml:space="preserve"> </w:t>
      </w:r>
      <w:r w:rsidR="00993E1F" w:rsidRPr="0036268D">
        <w:rPr>
          <w:rFonts w:ascii="Palatino Linotype" w:eastAsia="Palatino Linotype" w:hAnsi="Palatino Linotype" w:cs="Palatino Linotype"/>
        </w:rPr>
        <w:t xml:space="preserve">reiterar </w:t>
      </w:r>
      <w:r w:rsidR="00475E8A" w:rsidRPr="0036268D">
        <w:rPr>
          <w:rFonts w:ascii="Palatino Linotype" w:eastAsia="Palatino Linotype" w:hAnsi="Palatino Linotype" w:cs="Palatino Linotype"/>
        </w:rPr>
        <w:t xml:space="preserve">que </w:t>
      </w:r>
      <w:r w:rsidRPr="0036268D">
        <w:rPr>
          <w:rFonts w:ascii="Palatino Linotype" w:eastAsia="Palatino Linotype" w:hAnsi="Palatino Linotype" w:cs="Palatino Linotype"/>
        </w:rPr>
        <w:t xml:space="preserve">la parte </w:t>
      </w:r>
      <w:r w:rsidRPr="0036268D">
        <w:rPr>
          <w:rFonts w:ascii="Palatino Linotype" w:eastAsia="Palatino Linotype" w:hAnsi="Palatino Linotype" w:cs="Palatino Linotype"/>
          <w:b/>
        </w:rPr>
        <w:t>RECURRENTE</w:t>
      </w:r>
      <w:r w:rsidR="00475E8A" w:rsidRPr="0036268D">
        <w:rPr>
          <w:rFonts w:ascii="Palatino Linotype" w:eastAsia="Palatino Linotype" w:hAnsi="Palatino Linotype" w:cs="Palatino Linotype"/>
        </w:rPr>
        <w:t xml:space="preserve"> </w:t>
      </w:r>
      <w:r w:rsidR="00981F07" w:rsidRPr="0036268D">
        <w:rPr>
          <w:rFonts w:ascii="Palatino Linotype" w:eastAsia="Palatino Linotype" w:hAnsi="Palatino Linotype" w:cs="Palatino Linotype"/>
          <w:b/>
        </w:rPr>
        <w:t xml:space="preserve">solicitó </w:t>
      </w:r>
      <w:r w:rsidRPr="0036268D">
        <w:rPr>
          <w:rFonts w:ascii="Palatino Linotype" w:eastAsia="Palatino Linotype" w:hAnsi="Palatino Linotype" w:cs="Palatino Linotype"/>
          <w:b/>
        </w:rPr>
        <w:t>los recibos de nómina en versión pública, de todo el personal adscrito a la actual Administración Municipal de Morelos, de</w:t>
      </w:r>
      <w:r w:rsidR="00721580" w:rsidRPr="0036268D">
        <w:rPr>
          <w:rFonts w:ascii="Palatino Linotype" w:eastAsia="Palatino Linotype" w:hAnsi="Palatino Linotype" w:cs="Palatino Linotype"/>
          <w:b/>
        </w:rPr>
        <w:t>l 01 de</w:t>
      </w:r>
      <w:r w:rsidRPr="0036268D">
        <w:rPr>
          <w:rFonts w:ascii="Palatino Linotype" w:eastAsia="Palatino Linotype" w:hAnsi="Palatino Linotype" w:cs="Palatino Linotype"/>
          <w:b/>
        </w:rPr>
        <w:t xml:space="preserve"> enero </w:t>
      </w:r>
      <w:r w:rsidR="00721580" w:rsidRPr="0036268D">
        <w:rPr>
          <w:rFonts w:ascii="Palatino Linotype" w:eastAsia="Palatino Linotype" w:hAnsi="Palatino Linotype" w:cs="Palatino Linotype"/>
          <w:b/>
        </w:rPr>
        <w:t xml:space="preserve">al 17 de </w:t>
      </w:r>
      <w:r w:rsidRPr="0036268D">
        <w:rPr>
          <w:rFonts w:ascii="Palatino Linotype" w:eastAsia="Palatino Linotype" w:hAnsi="Palatino Linotype" w:cs="Palatino Linotype"/>
          <w:b/>
        </w:rPr>
        <w:t>febrero de 2025.</w:t>
      </w:r>
    </w:p>
    <w:p w14:paraId="1D8011F8" w14:textId="77777777" w:rsidR="00475E8A" w:rsidRPr="0036268D" w:rsidRDefault="00475E8A"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0533D523" w14:textId="7326014D" w:rsidR="00646CA1" w:rsidRPr="0036268D" w:rsidRDefault="00993E1F"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rPr>
        <w:t xml:space="preserve">En respuesta, el </w:t>
      </w:r>
      <w:r w:rsidR="00981F07" w:rsidRPr="0036268D">
        <w:rPr>
          <w:rFonts w:ascii="Palatino Linotype" w:eastAsia="Palatino Linotype" w:hAnsi="Palatino Linotype" w:cs="Palatino Linotype"/>
          <w:b/>
        </w:rPr>
        <w:t xml:space="preserve">SUJETO OBLIGADO </w:t>
      </w:r>
      <w:r w:rsidR="00646CA1" w:rsidRPr="0036268D">
        <w:rPr>
          <w:rFonts w:ascii="Palatino Linotype" w:eastAsia="Palatino Linotype" w:hAnsi="Palatino Linotype" w:cs="Palatino Linotype"/>
        </w:rPr>
        <w:t>por medio d</w:t>
      </w:r>
      <w:r w:rsidR="00646CA1" w:rsidRPr="0036268D">
        <w:rPr>
          <w:rFonts w:ascii="Palatino Linotype" w:hAnsi="Palatino Linotype"/>
        </w:rPr>
        <w:t xml:space="preserve">el Tesorero Municipal, </w:t>
      </w:r>
      <w:r w:rsidR="00646CA1" w:rsidRPr="0036268D">
        <w:rPr>
          <w:rFonts w:ascii="Palatino Linotype" w:hAnsi="Palatino Linotype"/>
          <w:b/>
        </w:rPr>
        <w:t xml:space="preserve">remitió un documento que lleva por Título </w:t>
      </w:r>
      <w:r w:rsidR="00646CA1" w:rsidRPr="0036268D">
        <w:rPr>
          <w:rFonts w:ascii="Palatino Linotype" w:hAnsi="Palatino Linotype"/>
          <w:b/>
          <w:i/>
        </w:rPr>
        <w:t>“NOMINA”,</w:t>
      </w:r>
      <w:r w:rsidR="00646CA1" w:rsidRPr="0036268D">
        <w:rPr>
          <w:rFonts w:ascii="Palatino Linotype" w:hAnsi="Palatino Linotype"/>
          <w:b/>
        </w:rPr>
        <w:t xml:space="preserve"> correspondiente a la primera y segunda quincena de enero y febrero de 2025</w:t>
      </w:r>
      <w:r w:rsidR="00646CA1" w:rsidRPr="0036268D">
        <w:rPr>
          <w:rFonts w:ascii="Palatino Linotype" w:hAnsi="Palatino Linotype"/>
        </w:rPr>
        <w:t>.</w:t>
      </w:r>
      <w:r w:rsidR="00646CA1" w:rsidRPr="0036268D">
        <w:rPr>
          <w:rFonts w:ascii="Palatino Linotype" w:eastAsia="Palatino Linotype" w:hAnsi="Palatino Linotype" w:cs="Palatino Linotype"/>
        </w:rPr>
        <w:t xml:space="preserve"> Asimismo, el acta número CTM/020E/2025 de la Sesión Extraordinaria del Comité de Transparencia, en la cual, se aprobó la propuesta de clasificación como información reservada, confidencial y la prueba de daño respectiva, del </w:t>
      </w:r>
      <w:r w:rsidR="00646CA1" w:rsidRPr="0036268D">
        <w:rPr>
          <w:rFonts w:ascii="Palatino Linotype" w:eastAsia="Palatino Linotype" w:hAnsi="Palatino Linotype" w:cs="Palatino Linotype"/>
          <w:i/>
        </w:rPr>
        <w:t>“Reporte de Nómina”</w:t>
      </w:r>
      <w:r w:rsidR="00646CA1" w:rsidRPr="0036268D">
        <w:rPr>
          <w:rFonts w:ascii="Palatino Linotype" w:eastAsia="Palatino Linotype" w:hAnsi="Palatino Linotype" w:cs="Palatino Linotype"/>
        </w:rPr>
        <w:t xml:space="preserve"> previamente referido. Como se observa:</w:t>
      </w:r>
    </w:p>
    <w:p w14:paraId="140CCF0D" w14:textId="7542A25C" w:rsidR="00646CA1" w:rsidRPr="0036268D" w:rsidRDefault="00646CA1"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36268D">
        <w:rPr>
          <w:rFonts w:ascii="Palatino Linotype" w:eastAsia="Palatino Linotype" w:hAnsi="Palatino Linotype" w:cs="Palatino Linotype"/>
          <w:i/>
          <w:noProof/>
          <w:lang w:val="es-MX"/>
        </w:rPr>
        <w:drawing>
          <wp:inline distT="0" distB="0" distL="0" distR="0" wp14:anchorId="185BABCB" wp14:editId="7875F78A">
            <wp:extent cx="5581015" cy="12573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257300"/>
                    </a:xfrm>
                    <a:prstGeom prst="rect">
                      <a:avLst/>
                    </a:prstGeom>
                  </pic:spPr>
                </pic:pic>
              </a:graphicData>
            </a:graphic>
          </wp:inline>
        </w:drawing>
      </w:r>
    </w:p>
    <w:p w14:paraId="4ED2F593" w14:textId="77777777" w:rsidR="00981F07" w:rsidRPr="0036268D" w:rsidRDefault="00981F07"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B86B0C8" w14:textId="042AB45C" w:rsidR="00131F79" w:rsidRPr="0036268D" w:rsidRDefault="00993E1F"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r w:rsidRPr="0036268D">
        <w:rPr>
          <w:rFonts w:ascii="Palatino Linotype" w:eastAsia="Palatino Linotype" w:hAnsi="Palatino Linotype" w:cs="Palatino Linotype"/>
        </w:rPr>
        <w:lastRenderedPageBreak/>
        <w:t xml:space="preserve">Posteriormente, </w:t>
      </w:r>
      <w:r w:rsidR="00646CA1" w:rsidRPr="0036268D">
        <w:rPr>
          <w:rFonts w:ascii="Palatino Linotype" w:eastAsia="Palatino Linotype" w:hAnsi="Palatino Linotype" w:cs="Palatino Linotype"/>
        </w:rPr>
        <w:t xml:space="preserve">la parte </w:t>
      </w:r>
      <w:r w:rsidR="00646CA1" w:rsidRPr="0036268D">
        <w:rPr>
          <w:rFonts w:ascii="Palatino Linotype" w:eastAsia="Palatino Linotype" w:hAnsi="Palatino Linotype" w:cs="Palatino Linotype"/>
          <w:b/>
        </w:rPr>
        <w:t xml:space="preserve">RECURRENTE </w:t>
      </w:r>
      <w:r w:rsidR="00646CA1" w:rsidRPr="0036268D">
        <w:rPr>
          <w:rFonts w:ascii="Palatino Linotype" w:eastAsia="Palatino Linotype" w:hAnsi="Palatino Linotype" w:cs="Palatino Linotype"/>
        </w:rPr>
        <w:t xml:space="preserve">interpuso recurso de revisión en el que se inconformó </w:t>
      </w:r>
      <w:r w:rsidR="00646CA1" w:rsidRPr="0036268D">
        <w:rPr>
          <w:rFonts w:ascii="Palatino Linotype" w:eastAsia="Palatino Linotype" w:hAnsi="Palatino Linotype" w:cs="Palatino Linotype"/>
          <w:b/>
        </w:rPr>
        <w:t>porque la información proporcionada no corresponde con lo solicitado.</w:t>
      </w:r>
    </w:p>
    <w:p w14:paraId="3A1E3A36" w14:textId="3A38A1FE" w:rsidR="00131F79" w:rsidRPr="0036268D" w:rsidRDefault="00131F79"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293EBAAC" w14:textId="251BA799" w:rsidR="00721580" w:rsidRPr="0036268D" w:rsidRDefault="00725132"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Así, </w:t>
      </w:r>
      <w:r w:rsidR="00364354" w:rsidRPr="0036268D">
        <w:rPr>
          <w:rFonts w:ascii="Palatino Linotype" w:eastAsia="Palatino Linotype" w:hAnsi="Palatino Linotype" w:cs="Palatino Linotype"/>
        </w:rPr>
        <w:t xml:space="preserve">del análisis realizado a las documentales proporcionadas, se advierte que, si bien el </w:t>
      </w:r>
      <w:r w:rsidR="00364354" w:rsidRPr="0036268D">
        <w:rPr>
          <w:rFonts w:ascii="Palatino Linotype" w:eastAsia="Palatino Linotype" w:hAnsi="Palatino Linotype" w:cs="Palatino Linotype"/>
          <w:b/>
        </w:rPr>
        <w:t>SUJETO OBLIGADO</w:t>
      </w:r>
      <w:r w:rsidR="00364354" w:rsidRPr="0036268D">
        <w:rPr>
          <w:rFonts w:ascii="Palatino Linotype" w:eastAsia="Palatino Linotype" w:hAnsi="Palatino Linotype" w:cs="Palatino Linotype"/>
        </w:rPr>
        <w:t xml:space="preserve"> remitió un documento </w:t>
      </w:r>
      <w:r w:rsidR="00364354" w:rsidRPr="0036268D">
        <w:rPr>
          <w:rFonts w:ascii="Palatino Linotype" w:eastAsia="Palatino Linotype" w:hAnsi="Palatino Linotype" w:cs="Palatino Linotype"/>
          <w:i/>
        </w:rPr>
        <w:t>ad hoc</w:t>
      </w:r>
      <w:r w:rsidR="00364354" w:rsidRPr="0036268D">
        <w:rPr>
          <w:rFonts w:ascii="Palatino Linotype" w:eastAsia="Palatino Linotype" w:hAnsi="Palatino Linotype" w:cs="Palatino Linotype"/>
        </w:rPr>
        <w:t>, donde se</w:t>
      </w:r>
      <w:r w:rsidR="00721580" w:rsidRPr="0036268D">
        <w:rPr>
          <w:rFonts w:ascii="Palatino Linotype" w:eastAsia="Palatino Linotype" w:hAnsi="Palatino Linotype" w:cs="Palatino Linotype"/>
        </w:rPr>
        <w:t xml:space="preserve"> observan</w:t>
      </w:r>
      <w:r w:rsidR="00364354" w:rsidRPr="0036268D">
        <w:rPr>
          <w:rFonts w:ascii="Palatino Linotype" w:eastAsia="Palatino Linotype" w:hAnsi="Palatino Linotype" w:cs="Palatino Linotype"/>
        </w:rPr>
        <w:t xml:space="preserve"> datos como “puesto, total de percepciones, total de deducciones y neto pagado”, de </w:t>
      </w:r>
      <w:r w:rsidR="00364354" w:rsidRPr="0036268D">
        <w:rPr>
          <w:rFonts w:ascii="Palatino Linotype" w:hAnsi="Palatino Linotype"/>
        </w:rPr>
        <w:t>la primera y segunda quincena de enero y</w:t>
      </w:r>
      <w:r w:rsidR="00721580" w:rsidRPr="0036268D">
        <w:rPr>
          <w:rFonts w:ascii="Palatino Linotype" w:hAnsi="Palatino Linotype"/>
        </w:rPr>
        <w:t xml:space="preserve"> </w:t>
      </w:r>
      <w:r w:rsidR="00364354" w:rsidRPr="0036268D">
        <w:rPr>
          <w:rFonts w:ascii="Palatino Linotype" w:hAnsi="Palatino Linotype"/>
        </w:rPr>
        <w:t xml:space="preserve">febrero de 2025, </w:t>
      </w:r>
      <w:r w:rsidR="00364354" w:rsidRPr="0036268D">
        <w:rPr>
          <w:rFonts w:ascii="Palatino Linotype" w:hAnsi="Palatino Linotype"/>
          <w:b/>
        </w:rPr>
        <w:t xml:space="preserve">este </w:t>
      </w:r>
      <w:r w:rsidR="00721580" w:rsidRPr="0036268D">
        <w:rPr>
          <w:rFonts w:ascii="Palatino Linotype" w:hAnsi="Palatino Linotype"/>
          <w:b/>
        </w:rPr>
        <w:t xml:space="preserve">no </w:t>
      </w:r>
      <w:r w:rsidR="00364354" w:rsidRPr="0036268D">
        <w:rPr>
          <w:rFonts w:ascii="Palatino Linotype" w:hAnsi="Palatino Linotype"/>
          <w:b/>
        </w:rPr>
        <w:t>corresponde a los recibos de nómina solicitados</w:t>
      </w:r>
      <w:r w:rsidR="00364354" w:rsidRPr="0036268D">
        <w:rPr>
          <w:rFonts w:ascii="Palatino Linotype" w:hAnsi="Palatino Linotype"/>
        </w:rPr>
        <w:t xml:space="preserve"> </w:t>
      </w:r>
      <w:r w:rsidR="00364354" w:rsidRPr="0036268D">
        <w:rPr>
          <w:rFonts w:ascii="Palatino Linotype" w:hAnsi="Palatino Linotype"/>
          <w:b/>
        </w:rPr>
        <w:t xml:space="preserve">por la parte RECURRENTE; </w:t>
      </w:r>
      <w:r w:rsidR="00364354" w:rsidRPr="0036268D">
        <w:rPr>
          <w:rFonts w:ascii="Palatino Linotype" w:hAnsi="Palatino Linotype"/>
        </w:rPr>
        <w:t xml:space="preserve">por otro lado, es </w:t>
      </w:r>
      <w:r w:rsidR="00721580" w:rsidRPr="0036268D">
        <w:rPr>
          <w:rFonts w:ascii="Palatino Linotype" w:hAnsi="Palatino Linotype"/>
        </w:rPr>
        <w:t>de</w:t>
      </w:r>
      <w:r w:rsidR="00364354" w:rsidRPr="0036268D">
        <w:rPr>
          <w:rFonts w:ascii="Palatino Linotype" w:hAnsi="Palatino Linotype"/>
        </w:rPr>
        <w:t xml:space="preserve"> señalar que el documento, se encuentra en versión publica incorrecta y excesiva, toda vez que se testaron datos personales de carácter público, como lo es, de manera enunciativa más no limitativa, el nombre de los servidores públicos que no realizan funciones de seguridad pública</w:t>
      </w:r>
      <w:r w:rsidR="00721580" w:rsidRPr="0036268D">
        <w:rPr>
          <w:rFonts w:ascii="Palatino Linotype" w:eastAsia="Palatino Linotype" w:hAnsi="Palatino Linotype" w:cs="Palatino Linotype"/>
        </w:rPr>
        <w:t xml:space="preserve"> </w:t>
      </w:r>
      <w:r w:rsidR="00721580" w:rsidRPr="0036268D">
        <w:rPr>
          <w:rFonts w:ascii="Palatino Linotype" w:hAnsi="Palatino Linotype"/>
          <w:color w:val="222222"/>
        </w:rPr>
        <w:t>(actividades operativas en campo).</w:t>
      </w:r>
    </w:p>
    <w:p w14:paraId="621CF866" w14:textId="77777777" w:rsidR="002F5080" w:rsidRPr="0036268D" w:rsidRDefault="002F5080" w:rsidP="00704431">
      <w:pPr>
        <w:tabs>
          <w:tab w:val="left" w:pos="0"/>
        </w:tabs>
        <w:rPr>
          <w:rFonts w:ascii="Palatino Linotype" w:eastAsia="Palatino Linotype" w:hAnsi="Palatino Linotype" w:cs="Palatino Linotype"/>
        </w:rPr>
      </w:pPr>
    </w:p>
    <w:p w14:paraId="069FFAF7" w14:textId="3A762958" w:rsidR="002F5080" w:rsidRPr="0036268D" w:rsidRDefault="00364354"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Precisado lo anterior</w:t>
      </w:r>
      <w:r w:rsidR="00963A96" w:rsidRPr="0036268D">
        <w:rPr>
          <w:rFonts w:ascii="Palatino Linotype" w:eastAsia="Palatino Linotype" w:hAnsi="Palatino Linotype" w:cs="Palatino Linotype"/>
        </w:rPr>
        <w:t xml:space="preserve">, </w:t>
      </w:r>
      <w:r w:rsidR="002F5080" w:rsidRPr="0036268D">
        <w:rPr>
          <w:rFonts w:ascii="Palatino Linotype" w:eastAsia="Palatino Linotype" w:hAnsi="Palatino Linotype" w:cs="Palatino Linotype"/>
        </w:rPr>
        <w:t xml:space="preserve">se </w:t>
      </w:r>
      <w:r w:rsidRPr="0036268D">
        <w:rPr>
          <w:rFonts w:ascii="Palatino Linotype" w:eastAsia="Palatino Linotype" w:hAnsi="Palatino Linotype" w:cs="Palatino Linotype"/>
        </w:rPr>
        <w:t xml:space="preserve">reitera </w:t>
      </w:r>
      <w:r w:rsidR="00963A96" w:rsidRPr="0036268D">
        <w:rPr>
          <w:rFonts w:ascii="Palatino Linotype" w:eastAsia="Palatino Linotype" w:hAnsi="Palatino Linotype" w:cs="Palatino Linotype"/>
        </w:rPr>
        <w:t>que</w:t>
      </w:r>
      <w:r w:rsidRPr="0036268D">
        <w:rPr>
          <w:rFonts w:ascii="Palatino Linotype" w:eastAsia="Palatino Linotype" w:hAnsi="Palatino Linotype" w:cs="Palatino Linotype"/>
        </w:rPr>
        <w:t xml:space="preserve"> la parte</w:t>
      </w:r>
      <w:r w:rsidR="00963A96"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b/>
        </w:rPr>
        <w:t>RECURRENTE</w:t>
      </w:r>
      <w:r w:rsidR="00963A96" w:rsidRPr="0036268D">
        <w:rPr>
          <w:rFonts w:ascii="Palatino Linotype" w:eastAsia="Palatino Linotype" w:hAnsi="Palatino Linotype" w:cs="Palatino Linotype"/>
        </w:rPr>
        <w:t xml:space="preserve"> solicitó los </w:t>
      </w:r>
      <w:r w:rsidR="00963A96" w:rsidRPr="0036268D">
        <w:rPr>
          <w:rFonts w:ascii="Palatino Linotype" w:eastAsia="Palatino Linotype" w:hAnsi="Palatino Linotype" w:cs="Palatino Linotype"/>
          <w:b/>
        </w:rPr>
        <w:t xml:space="preserve">recibos de nómina </w:t>
      </w:r>
      <w:r w:rsidRPr="0036268D">
        <w:rPr>
          <w:rFonts w:ascii="Palatino Linotype" w:eastAsia="Palatino Linotype" w:hAnsi="Palatino Linotype" w:cs="Palatino Linotype"/>
        </w:rPr>
        <w:t>de todo el personal adscrito a la actual Administración Municipal de Morelos</w:t>
      </w:r>
      <w:r w:rsidR="002F5080" w:rsidRPr="0036268D">
        <w:rPr>
          <w:rFonts w:ascii="Palatino Linotype" w:eastAsia="Palatino Linotype" w:hAnsi="Palatino Linotype" w:cs="Palatino Linotype"/>
        </w:rPr>
        <w:t>,</w:t>
      </w:r>
      <w:r w:rsidR="00963A96" w:rsidRPr="0036268D">
        <w:rPr>
          <w:rFonts w:ascii="Palatino Linotype" w:hAnsi="Palatino Linotype"/>
        </w:rPr>
        <w:t xml:space="preserve"> </w:t>
      </w:r>
      <w:r w:rsidR="002F5080" w:rsidRPr="0036268D">
        <w:rPr>
          <w:rFonts w:ascii="Palatino Linotype" w:hAnsi="Palatino Linotype"/>
        </w:rPr>
        <w:t xml:space="preserve">así </w:t>
      </w:r>
      <w:r w:rsidR="002F5080" w:rsidRPr="0036268D">
        <w:rPr>
          <w:rFonts w:ascii="Palatino Linotype" w:eastAsia="Palatino Linotype" w:hAnsi="Palatino Linotype" w:cs="Palatino Linotype"/>
        </w:rPr>
        <w:t xml:space="preserve">resulta necesario señalar que, </w:t>
      </w:r>
      <w:r w:rsidR="002F5080" w:rsidRPr="0036268D">
        <w:rPr>
          <w:rFonts w:ascii="Palatino Linotype" w:hAnsi="Palatino Linotype"/>
        </w:rPr>
        <w:t xml:space="preserve">el artículo 3°, fracción XXXII, del Código Financiero del Estado de México y Municipios , establece que la remuneración consiste en los pagos hechos por concepto de sueldo, compensaciones, gratificaciones, habitación, primas, comisiones, prestaciones, en especie y cualquier otra percepción o prestación que se entregue al servidor por su trabajo. 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14:paraId="426B7E1E"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30D21B11" w14:textId="2DECEB89" w:rsidR="002F5080" w:rsidRPr="0036268D" w:rsidRDefault="002F5080" w:rsidP="00704431">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lastRenderedPageBreak/>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5008F3A0"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b/>
          <w:bCs/>
          <w:i/>
          <w:iCs/>
        </w:rPr>
        <w:t>Artículo 92.</w:t>
      </w:r>
      <w:r w:rsidRPr="0036268D">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77235C"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b/>
          <w:bCs/>
          <w:i/>
          <w:iCs/>
        </w:rPr>
        <w:t>(…)</w:t>
      </w:r>
    </w:p>
    <w:p w14:paraId="2F9438EB"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 xml:space="preserve">VIII. La remuneración bruta y neta de todos los servidores públicos de base o de confianza, </w:t>
      </w:r>
      <w:r w:rsidRPr="0036268D">
        <w:rPr>
          <w:rFonts w:ascii="Palatino Linotype" w:hAnsi="Palatino Linotype"/>
          <w:i/>
          <w:iCs/>
        </w:rPr>
        <w:t>de todas las percepciones, incluyendo sueldos, prestaciones, gratificaciones, primas, comisiones, dietas, bonos, estímulos, ingresos y sistemas de compensación, señalando la periodicidad de dicha remuneración;</w:t>
      </w:r>
    </w:p>
    <w:p w14:paraId="2E89E823" w14:textId="688CA21A"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w:t>
      </w:r>
      <w:r w:rsidRPr="0036268D">
        <w:rPr>
          <w:rFonts w:ascii="Palatino Linotype" w:hAnsi="Palatino Linotype"/>
          <w:i/>
          <w:iCs/>
        </w:rPr>
        <w:t>”</w:t>
      </w:r>
    </w:p>
    <w:p w14:paraId="7633AD10" w14:textId="77777777" w:rsidR="002F5080" w:rsidRPr="0036268D" w:rsidRDefault="002F5080" w:rsidP="00704431">
      <w:pPr>
        <w:tabs>
          <w:tab w:val="left" w:pos="0"/>
        </w:tabs>
        <w:jc w:val="both"/>
        <w:rPr>
          <w:rFonts w:ascii="Palatino Linotype" w:hAnsi="Palatino Linotype"/>
          <w:i/>
          <w:iCs/>
        </w:rPr>
      </w:pPr>
    </w:p>
    <w:p w14:paraId="7B9B64F9"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Por otra parte, la Ley del Trabajo de los Servidores Públicos del Estado y Municipios, en su artículo 220 K, establece los documentos que tiene la obligación de conservar el Sujeto Obligado, entre los que se encuentran los recibos de pagos: </w:t>
      </w:r>
    </w:p>
    <w:p w14:paraId="534899FD"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r w:rsidRPr="0036268D">
        <w:rPr>
          <w:rFonts w:ascii="Palatino Linotype" w:hAnsi="Palatino Linotype"/>
          <w:b/>
          <w:bCs/>
          <w:i/>
          <w:iCs/>
        </w:rPr>
        <w:t>ARTÍCULO 220 K.-</w:t>
      </w:r>
      <w:r w:rsidRPr="0036268D">
        <w:rPr>
          <w:rFonts w:ascii="Palatino Linotype" w:hAnsi="Palatino Linotype"/>
          <w:i/>
          <w:iCs/>
        </w:rPr>
        <w:t xml:space="preserve"> La institución o dependencia pública tiene la obligación de conservar y exhibir en el proceso los documentos que a continuación se precisan: </w:t>
      </w:r>
    </w:p>
    <w:p w14:paraId="23486A36"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I. Contratos, Nombramientos o Formato Único de Movimientos de Personal, cuando no exista Convenio de condiciones generales de trabajo aplicable; </w:t>
      </w:r>
    </w:p>
    <w:p w14:paraId="2C1F514A"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II. Recibos de pagos de salarios</w:t>
      </w:r>
      <w:r w:rsidRPr="0036268D">
        <w:rPr>
          <w:rFonts w:ascii="Palatino Linotype" w:hAnsi="Palatino Linotype"/>
          <w:i/>
          <w:iCs/>
        </w:rPr>
        <w:t xml:space="preserve"> o las constancias documentales del pago de salario cuando sea por depósito o mediante información electrónica; </w:t>
      </w:r>
    </w:p>
    <w:p w14:paraId="487E5C26"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III. Controles de asistencia o la información magnética o electrónica de asistencia de los servidores públicos; </w:t>
      </w:r>
    </w:p>
    <w:p w14:paraId="32A1F699"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lastRenderedPageBreak/>
        <w:t xml:space="preserve">IV. Recibos o las constancias de depósito o del medio de información magnética o electrónica que sean utilizadas para el pago de salarios, prima vacacional, aguinaldo y demás prestaciones establecidas en la presente ley; y </w:t>
      </w:r>
    </w:p>
    <w:p w14:paraId="0A7E086D"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V. Los demás que señalen las leyes.</w:t>
      </w:r>
    </w:p>
    <w:p w14:paraId="201603F5"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p>
    <w:p w14:paraId="0387183E" w14:textId="3783350D"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0F96B9B" w14:textId="77777777" w:rsidR="00721580" w:rsidRPr="0036268D" w:rsidRDefault="00721580" w:rsidP="00704431">
      <w:pPr>
        <w:tabs>
          <w:tab w:val="left" w:pos="0"/>
        </w:tabs>
        <w:jc w:val="both"/>
        <w:rPr>
          <w:rFonts w:ascii="Palatino Linotype" w:eastAsia="Palatino Linotype" w:hAnsi="Palatino Linotype" w:cs="Palatino Linotype"/>
          <w:i/>
          <w:iCs/>
        </w:rPr>
      </w:pPr>
    </w:p>
    <w:p w14:paraId="70B9BC11"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 </w:t>
      </w:r>
    </w:p>
    <w:p w14:paraId="2070C533"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2149F418"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14:paraId="2756737B"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w:t>
      </w:r>
      <w:r w:rsidRPr="0036268D">
        <w:rPr>
          <w:rFonts w:ascii="Palatino Linotype" w:hAnsi="Palatino Linotype"/>
          <w:i/>
          <w:iCs/>
        </w:rPr>
        <w:lastRenderedPageBreak/>
        <w:t>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A98EEA1"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70B21515" w14:textId="46F020E8" w:rsidR="002F5080" w:rsidRPr="001B7DE1"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De </w:t>
      </w:r>
      <w:r w:rsidRPr="0036268D">
        <w:rPr>
          <w:rFonts w:ascii="Palatino Linotype" w:hAnsi="Palatino Linotype"/>
        </w:rPr>
        <w:t>la tesis transcrita, se desprende que en materia burocrática los recibos de pago acreditan los conceptos y montos que en ellos se insertan, y constituyen prueba para demostrar las percepciones y montos que reciben los servidores públicos.</w:t>
      </w:r>
    </w:p>
    <w:p w14:paraId="67D7F34E" w14:textId="77777777" w:rsidR="001B7DE1" w:rsidRPr="0036268D" w:rsidRDefault="001B7DE1" w:rsidP="001B7DE1">
      <w:pPr>
        <w:tabs>
          <w:tab w:val="left" w:pos="0"/>
        </w:tabs>
        <w:spacing w:line="360" w:lineRule="auto"/>
        <w:jc w:val="both"/>
        <w:rPr>
          <w:rFonts w:ascii="Palatino Linotype" w:eastAsia="Palatino Linotype" w:hAnsi="Palatino Linotype" w:cs="Palatino Linotype"/>
        </w:rPr>
      </w:pPr>
    </w:p>
    <w:p w14:paraId="7ADFB033" w14:textId="60F5D15A"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Por lo que</w:t>
      </w:r>
      <w:r w:rsidRPr="0036268D">
        <w:rPr>
          <w:rFonts w:ascii="Palatino Linotype" w:hAnsi="Palatino Linotype"/>
        </w:rPr>
        <w:t xml:space="preserve">, derivado de que el Particular desea tener acceso al documento que </w:t>
      </w:r>
      <w:r w:rsidR="001B7DE1" w:rsidRPr="0036268D">
        <w:rPr>
          <w:rFonts w:ascii="Palatino Linotype" w:hAnsi="Palatino Linotype"/>
        </w:rPr>
        <w:t>dé</w:t>
      </w:r>
      <w:r w:rsidRPr="0036268D">
        <w:rPr>
          <w:rFonts w:ascii="Palatino Linotype" w:hAnsi="Palatino Linotype"/>
        </w:rPr>
        <w:t xml:space="preserve"> cuenta del pago a servidores públicos, este Órgano Garante precisa que lo procedente es ordenar el documento que dé cuenta de las remuneraciones que reciben; ello en atención al artículo 12 de la Ley de Transparencia y Acceso a la Información Pública del Estado de México y Municipios, que establece que </w:t>
      </w:r>
      <w:r w:rsidRPr="0036268D">
        <w:rPr>
          <w:rFonts w:ascii="Palatino Linotype" w:hAnsi="Palatino Linotype"/>
          <w:u w:val="single"/>
        </w:rPr>
        <w:t>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277922E"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702FE013"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tal sentido, </w:t>
      </w:r>
      <w:r w:rsidRPr="0036268D">
        <w:rPr>
          <w:rFonts w:ascii="Palatino Linotype" w:hAnsi="Palatino Linotype"/>
        </w:rPr>
        <w:t xml:space="preserve">debemos mencionar que para tener por satisfecho el derecho de acceso a la información pública implica que cualquier persona conozca la información contenida en los documentos que se encuentren en los archivos de los Sujetos Obligados. </w:t>
      </w:r>
    </w:p>
    <w:p w14:paraId="77B4325C"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56FCDE32"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lastRenderedPageBreak/>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140588A5" w14:textId="77777777" w:rsidR="002F5080" w:rsidRPr="0036268D" w:rsidRDefault="002F5080" w:rsidP="00704431">
      <w:pPr>
        <w:tabs>
          <w:tab w:val="left" w:pos="0"/>
        </w:tabs>
        <w:ind w:left="567"/>
        <w:jc w:val="both"/>
        <w:rPr>
          <w:rFonts w:ascii="Palatino Linotype" w:hAnsi="Palatino Linotype"/>
          <w:b/>
          <w:bCs/>
          <w:i/>
          <w:iCs/>
        </w:rPr>
      </w:pPr>
      <w:r w:rsidRPr="0036268D">
        <w:rPr>
          <w:rFonts w:ascii="Palatino Linotype" w:hAnsi="Palatino Linotype"/>
          <w:b/>
          <w:bCs/>
          <w:i/>
          <w:iCs/>
        </w:rPr>
        <w:t xml:space="preserve">“Artículo 3. Para los efectos de la presente Ley se entenderá por: </w:t>
      </w:r>
    </w:p>
    <w:p w14:paraId="3357CDA0"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p>
    <w:p w14:paraId="4A7848FE"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XI. Documento:</w:t>
      </w:r>
      <w:r w:rsidRPr="0036268D">
        <w:rPr>
          <w:rFonts w:ascii="Palatino Linotype" w:hAnsi="Palatino Linotype"/>
          <w:i/>
          <w:iC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3951843"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XII. Documento electrónico:</w:t>
      </w:r>
      <w:r w:rsidRPr="0036268D">
        <w:rPr>
          <w:rFonts w:ascii="Palatino Linotype" w:hAnsi="Palatino Linotype"/>
          <w:i/>
          <w:iC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 </w:t>
      </w:r>
    </w:p>
    <w:p w14:paraId="09D0699B"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p>
    <w:p w14:paraId="1B7019AE"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Artículo 4.</w:t>
      </w:r>
      <w:r w:rsidRPr="0036268D">
        <w:rPr>
          <w:rFonts w:ascii="Palatino Linotype" w:hAnsi="Palatino Linotype"/>
          <w:i/>
          <w:iCs/>
        </w:rPr>
        <w:t xml:space="preserve"> </w:t>
      </w:r>
      <w:r w:rsidRPr="0036268D">
        <w:rPr>
          <w:rFonts w:ascii="Palatino Linotype" w:hAnsi="Palatino Linotype"/>
          <w:i/>
          <w:iCs/>
          <w:u w:val="single"/>
        </w:rPr>
        <w:t xml:space="preserve">El derecho humano de acceso a la información pública es la prerrogativa de las personas para buscar, difundir, investigar, recabar, recibir y solicitar información pública, </w:t>
      </w:r>
      <w:r w:rsidRPr="0036268D">
        <w:rPr>
          <w:rFonts w:ascii="Palatino Linotype" w:hAnsi="Palatino Linotype"/>
          <w:i/>
          <w:iCs/>
        </w:rPr>
        <w:t xml:space="preserve">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w:t>
      </w:r>
    </w:p>
    <w:p w14:paraId="3695EECB"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lastRenderedPageBreak/>
        <w:t>Artículo 12.</w:t>
      </w:r>
      <w:r w:rsidRPr="0036268D">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 </w:t>
      </w:r>
    </w:p>
    <w:p w14:paraId="30F6BFA2"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u w:val="single"/>
        </w:rPr>
        <w:t>Los sujetos obligados sólo proporcionarán la información pública que se les requiera y que obre en sus archivos y en el estado en que ésta se encuentre.</w:t>
      </w:r>
      <w:r w:rsidRPr="0036268D">
        <w:rPr>
          <w:rFonts w:ascii="Palatino Linotype" w:hAnsi="Palatino Linotype"/>
          <w:i/>
          <w:iC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522742F"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b/>
          <w:bCs/>
          <w:i/>
          <w:iCs/>
        </w:rPr>
        <w:t>Artículo 24.</w:t>
      </w:r>
      <w:r w:rsidRPr="0036268D">
        <w:rPr>
          <w:rFonts w:ascii="Palatino Linotype" w:hAnsi="Palatino Linotype"/>
          <w:i/>
          <w:iCs/>
        </w:rPr>
        <w:t xml:space="preserve"> Para el cumplimiento de los objetivos de esta Ley, los sujetos obligados deberán cumplir con las siguientes obligaciones, según corresponda, de acuerdo a su naturaleza: ... </w:t>
      </w:r>
    </w:p>
    <w:p w14:paraId="15CFE9BF"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IX. Fomentar el uso de tecnologías de la información para garantizar la transparencia, el derecho de acceso a la información y la accesibilidad a éstos; </w:t>
      </w:r>
    </w:p>
    <w:p w14:paraId="6447007A"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p>
    <w:p w14:paraId="12EA3C16"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XI. Dar acceso a la información pública que le sea requerida, en los términos de la Ley General, esta Ley y demás disposiciones jurídicas aplicables; </w:t>
      </w:r>
    </w:p>
    <w:p w14:paraId="3F0FE3D2"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 </w:t>
      </w:r>
    </w:p>
    <w:p w14:paraId="5FA3C23C"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En la administración, gestión y custodia de los archivos de información pública, los sujetos obligados, los servidores públicos habilitados y los servidores públicos en general, se ajustarán a lo establecido por la normatividad aplicable. </w:t>
      </w:r>
    </w:p>
    <w:p w14:paraId="285F548F" w14:textId="77777777" w:rsidR="002F5080" w:rsidRPr="0036268D" w:rsidRDefault="002F5080" w:rsidP="00704431">
      <w:pPr>
        <w:tabs>
          <w:tab w:val="left" w:pos="0"/>
        </w:tabs>
        <w:ind w:left="567"/>
        <w:jc w:val="both"/>
        <w:rPr>
          <w:rFonts w:ascii="Palatino Linotype" w:hAnsi="Palatino Linotype"/>
          <w:i/>
          <w:iCs/>
          <w:u w:val="single"/>
        </w:rPr>
      </w:pPr>
      <w:r w:rsidRPr="0036268D">
        <w:rPr>
          <w:rFonts w:ascii="Palatino Linotype" w:hAnsi="Palatino Linotype"/>
          <w:i/>
          <w:iCs/>
          <w:u w:val="single"/>
        </w:rPr>
        <w:t>Los sujetos obligados solo proporcionarán la información pública que generen, administren o posean en el ejercicio de sus atribuciones.”</w:t>
      </w:r>
    </w:p>
    <w:p w14:paraId="6C3BC6D7"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w:t>
      </w:r>
    </w:p>
    <w:p w14:paraId="4C481E97"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05CA63B2"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Por lo que el ejercicio del derecho de acceso a la información pública es la prerrogativa de las personas para buscar, difundir, investigar, recabar, recibir y solicitar información pública, sin necesidad de acreditar personalidad ni interés jurídico. </w:t>
      </w:r>
    </w:p>
    <w:p w14:paraId="405F592A"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24EC6E43"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w:t>
      </w:r>
    </w:p>
    <w:p w14:paraId="1D4EB731" w14:textId="77777777" w:rsidR="002F5080" w:rsidRPr="0036268D" w:rsidRDefault="002F5080" w:rsidP="00704431">
      <w:pPr>
        <w:tabs>
          <w:tab w:val="left" w:pos="0"/>
        </w:tabs>
        <w:rPr>
          <w:rFonts w:ascii="Palatino Linotype" w:hAnsi="Palatino Linotype"/>
        </w:rPr>
      </w:pPr>
    </w:p>
    <w:p w14:paraId="6FD684C6"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lastRenderedPageBreak/>
        <w:t>En estricto sentido,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w:t>
      </w:r>
      <w:r w:rsidRPr="0036268D">
        <w:rPr>
          <w:rFonts w:ascii="Palatino Linotype" w:eastAsia="Palatino Linotype" w:hAnsi="Palatino Linotype" w:cs="Palatino Linotype"/>
        </w:rPr>
        <w:t xml:space="preserve"> </w:t>
      </w:r>
      <w:r w:rsidRPr="0036268D">
        <w:rPr>
          <w:rFonts w:ascii="Palatino Linotype" w:hAnsi="Palatino Linotype"/>
        </w:rPr>
        <w:t xml:space="preserve">tienen el deber de generar un documento a modo (Ad hoc ), para satisfacer el derecho de acceso a la información pública, como lo establece el artículo 12 de la Ley de Transparencia y Acceso a la Información Pública del Estado de México y Municipios. </w:t>
      </w:r>
    </w:p>
    <w:p w14:paraId="13B0A60E" w14:textId="77777777" w:rsidR="002F5080" w:rsidRPr="0036268D" w:rsidRDefault="002F5080" w:rsidP="00704431">
      <w:pPr>
        <w:tabs>
          <w:tab w:val="left" w:pos="0"/>
        </w:tabs>
        <w:rPr>
          <w:rFonts w:ascii="Palatino Linotype" w:hAnsi="Palatino Linotype"/>
        </w:rPr>
      </w:pPr>
    </w:p>
    <w:p w14:paraId="7ADF1FF4"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2ADA8037"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758EC1"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07F2549D"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No obstante, </w:t>
      </w:r>
      <w:r w:rsidRPr="0036268D">
        <w:rPr>
          <w:rFonts w:ascii="Palatino Linotype" w:hAnsi="Palatino Linotype"/>
        </w:rPr>
        <w:t xml:space="preserve">es importante destacar que el </w:t>
      </w:r>
      <w:r w:rsidRPr="0036268D">
        <w:rPr>
          <w:rFonts w:ascii="Palatino Linotype" w:hAnsi="Palatino Linotype"/>
          <w:b/>
          <w:bCs/>
        </w:rPr>
        <w:t>SUJETO OBLIGADO</w:t>
      </w:r>
      <w:r w:rsidRPr="0036268D">
        <w:rPr>
          <w:rFonts w:ascii="Palatino Linotype" w:hAnsi="Palatino Linotype"/>
        </w:rPr>
        <w:t xml:space="preserve"> es considerado como un sujeto de fiscalización 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w:t>
      </w:r>
      <w:r w:rsidRPr="0036268D">
        <w:rPr>
          <w:rFonts w:ascii="Palatino Linotype" w:eastAsia="Palatino Linotype" w:hAnsi="Palatino Linotype" w:cs="Palatino Linotype"/>
        </w:rPr>
        <w:t xml:space="preserve"> </w:t>
      </w:r>
      <w:r w:rsidRPr="0036268D">
        <w:rPr>
          <w:rFonts w:ascii="Palatino Linotype" w:hAnsi="Palatino Linotype"/>
        </w:rPr>
        <w:t xml:space="preserve">de acuerdo </w:t>
      </w:r>
      <w:r w:rsidRPr="0036268D">
        <w:rPr>
          <w:rFonts w:ascii="Palatino Linotype" w:hAnsi="Palatino Linotype"/>
        </w:rPr>
        <w:lastRenderedPageBreak/>
        <w:t>con lo establecido en el artículo 8°, fracciones I, II, XI, XIV y XXXVI, del ordenamiento previamente citado y 350 del Código Financiero del Estado de México y Municipios.</w:t>
      </w:r>
    </w:p>
    <w:p w14:paraId="76A4BDFC"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29195A2B"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w:t>
      </w:r>
      <w:r w:rsidRPr="0036268D">
        <w:rPr>
          <w:rFonts w:ascii="Palatino Linotype" w:hAnsi="Palatino Linotype"/>
        </w:rPr>
        <w:t xml:space="preserve">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 </w:t>
      </w:r>
    </w:p>
    <w:p w14:paraId="6F20FA9C"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r w:rsidRPr="0036268D">
        <w:rPr>
          <w:rFonts w:ascii="Palatino Linotype" w:hAnsi="Palatino Linotype"/>
          <w:b/>
          <w:bCs/>
          <w:i/>
          <w:iCs/>
        </w:rPr>
        <w:t>Artículo 24.</w:t>
      </w:r>
      <w:r w:rsidRPr="0036268D">
        <w:rPr>
          <w:rFonts w:ascii="Palatino Linotype" w:hAnsi="Palatino Linotype"/>
          <w:i/>
          <w:iCs/>
        </w:rPr>
        <w:t xml:space="preserve"> Para el cumplimiento de los objetivos de esta Ley, los sujetos obligados deberán cumplir con las siguientes obligaciones, según corresponda, de acuerdo a su naturaleza: </w:t>
      </w:r>
    </w:p>
    <w:p w14:paraId="5F3B12F4"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 </w:t>
      </w:r>
    </w:p>
    <w:p w14:paraId="78530436" w14:textId="77777777" w:rsidR="002F5080" w:rsidRPr="0036268D" w:rsidRDefault="002F5080" w:rsidP="00704431">
      <w:pPr>
        <w:tabs>
          <w:tab w:val="left" w:pos="0"/>
        </w:tabs>
        <w:ind w:left="567"/>
        <w:jc w:val="both"/>
        <w:rPr>
          <w:rFonts w:ascii="Palatino Linotype" w:hAnsi="Palatino Linotype"/>
          <w:b/>
          <w:bCs/>
          <w:i/>
          <w:iCs/>
        </w:rPr>
      </w:pPr>
      <w:r w:rsidRPr="0036268D">
        <w:rPr>
          <w:rFonts w:ascii="Palatino Linotype" w:hAnsi="Palatino Linotype"/>
          <w:b/>
          <w:bCs/>
          <w:i/>
          <w:iCs/>
        </w:rPr>
        <w:t>XVIII. Hacer pública toda aquella información relativa a los montos y las personas a quienes entreguen, por cualquier motivo, recursos públicos, así como los informes que dichas personas les entreguen sobre el uso y destino de dichos recursos;</w:t>
      </w:r>
    </w:p>
    <w:p w14:paraId="23D58933" w14:textId="77777777"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w:t>
      </w:r>
    </w:p>
    <w:p w14:paraId="51FD2D7D"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78C6E495" w14:textId="77777777" w:rsidR="002F5080" w:rsidRPr="0036268D" w:rsidRDefault="002F5080"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14:paraId="013C0F9C" w14:textId="77777777" w:rsidR="002F5080" w:rsidRPr="0036268D" w:rsidRDefault="002F5080" w:rsidP="00704431">
      <w:pPr>
        <w:tabs>
          <w:tab w:val="left" w:pos="0"/>
        </w:tabs>
        <w:spacing w:line="360" w:lineRule="auto"/>
        <w:jc w:val="both"/>
        <w:rPr>
          <w:rFonts w:ascii="Palatino Linotype" w:eastAsia="Palatino Linotype" w:hAnsi="Palatino Linotype" w:cs="Palatino Linotype"/>
        </w:rPr>
      </w:pPr>
    </w:p>
    <w:p w14:paraId="782F814D"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lastRenderedPageBreak/>
        <w:t xml:space="preserve">“Criterio 01/2003. </w:t>
      </w:r>
    </w:p>
    <w:p w14:paraId="51805890" w14:textId="77777777" w:rsidR="002F5080" w:rsidRPr="0036268D" w:rsidRDefault="002F5080" w:rsidP="00704431">
      <w:pPr>
        <w:tabs>
          <w:tab w:val="left" w:pos="0"/>
        </w:tabs>
        <w:ind w:left="567"/>
        <w:jc w:val="both"/>
        <w:rPr>
          <w:rFonts w:ascii="Palatino Linotype" w:hAnsi="Palatino Linotype"/>
          <w:i/>
          <w:iCs/>
        </w:rPr>
      </w:pPr>
    </w:p>
    <w:p w14:paraId="43D27FC7"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INGRESOS DE LOS SERVIDORES PÚBLICOS. CONSTITUYEN INFORMACIÓN PÚBLICA AÚN Y CUANDO SU DIFUSIÓN PUEDE AFECTAR LA VIDA O LA SEGURIDAD DE AQUELLOS.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7CCB9B"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w:t>
      </w:r>
    </w:p>
    <w:p w14:paraId="379C031A" w14:textId="77777777" w:rsidR="002F5080" w:rsidRPr="0036268D" w:rsidRDefault="002F5080" w:rsidP="00704431">
      <w:pPr>
        <w:tabs>
          <w:tab w:val="left" w:pos="0"/>
        </w:tabs>
        <w:ind w:left="567"/>
        <w:jc w:val="both"/>
        <w:rPr>
          <w:rFonts w:ascii="Palatino Linotype" w:hAnsi="Palatino Linotype"/>
          <w:i/>
          <w:iCs/>
        </w:rPr>
      </w:pPr>
    </w:p>
    <w:p w14:paraId="772FD7C8"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“Criterio 02/2003.</w:t>
      </w:r>
    </w:p>
    <w:p w14:paraId="0175FD9C"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 </w:t>
      </w:r>
    </w:p>
    <w:p w14:paraId="268EF728" w14:textId="77777777" w:rsidR="002F5080" w:rsidRPr="0036268D" w:rsidRDefault="002F5080" w:rsidP="00704431">
      <w:pPr>
        <w:tabs>
          <w:tab w:val="left" w:pos="0"/>
        </w:tabs>
        <w:ind w:left="567"/>
        <w:jc w:val="both"/>
        <w:rPr>
          <w:rFonts w:ascii="Palatino Linotype" w:hAnsi="Palatino Linotype"/>
          <w:i/>
          <w:iCs/>
        </w:rPr>
      </w:pPr>
      <w:r w:rsidRPr="0036268D">
        <w:rPr>
          <w:rFonts w:ascii="Palatino Linotype" w:hAnsi="Palatino Linotype"/>
          <w:i/>
          <w:iCs/>
        </w:rPr>
        <w:t xml:space="preserve">INGRESOS DE LOS SERVIDORES PÚBLICOS, SON INFORMACIÓN PÚBLICA AÚN Y CUANDO CONSTITUYEN DATOS PERSONALES QUE SE REFIEREN AL PATRIMONIO DE AQUÉLLOS.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14:paraId="7EEDDF64" w14:textId="052B3E6D" w:rsidR="002F5080" w:rsidRPr="0036268D" w:rsidRDefault="002F5080" w:rsidP="00704431">
      <w:pPr>
        <w:tabs>
          <w:tab w:val="left" w:pos="0"/>
        </w:tabs>
        <w:ind w:left="567"/>
        <w:jc w:val="both"/>
        <w:rPr>
          <w:rFonts w:ascii="Palatino Linotype" w:eastAsia="Palatino Linotype" w:hAnsi="Palatino Linotype" w:cs="Palatino Linotype"/>
          <w:i/>
          <w:iCs/>
        </w:rPr>
      </w:pPr>
      <w:r w:rsidRPr="0036268D">
        <w:rPr>
          <w:rFonts w:ascii="Palatino Linotype" w:hAnsi="Palatino Linotype"/>
          <w:i/>
          <w:iCs/>
        </w:rPr>
        <w:t>(…)”</w:t>
      </w:r>
    </w:p>
    <w:p w14:paraId="43C89386" w14:textId="77777777" w:rsidR="00B351E0" w:rsidRPr="0036268D" w:rsidRDefault="00B351E0"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295C8063" w14:textId="1196232E" w:rsidR="006768FF" w:rsidRPr="0036268D" w:rsidRDefault="002F5080"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lastRenderedPageBreak/>
        <w:t>En virtud de lo anterior</w:t>
      </w:r>
      <w:r w:rsidR="003A13FB" w:rsidRPr="0036268D">
        <w:rPr>
          <w:rFonts w:ascii="Palatino Linotype" w:hAnsi="Palatino Linotype"/>
        </w:rPr>
        <w:t xml:space="preserve">, analizadas las constancias que forman el expediente electrónico, </w:t>
      </w:r>
      <w:r w:rsidR="003A13FB" w:rsidRPr="0036268D">
        <w:rPr>
          <w:rFonts w:ascii="Palatino Linotype" w:eastAsia="MS Mincho" w:hAnsi="Palatino Linotype" w:cstheme="majorBidi"/>
          <w:b/>
          <w:lang w:val="es-ES"/>
        </w:rPr>
        <w:t>resultan fundadas</w:t>
      </w:r>
      <w:r w:rsidR="003A13FB" w:rsidRPr="0036268D">
        <w:rPr>
          <w:rFonts w:ascii="Palatino Linotype" w:eastAsia="MS Mincho" w:hAnsi="Palatino Linotype" w:cstheme="majorBidi"/>
          <w:lang w:val="es-ES"/>
        </w:rPr>
        <w:t xml:space="preserve"> las razones o motivos de i</w:t>
      </w:r>
      <w:r w:rsidR="000A1B24" w:rsidRPr="0036268D">
        <w:rPr>
          <w:rFonts w:ascii="Palatino Linotype" w:eastAsia="MS Mincho" w:hAnsi="Palatino Linotype" w:cstheme="majorBidi"/>
          <w:lang w:val="es-ES"/>
        </w:rPr>
        <w:t>nconformidad hechos valer por la parte</w:t>
      </w:r>
      <w:r w:rsidR="003A13FB" w:rsidRPr="0036268D">
        <w:rPr>
          <w:rFonts w:ascii="Palatino Linotype" w:eastAsia="MS Mincho" w:hAnsi="Palatino Linotype" w:cstheme="majorBidi"/>
          <w:lang w:val="es-ES"/>
        </w:rPr>
        <w:t xml:space="preserve"> </w:t>
      </w:r>
      <w:r w:rsidR="003A13FB" w:rsidRPr="0036268D">
        <w:rPr>
          <w:rFonts w:ascii="Palatino Linotype" w:eastAsia="MS Mincho" w:hAnsi="Palatino Linotype" w:cstheme="majorBidi"/>
          <w:b/>
          <w:lang w:val="es-ES"/>
        </w:rPr>
        <w:t>RECURRENTE</w:t>
      </w:r>
      <w:r w:rsidR="003A13FB" w:rsidRPr="0036268D">
        <w:rPr>
          <w:rFonts w:ascii="Palatino Linotype" w:eastAsia="MS Mincho" w:hAnsi="Palatino Linotype" w:cstheme="majorBidi"/>
          <w:lang w:val="es-ES"/>
        </w:rPr>
        <w:t xml:space="preserve"> dentro del recurso de revisión </w:t>
      </w:r>
      <w:r w:rsidRPr="0036268D">
        <w:rPr>
          <w:rFonts w:ascii="Palatino Linotype" w:eastAsia="MS Mincho" w:hAnsi="Palatino Linotype" w:cstheme="majorBidi"/>
          <w:b/>
          <w:bCs/>
          <w:lang w:val="es-ES"/>
        </w:rPr>
        <w:t>0333</w:t>
      </w:r>
      <w:r w:rsidR="003A13FB" w:rsidRPr="0036268D">
        <w:rPr>
          <w:rFonts w:ascii="Palatino Linotype" w:eastAsia="MS Mincho" w:hAnsi="Palatino Linotype" w:cstheme="majorBidi"/>
          <w:b/>
          <w:bCs/>
          <w:lang w:val="es-ES"/>
        </w:rPr>
        <w:t>8/INFOEM/IP/RR/2025,</w:t>
      </w:r>
      <w:r w:rsidR="003A13FB" w:rsidRPr="0036268D">
        <w:rPr>
          <w:rFonts w:ascii="Palatino Linotype" w:eastAsia="MS Mincho" w:hAnsi="Palatino Linotype" w:cstheme="majorBidi"/>
          <w:bCs/>
          <w:lang w:val="es-ES"/>
        </w:rPr>
        <w:t xml:space="preserve"> </w:t>
      </w:r>
      <w:r w:rsidR="003A13FB" w:rsidRPr="0036268D">
        <w:rPr>
          <w:rFonts w:ascii="Palatino Linotype" w:eastAsia="MS Mincho" w:hAnsi="Palatino Linotype" w:cstheme="majorBidi"/>
          <w:lang w:val="es-ES"/>
        </w:rPr>
        <w:t xml:space="preserve">por ello, y con fundamento en la fracción III del numeral 186 de la Ley de Transparencia y Acceso a la Información Pública del Estado de México y Municipios, se </w:t>
      </w:r>
      <w:r w:rsidR="003A13FB" w:rsidRPr="0036268D">
        <w:rPr>
          <w:rFonts w:ascii="Palatino Linotype" w:eastAsia="MS Mincho" w:hAnsi="Palatino Linotype" w:cstheme="majorBidi"/>
          <w:b/>
          <w:lang w:val="es-ES"/>
        </w:rPr>
        <w:t>REVOCA</w:t>
      </w:r>
      <w:r w:rsidR="003A13FB" w:rsidRPr="0036268D">
        <w:rPr>
          <w:rFonts w:ascii="Palatino Linotype" w:eastAsia="MS Mincho" w:hAnsi="Palatino Linotype" w:cstheme="majorBidi"/>
          <w:lang w:val="es-ES"/>
        </w:rPr>
        <w:t xml:space="preserve"> la respuesta del </w:t>
      </w:r>
      <w:r w:rsidR="003A13FB" w:rsidRPr="0036268D">
        <w:rPr>
          <w:rFonts w:ascii="Palatino Linotype" w:eastAsia="MS Mincho" w:hAnsi="Palatino Linotype" w:cstheme="majorBidi"/>
          <w:b/>
          <w:lang w:val="es-ES"/>
        </w:rPr>
        <w:t>SUJETO OBLIGADO</w:t>
      </w:r>
      <w:r w:rsidR="003A13FB" w:rsidRPr="0036268D">
        <w:rPr>
          <w:rFonts w:ascii="Palatino Linotype" w:eastAsia="MS Mincho" w:hAnsi="Palatino Linotype" w:cstheme="majorBidi"/>
          <w:lang w:val="es-ES"/>
        </w:rPr>
        <w:t xml:space="preserve"> y se ordena la entrega, </w:t>
      </w:r>
      <w:r w:rsidR="003A13FB" w:rsidRPr="0036268D">
        <w:rPr>
          <w:rFonts w:ascii="Palatino Linotype" w:eastAsia="MS Mincho" w:hAnsi="Palatino Linotype" w:cstheme="majorBidi"/>
          <w:b/>
          <w:lang w:val="es-ES"/>
        </w:rPr>
        <w:t xml:space="preserve">en versión pública, </w:t>
      </w:r>
      <w:r w:rsidRPr="0036268D">
        <w:rPr>
          <w:rFonts w:ascii="Palatino Linotype" w:eastAsia="Palatino Linotype" w:hAnsi="Palatino Linotype" w:cs="Palatino Linotype"/>
          <w:b/>
        </w:rPr>
        <w:t>los recibos de nómina de todo el personal adscrito a la actual Administración Municipal, de la primera y segunda quincena de enero y la primera quincena de febrero de 2025</w:t>
      </w:r>
      <w:r w:rsidRPr="0036268D">
        <w:rPr>
          <w:rFonts w:ascii="Palatino Linotype" w:hAnsi="Palatino Linotype"/>
          <w:b/>
        </w:rPr>
        <w:t>;</w:t>
      </w:r>
      <w:r w:rsidR="003A13FB" w:rsidRPr="0036268D">
        <w:rPr>
          <w:rFonts w:ascii="Palatino Linotype" w:hAnsi="Palatino Linotype"/>
          <w:b/>
        </w:rPr>
        <w:t xml:space="preserve"> </w:t>
      </w:r>
      <w:r w:rsidR="003A13FB" w:rsidRPr="0036268D">
        <w:rPr>
          <w:rFonts w:ascii="Palatino Linotype" w:hAnsi="Palatino Linotype"/>
        </w:rPr>
        <w:t xml:space="preserve">con el respectivo Acuerdo de Clasificación, de Conformidad con lo establecido en el </w:t>
      </w:r>
      <w:r w:rsidR="003A13FB" w:rsidRPr="0036268D">
        <w:rPr>
          <w:rFonts w:ascii="Palatino Linotype" w:hAnsi="Palatino Linotype"/>
          <w:b/>
        </w:rPr>
        <w:t>Considerando QUINTO</w:t>
      </w:r>
      <w:r w:rsidR="003A13FB" w:rsidRPr="0036268D">
        <w:rPr>
          <w:rFonts w:ascii="Palatino Linotype" w:hAnsi="Palatino Linotype"/>
        </w:rPr>
        <w:t xml:space="preserve"> de la presente Resolución.</w:t>
      </w:r>
    </w:p>
    <w:p w14:paraId="767B1999" w14:textId="77777777" w:rsidR="006768FF" w:rsidRPr="0036268D" w:rsidRDefault="006768FF" w:rsidP="00704431">
      <w:pPr>
        <w:pBdr>
          <w:top w:val="nil"/>
          <w:left w:val="nil"/>
          <w:bottom w:val="nil"/>
          <w:right w:val="nil"/>
          <w:between w:val="nil"/>
        </w:pBdr>
        <w:tabs>
          <w:tab w:val="left" w:pos="0"/>
        </w:tabs>
        <w:jc w:val="both"/>
        <w:rPr>
          <w:rFonts w:ascii="Palatino Linotype" w:eastAsia="Palatino Linotype" w:hAnsi="Palatino Linotype" w:cs="Palatino Linotype"/>
        </w:rPr>
      </w:pPr>
    </w:p>
    <w:p w14:paraId="5748DB64" w14:textId="4D5BAE56" w:rsidR="006768FF" w:rsidRPr="0036268D" w:rsidRDefault="00AB673E" w:rsidP="00704431">
      <w:pPr>
        <w:pStyle w:val="Prrafodelista"/>
        <w:tabs>
          <w:tab w:val="left" w:pos="0"/>
        </w:tabs>
        <w:spacing w:before="240" w:after="240" w:line="360" w:lineRule="auto"/>
        <w:ind w:left="0"/>
        <w:jc w:val="both"/>
        <w:rPr>
          <w:rFonts w:ascii="Palatino Linotype" w:eastAsia="Calibri" w:hAnsi="Palatino Linotype"/>
          <w:b/>
          <w:lang w:eastAsia="en-US"/>
        </w:rPr>
      </w:pPr>
      <w:r w:rsidRPr="0036268D">
        <w:rPr>
          <w:rFonts w:ascii="Palatino Linotype" w:eastAsia="MS Mincho" w:hAnsi="Palatino Linotype" w:cs="Arial"/>
          <w:b/>
          <w:bCs/>
          <w:lang w:eastAsia="es-ES"/>
        </w:rPr>
        <w:t xml:space="preserve">QUINTO. </w:t>
      </w:r>
      <w:r w:rsidRPr="0036268D">
        <w:rPr>
          <w:rFonts w:ascii="Palatino Linotype" w:eastAsia="Calibri" w:hAnsi="Palatino Linotype"/>
          <w:b/>
          <w:lang w:eastAsia="en-US"/>
        </w:rPr>
        <w:t>VERSIÓN PÚBLICA.</w:t>
      </w:r>
    </w:p>
    <w:p w14:paraId="4F32CD3C" w14:textId="07C1F1A1" w:rsidR="00AB673E" w:rsidRPr="0036268D" w:rsidRDefault="00AB673E" w:rsidP="00704431">
      <w:pPr>
        <w:keepNext/>
        <w:keepLines/>
        <w:numPr>
          <w:ilvl w:val="0"/>
          <w:numId w:val="22"/>
        </w:numPr>
        <w:tabs>
          <w:tab w:val="left" w:pos="0"/>
          <w:tab w:val="num" w:pos="360"/>
        </w:tabs>
        <w:spacing w:line="360" w:lineRule="auto"/>
        <w:ind w:left="284" w:firstLine="0"/>
        <w:outlineLvl w:val="0"/>
        <w:rPr>
          <w:rFonts w:ascii="Palatino Linotype" w:eastAsia="MS Gothic" w:hAnsi="Palatino Linotype"/>
          <w:b/>
          <w:lang w:eastAsia="en-US"/>
        </w:rPr>
      </w:pPr>
      <w:bookmarkStart w:id="9" w:name="_Toc48135362"/>
      <w:bookmarkStart w:id="10" w:name="_Toc82017070"/>
      <w:bookmarkStart w:id="11" w:name="_Toc82537188"/>
      <w:bookmarkStart w:id="12" w:name="_Toc83830735"/>
      <w:bookmarkStart w:id="13" w:name="_Toc85112355"/>
      <w:r w:rsidRPr="0036268D">
        <w:rPr>
          <w:rFonts w:ascii="Palatino Linotype" w:eastAsia="MS Gothic" w:hAnsi="Palatino Linotype"/>
          <w:b/>
          <w:lang w:eastAsia="es-ES_tradnl"/>
        </w:rPr>
        <w:t>Nociones generales.</w:t>
      </w:r>
      <w:bookmarkEnd w:id="9"/>
      <w:bookmarkEnd w:id="10"/>
      <w:bookmarkEnd w:id="11"/>
      <w:bookmarkEnd w:id="12"/>
      <w:bookmarkEnd w:id="13"/>
      <w:r w:rsidRPr="0036268D">
        <w:rPr>
          <w:rFonts w:ascii="Palatino Linotype" w:eastAsia="MS Gothic" w:hAnsi="Palatino Linotype"/>
          <w:b/>
          <w:lang w:eastAsia="es-ES_tradnl"/>
        </w:rPr>
        <w:t xml:space="preserve"> </w:t>
      </w:r>
    </w:p>
    <w:p w14:paraId="0A729806" w14:textId="77777777" w:rsidR="00AB673E" w:rsidRPr="0036268D" w:rsidRDefault="00AB673E"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hAnsi="Palatino Linotype"/>
        </w:rPr>
        <w:t xml:space="preserve">Debe </w:t>
      </w:r>
      <w:r w:rsidRPr="0036268D">
        <w:rPr>
          <w:rFonts w:ascii="Palatino Linotype" w:eastAsia="MS Mincho" w:hAnsi="Palatino Linotype" w:cs="Arial"/>
        </w:rPr>
        <w:t>destacarse que, debido a la naturaleza de la información solicitada</w:t>
      </w:r>
      <w:r w:rsidRPr="0036268D">
        <w:rPr>
          <w:rFonts w:ascii="Palatino Linotype" w:eastAsia="MS Mincho" w:hAnsi="Palatino Linotype" w:cs="Arial"/>
          <w:b/>
        </w:rPr>
        <w:t xml:space="preserve">, </w:t>
      </w:r>
      <w:r w:rsidRPr="0036268D">
        <w:rPr>
          <w:rFonts w:ascii="Palatino Linotype" w:eastAsia="MS Mincho" w:hAnsi="Palatino Linotype" w:cs="Arial"/>
        </w:rPr>
        <w:t xml:space="preserve">eventualmente pudiera obrar datos personales susceptibles de protegerse, el </w:t>
      </w:r>
      <w:r w:rsidRPr="0036268D">
        <w:rPr>
          <w:rFonts w:ascii="Palatino Linotype" w:eastAsia="MS Mincho" w:hAnsi="Palatino Linotype" w:cs="Arial"/>
          <w:b/>
          <w:bCs/>
        </w:rPr>
        <w:t xml:space="preserve">Sujeto Obligado </w:t>
      </w:r>
      <w:r w:rsidRPr="0036268D">
        <w:rPr>
          <w:rFonts w:ascii="Palatino Linotype" w:eastAsia="MS Mincho" w:hAnsi="Palatino Linotype" w:cs="Arial"/>
        </w:rPr>
        <w:t xml:space="preserve">deberá de hacer la adecuada versión pública, protegiendo los datos que no son susceptibles de ser proporcionados. </w:t>
      </w:r>
    </w:p>
    <w:p w14:paraId="2CF4C990" w14:textId="77777777" w:rsidR="00AB673E" w:rsidRPr="0036268D" w:rsidRDefault="00AB673E"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9060184" w14:textId="693EE56F" w:rsidR="00AB673E" w:rsidRPr="0036268D" w:rsidRDefault="00AB673E" w:rsidP="00704431">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MS Mincho" w:hAnsi="Palatino Linotype" w:cs="Arial"/>
        </w:rPr>
        <w:t xml:space="preserve">No pasa desapercibido para este Órgano Garante que los </w:t>
      </w:r>
      <w:r w:rsidRPr="0036268D">
        <w:rPr>
          <w:rFonts w:ascii="Palatino Linotype" w:eastAsia="MS Mincho" w:hAnsi="Palatino Linotype" w:cs="Arial"/>
          <w:bCs/>
        </w:rPr>
        <w:t>Sujetos Obligados</w:t>
      </w:r>
      <w:r w:rsidRPr="0036268D">
        <w:rPr>
          <w:rFonts w:ascii="Palatino Linotype" w:eastAsia="MS Mincho" w:hAnsi="Palatino Linotype" w:cs="Arial"/>
          <w:b/>
          <w:bCs/>
        </w:rPr>
        <w:t xml:space="preserve"> </w:t>
      </w:r>
      <w:r w:rsidRPr="0036268D">
        <w:rPr>
          <w:rFonts w:ascii="Palatino Linotype" w:eastAsia="MS Mincho"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74DA88" w14:textId="77777777" w:rsidR="00AB673E" w:rsidRPr="0036268D" w:rsidRDefault="00AB673E" w:rsidP="00704431">
      <w:pPr>
        <w:tabs>
          <w:tab w:val="left" w:pos="0"/>
        </w:tabs>
        <w:spacing w:line="360" w:lineRule="auto"/>
        <w:contextualSpacing/>
        <w:jc w:val="both"/>
        <w:rPr>
          <w:rFonts w:ascii="Palatino Linotype" w:eastAsia="MS Mincho" w:hAnsi="Palatino Linotype" w:cs="Arial"/>
        </w:rPr>
      </w:pPr>
    </w:p>
    <w:tbl>
      <w:tblPr>
        <w:tblStyle w:val="Tablanormal13"/>
        <w:tblW w:w="9634" w:type="dxa"/>
        <w:tblLook w:val="04A0" w:firstRow="1" w:lastRow="0" w:firstColumn="1" w:lastColumn="0" w:noHBand="0" w:noVBand="1"/>
      </w:tblPr>
      <w:tblGrid>
        <w:gridCol w:w="1838"/>
        <w:gridCol w:w="7796"/>
      </w:tblGrid>
      <w:tr w:rsidR="00AB673E" w:rsidRPr="0036268D" w14:paraId="5C836F2F" w14:textId="77777777" w:rsidTr="001B7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F04204" w14:textId="77777777" w:rsidR="00AB673E" w:rsidRPr="0036268D" w:rsidRDefault="00AB673E" w:rsidP="00704431">
            <w:pPr>
              <w:tabs>
                <w:tab w:val="left" w:pos="0"/>
              </w:tabs>
              <w:rPr>
                <w:rFonts w:ascii="Palatino Linotype" w:eastAsia="Cambria" w:hAnsi="Palatino Linotype"/>
                <w:bCs w:val="0"/>
                <w:sz w:val="24"/>
                <w:szCs w:val="24"/>
              </w:rPr>
            </w:pPr>
            <w:r w:rsidRPr="0036268D">
              <w:rPr>
                <w:rFonts w:ascii="Palatino Linotype" w:eastAsia="Cambria" w:hAnsi="Palatino Linotype"/>
                <w:bCs w:val="0"/>
                <w:sz w:val="24"/>
                <w:szCs w:val="24"/>
              </w:rPr>
              <w:t>a) Requisitos previos.</w:t>
            </w:r>
          </w:p>
        </w:tc>
        <w:tc>
          <w:tcPr>
            <w:tcW w:w="7796" w:type="dxa"/>
            <w:hideMark/>
          </w:tcPr>
          <w:p w14:paraId="6B21462D" w14:textId="77777777" w:rsidR="00AB673E" w:rsidRPr="0036268D" w:rsidRDefault="00AB673E" w:rsidP="00704431">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36268D">
              <w:rPr>
                <w:rFonts w:ascii="Palatino Linotype" w:eastAsia="Cambria" w:hAnsi="Palatino Linotype" w:cs="Arial"/>
                <w:b w:val="0"/>
                <w:bCs w:val="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8E2B6C" w14:textId="77777777" w:rsidR="00AB673E" w:rsidRPr="0036268D" w:rsidRDefault="00AB673E" w:rsidP="00704431">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36268D">
              <w:rPr>
                <w:rFonts w:ascii="Palatino Linotype" w:eastAsia="Cambria" w:hAnsi="Palatino Linotype" w:cs="Arial"/>
                <w:b w:val="0"/>
                <w:bCs w:val="0"/>
                <w:sz w:val="24"/>
                <w:szCs w:val="24"/>
              </w:rPr>
              <w:t>Al hacerlo tienen que precisar de qué información se trata, señalando el supuesto de clasificación (confidencialidad o reserva).</w:t>
            </w:r>
          </w:p>
          <w:p w14:paraId="4724D0D6" w14:textId="77777777" w:rsidR="00AB673E" w:rsidRPr="0036268D" w:rsidRDefault="00AB673E" w:rsidP="00704431">
            <w:pPr>
              <w:tabs>
                <w:tab w:val="left" w:pos="0"/>
              </w:tabs>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sz w:val="24"/>
                <w:szCs w:val="24"/>
              </w:rPr>
            </w:pPr>
            <w:r w:rsidRPr="0036268D">
              <w:rPr>
                <w:rFonts w:ascii="Palatino Linotype" w:eastAsia="Cambria" w:hAnsi="Palatino Linotype" w:cs="Arial"/>
                <w:b w:val="0"/>
                <w:bCs w:val="0"/>
                <w:sz w:val="24"/>
                <w:szCs w:val="24"/>
              </w:rPr>
              <w:t>Además, se debe señalar el procedimiento, de los tres que establecen los artículos 132 y 106 de la Ley Estatal y General, respectivamente.</w:t>
            </w:r>
          </w:p>
          <w:p w14:paraId="6A6C6C4B" w14:textId="77777777" w:rsidR="00AB673E" w:rsidRPr="0036268D" w:rsidRDefault="00AB673E" w:rsidP="00704431">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36268D">
              <w:rPr>
                <w:rFonts w:ascii="Palatino Linotype" w:eastAsia="Cambria" w:hAnsi="Palatino Linotype" w:cs="Arial"/>
                <w:b w:val="0"/>
                <w:bCs w:val="0"/>
                <w:sz w:val="24"/>
                <w:szCs w:val="24"/>
              </w:rPr>
              <w:t xml:space="preserve">El último de estos requisitos previos consiste en que no se pueden emitir acuerdos de carácter general ni particular, esto es, </w:t>
            </w:r>
            <w:r w:rsidRPr="0036268D">
              <w:rPr>
                <w:rFonts w:ascii="Palatino Linotype" w:eastAsia="Cambria" w:hAnsi="Palatino Linotype" w:cs="Arial"/>
                <w:b w:val="0"/>
                <w:bCs w:val="0"/>
                <w:sz w:val="24"/>
                <w:szCs w:val="24"/>
                <w:u w:val="single"/>
              </w:rPr>
              <w:t>no se puede hacer un acuerdo para clasificar de manera general todos los documentos de un expediente o área, sin</w:t>
            </w:r>
            <w:r w:rsidRPr="0036268D">
              <w:rPr>
                <w:rFonts w:ascii="Palatino Linotype" w:eastAsia="Cambria" w:hAnsi="Palatino Linotype" w:cs="Arial"/>
                <w:b w:val="0"/>
                <w:bCs w:val="0"/>
                <w:sz w:val="24"/>
                <w:szCs w:val="24"/>
              </w:rPr>
              <w:t xml:space="preserve"> individualizar su análisis y tampoco se puede hacer un acuerdo por cada dato que se vaya a clasificar dentro de un documento con diez datos, por ejemplo, susceptibles de ser clasificados.</w:t>
            </w:r>
          </w:p>
        </w:tc>
      </w:tr>
      <w:tr w:rsidR="00AB673E" w:rsidRPr="0036268D" w14:paraId="10B40A4A" w14:textId="77777777" w:rsidTr="001B7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4D342B" w14:textId="77777777" w:rsidR="00AB673E" w:rsidRPr="0036268D" w:rsidRDefault="00AB673E" w:rsidP="00704431">
            <w:pPr>
              <w:tabs>
                <w:tab w:val="left" w:pos="0"/>
              </w:tabs>
              <w:rPr>
                <w:rFonts w:ascii="Palatino Linotype" w:eastAsia="Cambria" w:hAnsi="Palatino Linotype"/>
                <w:bCs w:val="0"/>
                <w:sz w:val="24"/>
                <w:szCs w:val="24"/>
              </w:rPr>
            </w:pPr>
            <w:r w:rsidRPr="0036268D">
              <w:rPr>
                <w:rFonts w:ascii="Palatino Linotype" w:eastAsia="Cambria" w:hAnsi="Palatino Linotype"/>
                <w:bCs w:val="0"/>
                <w:sz w:val="24"/>
                <w:szCs w:val="24"/>
              </w:rPr>
              <w:t>b) Supuestos de clasificación.</w:t>
            </w:r>
          </w:p>
        </w:tc>
        <w:tc>
          <w:tcPr>
            <w:tcW w:w="7796" w:type="dxa"/>
            <w:hideMark/>
          </w:tcPr>
          <w:p w14:paraId="61D72425"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Las disposiciones constitucionales y legales en la materia establecen los dos supuestos generales para clasificar la información: por reserva y por confidencialidad.</w:t>
            </w:r>
          </w:p>
          <w:p w14:paraId="15928712"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1547909" w14:textId="77777777" w:rsidR="00AB673E" w:rsidRPr="0036268D" w:rsidRDefault="00AB673E" w:rsidP="00704431">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4"/>
                <w:szCs w:val="24"/>
              </w:rPr>
            </w:pPr>
            <w:r w:rsidRPr="0036268D">
              <w:rPr>
                <w:rFonts w:ascii="Palatino Linotype" w:eastAsia="Cambria" w:hAnsi="Palatino Linotype" w:cs="Arial"/>
                <w:sz w:val="24"/>
                <w:szCs w:val="24"/>
              </w:rPr>
              <w:t xml:space="preserve">El </w:t>
            </w:r>
            <w:r w:rsidRPr="0036268D">
              <w:rPr>
                <w:rFonts w:ascii="Palatino Linotype" w:eastAsia="Cambria" w:hAnsi="Palatino Linotype" w:cs="Arial"/>
                <w:b/>
                <w:sz w:val="24"/>
                <w:szCs w:val="24"/>
              </w:rPr>
              <w:t>Sujeto Obligado</w:t>
            </w:r>
            <w:r w:rsidRPr="0036268D">
              <w:rPr>
                <w:rFonts w:ascii="Palatino Linotype" w:eastAsia="Cambria"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673E" w:rsidRPr="0036268D" w14:paraId="71AB61E7" w14:textId="77777777" w:rsidTr="001B7DE1">
        <w:tc>
          <w:tcPr>
            <w:cnfStyle w:val="001000000000" w:firstRow="0" w:lastRow="0" w:firstColumn="1" w:lastColumn="0" w:oddVBand="0" w:evenVBand="0" w:oddHBand="0" w:evenHBand="0" w:firstRowFirstColumn="0" w:firstRowLastColumn="0" w:lastRowFirstColumn="0" w:lastRowLastColumn="0"/>
            <w:tcW w:w="1838" w:type="dxa"/>
            <w:hideMark/>
          </w:tcPr>
          <w:p w14:paraId="65FB7F50" w14:textId="77777777" w:rsidR="00AB673E" w:rsidRPr="0036268D" w:rsidRDefault="00AB673E" w:rsidP="00704431">
            <w:pPr>
              <w:tabs>
                <w:tab w:val="left" w:pos="0"/>
              </w:tabs>
              <w:rPr>
                <w:rFonts w:ascii="Palatino Linotype" w:eastAsia="Cambria" w:hAnsi="Palatino Linotype"/>
                <w:bCs w:val="0"/>
                <w:sz w:val="24"/>
                <w:szCs w:val="24"/>
              </w:rPr>
            </w:pPr>
            <w:r w:rsidRPr="0036268D">
              <w:rPr>
                <w:rFonts w:ascii="Palatino Linotype" w:eastAsia="Cambria" w:hAnsi="Palatino Linotype"/>
                <w:bCs w:val="0"/>
                <w:sz w:val="24"/>
                <w:szCs w:val="24"/>
              </w:rPr>
              <w:t xml:space="preserve">c) Formalidades para emitir el </w:t>
            </w:r>
            <w:r w:rsidRPr="0036268D">
              <w:rPr>
                <w:rFonts w:ascii="Palatino Linotype" w:eastAsia="Cambria" w:hAnsi="Palatino Linotype"/>
                <w:bCs w:val="0"/>
                <w:sz w:val="24"/>
                <w:szCs w:val="24"/>
              </w:rPr>
              <w:lastRenderedPageBreak/>
              <w:t>acuerdo de clasificación.</w:t>
            </w:r>
          </w:p>
        </w:tc>
        <w:tc>
          <w:tcPr>
            <w:tcW w:w="7796" w:type="dxa"/>
            <w:hideMark/>
          </w:tcPr>
          <w:p w14:paraId="7C50165F" w14:textId="77777777" w:rsidR="00AB673E" w:rsidRPr="0036268D" w:rsidRDefault="00AB673E" w:rsidP="00704431">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lastRenderedPageBreak/>
              <w:t xml:space="preserve">El Comité de Transparencia, según lo dispuesto en los artículos cuenta con las facultades para aprobar, modificar o revocar la clasificación de la información que haya propuesto. </w:t>
            </w:r>
          </w:p>
          <w:p w14:paraId="27773373" w14:textId="77777777" w:rsidR="00AB673E" w:rsidRPr="0036268D" w:rsidRDefault="00AB673E" w:rsidP="00704431">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lastRenderedPageBreak/>
              <w:t xml:space="preserve">Es necesario que </w:t>
            </w:r>
            <w:r w:rsidRPr="0036268D">
              <w:rPr>
                <w:rFonts w:ascii="Palatino Linotype" w:eastAsia="Cambria" w:hAnsi="Palatino Linotype" w:cs="Arial"/>
                <w:b/>
                <w:sz w:val="24"/>
                <w:szCs w:val="24"/>
                <w:u w:val="single"/>
              </w:rPr>
              <w:t>el acto reúna con los requisitos elementales</w:t>
            </w:r>
            <w:r w:rsidRPr="0036268D">
              <w:rPr>
                <w:rFonts w:ascii="Palatino Linotype" w:eastAsia="Cambria" w:hAnsi="Palatino Linotype" w:cs="Arial"/>
                <w:sz w:val="24"/>
                <w:szCs w:val="24"/>
              </w:rPr>
              <w:t>, entre ellos, que la autoridad que va a emitir el acto de autoridad sea la legalmente facultada para ello.</w:t>
            </w:r>
          </w:p>
          <w:p w14:paraId="22FD7CD9" w14:textId="77777777" w:rsidR="00AB673E" w:rsidRPr="0036268D" w:rsidRDefault="00AB673E" w:rsidP="00704431">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36268D">
              <w:rPr>
                <w:rFonts w:ascii="Palatino Linotype" w:eastAsia="Cambria" w:hAnsi="Palatino Linotype" w:cs="Arial"/>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673E" w:rsidRPr="0036268D" w14:paraId="5292049B" w14:textId="77777777" w:rsidTr="001B7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D7C949" w14:textId="77777777" w:rsidR="00AB673E" w:rsidRPr="0036268D" w:rsidRDefault="00AB673E" w:rsidP="00704431">
            <w:pPr>
              <w:tabs>
                <w:tab w:val="left" w:pos="0"/>
              </w:tabs>
              <w:rPr>
                <w:rFonts w:ascii="Palatino Linotype" w:eastAsia="Cambria" w:hAnsi="Palatino Linotype"/>
                <w:b w:val="0"/>
                <w:sz w:val="24"/>
                <w:szCs w:val="24"/>
              </w:rPr>
            </w:pPr>
          </w:p>
          <w:p w14:paraId="2F51E4CA" w14:textId="77777777" w:rsidR="00AB673E" w:rsidRPr="0036268D" w:rsidRDefault="00AB673E" w:rsidP="00704431">
            <w:pPr>
              <w:tabs>
                <w:tab w:val="left" w:pos="0"/>
              </w:tabs>
              <w:jc w:val="both"/>
              <w:rPr>
                <w:rFonts w:ascii="Palatino Linotype" w:eastAsia="Cambria" w:hAnsi="Palatino Linotype"/>
                <w:bCs w:val="0"/>
                <w:sz w:val="24"/>
                <w:szCs w:val="24"/>
              </w:rPr>
            </w:pPr>
            <w:r w:rsidRPr="0036268D">
              <w:rPr>
                <w:rFonts w:ascii="Palatino Linotype" w:eastAsia="Cambria" w:hAnsi="Palatino Linotype" w:cs="Arial"/>
                <w:bCs w:val="0"/>
                <w:sz w:val="24"/>
                <w:szCs w:val="24"/>
              </w:rPr>
              <w:t xml:space="preserve">d) Requisitos de fondo del acuerdo de clasificación. </w:t>
            </w:r>
          </w:p>
        </w:tc>
        <w:tc>
          <w:tcPr>
            <w:tcW w:w="7796" w:type="dxa"/>
            <w:hideMark/>
          </w:tcPr>
          <w:p w14:paraId="73C2E91B"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6268D">
              <w:rPr>
                <w:rFonts w:ascii="Palatino Linotype" w:eastAsia="Cambria" w:hAnsi="Palatino Linotype" w:cs="Arial"/>
                <w:b/>
                <w:sz w:val="24"/>
                <w:szCs w:val="24"/>
              </w:rPr>
              <w:t>Sujetos Obligados</w:t>
            </w:r>
            <w:r w:rsidRPr="0036268D">
              <w:rPr>
                <w:rFonts w:ascii="Palatino Linotype" w:eastAsia="Cambria" w:hAnsi="Palatino Linotype" w:cs="Arial"/>
                <w:sz w:val="24"/>
                <w:szCs w:val="24"/>
              </w:rPr>
              <w:t xml:space="preserve">, por lo que deberán fundar y motivar debidamente la clasificación. </w:t>
            </w:r>
          </w:p>
          <w:p w14:paraId="177594D7"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 xml:space="preserve">De lo anterior, se desprende que para una correcta </w:t>
            </w:r>
            <w:r w:rsidRPr="0036268D">
              <w:rPr>
                <w:rFonts w:ascii="Palatino Linotype" w:eastAsia="Cambria" w:hAnsi="Palatino Linotype" w:cs="Arial"/>
                <w:b/>
                <w:sz w:val="24"/>
                <w:szCs w:val="24"/>
              </w:rPr>
              <w:t>clasificación total o parcial</w:t>
            </w:r>
            <w:r w:rsidRPr="0036268D">
              <w:rPr>
                <w:rFonts w:ascii="Palatino Linotype" w:eastAsia="Cambria"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DBC277"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DC01836"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5D6DA64F" w14:textId="77777777" w:rsidR="00AB673E" w:rsidRPr="0036268D" w:rsidRDefault="00AB673E" w:rsidP="00704431">
            <w:p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lastRenderedPageBreak/>
              <w:t xml:space="preserve">Ahora bien, </w:t>
            </w:r>
            <w:r w:rsidRPr="0036268D">
              <w:rPr>
                <w:rFonts w:ascii="Palatino Linotype" w:eastAsia="Cambria" w:hAnsi="Palatino Linotype" w:cs="Arial"/>
                <w:b/>
                <w:sz w:val="24"/>
                <w:szCs w:val="24"/>
                <w:u w:val="single"/>
              </w:rPr>
              <w:t>para cada caso además de fundar y motivar</w:t>
            </w:r>
            <w:r w:rsidRPr="0036268D">
              <w:rPr>
                <w:rFonts w:ascii="Palatino Linotype" w:eastAsia="Cambria" w:hAnsi="Palatino Linotype" w:cs="Arial"/>
                <w:sz w:val="24"/>
                <w:szCs w:val="24"/>
              </w:rPr>
              <w:t xml:space="preserve">, se debe identificar con claridad que datos contenidos en las documentales que son susceptibles de suprimirse, por ejemplo; </w:t>
            </w:r>
            <w:r w:rsidRPr="0036268D">
              <w:rPr>
                <w:rFonts w:ascii="Palatino Linotype" w:eastAsia="Cambria" w:hAnsi="Palatino Linotype" w:cs="Arial"/>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B673E" w:rsidRPr="0036268D" w14:paraId="799BFE0D" w14:textId="77777777" w:rsidTr="001B7DE1">
        <w:tc>
          <w:tcPr>
            <w:cnfStyle w:val="001000000000" w:firstRow="0" w:lastRow="0" w:firstColumn="1" w:lastColumn="0" w:oddVBand="0" w:evenVBand="0" w:oddHBand="0" w:evenHBand="0" w:firstRowFirstColumn="0" w:firstRowLastColumn="0" w:lastRowFirstColumn="0" w:lastRowLastColumn="0"/>
            <w:tcW w:w="1838" w:type="dxa"/>
          </w:tcPr>
          <w:p w14:paraId="46C79B54" w14:textId="77777777" w:rsidR="00AB673E" w:rsidRPr="0036268D" w:rsidRDefault="00AB673E" w:rsidP="00704431">
            <w:pPr>
              <w:tabs>
                <w:tab w:val="left" w:pos="0"/>
              </w:tabs>
              <w:jc w:val="both"/>
              <w:rPr>
                <w:rFonts w:ascii="Palatino Linotype" w:eastAsia="Cambria" w:hAnsi="Palatino Linotype" w:cs="Arial"/>
                <w:bCs w:val="0"/>
                <w:sz w:val="24"/>
                <w:szCs w:val="24"/>
              </w:rPr>
            </w:pPr>
            <w:r w:rsidRPr="0036268D">
              <w:rPr>
                <w:rFonts w:ascii="Palatino Linotype" w:eastAsia="MS Gothic" w:hAnsi="Palatino Linotype"/>
                <w:b w:val="0"/>
                <w:sz w:val="24"/>
                <w:szCs w:val="24"/>
              </w:rPr>
              <w:lastRenderedPageBreak/>
              <w:t>e</w:t>
            </w:r>
            <w:r w:rsidRPr="0036268D">
              <w:rPr>
                <w:rFonts w:ascii="Palatino Linotype" w:eastAsia="MS Gothic" w:hAnsi="Palatino Linotype"/>
                <w:bCs w:val="0"/>
                <w:sz w:val="24"/>
                <w:szCs w:val="24"/>
              </w:rPr>
              <w:t xml:space="preserve">) Condiciones especiales de la clasificación de la información como confidencial. </w:t>
            </w:r>
          </w:p>
        </w:tc>
        <w:tc>
          <w:tcPr>
            <w:tcW w:w="7796" w:type="dxa"/>
            <w:hideMark/>
          </w:tcPr>
          <w:p w14:paraId="729ECA5E" w14:textId="77777777" w:rsidR="00AB673E" w:rsidRPr="0036268D" w:rsidRDefault="00AB673E" w:rsidP="00704431">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 xml:space="preserve">Los artículos 148 y 120 de la Ley Estatal y de la Ley General, respectivamente, establecen que aun tratándose de datos personales, se podrán proporcionar, incluso sin solicitar el consentimiento de su titular. </w:t>
            </w:r>
          </w:p>
          <w:p w14:paraId="50C664B8" w14:textId="77777777" w:rsidR="00AB673E" w:rsidRPr="0036268D" w:rsidRDefault="00AB673E" w:rsidP="00704431">
            <w:p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sz w:val="24"/>
                <w:szCs w:val="24"/>
              </w:rPr>
            </w:pPr>
            <w:r w:rsidRPr="0036268D">
              <w:rPr>
                <w:rFonts w:ascii="Palatino Linotype" w:eastAsia="Cambria"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12C853" w14:textId="77777777" w:rsidR="00AB673E" w:rsidRPr="0036268D" w:rsidRDefault="00AB673E" w:rsidP="00704431">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4"/>
                <w:szCs w:val="24"/>
              </w:rPr>
            </w:pPr>
            <w:r w:rsidRPr="0036268D">
              <w:rPr>
                <w:rFonts w:ascii="Palatino Linotype" w:eastAsia="Cambria"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B64C57" w14:textId="77777777" w:rsidR="003A13FB" w:rsidRPr="0036268D" w:rsidRDefault="003A13FB"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3B37F090" w14:textId="697B4724" w:rsidR="003A13FB" w:rsidRPr="0036268D" w:rsidRDefault="003A13FB" w:rsidP="00704431">
      <w:pPr>
        <w:pStyle w:val="Prrafodelista"/>
        <w:numPr>
          <w:ilvl w:val="0"/>
          <w:numId w:val="19"/>
        </w:numPr>
        <w:tabs>
          <w:tab w:val="left" w:pos="0"/>
          <w:tab w:val="left" w:pos="426"/>
        </w:tabs>
        <w:spacing w:line="360" w:lineRule="auto"/>
        <w:jc w:val="both"/>
        <w:rPr>
          <w:rFonts w:ascii="Palatino Linotype" w:eastAsia="Palatino Linotype" w:hAnsi="Palatino Linotype" w:cs="Palatino Linotype"/>
          <w:b/>
        </w:rPr>
      </w:pPr>
      <w:r w:rsidRPr="0036268D">
        <w:rPr>
          <w:rFonts w:ascii="Palatino Linotype" w:eastAsia="Palatino Linotype" w:hAnsi="Palatino Linotype" w:cs="Palatino Linotype"/>
          <w:b/>
        </w:rPr>
        <w:t>Del análisis de los datos susceptibles de ser protegidos.</w:t>
      </w:r>
    </w:p>
    <w:p w14:paraId="6E7072EE" w14:textId="6FE08C17" w:rsidR="003A13FB" w:rsidRPr="0036268D" w:rsidRDefault="00105CCF" w:rsidP="00704431">
      <w:pPr>
        <w:pStyle w:val="Prrafodelista"/>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Calibri" w:hAnsi="Palatino Linotype" w:cs="Arial"/>
          <w:lang w:val="es-ES"/>
        </w:rPr>
        <w:t>Ahora bien</w:t>
      </w:r>
      <w:r w:rsidR="003A13FB" w:rsidRPr="0036268D">
        <w:rPr>
          <w:rFonts w:ascii="Palatino Linotype" w:eastAsia="Palatino Linotype" w:hAnsi="Palatino Linotype" w:cs="Palatino Linotype"/>
        </w:rPr>
        <w:t>, es importante analizar los datos personales susceptibles de ser protegidos, que pudieran estar contenidos en los documentos donde obra lo requerido, tales como:</w:t>
      </w:r>
    </w:p>
    <w:p w14:paraId="552656B5"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Clave Única de Registro de Población (CURP);</w:t>
      </w:r>
    </w:p>
    <w:p w14:paraId="3AD94D8C"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Número de ISSEMyM;</w:t>
      </w:r>
    </w:p>
    <w:p w14:paraId="3D80CE00"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Número de empleado;</w:t>
      </w:r>
    </w:p>
    <w:p w14:paraId="116B9D2F"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Registro Federal de Contribuyentes (RFC);</w:t>
      </w:r>
    </w:p>
    <w:p w14:paraId="6879DCFA"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Número de Serie del CSD del SAT;</w:t>
      </w:r>
    </w:p>
    <w:p w14:paraId="261F58E9"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Número de Serie del CDS del emisor;</w:t>
      </w:r>
    </w:p>
    <w:p w14:paraId="1BA2A050"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Serie y folio;</w:t>
      </w:r>
    </w:p>
    <w:p w14:paraId="48ECE358"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Firma;</w:t>
      </w:r>
    </w:p>
    <w:p w14:paraId="42DA8F58"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lastRenderedPageBreak/>
        <w:t>Código QR;</w:t>
      </w:r>
    </w:p>
    <w:p w14:paraId="55B9FDC8" w14:textId="77777777"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Sello Digital del Contribuyente; y</w:t>
      </w:r>
    </w:p>
    <w:p w14:paraId="2D58776C" w14:textId="0EDA00E8" w:rsidR="003A13FB" w:rsidRPr="0036268D" w:rsidRDefault="003A13FB"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Sello Digital del SAT.</w:t>
      </w:r>
    </w:p>
    <w:p w14:paraId="287A777B" w14:textId="6D27394E" w:rsidR="002310A9" w:rsidRPr="0036268D" w:rsidRDefault="002310A9" w:rsidP="00704431">
      <w:pPr>
        <w:numPr>
          <w:ilvl w:val="0"/>
          <w:numId w:val="2"/>
        </w:numPr>
        <w:pBdr>
          <w:top w:val="nil"/>
          <w:left w:val="nil"/>
          <w:bottom w:val="nil"/>
          <w:right w:val="nil"/>
          <w:between w:val="nil"/>
        </w:pBdr>
        <w:tabs>
          <w:tab w:val="left" w:pos="0"/>
          <w:tab w:val="left" w:pos="567"/>
        </w:tabs>
        <w:jc w:val="both"/>
        <w:rPr>
          <w:rFonts w:ascii="Palatino Linotype" w:eastAsia="Palatino Linotype" w:hAnsi="Palatino Linotype" w:cs="Palatino Linotype"/>
        </w:rPr>
      </w:pPr>
      <w:r w:rsidRPr="0036268D">
        <w:rPr>
          <w:rFonts w:ascii="Palatino Linotype" w:eastAsia="Palatino Linotype" w:hAnsi="Palatino Linotype" w:cs="Palatino Linotype"/>
        </w:rPr>
        <w:t>Cuentas bancarias y/o CLABE interbancaria</w:t>
      </w:r>
    </w:p>
    <w:p w14:paraId="35EA3E61" w14:textId="77777777" w:rsidR="003A13FB" w:rsidRPr="0036268D" w:rsidRDefault="003A13FB" w:rsidP="00704431">
      <w:pPr>
        <w:pStyle w:val="Prrafodelista"/>
        <w:tabs>
          <w:tab w:val="left" w:pos="0"/>
        </w:tabs>
        <w:spacing w:line="360" w:lineRule="auto"/>
        <w:ind w:left="0"/>
        <w:jc w:val="both"/>
        <w:rPr>
          <w:rFonts w:ascii="Palatino Linotype" w:eastAsia="Palatino Linotype" w:hAnsi="Palatino Linotype" w:cs="Palatino Linotype"/>
        </w:rPr>
      </w:pPr>
    </w:p>
    <w:p w14:paraId="631F8C3C" w14:textId="77777777" w:rsidR="003A13FB" w:rsidRPr="0036268D" w:rsidRDefault="003A13FB" w:rsidP="00704431">
      <w:pPr>
        <w:pStyle w:val="Ttulo3"/>
        <w:numPr>
          <w:ilvl w:val="0"/>
          <w:numId w:val="2"/>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t>Clave Única de Registro de Población (CURP).</w:t>
      </w:r>
    </w:p>
    <w:p w14:paraId="44C5A75E" w14:textId="794484BA" w:rsidR="003A13FB" w:rsidRPr="0036268D" w:rsidRDefault="009E61BF" w:rsidP="00704431">
      <w:pPr>
        <w:numPr>
          <w:ilvl w:val="0"/>
          <w:numId w:val="11"/>
        </w:numPr>
        <w:pBdr>
          <w:top w:val="nil"/>
          <w:left w:val="nil"/>
          <w:bottom w:val="nil"/>
          <w:right w:val="nil"/>
          <w:between w:val="nil"/>
        </w:pBd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4A4D80B" wp14:editId="4329AA8E">
                <wp:simplePos x="0" y="0"/>
                <wp:positionH relativeFrom="margin">
                  <wp:align>left</wp:align>
                </wp:positionH>
                <wp:positionV relativeFrom="paragraph">
                  <wp:posOffset>1708616</wp:posOffset>
                </wp:positionV>
                <wp:extent cx="6029864" cy="4459857"/>
                <wp:effectExtent l="38100" t="19050" r="66675" b="93345"/>
                <wp:wrapNone/>
                <wp:docPr id="2" name="Conector recto 2"/>
                <wp:cNvGraphicFramePr/>
                <a:graphic xmlns:a="http://schemas.openxmlformats.org/drawingml/2006/main">
                  <a:graphicData uri="http://schemas.microsoft.com/office/word/2010/wordprocessingShape">
                    <wps:wsp>
                      <wps:cNvCnPr/>
                      <wps:spPr>
                        <a:xfrm>
                          <a:off x="0" y="0"/>
                          <a:ext cx="6029864" cy="44598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566A4"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55pt" to="474.8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" strokecolor="#4f81bd [3204]" strokeweight="2pt">
                <v:shadow on="t" color="black" opacity="24903f" origin=",.5" offset="0,.55556mm"/>
                <w10:wrap anchorx="margin"/>
              </v:line>
            </w:pict>
          </mc:Fallback>
        </mc:AlternateContent>
      </w:r>
      <w:r w:rsidR="003A13FB" w:rsidRPr="0036268D">
        <w:rPr>
          <w:rFonts w:ascii="Palatino Linotype" w:eastAsia="Palatino Linotype" w:hAnsi="Palatino Linotype" w:cs="Palatino Linotype"/>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DB28D0C" w14:textId="77777777" w:rsidR="003A13FB" w:rsidRPr="0036268D" w:rsidRDefault="003A13FB" w:rsidP="00704431">
      <w:pPr>
        <w:shd w:val="clear" w:color="auto" w:fill="FFFFFF"/>
        <w:tabs>
          <w:tab w:val="left" w:pos="0"/>
        </w:tabs>
        <w:spacing w:before="240" w:after="240" w:line="360" w:lineRule="auto"/>
        <w:jc w:val="center"/>
        <w:rPr>
          <w:rFonts w:ascii="Palatino Linotype" w:eastAsia="Palatino Linotype" w:hAnsi="Palatino Linotype" w:cs="Palatino Linotype"/>
        </w:rPr>
      </w:pPr>
      <w:r w:rsidRPr="0036268D">
        <w:rPr>
          <w:rFonts w:ascii="Palatino Linotype" w:hAnsi="Palatino Linotype"/>
          <w:noProof/>
          <w:lang w:val="es-MX"/>
        </w:rPr>
        <w:lastRenderedPageBreak/>
        <w:drawing>
          <wp:inline distT="0" distB="0" distL="0" distR="0" wp14:anchorId="73BEA0C6" wp14:editId="732AC1CA">
            <wp:extent cx="5305425" cy="4676775"/>
            <wp:effectExtent l="0" t="0" r="9525" b="9525"/>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l="25747" t="8269" r="41253" b="18081"/>
                    <a:stretch>
                      <a:fillRect/>
                    </a:stretch>
                  </pic:blipFill>
                  <pic:spPr>
                    <a:xfrm>
                      <a:off x="0" y="0"/>
                      <a:ext cx="5305425" cy="4676775"/>
                    </a:xfrm>
                    <a:prstGeom prst="rect">
                      <a:avLst/>
                    </a:prstGeom>
                    <a:ln/>
                  </pic:spPr>
                </pic:pic>
              </a:graphicData>
            </a:graphic>
          </wp:inline>
        </w:drawing>
      </w:r>
    </w:p>
    <w:p w14:paraId="75DA05A2"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81716DB"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Entre las características de la CURP, se encuentra: </w:t>
      </w:r>
    </w:p>
    <w:p w14:paraId="38D4A4E7" w14:textId="77777777" w:rsidR="003A13FB" w:rsidRPr="0036268D" w:rsidRDefault="003A13FB" w:rsidP="00704431">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b/>
        </w:rPr>
        <w:t xml:space="preserve">Composición. </w:t>
      </w:r>
      <w:r w:rsidRPr="0036268D">
        <w:rPr>
          <w:rFonts w:ascii="Palatino Linotype" w:eastAsia="Palatino Linotype" w:hAnsi="Palatino Linotype" w:cs="Palatino Linotype"/>
        </w:rPr>
        <w:t>Alfanumérica.</w:t>
      </w:r>
    </w:p>
    <w:p w14:paraId="50C7077C" w14:textId="21282B91" w:rsidR="003A13FB" w:rsidRPr="0036268D" w:rsidRDefault="003A13FB" w:rsidP="00704431">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b/>
        </w:rPr>
        <w:t>Longitud.</w:t>
      </w:r>
      <w:r w:rsidRPr="0036268D">
        <w:rPr>
          <w:rFonts w:ascii="Palatino Linotype" w:eastAsia="Palatino Linotype" w:hAnsi="Palatino Linotype" w:cs="Palatino Linotype"/>
        </w:rPr>
        <w:t xml:space="preserve"> 18 caracteres.</w:t>
      </w:r>
    </w:p>
    <w:p w14:paraId="7E770A84" w14:textId="77777777" w:rsidR="003A13FB" w:rsidRPr="0036268D" w:rsidRDefault="003A13FB" w:rsidP="00704431">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b/>
        </w:rPr>
        <w:t xml:space="preserve">Naturaleza. </w:t>
      </w:r>
      <w:r w:rsidRPr="0036268D">
        <w:rPr>
          <w:rFonts w:ascii="Palatino Linotype" w:eastAsia="Palatino Linotype" w:hAnsi="Palatino Linotype" w:cs="Palatino Linotype"/>
        </w:rPr>
        <w:t>Biunívoca.</w:t>
      </w:r>
    </w:p>
    <w:p w14:paraId="37DB6E6D" w14:textId="77777777" w:rsidR="003A13FB" w:rsidRPr="0036268D" w:rsidRDefault="003A13FB" w:rsidP="00704431">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b/>
        </w:rPr>
        <w:lastRenderedPageBreak/>
        <w:t xml:space="preserve">Universalidad. </w:t>
      </w:r>
      <w:r w:rsidRPr="0036268D">
        <w:rPr>
          <w:rFonts w:ascii="Palatino Linotype" w:eastAsia="Palatino Linotype" w:hAnsi="Palatino Linotype" w:cs="Palatino Linotype"/>
        </w:rPr>
        <w:t>Se asigna a todas las personas que conforman la población.</w:t>
      </w:r>
    </w:p>
    <w:p w14:paraId="78282AD4" w14:textId="790D3496" w:rsidR="003A13FB" w:rsidRPr="0036268D" w:rsidRDefault="003A13FB" w:rsidP="00704431">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b/>
        </w:rPr>
      </w:pPr>
      <w:r w:rsidRPr="0036268D">
        <w:rPr>
          <w:rFonts w:ascii="Palatino Linotype" w:eastAsia="Palatino Linotype" w:hAnsi="Palatino Linotype" w:cs="Palatino Linotype"/>
          <w:b/>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0AA74B5E" w14:textId="77777777" w:rsidR="003A13FB" w:rsidRPr="0036268D" w:rsidRDefault="003A13FB" w:rsidP="00704431">
      <w:pPr>
        <w:pBdr>
          <w:top w:val="nil"/>
          <w:left w:val="nil"/>
          <w:bottom w:val="nil"/>
          <w:right w:val="nil"/>
          <w:between w:val="nil"/>
        </w:pBdr>
        <w:tabs>
          <w:tab w:val="left" w:pos="0"/>
          <w:tab w:val="left" w:pos="426"/>
          <w:tab w:val="left" w:pos="567"/>
        </w:tabs>
        <w:jc w:val="both"/>
        <w:rPr>
          <w:rFonts w:ascii="Palatino Linotype" w:eastAsia="Palatino Linotype" w:hAnsi="Palatino Linotype" w:cs="Palatino Linotype"/>
          <w:b/>
        </w:rPr>
      </w:pPr>
    </w:p>
    <w:p w14:paraId="10859788" w14:textId="360FB3C5"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35B6A16"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501C522"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Ante ello, resulta aplicable el Criterio 18/17 emitido por el Instituto Nacional de Transparencia, Acceso a la Información y Protección de Datos Personales, que a la literalidad señala: </w:t>
      </w:r>
    </w:p>
    <w:p w14:paraId="7FF455A1" w14:textId="77777777" w:rsidR="003A13FB" w:rsidRPr="0036268D" w:rsidRDefault="003A13FB" w:rsidP="00704431">
      <w:pPr>
        <w:pBdr>
          <w:top w:val="nil"/>
          <w:left w:val="nil"/>
          <w:bottom w:val="nil"/>
          <w:right w:val="nil"/>
          <w:between w:val="nil"/>
        </w:pBdr>
        <w:tabs>
          <w:tab w:val="left" w:pos="0"/>
          <w:tab w:val="left" w:pos="567"/>
        </w:tabs>
        <w:ind w:left="360"/>
        <w:jc w:val="both"/>
        <w:rPr>
          <w:rFonts w:ascii="Palatino Linotype" w:eastAsia="Palatino Linotype" w:hAnsi="Palatino Linotype" w:cs="Palatino Linotype"/>
        </w:rPr>
      </w:pPr>
      <w:r w:rsidRPr="0036268D">
        <w:rPr>
          <w:rFonts w:ascii="Palatino Linotype" w:eastAsia="Palatino Linotype" w:hAnsi="Palatino Linotype" w:cs="Palatino Linotype"/>
          <w:i/>
        </w:rPr>
        <w:t>“</w:t>
      </w:r>
      <w:r w:rsidRPr="0036268D">
        <w:rPr>
          <w:rFonts w:ascii="Palatino Linotype" w:eastAsia="Palatino Linotype" w:hAnsi="Palatino Linotype" w:cs="Palatino Linotype"/>
          <w:b/>
          <w:i/>
        </w:rPr>
        <w:t xml:space="preserve">Clave Única de Registro de Población (CURP). </w:t>
      </w:r>
      <w:r w:rsidRPr="0036268D">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5B860F1A" w14:textId="77777777" w:rsidR="003A13FB" w:rsidRPr="0036268D" w:rsidRDefault="003A13FB" w:rsidP="00704431">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rPr>
      </w:pPr>
    </w:p>
    <w:p w14:paraId="40FE3DF9" w14:textId="77777777" w:rsidR="003A13FB" w:rsidRPr="0036268D" w:rsidRDefault="003A13FB"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lastRenderedPageBreak/>
        <w:t>Clave ISSEMyM</w:t>
      </w:r>
    </w:p>
    <w:p w14:paraId="2CE97423"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3191EBC"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5BCD8BB"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D34DE1" w14:textId="77777777" w:rsidR="003A13FB" w:rsidRPr="0036268D" w:rsidRDefault="003A13FB"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lastRenderedPageBreak/>
        <w:t>Número de empleado.</w:t>
      </w:r>
    </w:p>
    <w:p w14:paraId="5D5FA9AC" w14:textId="77777777" w:rsidR="003A13FB" w:rsidRPr="0036268D" w:rsidRDefault="003A13FB" w:rsidP="00704431">
      <w:pPr>
        <w:numPr>
          <w:ilvl w:val="0"/>
          <w:numId w:val="11"/>
        </w:numPr>
        <w:shd w:val="clear" w:color="auto" w:fill="FFFFFF"/>
        <w:tabs>
          <w:tab w:val="left" w:pos="0"/>
        </w:tabs>
        <w:spacing w:before="240" w:after="240" w:line="360" w:lineRule="auto"/>
        <w:ind w:hanging="142"/>
        <w:jc w:val="both"/>
        <w:rPr>
          <w:rFonts w:ascii="Palatino Linotype" w:eastAsia="Palatino Linotype" w:hAnsi="Palatino Linotype" w:cs="Palatino Linotype"/>
        </w:rPr>
      </w:pPr>
      <w:r w:rsidRPr="0036268D">
        <w:rPr>
          <w:rFonts w:ascii="Palatino Linotype" w:eastAsia="Palatino Linotype" w:hAnsi="Palatino Linotype" w:cs="Palatino Linotype"/>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39FD0BEB" w14:textId="77777777" w:rsidR="003A13FB" w:rsidRPr="0036268D" w:rsidRDefault="003A13FB" w:rsidP="00704431">
      <w:pPr>
        <w:numPr>
          <w:ilvl w:val="0"/>
          <w:numId w:val="11"/>
        </w:numPr>
        <w:shd w:val="clear" w:color="auto" w:fill="FFFFFF"/>
        <w:tabs>
          <w:tab w:val="left" w:pos="0"/>
        </w:tabs>
        <w:spacing w:before="240" w:after="240" w:line="360" w:lineRule="auto"/>
        <w:ind w:hanging="142"/>
        <w:jc w:val="both"/>
        <w:rPr>
          <w:rFonts w:ascii="Palatino Linotype" w:eastAsia="Palatino Linotype" w:hAnsi="Palatino Linotype" w:cs="Palatino Linotype"/>
        </w:rPr>
      </w:pPr>
      <w:r w:rsidRPr="0036268D">
        <w:rPr>
          <w:rFonts w:ascii="Palatino Linotype" w:eastAsia="Palatino Linotype" w:hAnsi="Palatino Linotype" w:cs="Palatino Linotype"/>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14:paraId="3BBF0772"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b/>
          <w:i/>
        </w:rPr>
        <w:t>Número de empleado.</w:t>
      </w:r>
      <w:r w:rsidRPr="0036268D">
        <w:rPr>
          <w:rFonts w:ascii="Palatino Linotype" w:eastAsia="Palatino Linotype" w:hAnsi="Palatino Linotype" w:cs="Palatino Linotype"/>
          <w:i/>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2A8D686C"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14:paraId="0DEBC011" w14:textId="77777777" w:rsidR="003A13FB" w:rsidRPr="0036268D" w:rsidRDefault="003A13FB"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t>Registro Federal de Contribuyentes (RFC)</w:t>
      </w:r>
    </w:p>
    <w:p w14:paraId="7113D69C"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El RFC es el Registro Federal de Contribuyentes, esta inscripción es realizada por el Servicio de Administración Tributaria, quien entrega una cédula de identificación fiscal en </w:t>
      </w:r>
      <w:r w:rsidRPr="0036268D">
        <w:rPr>
          <w:rFonts w:ascii="Palatino Linotype" w:eastAsia="Palatino Linotype" w:hAnsi="Palatino Linotype" w:cs="Palatino Linotype"/>
        </w:rPr>
        <w:lastRenderedPageBreak/>
        <w:t>donde consta la clave que asigna este órgano desconcentrado de la Secretaría de Hacienda y Crédito Público, de acuerdo al artículo 27 del Código Fiscal de la Federación.</w:t>
      </w:r>
    </w:p>
    <w:p w14:paraId="4197A30B" w14:textId="6BA34468" w:rsidR="00105CCF"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239AB85"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97603B4"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F78E9EE"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4CB32B9F"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36268D">
        <w:rPr>
          <w:rFonts w:ascii="Palatino Linotype" w:eastAsia="Palatino Linotype" w:hAnsi="Palatino Linotype" w:cs="Palatino Linotype"/>
          <w:b/>
          <w:i/>
        </w:rPr>
        <w:t xml:space="preserve">Registro Federal de Contribuyentes (RFC) de personas físicas. </w:t>
      </w:r>
    </w:p>
    <w:p w14:paraId="109D5CA3"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7FF7A5F0"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b/>
        </w:rPr>
        <w:lastRenderedPageBreak/>
        <w:t>De tal suerte, el Registro Federal de Contribuyentes de las personas físicas no guarda relación con la transparencia de los recursos públicos</w:t>
      </w:r>
      <w:r w:rsidRPr="0036268D">
        <w:rPr>
          <w:rFonts w:ascii="Palatino Linotype" w:eastAsia="Palatino Linotype" w:hAnsi="Palatino Linotype" w:cs="Palatino Linotype"/>
        </w:rPr>
        <w:t>, así como tampoco con el desempeño laboral que pueda tener una persona.</w:t>
      </w:r>
    </w:p>
    <w:p w14:paraId="5AA5E863" w14:textId="77777777" w:rsidR="003A13FB" w:rsidRPr="0036268D" w:rsidRDefault="003A13FB"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t>Deducciones personales</w:t>
      </w:r>
    </w:p>
    <w:p w14:paraId="29D11614"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Es necesario precisar que existen deducciones que se generan con motivo de una decisión libre y voluntaria de los servidores públicos, como son: créditos personales, </w:t>
      </w:r>
      <w:r w:rsidRPr="0036268D">
        <w:rPr>
          <w:rFonts w:ascii="Palatino Linotype" w:eastAsia="Palatino Linotype" w:hAnsi="Palatino Linotype" w:cs="Palatino Linotype"/>
          <w:b/>
          <w:u w:val="single"/>
        </w:rPr>
        <w:t>cuotas sindicales y fondo de resistencia del Sindicato Único de Trabajadores de los Poderes, Municipios e Institución Descentralizadas del Estado de México</w:t>
      </w:r>
      <w:r w:rsidRPr="0036268D">
        <w:rPr>
          <w:rFonts w:ascii="Palatino Linotype" w:eastAsia="Palatino Linotype" w:hAnsi="Palatino Linotype" w:cs="Palatino Linotype"/>
        </w:rPr>
        <w:t>, seguro de vida, accidentes y enfermedades.</w:t>
      </w:r>
    </w:p>
    <w:p w14:paraId="5548B742"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61AB4F71"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413948C"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bookmarkStart w:id="14" w:name="_heading=h.1ksv4uv" w:colFirst="0" w:colLast="0"/>
      <w:bookmarkEnd w:id="14"/>
      <w:r w:rsidRPr="0036268D">
        <w:rPr>
          <w:rFonts w:ascii="Palatino Linotype" w:eastAsia="Palatino Linotype" w:hAnsi="Palatino Linotype" w:cs="Palatino Linotype"/>
        </w:rPr>
        <w:t>Así, dichas deducciones reflejan el destino que un servidor público da a su patrimonio, lo que se aleja de la transparencia y rendición de cuentas.</w:t>
      </w:r>
    </w:p>
    <w:p w14:paraId="341B37B2" w14:textId="60E5DD32" w:rsidR="002310A9" w:rsidRPr="0036268D" w:rsidRDefault="002310A9"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lastRenderedPageBreak/>
        <w:t>Cuentas bancarias y/o CLABE interbancaria</w:t>
      </w:r>
    </w:p>
    <w:p w14:paraId="58621A63" w14:textId="77777777" w:rsidR="002310A9" w:rsidRPr="0036268D" w:rsidRDefault="002310A9"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También, el número de cuenta bancario, conforme al el Criterio orientador 10/17 emitido por el Pleno del Instituto Nacional de Transparencia, Acceso a la Información y Protección de Datos Personales se establece lo siguiente:</w:t>
      </w:r>
    </w:p>
    <w:p w14:paraId="47BD6C66" w14:textId="77777777" w:rsidR="002310A9" w:rsidRPr="0036268D" w:rsidRDefault="002310A9" w:rsidP="00704431">
      <w:pPr>
        <w:shd w:val="clear" w:color="auto" w:fill="FFFFFF"/>
        <w:tabs>
          <w:tab w:val="left" w:pos="0"/>
        </w:tabs>
        <w:ind w:left="1134"/>
        <w:jc w:val="both"/>
        <w:rPr>
          <w:rFonts w:ascii="Palatino Linotype" w:eastAsia="Palatino Linotype" w:hAnsi="Palatino Linotype" w:cs="Palatino Linotype"/>
        </w:rPr>
      </w:pPr>
      <w:r w:rsidRPr="0036268D">
        <w:rPr>
          <w:rFonts w:ascii="Palatino Linotype" w:eastAsia="Palatino Linotype" w:hAnsi="Palatino Linotype" w:cs="Palatino Linotype"/>
        </w:rPr>
        <w:t>“</w:t>
      </w:r>
      <w:r w:rsidRPr="0036268D">
        <w:rPr>
          <w:rFonts w:ascii="Palatino Linotype" w:eastAsia="Palatino Linotype" w:hAnsi="Palatino Linotype" w:cs="Palatino Linotype"/>
          <w:b/>
          <w:i/>
        </w:rPr>
        <w:t>Cuentas bancarias y/o CLABE interbancaria de personas físicas y morales privadas.</w:t>
      </w:r>
      <w:r w:rsidRPr="0036268D">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36268D">
        <w:rPr>
          <w:rFonts w:ascii="Palatino Linotype" w:eastAsia="Palatino Linotype" w:hAnsi="Palatino Linotype" w:cs="Palatino Linotype"/>
        </w:rPr>
        <w:t>.”</w:t>
      </w:r>
    </w:p>
    <w:p w14:paraId="48F46A95" w14:textId="77777777" w:rsidR="002310A9" w:rsidRPr="0036268D" w:rsidRDefault="002310A9" w:rsidP="00704431">
      <w:pPr>
        <w:tabs>
          <w:tab w:val="left" w:pos="0"/>
        </w:tabs>
        <w:ind w:left="1134"/>
        <w:jc w:val="both"/>
        <w:rPr>
          <w:rFonts w:ascii="Palatino Linotype" w:eastAsia="Palatino Linotype" w:hAnsi="Palatino Linotype" w:cs="Palatino Linotype"/>
        </w:rPr>
      </w:pPr>
    </w:p>
    <w:p w14:paraId="5C10A97A" w14:textId="3B890F7A" w:rsidR="002310A9" w:rsidRPr="0036268D" w:rsidRDefault="002310A9" w:rsidP="00704431">
      <w:pPr>
        <w:numPr>
          <w:ilvl w:val="0"/>
          <w:numId w:val="11"/>
        </w:num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4239516" w14:textId="77777777" w:rsidR="002310A9" w:rsidRPr="0036268D" w:rsidRDefault="002310A9" w:rsidP="00704431">
      <w:pPr>
        <w:tabs>
          <w:tab w:val="left" w:pos="0"/>
        </w:tabs>
        <w:spacing w:line="360" w:lineRule="auto"/>
        <w:jc w:val="both"/>
        <w:rPr>
          <w:rFonts w:ascii="Palatino Linotype" w:eastAsia="Palatino Linotype" w:hAnsi="Palatino Linotype" w:cs="Palatino Linotype"/>
        </w:rPr>
      </w:pPr>
    </w:p>
    <w:p w14:paraId="7E3660F3" w14:textId="53003BA2" w:rsidR="003A13FB" w:rsidRPr="0036268D" w:rsidRDefault="003A13FB" w:rsidP="00704431">
      <w:pPr>
        <w:pStyle w:val="Ttulo3"/>
        <w:numPr>
          <w:ilvl w:val="0"/>
          <w:numId w:val="4"/>
        </w:numPr>
        <w:tabs>
          <w:tab w:val="left" w:pos="0"/>
        </w:tabs>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t>Código QR</w:t>
      </w:r>
    </w:p>
    <w:p w14:paraId="15BE03A8" w14:textId="4C2038A9" w:rsidR="00721580"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w:t>
      </w:r>
      <w:r w:rsidRPr="0036268D">
        <w:rPr>
          <w:rFonts w:ascii="Palatino Linotype" w:eastAsia="Palatino Linotype" w:hAnsi="Palatino Linotype" w:cs="Palatino Linotype"/>
          <w:i/>
        </w:rPr>
        <w:t>QR Code (Quick Response Code)</w:t>
      </w:r>
      <w:r w:rsidRPr="0036268D">
        <w:rPr>
          <w:rFonts w:ascii="Palatino Linotype" w:eastAsia="Palatino Linotype" w:hAnsi="Palatino Linotype" w:cs="Palatino Linotype"/>
        </w:rPr>
        <w:t xml:space="preserve">, el cual contiene el Registro Federal de Contribuyentes del receptor, del </w:t>
      </w:r>
      <w:r w:rsidRPr="0036268D">
        <w:rPr>
          <w:rFonts w:ascii="Palatino Linotype" w:eastAsia="Palatino Linotype" w:hAnsi="Palatino Linotype" w:cs="Palatino Linotype"/>
        </w:rPr>
        <w:lastRenderedPageBreak/>
        <w:t xml:space="preserve">emisor, o de ambos; lo anterior, conforme al Anexo 20 de la Segunda Resolución de modificación a la Resolución Miscelánea Fiscal para el 2017, localizada en la página electrónica </w:t>
      </w:r>
      <w:hyperlink r:id="rId13">
        <w:r w:rsidRPr="0036268D">
          <w:rPr>
            <w:rFonts w:ascii="Palatino Linotype" w:eastAsia="Palatino Linotype" w:hAnsi="Palatino Linotype" w:cs="Palatino Linotype"/>
            <w:u w:val="single"/>
          </w:rPr>
          <w:t>http://dof.gob.mx/nota_detalle.php?codigo=5492254&amp;fecha=28/07/2017</w:t>
        </w:r>
      </w:hyperlink>
      <w:r w:rsidRPr="0036268D">
        <w:rPr>
          <w:rFonts w:ascii="Palatino Linotype" w:eastAsia="Palatino Linotype" w:hAnsi="Palatino Linotype" w:cs="Palatino Linotype"/>
        </w:rPr>
        <w:t>. Incluso con la captura de dicho código, a través de la aplicación móvil del Servicio de Administración Tributaria, permite el acceso al Registro Federal de Contribuyentes, como del Sujeto Obligado, como de los servidores públicos.</w:t>
      </w:r>
    </w:p>
    <w:p w14:paraId="2D57D9EA"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E4FB7FB"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Hasta este punto, se considera que la información relacionada con los siguientes puntos actualiza una causal de confidencialidad, toda vez que identifica o hace identificable a su titular.</w:t>
      </w:r>
    </w:p>
    <w:p w14:paraId="7351E715"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36268D">
        <w:rPr>
          <w:rFonts w:ascii="Palatino Linotype" w:eastAsia="Palatino Linotype" w:hAnsi="Palatino Linotype" w:cs="Palatino Linotype"/>
        </w:rPr>
        <w:t>Clave Única de Registro de Población (CURP)</w:t>
      </w:r>
    </w:p>
    <w:p w14:paraId="281AF4BC"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36268D">
        <w:rPr>
          <w:rFonts w:ascii="Palatino Linotype" w:eastAsia="Palatino Linotype" w:hAnsi="Palatino Linotype" w:cs="Palatino Linotype"/>
        </w:rPr>
        <w:t>Clave ISSEMyM</w:t>
      </w:r>
    </w:p>
    <w:p w14:paraId="2D2B9D8D"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Número de empleado </w:t>
      </w:r>
      <w:r w:rsidRPr="0036268D">
        <w:rPr>
          <w:rFonts w:ascii="Palatino Linotype" w:eastAsia="Palatino Linotype" w:hAnsi="Palatino Linotype" w:cs="Palatino Linotype"/>
          <w:b/>
        </w:rPr>
        <w:t>(sólo en el caso de que contenga datos personales o se relacione con los mismos, de lo contrario es información pública)</w:t>
      </w:r>
    </w:p>
    <w:p w14:paraId="7D47E81C"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36268D">
        <w:rPr>
          <w:rFonts w:ascii="Palatino Linotype" w:eastAsia="Palatino Linotype" w:hAnsi="Palatino Linotype" w:cs="Palatino Linotype"/>
        </w:rPr>
        <w:t>Registro Federal de Contribuyentes (RFC)</w:t>
      </w:r>
    </w:p>
    <w:p w14:paraId="4AA07BB9"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rPr>
      </w:pPr>
      <w:r w:rsidRPr="0036268D">
        <w:rPr>
          <w:rFonts w:ascii="Palatino Linotype" w:eastAsia="Palatino Linotype" w:hAnsi="Palatino Linotype" w:cs="Palatino Linotype"/>
        </w:rPr>
        <w:t>Deducciones personales</w:t>
      </w:r>
    </w:p>
    <w:p w14:paraId="09B7444C" w14:textId="77777777" w:rsidR="003A13FB" w:rsidRPr="0036268D" w:rsidRDefault="003A13FB" w:rsidP="00704431">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b/>
        </w:rPr>
      </w:pPr>
      <w:r w:rsidRPr="0036268D">
        <w:rPr>
          <w:rFonts w:ascii="Palatino Linotype" w:eastAsia="Palatino Linotype" w:hAnsi="Palatino Linotype" w:cs="Palatino Linotype"/>
          <w:b/>
        </w:rPr>
        <w:t>Código QR</w:t>
      </w:r>
    </w:p>
    <w:p w14:paraId="56C3D426"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Es decir, los datos personales enlistados constituyen datos personales confidenciales al actualizar el supuesto normativo del artículo 143, fracción I de la Ley de Transparencia y Acceso a la Información Pública del Estado de México y Municipios.</w:t>
      </w:r>
    </w:p>
    <w:p w14:paraId="31AEAD04"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lastRenderedPageBreak/>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15304BEC"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bookmarkStart w:id="15" w:name="_heading=h.44sinio" w:colFirst="0" w:colLast="0"/>
      <w:bookmarkEnd w:id="15"/>
      <w:r w:rsidRPr="0036268D">
        <w:rPr>
          <w:rFonts w:ascii="Palatino Linotype" w:eastAsia="Palatino Linotype" w:hAnsi="Palatino Linotype" w:cs="Palatino Linotype"/>
        </w:rPr>
        <w:t>Ahora bien, siguiendo con el análisis de los datos que contienen los recibos remitidos, siguen los siguientes:</w:t>
      </w:r>
    </w:p>
    <w:p w14:paraId="78DD4B90" w14:textId="77777777" w:rsidR="003A13FB" w:rsidRPr="0036268D" w:rsidRDefault="003A13FB" w:rsidP="00704431">
      <w:pPr>
        <w:pStyle w:val="Ttulo3"/>
        <w:numPr>
          <w:ilvl w:val="0"/>
          <w:numId w:val="5"/>
        </w:numPr>
        <w:tabs>
          <w:tab w:val="left" w:pos="0"/>
        </w:tabs>
        <w:spacing w:line="360" w:lineRule="auto"/>
        <w:jc w:val="both"/>
        <w:rPr>
          <w:rFonts w:ascii="Palatino Linotype" w:eastAsia="Palatino Linotype" w:hAnsi="Palatino Linotype" w:cs="Palatino Linotype"/>
          <w:b/>
          <w:color w:val="auto"/>
        </w:rPr>
      </w:pPr>
      <w:r w:rsidRPr="0036268D">
        <w:rPr>
          <w:rFonts w:ascii="Palatino Linotype" w:eastAsia="Palatino Linotype" w:hAnsi="Palatino Linotype" w:cs="Palatino Linotype"/>
          <w:b/>
          <w:color w:val="auto"/>
        </w:rPr>
        <w:t>Sellos digitales del emisor y del Servicio de Administración Tributaria y cadena original del complemento de certificación digital del órgano previamente señalado; así como folio fiscal. (PUBLICOS)</w:t>
      </w:r>
    </w:p>
    <w:p w14:paraId="5CA8C14E"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10CC00D"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Las cadenas originales y sellos que se agregan a las facturas</w:t>
      </w:r>
      <w:r w:rsidRPr="0036268D">
        <w:rPr>
          <w:rFonts w:ascii="Palatino Linotype" w:eastAsia="Palatino Linotype" w:hAnsi="Palatino Linotype" w:cs="Palatino Linotype"/>
          <w:b/>
        </w:rPr>
        <w:t>,</w:t>
      </w:r>
      <w:r w:rsidRPr="0036268D">
        <w:rPr>
          <w:rFonts w:ascii="Palatino Linotype" w:eastAsia="Palatino Linotype" w:hAnsi="Palatino Linotype" w:cs="Palatino Linotype"/>
        </w:rPr>
        <w:t xml:space="preserve"> tienen una secuencia de generación, determinados con base en el ANEXO 20 de la Segunda Resolución de </w:t>
      </w:r>
      <w:r w:rsidRPr="0036268D">
        <w:rPr>
          <w:rFonts w:ascii="Palatino Linotype" w:eastAsia="Palatino Linotype" w:hAnsi="Palatino Linotype" w:cs="Palatino Linotype"/>
        </w:rPr>
        <w:lastRenderedPageBreak/>
        <w:t>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1309015"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“Elementos utilizados en la generación de Sellos Digitales:</w:t>
      </w:r>
    </w:p>
    <w:p w14:paraId="6F145BE7"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•Cadena Original, el elemento a sellar, en este caso de un comprobante fiscal digital a través de Internet.</w:t>
      </w:r>
    </w:p>
    <w:p w14:paraId="7B16AADF"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•Certificado de Sello Digital y su correspondiente clave privada.</w:t>
      </w:r>
    </w:p>
    <w:p w14:paraId="2FA613E4"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•Algoritmos de criptografía de clave pública para firma electrónica avanzada.</w:t>
      </w:r>
    </w:p>
    <w:p w14:paraId="1155D471"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•Especificaciones de conversión de la firma electrónica avanzada a Base 64.</w:t>
      </w:r>
    </w:p>
    <w:p w14:paraId="24C3B8E3" w14:textId="77777777" w:rsidR="003A13FB" w:rsidRPr="0036268D" w:rsidRDefault="003A13FB" w:rsidP="00704431">
      <w:pP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Para la generación de sellos digitales se utiliza criptografía de clave pública aplicada a una cadena original.</w:t>
      </w:r>
    </w:p>
    <w:p w14:paraId="03989B09"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Criptografía de la Clave Pública</w:t>
      </w:r>
    </w:p>
    <w:p w14:paraId="10804F16" w14:textId="77777777" w:rsidR="003A13FB"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080F00D" w14:textId="77777777" w:rsidR="001B7DE1" w:rsidRPr="0036268D" w:rsidRDefault="001B7DE1"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2566B5EB"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05DB150"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Por otra parte, por lo que hace Folio Fiscal, cabe precisar que conforme al ANEXO 20 de la Segunda Resolución de modificaciones a la Resolución Miscelánea Fiscal para dos mil </w:t>
      </w:r>
      <w:r w:rsidRPr="0036268D">
        <w:rPr>
          <w:rFonts w:ascii="Palatino Linotype" w:eastAsia="Palatino Linotype" w:hAnsi="Palatino Linotype" w:cs="Palatino Linotype"/>
        </w:rPr>
        <w:lastRenderedPageBreak/>
        <w:t>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5684C10" w14:textId="77777777" w:rsidR="003A13FB" w:rsidRPr="0036268D" w:rsidRDefault="003A13FB" w:rsidP="00704431">
      <w:pPr>
        <w:shd w:val="clear" w:color="auto" w:fill="FFFFFF"/>
        <w:tabs>
          <w:tab w:val="left" w:pos="0"/>
        </w:tabs>
        <w:spacing w:before="240" w:after="240" w:line="360" w:lineRule="auto"/>
        <w:jc w:val="center"/>
        <w:rPr>
          <w:rFonts w:ascii="Palatino Linotype" w:eastAsia="Palatino Linotype" w:hAnsi="Palatino Linotype" w:cs="Palatino Linotype"/>
        </w:rPr>
      </w:pPr>
      <w:r w:rsidRPr="0036268D">
        <w:rPr>
          <w:rFonts w:ascii="Palatino Linotype" w:eastAsia="Palatino Linotype" w:hAnsi="Palatino Linotype" w:cs="Palatino Linotype"/>
          <w:noProof/>
          <w:lang w:val="es-MX"/>
        </w:rPr>
        <w:drawing>
          <wp:inline distT="0" distB="0" distL="0" distR="0" wp14:anchorId="4A5957F2" wp14:editId="608FB89A">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t="40505" r="32587" b="47481"/>
                    <a:stretch>
                      <a:fillRect/>
                    </a:stretch>
                  </pic:blipFill>
                  <pic:spPr>
                    <a:xfrm>
                      <a:off x="0" y="0"/>
                      <a:ext cx="4237117" cy="257994"/>
                    </a:xfrm>
                    <a:prstGeom prst="rect">
                      <a:avLst/>
                    </a:prstGeom>
                    <a:ln/>
                  </pic:spPr>
                </pic:pic>
              </a:graphicData>
            </a:graphic>
          </wp:inline>
        </w:drawing>
      </w:r>
    </w:p>
    <w:p w14:paraId="1D3AE159"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6E3DD82"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14:paraId="1EB5BDB0" w14:textId="77777777" w:rsidR="003A13FB" w:rsidRPr="0036268D" w:rsidRDefault="003A13FB" w:rsidP="00704431">
      <w:pPr>
        <w:pStyle w:val="Prrafodelista"/>
        <w:numPr>
          <w:ilvl w:val="0"/>
          <w:numId w:val="1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r w:rsidRPr="0036268D">
        <w:rPr>
          <w:rFonts w:ascii="Palatino Linotype" w:eastAsia="Palatino Linotype" w:hAnsi="Palatino Linotype" w:cs="Palatino Linotype"/>
          <w:b/>
        </w:rPr>
        <w:lastRenderedPageBreak/>
        <w:t>Deducciones que no son personales.</w:t>
      </w:r>
    </w:p>
    <w:p w14:paraId="3D3ACD59"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La Ley del Trabajo de los Servidores Públicos del Estado y Municipios</w:t>
      </w:r>
      <w:r w:rsidRPr="0036268D">
        <w:rPr>
          <w:rFonts w:ascii="Palatino Linotype" w:eastAsia="Palatino Linotype" w:hAnsi="Palatino Linotype" w:cs="Palatino Linotype"/>
          <w:vertAlign w:val="superscript"/>
        </w:rPr>
        <w:footnoteReference w:id="1"/>
      </w:r>
      <w:r w:rsidRPr="0036268D">
        <w:rPr>
          <w:rFonts w:ascii="Palatino Linotype" w:eastAsia="Palatino Linotype" w:hAnsi="Palatino Linotype" w:cs="Palatino Linotype"/>
        </w:rPr>
        <w:t xml:space="preserve"> en el artículo 84 establece lo siguiente:</w:t>
      </w:r>
    </w:p>
    <w:p w14:paraId="13E4A2F4"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ARTÍCULO 84. Sólo podrán hacerse retenciones, descuentos o deducciones al sueldo de los servidores públicos por concepto de: </w:t>
      </w:r>
    </w:p>
    <w:p w14:paraId="454C3964"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36268D">
        <w:rPr>
          <w:rFonts w:ascii="Palatino Linotype" w:eastAsia="Palatino Linotype" w:hAnsi="Palatino Linotype" w:cs="Palatino Linotype"/>
          <w:b/>
          <w:i/>
        </w:rPr>
        <w:t>I. Gravámenes fiscales relacionados con el sueldo;</w:t>
      </w:r>
    </w:p>
    <w:p w14:paraId="18428780"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II. Deudas contraídas con las instituciones públicas o dependencias por concepto de anticipos de sueldo, pagos hechos con exceso, errores o pérdidas debidamente comprobados; </w:t>
      </w:r>
    </w:p>
    <w:p w14:paraId="4B54E8A1"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III. Cuotas sindicales; </w:t>
      </w:r>
    </w:p>
    <w:p w14:paraId="136D4BFF"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36268D">
        <w:rPr>
          <w:rFonts w:ascii="Palatino Linotype" w:eastAsia="Palatino Linotype" w:hAnsi="Palatino Linotype" w:cs="Palatino Linotype"/>
          <w:b/>
          <w:i/>
        </w:rPr>
        <w:t xml:space="preserve">IV. Cuotas de aportación a fondos para la constitución de cooperativas y de cajas de ahorro, siempre que el servidor público hubiese manifestado previamente, de manera expresa, su conformidad; </w:t>
      </w:r>
    </w:p>
    <w:p w14:paraId="63093181"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b/>
          <w:i/>
        </w:rPr>
      </w:pPr>
      <w:r w:rsidRPr="0036268D">
        <w:rPr>
          <w:rFonts w:ascii="Palatino Linotype" w:eastAsia="Palatino Linotype" w:hAnsi="Palatino Linotype" w:cs="Palatino Linotype"/>
          <w:b/>
          <w:i/>
        </w:rPr>
        <w:t xml:space="preserve">V. Descuentos ordenados por el Instituto de Seguridad Social del Estado de México y Municipios, con motivo de cuotas y obligaciones contraídas con éste por los servidores públicos; </w:t>
      </w:r>
    </w:p>
    <w:p w14:paraId="72BD00B8"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VI. Obligaciones a cargo del servidor público con las que haya consentido, derivadas de la adquisición o del uso de habitaciones consideradas como de interés social; </w:t>
      </w:r>
    </w:p>
    <w:p w14:paraId="57D19166"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VII. Faltas de puntualidad o de asistencia injustificadas; </w:t>
      </w:r>
    </w:p>
    <w:p w14:paraId="1DC3C7F4"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 xml:space="preserve">VIII. Pensiones alimenticias ordenadas por la autoridad judicial; o </w:t>
      </w:r>
    </w:p>
    <w:p w14:paraId="7ADAA392" w14:textId="77777777" w:rsidR="003A13FB"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r w:rsidRPr="0036268D">
        <w:rPr>
          <w:rFonts w:ascii="Palatino Linotype" w:eastAsia="Palatino Linotype" w:hAnsi="Palatino Linotype" w:cs="Palatino Linotype"/>
          <w:i/>
        </w:rPr>
        <w:t>IX. Cualquier otro convenido con instituciones de servicios y aceptado por el servidor público.</w:t>
      </w:r>
    </w:p>
    <w:p w14:paraId="5D85F870" w14:textId="77777777" w:rsidR="001B7DE1" w:rsidRPr="0036268D" w:rsidRDefault="001B7DE1"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30C20044"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w:t>
      </w:r>
      <w:r w:rsidRPr="0036268D">
        <w:rPr>
          <w:rFonts w:ascii="Palatino Linotype" w:eastAsia="Palatino Linotype" w:hAnsi="Palatino Linotype" w:cs="Palatino Linotype"/>
        </w:rPr>
        <w:lastRenderedPageBreak/>
        <w:t>públicos contrario a las deducciones personales que son por voluntad de cada servidor público.</w:t>
      </w:r>
    </w:p>
    <w:p w14:paraId="1D90FDA8" w14:textId="77777777" w:rsidR="003A13FB" w:rsidRPr="0036268D" w:rsidRDefault="003A13FB" w:rsidP="00704431">
      <w:pPr>
        <w:numPr>
          <w:ilvl w:val="0"/>
          <w:numId w:val="5"/>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b/>
        </w:rPr>
        <w:t>Seguro de Capitalización Individualizado.</w:t>
      </w:r>
    </w:p>
    <w:p w14:paraId="5E5FDE69"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El Si</w:t>
      </w:r>
      <w:bookmarkStart w:id="16" w:name="_GoBack"/>
      <w:bookmarkEnd w:id="16"/>
      <w:r w:rsidRPr="0036268D">
        <w:rPr>
          <w:rFonts w:ascii="Palatino Linotype" w:eastAsia="Palatino Linotype" w:hAnsi="Palatino Linotype" w:cs="Palatino Linotype"/>
        </w:rPr>
        <w:t>stema de Capitalización Individualizado es el mecanismo mediante el cual, un servidor público y la Institución en la que labora, acumulan recursos, adicionales a su pensión; mismo que se integra hasta por tres rubros, los cuales son los siguientes:</w:t>
      </w:r>
    </w:p>
    <w:p w14:paraId="1EE44DD2"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rPr>
        <w:t>•</w:t>
      </w:r>
      <w:r w:rsidRPr="0036268D">
        <w:rPr>
          <w:rFonts w:ascii="Palatino Linotype" w:eastAsia="Palatino Linotype" w:hAnsi="Palatino Linotype" w:cs="Palatino Linotype"/>
        </w:rPr>
        <w:tab/>
        <w:t>Subcuenta de cuota obligatoria; que corresponde a un porcentaje del sueldo sujeto a cotización, que se descuenta al servir público de manera automática.</w:t>
      </w:r>
    </w:p>
    <w:p w14:paraId="378A2571" w14:textId="77777777" w:rsidR="003A13FB" w:rsidRPr="0036268D"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rPr>
        <w:t>•</w:t>
      </w:r>
      <w:r w:rsidRPr="0036268D">
        <w:rPr>
          <w:rFonts w:ascii="Palatino Linotype" w:eastAsia="Palatino Linotype" w:hAnsi="Palatino Linotype" w:cs="Palatino Linotype"/>
        </w:rPr>
        <w:tab/>
        <w:t>Subcuenta de aportación obligatoria: que es la aportación que realiza la Institución a favor del servidor público, el cual equivale a un porcentaje del sueldo sujeto a cotización.</w:t>
      </w:r>
    </w:p>
    <w:p w14:paraId="49CB23B6" w14:textId="77777777" w:rsidR="003A13FB"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rPr>
        <w:t>•</w:t>
      </w:r>
      <w:r w:rsidRPr="0036268D">
        <w:rPr>
          <w:rFonts w:ascii="Palatino Linotype" w:eastAsia="Palatino Linotype" w:hAnsi="Palatino Linotype" w:cs="Palatino Linotype"/>
        </w:rPr>
        <w:tab/>
        <w:t xml:space="preserve">Subcuenta voluntaria: que es la cantidad que cada servidor público decide ahorrar de acuerdo con sus aportaciones, permitiendo acumular mayores ingresos para su retiro. </w:t>
      </w:r>
    </w:p>
    <w:p w14:paraId="7798D918" w14:textId="77777777" w:rsidR="001B7DE1" w:rsidRPr="0036268D" w:rsidRDefault="001B7DE1" w:rsidP="00704431">
      <w:pPr>
        <w:pBdr>
          <w:top w:val="nil"/>
          <w:left w:val="nil"/>
          <w:bottom w:val="nil"/>
          <w:right w:val="nil"/>
          <w:between w:val="nil"/>
        </w:pBdr>
        <w:tabs>
          <w:tab w:val="left" w:pos="0"/>
        </w:tabs>
        <w:ind w:left="567"/>
        <w:jc w:val="both"/>
        <w:rPr>
          <w:rFonts w:ascii="Palatino Linotype" w:eastAsia="Palatino Linotype" w:hAnsi="Palatino Linotype" w:cs="Palatino Linotype"/>
        </w:rPr>
      </w:pPr>
    </w:p>
    <w:p w14:paraId="1125D7C9" w14:textId="77777777" w:rsidR="003A13FB"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73D3E540" w14:textId="77777777" w:rsidR="003A13FB" w:rsidRDefault="003A13FB" w:rsidP="00704431">
      <w:pPr>
        <w:pBdr>
          <w:top w:val="nil"/>
          <w:left w:val="nil"/>
          <w:bottom w:val="nil"/>
          <w:right w:val="nil"/>
          <w:between w:val="nil"/>
        </w:pBdr>
        <w:tabs>
          <w:tab w:val="left" w:pos="0"/>
        </w:tabs>
        <w:ind w:left="567"/>
        <w:jc w:val="both"/>
        <w:rPr>
          <w:rFonts w:ascii="Palatino Linotype" w:eastAsia="Palatino Linotype" w:hAnsi="Palatino Linotype" w:cs="Palatino Linotype"/>
        </w:rPr>
      </w:pPr>
      <w:r w:rsidRPr="0036268D">
        <w:rPr>
          <w:rFonts w:ascii="Palatino Linotype" w:eastAsia="Palatino Linotype" w:hAnsi="Palatino Linotype" w:cs="Palatino Linotype"/>
          <w:i/>
        </w:rPr>
        <w:lastRenderedPageBreak/>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36268D">
        <w:rPr>
          <w:rFonts w:ascii="Palatino Linotype" w:eastAsia="Palatino Linotype" w:hAnsi="Palatino Linotype" w:cs="Palatino Linotype"/>
        </w:rPr>
        <w:t xml:space="preserve"> </w:t>
      </w:r>
    </w:p>
    <w:p w14:paraId="3DCD69F3" w14:textId="77777777" w:rsidR="001B7DE1" w:rsidRPr="0036268D" w:rsidRDefault="001B7DE1" w:rsidP="00704431">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4EC9DF1B" w14:textId="77777777" w:rsidR="00721580"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w:t>
      </w:r>
      <w:r w:rsidR="00321AEF" w:rsidRPr="0036268D">
        <w:rPr>
          <w:rFonts w:ascii="Palatino Linotype" w:eastAsia="Palatino Linotype" w:hAnsi="Palatino Linotype" w:cs="Palatino Linotype"/>
        </w:rPr>
        <w:t xml:space="preserve"> Estado de México y Municipios.</w:t>
      </w:r>
    </w:p>
    <w:p w14:paraId="0C666F6A" w14:textId="77777777" w:rsidR="001B7DE1" w:rsidRPr="0036268D" w:rsidRDefault="001B7DE1" w:rsidP="001B7DE1">
      <w:pPr>
        <w:shd w:val="clear" w:color="auto" w:fill="FFFFFF"/>
        <w:tabs>
          <w:tab w:val="left" w:pos="0"/>
        </w:tabs>
        <w:spacing w:before="240" w:after="240" w:line="360" w:lineRule="auto"/>
        <w:jc w:val="both"/>
        <w:rPr>
          <w:rFonts w:ascii="Palatino Linotype" w:eastAsia="Palatino Linotype" w:hAnsi="Palatino Linotype" w:cs="Palatino Linotype"/>
        </w:rPr>
      </w:pPr>
    </w:p>
    <w:p w14:paraId="38A3A2E7" w14:textId="3E260BA7" w:rsidR="00721580" w:rsidRPr="0036268D" w:rsidRDefault="00721580" w:rsidP="00704431">
      <w:pPr>
        <w:pStyle w:val="NormalWeb"/>
        <w:numPr>
          <w:ilvl w:val="0"/>
          <w:numId w:val="15"/>
        </w:numPr>
        <w:shd w:val="clear" w:color="auto" w:fill="FFFFFF"/>
        <w:tabs>
          <w:tab w:val="left" w:pos="0"/>
        </w:tabs>
        <w:spacing w:before="0" w:beforeAutospacing="0" w:after="0" w:afterAutospacing="0"/>
        <w:rPr>
          <w:rFonts w:ascii="Palatino Linotype" w:hAnsi="Palatino Linotype"/>
          <w:color w:val="222222"/>
        </w:rPr>
      </w:pPr>
      <w:r w:rsidRPr="0036268D">
        <w:rPr>
          <w:rFonts w:ascii="Palatino Linotype" w:hAnsi="Palatino Linotype"/>
          <w:b/>
          <w:bCs/>
          <w:color w:val="000000"/>
        </w:rPr>
        <w:lastRenderedPageBreak/>
        <w:t>Del nombre de policías.</w:t>
      </w:r>
    </w:p>
    <w:p w14:paraId="4E922897" w14:textId="0F2CBDEE"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14:paraId="08C409BE" w14:textId="3E18A3CE"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4501476D" w14:textId="77777777" w:rsidR="00721580" w:rsidRPr="0036268D"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r w:rsidRPr="0036268D">
        <w:rPr>
          <w:rFonts w:ascii="Palatino Linotype" w:hAnsi="Palatino Linotype" w:cs="Arial"/>
          <w:b/>
          <w:bCs/>
          <w:i/>
          <w:iCs/>
          <w:color w:val="222222"/>
        </w:rPr>
        <w:t>“Artículo 140.</w:t>
      </w:r>
      <w:r w:rsidRPr="0036268D">
        <w:rPr>
          <w:rFonts w:ascii="Palatino Linotype" w:hAnsi="Palatino Linotype" w:cs="Arial"/>
          <w:i/>
          <w:iCs/>
          <w:color w:val="222222"/>
        </w:rPr>
        <w:t> El acceso a la información pública será restringido excepcionalmente, cuando por razones de interés público, ésta sea clasificada como reservada, conforme a los criterios siguientes:</w:t>
      </w:r>
    </w:p>
    <w:p w14:paraId="5D1E0287" w14:textId="77777777" w:rsidR="00721580" w:rsidRPr="0036268D"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r w:rsidRPr="0036268D">
        <w:rPr>
          <w:rFonts w:ascii="Palatino Linotype" w:hAnsi="Palatino Linotype" w:cs="Arial"/>
          <w:i/>
          <w:iCs/>
          <w:color w:val="222222"/>
        </w:rPr>
        <w:t>I. Comprometa la seguridad pública y cuente con un propósito genuino y un efecto demostrable;</w:t>
      </w:r>
    </w:p>
    <w:p w14:paraId="6353DE64" w14:textId="77777777" w:rsidR="00721580" w:rsidRPr="0036268D"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r w:rsidRPr="0036268D">
        <w:rPr>
          <w:rFonts w:ascii="Palatino Linotype" w:hAnsi="Palatino Linotype" w:cs="Arial"/>
          <w:i/>
          <w:iCs/>
          <w:color w:val="222222"/>
        </w:rPr>
        <w:t>II. Pueda menoscabar la conducción de las negociaciones y relaciones internacionales;</w:t>
      </w:r>
    </w:p>
    <w:p w14:paraId="23878B01" w14:textId="77777777" w:rsidR="00721580" w:rsidRPr="0036268D"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r w:rsidRPr="0036268D">
        <w:rPr>
          <w:rFonts w:ascii="Palatino Linotype" w:hAnsi="Palatino Linotype" w:cs="Arial"/>
          <w:i/>
          <w:iCs/>
          <w:color w:val="2222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1EC75B0" w14:textId="77777777" w:rsidR="00721580" w:rsidRPr="0036268D"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r w:rsidRPr="0036268D">
        <w:rPr>
          <w:rFonts w:ascii="Palatino Linotype" w:hAnsi="Palatino Linotype" w:cs="Arial"/>
          <w:b/>
          <w:bCs/>
          <w:i/>
          <w:iCs/>
          <w:color w:val="222222"/>
        </w:rPr>
        <w:t>IV. Ponga en riesgo la vida, la seguridad o la salud de una persona física;</w:t>
      </w:r>
    </w:p>
    <w:p w14:paraId="6AEA9920" w14:textId="494B4896" w:rsidR="00721580" w:rsidRDefault="00721580"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i/>
          <w:iCs/>
          <w:color w:val="222222"/>
        </w:rPr>
      </w:pPr>
      <w:r w:rsidRPr="0036268D">
        <w:rPr>
          <w:rFonts w:ascii="Palatino Linotype" w:hAnsi="Palatino Linotype" w:cs="Arial"/>
          <w:i/>
          <w:iCs/>
          <w:color w:val="222222"/>
        </w:rPr>
        <w:t> (…)”</w:t>
      </w:r>
    </w:p>
    <w:p w14:paraId="50CCEAB5" w14:textId="77777777" w:rsidR="001B7DE1" w:rsidRPr="0036268D" w:rsidRDefault="001B7DE1" w:rsidP="00704431">
      <w:pPr>
        <w:pStyle w:val="NormalWeb"/>
        <w:shd w:val="clear" w:color="auto" w:fill="FFFFFF"/>
        <w:tabs>
          <w:tab w:val="left" w:pos="0"/>
        </w:tabs>
        <w:spacing w:before="240" w:beforeAutospacing="0" w:after="240" w:afterAutospacing="0"/>
        <w:ind w:left="567"/>
        <w:jc w:val="both"/>
        <w:rPr>
          <w:rFonts w:ascii="Palatino Linotype" w:hAnsi="Palatino Linotype" w:cs="Arial"/>
          <w:color w:val="222222"/>
        </w:rPr>
      </w:pPr>
    </w:p>
    <w:p w14:paraId="305281C1" w14:textId="1022DB2C"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36268D">
        <w:rPr>
          <w:rFonts w:ascii="Palatino Linotype" w:hAnsi="Palatino Linotype"/>
          <w:b/>
          <w:bCs/>
          <w:color w:val="222222"/>
        </w:rPr>
        <w:t xml:space="preserve">vulnerar la vida, seguridad o salud de dichos </w:t>
      </w:r>
      <w:r w:rsidRPr="0036268D">
        <w:rPr>
          <w:rFonts w:ascii="Palatino Linotype" w:hAnsi="Palatino Linotype"/>
          <w:b/>
          <w:bCs/>
          <w:color w:val="222222"/>
        </w:rPr>
        <w:lastRenderedPageBreak/>
        <w:t>elementos, incluso la de sus familias o entorno social, </w:t>
      </w:r>
      <w:r w:rsidRPr="0036268D">
        <w:rPr>
          <w:rFonts w:ascii="Palatino Linotype" w:hAnsi="Palatino Linotype"/>
          <w:color w:val="222222"/>
        </w:rPr>
        <w:t>demás, de que aumenta el riesgo de que personas ajenas a los intereses institucionales e intenten realizar actos tendientes a inhibir o entrometerse en las funciones de los policías municipales, lo cual causaría una vulneración a la seguridad municipal</w:t>
      </w:r>
      <w:r w:rsidRPr="0036268D">
        <w:rPr>
          <w:rFonts w:ascii="Palatino Linotype" w:eastAsia="Palatino Linotype" w:hAnsi="Palatino Linotype" w:cs="Palatino Linotype"/>
        </w:rPr>
        <w:t>.</w:t>
      </w:r>
    </w:p>
    <w:p w14:paraId="1963A767"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14:paraId="498D1468"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693A5350"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36268D">
        <w:rPr>
          <w:rFonts w:ascii="Palatino Linotype" w:hAnsi="Palatino Linotype"/>
          <w:b/>
          <w:bCs/>
          <w:color w:val="222222"/>
        </w:rPr>
        <w:t> SUJETO OBLIGADO</w:t>
      </w:r>
      <w:r w:rsidRPr="0036268D">
        <w:rPr>
          <w:rFonts w:ascii="Palatino Linotype" w:hAnsi="Palatino Linotype"/>
          <w:color w:val="222222"/>
        </w:rPr>
        <w:t>, colocando en inminente riesgo la vida de todos los integrantes, menoscabando así las actividades de prevención del delito y combate a la delincuencia.</w:t>
      </w:r>
    </w:p>
    <w:p w14:paraId="517F4FBC"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 xml:space="preserve">Así como el artículo 6º Constitucional por un lado garantiza el derecho de acceso a la información, por otro lado, el derecho a la vida y la seguridad de las personas se encuentran </w:t>
      </w:r>
      <w:r w:rsidRPr="0036268D">
        <w:rPr>
          <w:rFonts w:ascii="Palatino Linotype" w:hAnsi="Palatino Linotype"/>
          <w:color w:val="222222"/>
        </w:rPr>
        <w:lastRenderedPageBreak/>
        <w:t>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5BBF8100"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15165B1D"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230B4A7E"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w:t>
      </w:r>
      <w:r w:rsidRPr="0036268D">
        <w:rPr>
          <w:rFonts w:ascii="Palatino Linotype" w:hAnsi="Palatino Linotype"/>
          <w:color w:val="222222"/>
        </w:rPr>
        <w:lastRenderedPageBreak/>
        <w:t>todo Estado democrático; dicho derecho permite a las personas tener una participación activa en la toma de decisiones de los gobernantes y a su vez, funciona como un ejercicio de fiscalización para supervisar las actividades que realiza eh Estado.</w:t>
      </w:r>
    </w:p>
    <w:p w14:paraId="02212F6E" w14:textId="77777777"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167D00E8" w14:textId="62C6FC91"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Al respecto, cabe hacer mención que el artículo 81 fracción III de la Ley de Seguridad del Estado de México, establece lo siguiente:</w:t>
      </w:r>
    </w:p>
    <w:p w14:paraId="5B64BEF9"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lang w:val="es-ES_tradnl"/>
        </w:rPr>
        <w:t>“</w:t>
      </w:r>
      <w:r w:rsidRPr="0036268D">
        <w:rPr>
          <w:rFonts w:ascii="Palatino Linotype" w:hAnsi="Palatino Linotype" w:cs="Arial"/>
          <w:b/>
          <w:bCs/>
          <w:i/>
          <w:iCs/>
          <w:color w:val="222222"/>
          <w:lang w:val="es-ES_tradnl"/>
        </w:rPr>
        <w:t>Artículo 81.-</w:t>
      </w:r>
      <w:r w:rsidRPr="0036268D">
        <w:rPr>
          <w:rFonts w:ascii="Palatino Linotype" w:hAnsi="Palatino Linotype" w:cs="Arial"/>
          <w:i/>
          <w:iCs/>
          <w:color w:val="222222"/>
          <w:lang w:val="es-ES_tradnl"/>
        </w:rPr>
        <w:t> </w:t>
      </w:r>
      <w:r w:rsidRPr="0036268D">
        <w:rPr>
          <w:rFonts w:ascii="Palatino Linotype" w:hAnsi="Palatino Linotype" w:cs="Arial"/>
          <w:b/>
          <w:bCs/>
          <w:i/>
          <w:iCs/>
          <w:color w:val="2222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36268D">
        <w:rPr>
          <w:rFonts w:ascii="Palatino Linotype" w:hAnsi="Palatino Linotype" w:cs="Arial"/>
          <w:i/>
          <w:iCs/>
          <w:color w:val="222222"/>
          <w:lang w:val="es-ES_tradnl"/>
        </w:rPr>
        <w:t> en los casos siguientes:</w:t>
      </w:r>
    </w:p>
    <w:p w14:paraId="42FF3EFB"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lang w:val="es-ES_tradnl"/>
        </w:rPr>
        <w:t>…</w:t>
      </w:r>
    </w:p>
    <w:p w14:paraId="55200BEF" w14:textId="37110A38" w:rsidR="00721580" w:rsidRDefault="00721580" w:rsidP="001B7DE1">
      <w:pPr>
        <w:pStyle w:val="NormalWeb"/>
        <w:numPr>
          <w:ilvl w:val="0"/>
          <w:numId w:val="22"/>
        </w:numPr>
        <w:shd w:val="clear" w:color="auto" w:fill="FFFFFF"/>
        <w:tabs>
          <w:tab w:val="left" w:pos="0"/>
        </w:tabs>
        <w:spacing w:before="0" w:beforeAutospacing="0" w:after="0" w:afterAutospacing="0"/>
        <w:jc w:val="both"/>
        <w:rPr>
          <w:rFonts w:ascii="Palatino Linotype" w:hAnsi="Palatino Linotype" w:cs="Arial"/>
          <w:i/>
          <w:iCs/>
          <w:color w:val="222222"/>
          <w:lang w:val="es-ES_tradnl"/>
        </w:rPr>
      </w:pPr>
      <w:r w:rsidRPr="0036268D">
        <w:rPr>
          <w:rFonts w:ascii="Palatino Linotype" w:hAnsi="Palatino Linotype" w:cs="Arial"/>
          <w:b/>
          <w:bCs/>
          <w:i/>
          <w:iCs/>
          <w:color w:val="222222"/>
          <w:lang w:val="es-ES_tradnl"/>
        </w:rPr>
        <w:t>La relativa a servidores públicos miembros de las instituciones de seguridad pública, cuya revelación pueda poner en riesgo su vida e integridad física con motivo de sus funciones;</w:t>
      </w:r>
      <w:r w:rsidRPr="0036268D">
        <w:rPr>
          <w:rFonts w:ascii="Palatino Linotype" w:hAnsi="Palatino Linotype" w:cs="Arial"/>
          <w:i/>
          <w:iCs/>
          <w:color w:val="222222"/>
          <w:lang w:val="es-ES_tradnl"/>
        </w:rPr>
        <w:t>”</w:t>
      </w:r>
    </w:p>
    <w:p w14:paraId="6054FA3E" w14:textId="77777777" w:rsidR="001B7DE1" w:rsidRPr="0036268D" w:rsidRDefault="001B7DE1" w:rsidP="001B7DE1">
      <w:pPr>
        <w:pStyle w:val="NormalWeb"/>
        <w:shd w:val="clear" w:color="auto" w:fill="FFFFFF"/>
        <w:tabs>
          <w:tab w:val="left" w:pos="0"/>
        </w:tabs>
        <w:spacing w:before="0" w:beforeAutospacing="0" w:after="0" w:afterAutospacing="0"/>
        <w:ind w:left="1080"/>
        <w:jc w:val="both"/>
        <w:rPr>
          <w:rFonts w:ascii="Palatino Linotype" w:hAnsi="Palatino Linotype" w:cs="Arial"/>
          <w:color w:val="222222"/>
        </w:rPr>
      </w:pPr>
    </w:p>
    <w:p w14:paraId="6377D7A4" w14:textId="6CE75DD3"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Argumento que se fortalece con lo estipulado en el criterio número 6-09, del Instituto Nacional de Transparencia, Acceso a la Información y Protección de Datos Personales, antes (INAI)</w:t>
      </w:r>
      <w:r w:rsidRPr="0036268D">
        <w:rPr>
          <w:rFonts w:ascii="Palatino Linotype" w:hAnsi="Palatino Linotype"/>
          <w:b/>
          <w:bCs/>
          <w:color w:val="222222"/>
        </w:rPr>
        <w:t>, </w:t>
      </w:r>
      <w:r w:rsidRPr="0036268D">
        <w:rPr>
          <w:rFonts w:ascii="Palatino Linotype" w:hAnsi="Palatino Linotype"/>
          <w:color w:val="222222"/>
        </w:rPr>
        <w:t>el cual refiere:</w:t>
      </w:r>
    </w:p>
    <w:p w14:paraId="02A7BF17" w14:textId="77777777" w:rsidR="00721580" w:rsidRPr="0036268D" w:rsidRDefault="00721580" w:rsidP="00704431">
      <w:pPr>
        <w:pStyle w:val="NormalWeb"/>
        <w:shd w:val="clear" w:color="auto" w:fill="FFFFFF"/>
        <w:tabs>
          <w:tab w:val="left" w:pos="0"/>
        </w:tabs>
        <w:spacing w:before="0" w:beforeAutospacing="0" w:after="0" w:afterAutospacing="0"/>
        <w:ind w:left="567"/>
        <w:jc w:val="center"/>
        <w:rPr>
          <w:rFonts w:ascii="Palatino Linotype" w:hAnsi="Palatino Linotype" w:cs="Arial"/>
          <w:color w:val="222222"/>
        </w:rPr>
      </w:pPr>
      <w:r w:rsidRPr="0036268D">
        <w:rPr>
          <w:rFonts w:ascii="Palatino Linotype" w:hAnsi="Palatino Linotype" w:cs="Arial"/>
          <w:b/>
          <w:bCs/>
          <w:i/>
          <w:iCs/>
          <w:color w:val="222222"/>
        </w:rPr>
        <w:t>“Criterio 6-09</w:t>
      </w:r>
    </w:p>
    <w:p w14:paraId="05149BC0" w14:textId="030759D9"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Nombres de servidores públicos dedicados a actividades en materia de seguridad, por excepción pueden considerarse información reservada. </w:t>
      </w:r>
      <w:r w:rsidRPr="0036268D">
        <w:rPr>
          <w:rFonts w:ascii="Palatino Linotype" w:hAnsi="Palatino Linotype" w:cs="Arial"/>
          <w:i/>
          <w:iCs/>
          <w:color w:val="222222"/>
        </w:rPr>
        <w:t>De conformidad con el artículo 7, fracciones I y III de la Ley Federal de Transparencia y Acceso a la Información Pública Gubernamental </w:t>
      </w:r>
      <w:r w:rsidRPr="0036268D">
        <w:rPr>
          <w:rFonts w:ascii="Palatino Linotype" w:hAnsi="Palatino Linotype" w:cs="Arial"/>
          <w:b/>
          <w:bCs/>
          <w:i/>
          <w:iCs/>
          <w:color w:val="222222"/>
        </w:rPr>
        <w:t xml:space="preserve">el nombre de los servidores públicos es información de naturaleza pública. No obstante lo anterior, el mismo precepto establece la posibilidad de que </w:t>
      </w:r>
      <w:r w:rsidRPr="0036268D">
        <w:rPr>
          <w:rFonts w:ascii="Palatino Linotype" w:hAnsi="Palatino Linotype" w:cs="Arial"/>
          <w:b/>
          <w:bCs/>
          <w:i/>
          <w:iCs/>
          <w:color w:val="222222"/>
        </w:rPr>
        <w:lastRenderedPageBreak/>
        <w:t>existan excepciones a las obligaciones ahí establecidas cuando la información actualice algunos de los supuestos de reserva o confidencialidad previstos en los artículos 13, 14 y 18 de la citada ley</w:t>
      </w:r>
      <w:r w:rsidRPr="0036268D">
        <w:rPr>
          <w:rFonts w:ascii="Palatino Linotype" w:hAnsi="Palatino Linotype" w:cs="Arial"/>
          <w:i/>
          <w:iCs/>
          <w:color w:val="222222"/>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36268D">
        <w:rPr>
          <w:rFonts w:ascii="Palatino Linotype" w:hAnsi="Palatino Linotype" w:cs="Arial"/>
          <w:b/>
          <w:bCs/>
          <w:i/>
          <w:iCs/>
          <w:color w:val="222222"/>
        </w:rPr>
        <w:t>el artículo 13, fracción I de la ley de referencia se establece que podrá clasificarse aquella información cuya difusión pueda comprometer la seguridad nacional y pública</w:t>
      </w:r>
      <w:r w:rsidRPr="0036268D">
        <w:rPr>
          <w:rFonts w:ascii="Palatino Linotype" w:hAnsi="Palatino Linotype" w:cs="Arial"/>
          <w:i/>
          <w:iCs/>
          <w:color w:val="222222"/>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36268D">
        <w:rPr>
          <w:rFonts w:ascii="Palatino Linotype" w:hAnsi="Palatino Linotype" w:cs="Arial"/>
          <w:b/>
          <w:bCs/>
          <w:i/>
          <w:iCs/>
          <w:color w:val="222222"/>
        </w:rPr>
        <w:t>por lo que la reserva de la relación de los nombres y las funciones que desempeñan los servidores públicos que prestan sus servicios en áreas de seguridad nacional o pública</w:t>
      </w:r>
      <w:r w:rsidRPr="0036268D">
        <w:rPr>
          <w:rFonts w:ascii="Palatino Linotype" w:hAnsi="Palatino Linotype" w:cs="Arial"/>
          <w:i/>
          <w:iCs/>
          <w:color w:val="222222"/>
        </w:rPr>
        <w:t>, puede llegar a constituirse en un componente fundamental en el esfuerzo que realiza el Estado Mexicano para garantizar la seguridad del país en sus diferentes vertientes”</w:t>
      </w:r>
    </w:p>
    <w:p w14:paraId="7B8180ED" w14:textId="7469F999"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36268D">
        <w:rPr>
          <w:rFonts w:ascii="Palatino Linotype" w:hAnsi="Palatino Linotype"/>
          <w:b/>
          <w:bCs/>
          <w:color w:val="222222"/>
        </w:rPr>
        <w:t>SUJETO OBLIGADO</w:t>
      </w:r>
      <w:r w:rsidRPr="0036268D">
        <w:rPr>
          <w:rFonts w:ascii="Palatino Linotype" w:hAnsi="Palatino Linotype"/>
          <w:color w:val="222222"/>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61FEE754"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“Artículo 49</w:t>
      </w:r>
      <w:r w:rsidRPr="0036268D">
        <w:rPr>
          <w:rFonts w:ascii="Palatino Linotype" w:hAnsi="Palatino Linotype" w:cs="Arial"/>
          <w:i/>
          <w:iCs/>
          <w:color w:val="222222"/>
        </w:rPr>
        <w:t>. Los Comités de Transparencia tendrán las siguientes atribuciones:</w:t>
      </w:r>
    </w:p>
    <w:p w14:paraId="0AFD7E93"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VIII. Aprobar, modificar o revocar la clasificación de la información;</w:t>
      </w:r>
    </w:p>
    <w:p w14:paraId="39ED86F3"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685EDEEF"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Artículo 132</w:t>
      </w:r>
      <w:r w:rsidRPr="0036268D">
        <w:rPr>
          <w:rFonts w:ascii="Palatino Linotype" w:hAnsi="Palatino Linotype" w:cs="Arial"/>
          <w:i/>
          <w:iCs/>
          <w:color w:val="222222"/>
        </w:rPr>
        <w:t>. La clasificación de la información se llevará a cabo en el momento en que:</w:t>
      </w:r>
    </w:p>
    <w:p w14:paraId="1A9B5BAE"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lastRenderedPageBreak/>
        <w:t>I. Se reciba una solicitud de acceso a la información;</w:t>
      </w:r>
    </w:p>
    <w:p w14:paraId="5518E86B"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II. Se determine mediante resolución de autoridad competente; o</w:t>
      </w:r>
    </w:p>
    <w:p w14:paraId="37993247"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III. Se generen versiones públicas para dar cumplimiento a las obligaciones de transparencia previstas en esta Ley.”</w:t>
      </w:r>
    </w:p>
    <w:p w14:paraId="0B2AACBB"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7F313ABA"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i/>
          <w:iCs/>
          <w:color w:val="222222"/>
        </w:rPr>
      </w:pPr>
      <w:r w:rsidRPr="0036268D">
        <w:rPr>
          <w:rFonts w:ascii="Palatino Linotype" w:hAnsi="Palatino Linotype" w:cs="Arial"/>
          <w:b/>
          <w:bCs/>
          <w:i/>
          <w:iCs/>
          <w:color w:val="222222"/>
        </w:rPr>
        <w:t>Cuarto.</w:t>
      </w:r>
      <w:r w:rsidRPr="0036268D">
        <w:rPr>
          <w:rFonts w:ascii="Palatino Linotype" w:hAnsi="Palatino Linotype" w:cs="Arial"/>
          <w:i/>
          <w:iCs/>
          <w:color w:val="2222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14:paraId="4FECE731"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p>
    <w:p w14:paraId="1EA6E5A3"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Quinto.</w:t>
      </w:r>
      <w:r w:rsidRPr="0036268D">
        <w:rPr>
          <w:rFonts w:ascii="Palatino Linotype" w:hAnsi="Palatino Linotype" w:cs="Arial"/>
          <w:i/>
          <w:iCs/>
          <w:color w:val="2222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C45FA2"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42804D83" w14:textId="1F991CA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Sexto.</w:t>
      </w:r>
      <w:r w:rsidRPr="0036268D">
        <w:rPr>
          <w:rFonts w:ascii="Palatino Linotype" w:hAnsi="Palatino Linotype" w:cs="Arial"/>
          <w:i/>
          <w:iCs/>
          <w:color w:val="222222"/>
        </w:rPr>
        <w:t> Los Sujetos Obligados no podrán emitir acuerdos de carácter general ni particular que clasifiquen documentos o expedientes como reservados, ni clasificar documentos antes de que se genere la información o cuando éstos no obren en sus archivos.</w:t>
      </w:r>
    </w:p>
    <w:p w14:paraId="4F2A61C5"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La clasificación de información se realizará conforme a un análisis caso por caso, mediante la aplicación de la prueba de daño y de interés público.</w:t>
      </w:r>
    </w:p>
    <w:p w14:paraId="27F5B1D6"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76676F42" w14:textId="3046DFA4"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Séptimo.</w:t>
      </w:r>
      <w:r w:rsidRPr="0036268D">
        <w:rPr>
          <w:rFonts w:ascii="Palatino Linotype" w:hAnsi="Palatino Linotype" w:cs="Arial"/>
          <w:i/>
          <w:iCs/>
          <w:color w:val="222222"/>
        </w:rPr>
        <w:t> La clasificación de la información se llevará a cabo en el momento en que: I. Se reciba una solicitud de acceso a la información;</w:t>
      </w:r>
    </w:p>
    <w:p w14:paraId="7924239F"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II. Se determine mediante resolución de autoridad competente, o</w:t>
      </w:r>
    </w:p>
    <w:p w14:paraId="538EA058" w14:textId="254BFDA5"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III. Se generen versiones públicas para dar cumplimiento a las obligaciones de transparencia previstas en la Ley General, la Ley Federal y las correspondientes de las entidades federativas.</w:t>
      </w:r>
    </w:p>
    <w:p w14:paraId="21AA2E4E"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Los titulares de las áreas deberán revisar la clasificación al momento de la recepción de una solicitud de acceso a la información, para verificar si encuadra en una causal de reserva o de confidencialidad.</w:t>
      </w:r>
    </w:p>
    <w:p w14:paraId="18BF341D"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7A3F04D6"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lastRenderedPageBreak/>
        <w:t>Octavo.</w:t>
      </w:r>
      <w:r w:rsidRPr="0036268D">
        <w:rPr>
          <w:rFonts w:ascii="Palatino Linotype" w:hAnsi="Palatino Linotype" w:cs="Arial"/>
          <w:i/>
          <w:iCs/>
          <w:color w:val="2222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2A2533D6" w14:textId="3E7B6310"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Para motivar la clasificación se deberán señalar las razones o circunstancias especiales que lo llevaron a concluir que el caso particular se ajusta al supuesto previsto por la norma legal invocada como fundamento.</w:t>
      </w:r>
    </w:p>
    <w:p w14:paraId="3CD156BA" w14:textId="355249BD"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En caso de referirse a información reservada, la motivación de la clasificación también deberá comprender las circunstancias que justifican el establecimiento de determinado plazo de reserva.</w:t>
      </w:r>
    </w:p>
    <w:p w14:paraId="7D157358" w14:textId="2AB2C673"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F6FD2A"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5B1A63" w14:textId="77777777" w:rsidR="00721580" w:rsidRPr="0036268D" w:rsidRDefault="00721580" w:rsidP="00704431">
      <w:pPr>
        <w:pStyle w:val="NormalWeb"/>
        <w:shd w:val="clear" w:color="auto" w:fill="FFFFFF"/>
        <w:tabs>
          <w:tab w:val="left" w:pos="0"/>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 </w:t>
      </w:r>
    </w:p>
    <w:p w14:paraId="2D7DE993" w14:textId="4F213FFF" w:rsidR="00721580" w:rsidRPr="0036268D" w:rsidRDefault="00721580" w:rsidP="00704431">
      <w:pPr>
        <w:pStyle w:val="NormalWeb"/>
        <w:shd w:val="clear" w:color="auto" w:fill="FFFFFF"/>
        <w:tabs>
          <w:tab w:val="left" w:pos="0"/>
          <w:tab w:val="left" w:pos="8222"/>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b/>
          <w:bCs/>
          <w:i/>
          <w:iCs/>
          <w:color w:val="222222"/>
        </w:rPr>
        <w:t>Décimo</w:t>
      </w:r>
      <w:r w:rsidRPr="0036268D">
        <w:rPr>
          <w:rFonts w:ascii="Palatino Linotype" w:hAnsi="Palatino Linotype" w:cs="Arial"/>
          <w:i/>
          <w:iCs/>
          <w:color w:val="2222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00D8A0" w14:textId="12950CDA" w:rsidR="00721580" w:rsidRPr="0036268D" w:rsidRDefault="00721580" w:rsidP="00704431">
      <w:pPr>
        <w:pStyle w:val="NormalWeb"/>
        <w:shd w:val="clear" w:color="auto" w:fill="FFFFFF"/>
        <w:tabs>
          <w:tab w:val="left" w:pos="0"/>
          <w:tab w:val="left" w:pos="8222"/>
        </w:tabs>
        <w:spacing w:before="0" w:beforeAutospacing="0" w:after="0" w:afterAutospacing="0"/>
        <w:ind w:left="567"/>
        <w:jc w:val="both"/>
        <w:rPr>
          <w:rFonts w:ascii="Palatino Linotype" w:hAnsi="Palatino Linotype" w:cs="Arial"/>
          <w:color w:val="222222"/>
        </w:rPr>
      </w:pPr>
      <w:r w:rsidRPr="0036268D">
        <w:rPr>
          <w:rFonts w:ascii="Palatino Linotype" w:hAnsi="Palatino Linotype" w:cs="Arial"/>
          <w:i/>
          <w:iCs/>
          <w:color w:val="222222"/>
        </w:rPr>
        <w:t>En ausencia de los titulares de las áreas, la información será clasificada o desclasificada por la persona que lo supla, en términos de la normativa que rija la actuación del sujeto obligado.</w:t>
      </w:r>
    </w:p>
    <w:p w14:paraId="4504BE22" w14:textId="20996137" w:rsidR="00721580" w:rsidRDefault="00721580" w:rsidP="00704431">
      <w:pPr>
        <w:shd w:val="clear" w:color="auto" w:fill="FFFFFF"/>
        <w:tabs>
          <w:tab w:val="left" w:pos="0"/>
          <w:tab w:val="left" w:pos="8222"/>
        </w:tabs>
        <w:spacing w:before="240" w:after="240"/>
        <w:ind w:left="567"/>
        <w:jc w:val="both"/>
        <w:rPr>
          <w:rFonts w:ascii="Palatino Linotype" w:hAnsi="Palatino Linotype" w:cs="Arial"/>
          <w:i/>
          <w:iCs/>
          <w:color w:val="222222"/>
        </w:rPr>
      </w:pPr>
      <w:r w:rsidRPr="0036268D">
        <w:rPr>
          <w:rFonts w:ascii="Palatino Linotype" w:hAnsi="Palatino Linotype" w:cs="Arial"/>
          <w:b/>
          <w:bCs/>
          <w:i/>
          <w:iCs/>
          <w:color w:val="222222"/>
        </w:rPr>
        <w:t>Décimo primero</w:t>
      </w:r>
      <w:r w:rsidRPr="0036268D">
        <w:rPr>
          <w:rFonts w:ascii="Palatino Linotype" w:hAnsi="Palatino Linotype" w:cs="Arial"/>
          <w:i/>
          <w:iCs/>
          <w:color w:val="2222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C1DD30" w14:textId="77777777" w:rsidR="001B7DE1" w:rsidRPr="0036268D" w:rsidRDefault="001B7DE1" w:rsidP="00704431">
      <w:pPr>
        <w:shd w:val="clear" w:color="auto" w:fill="FFFFFF"/>
        <w:tabs>
          <w:tab w:val="left" w:pos="0"/>
          <w:tab w:val="left" w:pos="8222"/>
        </w:tabs>
        <w:spacing w:before="240" w:after="240"/>
        <w:ind w:left="567"/>
        <w:jc w:val="both"/>
        <w:rPr>
          <w:rFonts w:ascii="Palatino Linotype" w:eastAsia="Palatino Linotype" w:hAnsi="Palatino Linotype" w:cs="Palatino Linotype"/>
        </w:rPr>
      </w:pPr>
    </w:p>
    <w:p w14:paraId="671A6200" w14:textId="0AF634EA" w:rsidR="00721580" w:rsidRPr="0036268D" w:rsidRDefault="00721580"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hAnsi="Palatino Linotype"/>
          <w:color w:val="222222"/>
        </w:rPr>
        <w:t>En tal contexto se deberá proceder a la clasificación de los nombres de los elementos de policía que realicen actividades operativas en campo.</w:t>
      </w:r>
    </w:p>
    <w:p w14:paraId="43C887A6" w14:textId="77777777" w:rsidR="00321AEF" w:rsidRPr="0036268D" w:rsidRDefault="003A13FB" w:rsidP="00704431">
      <w:pPr>
        <w:numPr>
          <w:ilvl w:val="0"/>
          <w:numId w:val="11"/>
        </w:numPr>
        <w:shd w:val="clear" w:color="auto" w:fill="FFFFFF"/>
        <w:tabs>
          <w:tab w:val="left" w:pos="0"/>
        </w:tabs>
        <w:spacing w:before="240" w:after="240"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9E9ABBE" w14:textId="7198D8C5" w:rsidR="009C0E3D" w:rsidRPr="0036268D" w:rsidRDefault="00321AEF" w:rsidP="00704431">
      <w:pPr>
        <w:numPr>
          <w:ilvl w:val="0"/>
          <w:numId w:val="11"/>
        </w:numPr>
        <w:shd w:val="clear" w:color="auto" w:fill="FFFFFF"/>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rPr>
        <w:t>Por lo anteriormente expuesto, este Órgano Garante considera fundadas las razones o motivos</w:t>
      </w:r>
      <w:r w:rsidR="000A1B24" w:rsidRPr="0036268D">
        <w:rPr>
          <w:rFonts w:ascii="Palatino Linotype" w:eastAsia="Palatino Linotype" w:hAnsi="Palatino Linotype" w:cs="Palatino Linotype"/>
        </w:rPr>
        <w:t xml:space="preserve"> de inconformidad que plantea la parte </w:t>
      </w:r>
      <w:r w:rsidRPr="0036268D">
        <w:rPr>
          <w:rFonts w:ascii="Palatino Linotype" w:eastAsia="Palatino Linotype" w:hAnsi="Palatino Linotype" w:cs="Palatino Linotype"/>
          <w:b/>
        </w:rPr>
        <w:t>RECURRENTE</w:t>
      </w:r>
      <w:r w:rsidRPr="0036268D">
        <w:rPr>
          <w:rFonts w:ascii="Palatino Linotype" w:eastAsia="Palatino Linotype" w:hAnsi="Palatino Linotype" w:cs="Palatino Linotype"/>
        </w:rPr>
        <w:t xml:space="preserve">, determinando </w:t>
      </w:r>
      <w:r w:rsidRPr="0036268D">
        <w:rPr>
          <w:rFonts w:ascii="Palatino Linotype" w:eastAsia="Palatino Linotype" w:hAnsi="Palatino Linotype" w:cs="Palatino Linotype"/>
          <w:b/>
        </w:rPr>
        <w:t xml:space="preserve">REVOCAR </w:t>
      </w:r>
      <w:r w:rsidRPr="0036268D">
        <w:rPr>
          <w:rFonts w:ascii="Palatino Linotype" w:eastAsia="Palatino Linotype" w:hAnsi="Palatino Linotype" w:cs="Palatino Linotype"/>
        </w:rPr>
        <w:t xml:space="preserve">la respuesta del </w:t>
      </w:r>
      <w:r w:rsidRPr="0036268D">
        <w:rPr>
          <w:rFonts w:ascii="Palatino Linotype" w:eastAsia="Palatino Linotype" w:hAnsi="Palatino Linotype" w:cs="Palatino Linotype"/>
          <w:b/>
        </w:rPr>
        <w:t>SUJETO OBLIGADO</w:t>
      </w:r>
      <w:r w:rsidRPr="0036268D">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6268D">
        <w:rPr>
          <w:rFonts w:ascii="Palatino Linotype" w:eastAsia="Palatino Linotype" w:hAnsi="Palatino Linotype" w:cs="Palatino Linotype"/>
          <w:b/>
        </w:rPr>
        <w:t>ÓRGANO GARANTE</w:t>
      </w:r>
      <w:r w:rsidRPr="0036268D">
        <w:rPr>
          <w:rFonts w:ascii="Palatino Linotype" w:eastAsia="Palatino Linotype" w:hAnsi="Palatino Linotype" w:cs="Palatino Linotype"/>
        </w:rPr>
        <w:t xml:space="preserve"> emite los siguientes.</w:t>
      </w:r>
    </w:p>
    <w:p w14:paraId="264AEB3A" w14:textId="77777777" w:rsidR="009C0E3D" w:rsidRPr="0036268D" w:rsidRDefault="009C0E3D" w:rsidP="00704431">
      <w:pPr>
        <w:shd w:val="clear" w:color="auto" w:fill="FFFFFF"/>
        <w:tabs>
          <w:tab w:val="left" w:pos="0"/>
        </w:tabs>
        <w:spacing w:line="360" w:lineRule="auto"/>
        <w:jc w:val="both"/>
        <w:rPr>
          <w:rFonts w:ascii="Palatino Linotype" w:eastAsia="Palatino Linotype" w:hAnsi="Palatino Linotype" w:cs="Palatino Linotype"/>
        </w:rPr>
      </w:pPr>
    </w:p>
    <w:p w14:paraId="0D90C848" w14:textId="77777777" w:rsidR="00EB0F49" w:rsidRPr="0036268D" w:rsidRDefault="001D3081" w:rsidP="00704431">
      <w:pPr>
        <w:pStyle w:val="Ttulo1"/>
        <w:tabs>
          <w:tab w:val="left" w:pos="0"/>
        </w:tabs>
        <w:spacing w:before="0" w:line="360" w:lineRule="auto"/>
        <w:jc w:val="center"/>
        <w:rPr>
          <w:b w:val="0"/>
          <w:color w:val="auto"/>
          <w:szCs w:val="24"/>
        </w:rPr>
      </w:pPr>
      <w:r w:rsidRPr="0036268D">
        <w:rPr>
          <w:color w:val="auto"/>
          <w:szCs w:val="24"/>
        </w:rPr>
        <w:t>R E S O L U T I V O S</w:t>
      </w:r>
    </w:p>
    <w:p w14:paraId="06602795" w14:textId="77777777" w:rsidR="00EB0F49" w:rsidRPr="0036268D" w:rsidRDefault="00EB0F49" w:rsidP="00704431">
      <w:pPr>
        <w:tabs>
          <w:tab w:val="left" w:pos="0"/>
        </w:tabs>
        <w:spacing w:line="360" w:lineRule="auto"/>
        <w:rPr>
          <w:rFonts w:ascii="Palatino Linotype" w:eastAsia="Palatino Linotype" w:hAnsi="Palatino Linotype" w:cs="Palatino Linotype"/>
        </w:rPr>
      </w:pPr>
    </w:p>
    <w:p w14:paraId="31DB462A" w14:textId="7E28C285" w:rsidR="00EB0F49" w:rsidRPr="0036268D" w:rsidRDefault="001D3081" w:rsidP="00704431">
      <w:p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b/>
        </w:rPr>
        <w:t>PRIMERO</w:t>
      </w:r>
      <w:r w:rsidRPr="0036268D">
        <w:rPr>
          <w:rFonts w:ascii="Palatino Linotype" w:eastAsia="Palatino Linotype" w:hAnsi="Palatino Linotype" w:cs="Palatino Linotype"/>
        </w:rPr>
        <w:t xml:space="preserve">. Resultan fundadas las razones o motivos de inconformidad hechos valer en el Recursos de Revisión </w:t>
      </w:r>
      <w:r w:rsidR="002F5080" w:rsidRPr="0036268D">
        <w:rPr>
          <w:rFonts w:ascii="Palatino Linotype" w:eastAsia="Palatino Linotype" w:hAnsi="Palatino Linotype" w:cs="Palatino Linotype"/>
          <w:b/>
        </w:rPr>
        <w:t>03338</w:t>
      </w:r>
      <w:r w:rsidRPr="0036268D">
        <w:rPr>
          <w:rFonts w:ascii="Palatino Linotype" w:eastAsia="Palatino Linotype" w:hAnsi="Palatino Linotype" w:cs="Palatino Linotype"/>
          <w:b/>
        </w:rPr>
        <w:t xml:space="preserve">/INFOEM/IP/RR/2025 </w:t>
      </w:r>
      <w:r w:rsidRPr="0036268D">
        <w:rPr>
          <w:rFonts w:ascii="Palatino Linotype" w:eastAsia="Palatino Linotype" w:hAnsi="Palatino Linotype" w:cs="Palatino Linotype"/>
        </w:rPr>
        <w:t xml:space="preserve">en términos del Considerando </w:t>
      </w:r>
      <w:r w:rsidR="00473A26" w:rsidRPr="0036268D">
        <w:rPr>
          <w:rFonts w:ascii="Palatino Linotype" w:eastAsia="Palatino Linotype" w:hAnsi="Palatino Linotype" w:cs="Palatino Linotype"/>
          <w:b/>
        </w:rPr>
        <w:t>CUARTO</w:t>
      </w:r>
      <w:r w:rsidRPr="0036268D">
        <w:rPr>
          <w:rFonts w:ascii="Palatino Linotype" w:eastAsia="Palatino Linotype" w:hAnsi="Palatino Linotype" w:cs="Palatino Linotype"/>
          <w:b/>
        </w:rPr>
        <w:t xml:space="preserve"> y </w:t>
      </w:r>
      <w:r w:rsidR="00473A26" w:rsidRPr="0036268D">
        <w:rPr>
          <w:rFonts w:ascii="Palatino Linotype" w:eastAsia="Palatino Linotype" w:hAnsi="Palatino Linotype" w:cs="Palatino Linotype"/>
          <w:b/>
        </w:rPr>
        <w:t>QUINTO</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 xml:space="preserve">de la presente resolución. </w:t>
      </w:r>
    </w:p>
    <w:p w14:paraId="441F743A" w14:textId="77777777" w:rsidR="00EB0F49" w:rsidRPr="0036268D" w:rsidRDefault="00EB0F49" w:rsidP="00704431">
      <w:pPr>
        <w:tabs>
          <w:tab w:val="left" w:pos="0"/>
        </w:tabs>
        <w:spacing w:line="360" w:lineRule="auto"/>
        <w:jc w:val="both"/>
        <w:rPr>
          <w:rFonts w:ascii="Palatino Linotype" w:eastAsia="Palatino Linotype" w:hAnsi="Palatino Linotype" w:cs="Palatino Linotype"/>
        </w:rPr>
      </w:pPr>
    </w:p>
    <w:p w14:paraId="7384F1A7" w14:textId="77777777" w:rsidR="0039069C" w:rsidRPr="0036268D" w:rsidRDefault="001D3081" w:rsidP="00704431">
      <w:pPr>
        <w:tabs>
          <w:tab w:val="left" w:pos="0"/>
        </w:tabs>
        <w:spacing w:line="360" w:lineRule="auto"/>
        <w:jc w:val="both"/>
        <w:rPr>
          <w:rFonts w:ascii="Palatino Linotype" w:eastAsia="Palatino Linotype" w:hAnsi="Palatino Linotype" w:cs="Palatino Linotype"/>
        </w:rPr>
      </w:pPr>
      <w:bookmarkStart w:id="17" w:name="_heading=h.26in1rg" w:colFirst="0" w:colLast="0"/>
      <w:bookmarkEnd w:id="17"/>
      <w:r w:rsidRPr="0036268D">
        <w:rPr>
          <w:rFonts w:ascii="Palatino Linotype" w:eastAsia="Palatino Linotype" w:hAnsi="Palatino Linotype" w:cs="Palatino Linotype"/>
          <w:b/>
        </w:rPr>
        <w:t xml:space="preserve">SEGUNDO. </w:t>
      </w:r>
      <w:r w:rsidRPr="0036268D">
        <w:rPr>
          <w:rFonts w:ascii="Palatino Linotype" w:eastAsia="Palatino Linotype" w:hAnsi="Palatino Linotype" w:cs="Palatino Linotype"/>
        </w:rPr>
        <w:t xml:space="preserve">Se </w:t>
      </w:r>
      <w:r w:rsidR="00321AEF" w:rsidRPr="0036268D">
        <w:rPr>
          <w:rFonts w:ascii="Palatino Linotype" w:eastAsia="Palatino Linotype" w:hAnsi="Palatino Linotype" w:cs="Palatino Linotype"/>
          <w:b/>
        </w:rPr>
        <w:t>REVOCA</w:t>
      </w:r>
      <w:r w:rsidRPr="0036268D">
        <w:rPr>
          <w:rFonts w:ascii="Palatino Linotype" w:eastAsia="Palatino Linotype" w:hAnsi="Palatino Linotype" w:cs="Palatino Linotype"/>
          <w:b/>
        </w:rPr>
        <w:t xml:space="preserve"> </w:t>
      </w:r>
      <w:r w:rsidRPr="0036268D">
        <w:rPr>
          <w:rFonts w:ascii="Palatino Linotype" w:eastAsia="Palatino Linotype" w:hAnsi="Palatino Linotype" w:cs="Palatino Linotype"/>
        </w:rPr>
        <w:t xml:space="preserve">la respuesta emitida por el </w:t>
      </w:r>
      <w:r w:rsidRPr="0036268D">
        <w:rPr>
          <w:rFonts w:ascii="Palatino Linotype" w:eastAsia="Palatino Linotype" w:hAnsi="Palatino Linotype" w:cs="Palatino Linotype"/>
          <w:b/>
        </w:rPr>
        <w:t xml:space="preserve">Ayuntamiento de </w:t>
      </w:r>
      <w:r w:rsidR="002F5080" w:rsidRPr="0036268D">
        <w:rPr>
          <w:rFonts w:ascii="Palatino Linotype" w:eastAsia="Palatino Linotype" w:hAnsi="Palatino Linotype" w:cs="Palatino Linotype"/>
          <w:b/>
        </w:rPr>
        <w:t>Morelos</w:t>
      </w:r>
      <w:r w:rsidRPr="0036268D">
        <w:rPr>
          <w:rFonts w:ascii="Palatino Linotype" w:eastAsia="Palatino Linotype" w:hAnsi="Palatino Linotype" w:cs="Palatino Linotype"/>
          <w:b/>
        </w:rPr>
        <w:t>,</w:t>
      </w:r>
      <w:r w:rsidRPr="0036268D">
        <w:rPr>
          <w:rFonts w:ascii="Palatino Linotype" w:eastAsia="Palatino Linotype" w:hAnsi="Palatino Linotype" w:cs="Palatino Linotype"/>
        </w:rPr>
        <w:t xml:space="preserve"> a la solicitud de información pública registrada con el número</w:t>
      </w:r>
      <w:r w:rsidR="00473A26" w:rsidRPr="0036268D">
        <w:rPr>
          <w:rFonts w:ascii="Palatino Linotype" w:eastAsia="Palatino Linotype" w:hAnsi="Palatino Linotype" w:cs="Palatino Linotype"/>
          <w:b/>
        </w:rPr>
        <w:t xml:space="preserve"> </w:t>
      </w:r>
      <w:r w:rsidR="002F5080" w:rsidRPr="0036268D">
        <w:rPr>
          <w:rFonts w:ascii="Palatino Linotype" w:eastAsia="Palatino Linotype" w:hAnsi="Palatino Linotype" w:cs="Palatino Linotype"/>
          <w:b/>
        </w:rPr>
        <w:t>00038</w:t>
      </w:r>
      <w:r w:rsidR="00AB673E" w:rsidRPr="0036268D">
        <w:rPr>
          <w:rFonts w:ascii="Palatino Linotype" w:eastAsia="Palatino Linotype" w:hAnsi="Palatino Linotype" w:cs="Palatino Linotype"/>
          <w:b/>
        </w:rPr>
        <w:t>/</w:t>
      </w:r>
      <w:r w:rsidR="002F5080" w:rsidRPr="0036268D">
        <w:rPr>
          <w:rFonts w:ascii="Palatino Linotype" w:eastAsia="Palatino Linotype" w:hAnsi="Palatino Linotype" w:cs="Palatino Linotype"/>
          <w:b/>
        </w:rPr>
        <w:t>MORELOS</w:t>
      </w:r>
      <w:r w:rsidR="00AB673E" w:rsidRPr="0036268D">
        <w:rPr>
          <w:rFonts w:ascii="Palatino Linotype" w:eastAsia="Palatino Linotype" w:hAnsi="Palatino Linotype" w:cs="Palatino Linotype"/>
          <w:b/>
        </w:rPr>
        <w:t xml:space="preserve">/IP/2025 </w:t>
      </w:r>
      <w:r w:rsidRPr="0036268D">
        <w:rPr>
          <w:rFonts w:ascii="Palatino Linotype" w:eastAsia="Palatino Linotype" w:hAnsi="Palatino Linotype" w:cs="Palatino Linotype"/>
        </w:rPr>
        <w:t xml:space="preserve">y </w:t>
      </w:r>
      <w:r w:rsidR="009E61BF" w:rsidRPr="0036268D">
        <w:rPr>
          <w:rFonts w:ascii="Palatino Linotype" w:eastAsia="Palatino Linotype" w:hAnsi="Palatino Linotype" w:cs="Palatino Linotype"/>
        </w:rPr>
        <w:t xml:space="preserve">se </w:t>
      </w:r>
      <w:r w:rsidR="009E61BF" w:rsidRPr="0036268D">
        <w:rPr>
          <w:rFonts w:ascii="Palatino Linotype" w:eastAsia="Palatino Linotype" w:hAnsi="Palatino Linotype" w:cs="Palatino Linotype"/>
          <w:b/>
        </w:rPr>
        <w:t>ORDENA</w:t>
      </w:r>
      <w:r w:rsidR="009E61BF" w:rsidRPr="0036268D">
        <w:rPr>
          <w:rFonts w:ascii="Palatino Linotype" w:eastAsia="Palatino Linotype" w:hAnsi="Palatino Linotype" w:cs="Palatino Linotype"/>
        </w:rPr>
        <w:t xml:space="preserve"> entregar vía Sistema de Acceso a la Información Mexiquense </w:t>
      </w:r>
      <w:r w:rsidR="002F5080" w:rsidRPr="0036268D">
        <w:rPr>
          <w:rFonts w:ascii="Palatino Linotype" w:eastAsia="Palatino Linotype" w:hAnsi="Palatino Linotype" w:cs="Palatino Linotype"/>
          <w:b/>
        </w:rPr>
        <w:t xml:space="preserve">(SAIMEX), </w:t>
      </w:r>
      <w:r w:rsidR="002F5080" w:rsidRPr="0036268D">
        <w:rPr>
          <w:rFonts w:ascii="Palatino Linotype" w:eastAsia="Palatino Linotype" w:hAnsi="Palatino Linotype" w:cs="Palatino Linotype"/>
        </w:rPr>
        <w:t>en versión pública</w:t>
      </w:r>
      <w:r w:rsidR="0039069C" w:rsidRPr="0036268D">
        <w:rPr>
          <w:rFonts w:ascii="Palatino Linotype" w:eastAsia="Palatino Linotype" w:hAnsi="Palatino Linotype" w:cs="Palatino Linotype"/>
        </w:rPr>
        <w:t>, la siguiente información:</w:t>
      </w:r>
    </w:p>
    <w:p w14:paraId="458F7F6A" w14:textId="77777777" w:rsidR="0039069C" w:rsidRPr="0036268D" w:rsidRDefault="0039069C" w:rsidP="00704431">
      <w:pPr>
        <w:tabs>
          <w:tab w:val="left" w:pos="0"/>
        </w:tabs>
        <w:spacing w:line="360" w:lineRule="auto"/>
        <w:jc w:val="both"/>
        <w:rPr>
          <w:rFonts w:ascii="Palatino Linotype" w:eastAsia="Palatino Linotype" w:hAnsi="Palatino Linotype" w:cs="Palatino Linotype"/>
        </w:rPr>
      </w:pPr>
    </w:p>
    <w:p w14:paraId="5FCF6C5E" w14:textId="7E7FB802" w:rsidR="002F5080" w:rsidRPr="0036268D" w:rsidRDefault="0039069C" w:rsidP="00704431">
      <w:pPr>
        <w:pStyle w:val="Prrafodelista"/>
        <w:numPr>
          <w:ilvl w:val="0"/>
          <w:numId w:val="25"/>
        </w:numPr>
        <w:tabs>
          <w:tab w:val="left" w:pos="0"/>
        </w:tabs>
        <w:spacing w:line="360" w:lineRule="auto"/>
        <w:jc w:val="both"/>
        <w:rPr>
          <w:rFonts w:ascii="Palatino Linotype" w:eastAsia="Palatino Linotype" w:hAnsi="Palatino Linotype" w:cs="Palatino Linotype"/>
          <w:b/>
        </w:rPr>
      </w:pPr>
      <w:r w:rsidRPr="0036268D">
        <w:rPr>
          <w:rFonts w:ascii="Palatino Linotype" w:eastAsia="Palatino Linotype" w:hAnsi="Palatino Linotype" w:cs="Palatino Linotype"/>
          <w:b/>
        </w:rPr>
        <w:lastRenderedPageBreak/>
        <w:t xml:space="preserve">Los </w:t>
      </w:r>
      <w:r w:rsidR="002F5080" w:rsidRPr="0036268D">
        <w:rPr>
          <w:rFonts w:ascii="Palatino Linotype" w:eastAsia="Palatino Linotype" w:hAnsi="Palatino Linotype" w:cs="Palatino Linotype"/>
          <w:b/>
        </w:rPr>
        <w:t>recibos de nómina de todo el personal, correspondientes a la primera y segunda quincena de enero y la primera quincena de febrero de 2025.</w:t>
      </w:r>
    </w:p>
    <w:p w14:paraId="7CE85412" w14:textId="77777777" w:rsidR="009E61BF" w:rsidRPr="0036268D" w:rsidRDefault="009E61BF" w:rsidP="00704431">
      <w:pPr>
        <w:tabs>
          <w:tab w:val="left" w:pos="0"/>
        </w:tabs>
        <w:spacing w:line="360" w:lineRule="auto"/>
        <w:jc w:val="both"/>
        <w:rPr>
          <w:rFonts w:ascii="Palatino Linotype" w:hAnsi="Palatino Linotype"/>
          <w:b/>
        </w:rPr>
      </w:pPr>
    </w:p>
    <w:p w14:paraId="6E07D1C5" w14:textId="02837BBE" w:rsidR="00EB0F49" w:rsidRPr="0036268D" w:rsidRDefault="001D3081" w:rsidP="00704431">
      <w:pPr>
        <w:tabs>
          <w:tab w:val="left" w:pos="0"/>
        </w:tabs>
        <w:spacing w:line="360" w:lineRule="auto"/>
        <w:ind w:left="567"/>
        <w:jc w:val="both"/>
        <w:rPr>
          <w:rFonts w:ascii="Palatino Linotype" w:eastAsia="Palatino Linotype" w:hAnsi="Palatino Linotype" w:cs="Palatino Linotype"/>
          <w:b/>
        </w:rPr>
      </w:pPr>
      <w:r w:rsidRPr="0036268D">
        <w:rPr>
          <w:rFonts w:ascii="Palatino Linotype" w:eastAsia="Palatino Linotype" w:hAnsi="Palatino Linotype" w:cs="Palatino Linotype"/>
        </w:rPr>
        <w:t>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A1B24"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rPr>
        <w:t>l</w:t>
      </w:r>
      <w:r w:rsidR="000A1B24" w:rsidRPr="0036268D">
        <w:rPr>
          <w:rFonts w:ascii="Palatino Linotype" w:eastAsia="Palatino Linotype" w:hAnsi="Palatino Linotype" w:cs="Palatino Linotype"/>
        </w:rPr>
        <w:t>a parte</w:t>
      </w:r>
      <w:r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b/>
        </w:rPr>
        <w:t>RECURRENTE.</w:t>
      </w:r>
    </w:p>
    <w:p w14:paraId="3D0755EC" w14:textId="77777777" w:rsidR="00EB0F49" w:rsidRPr="0036268D" w:rsidRDefault="00EB0F49" w:rsidP="0070443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bookmarkStart w:id="18" w:name="_heading=h.4d34og8" w:colFirst="0" w:colLast="0"/>
      <w:bookmarkEnd w:id="18"/>
    </w:p>
    <w:p w14:paraId="5D78132D" w14:textId="77777777" w:rsidR="00EB0F49" w:rsidRPr="0036268D" w:rsidRDefault="001D3081" w:rsidP="00704431">
      <w:pPr>
        <w:tabs>
          <w:tab w:val="left" w:pos="0"/>
          <w:tab w:val="left" w:pos="8080"/>
        </w:tabs>
        <w:spacing w:line="360" w:lineRule="auto"/>
        <w:jc w:val="both"/>
        <w:rPr>
          <w:rFonts w:ascii="Palatino Linotype" w:eastAsia="Palatino Linotype" w:hAnsi="Palatino Linotype" w:cs="Palatino Linotype"/>
          <w:b/>
        </w:rPr>
      </w:pPr>
      <w:bookmarkStart w:id="19" w:name="_heading=h.lnxbz9" w:colFirst="0" w:colLast="0"/>
      <w:bookmarkEnd w:id="19"/>
      <w:r w:rsidRPr="0036268D">
        <w:rPr>
          <w:rFonts w:ascii="Palatino Linotype" w:eastAsia="Palatino Linotype" w:hAnsi="Palatino Linotype" w:cs="Palatino Linotype"/>
          <w:b/>
        </w:rPr>
        <w:t xml:space="preserve">TERCERO. NOTIFÍQUESE </w:t>
      </w:r>
      <w:r w:rsidRPr="0036268D">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6268D">
        <w:rPr>
          <w:rFonts w:ascii="Palatino Linotype" w:eastAsia="Palatino Linotype" w:hAnsi="Palatino Linotype" w:cs="Palatino Linotype"/>
          <w:b/>
        </w:rPr>
        <w:t>dé cumplimiento a lo ordenado dentro del plazo de diez días hábiles,</w:t>
      </w:r>
      <w:r w:rsidRPr="0036268D">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849A62" w14:textId="77777777" w:rsidR="00EB0F49" w:rsidRPr="0036268D" w:rsidRDefault="00EB0F49" w:rsidP="00704431">
      <w:pPr>
        <w:tabs>
          <w:tab w:val="left" w:pos="0"/>
          <w:tab w:val="left" w:pos="8080"/>
        </w:tabs>
        <w:spacing w:line="360" w:lineRule="auto"/>
        <w:jc w:val="both"/>
        <w:rPr>
          <w:rFonts w:ascii="Palatino Linotype" w:eastAsia="Palatino Linotype" w:hAnsi="Palatino Linotype" w:cs="Palatino Linotype"/>
        </w:rPr>
      </w:pPr>
    </w:p>
    <w:p w14:paraId="1423972B" w14:textId="77777777" w:rsidR="00EB0F49" w:rsidRPr="0036268D" w:rsidRDefault="001D3081" w:rsidP="00704431">
      <w:pPr>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b/>
        </w:rPr>
        <w:t xml:space="preserve">CUARTO. </w:t>
      </w:r>
      <w:r w:rsidRPr="0036268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6268D">
        <w:rPr>
          <w:rFonts w:ascii="Palatino Linotype" w:eastAsia="Palatino Linotype" w:hAnsi="Palatino Linotype" w:cs="Palatino Linotype"/>
          <w:b/>
        </w:rPr>
        <w:t>SUJETO OBLIGADO</w:t>
      </w:r>
      <w:r w:rsidRPr="0036268D">
        <w:rPr>
          <w:rFonts w:ascii="Palatino Linotype" w:eastAsia="Palatino Linotype" w:hAnsi="Palatino Linotype" w:cs="Palatino Linotype"/>
        </w:rPr>
        <w:t xml:space="preserve"> de manera fundada y motivada, podrá solicitar una ampliación de plazo para el cumplimiento de la presente resolución.</w:t>
      </w:r>
    </w:p>
    <w:p w14:paraId="07E6F125" w14:textId="64135F27" w:rsidR="00EB0F49" w:rsidRPr="0036268D" w:rsidRDefault="001D3081" w:rsidP="00704431">
      <w:pPr>
        <w:tabs>
          <w:tab w:val="left" w:pos="0"/>
          <w:tab w:val="left" w:pos="8080"/>
        </w:tabs>
        <w:spacing w:line="360" w:lineRule="auto"/>
        <w:jc w:val="both"/>
        <w:rPr>
          <w:rFonts w:ascii="Palatino Linotype" w:eastAsia="Palatino Linotype" w:hAnsi="Palatino Linotype" w:cs="Palatino Linotype"/>
        </w:rPr>
      </w:pPr>
      <w:bookmarkStart w:id="20" w:name="_heading=h.35nkun2" w:colFirst="0" w:colLast="0"/>
      <w:bookmarkEnd w:id="20"/>
      <w:r w:rsidRPr="0036268D">
        <w:rPr>
          <w:rFonts w:ascii="Palatino Linotype" w:eastAsia="Palatino Linotype" w:hAnsi="Palatino Linotype" w:cs="Palatino Linotype"/>
          <w:b/>
        </w:rPr>
        <w:lastRenderedPageBreak/>
        <w:t xml:space="preserve">QUINTO. </w:t>
      </w:r>
      <w:r w:rsidR="000A1B24" w:rsidRPr="0036268D">
        <w:rPr>
          <w:rFonts w:ascii="Palatino Linotype" w:eastAsia="Palatino Linotype" w:hAnsi="Palatino Linotype" w:cs="Palatino Linotype"/>
        </w:rPr>
        <w:t>Notifíquese a la parte</w:t>
      </w:r>
      <w:r w:rsidRPr="0036268D">
        <w:rPr>
          <w:rFonts w:ascii="Palatino Linotype" w:eastAsia="Palatino Linotype" w:hAnsi="Palatino Linotype" w:cs="Palatino Linotype"/>
          <w:b/>
        </w:rPr>
        <w:t xml:space="preserve"> RECURRENTE</w:t>
      </w:r>
      <w:r w:rsidRPr="0036268D">
        <w:rPr>
          <w:rFonts w:ascii="Palatino Linotype" w:eastAsia="Palatino Linotype" w:hAnsi="Palatino Linotype" w:cs="Palatino Linotype"/>
        </w:rPr>
        <w:t xml:space="preserve"> la presente resolución, vía </w:t>
      </w:r>
      <w:r w:rsidRPr="0036268D">
        <w:rPr>
          <w:rFonts w:ascii="Palatino Linotype" w:eastAsia="Palatino Linotype" w:hAnsi="Palatino Linotype" w:cs="Palatino Linotype"/>
          <w:b/>
        </w:rPr>
        <w:t>SAIMEX.</w:t>
      </w:r>
    </w:p>
    <w:p w14:paraId="41BDD7D5" w14:textId="77777777" w:rsidR="00EB0F49" w:rsidRPr="0036268D" w:rsidRDefault="00EB0F49" w:rsidP="00704431">
      <w:pPr>
        <w:tabs>
          <w:tab w:val="left" w:pos="0"/>
          <w:tab w:val="left" w:pos="8080"/>
        </w:tabs>
        <w:spacing w:line="360" w:lineRule="auto"/>
        <w:jc w:val="both"/>
        <w:rPr>
          <w:rFonts w:ascii="Palatino Linotype" w:eastAsia="Palatino Linotype" w:hAnsi="Palatino Linotype" w:cs="Palatino Linotype"/>
        </w:rPr>
      </w:pPr>
    </w:p>
    <w:p w14:paraId="2B0DD37B" w14:textId="3980CCC8" w:rsidR="00EB0F49" w:rsidRPr="0036268D" w:rsidRDefault="001D3081" w:rsidP="00704431">
      <w:pPr>
        <w:shd w:val="clear" w:color="auto" w:fill="FFFFFF"/>
        <w:tabs>
          <w:tab w:val="left" w:pos="0"/>
        </w:tabs>
        <w:spacing w:line="360" w:lineRule="auto"/>
        <w:jc w:val="both"/>
        <w:rPr>
          <w:rFonts w:ascii="Palatino Linotype" w:eastAsia="Palatino Linotype" w:hAnsi="Palatino Linotype" w:cs="Palatino Linotype"/>
        </w:rPr>
      </w:pPr>
      <w:r w:rsidRPr="0036268D">
        <w:rPr>
          <w:rFonts w:ascii="Palatino Linotype" w:eastAsia="Palatino Linotype" w:hAnsi="Palatino Linotype" w:cs="Palatino Linotype"/>
          <w:b/>
        </w:rPr>
        <w:t>SEXTO.</w:t>
      </w:r>
      <w:r w:rsidRPr="0036268D">
        <w:rPr>
          <w:rFonts w:ascii="Palatino Linotype" w:eastAsia="Palatino Linotype" w:hAnsi="Palatino Linotype" w:cs="Palatino Linotype"/>
        </w:rPr>
        <w:t xml:space="preserve"> Se hace del conocimiento de</w:t>
      </w:r>
      <w:r w:rsidR="000A1B24" w:rsidRPr="0036268D">
        <w:rPr>
          <w:rFonts w:ascii="Palatino Linotype" w:eastAsia="Palatino Linotype" w:hAnsi="Palatino Linotype" w:cs="Palatino Linotype"/>
        </w:rPr>
        <w:t xml:space="preserve"> la parte</w:t>
      </w:r>
      <w:r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b/>
        </w:rPr>
        <w:t>RECURRENTE</w:t>
      </w:r>
      <w:r w:rsidRPr="0036268D">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60DD766" w14:textId="77777777" w:rsidR="00CD4929" w:rsidRPr="0036268D" w:rsidRDefault="00CD4929" w:rsidP="00704431">
      <w:pPr>
        <w:shd w:val="clear" w:color="auto" w:fill="FFFFFF"/>
        <w:tabs>
          <w:tab w:val="left" w:pos="0"/>
        </w:tabs>
        <w:spacing w:line="360" w:lineRule="auto"/>
        <w:jc w:val="both"/>
        <w:rPr>
          <w:rFonts w:ascii="Palatino Linotype" w:eastAsia="Palatino Linotype" w:hAnsi="Palatino Linotype" w:cs="Palatino Linotype"/>
        </w:rPr>
      </w:pPr>
    </w:p>
    <w:p w14:paraId="4475A97A" w14:textId="75EBBF2F" w:rsidR="00CD4929" w:rsidRPr="00155CC2" w:rsidRDefault="00CD4929" w:rsidP="00CD4929">
      <w:pPr>
        <w:spacing w:line="360" w:lineRule="auto"/>
        <w:ind w:right="49"/>
        <w:jc w:val="both"/>
        <w:rPr>
          <w:rFonts w:ascii="Palatino Linotype" w:eastAsia="Palatino Linotype" w:hAnsi="Palatino Linotype" w:cs="Palatino Linotype"/>
        </w:rPr>
      </w:pPr>
      <w:r w:rsidRPr="0036268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6020E" w:rsidRPr="0036268D">
        <w:rPr>
          <w:rFonts w:ascii="Palatino Linotype" w:eastAsia="Palatino Linotype" w:hAnsi="Palatino Linotype" w:cs="Palatino Linotype"/>
        </w:rPr>
        <w:t xml:space="preserve"> </w:t>
      </w:r>
      <w:r w:rsidR="00D6020E" w:rsidRPr="0036268D">
        <w:rPr>
          <w:rFonts w:ascii="Palatino Linotype" w:eastAsia="Palatino Linotype" w:hAnsi="Palatino Linotype" w:cs="Palatino Linotype"/>
          <w:color w:val="000000" w:themeColor="text1"/>
        </w:rPr>
        <w:t>EMITIENDO VOTO PARTICULAR</w:t>
      </w:r>
      <w:r w:rsidR="00D6020E" w:rsidRPr="0036268D">
        <w:rPr>
          <w:rFonts w:ascii="Palatino Linotype" w:eastAsia="Palatino Linotype" w:hAnsi="Palatino Linotype" w:cs="Palatino Linotype"/>
        </w:rPr>
        <w:t xml:space="preserve"> </w:t>
      </w:r>
      <w:r w:rsidRPr="0036268D">
        <w:rPr>
          <w:rFonts w:ascii="Palatino Linotype" w:eastAsia="Palatino Linotype" w:hAnsi="Palatino Linotype" w:cs="Palatino Linotype"/>
        </w:rPr>
        <w:t xml:space="preserve"> Y GUADALUPE RAMÍREZ PEÑA</w:t>
      </w:r>
      <w:r w:rsidR="00D6020E" w:rsidRPr="0036268D">
        <w:rPr>
          <w:rFonts w:ascii="Palatino Linotype" w:eastAsia="Palatino Linotype" w:hAnsi="Palatino Linotype" w:cs="Palatino Linotype"/>
        </w:rPr>
        <w:t xml:space="preserve"> </w:t>
      </w:r>
      <w:r w:rsidR="00D6020E" w:rsidRPr="0036268D">
        <w:rPr>
          <w:rFonts w:ascii="Palatino Linotype" w:eastAsia="Palatino Linotype" w:hAnsi="Palatino Linotype" w:cs="Palatino Linotype"/>
          <w:color w:val="000000" w:themeColor="text1"/>
        </w:rPr>
        <w:t>EMITIENDO VOTO PARTICULAR</w:t>
      </w:r>
      <w:r w:rsidRPr="0036268D">
        <w:rPr>
          <w:rFonts w:ascii="Palatino Linotype" w:eastAsia="Palatino Linotype" w:hAnsi="Palatino Linotype" w:cs="Palatino Linotype"/>
        </w:rPr>
        <w:t>; EN LA VIGÉSIMA SÉPTIMA SESIÓN ORDINARIA, CELEBRADA EL SEIS (06) DE AGOSTO DE DOS MIL VEINTICINCO, ANTE EL SECRETARIO TÉCNICO DEL PLENO ALEXIS TAPIA RAMÍREZ.</w:t>
      </w:r>
    </w:p>
    <w:p w14:paraId="42191A39"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580FDFB0"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Pr="00704431" w:rsidRDefault="00EB0F49" w:rsidP="00704431">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704431" w:rsidRDefault="00EB0F49" w:rsidP="00704431">
      <w:pPr>
        <w:tabs>
          <w:tab w:val="left" w:pos="0"/>
        </w:tabs>
        <w:spacing w:line="360" w:lineRule="auto"/>
        <w:jc w:val="both"/>
        <w:rPr>
          <w:rFonts w:ascii="Palatino Linotype" w:eastAsia="Palatino Linotype" w:hAnsi="Palatino Linotype" w:cs="Palatino Linotype"/>
        </w:rPr>
      </w:pPr>
    </w:p>
    <w:p w14:paraId="1C5E98B7" w14:textId="77777777" w:rsidR="00EB0F49" w:rsidRPr="00704431" w:rsidRDefault="00EB0F49" w:rsidP="00704431">
      <w:pPr>
        <w:pStyle w:val="Ttulo2"/>
        <w:tabs>
          <w:tab w:val="left" w:pos="0"/>
        </w:tabs>
        <w:spacing w:before="0" w:line="360" w:lineRule="auto"/>
        <w:rPr>
          <w:color w:val="auto"/>
          <w:szCs w:val="24"/>
        </w:rPr>
      </w:pPr>
    </w:p>
    <w:p w14:paraId="58A0BC49" w14:textId="77777777" w:rsidR="00721580" w:rsidRPr="00704431" w:rsidRDefault="00721580" w:rsidP="00704431">
      <w:pPr>
        <w:pStyle w:val="Ttulo2"/>
        <w:tabs>
          <w:tab w:val="left" w:pos="0"/>
        </w:tabs>
        <w:spacing w:before="0" w:line="360" w:lineRule="auto"/>
        <w:rPr>
          <w:color w:val="auto"/>
          <w:szCs w:val="24"/>
        </w:rPr>
      </w:pPr>
    </w:p>
    <w:sectPr w:rsidR="00721580" w:rsidRPr="00704431" w:rsidSect="001B7DE1">
      <w:headerReference w:type="default" r:id="rId15"/>
      <w:footerReference w:type="default" r:id="rId16"/>
      <w:headerReference w:type="first" r:id="rId17"/>
      <w:footerReference w:type="first" r:id="rId18"/>
      <w:pgSz w:w="12240" w:h="15840"/>
      <w:pgMar w:top="167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78D56" w14:textId="77777777" w:rsidR="007D121E" w:rsidRDefault="007D121E">
      <w:r>
        <w:separator/>
      </w:r>
    </w:p>
  </w:endnote>
  <w:endnote w:type="continuationSeparator" w:id="0">
    <w:p w14:paraId="696A3A75" w14:textId="77777777" w:rsidR="007D121E" w:rsidRDefault="007D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2F5080" w:rsidRDefault="002F50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35151">
      <w:rPr>
        <w:rFonts w:ascii="Palatino Linotype" w:eastAsia="Palatino Linotype" w:hAnsi="Palatino Linotype" w:cs="Palatino Linotype"/>
        <w:b/>
        <w:noProof/>
        <w:color w:val="000000"/>
        <w:sz w:val="22"/>
        <w:szCs w:val="22"/>
      </w:rPr>
      <w:t>47</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35151">
      <w:rPr>
        <w:rFonts w:ascii="Palatino Linotype" w:eastAsia="Palatino Linotype" w:hAnsi="Palatino Linotype" w:cs="Palatino Linotype"/>
        <w:b/>
        <w:noProof/>
        <w:color w:val="000000"/>
        <w:sz w:val="22"/>
        <w:szCs w:val="22"/>
      </w:rPr>
      <w:t>47</w:t>
    </w:r>
    <w:r>
      <w:rPr>
        <w:rFonts w:ascii="Palatino Linotype" w:eastAsia="Palatino Linotype" w:hAnsi="Palatino Linotype" w:cs="Palatino Linotype"/>
        <w:b/>
        <w:color w:val="000000"/>
        <w:sz w:val="22"/>
        <w:szCs w:val="22"/>
      </w:rPr>
      <w:fldChar w:fldCharType="end"/>
    </w:r>
  </w:p>
  <w:p w14:paraId="0C01532C" w14:textId="77777777" w:rsidR="002F5080" w:rsidRDefault="002F508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2F5080" w:rsidRDefault="002F50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2F5080" w:rsidRDefault="002F50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3515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35151">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p w14:paraId="4644BAAA" w14:textId="77777777" w:rsidR="002F5080" w:rsidRDefault="002F508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2F5080" w:rsidRDefault="002F50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DB5B0" w14:textId="77777777" w:rsidR="007D121E" w:rsidRDefault="007D121E">
      <w:r>
        <w:separator/>
      </w:r>
    </w:p>
  </w:footnote>
  <w:footnote w:type="continuationSeparator" w:id="0">
    <w:p w14:paraId="038B1383" w14:textId="77777777" w:rsidR="007D121E" w:rsidRDefault="007D121E">
      <w:r>
        <w:continuationSeparator/>
      </w:r>
    </w:p>
  </w:footnote>
  <w:footnote w:id="1">
    <w:p w14:paraId="04A9D60C" w14:textId="77777777" w:rsidR="002F5080" w:rsidRDefault="002F5080" w:rsidP="003A13F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14:paraId="028545A2" w14:textId="77777777" w:rsidR="002F5080" w:rsidRDefault="002F5080" w:rsidP="003A13F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2F5080" w14:paraId="1D7C34A9" w14:textId="77777777" w:rsidTr="001B7DE1">
      <w:trPr>
        <w:trHeight w:val="138"/>
      </w:trPr>
      <w:tc>
        <w:tcPr>
          <w:tcW w:w="2734" w:type="dxa"/>
          <w:vAlign w:val="center"/>
        </w:tcPr>
        <w:p w14:paraId="22563E3E" w14:textId="29BFB6E6" w:rsidR="002F5080" w:rsidRPr="00704431" w:rsidRDefault="002F5080"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Recurso de Revisión:</w:t>
          </w:r>
        </w:p>
      </w:tc>
      <w:tc>
        <w:tcPr>
          <w:tcW w:w="3915" w:type="dxa"/>
          <w:vAlign w:val="center"/>
        </w:tcPr>
        <w:p w14:paraId="619EA065" w14:textId="7D10A875" w:rsidR="002F5080" w:rsidRPr="00704431" w:rsidRDefault="002F5080" w:rsidP="0070443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704431">
            <w:rPr>
              <w:rFonts w:ascii="Palatino Linotype" w:eastAsia="Palatino Linotype" w:hAnsi="Palatino Linotype" w:cs="Palatino Linotype"/>
              <w:color w:val="000000"/>
              <w:sz w:val="24"/>
              <w:szCs w:val="24"/>
            </w:rPr>
            <w:t>03338/INFOEM/IP/RR/2025</w:t>
          </w:r>
        </w:p>
      </w:tc>
    </w:tr>
    <w:tr w:rsidR="002F5080" w14:paraId="69F8EB8C" w14:textId="77777777" w:rsidTr="001B7DE1">
      <w:trPr>
        <w:trHeight w:val="321"/>
      </w:trPr>
      <w:tc>
        <w:tcPr>
          <w:tcW w:w="2734" w:type="dxa"/>
          <w:vAlign w:val="center"/>
        </w:tcPr>
        <w:p w14:paraId="40FCF56F" w14:textId="77777777" w:rsidR="002F5080" w:rsidRPr="00704431" w:rsidRDefault="002F5080"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Sujeto Obligado:</w:t>
          </w:r>
        </w:p>
      </w:tc>
      <w:tc>
        <w:tcPr>
          <w:tcW w:w="3915" w:type="dxa"/>
          <w:vAlign w:val="center"/>
        </w:tcPr>
        <w:p w14:paraId="43608C73" w14:textId="763349E4" w:rsidR="002F5080" w:rsidRPr="00704431" w:rsidRDefault="002F5080" w:rsidP="00704431">
          <w:pPr>
            <w:rPr>
              <w:rFonts w:ascii="Palatino Linotype" w:eastAsia="Palatino Linotype" w:hAnsi="Palatino Linotype" w:cs="Palatino Linotype"/>
              <w:sz w:val="24"/>
              <w:szCs w:val="24"/>
            </w:rPr>
          </w:pPr>
          <w:r w:rsidRPr="00704431">
            <w:rPr>
              <w:rFonts w:ascii="Palatino Linotype" w:hAnsi="Palatino Linotype"/>
              <w:bCs/>
              <w:color w:val="000000"/>
              <w:sz w:val="24"/>
              <w:szCs w:val="24"/>
            </w:rPr>
            <w:t>Ayuntamiento de Morelos</w:t>
          </w:r>
        </w:p>
      </w:tc>
    </w:tr>
    <w:tr w:rsidR="002F5080" w14:paraId="66E20343" w14:textId="77777777" w:rsidTr="001B7DE1">
      <w:trPr>
        <w:trHeight w:val="321"/>
      </w:trPr>
      <w:tc>
        <w:tcPr>
          <w:tcW w:w="2734" w:type="dxa"/>
          <w:vAlign w:val="center"/>
        </w:tcPr>
        <w:p w14:paraId="0D71368D" w14:textId="77777777" w:rsidR="002F5080" w:rsidRPr="00704431" w:rsidRDefault="002F5080"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Comisionada Ponente:</w:t>
          </w:r>
        </w:p>
      </w:tc>
      <w:tc>
        <w:tcPr>
          <w:tcW w:w="3915" w:type="dxa"/>
          <w:vAlign w:val="center"/>
        </w:tcPr>
        <w:p w14:paraId="4B4666C9" w14:textId="77777777" w:rsidR="002F5080" w:rsidRPr="00704431" w:rsidRDefault="002F5080" w:rsidP="0070443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704431">
            <w:rPr>
              <w:rFonts w:ascii="Palatino Linotype" w:eastAsia="Palatino Linotype" w:hAnsi="Palatino Linotype" w:cs="Palatino Linotype"/>
              <w:color w:val="000000"/>
              <w:sz w:val="24"/>
              <w:szCs w:val="24"/>
            </w:rPr>
            <w:t>María del Rosario Mejía Ayala</w:t>
          </w:r>
        </w:p>
      </w:tc>
    </w:tr>
  </w:tbl>
  <w:p w14:paraId="07A3FDCE" w14:textId="3AD8564B" w:rsidR="002F5080" w:rsidRDefault="001B7DE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0176D639">
          <wp:simplePos x="0" y="0"/>
          <wp:positionH relativeFrom="margin">
            <wp:align>center</wp:align>
          </wp:positionH>
          <wp:positionV relativeFrom="paragraph">
            <wp:posOffset>-1123052</wp:posOffset>
          </wp:positionV>
          <wp:extent cx="7809876" cy="10165823"/>
          <wp:effectExtent l="0" t="0" r="635" b="6985"/>
          <wp:wrapNone/>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2F5080" w:rsidRDefault="002F50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119"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394"/>
    </w:tblGrid>
    <w:tr w:rsidR="00704431" w14:paraId="3266891B" w14:textId="77777777" w:rsidTr="001B7DE1">
      <w:trPr>
        <w:trHeight w:val="138"/>
      </w:trPr>
      <w:tc>
        <w:tcPr>
          <w:tcW w:w="2725" w:type="dxa"/>
          <w:vAlign w:val="center"/>
        </w:tcPr>
        <w:p w14:paraId="51CBF747" w14:textId="52170236" w:rsidR="00704431" w:rsidRPr="00704431" w:rsidRDefault="00704431"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Recurso de Revisión:</w:t>
          </w:r>
        </w:p>
      </w:tc>
      <w:tc>
        <w:tcPr>
          <w:tcW w:w="4394" w:type="dxa"/>
          <w:vAlign w:val="center"/>
        </w:tcPr>
        <w:p w14:paraId="07A725EC" w14:textId="3F9263CF" w:rsidR="00704431" w:rsidRPr="00704431" w:rsidRDefault="00704431" w:rsidP="0070443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704431">
            <w:rPr>
              <w:rFonts w:ascii="Palatino Linotype" w:eastAsia="Palatino Linotype" w:hAnsi="Palatino Linotype" w:cs="Palatino Linotype"/>
              <w:color w:val="000000"/>
              <w:sz w:val="24"/>
              <w:szCs w:val="24"/>
            </w:rPr>
            <w:t>03338/INFOEM/IP/RR/2025</w:t>
          </w:r>
        </w:p>
      </w:tc>
    </w:tr>
    <w:tr w:rsidR="00704431" w14:paraId="57F5BCBB" w14:textId="77777777" w:rsidTr="001B7DE1">
      <w:trPr>
        <w:trHeight w:val="227"/>
      </w:trPr>
      <w:tc>
        <w:tcPr>
          <w:tcW w:w="2725" w:type="dxa"/>
          <w:vAlign w:val="center"/>
        </w:tcPr>
        <w:p w14:paraId="22A69765" w14:textId="77777777" w:rsidR="00704431" w:rsidRPr="00704431" w:rsidRDefault="00704431"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Recurrente:</w:t>
          </w:r>
        </w:p>
      </w:tc>
      <w:tc>
        <w:tcPr>
          <w:tcW w:w="4394" w:type="dxa"/>
          <w:vAlign w:val="center"/>
        </w:tcPr>
        <w:p w14:paraId="71D6C94E" w14:textId="2AC91949" w:rsidR="00704431" w:rsidRPr="00704431" w:rsidRDefault="00235151" w:rsidP="0070443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r w:rsidR="00704431" w:rsidRPr="00704431">
            <w:rPr>
              <w:rFonts w:ascii="Palatino Linotype" w:eastAsia="Palatino Linotype" w:hAnsi="Palatino Linotype" w:cs="Palatino Linotype"/>
              <w:color w:val="000000"/>
              <w:sz w:val="24"/>
              <w:szCs w:val="24"/>
            </w:rPr>
            <w:t xml:space="preserve"> </w:t>
          </w:r>
        </w:p>
      </w:tc>
    </w:tr>
    <w:tr w:rsidR="00704431" w14:paraId="31D51DFD" w14:textId="77777777" w:rsidTr="001B7DE1">
      <w:trPr>
        <w:trHeight w:val="232"/>
      </w:trPr>
      <w:tc>
        <w:tcPr>
          <w:tcW w:w="2725" w:type="dxa"/>
          <w:vAlign w:val="center"/>
        </w:tcPr>
        <w:p w14:paraId="09563478" w14:textId="77777777" w:rsidR="00704431" w:rsidRPr="00704431" w:rsidRDefault="00704431"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Sujeto Obligado:</w:t>
          </w:r>
        </w:p>
      </w:tc>
      <w:tc>
        <w:tcPr>
          <w:tcW w:w="4394" w:type="dxa"/>
          <w:vAlign w:val="center"/>
        </w:tcPr>
        <w:p w14:paraId="477014A7" w14:textId="30569C67" w:rsidR="00704431" w:rsidRPr="00704431" w:rsidRDefault="00704431" w:rsidP="00704431">
          <w:pPr>
            <w:ind w:right="-73"/>
            <w:rPr>
              <w:rFonts w:ascii="Palatino Linotype" w:hAnsi="Palatino Linotype"/>
              <w:sz w:val="24"/>
              <w:szCs w:val="24"/>
            </w:rPr>
          </w:pPr>
          <w:r w:rsidRPr="00704431">
            <w:rPr>
              <w:rFonts w:ascii="Palatino Linotype" w:hAnsi="Palatino Linotype"/>
              <w:bCs/>
              <w:color w:val="000000"/>
              <w:sz w:val="24"/>
              <w:szCs w:val="24"/>
            </w:rPr>
            <w:t>Ayuntamiento de Morelos</w:t>
          </w:r>
        </w:p>
      </w:tc>
    </w:tr>
    <w:tr w:rsidR="00704431" w14:paraId="519E39BA" w14:textId="77777777" w:rsidTr="001B7DE1">
      <w:trPr>
        <w:trHeight w:val="320"/>
      </w:trPr>
      <w:tc>
        <w:tcPr>
          <w:tcW w:w="2725" w:type="dxa"/>
          <w:vAlign w:val="center"/>
        </w:tcPr>
        <w:p w14:paraId="57EC4C26" w14:textId="77777777" w:rsidR="00704431" w:rsidRPr="00704431" w:rsidRDefault="00704431" w:rsidP="00704431">
          <w:pPr>
            <w:rPr>
              <w:rFonts w:ascii="Palatino Linotype" w:eastAsia="Palatino Linotype" w:hAnsi="Palatino Linotype" w:cs="Palatino Linotype"/>
              <w:b/>
              <w:sz w:val="24"/>
              <w:szCs w:val="24"/>
            </w:rPr>
          </w:pPr>
          <w:r w:rsidRPr="00704431">
            <w:rPr>
              <w:rFonts w:ascii="Palatino Linotype" w:eastAsia="Palatino Linotype" w:hAnsi="Palatino Linotype" w:cs="Palatino Linotype"/>
              <w:b/>
              <w:sz w:val="24"/>
              <w:szCs w:val="24"/>
            </w:rPr>
            <w:t>Comisionada Ponente:</w:t>
          </w:r>
        </w:p>
      </w:tc>
      <w:tc>
        <w:tcPr>
          <w:tcW w:w="4394" w:type="dxa"/>
          <w:vAlign w:val="center"/>
        </w:tcPr>
        <w:p w14:paraId="6413407F" w14:textId="77777777" w:rsidR="00704431" w:rsidRPr="00704431" w:rsidRDefault="00704431" w:rsidP="0070443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704431">
            <w:rPr>
              <w:rFonts w:ascii="Palatino Linotype" w:eastAsia="Palatino Linotype" w:hAnsi="Palatino Linotype" w:cs="Palatino Linotype"/>
              <w:color w:val="000000"/>
              <w:sz w:val="24"/>
              <w:szCs w:val="24"/>
            </w:rPr>
            <w:t>María del Rosario Mejía Ayala</w:t>
          </w:r>
        </w:p>
      </w:tc>
    </w:tr>
  </w:tbl>
  <w:p w14:paraId="3E197C7F" w14:textId="57BCBC04" w:rsidR="002F5080" w:rsidRDefault="001B7DE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AFC48FB" wp14:editId="7B8B31E0">
          <wp:simplePos x="0" y="0"/>
          <wp:positionH relativeFrom="column">
            <wp:posOffset>-1154730</wp:posOffset>
          </wp:positionH>
          <wp:positionV relativeFrom="paragraph">
            <wp:posOffset>-1300647</wp:posOffset>
          </wp:positionV>
          <wp:extent cx="7809876" cy="10165823"/>
          <wp:effectExtent l="0" t="0" r="0" b="0"/>
          <wp:wrapNone/>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2C9EB80" w14:textId="77777777" w:rsidR="002F5080" w:rsidRDefault="002F50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C31FA9"/>
    <w:multiLevelType w:val="hybridMultilevel"/>
    <w:tmpl w:val="51662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8" w15:restartNumberingAfterBreak="0">
    <w:nsid w:val="5A7A3848"/>
    <w:multiLevelType w:val="multilevel"/>
    <w:tmpl w:val="B1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BC164D"/>
    <w:multiLevelType w:val="hybridMultilevel"/>
    <w:tmpl w:val="900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11"/>
  </w:num>
  <w:num w:numId="4">
    <w:abstractNumId w:val="12"/>
  </w:num>
  <w:num w:numId="5">
    <w:abstractNumId w:val="22"/>
  </w:num>
  <w:num w:numId="6">
    <w:abstractNumId w:val="16"/>
  </w:num>
  <w:num w:numId="7">
    <w:abstractNumId w:val="24"/>
  </w:num>
  <w:num w:numId="8">
    <w:abstractNumId w:val="6"/>
  </w:num>
  <w:num w:numId="9">
    <w:abstractNumId w:val="15"/>
  </w:num>
  <w:num w:numId="10">
    <w:abstractNumId w:val="14"/>
  </w:num>
  <w:num w:numId="11">
    <w:abstractNumId w:val="8"/>
  </w:num>
  <w:num w:numId="12">
    <w:abstractNumId w:val="0"/>
  </w:num>
  <w:num w:numId="13">
    <w:abstractNumId w:val="5"/>
  </w:num>
  <w:num w:numId="14">
    <w:abstractNumId w:val="9"/>
  </w:num>
  <w:num w:numId="15">
    <w:abstractNumId w:val="7"/>
  </w:num>
  <w:num w:numId="16">
    <w:abstractNumId w:val="10"/>
  </w:num>
  <w:num w:numId="17">
    <w:abstractNumId w:val="1"/>
  </w:num>
  <w:num w:numId="18">
    <w:abstractNumId w:val="3"/>
  </w:num>
  <w:num w:numId="19">
    <w:abstractNumId w:val="21"/>
  </w:num>
  <w:num w:numId="20">
    <w:abstractNumId w:val="20"/>
  </w:num>
  <w:num w:numId="21">
    <w:abstractNumId w:val="4"/>
  </w:num>
  <w:num w:numId="22">
    <w:abstractNumId w:val="2"/>
  </w:num>
  <w:num w:numId="23">
    <w:abstractNumId w:val="18"/>
  </w:num>
  <w:num w:numId="24">
    <w:abstractNumId w:val="25"/>
  </w:num>
  <w:num w:numId="25">
    <w:abstractNumId w:val="17"/>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A1B24"/>
    <w:rsid w:val="000C38BB"/>
    <w:rsid w:val="000C5019"/>
    <w:rsid w:val="000D62F1"/>
    <w:rsid w:val="000F378A"/>
    <w:rsid w:val="00102EE5"/>
    <w:rsid w:val="00105CCF"/>
    <w:rsid w:val="0011031A"/>
    <w:rsid w:val="00131F79"/>
    <w:rsid w:val="00140D5E"/>
    <w:rsid w:val="001B7DE1"/>
    <w:rsid w:val="001D3081"/>
    <w:rsid w:val="001F226A"/>
    <w:rsid w:val="00206314"/>
    <w:rsid w:val="002310A9"/>
    <w:rsid w:val="00235151"/>
    <w:rsid w:val="002622BF"/>
    <w:rsid w:val="00294244"/>
    <w:rsid w:val="002A78AD"/>
    <w:rsid w:val="002D304F"/>
    <w:rsid w:val="002D49BE"/>
    <w:rsid w:val="002D5C95"/>
    <w:rsid w:val="002F2ED7"/>
    <w:rsid w:val="002F5080"/>
    <w:rsid w:val="00321AEF"/>
    <w:rsid w:val="00360739"/>
    <w:rsid w:val="0036268D"/>
    <w:rsid w:val="00364354"/>
    <w:rsid w:val="0038699C"/>
    <w:rsid w:val="0039069C"/>
    <w:rsid w:val="00397665"/>
    <w:rsid w:val="003A13FB"/>
    <w:rsid w:val="003A5F60"/>
    <w:rsid w:val="003F33BE"/>
    <w:rsid w:val="00402AAA"/>
    <w:rsid w:val="00436E6A"/>
    <w:rsid w:val="00473A26"/>
    <w:rsid w:val="00475E8A"/>
    <w:rsid w:val="00482FB8"/>
    <w:rsid w:val="00485C31"/>
    <w:rsid w:val="004C255F"/>
    <w:rsid w:val="0054028B"/>
    <w:rsid w:val="00597F01"/>
    <w:rsid w:val="005B0D5E"/>
    <w:rsid w:val="005C4ABB"/>
    <w:rsid w:val="005F4162"/>
    <w:rsid w:val="00624E13"/>
    <w:rsid w:val="00646CA1"/>
    <w:rsid w:val="00672D3D"/>
    <w:rsid w:val="006768FF"/>
    <w:rsid w:val="00676985"/>
    <w:rsid w:val="00686812"/>
    <w:rsid w:val="006A5E42"/>
    <w:rsid w:val="006C210D"/>
    <w:rsid w:val="00704431"/>
    <w:rsid w:val="00720A2E"/>
    <w:rsid w:val="00721580"/>
    <w:rsid w:val="00724E0E"/>
    <w:rsid w:val="00725132"/>
    <w:rsid w:val="00726546"/>
    <w:rsid w:val="00793C1D"/>
    <w:rsid w:val="007C6197"/>
    <w:rsid w:val="007D121E"/>
    <w:rsid w:val="007E3056"/>
    <w:rsid w:val="00811A99"/>
    <w:rsid w:val="00811FF8"/>
    <w:rsid w:val="00843C8B"/>
    <w:rsid w:val="00852CFD"/>
    <w:rsid w:val="008A4B69"/>
    <w:rsid w:val="008A5208"/>
    <w:rsid w:val="008B4D6B"/>
    <w:rsid w:val="008B6D76"/>
    <w:rsid w:val="008D4896"/>
    <w:rsid w:val="008E7476"/>
    <w:rsid w:val="00932915"/>
    <w:rsid w:val="009621D1"/>
    <w:rsid w:val="00963A96"/>
    <w:rsid w:val="00981F07"/>
    <w:rsid w:val="009854B4"/>
    <w:rsid w:val="00993E1F"/>
    <w:rsid w:val="009C0E3D"/>
    <w:rsid w:val="009E61BF"/>
    <w:rsid w:val="00A2251E"/>
    <w:rsid w:val="00A25373"/>
    <w:rsid w:val="00A56D5B"/>
    <w:rsid w:val="00A76971"/>
    <w:rsid w:val="00A8408E"/>
    <w:rsid w:val="00AB673E"/>
    <w:rsid w:val="00B05B5E"/>
    <w:rsid w:val="00B14589"/>
    <w:rsid w:val="00B17447"/>
    <w:rsid w:val="00B351E0"/>
    <w:rsid w:val="00BA252B"/>
    <w:rsid w:val="00BA6C84"/>
    <w:rsid w:val="00C4018D"/>
    <w:rsid w:val="00C7662C"/>
    <w:rsid w:val="00C85C15"/>
    <w:rsid w:val="00CB260F"/>
    <w:rsid w:val="00CC4EAF"/>
    <w:rsid w:val="00CD4929"/>
    <w:rsid w:val="00D062B1"/>
    <w:rsid w:val="00D11CE4"/>
    <w:rsid w:val="00D23F03"/>
    <w:rsid w:val="00D4101D"/>
    <w:rsid w:val="00D44B91"/>
    <w:rsid w:val="00D6020E"/>
    <w:rsid w:val="00D632F4"/>
    <w:rsid w:val="00DC126E"/>
    <w:rsid w:val="00DD2C4F"/>
    <w:rsid w:val="00E13564"/>
    <w:rsid w:val="00E54BB2"/>
    <w:rsid w:val="00E73CE4"/>
    <w:rsid w:val="00E96533"/>
    <w:rsid w:val="00EB0F49"/>
    <w:rsid w:val="00EE350F"/>
    <w:rsid w:val="00F26E16"/>
    <w:rsid w:val="00F715C2"/>
    <w:rsid w:val="00FA3DE0"/>
    <w:rsid w:val="00FA4901"/>
    <w:rsid w:val="00FD008D"/>
    <w:rsid w:val="00FD1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 w:id="76561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3965.page" TargetMode="External"/><Relationship Id="rId13" Type="http://schemas.openxmlformats.org/officeDocument/2006/relationships/hyperlink" Target="http://dof.gob.mx/nota_detalle.php?codigo=5492254&amp;fecha=28/07/201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387326.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87325.page"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12809</Words>
  <Characters>70452</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11</cp:revision>
  <cp:lastPrinted>2025-08-08T16:35:00Z</cp:lastPrinted>
  <dcterms:created xsi:type="dcterms:W3CDTF">2025-08-04T17:57:00Z</dcterms:created>
  <dcterms:modified xsi:type="dcterms:W3CDTF">2025-08-13T17:21:00Z</dcterms:modified>
</cp:coreProperties>
</file>