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411C848" w:rsidR="00A970D5" w:rsidRPr="00875B7E" w:rsidRDefault="00A970D5" w:rsidP="00297D07">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8120E9">
        <w:t>once de junio</w:t>
      </w:r>
      <w:r w:rsidR="00FF3E42">
        <w:t xml:space="preserve"> de dos mil veinticinco</w:t>
      </w:r>
      <w:r w:rsidR="0011108B">
        <w:t>.</w:t>
      </w:r>
    </w:p>
    <w:p w14:paraId="60399B74" w14:textId="77777777" w:rsidR="00A970D5" w:rsidRPr="000A6B98" w:rsidRDefault="00A970D5" w:rsidP="00297D07">
      <w:pPr>
        <w:pBdr>
          <w:top w:val="nil"/>
          <w:left w:val="nil"/>
          <w:bottom w:val="nil"/>
          <w:right w:val="nil"/>
          <w:between w:val="nil"/>
        </w:pBdr>
        <w:contextualSpacing/>
        <w:rPr>
          <w:rFonts w:eastAsia="Palatino Linotype" w:cs="Palatino Linotype"/>
          <w:color w:val="000000"/>
          <w:sz w:val="22"/>
        </w:rPr>
      </w:pPr>
    </w:p>
    <w:p w14:paraId="1D0D9BD7" w14:textId="45CC75FB" w:rsidR="00A970D5" w:rsidRPr="0022406E" w:rsidRDefault="70652167" w:rsidP="00297D0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CA786C">
        <w:rPr>
          <w:rFonts w:eastAsia="Palatino Linotype" w:cs="Palatino Linotype"/>
          <w:b/>
          <w:bCs/>
          <w:color w:val="000000" w:themeColor="text1"/>
          <w:lang w:val="es-ES"/>
        </w:rPr>
        <w:t>01965</w:t>
      </w:r>
      <w:r w:rsidR="007926DC">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interpuesto por</w:t>
      </w:r>
      <w:r w:rsidR="00476F2B">
        <w:rPr>
          <w:rFonts w:eastAsia="Palatino Linotype" w:cs="Palatino Linotype"/>
          <w:color w:val="000000" w:themeColor="text1"/>
          <w:lang w:val="es-ES"/>
        </w:rPr>
        <w:t xml:space="preserve"> el C.</w:t>
      </w:r>
      <w:r w:rsidRPr="70652167">
        <w:rPr>
          <w:rFonts w:eastAsia="Palatino Linotype" w:cs="Palatino Linotype"/>
          <w:color w:val="000000" w:themeColor="text1"/>
          <w:lang w:val="es-ES"/>
        </w:rPr>
        <w:t xml:space="preserve"> </w:t>
      </w:r>
      <w:r w:rsidR="00A15B49">
        <w:rPr>
          <w:rFonts w:eastAsia="Palatino Linotype" w:cs="Palatino Linotype"/>
          <w:b/>
          <w:bCs/>
          <w:color w:val="000000" w:themeColor="text1"/>
          <w:lang w:val="es-ES"/>
        </w:rPr>
        <w:t>XXXXXXXXXXXXXXXXXXXXXX</w:t>
      </w:r>
      <w:r w:rsidR="00476F2B" w:rsidRPr="00476F2B">
        <w:rPr>
          <w:rFonts w:eastAsia="Palatino Linotype" w:cs="Palatino Linotype"/>
          <w:b/>
          <w:bCs/>
          <w:color w:val="000000" w:themeColor="text1"/>
          <w:lang w:val="es-ES"/>
        </w:rPr>
        <w:t xml:space="preserve"> </w:t>
      </w:r>
      <w:r w:rsidR="00A15B49">
        <w:rPr>
          <w:rFonts w:eastAsia="Palatino Linotype" w:cs="Palatino Linotype"/>
          <w:b/>
          <w:bCs/>
          <w:color w:val="000000" w:themeColor="text1"/>
          <w:lang w:val="es-ES"/>
        </w:rPr>
        <w:t>XXXXXXXXXXXXXX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476F2B" w:rsidRPr="00476F2B">
        <w:rPr>
          <w:rFonts w:eastAsia="Palatino Linotype" w:cs="Palatino Linotype"/>
          <w:b/>
          <w:bCs/>
          <w:color w:val="000000" w:themeColor="text1"/>
          <w:lang w:val="es-ES"/>
        </w:rPr>
        <w:t>Centro de Control de Confianza del Estado de México</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297D07">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297D07">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297D07">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297D07">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72A1AC6D" w:rsidR="00A970D5" w:rsidRPr="006922F5" w:rsidRDefault="00B36B86" w:rsidP="00297D0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476F2B">
        <w:rPr>
          <w:rFonts w:eastAsia="Palatino Linotype" w:cs="Palatino Linotype"/>
          <w:color w:val="000000"/>
          <w:szCs w:val="24"/>
        </w:rPr>
        <w:t>diez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476F2B" w:rsidRPr="00476F2B">
        <w:rPr>
          <w:rFonts w:eastAsia="Palatino Linotype" w:cs="Palatino Linotype"/>
          <w:b/>
          <w:bCs/>
          <w:color w:val="000000"/>
          <w:szCs w:val="24"/>
        </w:rPr>
        <w:t>00012/CCCEM/IP/2025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297D07">
      <w:pPr>
        <w:pBdr>
          <w:top w:val="nil"/>
          <w:left w:val="nil"/>
          <w:bottom w:val="nil"/>
          <w:right w:val="nil"/>
          <w:between w:val="nil"/>
        </w:pBdr>
        <w:contextualSpacing/>
        <w:rPr>
          <w:rFonts w:eastAsia="Palatino Linotype" w:cs="Palatino Linotype"/>
          <w:color w:val="000000"/>
          <w:szCs w:val="24"/>
        </w:rPr>
      </w:pPr>
    </w:p>
    <w:p w14:paraId="133704B2" w14:textId="56336FD3" w:rsidR="00A970D5" w:rsidRPr="006922F5" w:rsidRDefault="70652167" w:rsidP="00297D07">
      <w:pPr>
        <w:pStyle w:val="Fundamentos"/>
      </w:pPr>
      <w:r w:rsidRPr="70652167">
        <w:rPr>
          <w:lang w:val="es-ES"/>
        </w:rPr>
        <w:t>«</w:t>
      </w:r>
      <w:r w:rsidR="00476F2B" w:rsidRPr="00476F2B">
        <w:rPr>
          <w:lang w:val="es-ES"/>
        </w:rPr>
        <w:t xml:space="preserve">DESEO SABER LA SITUACIÓN ACTUAL DE 2 POLICIAS DE LA DIRECCION DE SEGURIDAD PUBLICA MUNICIPAL DE TENANCINGO, ESTADO DE MÉXICO, PORQUE EN RECURSOS HUMANOS Y TESORERIA MUNICIPAL PEDI LA INFORMACIÓN Y EXPUSIERON QUE ES INEXISTENTE LA INFORMACIÓN, PERO SOLO EN TEXTO SIN MOSTRAR UNA BITACORA, UNA NOMINA O UN ROL DE FATIGA ME INTERESA LA INFORMACIÓN DE </w:t>
      </w:r>
      <w:r w:rsidR="00A15B49">
        <w:rPr>
          <w:lang w:val="es-ES"/>
        </w:rPr>
        <w:t>XXXXXXXXXXXXXXXXXX</w:t>
      </w:r>
      <w:r w:rsidR="00476F2B" w:rsidRPr="00476F2B">
        <w:rPr>
          <w:lang w:val="es-ES"/>
        </w:rPr>
        <w:t xml:space="preserve"> </w:t>
      </w:r>
      <w:r w:rsidR="00A15B49">
        <w:rPr>
          <w:lang w:val="es-ES"/>
        </w:rPr>
        <w:t>XXXXXXX</w:t>
      </w:r>
      <w:r w:rsidR="00476F2B" w:rsidRPr="00476F2B">
        <w:rPr>
          <w:lang w:val="es-ES"/>
        </w:rPr>
        <w:t xml:space="preserve">, PRIMA HERMANA DE LA PRESIDENTA MUNICIPAL C. NANCY NAPOLES PACHECO, PORQUE ES IMPORTANTE SABER SU SITUACIÓN ACTUAL EN CUANTO A CONTROL DE CONFIANZA; Y TAMBIÉN, PIDO LA INFORMACIÓN DE </w:t>
      </w:r>
      <w:r w:rsidR="00A15B49">
        <w:rPr>
          <w:lang w:val="es-ES"/>
        </w:rPr>
        <w:t>XXXXXXXXXXXXXXXXXXXXX</w:t>
      </w:r>
      <w:r w:rsidRPr="70652167">
        <w:rPr>
          <w:lang w:val="es-ES"/>
        </w:rPr>
        <w:t>» (Sic)</w:t>
      </w:r>
    </w:p>
    <w:p w14:paraId="40BBECCB" w14:textId="77777777" w:rsidR="00A970D5" w:rsidRPr="00875B7E" w:rsidRDefault="00A970D5" w:rsidP="00297D07">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297D07">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297D07">
      <w:pPr>
        <w:pBdr>
          <w:top w:val="nil"/>
          <w:left w:val="nil"/>
          <w:bottom w:val="nil"/>
          <w:right w:val="nil"/>
          <w:between w:val="nil"/>
        </w:pBdr>
        <w:contextualSpacing/>
        <w:rPr>
          <w:rFonts w:eastAsia="Palatino Linotype" w:cs="Palatino Linotype"/>
          <w:color w:val="000000"/>
          <w:szCs w:val="24"/>
        </w:rPr>
      </w:pPr>
    </w:p>
    <w:p w14:paraId="1AEDC68E" w14:textId="1BB561AD" w:rsidR="00A970D5" w:rsidRPr="006922F5" w:rsidRDefault="007926DC" w:rsidP="00297D07">
      <w:pPr>
        <w:pStyle w:val="Ttulo2"/>
        <w:rPr>
          <w:rFonts w:eastAsia="Palatino Linotype"/>
        </w:rPr>
      </w:pPr>
      <w:r>
        <w:rPr>
          <w:rFonts w:eastAsia="Palatino Linotype"/>
        </w:rPr>
        <w:t xml:space="preserve">SEGUNDO. </w:t>
      </w:r>
      <w:r w:rsidR="00A970D5" w:rsidRPr="006922F5">
        <w:rPr>
          <w:rFonts w:eastAsia="Palatino Linotype"/>
        </w:rPr>
        <w:t>De la respuesta del Sujeto Obligado.</w:t>
      </w:r>
    </w:p>
    <w:p w14:paraId="2EE6F294" w14:textId="3E313309" w:rsidR="00A970D5" w:rsidRPr="006922F5" w:rsidRDefault="00A970D5" w:rsidP="00297D0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76F2B">
        <w:rPr>
          <w:rFonts w:eastAsia="Palatino Linotype" w:cs="Palatino Linotype"/>
          <w:color w:val="000000"/>
          <w:szCs w:val="24"/>
        </w:rPr>
        <w:t>veinte</w:t>
      </w:r>
      <w:r w:rsidR="00175128">
        <w:rPr>
          <w:rFonts w:eastAsia="Palatino Linotype" w:cs="Palatino Linotype"/>
          <w:color w:val="000000"/>
          <w:szCs w:val="24"/>
        </w:rPr>
        <w:t xml:space="preserve"> de febrero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297D07">
      <w:pPr>
        <w:pBdr>
          <w:top w:val="nil"/>
          <w:left w:val="nil"/>
          <w:bottom w:val="nil"/>
          <w:right w:val="nil"/>
          <w:between w:val="nil"/>
        </w:pBdr>
        <w:contextualSpacing/>
        <w:rPr>
          <w:rFonts w:eastAsia="Palatino Linotype" w:cs="Palatino Linotype"/>
          <w:color w:val="000000"/>
          <w:szCs w:val="24"/>
        </w:rPr>
      </w:pPr>
    </w:p>
    <w:p w14:paraId="564A3E82" w14:textId="77520251" w:rsidR="00476F2B" w:rsidRPr="00476F2B" w:rsidRDefault="23740614" w:rsidP="00297D07">
      <w:pPr>
        <w:pStyle w:val="Fundamentos"/>
        <w:jc w:val="right"/>
        <w:rPr>
          <w:lang w:val="es-ES"/>
        </w:rPr>
      </w:pPr>
      <w:r w:rsidRPr="23740614">
        <w:rPr>
          <w:lang w:val="es-ES"/>
        </w:rPr>
        <w:t>«</w:t>
      </w:r>
      <w:r w:rsidR="00476F2B" w:rsidRPr="00476F2B">
        <w:t xml:space="preserve"> </w:t>
      </w:r>
      <w:r w:rsidR="00476F2B" w:rsidRPr="00476F2B">
        <w:rPr>
          <w:lang w:val="es-ES"/>
        </w:rPr>
        <w:t>Folio de la solicitud: 00012/CCCEM/IP/2025</w:t>
      </w:r>
    </w:p>
    <w:p w14:paraId="202FD16B" w14:textId="77777777" w:rsidR="00476F2B" w:rsidRDefault="00476F2B" w:rsidP="00297D07">
      <w:pPr>
        <w:pStyle w:val="Fundamentos"/>
        <w:rPr>
          <w:lang w:val="es-ES"/>
        </w:rPr>
      </w:pPr>
    </w:p>
    <w:p w14:paraId="794CD4EB" w14:textId="77777777" w:rsidR="00476F2B" w:rsidRPr="00476F2B" w:rsidRDefault="00476F2B" w:rsidP="00297D07">
      <w:pPr>
        <w:pStyle w:val="Fundamentos"/>
        <w:rPr>
          <w:lang w:val="es-ES"/>
        </w:rPr>
      </w:pPr>
      <w:r w:rsidRPr="00476F2B">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81B03D" w14:textId="77777777" w:rsidR="00476F2B" w:rsidRDefault="00476F2B" w:rsidP="00297D07">
      <w:pPr>
        <w:pStyle w:val="Fundamentos"/>
        <w:rPr>
          <w:lang w:val="es-ES"/>
        </w:rPr>
      </w:pPr>
    </w:p>
    <w:p w14:paraId="13913775" w14:textId="77777777" w:rsidR="00476F2B" w:rsidRPr="00476F2B" w:rsidRDefault="00476F2B" w:rsidP="00297D07">
      <w:pPr>
        <w:pStyle w:val="Fundamentos"/>
        <w:rPr>
          <w:lang w:val="es-ES"/>
        </w:rPr>
      </w:pPr>
      <w:r w:rsidRPr="00476F2B">
        <w:rPr>
          <w:lang w:val="es-ES"/>
        </w:rPr>
        <w:t>C. SOLICITANTE En atención a la solicitud de información pública con número de folio 00012/CCCEM/IP/2025</w:t>
      </w:r>
      <w:proofErr w:type="gramStart"/>
      <w:r w:rsidRPr="00476F2B">
        <w:rPr>
          <w:lang w:val="es-ES"/>
        </w:rPr>
        <w:t>,se</w:t>
      </w:r>
      <w:proofErr w:type="gramEnd"/>
      <w:r w:rsidRPr="00476F2B">
        <w:rPr>
          <w:lang w:val="es-ES"/>
        </w:rPr>
        <w:t xml:space="preserve"> adjunta oficio de respuesta:</w:t>
      </w:r>
    </w:p>
    <w:p w14:paraId="3B53011B" w14:textId="77777777" w:rsidR="00476F2B" w:rsidRDefault="00476F2B" w:rsidP="00297D07">
      <w:pPr>
        <w:pStyle w:val="Fundamentos"/>
        <w:rPr>
          <w:lang w:val="es-ES"/>
        </w:rPr>
      </w:pPr>
    </w:p>
    <w:p w14:paraId="45092F30" w14:textId="77777777" w:rsidR="00476F2B" w:rsidRPr="00476F2B" w:rsidRDefault="00476F2B" w:rsidP="00297D07">
      <w:pPr>
        <w:pStyle w:val="Fundamentos"/>
        <w:rPr>
          <w:lang w:val="es-ES"/>
        </w:rPr>
      </w:pPr>
      <w:r w:rsidRPr="00476F2B">
        <w:rPr>
          <w:lang w:val="es-ES"/>
        </w:rPr>
        <w:t>ATENTAMENTE</w:t>
      </w:r>
    </w:p>
    <w:p w14:paraId="3FE4A9EF" w14:textId="0C641A4F" w:rsidR="00A970D5" w:rsidRPr="00404754" w:rsidRDefault="00476F2B" w:rsidP="00297D07">
      <w:pPr>
        <w:pStyle w:val="Fundamentos"/>
        <w:rPr>
          <w:lang w:val="es-MX"/>
        </w:rPr>
      </w:pPr>
      <w:r w:rsidRPr="00476F2B">
        <w:rPr>
          <w:lang w:val="es-ES"/>
        </w:rPr>
        <w:t>LA JUAN BENJAMÍN MIRA LIÉVANOS</w:t>
      </w:r>
      <w:r w:rsidR="00311EF3" w:rsidRPr="00311EF3">
        <w:rPr>
          <w:lang w:val="es-ES"/>
        </w:rPr>
        <w:t>»</w:t>
      </w:r>
      <w:r w:rsidR="00A970D5" w:rsidRPr="00404754">
        <w:rPr>
          <w:lang w:val="es-MX"/>
        </w:rPr>
        <w:t xml:space="preserve"> (Sic)</w:t>
      </w:r>
    </w:p>
    <w:p w14:paraId="2EAB8352" w14:textId="3B77EF6C" w:rsidR="001107C4" w:rsidRDefault="001107C4" w:rsidP="00297D07">
      <w:pPr>
        <w:pBdr>
          <w:top w:val="nil"/>
          <w:left w:val="nil"/>
          <w:bottom w:val="nil"/>
          <w:right w:val="nil"/>
          <w:between w:val="nil"/>
        </w:pBdr>
        <w:contextualSpacing/>
        <w:rPr>
          <w:rFonts w:eastAsia="Palatino Linotype" w:cs="Palatino Linotype"/>
          <w:color w:val="000000"/>
          <w:szCs w:val="24"/>
          <w:lang w:val="es-MX"/>
        </w:rPr>
      </w:pPr>
    </w:p>
    <w:p w14:paraId="7A5E46B1" w14:textId="5F20D3CA" w:rsidR="00476F2B" w:rsidRDefault="00476F2B" w:rsidP="00297D07">
      <w:pPr>
        <w:pBdr>
          <w:top w:val="nil"/>
          <w:left w:val="nil"/>
          <w:bottom w:val="nil"/>
          <w:right w:val="nil"/>
          <w:between w:val="nil"/>
        </w:pBdr>
        <w:spacing w:line="480" w:lineRule="auto"/>
        <w:contextualSpacing/>
        <w:rPr>
          <w:rFonts w:eastAsia="Palatino Linotype" w:cs="Palatino Linotype"/>
          <w:color w:val="000000"/>
          <w:szCs w:val="24"/>
          <w:lang w:val="es-MX"/>
        </w:rPr>
      </w:pPr>
      <w:r>
        <w:rPr>
          <w:rFonts w:eastAsia="Palatino Linotype" w:cs="Palatino Linotype"/>
          <w:color w:val="000000"/>
          <w:szCs w:val="24"/>
          <w:lang w:val="es-MX"/>
        </w:rPr>
        <w:t xml:space="preserve">Asimismo adjuntó el documento electrónico denominado </w:t>
      </w:r>
      <w:r>
        <w:rPr>
          <w:rFonts w:eastAsia="Palatino Linotype" w:cs="Palatino Linotype"/>
          <w:b/>
          <w:i/>
          <w:color w:val="000000"/>
          <w:szCs w:val="24"/>
          <w:lang w:val="es-MX"/>
        </w:rPr>
        <w:t>“</w:t>
      </w:r>
      <w:r w:rsidRPr="00476F2B">
        <w:rPr>
          <w:rFonts w:eastAsia="Palatino Linotype" w:cs="Palatino Linotype"/>
          <w:b/>
          <w:i/>
          <w:color w:val="000000"/>
          <w:szCs w:val="24"/>
          <w:lang w:val="es-MX"/>
        </w:rPr>
        <w:t>RESPUESTA SOL 00012 SAIMEX.pdf</w:t>
      </w:r>
      <w:r>
        <w:rPr>
          <w:rFonts w:eastAsia="Palatino Linotype" w:cs="Palatino Linotype"/>
          <w:b/>
          <w:i/>
          <w:color w:val="000000"/>
          <w:szCs w:val="24"/>
          <w:lang w:val="es-MX"/>
        </w:rPr>
        <w:t xml:space="preserve">”, </w:t>
      </w:r>
      <w:r>
        <w:rPr>
          <w:rFonts w:eastAsia="Palatino Linotype" w:cs="Palatino Linotype"/>
          <w:color w:val="000000"/>
          <w:szCs w:val="24"/>
          <w:lang w:val="es-MX"/>
        </w:rPr>
        <w:t>el cual será materia de análisis en el considerando respectivo.</w:t>
      </w:r>
    </w:p>
    <w:p w14:paraId="0969DD87" w14:textId="77777777" w:rsidR="00476F2B" w:rsidRPr="00476F2B" w:rsidRDefault="00476F2B" w:rsidP="00297D07">
      <w:pPr>
        <w:pBdr>
          <w:top w:val="nil"/>
          <w:left w:val="nil"/>
          <w:bottom w:val="nil"/>
          <w:right w:val="nil"/>
          <w:between w:val="nil"/>
        </w:pBdr>
        <w:spacing w:line="480" w:lineRule="auto"/>
        <w:contextualSpacing/>
        <w:rPr>
          <w:rFonts w:eastAsia="Palatino Linotype" w:cs="Palatino Linotype"/>
          <w:color w:val="000000"/>
          <w:szCs w:val="24"/>
          <w:lang w:val="es-MX"/>
        </w:rPr>
      </w:pPr>
    </w:p>
    <w:p w14:paraId="58FA11DD" w14:textId="027CB17A" w:rsidR="00A970D5" w:rsidRPr="006922F5" w:rsidRDefault="00476F2B" w:rsidP="00297D07">
      <w:pPr>
        <w:pStyle w:val="Ttulo2"/>
        <w:rPr>
          <w:rFonts w:eastAsia="Palatino Linotype"/>
        </w:rPr>
      </w:pPr>
      <w:r>
        <w:rPr>
          <w:rFonts w:eastAsia="Palatino Linotype"/>
        </w:rPr>
        <w:t>TERCERO</w:t>
      </w:r>
      <w:r w:rsidR="00A970D5" w:rsidRPr="006922F5">
        <w:rPr>
          <w:rFonts w:eastAsia="Palatino Linotype"/>
        </w:rPr>
        <w:t>. Del recurso de revisión.</w:t>
      </w:r>
    </w:p>
    <w:p w14:paraId="7AA0C9F4" w14:textId="1DA68012" w:rsidR="00A970D5" w:rsidRDefault="0090115A" w:rsidP="00297D07">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476F2B">
        <w:rPr>
          <w:rFonts w:eastAsia="Palatino Linotype" w:cs="Palatino Linotype"/>
          <w:color w:val="000000"/>
          <w:szCs w:val="24"/>
        </w:rPr>
        <w:t>veinticinco de febrero</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476F2B">
        <w:rPr>
          <w:rFonts w:eastAsia="Palatino Linotype" w:cs="Palatino Linotype"/>
          <w:b/>
          <w:color w:val="000000"/>
          <w:szCs w:val="24"/>
        </w:rPr>
        <w:t>01965</w:t>
      </w:r>
      <w:r w:rsidR="007926DC">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3A1919EA" w14:textId="77777777" w:rsidR="00004014" w:rsidRPr="006922F5" w:rsidRDefault="00A970D5" w:rsidP="00297D07">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0C03BB81" w:rsidR="00A970D5" w:rsidRPr="006922F5" w:rsidRDefault="5C35490E" w:rsidP="00297D07">
      <w:pPr>
        <w:pStyle w:val="Fundamentos"/>
        <w:rPr>
          <w:b/>
          <w:bCs/>
          <w:lang w:val="es-ES"/>
        </w:rPr>
      </w:pPr>
      <w:r w:rsidRPr="5C35490E">
        <w:rPr>
          <w:lang w:val="es-ES"/>
        </w:rPr>
        <w:t>«</w:t>
      </w:r>
      <w:r w:rsidR="00476F2B" w:rsidRPr="00476F2B">
        <w:t xml:space="preserve"> </w:t>
      </w:r>
      <w:r w:rsidR="00476F2B" w:rsidRPr="00476F2B">
        <w:rPr>
          <w:lang w:val="es-ES"/>
        </w:rPr>
        <w:t>LA RESPUESTA OTORGADA</w:t>
      </w:r>
      <w:r w:rsidRPr="5C35490E">
        <w:rPr>
          <w:lang w:val="es-ES"/>
        </w:rPr>
        <w:t>» (Sic)</w:t>
      </w:r>
    </w:p>
    <w:p w14:paraId="3C40A441" w14:textId="0B2599C4" w:rsidR="00A970D5" w:rsidRDefault="00A970D5" w:rsidP="00297D07">
      <w:pPr>
        <w:tabs>
          <w:tab w:val="left" w:pos="2515"/>
        </w:tabs>
        <w:contextualSpacing/>
        <w:rPr>
          <w:rFonts w:eastAsia="Palatino Linotype" w:cs="Palatino Linotype"/>
          <w:iCs/>
          <w:szCs w:val="24"/>
          <w:lang w:val="es-ES"/>
        </w:rPr>
      </w:pPr>
    </w:p>
    <w:p w14:paraId="0F6CFE30" w14:textId="719FCACE" w:rsidR="00300EA0" w:rsidRPr="006922F5" w:rsidRDefault="002B6B0F" w:rsidP="00297D07">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8908222" w:rsidR="00300EA0" w:rsidRPr="006922F5" w:rsidRDefault="00300EA0" w:rsidP="0019646C">
      <w:pPr>
        <w:pStyle w:val="Fundamentos"/>
        <w:rPr>
          <w:b/>
          <w:bCs/>
          <w:lang w:val="es-ES"/>
        </w:rPr>
      </w:pPr>
      <w:r w:rsidRPr="5C35490E">
        <w:rPr>
          <w:lang w:val="es-ES"/>
        </w:rPr>
        <w:t>«</w:t>
      </w:r>
      <w:r w:rsidR="00476F2B" w:rsidRPr="00476F2B">
        <w:rPr>
          <w:lang w:val="es-ES"/>
        </w:rPr>
        <w:t>SOLO MENCIONA DE UNA BUSQUEDA, MÁS NO LA RESPALDA CON LA DOCUMENTACIÓN RESPECTIVA</w:t>
      </w:r>
      <w:r w:rsidRPr="5C35490E">
        <w:rPr>
          <w:lang w:val="es-ES"/>
        </w:rPr>
        <w:t>» (Sic)</w:t>
      </w:r>
    </w:p>
    <w:p w14:paraId="0A3CE1C1" w14:textId="77777777" w:rsidR="00390EBF" w:rsidRDefault="00390EBF" w:rsidP="00297D07">
      <w:pPr>
        <w:contextualSpacing/>
        <w:rPr>
          <w:rFonts w:eastAsia="Palatino Linotype" w:cs="Palatino Linotype"/>
          <w:iCs/>
          <w:szCs w:val="24"/>
          <w:lang w:val="es-ES"/>
        </w:rPr>
      </w:pPr>
    </w:p>
    <w:p w14:paraId="11D7F189" w14:textId="7491F729" w:rsidR="00A970D5" w:rsidRPr="006922F5" w:rsidRDefault="00476F2B" w:rsidP="00297D07">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7F2D7AF6" w:rsidR="00A970D5" w:rsidRPr="006922F5" w:rsidRDefault="70652167" w:rsidP="00297D0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476F2B">
        <w:rPr>
          <w:rFonts w:eastAsia="Palatino Linotype" w:cs="Palatino Linotype"/>
          <w:color w:val="000000" w:themeColor="text1"/>
          <w:lang w:val="es-ES"/>
        </w:rPr>
        <w:t>cuatro</w:t>
      </w:r>
      <w:r w:rsidR="00177F35">
        <w:rPr>
          <w:rFonts w:eastAsia="Palatino Linotype" w:cs="Palatino Linotype"/>
          <w:color w:val="000000" w:themeColor="text1"/>
          <w:lang w:val="es-ES"/>
        </w:rPr>
        <w:t xml:space="preserve">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297D07">
      <w:pPr>
        <w:pBdr>
          <w:top w:val="nil"/>
          <w:left w:val="nil"/>
          <w:bottom w:val="nil"/>
          <w:right w:val="nil"/>
          <w:between w:val="nil"/>
        </w:pBdr>
        <w:contextualSpacing/>
        <w:rPr>
          <w:rFonts w:eastAsia="Palatino Linotype" w:cs="Palatino Linotype"/>
          <w:color w:val="000000"/>
          <w:sz w:val="22"/>
        </w:rPr>
      </w:pPr>
    </w:p>
    <w:p w14:paraId="05AE608B" w14:textId="29B8D089" w:rsidR="00A970D5" w:rsidRPr="004941FA" w:rsidRDefault="00476F2B" w:rsidP="00297D07">
      <w:pPr>
        <w:pStyle w:val="Ttulo2"/>
        <w:rPr>
          <w:rFonts w:eastAsia="Palatino Linotype"/>
        </w:rPr>
      </w:pPr>
      <w:r>
        <w:rPr>
          <w:rFonts w:eastAsia="Palatino Linotype"/>
        </w:rPr>
        <w:t>QUINTO</w:t>
      </w:r>
      <w:r w:rsidR="00A970D5" w:rsidRPr="004941FA">
        <w:rPr>
          <w:rFonts w:eastAsia="Palatino Linotype"/>
        </w:rPr>
        <w:t>. De la etapa de instrucción.</w:t>
      </w:r>
    </w:p>
    <w:p w14:paraId="696DE695" w14:textId="6DE1C557" w:rsidR="008432F9" w:rsidRPr="009D62BC" w:rsidRDefault="008432F9" w:rsidP="00297D07">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 xml:space="preserve">e observa que el Sujeto Obligado </w:t>
      </w:r>
      <w:r w:rsidR="00476F2B">
        <w:rPr>
          <w:rFonts w:eastAsia="Palatino Linotype" w:cs="Palatino Linotype"/>
          <w:color w:val="000000" w:themeColor="text1"/>
        </w:rPr>
        <w:t>tuvo a bien</w:t>
      </w:r>
      <w:r w:rsidRPr="1B94458F">
        <w:rPr>
          <w:rFonts w:eastAsia="Palatino Linotype" w:cs="Palatino Linotype"/>
          <w:color w:val="000000" w:themeColor="text1"/>
        </w:rPr>
        <w:t xml:space="preserve"> rendir el Informe Justificado</w:t>
      </w:r>
      <w:r w:rsidR="00476F2B">
        <w:rPr>
          <w:rFonts w:eastAsia="Palatino Linotype" w:cs="Palatino Linotype"/>
          <w:color w:val="000000" w:themeColor="text1"/>
        </w:rPr>
        <w:t xml:space="preserve"> mediante documento electrónico denominado </w:t>
      </w:r>
      <w:r w:rsidR="00476F2B">
        <w:rPr>
          <w:rFonts w:eastAsia="Palatino Linotype" w:cs="Palatino Linotype"/>
          <w:b/>
          <w:i/>
          <w:color w:val="000000" w:themeColor="text1"/>
        </w:rPr>
        <w:t>“</w:t>
      </w:r>
      <w:r w:rsidR="00476F2B" w:rsidRPr="00476F2B">
        <w:rPr>
          <w:rFonts w:eastAsia="Palatino Linotype" w:cs="Palatino Linotype"/>
          <w:b/>
          <w:i/>
          <w:color w:val="000000" w:themeColor="text1"/>
        </w:rPr>
        <w:t>INFORME JUSTIFICADO RR 01965_2025.pdf</w:t>
      </w:r>
      <w:r w:rsidR="00476F2B">
        <w:rPr>
          <w:rFonts w:eastAsia="Palatino Linotype" w:cs="Palatino Linotype"/>
          <w:color w:val="000000" w:themeColor="text1"/>
        </w:rPr>
        <w:t>”, el cual fue puesto a la vista del Recurrente, en fecha ocho de abril de dos mil veinticinco</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FC2173" w:rsidRDefault="00C02596" w:rsidP="00297D07">
      <w:pPr>
        <w:pBdr>
          <w:top w:val="nil"/>
          <w:left w:val="nil"/>
          <w:bottom w:val="nil"/>
          <w:right w:val="nil"/>
          <w:between w:val="nil"/>
        </w:pBdr>
        <w:contextualSpacing/>
        <w:rPr>
          <w:rFonts w:eastAsia="Palatino Linotype" w:cs="Palatino Linotype"/>
          <w:color w:val="000000"/>
          <w:sz w:val="22"/>
        </w:rPr>
      </w:pPr>
    </w:p>
    <w:p w14:paraId="65310342" w14:textId="596FD3CF" w:rsidR="00A970D5" w:rsidRPr="006922F5" w:rsidRDefault="00476F2B" w:rsidP="00297D07">
      <w:pPr>
        <w:pStyle w:val="Ttulo2"/>
        <w:rPr>
          <w:rFonts w:eastAsia="Palatino Linotype"/>
        </w:rPr>
      </w:pPr>
      <w:r>
        <w:rPr>
          <w:rFonts w:eastAsia="Palatino Linotype"/>
        </w:rPr>
        <w:t>SEXTO</w:t>
      </w:r>
      <w:r w:rsidR="00A970D5" w:rsidRPr="006922F5">
        <w:rPr>
          <w:rFonts w:eastAsia="Palatino Linotype"/>
        </w:rPr>
        <w:t>. Del cierre de instrucción.</w:t>
      </w:r>
    </w:p>
    <w:p w14:paraId="2456F4BD" w14:textId="3F16C472" w:rsidR="00A970D5" w:rsidRDefault="00A970D5" w:rsidP="00297D0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476F2B">
        <w:rPr>
          <w:rFonts w:eastAsia="Palatino Linotype" w:cs="Palatino Linotype"/>
          <w:color w:val="000000"/>
          <w:szCs w:val="24"/>
        </w:rPr>
        <w:t>veintidós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 xml:space="preserve">racción VI de la Ley de </w:t>
      </w:r>
      <w:r w:rsidRPr="006922F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04DFB677" w14:textId="77777777" w:rsidR="00EB1CF4" w:rsidRDefault="00EB1CF4" w:rsidP="00297D07">
      <w:pPr>
        <w:pBdr>
          <w:top w:val="nil"/>
          <w:left w:val="nil"/>
          <w:bottom w:val="nil"/>
          <w:right w:val="nil"/>
          <w:between w:val="nil"/>
        </w:pBdr>
        <w:contextualSpacing/>
        <w:rPr>
          <w:rFonts w:eastAsia="Palatino Linotype" w:cs="Palatino Linotype"/>
          <w:color w:val="000000"/>
          <w:szCs w:val="24"/>
        </w:rPr>
      </w:pPr>
    </w:p>
    <w:p w14:paraId="0E430E7A" w14:textId="30A38B34" w:rsidR="00EB1CF4" w:rsidRPr="006054AA" w:rsidRDefault="00476F2B" w:rsidP="00297D07">
      <w:pPr>
        <w:pStyle w:val="Ttulo2"/>
        <w:rPr>
          <w:rFonts w:eastAsiaTheme="minorHAnsi"/>
          <w:lang w:eastAsia="en-US"/>
        </w:rPr>
      </w:pPr>
      <w:r>
        <w:rPr>
          <w:rFonts w:eastAsia="Palatino Linotype"/>
        </w:rPr>
        <w:t>SÉPTIMO</w:t>
      </w:r>
      <w:r w:rsidR="00EB1CF4" w:rsidRPr="006054AA">
        <w:rPr>
          <w:rFonts w:eastAsiaTheme="minorHAnsi"/>
          <w:lang w:eastAsia="en-US"/>
        </w:rPr>
        <w:t>. De la ampliación del término para resolver.</w:t>
      </w:r>
    </w:p>
    <w:p w14:paraId="3D8F26C7" w14:textId="474D2ACD" w:rsidR="00EB1CF4" w:rsidRPr="00546575" w:rsidRDefault="00EB1CF4" w:rsidP="00297D07">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476F2B">
        <w:rPr>
          <w:rFonts w:eastAsiaTheme="minorHAnsi" w:cstheme="minorBidi"/>
          <w:szCs w:val="24"/>
          <w:lang w:eastAsia="en-US"/>
        </w:rPr>
        <w:t>veinticuatro</w:t>
      </w:r>
      <w:r>
        <w:rPr>
          <w:rFonts w:eastAsiaTheme="minorHAnsi" w:cstheme="minorBidi"/>
          <w:szCs w:val="24"/>
          <w:lang w:eastAsia="en-US"/>
        </w:rPr>
        <w:t xml:space="preserve"> de abril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297D0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297D07">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297D07">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297D07">
      <w:pPr>
        <w:pStyle w:val="Ttulo2"/>
        <w:rPr>
          <w:rFonts w:eastAsia="Palatino Linotype"/>
        </w:rPr>
      </w:pPr>
      <w:r w:rsidRPr="006922F5">
        <w:rPr>
          <w:rFonts w:eastAsia="Palatino Linotype"/>
        </w:rPr>
        <w:t>PRIMERO. De la competencia.</w:t>
      </w:r>
    </w:p>
    <w:p w14:paraId="615C5B79" w14:textId="77777777" w:rsidR="00E63F1C" w:rsidRDefault="00E63F1C" w:rsidP="00297D07">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297D07">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297D07">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297D07">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297D07"/>
    <w:p w14:paraId="684A29E7" w14:textId="77777777" w:rsidR="00DA0841" w:rsidRPr="00F34F85" w:rsidRDefault="00DA0841" w:rsidP="00297D07">
      <w:pPr>
        <w:pStyle w:val="Ttulo2"/>
      </w:pPr>
      <w:r w:rsidRPr="00F34F85">
        <w:t xml:space="preserve">TERCERO. Cuestiones de previo y especial pronunciamiento. </w:t>
      </w:r>
    </w:p>
    <w:p w14:paraId="0036689A" w14:textId="77777777" w:rsidR="00DA0841" w:rsidRPr="00F34F85" w:rsidRDefault="00DA0841" w:rsidP="00297D07">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F34F85" w:rsidRDefault="00DA0841" w:rsidP="00297D07">
      <w:pPr>
        <w:rPr>
          <w:rFonts w:eastAsia="Palatino Linotype" w:cs="Palatino Linotype"/>
        </w:rPr>
      </w:pPr>
    </w:p>
    <w:p w14:paraId="3131F5EC"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4B429D0"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EB4EA8D"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15547687"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1F8CC88"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0CB202C"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0BBCA1B5" w14:textId="77777777" w:rsidR="00DA0841" w:rsidRPr="00F34F85" w:rsidRDefault="00DA0841" w:rsidP="00297D07">
      <w:pPr>
        <w:spacing w:line="240" w:lineRule="auto"/>
        <w:ind w:left="567" w:right="567"/>
        <w:rPr>
          <w:rFonts w:eastAsia="Palatino Linotype" w:cs="Palatino Linotype"/>
          <w:i/>
          <w:sz w:val="22"/>
        </w:rPr>
      </w:pPr>
    </w:p>
    <w:p w14:paraId="5E945B18"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lastRenderedPageBreak/>
        <w:t>Adicionalmente, se podrán anexar las pruebas y demás elementos que considere procedentes someter a juicio del Instituto.</w:t>
      </w:r>
    </w:p>
    <w:p w14:paraId="7C77865A" w14:textId="77777777" w:rsidR="00DA0841" w:rsidRPr="00F34F85" w:rsidRDefault="00DA0841" w:rsidP="00297D07">
      <w:pPr>
        <w:spacing w:line="240" w:lineRule="auto"/>
        <w:ind w:left="567" w:right="567"/>
        <w:rPr>
          <w:rFonts w:eastAsia="Palatino Linotype" w:cs="Palatino Linotype"/>
          <w:i/>
          <w:sz w:val="22"/>
        </w:rPr>
      </w:pPr>
    </w:p>
    <w:p w14:paraId="106A1459"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09B524E" w14:textId="77777777" w:rsidR="00DA0841" w:rsidRPr="00F34F85" w:rsidRDefault="00DA0841" w:rsidP="00297D07">
      <w:pPr>
        <w:spacing w:line="240" w:lineRule="auto"/>
        <w:ind w:left="567" w:right="567"/>
        <w:rPr>
          <w:rFonts w:eastAsia="Palatino Linotype" w:cs="Palatino Linotype"/>
          <w:i/>
          <w:sz w:val="22"/>
        </w:rPr>
      </w:pPr>
    </w:p>
    <w:p w14:paraId="71B1481C" w14:textId="77777777" w:rsidR="00DA0841" w:rsidRPr="00F34F85" w:rsidRDefault="00DA0841" w:rsidP="00297D07">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392848D7" w14:textId="77777777" w:rsidR="00DA0841" w:rsidRPr="00F34F85" w:rsidRDefault="00DA0841" w:rsidP="00297D07">
      <w:pPr>
        <w:rPr>
          <w:rFonts w:eastAsia="Palatino Linotype" w:cs="Palatino Linotype"/>
          <w:b/>
          <w:i/>
        </w:rPr>
      </w:pPr>
    </w:p>
    <w:p w14:paraId="597F44E2" w14:textId="77777777" w:rsidR="00DA0841" w:rsidRPr="00F34F85" w:rsidRDefault="00DA0841" w:rsidP="00297D07">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F34F85" w:rsidRDefault="00DA0841" w:rsidP="00297D07">
      <w:pPr>
        <w:rPr>
          <w:rFonts w:eastAsia="Palatino Linotype" w:cs="Palatino Linotype"/>
        </w:rPr>
      </w:pPr>
    </w:p>
    <w:p w14:paraId="623719EB"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76EA2AEE" w14:textId="77777777" w:rsidR="00DA0841" w:rsidRPr="00F34F85" w:rsidRDefault="00DA0841" w:rsidP="00297D07">
      <w:pPr>
        <w:spacing w:line="240" w:lineRule="auto"/>
        <w:ind w:left="567" w:right="567"/>
        <w:rPr>
          <w:rFonts w:eastAsia="Palatino Linotype" w:cs="Palatino Linotype"/>
          <w:i/>
          <w:sz w:val="22"/>
        </w:rPr>
      </w:pPr>
    </w:p>
    <w:p w14:paraId="107DE626"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w:t>
      </w:r>
    </w:p>
    <w:p w14:paraId="2B54E3DD" w14:textId="77777777" w:rsidR="00DA0841" w:rsidRPr="00F34F85" w:rsidRDefault="00DA0841" w:rsidP="00297D07">
      <w:pPr>
        <w:rPr>
          <w:rFonts w:eastAsia="Palatino Linotype" w:cs="Palatino Linotype"/>
        </w:rPr>
      </w:pPr>
    </w:p>
    <w:p w14:paraId="72B66947" w14:textId="77777777" w:rsidR="00DA0841" w:rsidRPr="00F34F85" w:rsidRDefault="00DA0841" w:rsidP="00297D07">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5 párrafos vigésimo, vigésimo primero y vigésimo segundo, de la Constitución Política del Estado Libre y Soberano de México, se establece lo siguiente:</w:t>
      </w:r>
    </w:p>
    <w:p w14:paraId="5AF1BA62" w14:textId="77777777" w:rsidR="00DA0841" w:rsidRPr="00F34F85" w:rsidRDefault="00DA0841" w:rsidP="00297D07">
      <w:pPr>
        <w:rPr>
          <w:rFonts w:eastAsia="Palatino Linotype" w:cs="Palatino Linotype"/>
        </w:rPr>
      </w:pPr>
    </w:p>
    <w:p w14:paraId="06882988"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1CF9490B" w14:textId="77777777" w:rsidR="00DA0841" w:rsidRPr="00F34F85" w:rsidRDefault="00DA0841" w:rsidP="00297D07">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w:t>
      </w:r>
    </w:p>
    <w:p w14:paraId="553B5652"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F34F85" w:rsidRDefault="00DA0841" w:rsidP="00297D07">
      <w:pPr>
        <w:spacing w:line="240" w:lineRule="auto"/>
        <w:ind w:left="567" w:right="567"/>
        <w:rPr>
          <w:rFonts w:eastAsia="Palatino Linotype" w:cs="Palatino Linotype"/>
          <w:i/>
          <w:sz w:val="22"/>
        </w:rPr>
      </w:pPr>
    </w:p>
    <w:p w14:paraId="165BA352" w14:textId="77777777" w:rsidR="00DA0841" w:rsidRPr="00F34F85" w:rsidRDefault="00DA0841" w:rsidP="00297D07">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F34F85" w:rsidRDefault="00DA0841" w:rsidP="00297D07">
      <w:pPr>
        <w:spacing w:line="240" w:lineRule="auto"/>
        <w:ind w:left="567" w:right="567"/>
        <w:rPr>
          <w:rFonts w:eastAsia="Palatino Linotype" w:cs="Palatino Linotype"/>
          <w:i/>
          <w:sz w:val="22"/>
        </w:rPr>
      </w:pPr>
    </w:p>
    <w:p w14:paraId="7E4D207B"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FE3FC3A"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w:t>
      </w:r>
    </w:p>
    <w:p w14:paraId="18502C7E"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w:t>
      </w:r>
    </w:p>
    <w:p w14:paraId="53CF5A70"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w:t>
      </w:r>
    </w:p>
    <w:p w14:paraId="655E6322" w14:textId="77777777" w:rsidR="00DA0841" w:rsidRPr="00F34F85" w:rsidRDefault="00DA0841" w:rsidP="00297D07">
      <w:pPr>
        <w:ind w:left="567" w:right="567"/>
        <w:rPr>
          <w:rFonts w:eastAsia="Palatino Linotype" w:cs="Palatino Linotype"/>
        </w:rPr>
      </w:pPr>
    </w:p>
    <w:p w14:paraId="710E0463" w14:textId="77777777" w:rsidR="00DA0841" w:rsidRPr="00F34F85" w:rsidRDefault="00DA0841" w:rsidP="00297D07">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41CB3F87" w14:textId="77777777" w:rsidR="00DA0841" w:rsidRPr="00F34F85" w:rsidRDefault="00DA0841" w:rsidP="00297D07">
      <w:pPr>
        <w:spacing w:line="240" w:lineRule="auto"/>
        <w:ind w:left="567" w:right="567"/>
        <w:rPr>
          <w:rFonts w:eastAsia="Palatino Linotype" w:cs="Palatino Linotype"/>
        </w:rPr>
      </w:pPr>
    </w:p>
    <w:p w14:paraId="2D50F7BC"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F34F85" w:rsidRDefault="00DA0841" w:rsidP="00297D07">
      <w:pPr>
        <w:spacing w:line="240" w:lineRule="auto"/>
        <w:ind w:left="567" w:right="567"/>
        <w:rPr>
          <w:rFonts w:eastAsia="Palatino Linotype" w:cs="Palatino Linotype"/>
          <w:i/>
          <w:sz w:val="22"/>
        </w:rPr>
      </w:pPr>
    </w:p>
    <w:p w14:paraId="307A338A"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F34F85" w:rsidRDefault="00DA0841" w:rsidP="00297D07">
      <w:pPr>
        <w:spacing w:line="240" w:lineRule="auto"/>
        <w:ind w:left="567" w:right="567"/>
        <w:rPr>
          <w:rFonts w:eastAsia="Palatino Linotype" w:cs="Palatino Linotype"/>
          <w:i/>
          <w:sz w:val="22"/>
        </w:rPr>
      </w:pPr>
    </w:p>
    <w:p w14:paraId="4328ED78" w14:textId="77777777" w:rsidR="00DA0841" w:rsidRPr="00F34F85" w:rsidRDefault="00DA0841" w:rsidP="00297D07">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F34F85" w:rsidRDefault="00DA0841" w:rsidP="00297D07">
      <w:pPr>
        <w:ind w:left="567" w:right="567"/>
        <w:rPr>
          <w:rFonts w:eastAsia="Palatino Linotype" w:cs="Palatino Linotype"/>
        </w:rPr>
      </w:pPr>
    </w:p>
    <w:p w14:paraId="4C635D02" w14:textId="77777777" w:rsidR="00DA0841" w:rsidRPr="00F34F85" w:rsidRDefault="00DA0841" w:rsidP="00297D07">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F34F85" w:rsidRDefault="00DA0841" w:rsidP="00297D07">
      <w:pPr>
        <w:rPr>
          <w:rFonts w:eastAsia="Palatino Linotype" w:cs="Palatino Linotype"/>
        </w:rPr>
      </w:pPr>
    </w:p>
    <w:p w14:paraId="19F58DF7" w14:textId="77777777" w:rsidR="00DA0841" w:rsidRPr="00F34F85" w:rsidRDefault="00DA0841" w:rsidP="00297D07">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716FC7A0" w14:textId="77777777" w:rsidR="00DA0841" w:rsidRDefault="00DA0841" w:rsidP="00297D07"/>
    <w:p w14:paraId="7E828C31" w14:textId="2DDA13D4" w:rsidR="00454915" w:rsidRPr="006922F5" w:rsidRDefault="00DA0841" w:rsidP="00297D07">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297D0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w:t>
      </w:r>
      <w:r w:rsidRPr="006922F5">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6922F5" w:rsidRDefault="00454915" w:rsidP="00297D07">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00297D07">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impida el estudio y resolución, cuando una vez admitido el recurso de revisión </w:t>
      </w:r>
      <w:r w:rsidRPr="44E9108F">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6922F5" w:rsidRDefault="00454915" w:rsidP="00297D07">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297D0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297D07">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6922F5" w:rsidRDefault="00DA0841" w:rsidP="00297D07">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297D0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297D07">
      <w:pPr>
        <w:rPr>
          <w:rFonts w:eastAsiaTheme="minorHAnsi" w:cstheme="minorBidi"/>
          <w:sz w:val="22"/>
          <w:lang w:eastAsia="en-US"/>
        </w:rPr>
      </w:pPr>
    </w:p>
    <w:p w14:paraId="5F186F42" w14:textId="77777777" w:rsidR="00476F2B" w:rsidRPr="005F0462" w:rsidRDefault="00476F2B" w:rsidP="00297D07">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Por tanto, es conveniente recordar que el hoy </w:t>
      </w:r>
      <w:r w:rsidRPr="005F0462">
        <w:rPr>
          <w:rFonts w:ascii="Palatino Linotype" w:hAnsi="Palatino Linotype"/>
          <w:b/>
          <w:bCs/>
          <w:lang w:val="es-ES_tradnl"/>
        </w:rPr>
        <w:t>Recurrente</w:t>
      </w:r>
      <w:r w:rsidRPr="005F0462">
        <w:rPr>
          <w:rFonts w:ascii="Palatino Linotype" w:hAnsi="Palatino Linotype"/>
          <w:lang w:val="es-ES_tradnl"/>
        </w:rPr>
        <w:t xml:space="preserve"> requirió medularmente se le proporcionara, el o los documentos en donde conste lo siguiente:</w:t>
      </w:r>
    </w:p>
    <w:p w14:paraId="47712C3D" w14:textId="77777777" w:rsidR="00476F2B" w:rsidRPr="005F0462" w:rsidRDefault="00476F2B" w:rsidP="00297D07">
      <w:pPr>
        <w:pStyle w:val="Sinespaciado"/>
        <w:spacing w:line="360" w:lineRule="auto"/>
        <w:jc w:val="both"/>
        <w:rPr>
          <w:rFonts w:ascii="Palatino Linotype" w:hAnsi="Palatino Linotype"/>
          <w:lang w:val="es-ES_tradnl"/>
        </w:rPr>
      </w:pPr>
    </w:p>
    <w:p w14:paraId="50217705" w14:textId="6ABBB188" w:rsidR="0048549E" w:rsidRPr="00476F2B" w:rsidRDefault="00476F2B" w:rsidP="00297D07">
      <w:pPr>
        <w:pStyle w:val="Prrafodelista"/>
        <w:numPr>
          <w:ilvl w:val="0"/>
          <w:numId w:val="65"/>
        </w:numPr>
      </w:pPr>
      <w:r w:rsidRPr="00476F2B">
        <w:t xml:space="preserve">DESEO SABER LA SITUACIÓN ACTUAL DE 2 POLICIAS DE LA DIRECCION DE SEGURIDAD PUBLICA MUNICIPAL DE TENANCINGO, ESTADO DE MÉXICO, PORQUE EN RECURSOS HUMANOS Y TESORERIA MUNICIPAL </w:t>
      </w:r>
      <w:r w:rsidRPr="00476F2B">
        <w:lastRenderedPageBreak/>
        <w:t>PEDI LA INFORMACIÓN Y EXPU</w:t>
      </w:r>
      <w:bookmarkStart w:id="0" w:name="_GoBack"/>
      <w:bookmarkEnd w:id="0"/>
      <w:r w:rsidRPr="00476F2B">
        <w:t xml:space="preserve">SIERON QUE ES INEXISTENTE LA INFORMACIÓN, PERO SOLO EN TEXTO SIN MOSTRAR UNA BITACORA, UNA NOMINA O UN ROL DE FATIGA ME INTERESA LA INFORMACIÓN DE </w:t>
      </w:r>
      <w:r w:rsidR="00A15B49">
        <w:t>XXXXXXXXXXXXXXXXXXXXXXXXXXXXX</w:t>
      </w:r>
      <w:r w:rsidRPr="00476F2B">
        <w:t xml:space="preserve">, PRIMA HERMANA DE LA PRESIDENTA MUNICIPAL C. NANCY NAPOLES PACHECO, PORQUE ES IMPORTANTE SABER SU SITUACIÓN ACTUAL EN CUANTO A CONTROL DE CONFIANZA; Y TAMBIÉN, PIDO LA INFORMACIÓN DE </w:t>
      </w:r>
      <w:r w:rsidR="00A15B49">
        <w:t>XXXXXXXX</w:t>
      </w:r>
      <w:r w:rsidRPr="00476F2B">
        <w:t xml:space="preserve"> </w:t>
      </w:r>
      <w:r w:rsidR="00A15B49">
        <w:t>XXXXXXXXXXXXXXXX</w:t>
      </w:r>
      <w:r w:rsidRPr="00476F2B">
        <w:t>.</w:t>
      </w:r>
    </w:p>
    <w:p w14:paraId="0BA425C7" w14:textId="77777777" w:rsidR="00476F2B" w:rsidRDefault="00476F2B" w:rsidP="00297D07">
      <w:pPr>
        <w:pStyle w:val="Sinespaciado"/>
        <w:spacing w:line="360" w:lineRule="auto"/>
        <w:jc w:val="both"/>
        <w:rPr>
          <w:rFonts w:ascii="Palatino Linotype" w:hAnsi="Palatino Linotype"/>
          <w:lang w:val="es-ES_tradnl"/>
        </w:rPr>
      </w:pPr>
    </w:p>
    <w:p w14:paraId="49F684AB" w14:textId="41DEDFBD" w:rsidR="00476F2B" w:rsidRPr="005F0462" w:rsidRDefault="00476F2B" w:rsidP="00297D07">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El </w:t>
      </w:r>
      <w:r w:rsidRPr="005F0462">
        <w:rPr>
          <w:rFonts w:ascii="Palatino Linotype" w:hAnsi="Palatino Linotype"/>
          <w:b/>
          <w:bCs/>
          <w:lang w:val="es-ES_tradnl"/>
        </w:rPr>
        <w:t>Sujeto Obligado</w:t>
      </w:r>
      <w:r w:rsidRPr="005F0462">
        <w:rPr>
          <w:rFonts w:ascii="Palatino Linotype" w:hAnsi="Palatino Linotype"/>
          <w:lang w:val="es-ES_tradnl"/>
        </w:rPr>
        <w:t xml:space="preserve"> turnó la solicitud a las unidades administrativas que consideró competentes y remiti</w:t>
      </w:r>
      <w:r>
        <w:rPr>
          <w:rFonts w:ascii="Palatino Linotype" w:hAnsi="Palatino Linotype"/>
          <w:lang w:val="es-ES_tradnl"/>
        </w:rPr>
        <w:t>ó un archivo electrónico, del cual</w:t>
      </w:r>
      <w:r w:rsidRPr="005F0462">
        <w:rPr>
          <w:rFonts w:ascii="Palatino Linotype" w:hAnsi="Palatino Linotype"/>
          <w:lang w:val="es-ES_tradnl"/>
        </w:rPr>
        <w:t xml:space="preserve"> se detalla su contenido enseguida:</w:t>
      </w:r>
    </w:p>
    <w:p w14:paraId="114C7A07" w14:textId="77777777" w:rsidR="00476F2B" w:rsidRPr="005F0462" w:rsidRDefault="00476F2B" w:rsidP="00297D07">
      <w:pPr>
        <w:pStyle w:val="Sinespaciado"/>
        <w:spacing w:line="360" w:lineRule="auto"/>
        <w:jc w:val="both"/>
        <w:rPr>
          <w:rFonts w:ascii="Palatino Linotype" w:hAnsi="Palatino Linotype"/>
          <w:lang w:val="es-ES_tradnl"/>
        </w:rPr>
      </w:pPr>
    </w:p>
    <w:p w14:paraId="74E4087E" w14:textId="77777777" w:rsidR="00C13B82" w:rsidRDefault="00476F2B" w:rsidP="00297D07">
      <w:pPr>
        <w:pStyle w:val="Sinespaciado"/>
        <w:numPr>
          <w:ilvl w:val="0"/>
          <w:numId w:val="66"/>
        </w:numPr>
        <w:spacing w:line="360" w:lineRule="auto"/>
        <w:jc w:val="both"/>
        <w:rPr>
          <w:rFonts w:ascii="Palatino Linotype" w:hAnsi="Palatino Linotype"/>
          <w:lang w:val="es-ES_tradnl"/>
        </w:rPr>
      </w:pPr>
      <w:r w:rsidRPr="005F0462">
        <w:rPr>
          <w:rFonts w:ascii="Palatino Linotype" w:hAnsi="Palatino Linotype"/>
          <w:b/>
          <w:bCs/>
          <w:lang w:val="es-ES_tradnl"/>
        </w:rPr>
        <w:t>“</w:t>
      </w:r>
      <w:r w:rsidRPr="00476F2B">
        <w:rPr>
          <w:rFonts w:ascii="Palatino Linotype" w:hAnsi="Palatino Linotype"/>
          <w:b/>
          <w:bCs/>
          <w:lang w:val="es-ES_tradnl"/>
        </w:rPr>
        <w:t>RESPUESTA SOL 00012 SAIMEX.pdf</w:t>
      </w:r>
      <w:r w:rsidRPr="005F0462">
        <w:rPr>
          <w:rFonts w:ascii="Palatino Linotype" w:hAnsi="Palatino Linotype"/>
          <w:b/>
          <w:bCs/>
          <w:lang w:val="es-ES_tradnl"/>
        </w:rPr>
        <w:t xml:space="preserve">”: </w:t>
      </w:r>
      <w:r w:rsidRPr="005F0462">
        <w:rPr>
          <w:rFonts w:ascii="Palatino Linotype" w:hAnsi="Palatino Linotype"/>
          <w:lang w:val="es-ES_tradnl"/>
        </w:rPr>
        <w:t xml:space="preserve">Archivo electrónico que contiene el oficio número </w:t>
      </w:r>
      <w:r w:rsidR="00AA1EDE">
        <w:rPr>
          <w:rFonts w:ascii="Palatino Linotype" w:hAnsi="Palatino Linotype"/>
          <w:lang w:val="es-ES_tradnl"/>
        </w:rPr>
        <w:t>206C0201000300S/UT/020/2025</w:t>
      </w:r>
      <w:r w:rsidRPr="005F0462">
        <w:rPr>
          <w:rFonts w:ascii="Palatino Linotype" w:hAnsi="Palatino Linotype"/>
          <w:lang w:val="es-ES_tradnl"/>
        </w:rPr>
        <w:t xml:space="preserve">, signado por el </w:t>
      </w:r>
      <w:r w:rsidR="00AA1EDE">
        <w:rPr>
          <w:rFonts w:ascii="Palatino Linotype" w:hAnsi="Palatino Linotype"/>
          <w:lang w:val="es-ES_tradnl"/>
        </w:rPr>
        <w:t xml:space="preserve">Jefe de la Unidad de Información, Planeación, Programación y Evaluación y Titular de la Unidad de Transparencia, mediante el cual refiere que </w:t>
      </w:r>
      <w:r w:rsidR="00C13B82">
        <w:rPr>
          <w:rFonts w:ascii="Palatino Linotype" w:hAnsi="Palatino Linotype"/>
          <w:lang w:val="es-ES_tradnl"/>
        </w:rPr>
        <w:t>derivado de la información que obra en los archivos de la Dirección General y la Unidad de Evaluación del Centro de Control de Confianza del Estado de México, informa lo siguiente:</w:t>
      </w:r>
    </w:p>
    <w:p w14:paraId="7770B34F" w14:textId="2508F354" w:rsidR="00C13B82" w:rsidRDefault="00C13B82" w:rsidP="00297D07">
      <w:pPr>
        <w:pStyle w:val="Sinespaciado"/>
        <w:numPr>
          <w:ilvl w:val="0"/>
          <w:numId w:val="67"/>
        </w:numPr>
        <w:spacing w:line="360" w:lineRule="auto"/>
        <w:jc w:val="both"/>
        <w:rPr>
          <w:rFonts w:ascii="Palatino Linotype" w:hAnsi="Palatino Linotype"/>
          <w:lang w:val="es-ES_tradnl"/>
        </w:rPr>
      </w:pPr>
      <w:r>
        <w:rPr>
          <w:rFonts w:ascii="Palatino Linotype" w:hAnsi="Palatino Linotype"/>
          <w:lang w:val="es-ES_tradnl"/>
        </w:rPr>
        <w:t>Dirección General: refiere que derivado de una búsqueda exhaustiva y razonable en los archivos de dicha dirección, no se encontró registro alguno que coincida con los nombres de las personas solicitadas, desconociendo si las mismas han sido evaluadas en otro Centro de Control de Confianza de competencia Federal o Estatal; o bien, si los nombres proporcionados son correctos.</w:t>
      </w:r>
    </w:p>
    <w:p w14:paraId="1F54020D" w14:textId="7F1B7009" w:rsidR="00476F2B" w:rsidRDefault="00C13B82" w:rsidP="00297D07">
      <w:pPr>
        <w:pStyle w:val="Sinespaciado"/>
        <w:numPr>
          <w:ilvl w:val="0"/>
          <w:numId w:val="67"/>
        </w:numPr>
        <w:spacing w:line="360" w:lineRule="auto"/>
        <w:jc w:val="both"/>
        <w:rPr>
          <w:rFonts w:ascii="Palatino Linotype" w:hAnsi="Palatino Linotype"/>
          <w:lang w:val="es-ES_tradnl"/>
        </w:rPr>
      </w:pPr>
      <w:r>
        <w:rPr>
          <w:rFonts w:ascii="Palatino Linotype" w:hAnsi="Palatino Linotype"/>
          <w:lang w:val="es-ES_tradnl"/>
        </w:rPr>
        <w:lastRenderedPageBreak/>
        <w:t xml:space="preserve">Unidad de Evaluación: Refiere que derivado de la búsqueda </w:t>
      </w:r>
      <w:r w:rsidR="00297D07">
        <w:rPr>
          <w:rFonts w:ascii="Palatino Linotype" w:hAnsi="Palatino Linotype"/>
          <w:lang w:val="es-ES_tradnl"/>
        </w:rPr>
        <w:t>exhaustiva y minuciosa en los archivos y bases de datos del Centro de Control de Confianza del Estado de México, no fueron encontrados en los archivos que obran en la unidad, en virtud de que no existe registro de evaluación de las personas referidas en la solicitud, desconociendo si han sido evaluadas ante otro Centro de Control de Confianza Estatal o Federal; o bien, los datos proporcionados no son los correctos.</w:t>
      </w:r>
    </w:p>
    <w:p w14:paraId="5AA5F34B" w14:textId="77777777" w:rsidR="00297D07" w:rsidRPr="00297D07" w:rsidRDefault="00297D07" w:rsidP="00297D07">
      <w:pPr>
        <w:pStyle w:val="Sinespaciado"/>
        <w:spacing w:line="360" w:lineRule="auto"/>
        <w:ind w:left="1080"/>
        <w:jc w:val="both"/>
        <w:rPr>
          <w:rFonts w:ascii="Palatino Linotype" w:hAnsi="Palatino Linotype"/>
          <w:lang w:val="es-ES_tradnl"/>
        </w:rPr>
      </w:pPr>
    </w:p>
    <w:p w14:paraId="74DF80F0" w14:textId="3E12EEF6" w:rsidR="00476F2B" w:rsidRPr="005F0462" w:rsidRDefault="00476F2B" w:rsidP="00297D07">
      <w:pPr>
        <w:rPr>
          <w:rFonts w:cs="Arial"/>
          <w:bCs/>
          <w:i/>
          <w:szCs w:val="24"/>
        </w:rPr>
      </w:pPr>
      <w:r w:rsidRPr="005F0462">
        <w:rPr>
          <w:rFonts w:cs="Arial"/>
          <w:bCs/>
          <w:szCs w:val="24"/>
        </w:rPr>
        <w:t xml:space="preserve">Es así que derivado de la respuesta emitida por </w:t>
      </w:r>
      <w:r w:rsidRPr="005F0462">
        <w:rPr>
          <w:rFonts w:cs="Arial"/>
          <w:b/>
          <w:bCs/>
          <w:szCs w:val="24"/>
        </w:rPr>
        <w:t>El Sujeto Obligado</w:t>
      </w:r>
      <w:r w:rsidRPr="005F0462">
        <w:rPr>
          <w:rFonts w:cs="Arial"/>
          <w:bCs/>
          <w:szCs w:val="24"/>
        </w:rPr>
        <w:t xml:space="preserve">, </w:t>
      </w:r>
      <w:r w:rsidRPr="005F0462">
        <w:rPr>
          <w:rFonts w:cs="Arial"/>
          <w:b/>
          <w:bCs/>
          <w:szCs w:val="24"/>
        </w:rPr>
        <w:t>El Recurrente</w:t>
      </w:r>
      <w:r w:rsidRPr="005F0462">
        <w:rPr>
          <w:rFonts w:cs="Arial"/>
          <w:bCs/>
          <w:szCs w:val="24"/>
        </w:rPr>
        <w:t xml:space="preserve">, interpuso el presente recurso de revisión, señalando sustancialmente como Razones o Motivos de Inconformidad, lo siguiente: </w:t>
      </w:r>
      <w:r w:rsidRPr="005F0462">
        <w:rPr>
          <w:rFonts w:cs="Arial"/>
          <w:bCs/>
          <w:i/>
          <w:szCs w:val="24"/>
        </w:rPr>
        <w:t>“</w:t>
      </w:r>
      <w:r w:rsidR="00297D07" w:rsidRPr="00297D07">
        <w:rPr>
          <w:rFonts w:cs="Arial"/>
          <w:b/>
          <w:bCs/>
          <w:i/>
          <w:szCs w:val="24"/>
          <w:u w:val="single"/>
        </w:rPr>
        <w:t>SOLO MENCIONA DE UNA BUSQUEDA, MÁS NO LA RESPALDA CON LA DOCUMENTACIÓN RESPECTIVA</w:t>
      </w:r>
      <w:r w:rsidRPr="005F0462">
        <w:rPr>
          <w:rFonts w:cs="Arial"/>
          <w:bCs/>
          <w:i/>
          <w:szCs w:val="24"/>
        </w:rPr>
        <w:t>” (Sic).</w:t>
      </w:r>
    </w:p>
    <w:p w14:paraId="3D627DAF" w14:textId="77777777" w:rsidR="00476F2B" w:rsidRPr="005F0462" w:rsidRDefault="00476F2B" w:rsidP="00297D07">
      <w:pPr>
        <w:pStyle w:val="Sinespaciado"/>
        <w:spacing w:line="360" w:lineRule="auto"/>
        <w:jc w:val="both"/>
        <w:rPr>
          <w:rFonts w:ascii="Palatino Linotype" w:hAnsi="Palatino Linotype"/>
          <w:lang w:val="es-ES_tradnl"/>
        </w:rPr>
      </w:pPr>
    </w:p>
    <w:p w14:paraId="2A679139" w14:textId="6F096DCE" w:rsidR="000D572A" w:rsidRPr="00A06672" w:rsidRDefault="00476F2B" w:rsidP="00297D07">
      <w:r w:rsidRPr="00A7420E">
        <w:rPr>
          <w:rFonts w:cs="Arial"/>
          <w:bCs/>
          <w:szCs w:val="24"/>
          <w:lang w:val="es-MX"/>
        </w:rPr>
        <w:t xml:space="preserve">Por lo que, en la etapa de manifestaciones, el </w:t>
      </w:r>
      <w:r w:rsidRPr="00A7420E">
        <w:rPr>
          <w:rFonts w:cs="Arial"/>
          <w:b/>
          <w:bCs/>
          <w:szCs w:val="24"/>
          <w:lang w:val="es-MX"/>
        </w:rPr>
        <w:t>Sujeto Obligado</w:t>
      </w:r>
      <w:r w:rsidRPr="00A7420E">
        <w:rPr>
          <w:rFonts w:cs="Arial"/>
          <w:b/>
          <w:bCs/>
          <w:szCs w:val="24"/>
        </w:rPr>
        <w:t xml:space="preserve"> </w:t>
      </w:r>
      <w:r w:rsidRPr="00A7420E">
        <w:rPr>
          <w:rFonts w:cs="Arial"/>
          <w:szCs w:val="24"/>
        </w:rPr>
        <w:t>rindió</w:t>
      </w:r>
      <w:r w:rsidRPr="00A7420E">
        <w:rPr>
          <w:rFonts w:cs="Arial"/>
          <w:bCs/>
          <w:szCs w:val="24"/>
          <w:lang w:val="es-MX"/>
        </w:rPr>
        <w:t xml:space="preserve"> </w:t>
      </w:r>
      <w:r w:rsidRPr="00A7420E">
        <w:rPr>
          <w:rFonts w:cs="Arial"/>
          <w:bCs/>
          <w:szCs w:val="24"/>
        </w:rPr>
        <w:t xml:space="preserve">su </w:t>
      </w:r>
      <w:r w:rsidRPr="00A7420E">
        <w:rPr>
          <w:rFonts w:cs="Arial"/>
          <w:bCs/>
          <w:szCs w:val="24"/>
          <w:lang w:val="es-MX"/>
        </w:rPr>
        <w:t>informe justificado</w:t>
      </w:r>
      <w:r w:rsidRPr="00A7420E">
        <w:rPr>
          <w:rFonts w:cs="Arial"/>
          <w:bCs/>
          <w:szCs w:val="24"/>
        </w:rPr>
        <w:t xml:space="preserve"> </w:t>
      </w:r>
      <w:r w:rsidRPr="00A7420E">
        <w:rPr>
          <w:rFonts w:cs="Arial"/>
          <w:bCs/>
          <w:szCs w:val="24"/>
          <w:lang w:val="es-MX"/>
        </w:rPr>
        <w:t>a través de</w:t>
      </w:r>
      <w:r>
        <w:rPr>
          <w:rFonts w:cs="Arial"/>
          <w:bCs/>
          <w:szCs w:val="24"/>
          <w:lang w:val="es-MX"/>
        </w:rPr>
        <w:t>l</w:t>
      </w:r>
      <w:r w:rsidRPr="00A7420E">
        <w:rPr>
          <w:rFonts w:cs="Arial"/>
          <w:szCs w:val="24"/>
          <w:lang w:val="es-MX"/>
        </w:rPr>
        <w:t xml:space="preserve"> archivo electrónico denominado </w:t>
      </w:r>
      <w:r w:rsidRPr="00A7420E">
        <w:rPr>
          <w:rFonts w:cs="Arial"/>
          <w:i/>
          <w:szCs w:val="24"/>
          <w:lang w:val="es-MX"/>
        </w:rPr>
        <w:t>“</w:t>
      </w:r>
      <w:r w:rsidR="00297D07" w:rsidRPr="00297D07">
        <w:rPr>
          <w:rFonts w:cs="Arial"/>
          <w:b/>
          <w:bCs/>
          <w:i/>
          <w:szCs w:val="24"/>
        </w:rPr>
        <w:t>INFORME JUSTIFICADO RR 01965_2025.pdf</w:t>
      </w:r>
      <w:r>
        <w:rPr>
          <w:rFonts w:cs="Arial"/>
          <w:i/>
          <w:szCs w:val="24"/>
          <w:lang w:val="es-MX"/>
        </w:rPr>
        <w:t>”</w:t>
      </w:r>
      <w:r w:rsidRPr="00A7420E">
        <w:rPr>
          <w:rFonts w:cs="Arial"/>
          <w:bCs/>
          <w:szCs w:val="24"/>
        </w:rPr>
        <w:t>,</w:t>
      </w:r>
      <w:r w:rsidRPr="00A7420E">
        <w:rPr>
          <w:rFonts w:cs="Arial"/>
          <w:bCs/>
          <w:szCs w:val="24"/>
          <w:lang w:val="es-MX"/>
        </w:rPr>
        <w:t xml:space="preserve"> </w:t>
      </w:r>
      <w:r>
        <w:rPr>
          <w:rFonts w:cs="Arial"/>
          <w:bCs/>
          <w:szCs w:val="24"/>
          <w:lang w:val="es-MX"/>
        </w:rPr>
        <w:t>con el</w:t>
      </w:r>
      <w:r w:rsidRPr="00A7420E">
        <w:rPr>
          <w:rFonts w:cs="Arial"/>
          <w:bCs/>
          <w:szCs w:val="24"/>
        </w:rPr>
        <w:t xml:space="preserve"> cual</w:t>
      </w:r>
      <w:r w:rsidR="00297D07">
        <w:rPr>
          <w:rFonts w:cs="Arial"/>
          <w:bCs/>
          <w:szCs w:val="24"/>
        </w:rPr>
        <w:t xml:space="preserve"> medularmente, </w:t>
      </w:r>
      <w:r>
        <w:rPr>
          <w:rFonts w:cs="Arial"/>
          <w:bCs/>
          <w:szCs w:val="24"/>
        </w:rPr>
        <w:t>ratifica la respuesta proporcionada.</w:t>
      </w:r>
    </w:p>
    <w:p w14:paraId="75D497D1" w14:textId="77777777" w:rsidR="000D572A" w:rsidRDefault="000D572A" w:rsidP="00297D07">
      <w:pPr>
        <w:pBdr>
          <w:top w:val="nil"/>
          <w:left w:val="nil"/>
          <w:bottom w:val="nil"/>
          <w:right w:val="nil"/>
          <w:between w:val="nil"/>
        </w:pBdr>
        <w:contextualSpacing/>
        <w:rPr>
          <w:rFonts w:eastAsia="Palatino Linotype" w:cs="Palatino Linotype"/>
          <w:color w:val="000000"/>
          <w:szCs w:val="24"/>
        </w:rPr>
      </w:pPr>
    </w:p>
    <w:p w14:paraId="5A192A8E" w14:textId="77777777"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Con base en lo anterior, este Instituto estima que las razones o motivos de inconformidad planteados por el </w:t>
      </w:r>
      <w:r w:rsidRPr="005F0462">
        <w:rPr>
          <w:rFonts w:ascii="Palatino Linotype" w:hAnsi="Palatino Linotype"/>
          <w:b/>
          <w:bCs/>
          <w:lang w:val="es-ES_tradnl"/>
        </w:rPr>
        <w:t>Recurrente</w:t>
      </w:r>
      <w:r w:rsidRPr="005F0462">
        <w:rPr>
          <w:rFonts w:ascii="Palatino Linotype" w:hAnsi="Palatino Linotype"/>
          <w:lang w:val="es-ES_tradnl"/>
        </w:rPr>
        <w:t xml:space="preserve"> son infundados tomando en cuenta las siguientes consideraciones de hecho y de derecho:</w:t>
      </w:r>
    </w:p>
    <w:p w14:paraId="12827230" w14:textId="77777777" w:rsidR="00862FC2" w:rsidRPr="005F0462" w:rsidRDefault="00862FC2" w:rsidP="00862FC2">
      <w:pPr>
        <w:pStyle w:val="Sinespaciado"/>
        <w:spacing w:line="360" w:lineRule="auto"/>
        <w:jc w:val="both"/>
        <w:rPr>
          <w:rFonts w:ascii="Palatino Linotype" w:hAnsi="Palatino Linotype"/>
          <w:lang w:val="es-ES_tradnl"/>
        </w:rPr>
      </w:pPr>
    </w:p>
    <w:p w14:paraId="316364CB" w14:textId="77777777" w:rsidR="00862FC2" w:rsidRPr="005F0462" w:rsidRDefault="00862FC2" w:rsidP="00862FC2">
      <w:pPr>
        <w:pStyle w:val="Sinespaciado"/>
        <w:spacing w:line="360" w:lineRule="auto"/>
        <w:jc w:val="both"/>
        <w:rPr>
          <w:rFonts w:ascii="Palatino Linotype" w:hAnsi="Palatino Linotype"/>
          <w:color w:val="000000"/>
          <w:lang w:val="es-ES_tradnl"/>
        </w:rPr>
      </w:pPr>
      <w:r w:rsidRPr="005F0462">
        <w:rPr>
          <w:rFonts w:ascii="Palatino Linotype" w:hAnsi="Palatino Linotype"/>
          <w:lang w:val="es-ES_tradnl"/>
        </w:rPr>
        <w:t xml:space="preserve">En primer lugar </w:t>
      </w:r>
      <w:r w:rsidRPr="005F0462">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w:t>
      </w:r>
      <w:r w:rsidRPr="005F0462">
        <w:rPr>
          <w:rFonts w:ascii="Palatino Linotype" w:hAnsi="Palatino Linotype"/>
          <w:color w:val="000000"/>
          <w:lang w:val="es-ES_tradnl"/>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D1E92EB" w14:textId="77777777" w:rsidR="00862FC2" w:rsidRPr="005F0462" w:rsidRDefault="00862FC2" w:rsidP="00862FC2">
      <w:pPr>
        <w:pStyle w:val="Sinespaciado"/>
        <w:spacing w:line="360" w:lineRule="auto"/>
        <w:jc w:val="both"/>
        <w:rPr>
          <w:rFonts w:ascii="Palatino Linotype" w:hAnsi="Palatino Linotype"/>
          <w:color w:val="000000"/>
          <w:lang w:val="es-ES_tradnl"/>
        </w:rPr>
      </w:pPr>
    </w:p>
    <w:p w14:paraId="28F70CAD" w14:textId="77777777" w:rsidR="00862FC2" w:rsidRPr="005F0462" w:rsidRDefault="00862FC2" w:rsidP="00862FC2">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t>Artículo 6</w:t>
      </w:r>
    </w:p>
    <w:p w14:paraId="28AE1161" w14:textId="77777777" w:rsidR="00862FC2" w:rsidRPr="005F0462" w:rsidRDefault="00862FC2" w:rsidP="00862FC2">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38DD897C" w14:textId="77777777" w:rsidR="00862FC2" w:rsidRPr="005F0462" w:rsidRDefault="00862FC2" w:rsidP="00862FC2">
      <w:pPr>
        <w:pStyle w:val="Sinespaciado"/>
        <w:ind w:left="567" w:right="567"/>
        <w:jc w:val="both"/>
        <w:rPr>
          <w:rFonts w:ascii="Palatino Linotype" w:hAnsi="Palatino Linotype"/>
          <w:i/>
          <w:lang w:val="es-ES_tradnl"/>
        </w:rPr>
      </w:pPr>
      <w:r w:rsidRPr="005F0462">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5F02C52" w14:textId="77777777" w:rsidR="00862FC2" w:rsidRPr="005F0462" w:rsidRDefault="00862FC2" w:rsidP="00862FC2">
      <w:pPr>
        <w:pStyle w:val="Sinespaciado"/>
        <w:ind w:left="567" w:right="567"/>
        <w:jc w:val="both"/>
        <w:rPr>
          <w:rFonts w:ascii="Palatino Linotype" w:hAnsi="Palatino Linotype"/>
          <w:i/>
          <w:lang w:val="es-ES_tradnl"/>
        </w:rPr>
      </w:pPr>
    </w:p>
    <w:p w14:paraId="09E10A34" w14:textId="77777777" w:rsidR="00862FC2" w:rsidRPr="005F0462" w:rsidRDefault="00862FC2" w:rsidP="00862FC2">
      <w:pPr>
        <w:pStyle w:val="Sinespaciado"/>
        <w:numPr>
          <w:ilvl w:val="0"/>
          <w:numId w:val="68"/>
        </w:numPr>
        <w:ind w:left="993" w:right="567"/>
        <w:jc w:val="both"/>
        <w:rPr>
          <w:rFonts w:ascii="Palatino Linotype" w:hAnsi="Palatino Linotype"/>
          <w:i/>
          <w:lang w:val="es-ES_tradnl"/>
        </w:rPr>
      </w:pPr>
      <w:r w:rsidRPr="005F0462">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511A26" w14:textId="77777777" w:rsidR="00862FC2" w:rsidRPr="005F0462" w:rsidRDefault="00862FC2" w:rsidP="00862FC2">
      <w:pPr>
        <w:pStyle w:val="Sinespaciado"/>
        <w:spacing w:line="360" w:lineRule="auto"/>
        <w:jc w:val="both"/>
        <w:rPr>
          <w:rFonts w:ascii="Palatino Linotype" w:hAnsi="Palatino Linotype"/>
          <w:lang w:val="es-ES_tradnl"/>
        </w:rPr>
      </w:pPr>
    </w:p>
    <w:p w14:paraId="5764F28E" w14:textId="77777777" w:rsidR="00862FC2" w:rsidRPr="005F0462" w:rsidRDefault="00862FC2" w:rsidP="00862FC2">
      <w:pPr>
        <w:pStyle w:val="Sinespaciado"/>
        <w:spacing w:line="360" w:lineRule="auto"/>
        <w:jc w:val="both"/>
        <w:rPr>
          <w:rFonts w:ascii="Palatino Linotype" w:hAnsi="Palatino Linotype" w:cs="Arial"/>
          <w:lang w:val="es-ES_tradnl"/>
        </w:rPr>
      </w:pPr>
      <w:r w:rsidRPr="005F0462">
        <w:rPr>
          <w:rFonts w:ascii="Palatino Linotype" w:hAnsi="Palatino Linotype" w:cs="Arial"/>
          <w:lang w:val="es-ES_tradnl"/>
        </w:rPr>
        <w:t xml:space="preserve">Ahora bien, en atención a lo dispuesto por los artículos 3, fracción XI y 12 </w:t>
      </w:r>
      <w:r w:rsidRPr="005F0462">
        <w:rPr>
          <w:rFonts w:ascii="Palatino Linotype" w:hAnsi="Palatino Linotype" w:cs="Arial"/>
          <w:bCs/>
          <w:lang w:val="es-ES_tradnl"/>
        </w:rPr>
        <w:t>de la Ley de Transparencia y Acceso a la Información Pública del Estado de México y Municipios</w:t>
      </w:r>
      <w:r w:rsidRPr="005F0462">
        <w:rPr>
          <w:rFonts w:ascii="Palatino Linotype" w:hAnsi="Palatino Linotype" w:cs="Arial"/>
          <w:lang w:val="es-ES_tradnl"/>
        </w:rPr>
        <w:t>, los cuales son del tenor literal siguiente:</w:t>
      </w:r>
    </w:p>
    <w:p w14:paraId="56BA07C1" w14:textId="77777777" w:rsidR="00862FC2" w:rsidRPr="005F0462" w:rsidRDefault="00862FC2" w:rsidP="00862FC2">
      <w:pPr>
        <w:pStyle w:val="Sinespaciado"/>
        <w:ind w:left="567" w:right="567"/>
        <w:jc w:val="both"/>
        <w:rPr>
          <w:rFonts w:ascii="Palatino Linotype" w:hAnsi="Palatino Linotype"/>
          <w:lang w:val="es-ES_tradnl"/>
        </w:rPr>
      </w:pPr>
    </w:p>
    <w:p w14:paraId="39C84C9B" w14:textId="77777777" w:rsidR="00862FC2" w:rsidRPr="005F0462" w:rsidRDefault="00862FC2" w:rsidP="00862FC2">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542FB9D0" w14:textId="77777777" w:rsidR="00862FC2" w:rsidRPr="005F0462" w:rsidRDefault="00862FC2" w:rsidP="00862FC2">
      <w:pPr>
        <w:pStyle w:val="Sinespaciado"/>
        <w:ind w:left="851" w:right="851"/>
        <w:jc w:val="both"/>
        <w:rPr>
          <w:rFonts w:ascii="Palatino Linotype" w:hAnsi="Palatino Linotype"/>
          <w:i/>
          <w:lang w:val="es-ES_tradnl"/>
        </w:rPr>
      </w:pPr>
      <w:r w:rsidRPr="005F0462">
        <w:rPr>
          <w:rFonts w:ascii="Palatino Linotype" w:hAnsi="Palatino Linotype"/>
          <w:i/>
          <w:lang w:val="es-ES_tradnl"/>
        </w:rPr>
        <w:lastRenderedPageBreak/>
        <w:t>…</w:t>
      </w:r>
    </w:p>
    <w:p w14:paraId="45F842CB" w14:textId="77777777" w:rsidR="00862FC2" w:rsidRPr="005F0462" w:rsidRDefault="00862FC2" w:rsidP="00862FC2">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6027449B" w14:textId="77777777" w:rsidR="00862FC2" w:rsidRPr="005F0462" w:rsidRDefault="00862FC2" w:rsidP="00862FC2">
      <w:pPr>
        <w:pStyle w:val="Sinespaciado"/>
        <w:ind w:left="851" w:right="851"/>
        <w:jc w:val="both"/>
        <w:rPr>
          <w:rFonts w:ascii="Palatino Linotype" w:hAnsi="Palatino Linotype"/>
          <w:i/>
          <w:lang w:val="es-ES_tradnl"/>
        </w:rPr>
      </w:pPr>
    </w:p>
    <w:p w14:paraId="5D7FC67F" w14:textId="77777777" w:rsidR="00862FC2" w:rsidRPr="005F0462" w:rsidRDefault="00862FC2" w:rsidP="00862FC2">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EEEE53" w14:textId="77777777" w:rsidR="00862FC2" w:rsidRPr="005F0462" w:rsidRDefault="00862FC2" w:rsidP="00862FC2">
      <w:pPr>
        <w:pStyle w:val="Sinespaciado"/>
        <w:ind w:left="851" w:right="851"/>
        <w:jc w:val="both"/>
        <w:rPr>
          <w:rFonts w:ascii="Palatino Linotype" w:hAnsi="Palatino Linotype"/>
          <w:bCs/>
          <w:i/>
          <w:lang w:val="es-ES_tradnl"/>
        </w:rPr>
      </w:pPr>
    </w:p>
    <w:p w14:paraId="2E39A71E" w14:textId="77777777" w:rsidR="00862FC2" w:rsidRPr="005F0462" w:rsidRDefault="00862FC2" w:rsidP="00862FC2">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5F0462">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CCEFE1" w14:textId="77777777" w:rsidR="00862FC2" w:rsidRPr="005F0462" w:rsidRDefault="00862FC2" w:rsidP="00862FC2">
      <w:pPr>
        <w:pStyle w:val="Sinespaciado"/>
        <w:ind w:left="851" w:right="851"/>
        <w:jc w:val="both"/>
        <w:rPr>
          <w:rFonts w:ascii="Palatino Linotype" w:hAnsi="Palatino Linotype"/>
          <w:bCs/>
          <w:i/>
          <w:lang w:val="es-ES_tradnl"/>
        </w:rPr>
      </w:pPr>
    </w:p>
    <w:p w14:paraId="751B7D9A" w14:textId="77777777" w:rsidR="00862FC2" w:rsidRPr="005F0462" w:rsidRDefault="00862FC2" w:rsidP="00862FC2">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3AAE6851" w14:textId="77777777" w:rsidR="00862FC2" w:rsidRPr="005F0462" w:rsidRDefault="00862FC2" w:rsidP="00862FC2">
      <w:pPr>
        <w:pStyle w:val="Sinespaciado"/>
        <w:ind w:left="851" w:right="851"/>
        <w:jc w:val="both"/>
        <w:rPr>
          <w:rFonts w:ascii="Palatino Linotype" w:hAnsi="Palatino Linotype"/>
          <w:i/>
          <w:lang w:val="es-ES_tradnl"/>
        </w:rPr>
      </w:pPr>
    </w:p>
    <w:p w14:paraId="4FE4D081" w14:textId="77777777" w:rsidR="00862FC2" w:rsidRPr="005F0462" w:rsidRDefault="00862FC2" w:rsidP="00862FC2">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181FBFFB" w14:textId="77777777" w:rsidR="00862FC2" w:rsidRPr="005F0462" w:rsidRDefault="00862FC2" w:rsidP="00862FC2">
      <w:pPr>
        <w:pStyle w:val="Sinespaciado"/>
        <w:ind w:left="851" w:right="851"/>
        <w:jc w:val="both"/>
        <w:rPr>
          <w:rFonts w:ascii="Palatino Linotype" w:hAnsi="Palatino Linotype"/>
          <w:i/>
          <w:lang w:val="es-ES_tradnl"/>
        </w:rPr>
      </w:pPr>
    </w:p>
    <w:p w14:paraId="1514AEDE" w14:textId="77777777" w:rsidR="00862FC2" w:rsidRPr="005F0462" w:rsidRDefault="00862FC2" w:rsidP="00862FC2">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 xml:space="preserve">Los sujetos obligados sólo proporcionarán la información pública que se les requiera y que obre en sus archivos y en el estado en que ésta se encuentre. La obligación de proporcionar información no comprende el </w:t>
      </w:r>
      <w:r w:rsidRPr="005F0462">
        <w:rPr>
          <w:rFonts w:ascii="Palatino Linotype" w:hAnsi="Palatino Linotype"/>
          <w:b/>
          <w:i/>
          <w:u w:val="single"/>
          <w:lang w:val="es-ES_tradnl"/>
        </w:rPr>
        <w:lastRenderedPageBreak/>
        <w:t>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55853458" w14:textId="77777777" w:rsidR="00862FC2" w:rsidRPr="005F0462" w:rsidRDefault="00862FC2" w:rsidP="00862FC2">
      <w:pPr>
        <w:pStyle w:val="Sinespaciado"/>
        <w:spacing w:line="360" w:lineRule="auto"/>
        <w:jc w:val="both"/>
        <w:rPr>
          <w:rFonts w:ascii="Palatino Linotype" w:hAnsi="Palatino Linotype"/>
          <w:lang w:val="es-ES_tradnl"/>
        </w:rPr>
      </w:pPr>
    </w:p>
    <w:p w14:paraId="7235E88F" w14:textId="77777777"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cs="Arial"/>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927B8ED" w14:textId="77777777" w:rsidR="00862FC2" w:rsidRPr="005F0462" w:rsidRDefault="00862FC2" w:rsidP="00862FC2">
      <w:pPr>
        <w:pStyle w:val="Sinespaciado"/>
        <w:spacing w:line="360" w:lineRule="auto"/>
        <w:jc w:val="both"/>
        <w:rPr>
          <w:rFonts w:ascii="Palatino Linotype" w:hAnsi="Palatino Linotype"/>
          <w:lang w:val="es-ES_tradnl"/>
        </w:rPr>
      </w:pPr>
    </w:p>
    <w:p w14:paraId="23EE230F" w14:textId="0D80331B" w:rsidR="00862FC2" w:rsidRDefault="00862FC2" w:rsidP="00862FC2">
      <w:pPr>
        <w:pStyle w:val="Sinespaciado"/>
        <w:spacing w:line="360" w:lineRule="auto"/>
        <w:jc w:val="both"/>
        <w:rPr>
          <w:rFonts w:ascii="Palatino Linotype" w:eastAsia="MS Mincho" w:hAnsi="Palatino Linotype"/>
          <w:lang w:val="es-ES_tradnl"/>
        </w:rPr>
      </w:pPr>
      <w:r w:rsidRPr="005F0462">
        <w:rPr>
          <w:rFonts w:ascii="Palatino Linotype" w:hAnsi="Palatino Linotype"/>
          <w:lang w:val="es-ES_tradnl"/>
        </w:rPr>
        <w:t>En ese tenor, en virtud de que la solicitud del particular consiste en conocer información relacionada con</w:t>
      </w:r>
      <w:r>
        <w:rPr>
          <w:rFonts w:ascii="Palatino Linotype" w:hAnsi="Palatino Linotype"/>
          <w:lang w:val="es-ES_tradnl"/>
        </w:rPr>
        <w:t xml:space="preserve"> la situación de dos ciudadanos respecto a las certificaciones de control de confianza.</w:t>
      </w:r>
      <w:r>
        <w:rPr>
          <w:rFonts w:ascii="Palatino Linotype" w:eastAsia="MS Mincho" w:hAnsi="Palatino Linotype"/>
          <w:lang w:val="es-ES_tradnl"/>
        </w:rPr>
        <w:t xml:space="preserve"> </w:t>
      </w:r>
    </w:p>
    <w:p w14:paraId="01C3AA74" w14:textId="77777777" w:rsidR="00862FC2" w:rsidRPr="005F0462" w:rsidRDefault="00862FC2" w:rsidP="00862FC2">
      <w:pPr>
        <w:rPr>
          <w:rFonts w:eastAsia="MS Mincho" w:cs="Times New Roman"/>
          <w:szCs w:val="24"/>
          <w:lang w:eastAsia="es-ES"/>
        </w:rPr>
      </w:pPr>
    </w:p>
    <w:p w14:paraId="4A6ED9DD" w14:textId="35350D97" w:rsidR="00862FC2" w:rsidRPr="005F0462" w:rsidRDefault="00862FC2" w:rsidP="00862FC2">
      <w:pPr>
        <w:rPr>
          <w:rFonts w:eastAsia="MS Mincho" w:cs="Times New Roman"/>
          <w:szCs w:val="24"/>
          <w:lang w:eastAsia="es-ES"/>
        </w:rPr>
      </w:pPr>
      <w:r w:rsidRPr="005F0462">
        <w:rPr>
          <w:rFonts w:eastAsia="MS Mincho" w:cs="Times New Roman"/>
          <w:szCs w:val="24"/>
          <w:lang w:eastAsia="es-ES"/>
        </w:rPr>
        <w:t>En ese orden de ideas,</w:t>
      </w:r>
      <w:r>
        <w:rPr>
          <w:rFonts w:eastAsia="MS Mincho" w:cs="Times New Roman"/>
          <w:szCs w:val="24"/>
          <w:lang w:eastAsia="es-ES"/>
        </w:rPr>
        <w:t xml:space="preserve"> si bien es cierto,</w:t>
      </w:r>
      <w:r w:rsidRPr="005F0462">
        <w:rPr>
          <w:rFonts w:eastAsia="MS Mincho" w:cs="Times New Roman"/>
          <w:szCs w:val="24"/>
          <w:lang w:eastAsia="es-ES"/>
        </w:rPr>
        <w:t xml:space="preserve"> mediante respuesta primigenia a la solicitud de información de mérito, se pronunci</w:t>
      </w:r>
      <w:r>
        <w:rPr>
          <w:rFonts w:eastAsia="MS Mincho" w:cs="Times New Roman"/>
          <w:szCs w:val="24"/>
          <w:lang w:eastAsia="es-ES"/>
        </w:rPr>
        <w:t>aron las áreas competentes</w:t>
      </w:r>
      <w:r w:rsidRPr="005F0462">
        <w:rPr>
          <w:rFonts w:eastAsia="MS Mincho" w:cs="Times New Roman"/>
          <w:szCs w:val="24"/>
          <w:lang w:eastAsia="es-ES"/>
        </w:rPr>
        <w:t xml:space="preserve"> que </w:t>
      </w:r>
      <w:r>
        <w:rPr>
          <w:rFonts w:eastAsia="MS Mincho" w:cs="Times New Roman"/>
          <w:szCs w:val="24"/>
          <w:lang w:eastAsia="es-ES"/>
        </w:rPr>
        <w:t>podrían</w:t>
      </w:r>
      <w:r w:rsidRPr="005F0462">
        <w:rPr>
          <w:rFonts w:eastAsia="MS Mincho" w:cs="Times New Roman"/>
          <w:szCs w:val="24"/>
          <w:lang w:eastAsia="es-ES"/>
        </w:rPr>
        <w:t xml:space="preserve"> conocer de la información requerida por el particular, </w:t>
      </w:r>
      <w:r>
        <w:rPr>
          <w:rFonts w:eastAsia="MS Mincho" w:cs="Times New Roman"/>
          <w:szCs w:val="24"/>
          <w:lang w:eastAsia="es-ES"/>
        </w:rPr>
        <w:t>también lo es que</w:t>
      </w:r>
      <w:r w:rsidRPr="005F0462">
        <w:rPr>
          <w:rFonts w:eastAsia="MS Mincho" w:cs="Times New Roman"/>
          <w:szCs w:val="24"/>
          <w:lang w:eastAsia="es-ES"/>
        </w:rPr>
        <w:t xml:space="preserve"> al informar que </w:t>
      </w:r>
      <w:r w:rsidRPr="0010180E">
        <w:rPr>
          <w:rFonts w:eastAsia="MS Mincho" w:cs="Times New Roman"/>
          <w:szCs w:val="24"/>
          <w:lang w:eastAsia="es-ES"/>
        </w:rPr>
        <w:t xml:space="preserve">realizó una búsqueda exhaustiva y minuciosa </w:t>
      </w:r>
      <w:r>
        <w:rPr>
          <w:rFonts w:eastAsia="MS Mincho" w:cs="Times New Roman"/>
          <w:szCs w:val="24"/>
          <w:lang w:eastAsia="es-ES"/>
        </w:rPr>
        <w:t xml:space="preserve">dentro de dichas áreas, </w:t>
      </w:r>
      <w:r w:rsidRPr="00862FC2">
        <w:rPr>
          <w:rFonts w:eastAsia="MS Mincho" w:cs="Times New Roman"/>
          <w:szCs w:val="24"/>
          <w:lang w:eastAsia="es-ES"/>
        </w:rPr>
        <w:t>no existe registro de evaluación de las personas referidas en la solicitud, desconociendo si han sido evaluadas ante otro Centro de Control de Confianza Estatal o Federal; o bien, los datos proporcionados no son los correctos</w:t>
      </w:r>
      <w:r w:rsidRPr="005F0462">
        <w:rPr>
          <w:rFonts w:eastAsia="MS Mincho" w:cs="Times New Roman"/>
          <w:szCs w:val="24"/>
          <w:lang w:eastAsia="es-ES"/>
        </w:rPr>
        <w:t>.</w:t>
      </w:r>
    </w:p>
    <w:p w14:paraId="19A8D632" w14:textId="77777777" w:rsidR="00862FC2" w:rsidRDefault="00862FC2" w:rsidP="00862FC2">
      <w:pPr>
        <w:pStyle w:val="Sinespaciado"/>
        <w:spacing w:line="360" w:lineRule="auto"/>
        <w:jc w:val="both"/>
        <w:rPr>
          <w:rFonts w:ascii="Palatino Linotype" w:hAnsi="Palatino Linotype"/>
          <w:lang w:val="es-ES_tradnl"/>
        </w:rPr>
      </w:pPr>
    </w:p>
    <w:p w14:paraId="7D2DFDA6" w14:textId="2B8CCE5A"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A hora bien, de lo manifestado por el </w:t>
      </w:r>
      <w:r w:rsidRPr="005F0462">
        <w:rPr>
          <w:rFonts w:ascii="Palatino Linotype" w:hAnsi="Palatino Linotype"/>
          <w:b/>
          <w:lang w:val="es-ES_tradnl"/>
        </w:rPr>
        <w:t>Sujeto Obligado</w:t>
      </w:r>
      <w:r w:rsidRPr="005F0462">
        <w:rPr>
          <w:rFonts w:ascii="Palatino Linotype" w:hAnsi="Palatino Linotype"/>
          <w:lang w:val="es-ES_tradnl"/>
        </w:rPr>
        <w:t xml:space="preserve"> se colige que no ha generado, poseído o administrado la documentación solicitada respecto a</w:t>
      </w:r>
      <w:r>
        <w:rPr>
          <w:rFonts w:ascii="Palatino Linotype" w:hAnsi="Palatino Linotype"/>
          <w:lang w:val="es-ES_tradnl"/>
        </w:rPr>
        <w:t>l registro de evaluación de las personas referidas en la solicitud de información</w:t>
      </w:r>
      <w:r w:rsidRPr="005F0462">
        <w:rPr>
          <w:rFonts w:ascii="Palatino Linotype" w:hAnsi="Palatino Linotype"/>
          <w:lang w:val="es-ES_tradnl"/>
        </w:rPr>
        <w:t xml:space="preserve"> </w:t>
      </w:r>
      <w:r>
        <w:rPr>
          <w:rFonts w:ascii="Palatino Linotype" w:hAnsi="Palatino Linotype"/>
          <w:lang w:val="es-ES_tradnl"/>
        </w:rPr>
        <w:t>informes</w:t>
      </w:r>
      <w:r w:rsidRPr="005F0462">
        <w:rPr>
          <w:rFonts w:ascii="Palatino Linotype" w:hAnsi="Palatino Linotype"/>
          <w:lang w:val="es-ES_tradnl"/>
        </w:rPr>
        <w:t xml:space="preserve">. Además, no se debe </w:t>
      </w:r>
      <w:r w:rsidRPr="005F0462">
        <w:rPr>
          <w:rFonts w:ascii="Palatino Linotype" w:hAnsi="Palatino Linotype"/>
          <w:lang w:val="es-ES_tradnl"/>
        </w:rPr>
        <w:lastRenderedPageBreak/>
        <w:t xml:space="preserve">pasar por desapercibido que la naturaleza del derecho de acceso a la información es de índole documental, y por tanto se delimita a los documentos que los sujetos obligados generen, administren o posean, conforme </w:t>
      </w:r>
      <w:r w:rsidRPr="005F0462">
        <w:rPr>
          <w:rFonts w:ascii="Palatino Linotype" w:eastAsia="Calibri" w:hAnsi="Palatino Linotype"/>
          <w:lang w:val="es-ES_tradnl"/>
        </w:rPr>
        <w:t>al precepto 24, de la Ley de la materia que al efecto establece:</w:t>
      </w:r>
    </w:p>
    <w:p w14:paraId="6868C010" w14:textId="77777777" w:rsidR="00862FC2" w:rsidRPr="005F0462" w:rsidRDefault="00862FC2" w:rsidP="00862FC2">
      <w:pPr>
        <w:spacing w:line="240" w:lineRule="auto"/>
        <w:rPr>
          <w:rFonts w:ascii="Times New Roman" w:eastAsia="Times New Roman" w:hAnsi="Times New Roman" w:cs="Times New Roman"/>
          <w:szCs w:val="24"/>
          <w:lang w:eastAsia="es-ES"/>
        </w:rPr>
      </w:pPr>
    </w:p>
    <w:p w14:paraId="159D2245" w14:textId="77777777" w:rsidR="00862FC2" w:rsidRPr="005F0462" w:rsidRDefault="00862FC2" w:rsidP="00862FC2">
      <w:pPr>
        <w:autoSpaceDE w:val="0"/>
        <w:autoSpaceDN w:val="0"/>
        <w:adjustRightInd w:val="0"/>
        <w:spacing w:line="240" w:lineRule="auto"/>
        <w:ind w:left="851" w:right="851"/>
        <w:rPr>
          <w:rFonts w:cs="Arial"/>
          <w:i/>
          <w:szCs w:val="24"/>
        </w:rPr>
      </w:pPr>
      <w:r w:rsidRPr="005F0462">
        <w:rPr>
          <w:rFonts w:cs="Arial"/>
          <w:i/>
          <w:szCs w:val="24"/>
        </w:rPr>
        <w:t>“</w:t>
      </w:r>
      <w:r w:rsidRPr="005F0462">
        <w:rPr>
          <w:rFonts w:cs="Arial"/>
          <w:b/>
          <w:i/>
          <w:szCs w:val="24"/>
        </w:rPr>
        <w:t>Artículo 24.</w:t>
      </w:r>
      <w:r w:rsidRPr="005F0462">
        <w:rPr>
          <w:rFonts w:cs="Arial"/>
          <w:i/>
          <w:szCs w:val="24"/>
        </w:rPr>
        <w:t xml:space="preserve"> Para el cumplimiento de los objetivos de esta Ley, los sujetos obligados deberán cumplir con las siguientes obligaciones, según corresponda, de acuerdo a su naturaleza:</w:t>
      </w:r>
    </w:p>
    <w:p w14:paraId="48387F97" w14:textId="77777777" w:rsidR="00862FC2" w:rsidRPr="005F0462" w:rsidRDefault="00862FC2" w:rsidP="00862FC2">
      <w:pPr>
        <w:autoSpaceDE w:val="0"/>
        <w:autoSpaceDN w:val="0"/>
        <w:adjustRightInd w:val="0"/>
        <w:spacing w:line="240" w:lineRule="auto"/>
        <w:ind w:left="851" w:right="851"/>
        <w:rPr>
          <w:rFonts w:cs="Arial"/>
          <w:i/>
          <w:szCs w:val="24"/>
        </w:rPr>
      </w:pPr>
    </w:p>
    <w:p w14:paraId="3A83AB7B" w14:textId="77777777" w:rsidR="00862FC2" w:rsidRPr="005F0462" w:rsidRDefault="00862FC2" w:rsidP="00862FC2">
      <w:pPr>
        <w:tabs>
          <w:tab w:val="left" w:pos="709"/>
        </w:tabs>
        <w:spacing w:line="240" w:lineRule="auto"/>
        <w:ind w:left="851" w:right="851"/>
        <w:rPr>
          <w:rFonts w:cs="Arial"/>
          <w:i/>
          <w:szCs w:val="24"/>
        </w:rPr>
      </w:pPr>
      <w:r w:rsidRPr="005F0462">
        <w:rPr>
          <w:rFonts w:cs="Arial"/>
          <w:i/>
          <w:szCs w:val="24"/>
        </w:rPr>
        <w:t>[…]</w:t>
      </w:r>
    </w:p>
    <w:p w14:paraId="68566F8A" w14:textId="77777777" w:rsidR="00862FC2" w:rsidRPr="005F0462" w:rsidRDefault="00862FC2" w:rsidP="00862FC2">
      <w:pPr>
        <w:tabs>
          <w:tab w:val="left" w:pos="709"/>
        </w:tabs>
        <w:spacing w:line="240" w:lineRule="auto"/>
        <w:ind w:left="851" w:right="851"/>
        <w:rPr>
          <w:rFonts w:cs="Arial"/>
          <w:i/>
          <w:szCs w:val="24"/>
        </w:rPr>
      </w:pPr>
      <w:r w:rsidRPr="005F0462">
        <w:rPr>
          <w:rFonts w:cs="Arial"/>
          <w:b/>
          <w:i/>
          <w:szCs w:val="24"/>
        </w:rPr>
        <w:t>Los sujetos obligados solo proporcionarán la información pública que generen, administren o posean en el ejercicio de sus atribuciones</w:t>
      </w:r>
      <w:r w:rsidRPr="005F0462">
        <w:rPr>
          <w:rFonts w:cs="Times New Roman"/>
          <w:szCs w:val="24"/>
        </w:rPr>
        <w:t>.”</w:t>
      </w:r>
    </w:p>
    <w:p w14:paraId="5701E383" w14:textId="77777777" w:rsidR="00862FC2" w:rsidRPr="005F0462" w:rsidRDefault="00862FC2" w:rsidP="00862FC2">
      <w:pPr>
        <w:spacing w:line="240" w:lineRule="auto"/>
        <w:rPr>
          <w:rFonts w:ascii="Times New Roman" w:eastAsia="Times New Roman" w:hAnsi="Times New Roman" w:cs="Times New Roman"/>
          <w:szCs w:val="24"/>
          <w:lang w:eastAsia="es-ES"/>
        </w:rPr>
      </w:pPr>
    </w:p>
    <w:p w14:paraId="7E820562" w14:textId="77777777" w:rsidR="00862FC2" w:rsidRPr="005F0462" w:rsidRDefault="00862FC2" w:rsidP="00862FC2">
      <w:pPr>
        <w:autoSpaceDE w:val="0"/>
        <w:autoSpaceDN w:val="0"/>
        <w:adjustRightInd w:val="0"/>
        <w:rPr>
          <w:rFonts w:cs="Times New Roman"/>
        </w:rPr>
      </w:pPr>
    </w:p>
    <w:p w14:paraId="5D1576E9" w14:textId="77777777" w:rsidR="00862FC2" w:rsidRPr="005F0462" w:rsidRDefault="00862FC2" w:rsidP="00862FC2">
      <w:pPr>
        <w:rPr>
          <w:rFonts w:cs="Arial"/>
          <w:szCs w:val="24"/>
        </w:rPr>
      </w:pPr>
      <w:r w:rsidRPr="005F0462">
        <w:rPr>
          <w:rFonts w:cs="Times New Roman"/>
        </w:rPr>
        <w:t xml:space="preserve">Por lo que </w:t>
      </w:r>
      <w:r w:rsidRPr="005F0462">
        <w:rPr>
          <w:rFonts w:cs="Arial"/>
          <w:szCs w:val="24"/>
        </w:rPr>
        <w:t xml:space="preserve">se entiende que, </w:t>
      </w:r>
      <w:r w:rsidRPr="005F0462">
        <w:rPr>
          <w:rFonts w:cs="Arial"/>
          <w:bCs/>
          <w:szCs w:val="24"/>
        </w:rPr>
        <w:t>el</w:t>
      </w:r>
      <w:r w:rsidRPr="005F0462">
        <w:rPr>
          <w:rFonts w:cs="Arial"/>
          <w:b/>
          <w:szCs w:val="24"/>
        </w:rPr>
        <w:t xml:space="preserve"> Sujeto Obligado</w:t>
      </w:r>
      <w:r w:rsidRPr="005F0462">
        <w:rPr>
          <w:rFonts w:cs="Arial"/>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w:t>
      </w:r>
      <w:r w:rsidRPr="005F0462">
        <w:rPr>
          <w:rFonts w:cs="Arial"/>
          <w:i/>
          <w:szCs w:val="24"/>
        </w:rPr>
        <w:t>a contrario sensu</w:t>
      </w:r>
      <w:r w:rsidRPr="005F0462">
        <w:rPr>
          <w:rFonts w:cs="Arial"/>
          <w:szCs w:val="24"/>
        </w:rPr>
        <w:t xml:space="preserve"> significa que </w:t>
      </w:r>
      <w:r w:rsidRPr="005F0462">
        <w:rPr>
          <w:rFonts w:cs="Arial"/>
          <w:b/>
          <w:bCs/>
          <w:szCs w:val="24"/>
        </w:rPr>
        <w:t>no se está obligado a proporcionar lo que no obre en sus archivos</w:t>
      </w:r>
      <w:r w:rsidRPr="005F0462">
        <w:rPr>
          <w:rFonts w:cs="Arial"/>
          <w:szCs w:val="24"/>
        </w:rPr>
        <w:t>, mismo que se transcribe a continuación:</w:t>
      </w:r>
    </w:p>
    <w:p w14:paraId="1B7FC1A8" w14:textId="77777777" w:rsidR="00862FC2" w:rsidRPr="005F0462" w:rsidRDefault="00862FC2" w:rsidP="00862FC2">
      <w:pPr>
        <w:rPr>
          <w:rFonts w:cs="Arial"/>
          <w:szCs w:val="24"/>
        </w:rPr>
      </w:pPr>
    </w:p>
    <w:p w14:paraId="0F350AEC" w14:textId="77777777" w:rsidR="00862FC2" w:rsidRPr="005F0462" w:rsidRDefault="00862FC2" w:rsidP="00862FC2">
      <w:pPr>
        <w:spacing w:line="240" w:lineRule="auto"/>
        <w:ind w:left="851" w:right="851"/>
        <w:rPr>
          <w:rFonts w:cs="Arial"/>
          <w:i/>
        </w:rPr>
      </w:pPr>
      <w:r w:rsidRPr="005F0462">
        <w:rPr>
          <w:rFonts w:cs="Arial"/>
          <w:b/>
          <w:i/>
        </w:rPr>
        <w:t>Artículo 12.</w:t>
      </w:r>
      <w:r w:rsidRPr="005F0462">
        <w:rPr>
          <w:rFonts w:cs="Arial"/>
          <w:i/>
        </w:rPr>
        <w:t xml:space="preserve"> Quienes generen, recopilen, administren, manejen, procesen, archiven o conserven información pública serán responsables de la misma en los términos de las disposiciones jurídicas aplicables. </w:t>
      </w:r>
    </w:p>
    <w:p w14:paraId="00F0BEC1" w14:textId="77777777" w:rsidR="00862FC2" w:rsidRPr="005F0462" w:rsidRDefault="00862FC2" w:rsidP="00862FC2">
      <w:pPr>
        <w:spacing w:line="240" w:lineRule="auto"/>
        <w:ind w:left="851" w:right="851"/>
        <w:rPr>
          <w:rFonts w:cs="Arial"/>
          <w:b/>
          <w:i/>
        </w:rPr>
      </w:pPr>
    </w:p>
    <w:p w14:paraId="2ED29C60" w14:textId="77777777" w:rsidR="00862FC2" w:rsidRPr="005F0462" w:rsidRDefault="00862FC2" w:rsidP="00862FC2">
      <w:pPr>
        <w:spacing w:line="240" w:lineRule="auto"/>
        <w:ind w:left="851" w:right="851"/>
        <w:rPr>
          <w:rFonts w:cs="Arial"/>
          <w:i/>
        </w:rPr>
      </w:pPr>
      <w:r w:rsidRPr="005F0462">
        <w:rPr>
          <w:rFonts w:cs="Arial"/>
          <w:b/>
          <w:i/>
        </w:rPr>
        <w:t xml:space="preserve">Los sujetos obligados sólo proporcionarán la información pública que se les requiera y que obre en sus archivos y en el estado en que ésta se </w:t>
      </w:r>
      <w:r w:rsidRPr="005F0462">
        <w:rPr>
          <w:rFonts w:cs="Arial"/>
          <w:b/>
          <w:i/>
        </w:rPr>
        <w:lastRenderedPageBreak/>
        <w:t>encuentre.</w:t>
      </w:r>
      <w:r w:rsidRPr="005F0462">
        <w:rPr>
          <w:rFonts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60C5D36F" w14:textId="77777777" w:rsidR="00862FC2" w:rsidRDefault="00862FC2" w:rsidP="00862FC2">
      <w:pPr>
        <w:autoSpaceDE w:val="0"/>
        <w:autoSpaceDN w:val="0"/>
        <w:adjustRightInd w:val="0"/>
        <w:rPr>
          <w:rFonts w:cs="Arial"/>
          <w:szCs w:val="24"/>
        </w:rPr>
      </w:pPr>
    </w:p>
    <w:p w14:paraId="521F59E4" w14:textId="041DBCDD" w:rsidR="009935AB" w:rsidRPr="00407C73" w:rsidRDefault="009935AB" w:rsidP="00862FC2">
      <w:pPr>
        <w:autoSpaceDE w:val="0"/>
        <w:autoSpaceDN w:val="0"/>
        <w:adjustRightInd w:val="0"/>
        <w:rPr>
          <w:rFonts w:cs="Arial"/>
          <w:szCs w:val="24"/>
        </w:rPr>
      </w:pPr>
      <w:r w:rsidRPr="00407C73">
        <w:rPr>
          <w:rFonts w:cs="Arial"/>
          <w:szCs w:val="24"/>
        </w:rPr>
        <w:t>Aunado a lo anterior es necesario traer a colación lo establecido en el Reglamento Interior del Centro de Control de Confianza del Estado de México, que a la letra señala:</w:t>
      </w:r>
    </w:p>
    <w:p w14:paraId="06373224" w14:textId="77777777" w:rsidR="007C7403" w:rsidRPr="00407C73" w:rsidRDefault="007C7403" w:rsidP="00862FC2">
      <w:pPr>
        <w:autoSpaceDE w:val="0"/>
        <w:autoSpaceDN w:val="0"/>
        <w:adjustRightInd w:val="0"/>
        <w:rPr>
          <w:rFonts w:cs="Arial"/>
          <w:szCs w:val="24"/>
        </w:rPr>
      </w:pPr>
    </w:p>
    <w:p w14:paraId="42A95459" w14:textId="11F885F1" w:rsidR="009935AB" w:rsidRPr="00407C73" w:rsidRDefault="007C7403" w:rsidP="007C7403">
      <w:pPr>
        <w:autoSpaceDE w:val="0"/>
        <w:autoSpaceDN w:val="0"/>
        <w:adjustRightInd w:val="0"/>
        <w:ind w:left="567" w:right="567"/>
        <w:jc w:val="center"/>
        <w:rPr>
          <w:rFonts w:cs="Arial"/>
          <w:b/>
          <w:i/>
          <w:szCs w:val="24"/>
        </w:rPr>
      </w:pPr>
      <w:r w:rsidRPr="00407C73">
        <w:rPr>
          <w:rFonts w:cs="Arial"/>
          <w:b/>
          <w:i/>
          <w:szCs w:val="24"/>
        </w:rPr>
        <w:t>“</w:t>
      </w:r>
      <w:r w:rsidR="009935AB" w:rsidRPr="00407C73">
        <w:rPr>
          <w:rFonts w:cs="Arial"/>
          <w:b/>
          <w:i/>
          <w:szCs w:val="24"/>
        </w:rPr>
        <w:t>SECCIÓN SEGUNDA</w:t>
      </w:r>
    </w:p>
    <w:p w14:paraId="7515B4EB" w14:textId="77777777" w:rsidR="009935AB" w:rsidRPr="00407C73" w:rsidRDefault="009935AB" w:rsidP="007C7403">
      <w:pPr>
        <w:autoSpaceDE w:val="0"/>
        <w:autoSpaceDN w:val="0"/>
        <w:adjustRightInd w:val="0"/>
        <w:ind w:left="567" w:right="567"/>
        <w:jc w:val="center"/>
        <w:rPr>
          <w:rFonts w:cs="Arial"/>
          <w:b/>
          <w:i/>
          <w:szCs w:val="24"/>
        </w:rPr>
      </w:pPr>
      <w:r w:rsidRPr="00407C73">
        <w:rPr>
          <w:rFonts w:cs="Arial"/>
          <w:b/>
          <w:i/>
          <w:szCs w:val="24"/>
        </w:rPr>
        <w:t>DE LA PERSONA TITULAR DE LA DIRECCIÓN GENERAL</w:t>
      </w:r>
    </w:p>
    <w:p w14:paraId="3700E216" w14:textId="54016BBB" w:rsidR="009935AB" w:rsidRPr="00407C73" w:rsidRDefault="009935AB" w:rsidP="009935AB">
      <w:pPr>
        <w:autoSpaceDE w:val="0"/>
        <w:autoSpaceDN w:val="0"/>
        <w:adjustRightInd w:val="0"/>
        <w:ind w:left="567" w:right="567"/>
        <w:rPr>
          <w:rFonts w:cs="Arial"/>
          <w:i/>
          <w:szCs w:val="24"/>
        </w:rPr>
      </w:pPr>
      <w:r w:rsidRPr="00407C73">
        <w:rPr>
          <w:rFonts w:cs="Arial"/>
          <w:b/>
          <w:i/>
          <w:szCs w:val="24"/>
        </w:rPr>
        <w:t>Artículo 10.-</w:t>
      </w:r>
      <w:r w:rsidRPr="00407C73">
        <w:rPr>
          <w:rFonts w:cs="Arial"/>
          <w:i/>
          <w:szCs w:val="24"/>
        </w:rPr>
        <w:t xml:space="preserve"> La administración, estudio, planeación, trámite y resolución de los asuntos competencia del Centro, así como su representación, corresponden originalmente a la persona titular de la Dirección General, quien para su mejor atención y despacho, podrá delegar sus atribuciones en las personas servidoras públicas subalternas, sin perder por ello la posibilidad de su ejercicio directo, excepto aquellas que por disposición de ley deban ser ejercidas en forma directa por la persona titular de la Dirección General.</w:t>
      </w:r>
    </w:p>
    <w:p w14:paraId="4E2B6AEA" w14:textId="2D79DA83" w:rsidR="009935AB" w:rsidRPr="00407C73" w:rsidRDefault="009935AB" w:rsidP="009935AB">
      <w:pPr>
        <w:autoSpaceDE w:val="0"/>
        <w:autoSpaceDN w:val="0"/>
        <w:adjustRightInd w:val="0"/>
        <w:ind w:left="567" w:right="567"/>
        <w:rPr>
          <w:rFonts w:cs="Arial"/>
          <w:i/>
          <w:szCs w:val="24"/>
        </w:rPr>
      </w:pPr>
      <w:r w:rsidRPr="00407C73">
        <w:rPr>
          <w:rFonts w:cs="Arial"/>
          <w:i/>
          <w:szCs w:val="24"/>
        </w:rPr>
        <w:t>Cuando las leyes y reglamentos otorguen atribuciones al Centro y éstas no se encuentren asignadas en el presente Reglamento a las unidades administrativas que lo integran, se entenderá que corresponden a la persona titular de la Dirección General.</w:t>
      </w:r>
    </w:p>
    <w:p w14:paraId="1BFA0EE3" w14:textId="78144941" w:rsidR="009935AB" w:rsidRPr="00407C73" w:rsidRDefault="009935AB" w:rsidP="009935AB">
      <w:pPr>
        <w:autoSpaceDE w:val="0"/>
        <w:autoSpaceDN w:val="0"/>
        <w:adjustRightInd w:val="0"/>
        <w:ind w:left="567" w:right="567"/>
        <w:rPr>
          <w:rFonts w:cs="Arial"/>
          <w:i/>
          <w:szCs w:val="24"/>
        </w:rPr>
      </w:pPr>
      <w:r w:rsidRPr="00407C73">
        <w:rPr>
          <w:rFonts w:cs="Arial"/>
          <w:b/>
          <w:i/>
          <w:szCs w:val="24"/>
        </w:rPr>
        <w:t>Artículo 11.-</w:t>
      </w:r>
      <w:r w:rsidRPr="00407C73">
        <w:rPr>
          <w:rFonts w:cs="Arial"/>
          <w:i/>
          <w:szCs w:val="24"/>
        </w:rPr>
        <w:t xml:space="preserve"> Corresponde a la persona titular de la Dirección General el ejercicio de las atribuciones siguientes:</w:t>
      </w:r>
    </w:p>
    <w:p w14:paraId="6FE76941" w14:textId="725C22DC" w:rsidR="009935AB" w:rsidRPr="00407C73" w:rsidRDefault="009935AB" w:rsidP="009935AB">
      <w:pPr>
        <w:autoSpaceDE w:val="0"/>
        <w:autoSpaceDN w:val="0"/>
        <w:adjustRightInd w:val="0"/>
        <w:ind w:left="567" w:right="567"/>
        <w:rPr>
          <w:rFonts w:cs="Arial"/>
          <w:i/>
          <w:szCs w:val="24"/>
        </w:rPr>
      </w:pPr>
      <w:r w:rsidRPr="00407C73">
        <w:rPr>
          <w:rFonts w:cs="Arial"/>
          <w:i/>
          <w:szCs w:val="24"/>
        </w:rPr>
        <w:t>I. Planear, programar, dirigir, controlar y evaluar el funcionamiento del Centro, estableciendo las medidas necesarias para el cumplimiento de su objeto, atribuciones y programas;</w:t>
      </w:r>
    </w:p>
    <w:p w14:paraId="1BBDDCF9" w14:textId="77777777" w:rsidR="009935AB" w:rsidRPr="00407C73" w:rsidRDefault="009935AB" w:rsidP="009935AB">
      <w:pPr>
        <w:autoSpaceDE w:val="0"/>
        <w:autoSpaceDN w:val="0"/>
        <w:adjustRightInd w:val="0"/>
        <w:ind w:left="567" w:right="567"/>
        <w:rPr>
          <w:rFonts w:cs="Arial"/>
          <w:i/>
          <w:szCs w:val="24"/>
        </w:rPr>
      </w:pPr>
      <w:r w:rsidRPr="00407C73">
        <w:rPr>
          <w:rFonts w:cs="Arial"/>
          <w:i/>
          <w:szCs w:val="24"/>
        </w:rPr>
        <w:lastRenderedPageBreak/>
        <w:t>II. Establecer y coordinar el funcionamiento del sistema de registro y control de confianza del Centro;</w:t>
      </w:r>
    </w:p>
    <w:p w14:paraId="655EEBC1" w14:textId="73E381C4" w:rsidR="009935AB" w:rsidRPr="00407C73" w:rsidRDefault="009935AB" w:rsidP="009935AB">
      <w:pPr>
        <w:autoSpaceDE w:val="0"/>
        <w:autoSpaceDN w:val="0"/>
        <w:adjustRightInd w:val="0"/>
        <w:ind w:left="567" w:right="567"/>
        <w:rPr>
          <w:rFonts w:cs="Arial"/>
          <w:i/>
          <w:szCs w:val="24"/>
        </w:rPr>
      </w:pPr>
      <w:r w:rsidRPr="00407C73">
        <w:rPr>
          <w:rFonts w:cs="Arial"/>
          <w:i/>
          <w:szCs w:val="24"/>
        </w:rPr>
        <w:t>III. Proporcionar a las autoridades competentes la información contenida en los expedientes de las personas integrantes de las Instituciones de Seguridad, que se requieran en procesos administrativos y judiciales, con las reservas previstas en las disposiciones jurídicas aplicables;</w:t>
      </w:r>
    </w:p>
    <w:p w14:paraId="5450B583" w14:textId="29883EC8" w:rsidR="009935AB" w:rsidRPr="00407C73" w:rsidRDefault="009935AB" w:rsidP="009935AB">
      <w:pPr>
        <w:autoSpaceDE w:val="0"/>
        <w:autoSpaceDN w:val="0"/>
        <w:adjustRightInd w:val="0"/>
        <w:ind w:left="567" w:right="567"/>
        <w:rPr>
          <w:rFonts w:cs="Arial"/>
          <w:i/>
          <w:szCs w:val="24"/>
        </w:rPr>
      </w:pPr>
      <w:r w:rsidRPr="00407C73">
        <w:rPr>
          <w:rFonts w:cs="Arial"/>
          <w:i/>
          <w:szCs w:val="24"/>
        </w:rPr>
        <w:t>IV. Informar a las autoridades de las Instituciones de Seguridad sobre los resultados de las evaluaciones que se practiquen para el ingreso, reingreso, promoción y permanencia de su personal, así como rendir el informe correspondiente al Consejo Directivo;</w:t>
      </w:r>
    </w:p>
    <w:p w14:paraId="375057B4" w14:textId="77777777" w:rsidR="009935AB" w:rsidRPr="00407C73" w:rsidRDefault="009935AB" w:rsidP="009935AB">
      <w:pPr>
        <w:autoSpaceDE w:val="0"/>
        <w:autoSpaceDN w:val="0"/>
        <w:adjustRightInd w:val="0"/>
        <w:ind w:left="567" w:right="567"/>
        <w:rPr>
          <w:rFonts w:cs="Arial"/>
          <w:i/>
          <w:szCs w:val="24"/>
        </w:rPr>
      </w:pPr>
      <w:r w:rsidRPr="00407C73">
        <w:rPr>
          <w:rFonts w:cs="Arial"/>
          <w:i/>
          <w:szCs w:val="24"/>
        </w:rPr>
        <w:t>V. Proponer a las Instituciones de Seguridad el perfil de grado de sus elementos;</w:t>
      </w:r>
    </w:p>
    <w:p w14:paraId="08A1C572" w14:textId="163DE551" w:rsidR="009935AB" w:rsidRPr="00407C73" w:rsidRDefault="009935AB" w:rsidP="009935AB">
      <w:pPr>
        <w:autoSpaceDE w:val="0"/>
        <w:autoSpaceDN w:val="0"/>
        <w:adjustRightInd w:val="0"/>
        <w:ind w:left="567" w:right="567"/>
        <w:rPr>
          <w:rFonts w:cs="Arial"/>
          <w:i/>
          <w:szCs w:val="24"/>
        </w:rPr>
      </w:pPr>
      <w:r w:rsidRPr="00407C73">
        <w:rPr>
          <w:rFonts w:cs="Arial"/>
          <w:i/>
          <w:szCs w:val="24"/>
        </w:rPr>
        <w:t>VI. Promover, ante las instancias competentes, la certificación de los procesos de evaluación que aplique el Centro, así como de las instituciones privadas que participen en dichos procesos;</w:t>
      </w:r>
    </w:p>
    <w:p w14:paraId="4120638E" w14:textId="77777777" w:rsidR="009935AB" w:rsidRPr="00407C73" w:rsidRDefault="009935AB" w:rsidP="009935AB">
      <w:pPr>
        <w:autoSpaceDE w:val="0"/>
        <w:autoSpaceDN w:val="0"/>
        <w:adjustRightInd w:val="0"/>
        <w:ind w:left="567" w:right="567"/>
        <w:rPr>
          <w:rFonts w:cs="Arial"/>
          <w:i/>
          <w:szCs w:val="24"/>
        </w:rPr>
      </w:pPr>
      <w:r w:rsidRPr="00407C73">
        <w:rPr>
          <w:rFonts w:cs="Arial"/>
          <w:i/>
          <w:szCs w:val="24"/>
        </w:rPr>
        <w:t>VII. Proponer al Consejo Directivo políticas y lineamientos generales para el funcionamiento del Centro;</w:t>
      </w:r>
    </w:p>
    <w:p w14:paraId="03E32149" w14:textId="79875C64" w:rsidR="009935AB" w:rsidRPr="00407C73" w:rsidRDefault="009935AB" w:rsidP="009935AB">
      <w:pPr>
        <w:autoSpaceDE w:val="0"/>
        <w:autoSpaceDN w:val="0"/>
        <w:adjustRightInd w:val="0"/>
        <w:ind w:left="567" w:right="567"/>
        <w:rPr>
          <w:rFonts w:cs="Arial"/>
          <w:i/>
          <w:szCs w:val="24"/>
        </w:rPr>
      </w:pPr>
      <w:r w:rsidRPr="00407C73">
        <w:rPr>
          <w:rFonts w:cs="Arial"/>
          <w:i/>
          <w:szCs w:val="24"/>
        </w:rPr>
        <w:t>VIII. Presentar al Consejo Directivo para su aprobación, los proyectos de reglamentos, estructura orgánica, manuales administrativos y demás disposiciones que rijan al Centro, así como someterlos a la autorización de las instancias competentes cuando la normatividad así lo determine;</w:t>
      </w:r>
    </w:p>
    <w:p w14:paraId="235A0276" w14:textId="50430AA0" w:rsidR="007C7403" w:rsidRPr="00407C73" w:rsidRDefault="007C7403" w:rsidP="007C7403">
      <w:pPr>
        <w:autoSpaceDE w:val="0"/>
        <w:autoSpaceDN w:val="0"/>
        <w:adjustRightInd w:val="0"/>
        <w:ind w:left="567" w:right="567"/>
        <w:rPr>
          <w:rFonts w:cs="Arial"/>
          <w:i/>
          <w:szCs w:val="24"/>
        </w:rPr>
      </w:pPr>
      <w:r w:rsidRPr="00407C73">
        <w:rPr>
          <w:rFonts w:cs="Arial"/>
          <w:i/>
          <w:szCs w:val="24"/>
        </w:rPr>
        <w:t>IX. Someter a la aprobación del Consejo Directivo los programas de trabajo y los proyectos estratégicos del Centro;</w:t>
      </w:r>
    </w:p>
    <w:p w14:paraId="2D255300" w14:textId="4888F253" w:rsidR="007C7403" w:rsidRPr="00407C73" w:rsidRDefault="007C7403" w:rsidP="007C7403">
      <w:pPr>
        <w:autoSpaceDE w:val="0"/>
        <w:autoSpaceDN w:val="0"/>
        <w:adjustRightInd w:val="0"/>
        <w:ind w:left="567" w:right="567"/>
        <w:rPr>
          <w:rFonts w:cs="Arial"/>
          <w:i/>
          <w:szCs w:val="24"/>
        </w:rPr>
      </w:pPr>
      <w:r w:rsidRPr="00407C73">
        <w:rPr>
          <w:rFonts w:cs="Arial"/>
          <w:i/>
          <w:szCs w:val="24"/>
        </w:rPr>
        <w:t>X. Rendir al Consejo Directivo, en cada sesión ordinaria, los informes de los estados financieros y de las actividades relevantes del Centro;</w:t>
      </w:r>
    </w:p>
    <w:p w14:paraId="43D41317" w14:textId="3EB06EF0" w:rsidR="007C7403" w:rsidRPr="00407C73" w:rsidRDefault="007C7403" w:rsidP="007C7403">
      <w:pPr>
        <w:autoSpaceDE w:val="0"/>
        <w:autoSpaceDN w:val="0"/>
        <w:adjustRightInd w:val="0"/>
        <w:ind w:left="567" w:right="567"/>
        <w:rPr>
          <w:rFonts w:cs="Arial"/>
          <w:i/>
          <w:szCs w:val="24"/>
        </w:rPr>
      </w:pPr>
      <w:r w:rsidRPr="00407C73">
        <w:rPr>
          <w:rFonts w:cs="Arial"/>
          <w:i/>
          <w:szCs w:val="24"/>
        </w:rPr>
        <w:lastRenderedPageBreak/>
        <w:t>XI. Presentar al Consejo Directivo para su aprobación, los estados financieros y el balance anual del Centro, previo dictamen del auditor externo;</w:t>
      </w:r>
    </w:p>
    <w:p w14:paraId="5A39A933" w14:textId="52313DAD" w:rsidR="007C7403" w:rsidRPr="00407C73" w:rsidRDefault="007C7403" w:rsidP="007C7403">
      <w:pPr>
        <w:autoSpaceDE w:val="0"/>
        <w:autoSpaceDN w:val="0"/>
        <w:adjustRightInd w:val="0"/>
        <w:ind w:left="567" w:right="567"/>
        <w:rPr>
          <w:rFonts w:cs="Arial"/>
          <w:i/>
          <w:szCs w:val="24"/>
        </w:rPr>
      </w:pPr>
      <w:r w:rsidRPr="00407C73">
        <w:rPr>
          <w:rFonts w:cs="Arial"/>
          <w:i/>
          <w:szCs w:val="24"/>
        </w:rPr>
        <w:t>XII. Nombrar y remover a las personas servidoras públicas del Centro, cuya designación no se encuentre normada en otros ordenamientos jurídicos aplicables;</w:t>
      </w:r>
    </w:p>
    <w:p w14:paraId="711CECA8" w14:textId="77777777" w:rsidR="007C7403" w:rsidRPr="00407C73" w:rsidRDefault="007C7403" w:rsidP="007C7403">
      <w:pPr>
        <w:autoSpaceDE w:val="0"/>
        <w:autoSpaceDN w:val="0"/>
        <w:adjustRightInd w:val="0"/>
        <w:ind w:left="567" w:right="567"/>
        <w:rPr>
          <w:rFonts w:cs="Arial"/>
          <w:i/>
          <w:szCs w:val="24"/>
        </w:rPr>
      </w:pPr>
      <w:r w:rsidRPr="00407C73">
        <w:rPr>
          <w:rFonts w:cs="Arial"/>
          <w:i/>
          <w:szCs w:val="24"/>
        </w:rPr>
        <w:t>XIII. Administrar el patrimonio del Centro, conforme a los programas y presupuestos autorizados;</w:t>
      </w:r>
    </w:p>
    <w:p w14:paraId="5C9CC245" w14:textId="0CF302AF" w:rsidR="007C7403" w:rsidRPr="00407C73" w:rsidRDefault="007C7403" w:rsidP="007C7403">
      <w:pPr>
        <w:autoSpaceDE w:val="0"/>
        <w:autoSpaceDN w:val="0"/>
        <w:adjustRightInd w:val="0"/>
        <w:ind w:left="567" w:right="567"/>
        <w:rPr>
          <w:rFonts w:cs="Arial"/>
          <w:i/>
          <w:szCs w:val="24"/>
        </w:rPr>
      </w:pPr>
      <w:r w:rsidRPr="00407C73">
        <w:rPr>
          <w:rFonts w:cs="Arial"/>
          <w:i/>
          <w:szCs w:val="24"/>
        </w:rPr>
        <w:t>XIV. Celebrar convenios, acuerdos y demás instrumentos jurídicos con los sectores público, social y privado, en las materias competencia del Centro;</w:t>
      </w:r>
    </w:p>
    <w:p w14:paraId="159CC5DA" w14:textId="0C78F13C" w:rsidR="007C7403" w:rsidRPr="00407C73" w:rsidRDefault="007C7403" w:rsidP="007C7403">
      <w:pPr>
        <w:autoSpaceDE w:val="0"/>
        <w:autoSpaceDN w:val="0"/>
        <w:adjustRightInd w:val="0"/>
        <w:ind w:left="567" w:right="567"/>
        <w:rPr>
          <w:rFonts w:cs="Arial"/>
          <w:i/>
          <w:szCs w:val="24"/>
        </w:rPr>
      </w:pPr>
      <w:r w:rsidRPr="00407C73">
        <w:rPr>
          <w:rFonts w:cs="Arial"/>
          <w:i/>
          <w:szCs w:val="24"/>
        </w:rPr>
        <w:t>XV. Expedir constancias o certificar copias de documentos existentes en sus archivos, así como delegar esta facultad mediante oficio a las personas titulares de las unidades administrativas del Centro;</w:t>
      </w:r>
    </w:p>
    <w:p w14:paraId="66D2AE84" w14:textId="11E6F41B" w:rsidR="007C7403" w:rsidRPr="00407C73" w:rsidRDefault="007C7403" w:rsidP="007C7403">
      <w:pPr>
        <w:autoSpaceDE w:val="0"/>
        <w:autoSpaceDN w:val="0"/>
        <w:adjustRightInd w:val="0"/>
        <w:ind w:left="567" w:right="567"/>
        <w:rPr>
          <w:rFonts w:cs="Arial"/>
          <w:i/>
          <w:szCs w:val="24"/>
        </w:rPr>
      </w:pPr>
      <w:r w:rsidRPr="00407C73">
        <w:rPr>
          <w:rFonts w:cs="Arial"/>
          <w:i/>
          <w:szCs w:val="24"/>
        </w:rPr>
        <w:t>XVI. Realizar el seguimiento a los recursos de inconformidad y demás procedimientos que le correspondan, de conformidad con los ordenamientos legales aplicables;</w:t>
      </w:r>
    </w:p>
    <w:p w14:paraId="6A4A24AF" w14:textId="7F06B7C8" w:rsidR="007C7403" w:rsidRPr="00407C73" w:rsidRDefault="007C7403" w:rsidP="007C7403">
      <w:pPr>
        <w:autoSpaceDE w:val="0"/>
        <w:autoSpaceDN w:val="0"/>
        <w:adjustRightInd w:val="0"/>
        <w:ind w:left="567" w:right="567"/>
        <w:rPr>
          <w:rFonts w:cs="Arial"/>
          <w:i/>
          <w:szCs w:val="24"/>
        </w:rPr>
      </w:pPr>
      <w:r w:rsidRPr="00407C73">
        <w:rPr>
          <w:rFonts w:cs="Arial"/>
          <w:i/>
          <w:szCs w:val="24"/>
        </w:rPr>
        <w:t>XVII. Resolver las dudas que se susciten con motivo de la interpretación y aplicación de este Reglamento, así como en los casos no previstos en el mismo;</w:t>
      </w:r>
    </w:p>
    <w:p w14:paraId="32185A84" w14:textId="5CA8522A" w:rsidR="007C7403" w:rsidRPr="00407C73" w:rsidRDefault="007C7403" w:rsidP="007C7403">
      <w:pPr>
        <w:autoSpaceDE w:val="0"/>
        <w:autoSpaceDN w:val="0"/>
        <w:adjustRightInd w:val="0"/>
        <w:ind w:left="567" w:right="567"/>
        <w:rPr>
          <w:rFonts w:cs="Arial"/>
          <w:i/>
          <w:szCs w:val="24"/>
        </w:rPr>
      </w:pPr>
      <w:r w:rsidRPr="00407C73">
        <w:rPr>
          <w:rFonts w:cs="Arial"/>
          <w:i/>
          <w:szCs w:val="24"/>
        </w:rPr>
        <w:t>XVIII. Emitir los certificados correspondientes a las personas aspirantes e integrantes de las Instituciones de Seguridad que acrediten los requisitos de ingreso o permanencia que establezca el ordenamiento jurídico aplicable y las evaluaciones a que se refiere la Ley, en un plazo no mayor a sesenta días naturales contados a partir de la conclusión del proceso de evaluación;</w:t>
      </w:r>
    </w:p>
    <w:p w14:paraId="41D8B74D" w14:textId="3ED103B0" w:rsidR="007C7403" w:rsidRPr="00407C73" w:rsidRDefault="007C7403" w:rsidP="007C7403">
      <w:pPr>
        <w:autoSpaceDE w:val="0"/>
        <w:autoSpaceDN w:val="0"/>
        <w:adjustRightInd w:val="0"/>
        <w:ind w:left="567" w:right="567"/>
        <w:rPr>
          <w:rFonts w:cs="Arial"/>
          <w:i/>
          <w:szCs w:val="24"/>
        </w:rPr>
      </w:pPr>
      <w:r w:rsidRPr="00407C73">
        <w:rPr>
          <w:rFonts w:cs="Arial"/>
          <w:i/>
          <w:szCs w:val="24"/>
        </w:rPr>
        <w:t>XIX. Además de los casos establecidos en la Ley, cancelar el certificado de una persona servidora pública integrante de una Institución de Seguridad cuando:</w:t>
      </w:r>
    </w:p>
    <w:p w14:paraId="34D9908E" w14:textId="2F5198E4" w:rsidR="007C7403" w:rsidRPr="00407C73" w:rsidRDefault="007C7403" w:rsidP="007C7403">
      <w:pPr>
        <w:autoSpaceDE w:val="0"/>
        <w:autoSpaceDN w:val="0"/>
        <w:adjustRightInd w:val="0"/>
        <w:ind w:left="567" w:right="567"/>
        <w:rPr>
          <w:rFonts w:cs="Arial"/>
          <w:i/>
          <w:szCs w:val="24"/>
        </w:rPr>
      </w:pPr>
      <w:r w:rsidRPr="00407C73">
        <w:rPr>
          <w:rFonts w:cs="Arial"/>
          <w:i/>
          <w:szCs w:val="24"/>
        </w:rPr>
        <w:lastRenderedPageBreak/>
        <w:t>a) De la investigación de validez de los documentos entregados por la persona evaluada y por la gestión ante las autoridades correspondientes, se tenga alguna inconsistencia relacionada con la autenticidad de los mismos;</w:t>
      </w:r>
    </w:p>
    <w:p w14:paraId="15DE9086" w14:textId="76B95225" w:rsidR="007C7403" w:rsidRPr="00407C73" w:rsidRDefault="007C7403" w:rsidP="007C7403">
      <w:pPr>
        <w:autoSpaceDE w:val="0"/>
        <w:autoSpaceDN w:val="0"/>
        <w:adjustRightInd w:val="0"/>
        <w:ind w:left="567" w:right="567"/>
        <w:rPr>
          <w:rFonts w:cs="Arial"/>
          <w:i/>
          <w:szCs w:val="24"/>
        </w:rPr>
      </w:pPr>
      <w:r w:rsidRPr="00407C73">
        <w:rPr>
          <w:rFonts w:cs="Arial"/>
          <w:i/>
          <w:szCs w:val="24"/>
        </w:rPr>
        <w:t>b) Tenga lugar la terminación de la vigencia de la clave de certificación y no se obtenga la actualización de la evaluación;</w:t>
      </w:r>
    </w:p>
    <w:p w14:paraId="636B9733" w14:textId="49D170DD" w:rsidR="007C7403" w:rsidRPr="00407C73" w:rsidRDefault="007C7403" w:rsidP="007C7403">
      <w:pPr>
        <w:autoSpaceDE w:val="0"/>
        <w:autoSpaceDN w:val="0"/>
        <w:adjustRightInd w:val="0"/>
        <w:ind w:left="567" w:right="567"/>
        <w:rPr>
          <w:rFonts w:cs="Arial"/>
          <w:i/>
          <w:szCs w:val="24"/>
        </w:rPr>
      </w:pPr>
      <w:r w:rsidRPr="00407C73">
        <w:rPr>
          <w:rFonts w:cs="Arial"/>
          <w:i/>
          <w:szCs w:val="24"/>
        </w:rPr>
        <w:t>c) La Institución de Seguridad Pública notifique al Centro, a través de la autoridad correspondiente, que la persona servidora pública ha sido separada, removida, cesada, inhabilitada, destituida del cargo, o bien, por muerte, incapacidad permanente, jubilación o retiro, es decir, que hayan cesado o terminado los efectos legales de su nombramiento, y</w:t>
      </w:r>
    </w:p>
    <w:p w14:paraId="31947072" w14:textId="77777777" w:rsidR="007C7403" w:rsidRPr="00407C73" w:rsidRDefault="007C7403" w:rsidP="007C7403">
      <w:pPr>
        <w:autoSpaceDE w:val="0"/>
        <w:autoSpaceDN w:val="0"/>
        <w:adjustRightInd w:val="0"/>
        <w:ind w:left="567" w:right="567"/>
        <w:rPr>
          <w:rFonts w:cs="Arial"/>
          <w:i/>
          <w:szCs w:val="24"/>
        </w:rPr>
      </w:pPr>
      <w:r w:rsidRPr="00407C73">
        <w:rPr>
          <w:rFonts w:cs="Arial"/>
          <w:i/>
          <w:szCs w:val="24"/>
        </w:rPr>
        <w:t>d) Por las demás causas que establezcan las disposiciones jurídicas aplicables;</w:t>
      </w:r>
    </w:p>
    <w:p w14:paraId="0E8B3C6A" w14:textId="73763CA1" w:rsidR="007C7403" w:rsidRPr="00407C73" w:rsidRDefault="007C7403" w:rsidP="007C7403">
      <w:pPr>
        <w:autoSpaceDE w:val="0"/>
        <w:autoSpaceDN w:val="0"/>
        <w:adjustRightInd w:val="0"/>
        <w:ind w:left="567" w:right="567"/>
        <w:rPr>
          <w:rFonts w:cs="Arial"/>
          <w:i/>
          <w:szCs w:val="24"/>
        </w:rPr>
      </w:pPr>
      <w:r w:rsidRPr="00407C73">
        <w:rPr>
          <w:rFonts w:cs="Arial"/>
          <w:i/>
          <w:szCs w:val="24"/>
        </w:rPr>
        <w:t>XX. Coordinar el desarrollo y aplicación de los procedimientos de evaluación de las personas aspirantes e integrantes de las Instituciones de Seguridad;</w:t>
      </w:r>
    </w:p>
    <w:p w14:paraId="0EA5FA19" w14:textId="176A78BE" w:rsidR="007C7403" w:rsidRPr="00407C73" w:rsidRDefault="007C7403" w:rsidP="007C7403">
      <w:pPr>
        <w:autoSpaceDE w:val="0"/>
        <w:autoSpaceDN w:val="0"/>
        <w:adjustRightInd w:val="0"/>
        <w:ind w:left="567" w:right="567"/>
        <w:rPr>
          <w:rFonts w:cs="Arial"/>
          <w:i/>
          <w:szCs w:val="24"/>
        </w:rPr>
      </w:pPr>
      <w:r w:rsidRPr="00407C73">
        <w:rPr>
          <w:rFonts w:cs="Arial"/>
          <w:i/>
          <w:szCs w:val="24"/>
        </w:rPr>
        <w:t>XXI. Instruir para la inscripción en el sistema de registro y control respectivo, todo lo relativo a la expedición, negativa, revalidación o cancelación de los certificados;</w:t>
      </w:r>
    </w:p>
    <w:p w14:paraId="5B36E3DE" w14:textId="272F5D5F" w:rsidR="007C7403" w:rsidRPr="00407C73" w:rsidRDefault="007C7403" w:rsidP="007C7403">
      <w:pPr>
        <w:autoSpaceDE w:val="0"/>
        <w:autoSpaceDN w:val="0"/>
        <w:adjustRightInd w:val="0"/>
        <w:ind w:left="567" w:right="567"/>
        <w:rPr>
          <w:rFonts w:cs="Arial"/>
          <w:i/>
          <w:szCs w:val="24"/>
        </w:rPr>
      </w:pPr>
      <w:r w:rsidRPr="00407C73">
        <w:rPr>
          <w:rFonts w:cs="Arial"/>
          <w:i/>
          <w:szCs w:val="24"/>
        </w:rPr>
        <w:t>XXII. Promover acciones para la modernización administrativa, mejora regulatoria, gobierno digital y gestión de calidad en los trámites y servicios que presta el Centro, así como vigilar su ejecución y cumplimiento;</w:t>
      </w:r>
    </w:p>
    <w:p w14:paraId="562015C5" w14:textId="37D70F38" w:rsidR="007C7403" w:rsidRPr="00407C73" w:rsidRDefault="007C7403" w:rsidP="007C7403">
      <w:pPr>
        <w:autoSpaceDE w:val="0"/>
        <w:autoSpaceDN w:val="0"/>
        <w:adjustRightInd w:val="0"/>
        <w:ind w:left="567" w:right="567"/>
        <w:rPr>
          <w:rFonts w:cs="Arial"/>
          <w:i/>
          <w:szCs w:val="24"/>
        </w:rPr>
      </w:pPr>
      <w:r w:rsidRPr="00407C73">
        <w:rPr>
          <w:rFonts w:cs="Arial"/>
          <w:i/>
          <w:szCs w:val="24"/>
        </w:rPr>
        <w:t>XXIII. Proponer al Consejo Directivo el otorgamiento de reconocimientos a las personas servidoras públicas del Centro que por sus méritos se hagan acreedores;</w:t>
      </w:r>
    </w:p>
    <w:p w14:paraId="3C1BB52A" w14:textId="78BD4FDF" w:rsidR="007C7403" w:rsidRPr="00407C73" w:rsidRDefault="007C7403" w:rsidP="007C7403">
      <w:pPr>
        <w:autoSpaceDE w:val="0"/>
        <w:autoSpaceDN w:val="0"/>
        <w:adjustRightInd w:val="0"/>
        <w:ind w:left="567" w:right="567"/>
        <w:rPr>
          <w:rFonts w:cs="Arial"/>
          <w:i/>
          <w:szCs w:val="24"/>
        </w:rPr>
      </w:pPr>
      <w:r w:rsidRPr="00407C73">
        <w:rPr>
          <w:rFonts w:cs="Arial"/>
          <w:i/>
          <w:szCs w:val="24"/>
        </w:rPr>
        <w:t>XXIV. Promover que las actividades de las unidades administrativas del Centro se realicen de manera coordinada;</w:t>
      </w:r>
    </w:p>
    <w:p w14:paraId="764D4823" w14:textId="5BF2E1F5" w:rsidR="007C7403" w:rsidRPr="00407C73" w:rsidRDefault="007C7403" w:rsidP="007C7403">
      <w:pPr>
        <w:autoSpaceDE w:val="0"/>
        <w:autoSpaceDN w:val="0"/>
        <w:adjustRightInd w:val="0"/>
        <w:ind w:left="567" w:right="567"/>
        <w:rPr>
          <w:rFonts w:cs="Arial"/>
          <w:i/>
          <w:szCs w:val="24"/>
        </w:rPr>
      </w:pPr>
      <w:r w:rsidRPr="00407C73">
        <w:rPr>
          <w:rFonts w:cs="Arial"/>
          <w:i/>
          <w:szCs w:val="24"/>
        </w:rPr>
        <w:lastRenderedPageBreak/>
        <w:t>XXV. Promover al interior del Centro el cumplimiento de las disposiciones en materia de transparencia, acceso a la información pública y protección de datos personales, en términos de la normativa aplicable;</w:t>
      </w:r>
    </w:p>
    <w:p w14:paraId="4B310147" w14:textId="110FD5A2" w:rsidR="007C7403" w:rsidRPr="00407C73" w:rsidRDefault="007C7403" w:rsidP="007C7403">
      <w:pPr>
        <w:autoSpaceDE w:val="0"/>
        <w:autoSpaceDN w:val="0"/>
        <w:adjustRightInd w:val="0"/>
        <w:ind w:left="567" w:right="567"/>
        <w:rPr>
          <w:rFonts w:cs="Arial"/>
          <w:i/>
          <w:szCs w:val="24"/>
        </w:rPr>
      </w:pPr>
      <w:r w:rsidRPr="00407C73">
        <w:rPr>
          <w:rFonts w:cs="Arial"/>
          <w:i/>
          <w:szCs w:val="24"/>
        </w:rPr>
        <w:t>XXVI. Promover que los planes y programas del Centro sean realizados con perspectiva de género y respeto a los derechos humanos;</w:t>
      </w:r>
    </w:p>
    <w:p w14:paraId="354FEF77" w14:textId="4B2FF237" w:rsidR="007C7403" w:rsidRPr="00407C73" w:rsidRDefault="007C7403" w:rsidP="007C7403">
      <w:pPr>
        <w:autoSpaceDE w:val="0"/>
        <w:autoSpaceDN w:val="0"/>
        <w:adjustRightInd w:val="0"/>
        <w:ind w:left="567" w:right="567"/>
        <w:rPr>
          <w:rFonts w:cs="Arial"/>
          <w:i/>
          <w:szCs w:val="24"/>
        </w:rPr>
      </w:pPr>
      <w:r w:rsidRPr="00407C73">
        <w:rPr>
          <w:rFonts w:cs="Arial"/>
          <w:i/>
          <w:szCs w:val="24"/>
        </w:rPr>
        <w:t xml:space="preserve">XXVII. Solicitar la acreditación de </w:t>
      </w:r>
      <w:proofErr w:type="gramStart"/>
      <w:r w:rsidRPr="00407C73">
        <w:rPr>
          <w:rFonts w:cs="Arial"/>
          <w:i/>
          <w:szCs w:val="24"/>
        </w:rPr>
        <w:t>las personas físicas o jurídico colectivas</w:t>
      </w:r>
      <w:proofErr w:type="gramEnd"/>
      <w:r w:rsidRPr="00407C73">
        <w:rPr>
          <w:rFonts w:cs="Arial"/>
          <w:i/>
          <w:szCs w:val="24"/>
        </w:rPr>
        <w:t xml:space="preserve"> u organismos públicos o privados que realizan las fases que componen el proceso de evaluación de control de confianza mediante la prestación de servicios subrogados ante el Centro Nacional de Certificación y Acreditación;</w:t>
      </w:r>
    </w:p>
    <w:p w14:paraId="54D2AEE8" w14:textId="5574A15A" w:rsidR="007C7403" w:rsidRPr="00407C73" w:rsidRDefault="007C7403" w:rsidP="007C7403">
      <w:pPr>
        <w:autoSpaceDE w:val="0"/>
        <w:autoSpaceDN w:val="0"/>
        <w:adjustRightInd w:val="0"/>
        <w:ind w:left="567" w:right="567"/>
        <w:rPr>
          <w:rFonts w:cs="Arial"/>
          <w:i/>
          <w:szCs w:val="24"/>
        </w:rPr>
      </w:pPr>
      <w:r w:rsidRPr="00407C73">
        <w:rPr>
          <w:rFonts w:cs="Arial"/>
          <w:i/>
          <w:szCs w:val="24"/>
        </w:rPr>
        <w:t>XXVIII. Promover al interior del Centro el cumplimiento de las disposiciones en materia archivística y de administración de documentos establecidas en la Ley de Archivos y Administración de Documentos del Estado de México y Municipios y en otras disposiciones jurídicas aplicables, y</w:t>
      </w:r>
    </w:p>
    <w:p w14:paraId="36FB84BA" w14:textId="15F9BFE6" w:rsidR="007C7403" w:rsidRPr="00407C73" w:rsidRDefault="007C7403" w:rsidP="007C7403">
      <w:pPr>
        <w:autoSpaceDE w:val="0"/>
        <w:autoSpaceDN w:val="0"/>
        <w:adjustRightInd w:val="0"/>
        <w:ind w:left="567" w:right="567"/>
        <w:rPr>
          <w:rFonts w:cs="Arial"/>
          <w:i/>
          <w:szCs w:val="24"/>
        </w:rPr>
      </w:pPr>
      <w:r w:rsidRPr="00407C73">
        <w:rPr>
          <w:rFonts w:cs="Arial"/>
          <w:i/>
          <w:szCs w:val="24"/>
        </w:rPr>
        <w:t>XXIX. Las demás que le confieren otras disposiciones jurídicas y aquellas que le encomiende el Consejo Directivo.</w:t>
      </w:r>
    </w:p>
    <w:p w14:paraId="20AF87F4" w14:textId="7A53115F" w:rsidR="007C7403" w:rsidRPr="00407C73" w:rsidRDefault="007C7403" w:rsidP="007C7403">
      <w:pPr>
        <w:autoSpaceDE w:val="0"/>
        <w:autoSpaceDN w:val="0"/>
        <w:adjustRightInd w:val="0"/>
        <w:ind w:left="567" w:right="567"/>
        <w:rPr>
          <w:rFonts w:cs="Arial"/>
          <w:szCs w:val="24"/>
        </w:rPr>
      </w:pPr>
      <w:r w:rsidRPr="00407C73">
        <w:rPr>
          <w:rFonts w:cs="Arial"/>
          <w:szCs w:val="24"/>
        </w:rPr>
        <w:t>Artículo 12.- Para el estudio, planeación y despacho de los asuntos de su competencia, la persona titular de la Dirección General se auxiliará de las unidades administrativas básicas siguientes:</w:t>
      </w:r>
    </w:p>
    <w:p w14:paraId="08FF6141"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t>I. Dirección de Psicología;</w:t>
      </w:r>
    </w:p>
    <w:p w14:paraId="4842A446"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t>II. Dirección de Poligrafía;</w:t>
      </w:r>
    </w:p>
    <w:p w14:paraId="3FA4EAF8"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t>III. Dirección de Análisis Socioeconómico;</w:t>
      </w:r>
    </w:p>
    <w:p w14:paraId="34D70842"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t>IV. Dirección Médica y Toxicológica;</w:t>
      </w:r>
    </w:p>
    <w:p w14:paraId="38648F7D"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t>V. Dirección de Administración y Finanzas;</w:t>
      </w:r>
    </w:p>
    <w:p w14:paraId="04E17B24"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t>VI. Unidad de Normatividad e Igualdad de Género;</w:t>
      </w:r>
    </w:p>
    <w:p w14:paraId="593DC78D" w14:textId="77777777" w:rsidR="007C7403" w:rsidRPr="00407C73" w:rsidRDefault="007C7403" w:rsidP="007C7403">
      <w:pPr>
        <w:autoSpaceDE w:val="0"/>
        <w:autoSpaceDN w:val="0"/>
        <w:adjustRightInd w:val="0"/>
        <w:ind w:left="567" w:right="567"/>
        <w:rPr>
          <w:rFonts w:cs="Arial"/>
          <w:szCs w:val="24"/>
        </w:rPr>
      </w:pPr>
      <w:r w:rsidRPr="00407C73">
        <w:rPr>
          <w:rFonts w:cs="Arial"/>
          <w:szCs w:val="24"/>
        </w:rPr>
        <w:lastRenderedPageBreak/>
        <w:t>VII. Unidad de Vinculación y Mejora Continua, y</w:t>
      </w:r>
    </w:p>
    <w:p w14:paraId="6AA6C8C5" w14:textId="321D6442" w:rsidR="007C7403" w:rsidRPr="00407C73" w:rsidRDefault="007C7403" w:rsidP="007C7403">
      <w:pPr>
        <w:autoSpaceDE w:val="0"/>
        <w:autoSpaceDN w:val="0"/>
        <w:adjustRightInd w:val="0"/>
        <w:ind w:left="567" w:right="567"/>
        <w:rPr>
          <w:rFonts w:cs="Arial"/>
          <w:b/>
          <w:i/>
          <w:szCs w:val="24"/>
          <w:u w:val="single"/>
        </w:rPr>
      </w:pPr>
      <w:r w:rsidRPr="00407C73">
        <w:rPr>
          <w:rFonts w:cs="Arial"/>
          <w:b/>
          <w:i/>
          <w:szCs w:val="24"/>
          <w:u w:val="single"/>
        </w:rPr>
        <w:t>VIII. Unidad de Evaluación.</w:t>
      </w:r>
    </w:p>
    <w:p w14:paraId="32E52B21" w14:textId="77777777" w:rsidR="007C7403" w:rsidRPr="00407C73" w:rsidRDefault="007C7403" w:rsidP="007C7403">
      <w:pPr>
        <w:autoSpaceDE w:val="0"/>
        <w:autoSpaceDN w:val="0"/>
        <w:adjustRightInd w:val="0"/>
        <w:ind w:left="567" w:right="567"/>
        <w:rPr>
          <w:rFonts w:cs="Arial"/>
          <w:i/>
          <w:szCs w:val="24"/>
        </w:rPr>
      </w:pPr>
      <w:r w:rsidRPr="00407C73">
        <w:rPr>
          <w:rFonts w:cs="Arial"/>
          <w:b/>
          <w:i/>
          <w:szCs w:val="24"/>
        </w:rPr>
        <w:t>Artículo 22.-</w:t>
      </w:r>
      <w:r w:rsidRPr="00407C73">
        <w:rPr>
          <w:rFonts w:cs="Arial"/>
          <w:i/>
          <w:szCs w:val="24"/>
        </w:rPr>
        <w:t xml:space="preserve"> Corresponden a la Unidad de Evaluación las atribuciones siguientes:</w:t>
      </w:r>
    </w:p>
    <w:p w14:paraId="2F8665B4" w14:textId="398D4DE0" w:rsidR="007C7403" w:rsidRPr="00407C73" w:rsidRDefault="007C7403" w:rsidP="007C7403">
      <w:pPr>
        <w:autoSpaceDE w:val="0"/>
        <w:autoSpaceDN w:val="0"/>
        <w:adjustRightInd w:val="0"/>
        <w:ind w:left="567" w:right="567"/>
        <w:rPr>
          <w:rFonts w:cs="Arial"/>
          <w:i/>
          <w:szCs w:val="24"/>
        </w:rPr>
      </w:pPr>
      <w:r w:rsidRPr="00407C73">
        <w:rPr>
          <w:rFonts w:cs="Arial"/>
          <w:i/>
          <w:szCs w:val="24"/>
        </w:rPr>
        <w:t>I. Integrar y analizar la información generada por las áreas, en cuanto a las diferentes fases de la evaluación de control de confianza de las personas aspirantes e integrantes de las Instituciones de Seguridad;</w:t>
      </w:r>
    </w:p>
    <w:p w14:paraId="41F92B04" w14:textId="54DA956D" w:rsidR="007C7403" w:rsidRPr="00407C73" w:rsidRDefault="007C7403" w:rsidP="007C7403">
      <w:pPr>
        <w:autoSpaceDE w:val="0"/>
        <w:autoSpaceDN w:val="0"/>
        <w:adjustRightInd w:val="0"/>
        <w:ind w:left="567" w:right="567"/>
        <w:rPr>
          <w:rFonts w:cs="Arial"/>
          <w:i/>
          <w:szCs w:val="24"/>
        </w:rPr>
      </w:pPr>
      <w:r w:rsidRPr="00407C73">
        <w:rPr>
          <w:rFonts w:cs="Arial"/>
          <w:i/>
          <w:szCs w:val="24"/>
        </w:rPr>
        <w:t>II. Emitir el resultado único de evaluación de control de confianza, de las personas aspirantes e integrantes de las Instituciones de Seguridad e informarlo a la persona titular de la Dirección General;</w:t>
      </w:r>
    </w:p>
    <w:p w14:paraId="054157E0" w14:textId="7EC0DFB4" w:rsidR="007C7403" w:rsidRPr="00407C73" w:rsidRDefault="007C7403" w:rsidP="007C7403">
      <w:pPr>
        <w:autoSpaceDE w:val="0"/>
        <w:autoSpaceDN w:val="0"/>
        <w:adjustRightInd w:val="0"/>
        <w:ind w:left="567" w:right="567"/>
        <w:rPr>
          <w:rFonts w:cs="Arial"/>
          <w:i/>
          <w:szCs w:val="24"/>
        </w:rPr>
      </w:pPr>
      <w:r w:rsidRPr="00407C73">
        <w:rPr>
          <w:rFonts w:cs="Arial"/>
          <w:i/>
          <w:szCs w:val="24"/>
        </w:rPr>
        <w:t>III. Revisar que la información proporcionada por las áreas evaluadoras se apegue a lo establecido en los criterios y lineamientos emitidos por la Dirección General del Centro y por el Centro Nacional de Certificación y Acreditación;</w:t>
      </w:r>
    </w:p>
    <w:p w14:paraId="5FCE5BA0" w14:textId="7F980B4C" w:rsidR="007C7403" w:rsidRPr="00407C73" w:rsidRDefault="007C7403" w:rsidP="007C7403">
      <w:pPr>
        <w:autoSpaceDE w:val="0"/>
        <w:autoSpaceDN w:val="0"/>
        <w:adjustRightInd w:val="0"/>
        <w:ind w:left="567" w:right="567"/>
        <w:rPr>
          <w:rFonts w:cs="Arial"/>
          <w:i/>
          <w:szCs w:val="24"/>
        </w:rPr>
      </w:pPr>
      <w:r w:rsidRPr="00407C73">
        <w:rPr>
          <w:rFonts w:cs="Arial"/>
          <w:i/>
          <w:szCs w:val="24"/>
        </w:rPr>
        <w:t>IV. Verificar el perfil de puesto con el que se evalúan a las personas aspirantes e integrantes de las Instituciones de Seguridad para la emisión del resultado de las evaluaciones de control de confianza;</w:t>
      </w:r>
    </w:p>
    <w:p w14:paraId="630A79C7" w14:textId="37EDA813" w:rsidR="007C7403" w:rsidRPr="00407C73" w:rsidRDefault="007C7403" w:rsidP="007C7403">
      <w:pPr>
        <w:autoSpaceDE w:val="0"/>
        <w:autoSpaceDN w:val="0"/>
        <w:adjustRightInd w:val="0"/>
        <w:ind w:left="567" w:right="567"/>
        <w:rPr>
          <w:rFonts w:cs="Arial"/>
          <w:i/>
          <w:szCs w:val="24"/>
        </w:rPr>
      </w:pPr>
      <w:r w:rsidRPr="00407C73">
        <w:rPr>
          <w:rFonts w:cs="Arial"/>
          <w:i/>
          <w:szCs w:val="24"/>
        </w:rPr>
        <w:t>V. Emitir el reporte de resultado de las evaluaciones de control de confianza; de las personas aspirantes e integrantes de las Instituciones de Seguridad, tomando en consideración los factores de riesgo contemplados en las leyes de la materia, y</w:t>
      </w:r>
    </w:p>
    <w:p w14:paraId="4852F27A" w14:textId="7735475F" w:rsidR="007C7403" w:rsidRPr="007C7403" w:rsidRDefault="007C7403" w:rsidP="007C7403">
      <w:pPr>
        <w:autoSpaceDE w:val="0"/>
        <w:autoSpaceDN w:val="0"/>
        <w:adjustRightInd w:val="0"/>
        <w:ind w:left="567" w:right="567"/>
        <w:rPr>
          <w:rFonts w:cs="Arial"/>
          <w:i/>
          <w:szCs w:val="24"/>
        </w:rPr>
      </w:pPr>
      <w:r w:rsidRPr="00407C73">
        <w:rPr>
          <w:rFonts w:cs="Arial"/>
          <w:i/>
          <w:szCs w:val="24"/>
        </w:rPr>
        <w:t>VI. Las demás que le confieran otras disposiciones jurídicas y aquéllas que le encomiende la persona titular de la Dirección General y el Consejo Directivo.</w:t>
      </w:r>
    </w:p>
    <w:p w14:paraId="521D890B" w14:textId="77777777" w:rsidR="009935AB" w:rsidRDefault="009935AB" w:rsidP="00862FC2">
      <w:pPr>
        <w:autoSpaceDE w:val="0"/>
        <w:autoSpaceDN w:val="0"/>
        <w:adjustRightInd w:val="0"/>
        <w:rPr>
          <w:rFonts w:cs="Arial"/>
          <w:szCs w:val="24"/>
        </w:rPr>
      </w:pPr>
    </w:p>
    <w:p w14:paraId="4D2C22B8" w14:textId="5A5921AD" w:rsidR="00862FC2" w:rsidRPr="005F0462" w:rsidRDefault="00862FC2" w:rsidP="00862FC2">
      <w:pPr>
        <w:autoSpaceDE w:val="0"/>
        <w:autoSpaceDN w:val="0"/>
        <w:adjustRightInd w:val="0"/>
        <w:rPr>
          <w:rFonts w:cs="Arial"/>
          <w:szCs w:val="24"/>
        </w:rPr>
      </w:pPr>
      <w:r w:rsidRPr="005F0462">
        <w:rPr>
          <w:rFonts w:cs="Arial"/>
          <w:szCs w:val="24"/>
        </w:rPr>
        <w:t xml:space="preserve">En tal tesitura, la respuesta emitida por </w:t>
      </w:r>
      <w:r w:rsidRPr="005F0462">
        <w:rPr>
          <w:rFonts w:cs="Arial"/>
          <w:b/>
          <w:szCs w:val="24"/>
        </w:rPr>
        <w:t>el Sujeto Obligado</w:t>
      </w:r>
      <w:r w:rsidRPr="005F0462">
        <w:rPr>
          <w:rFonts w:cs="Arial"/>
          <w:szCs w:val="24"/>
        </w:rPr>
        <w:t xml:space="preserve"> tiene la presunción legal de ser verídica, considerado que fue emitida por un servidor público en ejercicio de sus funciones, lo que conlleva la presunción de veracidad de todo acto administrativo.</w:t>
      </w:r>
    </w:p>
    <w:p w14:paraId="313CD3DF" w14:textId="77777777" w:rsidR="00862FC2" w:rsidRPr="005F0462" w:rsidRDefault="00862FC2" w:rsidP="00862FC2">
      <w:pPr>
        <w:rPr>
          <w:rFonts w:cs="Arial"/>
          <w:szCs w:val="24"/>
        </w:rPr>
      </w:pPr>
      <w:r w:rsidRPr="005F0462">
        <w:rPr>
          <w:szCs w:val="24"/>
        </w:rPr>
        <w:lastRenderedPageBreak/>
        <w:t xml:space="preserve">En ese tenor, se tiene que el </w:t>
      </w:r>
      <w:r w:rsidRPr="005F0462">
        <w:rPr>
          <w:b/>
          <w:szCs w:val="24"/>
        </w:rPr>
        <w:t>Sujeto Obligado</w:t>
      </w:r>
      <w:r w:rsidRPr="005F0462">
        <w:rPr>
          <w:szCs w:val="24"/>
        </w:rPr>
        <w:t xml:space="preserve"> no puede presentar la información solicitada por el </w:t>
      </w:r>
      <w:r w:rsidRPr="005F0462">
        <w:rPr>
          <w:b/>
          <w:szCs w:val="24"/>
        </w:rPr>
        <w:t>Recurrente</w:t>
      </w:r>
      <w:r w:rsidRPr="005F0462">
        <w:rPr>
          <w:szCs w:val="24"/>
        </w:rPr>
        <w:t xml:space="preserve">, toda vez que no existe, pues esta no ha sido generada, administrada o poseída por el </w:t>
      </w:r>
      <w:r w:rsidRPr="005F0462">
        <w:rPr>
          <w:b/>
          <w:szCs w:val="24"/>
        </w:rPr>
        <w:t>Sujeto Obligado</w:t>
      </w:r>
      <w:r w:rsidRPr="005F0462">
        <w:rPr>
          <w:szCs w:val="24"/>
        </w:rPr>
        <w:t xml:space="preserve"> en ejercicio de sus atribuciones. </w:t>
      </w:r>
      <w:r w:rsidRPr="005F0462">
        <w:rPr>
          <w:rFonts w:cs="Arial"/>
          <w:szCs w:val="24"/>
        </w:rPr>
        <w:t xml:space="preserve">Por lo tanto, resulta evidente que el </w:t>
      </w:r>
      <w:r w:rsidRPr="005F0462">
        <w:rPr>
          <w:rFonts w:cs="Arial"/>
          <w:b/>
          <w:szCs w:val="24"/>
        </w:rPr>
        <w:t>Sujeto Obligado</w:t>
      </w:r>
      <w:r w:rsidRPr="005F0462">
        <w:rPr>
          <w:rFonts w:cs="Arial"/>
          <w:szCs w:val="24"/>
        </w:rPr>
        <w:t xml:space="preserve"> no generó, administró o poseyó dicha información en los términos referidos por el hoy Recurrente y que su inexistencia constituye hechos negativos, por tanto, dicha información no puede fácticamente obrar en los archivos del </w:t>
      </w:r>
      <w:r w:rsidRPr="005F0462">
        <w:rPr>
          <w:rFonts w:cs="Arial"/>
          <w:b/>
          <w:szCs w:val="24"/>
        </w:rPr>
        <w:t>Sujeto Obligado</w:t>
      </w:r>
      <w:r w:rsidRPr="005F0462">
        <w:rPr>
          <w:rFonts w:cs="Arial"/>
          <w:szCs w:val="24"/>
        </w:rPr>
        <w:t>, ya que no puede probarse por ser lógica y materialmente imposible.</w:t>
      </w:r>
    </w:p>
    <w:p w14:paraId="0598E27D" w14:textId="77777777" w:rsidR="00862FC2" w:rsidRPr="005F0462" w:rsidRDefault="00862FC2" w:rsidP="00862FC2">
      <w:pPr>
        <w:rPr>
          <w:rFonts w:cs="Arial"/>
          <w:szCs w:val="24"/>
        </w:rPr>
      </w:pPr>
    </w:p>
    <w:p w14:paraId="55358C08" w14:textId="77777777" w:rsidR="00862FC2" w:rsidRPr="005F0462" w:rsidRDefault="00862FC2" w:rsidP="00862FC2">
      <w:pPr>
        <w:rPr>
          <w:rFonts w:cs="Arial"/>
          <w:szCs w:val="24"/>
        </w:rPr>
      </w:pPr>
      <w:r w:rsidRPr="005F0462">
        <w:rPr>
          <w:rFonts w:cs="Arial"/>
          <w:szCs w:val="24"/>
        </w:rPr>
        <w:t>Asimismo, no se trata de un caso por el cual la negación del hecho implique la afirmación del mismo, simplemente se está ante una notoria y evidente inexistencia fáctica de la información solicitada.</w:t>
      </w:r>
    </w:p>
    <w:p w14:paraId="0249F8B6" w14:textId="77777777" w:rsidR="00862FC2" w:rsidRPr="005F0462" w:rsidRDefault="00862FC2" w:rsidP="00862FC2">
      <w:pPr>
        <w:rPr>
          <w:rFonts w:cs="Arial"/>
          <w:szCs w:val="24"/>
        </w:rPr>
      </w:pPr>
    </w:p>
    <w:p w14:paraId="6AD6FD83" w14:textId="77777777" w:rsidR="00862FC2" w:rsidRPr="005F0462" w:rsidRDefault="00862FC2" w:rsidP="00862FC2">
      <w:pPr>
        <w:rPr>
          <w:rFonts w:cs="Arial"/>
          <w:szCs w:val="24"/>
        </w:rPr>
      </w:pPr>
      <w:r w:rsidRPr="005F0462">
        <w:rPr>
          <w:rFonts w:cs="Arial"/>
          <w:szCs w:val="24"/>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54C8688D" w14:textId="77777777" w:rsidR="00862FC2" w:rsidRPr="005F0462" w:rsidRDefault="00862FC2" w:rsidP="00862FC2">
      <w:pPr>
        <w:rPr>
          <w:rFonts w:cs="Arial"/>
          <w:szCs w:val="24"/>
        </w:rPr>
      </w:pPr>
    </w:p>
    <w:p w14:paraId="275FD199" w14:textId="77777777" w:rsidR="00862FC2" w:rsidRPr="005F0462" w:rsidRDefault="00862FC2" w:rsidP="00862FC2">
      <w:pPr>
        <w:spacing w:line="240" w:lineRule="auto"/>
        <w:ind w:left="567" w:right="567"/>
        <w:rPr>
          <w:rFonts w:cs="Arial"/>
          <w:i/>
          <w:szCs w:val="24"/>
        </w:rPr>
      </w:pPr>
      <w:r w:rsidRPr="005F0462">
        <w:rPr>
          <w:rFonts w:cs="Arial"/>
          <w:b/>
          <w:i/>
          <w:szCs w:val="24"/>
        </w:rPr>
        <w:t>HECHOS NEGATIVOS, NO SON SUSCEPTIBLES DE DEMOSTRACIÓN</w:t>
      </w:r>
      <w:r w:rsidRPr="005F0462">
        <w:rPr>
          <w:rFonts w:cs="Arial"/>
          <w:i/>
          <w:szCs w:val="24"/>
        </w:rPr>
        <w:t xml:space="preserve">. </w:t>
      </w:r>
    </w:p>
    <w:p w14:paraId="21F8B566" w14:textId="77777777" w:rsidR="00862FC2" w:rsidRPr="005F0462" w:rsidRDefault="00862FC2" w:rsidP="00862FC2">
      <w:pPr>
        <w:spacing w:line="240" w:lineRule="auto"/>
        <w:ind w:left="567" w:right="567"/>
        <w:rPr>
          <w:rFonts w:cs="Arial"/>
          <w:i/>
          <w:szCs w:val="24"/>
        </w:rPr>
      </w:pPr>
      <w:r w:rsidRPr="005F0462">
        <w:rPr>
          <w:rFonts w:cs="Arial"/>
          <w:i/>
          <w:szCs w:val="24"/>
        </w:rPr>
        <w:t>Tratándose de un hecho negativo, el Juez no tiene por qué invocar prueba alguna de la que se desprenda, ya que es bien sabido que esta clase de hechos no son susceptibles de demostración.</w:t>
      </w:r>
    </w:p>
    <w:p w14:paraId="5D53C339" w14:textId="77777777" w:rsidR="00862FC2" w:rsidRPr="005F0462" w:rsidRDefault="00862FC2" w:rsidP="00862FC2">
      <w:pPr>
        <w:spacing w:line="240" w:lineRule="auto"/>
        <w:ind w:left="567" w:right="567"/>
        <w:rPr>
          <w:rFonts w:cs="Arial"/>
          <w:i/>
          <w:szCs w:val="24"/>
        </w:rPr>
      </w:pPr>
    </w:p>
    <w:p w14:paraId="7175523F" w14:textId="77777777" w:rsidR="00862FC2" w:rsidRPr="005F0462" w:rsidRDefault="00862FC2" w:rsidP="00862FC2">
      <w:pPr>
        <w:spacing w:line="240" w:lineRule="auto"/>
        <w:ind w:left="567" w:right="567"/>
        <w:rPr>
          <w:rFonts w:cs="Arial"/>
          <w:i/>
          <w:szCs w:val="24"/>
        </w:rPr>
      </w:pPr>
      <w:r w:rsidRPr="005F0462">
        <w:rPr>
          <w:rFonts w:cs="Arial"/>
          <w:i/>
          <w:szCs w:val="24"/>
        </w:rPr>
        <w:t>Amparo en revisión 2022/61. José García Florín (Menor). 9 de octubre de 1961. Cinco votos. Ponente: José Rivera Pérez Campos.”</w:t>
      </w:r>
    </w:p>
    <w:p w14:paraId="3CE13459" w14:textId="77777777" w:rsidR="00862FC2" w:rsidRPr="005F0462" w:rsidRDefault="00862FC2" w:rsidP="00862FC2">
      <w:pPr>
        <w:pStyle w:val="Sinespaciado"/>
        <w:spacing w:line="360" w:lineRule="auto"/>
        <w:jc w:val="both"/>
        <w:rPr>
          <w:rFonts w:ascii="Palatino Linotype" w:hAnsi="Palatino Linotype"/>
          <w:lang w:val="es-ES_tradnl"/>
        </w:rPr>
      </w:pPr>
    </w:p>
    <w:p w14:paraId="26A1FEBE" w14:textId="77777777" w:rsidR="00862FC2" w:rsidRPr="005F0462" w:rsidRDefault="00862FC2" w:rsidP="00862FC2">
      <w:pPr>
        <w:tabs>
          <w:tab w:val="left" w:pos="709"/>
        </w:tabs>
        <w:rPr>
          <w:rFonts w:cs="Times New Roman"/>
          <w:szCs w:val="24"/>
        </w:rPr>
      </w:pPr>
      <w:r w:rsidRPr="005F0462">
        <w:rPr>
          <w:rFonts w:cs="Times New Roman"/>
          <w:szCs w:val="24"/>
        </w:rPr>
        <w:lastRenderedPageBreak/>
        <w:t xml:space="preserve">Concretando, al no existir el acto generador de la información se encontraría imposibilitado a la entrega de información que no se tiene en los archivos del </w:t>
      </w:r>
      <w:r w:rsidRPr="005F0462">
        <w:rPr>
          <w:rFonts w:cs="Times New Roman"/>
          <w:b/>
          <w:szCs w:val="24"/>
        </w:rPr>
        <w:t>Sujeto Obligado</w:t>
      </w:r>
      <w:r w:rsidRPr="005F0462">
        <w:rPr>
          <w:rFonts w:cs="Times New Roman"/>
          <w:szCs w:val="24"/>
        </w:rPr>
        <w:t>, y en conclusión, la información no podría obrar en los archivos del Sujeto Obligado si esta no fue generada.</w:t>
      </w:r>
    </w:p>
    <w:p w14:paraId="2FB692A5" w14:textId="77777777" w:rsidR="00862FC2" w:rsidRPr="005F0462" w:rsidRDefault="00862FC2" w:rsidP="00862FC2">
      <w:pPr>
        <w:tabs>
          <w:tab w:val="left" w:pos="709"/>
        </w:tabs>
        <w:rPr>
          <w:rFonts w:cs="Times New Roman"/>
          <w:szCs w:val="24"/>
        </w:rPr>
      </w:pPr>
    </w:p>
    <w:p w14:paraId="0A2492B2" w14:textId="77777777" w:rsidR="00862FC2" w:rsidRPr="005F0462" w:rsidRDefault="00862FC2" w:rsidP="00862FC2">
      <w:pPr>
        <w:rPr>
          <w:rFonts w:cs="Arial"/>
        </w:rPr>
      </w:pPr>
      <w:r w:rsidRPr="005F0462">
        <w:rPr>
          <w:rFonts w:cs="Times New Roman"/>
        </w:rPr>
        <w:t>En ese sentido, es oportuno remitirnos a lo que establece la Ley de Transparencia y Acceso a la Información Pública del Estado de México y Municipios en sus artículos 3, 4 y 12 citados con anterioridad</w:t>
      </w:r>
      <w:r w:rsidRPr="005F0462">
        <w:rPr>
          <w:rFonts w:cs="Arial"/>
        </w:rPr>
        <w:t xml:space="preserve">, de los cuales se desprende que </w:t>
      </w:r>
      <w:r w:rsidRPr="005F0462">
        <w:rPr>
          <w:rFonts w:cs="Arial"/>
          <w:u w:val="single"/>
        </w:rPr>
        <w:t>la información pública es la contenida en los documentos que los Sujetos Obligados generan en ejercicio de sus atribuciones</w:t>
      </w:r>
      <w:r w:rsidRPr="005F0462">
        <w:rPr>
          <w:rFonts w:cs="Arial"/>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81C6678" w14:textId="77777777" w:rsidR="00862FC2" w:rsidRPr="005F0462" w:rsidRDefault="00862FC2" w:rsidP="00862FC2">
      <w:pPr>
        <w:rPr>
          <w:rFonts w:cs="Arial"/>
        </w:rPr>
      </w:pPr>
    </w:p>
    <w:p w14:paraId="3493DF17" w14:textId="77777777" w:rsidR="00862FC2" w:rsidRPr="005F0462" w:rsidRDefault="00862FC2" w:rsidP="00862FC2">
      <w:pPr>
        <w:rPr>
          <w:rFonts w:cs="Arial"/>
        </w:rPr>
      </w:pPr>
      <w:r w:rsidRPr="005F0462">
        <w:rPr>
          <w:rFonts w:cs="Arial"/>
        </w:rPr>
        <w:t>Así también, se dispone que</w:t>
      </w:r>
      <w:r w:rsidRPr="005F0462">
        <w:rPr>
          <w:rFonts w:cs="Times New Roman"/>
        </w:rPr>
        <w:t xml:space="preserve"> </w:t>
      </w:r>
      <w:r w:rsidRPr="005F0462">
        <w:rPr>
          <w:rFonts w:cs="Arial"/>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5F0462">
        <w:rPr>
          <w:rFonts w:cs="Arial"/>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27E23280" w14:textId="77777777" w:rsidR="00862FC2" w:rsidRPr="005F0462" w:rsidRDefault="00862FC2" w:rsidP="00862FC2">
      <w:pPr>
        <w:rPr>
          <w:rFonts w:cs="Arial"/>
        </w:rPr>
      </w:pPr>
    </w:p>
    <w:p w14:paraId="2BB8145F" w14:textId="77777777" w:rsidR="00862FC2" w:rsidRPr="005F0462" w:rsidRDefault="00862FC2" w:rsidP="00862FC2">
      <w:pPr>
        <w:rPr>
          <w:rFonts w:cs="Arial"/>
        </w:rPr>
      </w:pPr>
      <w:r w:rsidRPr="005F0462">
        <w:rPr>
          <w:rFonts w:cs="Arial"/>
        </w:rPr>
        <w:t xml:space="preserve">En este contexto, el </w:t>
      </w:r>
      <w:r w:rsidRPr="005F0462">
        <w:rPr>
          <w:rFonts w:cs="Arial"/>
          <w:b/>
        </w:rPr>
        <w:t>Sujeto Obligado</w:t>
      </w:r>
      <w:r w:rsidRPr="005F0462">
        <w:rPr>
          <w:rFonts w:cs="Arial"/>
        </w:rPr>
        <w:t xml:space="preserve"> no está obligado a generar documento </w:t>
      </w:r>
      <w:r w:rsidRPr="005F0462">
        <w:rPr>
          <w:rFonts w:cs="Arial"/>
          <w:b/>
          <w:i/>
        </w:rPr>
        <w:t>ad hoc</w:t>
      </w:r>
      <w:r w:rsidRPr="005F0462">
        <w:rPr>
          <w:rFonts w:cs="Arial"/>
        </w:rPr>
        <w:t xml:space="preserve"> para para satisfacer el derecho de acceso, situación que no está permitida dentro de la materia de acceso a la información.</w:t>
      </w:r>
    </w:p>
    <w:p w14:paraId="4FF23902" w14:textId="77777777" w:rsidR="00862FC2" w:rsidRPr="005F0462" w:rsidRDefault="00862FC2" w:rsidP="00862FC2">
      <w:pPr>
        <w:spacing w:before="240" w:after="240"/>
        <w:rPr>
          <w:rFonts w:cs="Arial"/>
          <w:sz w:val="2"/>
        </w:rPr>
      </w:pPr>
    </w:p>
    <w:p w14:paraId="1A81D9EB" w14:textId="77777777" w:rsidR="00862FC2" w:rsidRDefault="00862FC2" w:rsidP="00862FC2">
      <w:pPr>
        <w:rPr>
          <w:rFonts w:cs="Times New Roman"/>
          <w:b/>
          <w:bCs/>
          <w:color w:val="000000"/>
        </w:rPr>
      </w:pPr>
      <w:r w:rsidRPr="005F0462">
        <w:rPr>
          <w:rFonts w:cs="Arial"/>
          <w:color w:val="000000"/>
        </w:rPr>
        <w:t xml:space="preserve">Como apoyo a lo anterior, es aplicable el Criterio 03-17, emitido por </w:t>
      </w:r>
      <w:r w:rsidRPr="005F0462">
        <w:rPr>
          <w:rFonts w:eastAsia="Arial Unicode MS" w:cs="Arial"/>
          <w:color w:val="000000"/>
        </w:rPr>
        <w:t>el Instituto Nacional de Transparencia, Acceso a la Información y Protección de Datos Personales,</w:t>
      </w:r>
      <w:r w:rsidRPr="005F0462">
        <w:rPr>
          <w:rFonts w:cs="Times New Roman"/>
          <w:bCs/>
          <w:color w:val="000000"/>
        </w:rPr>
        <w:t xml:space="preserve"> que dice:</w:t>
      </w:r>
      <w:r w:rsidRPr="005F0462">
        <w:rPr>
          <w:rFonts w:cs="Times New Roman"/>
          <w:b/>
          <w:bCs/>
          <w:color w:val="000000"/>
        </w:rPr>
        <w:t xml:space="preserve"> </w:t>
      </w:r>
    </w:p>
    <w:p w14:paraId="53D516A8" w14:textId="77777777" w:rsidR="00862FC2" w:rsidRPr="005F0462" w:rsidRDefault="00862FC2" w:rsidP="00862FC2">
      <w:pPr>
        <w:rPr>
          <w:rFonts w:cs="Times New Roman"/>
          <w:b/>
          <w:bCs/>
          <w:color w:val="000000"/>
        </w:rPr>
      </w:pPr>
    </w:p>
    <w:p w14:paraId="0291DE32" w14:textId="77777777" w:rsidR="00862FC2" w:rsidRPr="005F0462" w:rsidRDefault="00862FC2" w:rsidP="00862FC2">
      <w:pPr>
        <w:spacing w:line="256" w:lineRule="auto"/>
        <w:ind w:left="851" w:right="850"/>
        <w:rPr>
          <w:rFonts w:cs="Arial"/>
          <w:color w:val="000000"/>
          <w:sz w:val="2"/>
        </w:rPr>
      </w:pPr>
    </w:p>
    <w:p w14:paraId="3105E521" w14:textId="77777777" w:rsidR="00862FC2" w:rsidRPr="005F0462" w:rsidRDefault="00862FC2" w:rsidP="00862FC2">
      <w:pPr>
        <w:spacing w:line="256" w:lineRule="auto"/>
        <w:ind w:left="851" w:right="901"/>
        <w:rPr>
          <w:rFonts w:cs="Arial"/>
          <w:i/>
          <w:color w:val="000000"/>
        </w:rPr>
      </w:pPr>
      <w:r w:rsidRPr="005F0462">
        <w:rPr>
          <w:rFonts w:cs="Arial"/>
          <w:i/>
          <w:color w:val="000000"/>
        </w:rPr>
        <w:t>“</w:t>
      </w:r>
      <w:r w:rsidRPr="005F0462">
        <w:rPr>
          <w:rFonts w:cs="Arial"/>
          <w:b/>
          <w:i/>
          <w:color w:val="000000"/>
        </w:rPr>
        <w:t>No existe obligación de elaborar documentos ad hoc para atender las solicitudes de acceso a la información.</w:t>
      </w:r>
      <w:r w:rsidRPr="005F0462">
        <w:rPr>
          <w:rFonts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33E8F9" w14:textId="77777777" w:rsidR="00862FC2" w:rsidRPr="005F0462" w:rsidRDefault="00862FC2" w:rsidP="00862FC2">
      <w:pPr>
        <w:spacing w:line="256" w:lineRule="auto"/>
        <w:ind w:left="851" w:right="901"/>
        <w:rPr>
          <w:rFonts w:cs="Arial"/>
          <w:i/>
          <w:color w:val="000000"/>
          <w:sz w:val="2"/>
        </w:rPr>
      </w:pPr>
    </w:p>
    <w:p w14:paraId="447D7BF6" w14:textId="77777777" w:rsidR="00862FC2" w:rsidRPr="005F0462" w:rsidRDefault="00862FC2" w:rsidP="00862FC2">
      <w:pPr>
        <w:spacing w:line="256" w:lineRule="auto"/>
        <w:ind w:left="851" w:right="901"/>
        <w:rPr>
          <w:rFonts w:cs="Arial"/>
          <w:i/>
          <w:color w:val="000000"/>
          <w:sz w:val="20"/>
        </w:rPr>
      </w:pPr>
      <w:r w:rsidRPr="005F0462">
        <w:rPr>
          <w:rFonts w:cs="Arial"/>
          <w:i/>
          <w:color w:val="000000"/>
          <w:sz w:val="20"/>
        </w:rPr>
        <w:t xml:space="preserve">Resoluciones: </w:t>
      </w:r>
    </w:p>
    <w:p w14:paraId="1D096E9A" w14:textId="77777777" w:rsidR="00862FC2" w:rsidRPr="005F0462" w:rsidRDefault="00862FC2" w:rsidP="00862FC2">
      <w:pPr>
        <w:spacing w:line="256" w:lineRule="auto"/>
        <w:ind w:left="851" w:right="901"/>
        <w:rPr>
          <w:rFonts w:cs="Arial"/>
          <w:i/>
          <w:color w:val="000000"/>
          <w:sz w:val="20"/>
        </w:rPr>
      </w:pPr>
      <w:r w:rsidRPr="005F0462">
        <w:rPr>
          <w:rFonts w:cs="Arial"/>
          <w:i/>
          <w:color w:val="000000"/>
          <w:sz w:val="20"/>
        </w:rPr>
        <w:sym w:font="Symbol" w:char="F0B7"/>
      </w:r>
      <w:r w:rsidRPr="005F0462">
        <w:rPr>
          <w:rFonts w:cs="Arial"/>
          <w:i/>
          <w:color w:val="000000"/>
          <w:sz w:val="20"/>
        </w:rPr>
        <w:t xml:space="preserve"> RRA 0050/16. Instituto Nacional para la Evaluación de la Educación. 13 julio de 2016. Por unanimidad. Comisionado Ponente: Francisco Javier Acuña Llamas.</w:t>
      </w:r>
    </w:p>
    <w:p w14:paraId="0DE4C272" w14:textId="77777777" w:rsidR="00862FC2" w:rsidRPr="005F0462" w:rsidRDefault="00862FC2" w:rsidP="00862FC2">
      <w:pPr>
        <w:spacing w:line="256" w:lineRule="auto"/>
        <w:ind w:left="851" w:right="901"/>
        <w:rPr>
          <w:rFonts w:cs="Arial"/>
          <w:i/>
          <w:color w:val="000000"/>
          <w:sz w:val="20"/>
        </w:rPr>
      </w:pPr>
      <w:r w:rsidRPr="005F0462">
        <w:rPr>
          <w:rFonts w:cs="Arial"/>
          <w:i/>
          <w:color w:val="000000"/>
          <w:sz w:val="20"/>
        </w:rPr>
        <w:sym w:font="Symbol" w:char="F0B7"/>
      </w:r>
      <w:r w:rsidRPr="005F0462">
        <w:rPr>
          <w:rFonts w:cs="Arial"/>
          <w:i/>
          <w:color w:val="000000"/>
          <w:sz w:val="20"/>
        </w:rPr>
        <w:t xml:space="preserve"> RRA 0310/16. Instituto Nacional de Transparencia, Acceso a la Información y Protección de Datos Personales. 10 de agosto de 2016. Por unanimidad. Comisionada Ponente. Areli Cano Guadiana. </w:t>
      </w:r>
    </w:p>
    <w:p w14:paraId="1C04413E" w14:textId="77777777" w:rsidR="00862FC2" w:rsidRPr="005F0462" w:rsidRDefault="00862FC2" w:rsidP="00862FC2">
      <w:pPr>
        <w:spacing w:line="256" w:lineRule="auto"/>
        <w:ind w:left="851" w:right="901"/>
        <w:rPr>
          <w:rFonts w:cs="Arial"/>
          <w:i/>
          <w:color w:val="000000"/>
          <w:sz w:val="20"/>
        </w:rPr>
      </w:pPr>
      <w:r w:rsidRPr="005F0462">
        <w:rPr>
          <w:rFonts w:cs="Arial"/>
          <w:i/>
          <w:color w:val="000000"/>
          <w:sz w:val="20"/>
        </w:rPr>
        <w:lastRenderedPageBreak/>
        <w:sym w:font="Symbol" w:char="F0B7"/>
      </w:r>
      <w:r w:rsidRPr="005F0462">
        <w:rPr>
          <w:rFonts w:cs="Arial"/>
          <w:i/>
          <w:color w:val="000000"/>
          <w:sz w:val="20"/>
        </w:rPr>
        <w:t xml:space="preserve"> RRA 1889/16. Secretaría de Hacienda y Crédito Público. 05 de octubre de 2016. Por unanimidad. Comisionada Ponente. Ximena Puente de la Mora.”</w:t>
      </w:r>
    </w:p>
    <w:p w14:paraId="6A47B958" w14:textId="77777777" w:rsidR="00862FC2" w:rsidRPr="005F0462" w:rsidRDefault="00862FC2" w:rsidP="00862FC2">
      <w:pPr>
        <w:pStyle w:val="Sinespaciado"/>
        <w:spacing w:line="360" w:lineRule="auto"/>
        <w:jc w:val="both"/>
        <w:rPr>
          <w:rFonts w:ascii="Palatino Linotype" w:hAnsi="Palatino Linotype"/>
          <w:lang w:val="es-ES_tradnl"/>
        </w:rPr>
      </w:pPr>
    </w:p>
    <w:p w14:paraId="5C9E4C4B" w14:textId="4A168829" w:rsidR="00862FC2" w:rsidRPr="005F0462" w:rsidRDefault="00862FC2" w:rsidP="00862FC2">
      <w:pPr>
        <w:contextualSpacing/>
        <w:rPr>
          <w:rFonts w:eastAsia="Times New Roman" w:cs="Arial"/>
          <w:color w:val="000000"/>
          <w:szCs w:val="24"/>
          <w:lang w:eastAsia="es-ES"/>
        </w:rPr>
      </w:pPr>
      <w:r w:rsidRPr="005F0462">
        <w:rPr>
          <w:rFonts w:eastAsia="Times New Roman" w:cs="Arial"/>
          <w:color w:val="000000"/>
          <w:szCs w:val="24"/>
          <w:lang w:eastAsia="es-ES"/>
        </w:rPr>
        <w:t xml:space="preserve">En conclusión, le asiste la razón al </w:t>
      </w:r>
      <w:r w:rsidRPr="005F0462">
        <w:rPr>
          <w:rFonts w:eastAsia="Times New Roman" w:cs="Arial"/>
          <w:b/>
          <w:color w:val="000000"/>
          <w:szCs w:val="24"/>
          <w:lang w:eastAsia="es-ES"/>
        </w:rPr>
        <w:t>Sujeto Obligado</w:t>
      </w:r>
      <w:r w:rsidRPr="005F0462">
        <w:rPr>
          <w:rFonts w:eastAsia="Times New Roman" w:cs="Arial"/>
          <w:color w:val="000000"/>
          <w:szCs w:val="24"/>
          <w:lang w:eastAsia="es-ES"/>
        </w:rPr>
        <w:t xml:space="preserve"> porque al informar </w:t>
      </w:r>
      <w:r w:rsidRPr="005F0462">
        <w:rPr>
          <w:szCs w:val="24"/>
        </w:rPr>
        <w:t xml:space="preserve">que </w:t>
      </w:r>
      <w:r>
        <w:rPr>
          <w:szCs w:val="24"/>
        </w:rPr>
        <w:t xml:space="preserve">lo requerido no es </w:t>
      </w:r>
      <w:r w:rsidRPr="00BC1E63">
        <w:rPr>
          <w:szCs w:val="24"/>
        </w:rPr>
        <w:t>documentación pública generada, administrada o que esté en posesión de</w:t>
      </w:r>
      <w:r>
        <w:rPr>
          <w:szCs w:val="24"/>
        </w:rPr>
        <w:t>l Centro de Control de Confianza del Estado de México</w:t>
      </w:r>
      <w:r w:rsidRPr="005F0462">
        <w:rPr>
          <w:rFonts w:eastAsia="Times New Roman" w:cs="Arial"/>
          <w:color w:val="000000"/>
          <w:szCs w:val="24"/>
          <w:lang w:eastAsia="es-ES"/>
        </w:rPr>
        <w:t>, y al no existir obligación en materia de transparencia que lo constriña a poseer o generar dichos documentales, como se estipuló anteriormente, resultan infundadas las razones o motivos de inconformidad vertidos por el particular.</w:t>
      </w:r>
    </w:p>
    <w:p w14:paraId="3FE1C598" w14:textId="77777777" w:rsidR="00862FC2" w:rsidRPr="005F0462" w:rsidRDefault="00862FC2" w:rsidP="00862FC2">
      <w:pPr>
        <w:contextualSpacing/>
        <w:rPr>
          <w:rFonts w:eastAsia="Times New Roman" w:cs="Arial"/>
          <w:color w:val="000000"/>
          <w:szCs w:val="24"/>
          <w:lang w:eastAsia="es-ES"/>
        </w:rPr>
      </w:pPr>
    </w:p>
    <w:p w14:paraId="536624B8" w14:textId="1DE56ECD"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Así, en mérito de lo expuesto en líneas anteriores </w:t>
      </w:r>
      <w:r w:rsidRPr="005F0462">
        <w:rPr>
          <w:rFonts w:ascii="Palatino Linotype" w:hAnsi="Palatino Linotype"/>
          <w:noProof/>
          <w:lang w:val="es-ES_tradnl" w:eastAsia="es-MX"/>
        </w:rPr>
        <w:t xml:space="preserve">resultan infundadas las razones o motivos de inconformidad que arguye el Recurrente; </w:t>
      </w:r>
      <w:r w:rsidRPr="005F0462">
        <w:rPr>
          <w:rFonts w:ascii="Palatino Linotype" w:hAnsi="Palatino Linotype"/>
          <w:lang w:val="es-ES_tradnl"/>
        </w:rPr>
        <w:t xml:space="preserve">por ello, con fundamento en el artículo 186 fracción II de la Ley de Transparencia y Acceso a la Información Pública del Estado de México y Municipios, se </w:t>
      </w:r>
      <w:r w:rsidRPr="005F0462">
        <w:rPr>
          <w:rFonts w:ascii="Palatino Linotype" w:hAnsi="Palatino Linotype"/>
          <w:b/>
          <w:lang w:val="es-ES_tradnl"/>
        </w:rPr>
        <w:t>CONFIRMA</w:t>
      </w:r>
      <w:r w:rsidRPr="005F0462">
        <w:rPr>
          <w:rFonts w:ascii="Palatino Linotype" w:hAnsi="Palatino Linotype"/>
          <w:lang w:val="es-ES_tradnl"/>
        </w:rPr>
        <w:t xml:space="preserve"> la respuesta a la solicitud de información pública </w:t>
      </w:r>
      <w:r w:rsidR="003D2B44" w:rsidRPr="003D2B44">
        <w:rPr>
          <w:rFonts w:ascii="Palatino Linotype" w:hAnsi="Palatino Linotype"/>
          <w:b/>
          <w:bCs/>
          <w:lang w:val="es-ES_tradnl"/>
        </w:rPr>
        <w:t>00012/CCCEM/IP/2025</w:t>
      </w:r>
      <w:r w:rsidRPr="00BC1E63">
        <w:rPr>
          <w:rFonts w:ascii="Palatino Linotype" w:hAnsi="Palatino Linotype"/>
          <w:b/>
          <w:bCs/>
          <w:lang w:val="es-ES_tradnl"/>
        </w:rPr>
        <w:t xml:space="preserve"> </w:t>
      </w:r>
      <w:r w:rsidRPr="005F0462">
        <w:rPr>
          <w:rFonts w:ascii="Palatino Linotype" w:hAnsi="Palatino Linotype"/>
          <w:bCs/>
          <w:lang w:val="es-ES_tradnl"/>
        </w:rPr>
        <w:t>que ha sido materia del presente fallo</w:t>
      </w:r>
      <w:r w:rsidRPr="005F0462">
        <w:rPr>
          <w:rFonts w:ascii="Palatino Linotype" w:hAnsi="Palatino Linotype"/>
          <w:lang w:val="es-ES_tradnl"/>
        </w:rPr>
        <w:t>, por lo que este Pleno:</w:t>
      </w:r>
    </w:p>
    <w:p w14:paraId="109B9225" w14:textId="77777777" w:rsidR="00862FC2" w:rsidRPr="005F0462" w:rsidRDefault="00862FC2" w:rsidP="00862FC2">
      <w:pPr>
        <w:pStyle w:val="Sinespaciado"/>
        <w:spacing w:line="360" w:lineRule="auto"/>
        <w:rPr>
          <w:rFonts w:ascii="Palatino Linotype" w:hAnsi="Palatino Linotype"/>
          <w:b/>
          <w:sz w:val="28"/>
          <w:szCs w:val="28"/>
          <w:lang w:val="es-ES_tradnl"/>
        </w:rPr>
      </w:pPr>
    </w:p>
    <w:p w14:paraId="3B424D1D" w14:textId="77777777" w:rsidR="00862FC2" w:rsidRPr="005F0462" w:rsidRDefault="00862FC2" w:rsidP="00862FC2">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R E S U E L V E</w:t>
      </w:r>
    </w:p>
    <w:p w14:paraId="799529CC" w14:textId="77777777" w:rsidR="00862FC2" w:rsidRPr="005F0462" w:rsidRDefault="00862FC2" w:rsidP="00862FC2">
      <w:pPr>
        <w:pStyle w:val="Sinespaciado"/>
        <w:spacing w:line="360" w:lineRule="auto"/>
        <w:jc w:val="both"/>
        <w:rPr>
          <w:rFonts w:ascii="Palatino Linotype" w:hAnsi="Palatino Linotype"/>
          <w:b/>
          <w:sz w:val="2"/>
          <w:lang w:val="es-ES_tradnl"/>
        </w:rPr>
      </w:pPr>
    </w:p>
    <w:p w14:paraId="6A717643" w14:textId="3CA93F4D"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b/>
          <w:lang w:val="es-ES_tradnl"/>
        </w:rPr>
        <w:t xml:space="preserve">PRIMERO. </w:t>
      </w:r>
      <w:r w:rsidRPr="005F0462">
        <w:rPr>
          <w:rFonts w:ascii="Palatino Linotype" w:hAnsi="Palatino Linotype"/>
          <w:lang w:val="es-ES_tradnl"/>
        </w:rPr>
        <w:t xml:space="preserve">Se </w:t>
      </w:r>
      <w:r w:rsidRPr="005F0462">
        <w:rPr>
          <w:rFonts w:ascii="Palatino Linotype" w:hAnsi="Palatino Linotype"/>
          <w:b/>
          <w:lang w:val="es-ES_tradnl"/>
        </w:rPr>
        <w:t>CONFIRMA</w:t>
      </w:r>
      <w:r w:rsidRPr="005F0462">
        <w:rPr>
          <w:rFonts w:ascii="Palatino Linotype" w:hAnsi="Palatino Linotype"/>
          <w:lang w:val="es-ES_tradnl"/>
        </w:rPr>
        <w:t xml:space="preserve"> la respuesta del Sujeto Obligado</w:t>
      </w:r>
      <w:r w:rsidRPr="005F0462">
        <w:rPr>
          <w:rFonts w:ascii="Palatino Linotype" w:hAnsi="Palatino Linotype"/>
          <w:b/>
          <w:lang w:val="es-ES_tradnl"/>
        </w:rPr>
        <w:t xml:space="preserve"> </w:t>
      </w:r>
      <w:r w:rsidRPr="005F0462">
        <w:rPr>
          <w:rFonts w:ascii="Palatino Linotype" w:hAnsi="Palatino Linotype"/>
          <w:bCs/>
          <w:lang w:val="es-ES_tradnl"/>
        </w:rPr>
        <w:t xml:space="preserve">a la solicitud de información </w:t>
      </w:r>
      <w:r w:rsidR="003D2B44" w:rsidRPr="003D2B44">
        <w:rPr>
          <w:rFonts w:ascii="Palatino Linotype" w:hAnsi="Palatino Linotype"/>
          <w:b/>
          <w:bCs/>
          <w:lang w:val="es-ES_tradnl"/>
        </w:rPr>
        <w:t>00012/CCCEM/IP/2025</w:t>
      </w:r>
      <w:r w:rsidRPr="005F0462">
        <w:rPr>
          <w:rFonts w:ascii="Palatino Linotype" w:hAnsi="Palatino Linotype"/>
          <w:b/>
          <w:bCs/>
          <w:lang w:val="es-ES_tradnl"/>
        </w:rPr>
        <w:t xml:space="preserve"> </w:t>
      </w:r>
      <w:r w:rsidRPr="005F0462">
        <w:rPr>
          <w:rFonts w:ascii="Palatino Linotype" w:hAnsi="Palatino Linotype"/>
          <w:lang w:val="es-ES_tradnl"/>
        </w:rPr>
        <w:t xml:space="preserve">por resultar infundadas las razones o motivos de inconformidad hechos valer por el Recurrente, en términos del Considerando </w:t>
      </w:r>
      <w:r>
        <w:rPr>
          <w:rFonts w:ascii="Palatino Linotype" w:hAnsi="Palatino Linotype"/>
          <w:b/>
          <w:lang w:val="es-ES_tradnl"/>
        </w:rPr>
        <w:t>QUINTO</w:t>
      </w:r>
      <w:r w:rsidRPr="005F0462">
        <w:rPr>
          <w:rFonts w:ascii="Palatino Linotype" w:hAnsi="Palatino Linotype"/>
          <w:b/>
          <w:lang w:val="es-ES_tradnl"/>
        </w:rPr>
        <w:t xml:space="preserve"> </w:t>
      </w:r>
      <w:r w:rsidRPr="005F0462">
        <w:rPr>
          <w:rFonts w:ascii="Palatino Linotype" w:hAnsi="Palatino Linotype"/>
          <w:lang w:val="es-ES_tradnl"/>
        </w:rPr>
        <w:t>de esta resolución.</w:t>
      </w:r>
    </w:p>
    <w:p w14:paraId="1DD2CB9F" w14:textId="77777777" w:rsidR="00862FC2" w:rsidRPr="005F0462" w:rsidRDefault="00862FC2" w:rsidP="00862FC2">
      <w:pPr>
        <w:pStyle w:val="Sinespaciado"/>
        <w:spacing w:line="360" w:lineRule="auto"/>
        <w:jc w:val="both"/>
        <w:rPr>
          <w:rFonts w:ascii="Palatino Linotype" w:hAnsi="Palatino Linotype"/>
          <w:sz w:val="20"/>
          <w:lang w:val="es-ES_tradnl"/>
        </w:rPr>
      </w:pPr>
    </w:p>
    <w:p w14:paraId="3ADA6017" w14:textId="77777777"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b/>
          <w:lang w:val="es-ES_tradnl"/>
        </w:rPr>
        <w:lastRenderedPageBreak/>
        <w:t>SEGUNDO.</w:t>
      </w:r>
      <w:r w:rsidRPr="005F0462">
        <w:rPr>
          <w:rFonts w:ascii="Palatino Linotype" w:hAnsi="Palatino Linotype"/>
          <w:lang w:val="es-ES_tradnl"/>
        </w:rPr>
        <w:t xml:space="preserve"> </w:t>
      </w:r>
      <w:r w:rsidRPr="005F0462">
        <w:rPr>
          <w:rFonts w:ascii="Palatino Linotype" w:hAnsi="Palatino Linotype"/>
          <w:b/>
          <w:lang w:val="es-ES_tradnl"/>
        </w:rPr>
        <w:t>NOTIFÍQUESE</w:t>
      </w:r>
      <w:r w:rsidRPr="005F0462">
        <w:rPr>
          <w:rFonts w:ascii="Palatino Linotype" w:hAnsi="Palatino Linotype"/>
          <w:lang w:val="es-ES_tradnl"/>
        </w:rPr>
        <w:t xml:space="preserve"> la presente resolución vía Sistema de Acceso a la Información Mexiquense (</w:t>
      </w:r>
      <w:r w:rsidRPr="005F0462">
        <w:rPr>
          <w:rFonts w:ascii="Palatino Linotype" w:hAnsi="Palatino Linotype"/>
          <w:b/>
          <w:bCs/>
          <w:lang w:val="es-ES_tradnl"/>
        </w:rPr>
        <w:t>SAIMEX</w:t>
      </w:r>
      <w:r w:rsidRPr="005F0462">
        <w:rPr>
          <w:rFonts w:ascii="Palatino Linotype" w:hAnsi="Palatino Linotype"/>
          <w:lang w:val="es-ES_tradnl"/>
        </w:rPr>
        <w:t>) al Titular de la Unidad de Transparencia del Sujeto Obligado.</w:t>
      </w:r>
    </w:p>
    <w:p w14:paraId="66A51736" w14:textId="77777777" w:rsidR="00862FC2" w:rsidRPr="005F0462" w:rsidRDefault="00862FC2" w:rsidP="00862FC2">
      <w:pPr>
        <w:pStyle w:val="Sinespaciado"/>
        <w:spacing w:line="360" w:lineRule="auto"/>
        <w:jc w:val="both"/>
        <w:rPr>
          <w:rFonts w:ascii="Palatino Linotype" w:hAnsi="Palatino Linotype"/>
          <w:lang w:val="es-ES_tradnl"/>
        </w:rPr>
      </w:pPr>
    </w:p>
    <w:p w14:paraId="6678700C" w14:textId="77777777" w:rsidR="00862FC2" w:rsidRPr="005F0462" w:rsidRDefault="00862FC2" w:rsidP="00862FC2">
      <w:pPr>
        <w:pStyle w:val="Sinespaciado"/>
        <w:spacing w:line="360" w:lineRule="auto"/>
        <w:jc w:val="both"/>
        <w:rPr>
          <w:rFonts w:ascii="Palatino Linotype" w:hAnsi="Palatino Linotype"/>
          <w:lang w:val="es-ES_tradnl"/>
        </w:rPr>
      </w:pPr>
      <w:r w:rsidRPr="005F0462">
        <w:rPr>
          <w:rFonts w:ascii="Palatino Linotype" w:hAnsi="Palatino Linotype"/>
          <w:b/>
          <w:lang w:val="es-ES_tradnl"/>
        </w:rPr>
        <w:t>TERCERO.</w:t>
      </w:r>
      <w:r w:rsidRPr="005F0462">
        <w:rPr>
          <w:rFonts w:ascii="Palatino Linotype" w:hAnsi="Palatino Linotype"/>
          <w:lang w:val="es-ES_tradnl"/>
        </w:rPr>
        <w:t xml:space="preserve"> </w:t>
      </w:r>
      <w:r w:rsidRPr="005F0462">
        <w:rPr>
          <w:rFonts w:ascii="Palatino Linotype" w:hAnsi="Palatino Linotype"/>
          <w:b/>
          <w:lang w:val="es-ES_tradnl"/>
        </w:rPr>
        <w:t>NOTIFÍQUESE</w:t>
      </w:r>
      <w:r w:rsidRPr="005F0462">
        <w:rPr>
          <w:rFonts w:ascii="Palatino Linotype" w:hAnsi="Palatino Linotype"/>
          <w:lang w:val="es-ES_tradnl"/>
        </w:rPr>
        <w:t xml:space="preserve"> al Recurrente</w:t>
      </w:r>
      <w:r w:rsidRPr="005F0462">
        <w:rPr>
          <w:rFonts w:ascii="Palatino Linotype" w:hAnsi="Palatino Linotype"/>
          <w:b/>
          <w:lang w:val="es-ES_tradnl"/>
        </w:rPr>
        <w:t xml:space="preserve"> </w:t>
      </w:r>
      <w:r w:rsidRPr="005F0462">
        <w:rPr>
          <w:rFonts w:ascii="Palatino Linotype" w:hAnsi="Palatino Linotype"/>
          <w:lang w:val="es-ES_tradnl"/>
        </w:rPr>
        <w:t>la presente resolución vía Sistema de Acceso a la Información Mexiquense (</w:t>
      </w:r>
      <w:r w:rsidRPr="005F0462">
        <w:rPr>
          <w:rFonts w:ascii="Palatino Linotype" w:hAnsi="Palatino Linotype"/>
          <w:b/>
          <w:bCs/>
          <w:lang w:val="es-ES_tradnl"/>
        </w:rPr>
        <w:t>SAIMEX</w:t>
      </w:r>
      <w:r w:rsidRPr="005F0462">
        <w:rPr>
          <w:rFonts w:ascii="Palatino Linotype" w:hAnsi="Palatino Linotype"/>
          <w:lang w:val="es-ES_tradnl"/>
        </w:rPr>
        <w:t>)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FBE17F9" w14:textId="77777777" w:rsidR="003D2B44" w:rsidRPr="00A32473" w:rsidRDefault="003D2B44" w:rsidP="00297D07">
      <w:pPr>
        <w:contextualSpacing/>
        <w:rPr>
          <w:lang w:val="es-MX"/>
        </w:rPr>
      </w:pPr>
    </w:p>
    <w:p w14:paraId="20573BFF" w14:textId="579AB704" w:rsidR="00A970D5" w:rsidRPr="006922F5" w:rsidRDefault="005A45B1" w:rsidP="00297D07">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8120E9">
        <w:rPr>
          <w:rFonts w:eastAsia="Palatino Linotype" w:cs="Palatino Linotype"/>
          <w:color w:val="000000"/>
          <w:szCs w:val="24"/>
        </w:rPr>
        <w:t>VIGÉSIMA PRIMERA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8120E9">
        <w:rPr>
          <w:rFonts w:eastAsia="Palatino Linotype" w:cs="Palatino Linotype"/>
          <w:color w:val="000000"/>
          <w:szCs w:val="24"/>
        </w:rPr>
        <w:t>ONCE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8120E9">
        <w:rPr>
          <w:rFonts w:eastAsia="Palatino Linotype" w:cs="Palatino Linotype"/>
          <w:color w:val="000000"/>
          <w:szCs w:val="24"/>
        </w:rPr>
        <w:t>---------</w:t>
      </w:r>
      <w:r w:rsidR="003D2B44">
        <w:rPr>
          <w:rFonts w:eastAsia="Palatino Linotype" w:cs="Palatino Linotype"/>
          <w:color w:val="000000"/>
          <w:szCs w:val="24"/>
        </w:rPr>
        <w:t>---------------------------------------------------------------------------------------------------------------------</w:t>
      </w:r>
    </w:p>
    <w:p w14:paraId="4DA57669" w14:textId="41E4B324" w:rsidR="00A970D5" w:rsidRPr="004B7011" w:rsidRDefault="44E9108F" w:rsidP="00297D07">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
    <w:p w14:paraId="5FBC6CA4"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297D07"/>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D14EE" w14:textId="77777777" w:rsidR="00C478CF" w:rsidRDefault="00C478CF" w:rsidP="00F2498E">
      <w:pPr>
        <w:spacing w:line="240" w:lineRule="auto"/>
      </w:pPr>
      <w:r>
        <w:separator/>
      </w:r>
    </w:p>
  </w:endnote>
  <w:endnote w:type="continuationSeparator" w:id="0">
    <w:p w14:paraId="493CA035" w14:textId="77777777" w:rsidR="00C478CF" w:rsidRDefault="00C478CF" w:rsidP="00F2498E">
      <w:pPr>
        <w:spacing w:line="240" w:lineRule="auto"/>
      </w:pPr>
      <w:r>
        <w:continuationSeparator/>
      </w:r>
    </w:p>
  </w:endnote>
  <w:endnote w:type="continuationNotice" w:id="1">
    <w:p w14:paraId="2DAA24AA" w14:textId="77777777" w:rsidR="00C478CF" w:rsidRDefault="00C478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62FC2" w:rsidRPr="00871A91" w:rsidRDefault="00862FC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5B49">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5B49">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62FC2" w:rsidRPr="00871A91" w:rsidRDefault="00862FC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5B4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5B49">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489E0" w14:textId="77777777" w:rsidR="00C478CF" w:rsidRDefault="00C478CF" w:rsidP="00F2498E">
      <w:pPr>
        <w:spacing w:line="240" w:lineRule="auto"/>
      </w:pPr>
      <w:r>
        <w:separator/>
      </w:r>
    </w:p>
  </w:footnote>
  <w:footnote w:type="continuationSeparator" w:id="0">
    <w:p w14:paraId="621C881E" w14:textId="77777777" w:rsidR="00C478CF" w:rsidRDefault="00C478CF" w:rsidP="00F2498E">
      <w:pPr>
        <w:spacing w:line="240" w:lineRule="auto"/>
      </w:pPr>
      <w:r>
        <w:continuationSeparator/>
      </w:r>
    </w:p>
  </w:footnote>
  <w:footnote w:type="continuationNotice" w:id="1">
    <w:p w14:paraId="143545C2" w14:textId="77777777" w:rsidR="00C478CF" w:rsidRDefault="00C478CF">
      <w:pPr>
        <w:spacing w:line="240" w:lineRule="auto"/>
      </w:pPr>
    </w:p>
  </w:footnote>
  <w:footnote w:id="2">
    <w:p w14:paraId="2BCE50A0" w14:textId="77777777" w:rsidR="00862FC2" w:rsidRPr="0031280C" w:rsidRDefault="00862FC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62FC2" w:rsidRPr="0031280C" w:rsidRDefault="00862FC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62FC2" w:rsidRPr="0031280C" w:rsidRDefault="00862FC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62FC2" w:rsidRPr="0031280C" w:rsidRDefault="00862FC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62FC2" w:rsidRDefault="00A15B49">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62FC2" w:rsidRPr="00B17577" w14:paraId="37B9EBDE" w14:textId="77777777" w:rsidTr="003938ED">
      <w:trPr>
        <w:trHeight w:val="227"/>
      </w:trPr>
      <w:tc>
        <w:tcPr>
          <w:tcW w:w="5103" w:type="dxa"/>
          <w:hideMark/>
        </w:tcPr>
        <w:p w14:paraId="4964FBC5" w14:textId="54CDA645" w:rsidR="00862FC2" w:rsidRPr="00096248" w:rsidRDefault="00862FC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F26BAE9" w:rsidR="00862FC2" w:rsidRPr="00096248" w:rsidRDefault="00862FC2" w:rsidP="00011C4D">
          <w:pPr>
            <w:spacing w:after="120" w:line="240" w:lineRule="auto"/>
            <w:ind w:right="71"/>
            <w:jc w:val="right"/>
            <w:rPr>
              <w:rFonts w:cs="Arial"/>
              <w:b/>
              <w:szCs w:val="24"/>
            </w:rPr>
          </w:pPr>
          <w:r>
            <w:rPr>
              <w:rFonts w:cs="Arial"/>
              <w:b/>
              <w:bCs/>
              <w:szCs w:val="24"/>
            </w:rPr>
            <w:t>01965/INFOEM/IP/RR/2025</w:t>
          </w:r>
        </w:p>
      </w:tc>
    </w:tr>
    <w:tr w:rsidR="00862FC2" w14:paraId="7591D3C9" w14:textId="77777777" w:rsidTr="003938ED">
      <w:trPr>
        <w:trHeight w:val="242"/>
      </w:trPr>
      <w:tc>
        <w:tcPr>
          <w:tcW w:w="5103" w:type="dxa"/>
          <w:hideMark/>
        </w:tcPr>
        <w:p w14:paraId="729A65A8" w14:textId="77777777" w:rsidR="00862FC2" w:rsidRPr="00096248" w:rsidRDefault="00862FC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C531422" w:rsidR="00862FC2" w:rsidRPr="00476F2B" w:rsidRDefault="00862FC2" w:rsidP="00011C4D">
          <w:pPr>
            <w:spacing w:after="120" w:line="240" w:lineRule="auto"/>
            <w:ind w:left="-81" w:right="71"/>
            <w:jc w:val="right"/>
            <w:rPr>
              <w:rFonts w:cs="Arial"/>
              <w:b/>
              <w:szCs w:val="24"/>
            </w:rPr>
          </w:pPr>
          <w:r w:rsidRPr="00476F2B">
            <w:rPr>
              <w:rFonts w:cs="Arial"/>
              <w:b/>
              <w:szCs w:val="24"/>
            </w:rPr>
            <w:t>Centro de Control de Confianza del Estado de México</w:t>
          </w:r>
        </w:p>
      </w:tc>
    </w:tr>
    <w:tr w:rsidR="00862FC2" w:rsidRPr="00F63239" w14:paraId="037E914D" w14:textId="77777777" w:rsidTr="003938ED">
      <w:trPr>
        <w:trHeight w:val="342"/>
      </w:trPr>
      <w:tc>
        <w:tcPr>
          <w:tcW w:w="5103" w:type="dxa"/>
          <w:hideMark/>
        </w:tcPr>
        <w:p w14:paraId="7676B68F" w14:textId="64D69EAF" w:rsidR="00862FC2" w:rsidRPr="00096248" w:rsidRDefault="00862FC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62FC2" w:rsidRPr="00476F2B" w:rsidRDefault="00862FC2" w:rsidP="00011C4D">
          <w:pPr>
            <w:spacing w:after="120" w:line="240" w:lineRule="auto"/>
            <w:ind w:left="-486" w:right="71" w:firstLine="567"/>
            <w:jc w:val="right"/>
            <w:rPr>
              <w:rFonts w:cs="Arial"/>
              <w:b/>
              <w:szCs w:val="24"/>
            </w:rPr>
          </w:pPr>
          <w:r w:rsidRPr="00476F2B">
            <w:rPr>
              <w:rFonts w:cs="Arial"/>
              <w:b/>
              <w:szCs w:val="24"/>
            </w:rPr>
            <w:t>José Martínez Vilchis</w:t>
          </w:r>
        </w:p>
        <w:p w14:paraId="4346858F" w14:textId="5DD8E345" w:rsidR="00862FC2" w:rsidRPr="00476F2B" w:rsidRDefault="00862FC2" w:rsidP="00011C4D">
          <w:pPr>
            <w:spacing w:after="120" w:line="240" w:lineRule="auto"/>
            <w:ind w:left="-486" w:right="71" w:firstLine="567"/>
            <w:jc w:val="right"/>
            <w:rPr>
              <w:rFonts w:cs="Arial"/>
              <w:b/>
              <w:sz w:val="2"/>
              <w:szCs w:val="2"/>
            </w:rPr>
          </w:pPr>
        </w:p>
      </w:tc>
    </w:tr>
  </w:tbl>
  <w:p w14:paraId="2998DBFD" w14:textId="25A9F426" w:rsidR="00862FC2" w:rsidRPr="00871A91" w:rsidRDefault="00A15B49">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62FC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62FC2" w14:paraId="0F9FE9B6" w14:textId="77777777" w:rsidTr="70652167">
      <w:trPr>
        <w:trHeight w:val="227"/>
      </w:trPr>
      <w:tc>
        <w:tcPr>
          <w:tcW w:w="5103" w:type="dxa"/>
          <w:hideMark/>
        </w:tcPr>
        <w:p w14:paraId="6D1D9D71" w14:textId="11150E5A" w:rsidR="00862FC2" w:rsidRPr="00663A37" w:rsidRDefault="00862FC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651E111" w:rsidR="00862FC2" w:rsidRPr="00C81ECD" w:rsidRDefault="00862FC2" w:rsidP="00011C4D">
          <w:pPr>
            <w:spacing w:after="120" w:line="240" w:lineRule="auto"/>
            <w:ind w:left="-486" w:right="68" w:firstLine="558"/>
            <w:jc w:val="right"/>
            <w:rPr>
              <w:rFonts w:cs="Arial"/>
              <w:b/>
              <w:szCs w:val="24"/>
            </w:rPr>
          </w:pPr>
          <w:r>
            <w:rPr>
              <w:rFonts w:cs="Arial"/>
              <w:b/>
              <w:bCs/>
              <w:szCs w:val="24"/>
            </w:rPr>
            <w:t>01965/INFOEM/IP/RR/2025</w:t>
          </w:r>
        </w:p>
      </w:tc>
    </w:tr>
    <w:tr w:rsidR="00862FC2" w:rsidRPr="001F57CD" w14:paraId="1377D264" w14:textId="77777777" w:rsidTr="70652167">
      <w:trPr>
        <w:trHeight w:val="196"/>
      </w:trPr>
      <w:tc>
        <w:tcPr>
          <w:tcW w:w="5103" w:type="dxa"/>
          <w:hideMark/>
        </w:tcPr>
        <w:p w14:paraId="04D597A1" w14:textId="77777777" w:rsidR="00862FC2" w:rsidRPr="00663A37" w:rsidRDefault="00862FC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4A0265F" w:rsidR="00862FC2" w:rsidRPr="00476F2B" w:rsidRDefault="00A15B49" w:rsidP="00A15B49">
          <w:pPr>
            <w:spacing w:after="120" w:line="240" w:lineRule="auto"/>
            <w:ind w:right="68"/>
            <w:jc w:val="right"/>
            <w:rPr>
              <w:rFonts w:cs="Arial"/>
              <w:b/>
              <w:lang w:val="es-ES"/>
            </w:rPr>
          </w:pPr>
          <w:r>
            <w:rPr>
              <w:rFonts w:cs="Arial"/>
              <w:b/>
              <w:lang w:val="es-ES"/>
            </w:rPr>
            <w:t>XXXXXXXXXXXXXXXXX</w:t>
          </w:r>
          <w:r w:rsidR="00862FC2" w:rsidRPr="00476F2B">
            <w:rPr>
              <w:rFonts w:cs="Arial"/>
              <w:b/>
              <w:lang w:val="es-ES"/>
            </w:rPr>
            <w:t xml:space="preserve"> </w:t>
          </w:r>
          <w:r>
            <w:rPr>
              <w:rFonts w:cs="Arial"/>
              <w:b/>
              <w:lang w:val="es-ES"/>
            </w:rPr>
            <w:t>XXXXXXXXXXX</w:t>
          </w:r>
        </w:p>
      </w:tc>
    </w:tr>
    <w:tr w:rsidR="00862FC2" w14:paraId="4DC11993" w14:textId="77777777" w:rsidTr="70652167">
      <w:trPr>
        <w:trHeight w:val="242"/>
      </w:trPr>
      <w:tc>
        <w:tcPr>
          <w:tcW w:w="5103" w:type="dxa"/>
          <w:hideMark/>
        </w:tcPr>
        <w:p w14:paraId="76CEF1B5" w14:textId="77777777" w:rsidR="00862FC2" w:rsidRPr="00663A37" w:rsidRDefault="00862FC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1DB8BBC" w:rsidR="00862FC2" w:rsidRPr="00476F2B" w:rsidRDefault="00862FC2" w:rsidP="00771E23">
          <w:pPr>
            <w:spacing w:after="120" w:line="240" w:lineRule="auto"/>
            <w:ind w:left="-70" w:right="68"/>
            <w:jc w:val="right"/>
            <w:rPr>
              <w:rFonts w:cs="Arial"/>
              <w:b/>
              <w:szCs w:val="24"/>
            </w:rPr>
          </w:pPr>
          <w:r w:rsidRPr="00476F2B">
            <w:rPr>
              <w:rFonts w:cs="Arial"/>
              <w:b/>
              <w:szCs w:val="24"/>
            </w:rPr>
            <w:t>Centro de Control de Confianza del Estado de México</w:t>
          </w:r>
        </w:p>
      </w:tc>
    </w:tr>
    <w:tr w:rsidR="00862FC2" w14:paraId="5C2B511D" w14:textId="77777777" w:rsidTr="70652167">
      <w:trPr>
        <w:trHeight w:val="342"/>
      </w:trPr>
      <w:tc>
        <w:tcPr>
          <w:tcW w:w="5103" w:type="dxa"/>
          <w:hideMark/>
        </w:tcPr>
        <w:p w14:paraId="03FEF68C" w14:textId="45E91CF4" w:rsidR="00862FC2" w:rsidRPr="00663A37" w:rsidRDefault="00862FC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62FC2" w:rsidRPr="00476F2B" w:rsidRDefault="00862FC2" w:rsidP="00011C4D">
          <w:pPr>
            <w:spacing w:after="120" w:line="240" w:lineRule="auto"/>
            <w:ind w:left="-486" w:right="68" w:firstLine="567"/>
            <w:jc w:val="right"/>
            <w:rPr>
              <w:rFonts w:cs="Arial"/>
              <w:b/>
              <w:szCs w:val="24"/>
            </w:rPr>
          </w:pPr>
          <w:r w:rsidRPr="00476F2B">
            <w:rPr>
              <w:rFonts w:cs="Arial"/>
              <w:b/>
              <w:szCs w:val="24"/>
            </w:rPr>
            <w:t>José Martínez Vilchis</w:t>
          </w:r>
        </w:p>
      </w:tc>
    </w:tr>
  </w:tbl>
  <w:p w14:paraId="04D3BBA0" w14:textId="1BA89CC1" w:rsidR="00862FC2" w:rsidRPr="00871A91" w:rsidRDefault="00A15B49">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862FC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0696FA2"/>
    <w:multiLevelType w:val="hybridMultilevel"/>
    <w:tmpl w:val="021E83A6"/>
    <w:lvl w:ilvl="0" w:tplc="2A9ADA0E">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71147A5"/>
    <w:multiLevelType w:val="hybridMultilevel"/>
    <w:tmpl w:val="AC76D32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41568C"/>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E22641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447E9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4D40E1"/>
    <w:multiLevelType w:val="hybridMultilevel"/>
    <w:tmpl w:val="0E1220FC"/>
    <w:lvl w:ilvl="0" w:tplc="F5A41CA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4057279"/>
    <w:multiLevelType w:val="hybridMultilevel"/>
    <w:tmpl w:val="EA74E536"/>
    <w:lvl w:ilvl="0" w:tplc="F97232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E205FA"/>
    <w:multiLevelType w:val="hybridMultilevel"/>
    <w:tmpl w:val="154687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8"/>
  </w:num>
  <w:num w:numId="3">
    <w:abstractNumId w:val="18"/>
  </w:num>
  <w:num w:numId="4">
    <w:abstractNumId w:val="60"/>
  </w:num>
  <w:num w:numId="5">
    <w:abstractNumId w:val="7"/>
  </w:num>
  <w:num w:numId="6">
    <w:abstractNumId w:val="52"/>
  </w:num>
  <w:num w:numId="7">
    <w:abstractNumId w:val="15"/>
  </w:num>
  <w:num w:numId="8">
    <w:abstractNumId w:val="5"/>
  </w:num>
  <w:num w:numId="9">
    <w:abstractNumId w:val="25"/>
  </w:num>
  <w:num w:numId="10">
    <w:abstractNumId w:val="26"/>
  </w:num>
  <w:num w:numId="11">
    <w:abstractNumId w:val="65"/>
  </w:num>
  <w:num w:numId="12">
    <w:abstractNumId w:val="58"/>
  </w:num>
  <w:num w:numId="13">
    <w:abstractNumId w:val="40"/>
  </w:num>
  <w:num w:numId="14">
    <w:abstractNumId w:val="47"/>
  </w:num>
  <w:num w:numId="15">
    <w:abstractNumId w:val="22"/>
  </w:num>
  <w:num w:numId="16">
    <w:abstractNumId w:val="39"/>
  </w:num>
  <w:num w:numId="17">
    <w:abstractNumId w:val="20"/>
  </w:num>
  <w:num w:numId="18">
    <w:abstractNumId w:val="10"/>
  </w:num>
  <w:num w:numId="19">
    <w:abstractNumId w:val="11"/>
  </w:num>
  <w:num w:numId="20">
    <w:abstractNumId w:val="19"/>
  </w:num>
  <w:num w:numId="21">
    <w:abstractNumId w:val="32"/>
  </w:num>
  <w:num w:numId="22">
    <w:abstractNumId w:val="3"/>
  </w:num>
  <w:num w:numId="23">
    <w:abstractNumId w:val="43"/>
  </w:num>
  <w:num w:numId="24">
    <w:abstractNumId w:val="51"/>
  </w:num>
  <w:num w:numId="25">
    <w:abstractNumId w:val="59"/>
  </w:num>
  <w:num w:numId="26">
    <w:abstractNumId w:val="24"/>
  </w:num>
  <w:num w:numId="27">
    <w:abstractNumId w:val="54"/>
  </w:num>
  <w:num w:numId="28">
    <w:abstractNumId w:val="35"/>
  </w:num>
  <w:num w:numId="29">
    <w:abstractNumId w:val="30"/>
  </w:num>
  <w:num w:numId="30">
    <w:abstractNumId w:val="21"/>
  </w:num>
  <w:num w:numId="31">
    <w:abstractNumId w:val="45"/>
  </w:num>
  <w:num w:numId="32">
    <w:abstractNumId w:val="50"/>
  </w:num>
  <w:num w:numId="33">
    <w:abstractNumId w:val="9"/>
  </w:num>
  <w:num w:numId="34">
    <w:abstractNumId w:val="62"/>
  </w:num>
  <w:num w:numId="35">
    <w:abstractNumId w:val="66"/>
  </w:num>
  <w:num w:numId="36">
    <w:abstractNumId w:val="57"/>
  </w:num>
  <w:num w:numId="37">
    <w:abstractNumId w:val="12"/>
  </w:num>
  <w:num w:numId="38">
    <w:abstractNumId w:val="56"/>
  </w:num>
  <w:num w:numId="39">
    <w:abstractNumId w:val="13"/>
  </w:num>
  <w:num w:numId="40">
    <w:abstractNumId w:val="53"/>
  </w:num>
  <w:num w:numId="41">
    <w:abstractNumId w:val="61"/>
  </w:num>
  <w:num w:numId="42">
    <w:abstractNumId w:val="0"/>
  </w:num>
  <w:num w:numId="43">
    <w:abstractNumId w:val="2"/>
  </w:num>
  <w:num w:numId="44">
    <w:abstractNumId w:val="37"/>
  </w:num>
  <w:num w:numId="45">
    <w:abstractNumId w:val="23"/>
  </w:num>
  <w:num w:numId="46">
    <w:abstractNumId w:val="64"/>
  </w:num>
  <w:num w:numId="47">
    <w:abstractNumId w:val="33"/>
  </w:num>
  <w:num w:numId="48">
    <w:abstractNumId w:val="67"/>
  </w:num>
  <w:num w:numId="49">
    <w:abstractNumId w:val="1"/>
  </w:num>
  <w:num w:numId="50">
    <w:abstractNumId w:val="49"/>
  </w:num>
  <w:num w:numId="51">
    <w:abstractNumId w:val="14"/>
  </w:num>
  <w:num w:numId="52">
    <w:abstractNumId w:val="36"/>
  </w:num>
  <w:num w:numId="53">
    <w:abstractNumId w:val="28"/>
  </w:num>
  <w:num w:numId="54">
    <w:abstractNumId w:val="46"/>
  </w:num>
  <w:num w:numId="55">
    <w:abstractNumId w:val="4"/>
  </w:num>
  <w:num w:numId="56">
    <w:abstractNumId w:val="44"/>
  </w:num>
  <w:num w:numId="57">
    <w:abstractNumId w:val="16"/>
  </w:num>
  <w:num w:numId="58">
    <w:abstractNumId w:val="8"/>
  </w:num>
  <w:num w:numId="59">
    <w:abstractNumId w:val="55"/>
  </w:num>
  <w:num w:numId="60">
    <w:abstractNumId w:val="6"/>
  </w:num>
  <w:num w:numId="61">
    <w:abstractNumId w:val="41"/>
  </w:num>
  <w:num w:numId="62">
    <w:abstractNumId w:val="17"/>
  </w:num>
  <w:num w:numId="63">
    <w:abstractNumId w:val="38"/>
  </w:num>
  <w:num w:numId="64">
    <w:abstractNumId w:val="34"/>
  </w:num>
  <w:num w:numId="65">
    <w:abstractNumId w:val="63"/>
  </w:num>
  <w:num w:numId="66">
    <w:abstractNumId w:val="27"/>
  </w:num>
  <w:num w:numId="67">
    <w:abstractNumId w:val="31"/>
  </w:num>
  <w:num w:numId="68">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B53"/>
    <w:rsid w:val="00077D39"/>
    <w:rsid w:val="00077F28"/>
    <w:rsid w:val="0008029E"/>
    <w:rsid w:val="000802BA"/>
    <w:rsid w:val="0008134D"/>
    <w:rsid w:val="00081F52"/>
    <w:rsid w:val="00082E5D"/>
    <w:rsid w:val="00083498"/>
    <w:rsid w:val="0008496A"/>
    <w:rsid w:val="00084D1A"/>
    <w:rsid w:val="0008591E"/>
    <w:rsid w:val="00085EA2"/>
    <w:rsid w:val="0008628E"/>
    <w:rsid w:val="000864CC"/>
    <w:rsid w:val="00086FDB"/>
    <w:rsid w:val="0008737D"/>
    <w:rsid w:val="00087AFB"/>
    <w:rsid w:val="00087F54"/>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B98"/>
    <w:rsid w:val="000A6F53"/>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57B"/>
    <w:rsid w:val="00136A94"/>
    <w:rsid w:val="00137807"/>
    <w:rsid w:val="0013783C"/>
    <w:rsid w:val="00140181"/>
    <w:rsid w:val="0014092A"/>
    <w:rsid w:val="00140A63"/>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2A"/>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46C"/>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00E"/>
    <w:rsid w:val="0020257F"/>
    <w:rsid w:val="00204436"/>
    <w:rsid w:val="00204AA1"/>
    <w:rsid w:val="00205357"/>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0AE4"/>
    <w:rsid w:val="00281167"/>
    <w:rsid w:val="002811E3"/>
    <w:rsid w:val="002813B2"/>
    <w:rsid w:val="00282431"/>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07"/>
    <w:rsid w:val="002A02E8"/>
    <w:rsid w:val="002A0A88"/>
    <w:rsid w:val="002A1797"/>
    <w:rsid w:val="002A1DA3"/>
    <w:rsid w:val="002A3211"/>
    <w:rsid w:val="002A3CE3"/>
    <w:rsid w:val="002A4174"/>
    <w:rsid w:val="002A4A05"/>
    <w:rsid w:val="002A51B8"/>
    <w:rsid w:val="002A564E"/>
    <w:rsid w:val="002A5ADD"/>
    <w:rsid w:val="002A5FDF"/>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169"/>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2B44"/>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424"/>
    <w:rsid w:val="00402CBA"/>
    <w:rsid w:val="00403319"/>
    <w:rsid w:val="00404754"/>
    <w:rsid w:val="004049C4"/>
    <w:rsid w:val="004054C3"/>
    <w:rsid w:val="00405A0E"/>
    <w:rsid w:val="00406793"/>
    <w:rsid w:val="0040791E"/>
    <w:rsid w:val="00407C73"/>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3911"/>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6F2B"/>
    <w:rsid w:val="00477958"/>
    <w:rsid w:val="00480212"/>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4986"/>
    <w:rsid w:val="00524DB9"/>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5F8"/>
    <w:rsid w:val="00552326"/>
    <w:rsid w:val="005526E1"/>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1807"/>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3C6D"/>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57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403"/>
    <w:rsid w:val="007C7C8B"/>
    <w:rsid w:val="007D0042"/>
    <w:rsid w:val="007D07B3"/>
    <w:rsid w:val="007D0DC4"/>
    <w:rsid w:val="007D1B1E"/>
    <w:rsid w:val="007D1D80"/>
    <w:rsid w:val="007D1F12"/>
    <w:rsid w:val="007D2550"/>
    <w:rsid w:val="007D2646"/>
    <w:rsid w:val="007D2B20"/>
    <w:rsid w:val="007D3117"/>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0E9"/>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FC2"/>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6CB"/>
    <w:rsid w:val="008B389B"/>
    <w:rsid w:val="008B3EFD"/>
    <w:rsid w:val="008B4FFE"/>
    <w:rsid w:val="008B507B"/>
    <w:rsid w:val="008B60D9"/>
    <w:rsid w:val="008B646D"/>
    <w:rsid w:val="008B6842"/>
    <w:rsid w:val="008B70C4"/>
    <w:rsid w:val="008B7348"/>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7D7"/>
    <w:rsid w:val="00970B7F"/>
    <w:rsid w:val="00970C38"/>
    <w:rsid w:val="00971614"/>
    <w:rsid w:val="00972340"/>
    <w:rsid w:val="009723DE"/>
    <w:rsid w:val="009725D2"/>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144"/>
    <w:rsid w:val="00990289"/>
    <w:rsid w:val="00990542"/>
    <w:rsid w:val="00990935"/>
    <w:rsid w:val="00990A99"/>
    <w:rsid w:val="00990AFD"/>
    <w:rsid w:val="00991001"/>
    <w:rsid w:val="00991069"/>
    <w:rsid w:val="00992771"/>
    <w:rsid w:val="009935AB"/>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B49"/>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5324"/>
    <w:rsid w:val="00A756C6"/>
    <w:rsid w:val="00A76999"/>
    <w:rsid w:val="00A77200"/>
    <w:rsid w:val="00A80093"/>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1EDE"/>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B82"/>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78CF"/>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86C"/>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C9F"/>
    <w:rsid w:val="00DC1727"/>
    <w:rsid w:val="00DC1843"/>
    <w:rsid w:val="00DC30E4"/>
    <w:rsid w:val="00DC33BA"/>
    <w:rsid w:val="00DC4064"/>
    <w:rsid w:val="00DC448E"/>
    <w:rsid w:val="00DC4957"/>
    <w:rsid w:val="00DC4959"/>
    <w:rsid w:val="00DC4AE2"/>
    <w:rsid w:val="00DC63B3"/>
    <w:rsid w:val="00DC6B6C"/>
    <w:rsid w:val="00DC757B"/>
    <w:rsid w:val="00DD0B5D"/>
    <w:rsid w:val="00DD0DD0"/>
    <w:rsid w:val="00DD2877"/>
    <w:rsid w:val="00DD29DC"/>
    <w:rsid w:val="00DD2EDE"/>
    <w:rsid w:val="00DD3144"/>
    <w:rsid w:val="00DD3886"/>
    <w:rsid w:val="00DD38A3"/>
    <w:rsid w:val="00DD38F0"/>
    <w:rsid w:val="00DD406B"/>
    <w:rsid w:val="00DD54B7"/>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6B24"/>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1149"/>
    <w:rsid w:val="00E61239"/>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7DE"/>
    <w:rsid w:val="00EC6ABB"/>
    <w:rsid w:val="00EC747F"/>
    <w:rsid w:val="00EC7865"/>
    <w:rsid w:val="00EC7B44"/>
    <w:rsid w:val="00EC7B71"/>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E89"/>
    <w:rsid w:val="00F05F02"/>
    <w:rsid w:val="00F10169"/>
    <w:rsid w:val="00F10A38"/>
    <w:rsid w:val="00F1176A"/>
    <w:rsid w:val="00F11FF3"/>
    <w:rsid w:val="00F129F7"/>
    <w:rsid w:val="00F12BF1"/>
    <w:rsid w:val="00F12F4D"/>
    <w:rsid w:val="00F12FB0"/>
    <w:rsid w:val="00F13A10"/>
    <w:rsid w:val="00F13C4C"/>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149A"/>
    <w:rsid w:val="00F321EB"/>
    <w:rsid w:val="00F3332A"/>
    <w:rsid w:val="00F34068"/>
    <w:rsid w:val="00F3421F"/>
    <w:rsid w:val="00F34B64"/>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5939F9"/>
    <w:pPr>
      <w:numPr>
        <w:numId w:val="54"/>
      </w:numPr>
    </w:pPr>
  </w:style>
  <w:style w:type="numbering" w:customStyle="1" w:styleId="Listaactual34">
    <w:name w:val="Lista actual34"/>
    <w:uiPriority w:val="99"/>
    <w:rsid w:val="00C97BA2"/>
    <w:pPr>
      <w:numPr>
        <w:numId w:val="56"/>
      </w:numPr>
    </w:pPr>
  </w:style>
  <w:style w:type="numbering" w:customStyle="1" w:styleId="Listaactual35">
    <w:name w:val="Lista actual35"/>
    <w:uiPriority w:val="99"/>
    <w:rsid w:val="00A367F7"/>
    <w:pPr>
      <w:numPr>
        <w:numId w:val="58"/>
      </w:numPr>
    </w:pPr>
  </w:style>
  <w:style w:type="numbering" w:customStyle="1" w:styleId="Listaactual36">
    <w:name w:val="Lista actual36"/>
    <w:uiPriority w:val="99"/>
    <w:rsid w:val="008C1678"/>
    <w:pPr>
      <w:numPr>
        <w:numId w:val="60"/>
      </w:numPr>
    </w:pPr>
  </w:style>
  <w:style w:type="numbering" w:customStyle="1" w:styleId="Listaactual37">
    <w:name w:val="Lista actual37"/>
    <w:uiPriority w:val="99"/>
    <w:rsid w:val="00B05943"/>
    <w:pPr>
      <w:numPr>
        <w:numId w:val="61"/>
      </w:numPr>
    </w:pPr>
  </w:style>
  <w:style w:type="numbering" w:customStyle="1" w:styleId="Listaactual38">
    <w:name w:val="Lista actual38"/>
    <w:uiPriority w:val="99"/>
    <w:rsid w:val="003B3181"/>
    <w:pPr>
      <w:numPr>
        <w:numId w:val="62"/>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93754687">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D77B7-582E-4376-A3ED-FA6E8A59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6605</Words>
  <Characters>36328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2025-06-13T16:03:00Z</cp:lastPrinted>
  <dcterms:created xsi:type="dcterms:W3CDTF">2025-05-27T23:51:00Z</dcterms:created>
  <dcterms:modified xsi:type="dcterms:W3CDTF">2025-06-25T17:36:00Z</dcterms:modified>
</cp:coreProperties>
</file>