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6B057" w14:textId="77777777" w:rsidR="00AA1662" w:rsidRPr="009468E7" w:rsidRDefault="00AA1662" w:rsidP="00BE7735">
      <w:pPr>
        <w:spacing w:after="0" w:line="360" w:lineRule="auto"/>
        <w:rPr>
          <w:rFonts w:eastAsia="Calibri" w:cs="Tahoma"/>
          <w:bCs/>
          <w:color w:val="auto"/>
          <w:lang w:eastAsia="es-MX"/>
        </w:rPr>
      </w:pPr>
    </w:p>
    <w:p w14:paraId="5E07EE7E" w14:textId="77777777" w:rsidR="00AA1662" w:rsidRPr="009468E7" w:rsidRDefault="00AA1662" w:rsidP="00BE7735">
      <w:pPr>
        <w:spacing w:after="0" w:line="360" w:lineRule="auto"/>
        <w:rPr>
          <w:rFonts w:eastAsia="Calibri" w:cs="Tahoma"/>
          <w:bCs/>
          <w:color w:val="auto"/>
          <w:lang w:eastAsia="es-MX"/>
        </w:rPr>
      </w:pPr>
    </w:p>
    <w:p w14:paraId="71553F66" w14:textId="0F79D2A0" w:rsidR="00AA1662" w:rsidRPr="009468E7" w:rsidRDefault="00AA1662" w:rsidP="00BE7735">
      <w:pPr>
        <w:spacing w:after="0" w:line="360" w:lineRule="auto"/>
        <w:rPr>
          <w:rFonts w:eastAsia="Times New Roman" w:cs="Tahoma"/>
          <w:bCs/>
          <w:color w:val="auto"/>
          <w:lang w:eastAsia="es-ES"/>
        </w:rPr>
      </w:pPr>
      <w:r w:rsidRPr="009468E7">
        <w:rPr>
          <w:rFonts w:eastAsia="Calibri" w:cs="Tahoma"/>
          <w:bCs/>
          <w:color w:val="auto"/>
          <w:lang w:eastAsia="es-MX"/>
        </w:rPr>
        <w:t xml:space="preserve">Resolución del Pleno del Instituto de Transparencia, Acceso a la Información Pública y </w:t>
      </w:r>
      <w:r w:rsidRPr="009468E7">
        <w:rPr>
          <w:rFonts w:eastAsia="Times New Roman" w:cs="Tahoma"/>
          <w:bCs/>
          <w:color w:val="auto"/>
          <w:lang w:eastAsia="es-ES"/>
        </w:rPr>
        <w:t xml:space="preserve">Protección de Datos Personales del Estado de México y Municipios, con domicilio en Metepec, Estado de </w:t>
      </w:r>
      <w:proofErr w:type="gramStart"/>
      <w:r w:rsidRPr="009468E7">
        <w:rPr>
          <w:rFonts w:eastAsia="Times New Roman" w:cs="Tahoma"/>
          <w:bCs/>
          <w:color w:val="auto"/>
          <w:lang w:eastAsia="es-ES"/>
        </w:rPr>
        <w:t>México,  a</w:t>
      </w:r>
      <w:proofErr w:type="gramEnd"/>
      <w:r w:rsidR="00E70DE9" w:rsidRPr="009468E7">
        <w:rPr>
          <w:rFonts w:eastAsia="Times New Roman" w:cs="Tahoma"/>
          <w:bCs/>
          <w:color w:val="auto"/>
          <w:lang w:eastAsia="es-ES"/>
        </w:rPr>
        <w:t xml:space="preserve"> </w:t>
      </w:r>
      <w:r w:rsidR="00E70DE9">
        <w:rPr>
          <w:rFonts w:eastAsia="Times New Roman" w:cs="Tahoma"/>
          <w:bCs/>
          <w:color w:val="auto"/>
          <w:lang w:eastAsia="es-ES"/>
        </w:rPr>
        <w:t xml:space="preserve">veintisiete </w:t>
      </w:r>
      <w:r w:rsidR="00F10C8E" w:rsidRPr="009468E7">
        <w:rPr>
          <w:rFonts w:eastAsia="Times New Roman" w:cs="Tahoma"/>
          <w:bCs/>
          <w:color w:val="auto"/>
          <w:lang w:eastAsia="es-ES"/>
        </w:rPr>
        <w:t xml:space="preserve">de agosto de </w:t>
      </w:r>
      <w:r w:rsidRPr="009468E7">
        <w:rPr>
          <w:rFonts w:eastAsia="Times New Roman" w:cs="Tahoma"/>
          <w:bCs/>
          <w:color w:val="auto"/>
          <w:lang w:eastAsia="es-ES"/>
        </w:rPr>
        <w:t>dos mil veinticinco.</w:t>
      </w:r>
    </w:p>
    <w:p w14:paraId="6E6E0DE9" w14:textId="77777777" w:rsidR="00AA1662" w:rsidRPr="009468E7" w:rsidRDefault="00AA1662" w:rsidP="00BE7735">
      <w:pPr>
        <w:spacing w:after="0" w:line="360" w:lineRule="auto"/>
        <w:rPr>
          <w:rFonts w:eastAsia="Times New Roman" w:cs="Tahoma"/>
          <w:b/>
          <w:bCs/>
          <w:color w:val="auto"/>
          <w:lang w:eastAsia="es-ES"/>
        </w:rPr>
      </w:pPr>
    </w:p>
    <w:p w14:paraId="0F18862E" w14:textId="6E869294" w:rsidR="00AA1662" w:rsidRPr="009468E7" w:rsidRDefault="00AA1662" w:rsidP="00BE7735">
      <w:pPr>
        <w:spacing w:after="0" w:line="360" w:lineRule="auto"/>
        <w:rPr>
          <w:rFonts w:eastAsia="Calibri" w:cs="Tahoma"/>
          <w:color w:val="auto"/>
        </w:rPr>
      </w:pPr>
      <w:r w:rsidRPr="009468E7">
        <w:rPr>
          <w:rFonts w:eastAsia="Times New Roman" w:cs="Tahoma"/>
          <w:b/>
          <w:bCs/>
          <w:color w:val="auto"/>
          <w:lang w:eastAsia="es-ES"/>
        </w:rPr>
        <w:t>VISTO</w:t>
      </w:r>
      <w:r w:rsidRPr="009468E7">
        <w:rPr>
          <w:rFonts w:eastAsia="Calibri" w:cs="Tahoma"/>
          <w:bCs/>
          <w:color w:val="auto"/>
          <w:lang w:eastAsia="es-MX"/>
        </w:rPr>
        <w:t xml:space="preserve"> el expediente conformado con motivo del Recurso de Revisión </w:t>
      </w:r>
      <w:r w:rsidR="0052508E" w:rsidRPr="004E6272">
        <w:rPr>
          <w:rFonts w:eastAsia="Calibri" w:cs="Tahoma"/>
          <w:b/>
          <w:color w:val="auto"/>
          <w:lang w:eastAsia="es-MX"/>
        </w:rPr>
        <w:t>03241/INFOEM/IP/RR/2025</w:t>
      </w:r>
      <w:r w:rsidRPr="00BE7735">
        <w:rPr>
          <w:rFonts w:eastAsia="Calibri" w:cs="Tahoma"/>
          <w:bCs/>
          <w:color w:val="auto"/>
          <w:lang w:eastAsia="es-MX"/>
        </w:rPr>
        <w:t>, interpuesto por</w:t>
      </w:r>
      <w:r w:rsidRPr="00BE7735">
        <w:rPr>
          <w:rFonts w:eastAsia="Palatino Linotype" w:cs="Palatino Linotype"/>
          <w:bCs/>
          <w:lang w:eastAsia="es-MX"/>
        </w:rPr>
        <w:t xml:space="preserve"> </w:t>
      </w:r>
      <w:r w:rsidR="000B3718" w:rsidRPr="000B3718">
        <w:rPr>
          <w:rFonts w:eastAsia="Calibri" w:cs="Tahoma"/>
          <w:highlight w:val="black"/>
        </w:rPr>
        <w:t xml:space="preserve">XXXXXXX X </w:t>
      </w:r>
      <w:proofErr w:type="spellStart"/>
      <w:r w:rsidR="000B3718" w:rsidRPr="000B3718">
        <w:rPr>
          <w:rFonts w:eastAsia="Calibri" w:cs="Tahoma"/>
          <w:highlight w:val="black"/>
        </w:rPr>
        <w:t>X</w:t>
      </w:r>
      <w:proofErr w:type="spellEnd"/>
      <w:r w:rsidRPr="004E6272">
        <w:rPr>
          <w:rFonts w:eastAsia="Calibri" w:cs="Tahoma"/>
          <w:b/>
          <w:color w:val="auto"/>
          <w:lang w:eastAsia="es-MX"/>
        </w:rPr>
        <w:t>,</w:t>
      </w:r>
      <w:r w:rsidRPr="00BE7735">
        <w:rPr>
          <w:rFonts w:eastAsia="Calibri" w:cs="Tahoma"/>
          <w:bCs/>
          <w:color w:val="auto"/>
          <w:lang w:eastAsia="es-MX"/>
        </w:rPr>
        <w:t xml:space="preserve"> en adelante el Recurrente o Particular, en contra de la respuesta del Sujeto Obligado, </w:t>
      </w:r>
      <w:r w:rsidR="0052508E" w:rsidRPr="004E6272">
        <w:rPr>
          <w:rFonts w:eastAsia="Calibri" w:cs="Tahoma"/>
          <w:b/>
          <w:color w:val="auto"/>
          <w:lang w:eastAsia="es-MX"/>
        </w:rPr>
        <w:t>Sistema Municipal para el Desarrollo Integral de la Familia de Calimaya</w:t>
      </w:r>
      <w:r w:rsidRPr="004E6272">
        <w:rPr>
          <w:rFonts w:eastAsia="Calibri" w:cs="Tahoma"/>
          <w:b/>
          <w:color w:val="auto"/>
          <w:lang w:eastAsia="es-MX"/>
        </w:rPr>
        <w:t>,</w:t>
      </w:r>
      <w:r w:rsidRPr="00BE7735">
        <w:rPr>
          <w:rFonts w:eastAsia="Calibri" w:cs="Tahoma"/>
          <w:bCs/>
          <w:color w:val="auto"/>
          <w:lang w:eastAsia="es-MX"/>
        </w:rPr>
        <w:t xml:space="preserve"> a la solicitud de acceso a la información </w:t>
      </w:r>
      <w:proofErr w:type="gramStart"/>
      <w:r w:rsidRPr="00BE7735">
        <w:rPr>
          <w:rFonts w:eastAsia="Calibri" w:cs="Tahoma"/>
          <w:bCs/>
          <w:color w:val="auto"/>
          <w:lang w:eastAsia="es-MX"/>
        </w:rPr>
        <w:t>pública</w:t>
      </w:r>
      <w:r w:rsidRPr="00BE7735">
        <w:rPr>
          <w:rFonts w:eastAsia="Palatino Linotype" w:cs="Palatino Linotype"/>
          <w:bCs/>
          <w:color w:val="auto"/>
          <w:lang w:eastAsia="es-MX"/>
        </w:rPr>
        <w:t xml:space="preserve">  </w:t>
      </w:r>
      <w:r w:rsidR="0052508E" w:rsidRPr="00BE7735">
        <w:rPr>
          <w:rFonts w:eastAsia="Palatino Linotype" w:cs="Palatino Linotype"/>
          <w:bCs/>
          <w:color w:val="auto"/>
          <w:lang w:eastAsia="es-MX"/>
        </w:rPr>
        <w:t>00007</w:t>
      </w:r>
      <w:proofErr w:type="gramEnd"/>
      <w:r w:rsidR="0052508E" w:rsidRPr="00BE7735">
        <w:rPr>
          <w:rFonts w:eastAsia="Palatino Linotype" w:cs="Palatino Linotype"/>
          <w:bCs/>
          <w:color w:val="auto"/>
          <w:lang w:eastAsia="es-MX"/>
        </w:rPr>
        <w:t>/DIFMALIMAY/IP/2025</w:t>
      </w:r>
      <w:r w:rsidRPr="00BE7735">
        <w:rPr>
          <w:rFonts w:eastAsia="Calibri" w:cs="Tahoma"/>
          <w:bCs/>
          <w:color w:val="auto"/>
          <w:lang w:eastAsia="es-MX"/>
        </w:rPr>
        <w:t>,</w:t>
      </w:r>
      <w:r w:rsidRPr="009468E7">
        <w:rPr>
          <w:rFonts w:eastAsia="Calibri" w:cs="Tahoma"/>
          <w:color w:val="auto"/>
          <w:lang w:eastAsia="es-MX"/>
        </w:rPr>
        <w:t xml:space="preserve"> se emite la presente Resolución, con base en los Antecedentes y Considerandos que se exponen a continuación:</w:t>
      </w:r>
    </w:p>
    <w:p w14:paraId="3AE040CB" w14:textId="77777777" w:rsidR="00AA1662" w:rsidRPr="009468E7" w:rsidRDefault="00AA1662" w:rsidP="00BE7735">
      <w:pPr>
        <w:spacing w:after="0" w:line="360" w:lineRule="auto"/>
        <w:rPr>
          <w:rFonts w:eastAsia="Calibri" w:cs="Tahoma"/>
          <w:color w:val="auto"/>
          <w:lang w:eastAsia="es-MX"/>
        </w:rPr>
      </w:pPr>
    </w:p>
    <w:p w14:paraId="48227A6C" w14:textId="77777777" w:rsidR="00AA1662" w:rsidRPr="009468E7" w:rsidRDefault="00AA1662" w:rsidP="00BE7735">
      <w:pPr>
        <w:tabs>
          <w:tab w:val="center" w:pos="4522"/>
          <w:tab w:val="left" w:pos="7245"/>
        </w:tabs>
        <w:spacing w:after="0" w:line="360" w:lineRule="auto"/>
        <w:jc w:val="center"/>
        <w:rPr>
          <w:rFonts w:eastAsia="Calibri" w:cs="Tahoma"/>
          <w:b/>
          <w:color w:val="auto"/>
          <w:lang w:eastAsia="es-MX"/>
        </w:rPr>
      </w:pPr>
      <w:r w:rsidRPr="009468E7">
        <w:rPr>
          <w:rFonts w:eastAsia="Calibri" w:cs="Tahoma"/>
          <w:b/>
          <w:color w:val="auto"/>
          <w:lang w:eastAsia="es-MX"/>
        </w:rPr>
        <w:t>A N T E C E D E N T E S</w:t>
      </w:r>
    </w:p>
    <w:p w14:paraId="6DBF506E" w14:textId="77777777" w:rsidR="00AA1662" w:rsidRPr="009468E7" w:rsidRDefault="00AA1662" w:rsidP="00BE7735">
      <w:pPr>
        <w:spacing w:after="0" w:line="360" w:lineRule="auto"/>
        <w:rPr>
          <w:color w:val="auto"/>
          <w:lang w:eastAsia="es-MX"/>
        </w:rPr>
      </w:pPr>
    </w:p>
    <w:p w14:paraId="5F7D8BF0" w14:textId="77777777" w:rsidR="00AA1662" w:rsidRPr="009468E7" w:rsidRDefault="00AA1662" w:rsidP="00BE7735">
      <w:pPr>
        <w:tabs>
          <w:tab w:val="left" w:pos="567"/>
        </w:tabs>
        <w:spacing w:after="0" w:line="360" w:lineRule="auto"/>
        <w:rPr>
          <w:rFonts w:eastAsia="Times New Roman" w:cs="Tahoma"/>
          <w:b/>
          <w:color w:val="auto"/>
          <w:lang w:eastAsia="es-ES"/>
        </w:rPr>
      </w:pPr>
      <w:r w:rsidRPr="009468E7">
        <w:rPr>
          <w:rFonts w:eastAsia="Times New Roman" w:cs="Tahoma"/>
          <w:b/>
          <w:color w:val="auto"/>
          <w:lang w:eastAsia="es-ES"/>
        </w:rPr>
        <w:t>I. Presentación de la solicitud de información</w:t>
      </w:r>
    </w:p>
    <w:p w14:paraId="6E6E5951" w14:textId="77777777" w:rsidR="00AA1662" w:rsidRPr="009468E7" w:rsidRDefault="00AA1662" w:rsidP="00BE7735">
      <w:pPr>
        <w:tabs>
          <w:tab w:val="left" w:pos="567"/>
        </w:tabs>
        <w:spacing w:after="0" w:line="360" w:lineRule="auto"/>
        <w:rPr>
          <w:rFonts w:eastAsia="Times New Roman" w:cs="Tahoma"/>
          <w:color w:val="FF0000"/>
          <w:lang w:eastAsia="es-ES"/>
        </w:rPr>
      </w:pPr>
    </w:p>
    <w:p w14:paraId="1A655E2E" w14:textId="2D37F5A3" w:rsidR="00AA1662" w:rsidRPr="009468E7" w:rsidRDefault="00511BEB" w:rsidP="00BE7735">
      <w:pPr>
        <w:spacing w:after="0" w:line="360" w:lineRule="auto"/>
        <w:contextualSpacing/>
        <w:rPr>
          <w:rFonts w:cs="Tahoma"/>
          <w:color w:val="auto"/>
        </w:rPr>
      </w:pPr>
      <w:r>
        <w:rPr>
          <w:rFonts w:eastAsia="Calibri" w:cs="Tahoma"/>
          <w:color w:val="auto"/>
          <w:lang w:val="es-ES" w:eastAsia="es-MX"/>
        </w:rPr>
        <w:t>El diecisiete</w:t>
      </w:r>
      <w:r w:rsidR="005437BF" w:rsidRPr="009468E7">
        <w:rPr>
          <w:rFonts w:eastAsia="Calibri" w:cs="Tahoma"/>
          <w:color w:val="auto"/>
          <w:lang w:val="es-ES" w:eastAsia="es-MX"/>
        </w:rPr>
        <w:t xml:space="preserve"> </w:t>
      </w:r>
      <w:r w:rsidR="00AA1662" w:rsidRPr="009468E7">
        <w:rPr>
          <w:rFonts w:eastAsia="Calibri" w:cs="Tahoma"/>
          <w:color w:val="auto"/>
          <w:lang w:val="es-ES" w:eastAsia="es-MX"/>
        </w:rPr>
        <w:t xml:space="preserve">de febrero </w:t>
      </w:r>
      <w:proofErr w:type="gramStart"/>
      <w:r w:rsidR="00AA1662" w:rsidRPr="009468E7">
        <w:rPr>
          <w:rFonts w:eastAsia="Calibri" w:cs="Tahoma"/>
          <w:color w:val="auto"/>
          <w:lang w:val="es-ES" w:eastAsia="es-MX"/>
        </w:rPr>
        <w:t>de  dos</w:t>
      </w:r>
      <w:proofErr w:type="gramEnd"/>
      <w:r w:rsidR="00AA1662" w:rsidRPr="009468E7">
        <w:rPr>
          <w:rFonts w:eastAsia="Calibri" w:cs="Tahoma"/>
          <w:color w:val="auto"/>
          <w:lang w:val="es-ES" w:eastAsia="es-MX"/>
        </w:rPr>
        <w:t xml:space="preserve"> mil veinticinco, el Particular presentó una solicitud de acceso a la información, a través del Sistema SAIMEX, ante el Sujeto Obligado</w:t>
      </w:r>
      <w:r w:rsidR="00AA1662" w:rsidRPr="009468E7">
        <w:rPr>
          <w:rFonts w:eastAsia="Calibri" w:cs="Tahoma"/>
          <w:color w:val="auto"/>
          <w:lang w:eastAsia="es-MX"/>
        </w:rPr>
        <w:t xml:space="preserve">, </w:t>
      </w:r>
      <w:r w:rsidR="00AA1662" w:rsidRPr="009468E7">
        <w:rPr>
          <w:rFonts w:eastAsia="Palatino Linotype" w:cs="Tahoma"/>
          <w:color w:val="auto"/>
          <w:lang w:eastAsia="es-MX"/>
        </w:rPr>
        <w:t>mediante la cual requirió:</w:t>
      </w:r>
    </w:p>
    <w:p w14:paraId="3DDAD7F6" w14:textId="77777777" w:rsidR="00AA1662" w:rsidRPr="009468E7" w:rsidRDefault="00AA1662" w:rsidP="00BE7735">
      <w:pPr>
        <w:spacing w:after="0" w:line="360" w:lineRule="auto"/>
        <w:contextualSpacing/>
        <w:rPr>
          <w:rFonts w:eastAsia="Palatino Linotype" w:cs="Tahoma"/>
          <w:bCs/>
          <w:i/>
          <w:color w:val="FF0000"/>
          <w:lang w:eastAsia="es-MX"/>
        </w:rPr>
      </w:pPr>
    </w:p>
    <w:p w14:paraId="0F9BDCA0" w14:textId="77777777" w:rsidR="00AA1662" w:rsidRPr="009468E7" w:rsidRDefault="00AA1662" w:rsidP="00BE7735">
      <w:pPr>
        <w:tabs>
          <w:tab w:val="left" w:pos="4667"/>
        </w:tabs>
        <w:spacing w:after="0" w:line="360" w:lineRule="auto"/>
        <w:ind w:left="567" w:right="567"/>
        <w:contextualSpacing/>
        <w:rPr>
          <w:rFonts w:eastAsia="Times New Roman" w:cs="Tahoma"/>
          <w:b/>
          <w:i/>
          <w:iCs/>
          <w:color w:val="auto"/>
          <w:sz w:val="20"/>
          <w:szCs w:val="20"/>
          <w:lang w:eastAsia="es-ES"/>
        </w:rPr>
      </w:pPr>
      <w:r w:rsidRPr="009468E7">
        <w:rPr>
          <w:rFonts w:eastAsia="Times New Roman" w:cs="Tahoma"/>
          <w:b/>
          <w:i/>
          <w:iCs/>
          <w:color w:val="auto"/>
          <w:sz w:val="20"/>
          <w:szCs w:val="20"/>
          <w:lang w:eastAsia="es-ES"/>
        </w:rPr>
        <w:t>“DESCRIPCIÓN CLARA Y PRECISA DE LA INFORMACIÓN SOLICITADA.</w:t>
      </w:r>
    </w:p>
    <w:p w14:paraId="696B9AF2" w14:textId="38FAD1D9" w:rsidR="00AA1662" w:rsidRPr="009468E7" w:rsidRDefault="009C082A" w:rsidP="00BE7735">
      <w:pPr>
        <w:spacing w:after="0" w:line="360" w:lineRule="auto"/>
        <w:ind w:left="567" w:right="567"/>
        <w:contextualSpacing/>
        <w:rPr>
          <w:rFonts w:eastAsia="Times New Roman" w:cs="Arial"/>
          <w:bCs/>
          <w:i/>
          <w:iCs/>
          <w:color w:val="auto"/>
          <w:sz w:val="20"/>
          <w:lang w:eastAsia="es-ES"/>
        </w:rPr>
      </w:pPr>
      <w:r w:rsidRPr="009468E7">
        <w:rPr>
          <w:rFonts w:eastAsia="Times New Roman" w:cs="Arial"/>
          <w:bCs/>
          <w:i/>
          <w:iCs/>
          <w:color w:val="auto"/>
          <w:sz w:val="20"/>
          <w:lang w:eastAsia="es-ES"/>
        </w:rPr>
        <w:t xml:space="preserve">copia de la nómina de la primera, segunda quincena de enero 2025, y primera quincena de febrero </w:t>
      </w:r>
      <w:proofErr w:type="gramStart"/>
      <w:r w:rsidRPr="009468E7">
        <w:rPr>
          <w:rFonts w:eastAsia="Times New Roman" w:cs="Arial"/>
          <w:bCs/>
          <w:i/>
          <w:iCs/>
          <w:color w:val="auto"/>
          <w:sz w:val="20"/>
          <w:lang w:eastAsia="es-ES"/>
        </w:rPr>
        <w:t>2025 ,</w:t>
      </w:r>
      <w:proofErr w:type="gramEnd"/>
      <w:r w:rsidRPr="009468E7">
        <w:rPr>
          <w:rFonts w:eastAsia="Times New Roman" w:cs="Arial"/>
          <w:bCs/>
          <w:i/>
          <w:iCs/>
          <w:color w:val="auto"/>
          <w:sz w:val="20"/>
          <w:lang w:eastAsia="es-ES"/>
        </w:rPr>
        <w:t xml:space="preserve"> así como todos los recibos de nómina de las tres quincenas del 2025 l, </w:t>
      </w:r>
      <w:proofErr w:type="spellStart"/>
      <w:r w:rsidRPr="009468E7">
        <w:rPr>
          <w:rFonts w:eastAsia="Times New Roman" w:cs="Arial"/>
          <w:bCs/>
          <w:i/>
          <w:iCs/>
          <w:color w:val="auto"/>
          <w:sz w:val="20"/>
          <w:lang w:eastAsia="es-ES"/>
        </w:rPr>
        <w:t>curriculum</w:t>
      </w:r>
      <w:proofErr w:type="spellEnd"/>
      <w:r w:rsidRPr="009468E7">
        <w:rPr>
          <w:rFonts w:eastAsia="Times New Roman" w:cs="Arial"/>
          <w:bCs/>
          <w:i/>
          <w:iCs/>
          <w:color w:val="auto"/>
          <w:sz w:val="20"/>
          <w:lang w:eastAsia="es-ES"/>
        </w:rPr>
        <w:t xml:space="preserve"> vitae, grado máximo de estudios y comprobante de estudios de todos los servidores públicos del DIF MUNICIPAL DE CALIMAYA.</w:t>
      </w:r>
      <w:r w:rsidR="005437BF" w:rsidRPr="009468E7">
        <w:rPr>
          <w:rFonts w:eastAsia="Times New Roman" w:cs="Arial"/>
          <w:bCs/>
          <w:i/>
          <w:iCs/>
          <w:color w:val="auto"/>
          <w:sz w:val="20"/>
          <w:lang w:eastAsia="es-ES"/>
        </w:rPr>
        <w:t>.</w:t>
      </w:r>
      <w:r w:rsidR="00AA1662" w:rsidRPr="009468E7">
        <w:rPr>
          <w:rFonts w:eastAsia="Times New Roman" w:cs="Arial"/>
          <w:bCs/>
          <w:i/>
          <w:iCs/>
          <w:color w:val="auto"/>
          <w:sz w:val="20"/>
          <w:lang w:eastAsia="es-ES"/>
        </w:rPr>
        <w:t xml:space="preserve">” (Sic) </w:t>
      </w:r>
    </w:p>
    <w:p w14:paraId="6024384A" w14:textId="77777777" w:rsidR="00AA1662" w:rsidRPr="009468E7" w:rsidRDefault="00AA1662" w:rsidP="00BE7735">
      <w:pPr>
        <w:tabs>
          <w:tab w:val="left" w:pos="4667"/>
        </w:tabs>
        <w:spacing w:after="0" w:line="360" w:lineRule="auto"/>
        <w:ind w:left="567" w:right="567"/>
        <w:contextualSpacing/>
        <w:rPr>
          <w:rFonts w:eastAsia="Times New Roman" w:cs="Tahoma"/>
          <w:b/>
          <w:bCs/>
          <w:i/>
          <w:iCs/>
          <w:color w:val="auto"/>
          <w:sz w:val="20"/>
          <w:szCs w:val="20"/>
          <w:lang w:eastAsia="es-ES"/>
        </w:rPr>
      </w:pPr>
    </w:p>
    <w:p w14:paraId="68904AD1" w14:textId="77777777" w:rsidR="00AA1662" w:rsidRPr="009468E7" w:rsidRDefault="00AA1662" w:rsidP="00BE7735">
      <w:pPr>
        <w:tabs>
          <w:tab w:val="left" w:pos="4667"/>
        </w:tabs>
        <w:spacing w:after="0" w:line="360" w:lineRule="auto"/>
        <w:ind w:left="567" w:right="567"/>
        <w:contextualSpacing/>
        <w:rPr>
          <w:rFonts w:eastAsia="Times New Roman" w:cs="Tahoma"/>
          <w:b/>
          <w:i/>
          <w:iCs/>
          <w:color w:val="auto"/>
          <w:sz w:val="20"/>
          <w:szCs w:val="20"/>
          <w:lang w:eastAsia="es-ES"/>
        </w:rPr>
      </w:pPr>
      <w:r w:rsidRPr="009468E7">
        <w:rPr>
          <w:rFonts w:eastAsia="Times New Roman" w:cs="Tahoma"/>
          <w:b/>
          <w:i/>
          <w:iCs/>
          <w:color w:val="auto"/>
          <w:sz w:val="20"/>
          <w:szCs w:val="20"/>
          <w:lang w:eastAsia="es-ES"/>
        </w:rPr>
        <w:t xml:space="preserve">“Modalidad de Entrega: </w:t>
      </w:r>
    </w:p>
    <w:p w14:paraId="02932F43" w14:textId="77777777" w:rsidR="00AA1662" w:rsidRPr="009468E7" w:rsidRDefault="00AA1662" w:rsidP="00BE7735">
      <w:pPr>
        <w:tabs>
          <w:tab w:val="left" w:pos="4667"/>
        </w:tabs>
        <w:spacing w:after="0" w:line="360" w:lineRule="auto"/>
        <w:ind w:left="567" w:right="567"/>
        <w:rPr>
          <w:rFonts w:eastAsia="Times New Roman" w:cs="Tahoma"/>
          <w:i/>
          <w:iCs/>
          <w:color w:val="auto"/>
          <w:sz w:val="20"/>
          <w:lang w:eastAsia="es-ES"/>
        </w:rPr>
      </w:pPr>
      <w:r w:rsidRPr="009468E7">
        <w:rPr>
          <w:rFonts w:eastAsia="Times New Roman" w:cs="Tahoma"/>
          <w:i/>
          <w:iCs/>
          <w:color w:val="auto"/>
          <w:sz w:val="20"/>
          <w:lang w:eastAsia="es-ES"/>
        </w:rPr>
        <w:lastRenderedPageBreak/>
        <w:t>A través del SAIMEX”</w:t>
      </w:r>
    </w:p>
    <w:p w14:paraId="6388D011" w14:textId="77777777" w:rsidR="00AA1662" w:rsidRPr="009468E7" w:rsidRDefault="00AA1662" w:rsidP="00BE7735">
      <w:pPr>
        <w:tabs>
          <w:tab w:val="left" w:pos="567"/>
        </w:tabs>
        <w:spacing w:after="0" w:line="360" w:lineRule="auto"/>
        <w:rPr>
          <w:rFonts w:eastAsia="Times New Roman" w:cs="Tahoma"/>
          <w:color w:val="auto"/>
          <w:lang w:eastAsia="es-ES"/>
        </w:rPr>
      </w:pPr>
    </w:p>
    <w:p w14:paraId="12A2F4E5" w14:textId="77777777" w:rsidR="00AA1662" w:rsidRPr="009468E7" w:rsidRDefault="00AA1662" w:rsidP="00BE7735">
      <w:pPr>
        <w:spacing w:after="0" w:line="360" w:lineRule="auto"/>
        <w:rPr>
          <w:rFonts w:eastAsia="Palatino Linotype" w:cs="Palatino Linotype"/>
          <w:b/>
          <w:lang w:eastAsia="es-MX"/>
        </w:rPr>
      </w:pPr>
      <w:r w:rsidRPr="009468E7">
        <w:rPr>
          <w:rFonts w:eastAsia="Palatino Linotype" w:cs="Palatino Linotype"/>
          <w:b/>
          <w:lang w:eastAsia="es-MX"/>
        </w:rPr>
        <w:t>II. Respuesta del Sujeto Obligado</w:t>
      </w:r>
    </w:p>
    <w:p w14:paraId="1099C212" w14:textId="77777777" w:rsidR="00AA1662" w:rsidRPr="009468E7" w:rsidRDefault="00AA1662" w:rsidP="00BE7735">
      <w:pPr>
        <w:spacing w:after="0" w:line="360" w:lineRule="auto"/>
        <w:rPr>
          <w:rFonts w:eastAsia="Palatino Linotype" w:cs="Palatino Linotype"/>
          <w:b/>
          <w:color w:val="FF0000"/>
          <w:lang w:eastAsia="es-MX"/>
        </w:rPr>
      </w:pPr>
    </w:p>
    <w:p w14:paraId="50A8FF2F" w14:textId="2D83AF4F" w:rsidR="00AA5187" w:rsidRPr="009468E7" w:rsidRDefault="00AA1662" w:rsidP="00BE7735">
      <w:pPr>
        <w:spacing w:after="0" w:line="360" w:lineRule="auto"/>
        <w:rPr>
          <w:rFonts w:eastAsia="Palatino Linotype" w:cs="Palatino Linotype"/>
          <w:lang w:eastAsia="es-MX"/>
        </w:rPr>
      </w:pPr>
      <w:bookmarkStart w:id="0" w:name="_heading=h.gjdgxs" w:colFirst="0" w:colLast="0"/>
      <w:bookmarkEnd w:id="0"/>
      <w:r w:rsidRPr="009468E7">
        <w:rPr>
          <w:rFonts w:eastAsia="Palatino Linotype" w:cs="Palatino Linotype"/>
          <w:lang w:eastAsia="es-MX"/>
        </w:rPr>
        <w:t xml:space="preserve">El </w:t>
      </w:r>
      <w:r w:rsidR="00511BEB">
        <w:rPr>
          <w:rFonts w:eastAsia="Palatino Linotype" w:cs="Palatino Linotype"/>
          <w:lang w:eastAsia="es-MX"/>
        </w:rPr>
        <w:t>once</w:t>
      </w:r>
      <w:r w:rsidR="005437BF" w:rsidRPr="009468E7">
        <w:rPr>
          <w:rFonts w:eastAsia="Palatino Linotype" w:cs="Palatino Linotype"/>
          <w:lang w:eastAsia="es-MX"/>
        </w:rPr>
        <w:t xml:space="preserve"> de marzo</w:t>
      </w:r>
      <w:r w:rsidRPr="009468E7">
        <w:rPr>
          <w:rFonts w:eastAsia="Palatino Linotype" w:cs="Palatino Linotype"/>
          <w:lang w:eastAsia="es-MX"/>
        </w:rPr>
        <w:t xml:space="preserve"> de dos mil veinticinco, el Sujeto Obligado, notificó la respuesta, a través del Sistema de Acceso a la Información Mexiquense (SAIMEX), </w:t>
      </w:r>
      <w:r w:rsidR="00AA5187" w:rsidRPr="009468E7">
        <w:rPr>
          <w:rFonts w:eastAsia="Palatino Linotype" w:cs="Palatino Linotype"/>
          <w:lang w:eastAsia="es-MX"/>
        </w:rPr>
        <w:t>con la digitalización de lo siguiente:</w:t>
      </w:r>
    </w:p>
    <w:p w14:paraId="7BC57B22" w14:textId="77777777" w:rsidR="00C169DA" w:rsidRPr="009468E7" w:rsidRDefault="00C169DA" w:rsidP="00BE7735">
      <w:pPr>
        <w:spacing w:after="0" w:line="360" w:lineRule="auto"/>
        <w:rPr>
          <w:rFonts w:eastAsia="Palatino Linotype" w:cs="Palatino Linotype"/>
          <w:lang w:eastAsia="es-MX"/>
        </w:rPr>
      </w:pPr>
    </w:p>
    <w:p w14:paraId="75B6EDF3" w14:textId="3BB223F6" w:rsidR="005437BF" w:rsidRDefault="00AA5187" w:rsidP="00BE7735">
      <w:pPr>
        <w:pStyle w:val="Prrafodelista"/>
        <w:numPr>
          <w:ilvl w:val="0"/>
          <w:numId w:val="24"/>
        </w:numPr>
        <w:spacing w:line="360" w:lineRule="auto"/>
        <w:rPr>
          <w:rFonts w:eastAsia="Palatino Linotype" w:cs="Palatino Linotype"/>
          <w:lang w:eastAsia="es-MX"/>
        </w:rPr>
      </w:pPr>
      <w:r w:rsidRPr="009468E7">
        <w:rPr>
          <w:rFonts w:eastAsia="Palatino Linotype" w:cs="Palatino Linotype"/>
          <w:lang w:eastAsia="es-MX"/>
        </w:rPr>
        <w:t xml:space="preserve">Oficio del </w:t>
      </w:r>
      <w:proofErr w:type="gramStart"/>
      <w:r w:rsidRPr="009468E7">
        <w:rPr>
          <w:rFonts w:eastAsia="Palatino Linotype" w:cs="Palatino Linotype"/>
          <w:lang w:eastAsia="es-MX"/>
        </w:rPr>
        <w:t>Director General</w:t>
      </w:r>
      <w:proofErr w:type="gramEnd"/>
      <w:r w:rsidRPr="009468E7">
        <w:rPr>
          <w:rFonts w:eastAsia="Palatino Linotype" w:cs="Palatino Linotype"/>
          <w:lang w:eastAsia="es-MX"/>
        </w:rPr>
        <w:t xml:space="preserve"> del SMDIF Calimaya donde remite </w:t>
      </w:r>
      <w:r w:rsidR="00934394" w:rsidRPr="009468E7">
        <w:rPr>
          <w:rFonts w:eastAsia="Palatino Linotype" w:cs="Palatino Linotype"/>
          <w:lang w:eastAsia="es-MX"/>
        </w:rPr>
        <w:t xml:space="preserve">veinte </w:t>
      </w:r>
      <w:proofErr w:type="spellStart"/>
      <w:r w:rsidR="00934394" w:rsidRPr="009468E7">
        <w:rPr>
          <w:rFonts w:eastAsia="Palatino Linotype" w:cs="Palatino Linotype"/>
          <w:lang w:eastAsia="es-MX"/>
        </w:rPr>
        <w:t>curriculums</w:t>
      </w:r>
      <w:proofErr w:type="spellEnd"/>
      <w:r w:rsidR="00934394" w:rsidRPr="009468E7">
        <w:rPr>
          <w:rFonts w:eastAsia="Palatino Linotype" w:cs="Palatino Linotype"/>
          <w:lang w:eastAsia="es-MX"/>
        </w:rPr>
        <w:t xml:space="preserve"> de personal del DIF.</w:t>
      </w:r>
      <w:r w:rsidR="00B25AFC" w:rsidRPr="009468E7">
        <w:rPr>
          <w:rFonts w:eastAsia="Palatino Linotype" w:cs="Palatino Linotype"/>
          <w:lang w:eastAsia="es-MX"/>
        </w:rPr>
        <w:t xml:space="preserve"> </w:t>
      </w:r>
    </w:p>
    <w:p w14:paraId="5B372BBC" w14:textId="77777777" w:rsidR="00BE7735" w:rsidRPr="009468E7" w:rsidRDefault="00BE7735" w:rsidP="00BE7735">
      <w:pPr>
        <w:pStyle w:val="Prrafodelista"/>
        <w:spacing w:line="360" w:lineRule="auto"/>
        <w:rPr>
          <w:rFonts w:eastAsia="Palatino Linotype" w:cs="Palatino Linotype"/>
          <w:lang w:eastAsia="es-MX"/>
        </w:rPr>
      </w:pPr>
    </w:p>
    <w:p w14:paraId="38471325" w14:textId="3C1A794C" w:rsidR="00934394" w:rsidRPr="009468E7" w:rsidRDefault="00E4650F" w:rsidP="00BE7735">
      <w:pPr>
        <w:pStyle w:val="Prrafodelista"/>
        <w:numPr>
          <w:ilvl w:val="0"/>
          <w:numId w:val="24"/>
        </w:numPr>
        <w:spacing w:line="360" w:lineRule="auto"/>
        <w:rPr>
          <w:rFonts w:eastAsia="Palatino Linotype" w:cs="Palatino Linotype"/>
          <w:lang w:eastAsia="es-MX"/>
        </w:rPr>
      </w:pPr>
      <w:r w:rsidRPr="009468E7">
        <w:rPr>
          <w:rFonts w:eastAsia="Palatino Linotype" w:cs="Palatino Linotype"/>
          <w:lang w:eastAsia="es-MX"/>
        </w:rPr>
        <w:t>Oficio del Tesorero municipal, donde refiere que</w:t>
      </w:r>
      <w:r w:rsidR="00C169DA" w:rsidRPr="009468E7">
        <w:rPr>
          <w:rFonts w:eastAsia="Palatino Linotype" w:cs="Palatino Linotype"/>
          <w:lang w:eastAsia="es-MX"/>
        </w:rPr>
        <w:t xml:space="preserve">, </w:t>
      </w:r>
      <w:r w:rsidRPr="009468E7">
        <w:rPr>
          <w:rFonts w:eastAsia="Palatino Linotype" w:cs="Palatino Linotype"/>
          <w:lang w:eastAsia="es-MX"/>
        </w:rPr>
        <w:t>en relación con la nómina y los recibos de nómina, ponía a disposición del solicitante la información en consulta directa.</w:t>
      </w:r>
    </w:p>
    <w:p w14:paraId="108A28EA" w14:textId="093444FD" w:rsidR="00BC16DD" w:rsidRPr="009468E7" w:rsidRDefault="00BC16DD" w:rsidP="00BE7735">
      <w:pPr>
        <w:spacing w:after="0" w:line="360" w:lineRule="auto"/>
        <w:ind w:left="567" w:right="616"/>
        <w:rPr>
          <w:rFonts w:eastAsia="Palatino Linotype" w:cs="Palatino Linotype"/>
          <w:lang w:eastAsia="es-MX"/>
        </w:rPr>
      </w:pPr>
    </w:p>
    <w:p w14:paraId="5766199F" w14:textId="6DFD6A03" w:rsidR="00AA1662" w:rsidRPr="009468E7" w:rsidRDefault="00A80C6B" w:rsidP="00BE7735">
      <w:pPr>
        <w:spacing w:after="0" w:line="360" w:lineRule="auto"/>
        <w:rPr>
          <w:rFonts w:eastAsia="Palatino Linotype" w:cs="Palatino Linotype"/>
          <w:b/>
          <w:lang w:eastAsia="es-MX"/>
        </w:rPr>
      </w:pPr>
      <w:r w:rsidRPr="009468E7">
        <w:rPr>
          <w:rFonts w:eastAsia="Palatino Linotype" w:cs="Palatino Linotype"/>
          <w:b/>
          <w:lang w:eastAsia="es-MX"/>
        </w:rPr>
        <w:t>III. Interposición del Recurso</w:t>
      </w:r>
      <w:r w:rsidR="00AA1662" w:rsidRPr="009468E7">
        <w:rPr>
          <w:rFonts w:eastAsia="Palatino Linotype" w:cs="Palatino Linotype"/>
          <w:b/>
          <w:lang w:eastAsia="es-MX"/>
        </w:rPr>
        <w:t xml:space="preserve"> de Revisión</w:t>
      </w:r>
    </w:p>
    <w:p w14:paraId="02F1C24E" w14:textId="77777777" w:rsidR="00AA1662" w:rsidRPr="009468E7" w:rsidRDefault="00AA1662" w:rsidP="00BE7735">
      <w:pPr>
        <w:spacing w:after="0" w:line="360" w:lineRule="auto"/>
        <w:rPr>
          <w:rFonts w:eastAsia="Palatino Linotype" w:cs="Palatino Linotype"/>
          <w:color w:val="FF0000"/>
          <w:lang w:eastAsia="es-MX"/>
        </w:rPr>
      </w:pPr>
    </w:p>
    <w:p w14:paraId="0FB7E023" w14:textId="076C514C" w:rsidR="00AA1662" w:rsidRPr="009468E7" w:rsidRDefault="00AA1662" w:rsidP="00BE7735">
      <w:pPr>
        <w:widowControl w:val="0"/>
        <w:spacing w:after="0" w:line="360" w:lineRule="auto"/>
        <w:rPr>
          <w:rFonts w:eastAsia="Palatino Linotype" w:cs="Palatino Linotype"/>
          <w:lang w:eastAsia="es-MX"/>
        </w:rPr>
      </w:pPr>
      <w:r w:rsidRPr="009468E7">
        <w:rPr>
          <w:rFonts w:eastAsia="Palatino Linotype" w:cs="Palatino Linotype"/>
          <w:lang w:eastAsia="es-MX"/>
        </w:rPr>
        <w:t xml:space="preserve">El </w:t>
      </w:r>
      <w:r w:rsidR="00C169DA" w:rsidRPr="009468E7">
        <w:rPr>
          <w:rFonts w:eastAsia="Palatino Linotype" w:cs="Palatino Linotype"/>
          <w:lang w:eastAsia="es-MX"/>
        </w:rPr>
        <w:t>diecinueve</w:t>
      </w:r>
      <w:r w:rsidR="00273E14" w:rsidRPr="009468E7">
        <w:rPr>
          <w:rFonts w:eastAsia="Palatino Linotype" w:cs="Palatino Linotype"/>
          <w:lang w:eastAsia="es-MX"/>
        </w:rPr>
        <w:t xml:space="preserve"> de marzo</w:t>
      </w:r>
      <w:r w:rsidRPr="009468E7">
        <w:rPr>
          <w:rFonts w:eastAsia="Palatino Linotype" w:cs="Palatino Linotype"/>
          <w:lang w:eastAsia="es-MX"/>
        </w:rPr>
        <w:t xml:space="preserve"> de dos mil veinticinco, se recibió en este Instituto, a través del Sistema de Acceso a la Información Mexiquense (SAIMEX), el Recurso de Revisión, interpuesto por la Recurrente, en contra de la respuesta del Sujeto Obligado, en los términos siguientes: </w:t>
      </w:r>
    </w:p>
    <w:p w14:paraId="1C1E623B" w14:textId="77777777" w:rsidR="00AA1662" w:rsidRPr="009468E7" w:rsidRDefault="00AA1662" w:rsidP="00BE7735">
      <w:pPr>
        <w:tabs>
          <w:tab w:val="left" w:pos="4667"/>
        </w:tabs>
        <w:spacing w:after="0" w:line="360" w:lineRule="auto"/>
        <w:ind w:left="567" w:right="567"/>
        <w:rPr>
          <w:rFonts w:eastAsia="Palatino Linotype" w:cs="Palatino Linotype"/>
          <w:b/>
          <w:i/>
          <w:color w:val="FF0000"/>
          <w:sz w:val="20"/>
          <w:szCs w:val="20"/>
          <w:lang w:eastAsia="es-MX"/>
        </w:rPr>
      </w:pPr>
    </w:p>
    <w:p w14:paraId="54AB2ECD" w14:textId="77777777" w:rsidR="00AA1662" w:rsidRPr="009468E7" w:rsidRDefault="00AA1662" w:rsidP="00BE7735">
      <w:pPr>
        <w:spacing w:after="0" w:line="360" w:lineRule="auto"/>
        <w:ind w:left="567" w:right="567"/>
        <w:rPr>
          <w:rFonts w:eastAsia="Palatino Linotype" w:cs="Palatino Linotype"/>
          <w:b/>
          <w:i/>
          <w:sz w:val="20"/>
          <w:szCs w:val="20"/>
          <w:lang w:eastAsia="es-MX"/>
        </w:rPr>
      </w:pPr>
      <w:r w:rsidRPr="009468E7">
        <w:rPr>
          <w:rFonts w:eastAsia="Palatino Linotype" w:cs="Palatino Linotype"/>
          <w:b/>
          <w:i/>
          <w:sz w:val="20"/>
          <w:szCs w:val="20"/>
          <w:lang w:eastAsia="es-MX"/>
        </w:rPr>
        <w:t>“ACTO IMPUGNADO</w:t>
      </w:r>
    </w:p>
    <w:p w14:paraId="462F3F3F" w14:textId="1969C742" w:rsidR="00AA1662" w:rsidRPr="009468E7" w:rsidRDefault="00C169DA" w:rsidP="00BE7735">
      <w:pPr>
        <w:tabs>
          <w:tab w:val="left" w:pos="4667"/>
        </w:tabs>
        <w:spacing w:after="0" w:line="360" w:lineRule="auto"/>
        <w:ind w:left="567" w:right="567"/>
        <w:rPr>
          <w:rFonts w:eastAsia="Palatino Linotype" w:cs="Palatino Linotype"/>
          <w:i/>
          <w:sz w:val="20"/>
          <w:szCs w:val="20"/>
          <w:lang w:eastAsia="es-MX"/>
        </w:rPr>
      </w:pPr>
      <w:r w:rsidRPr="009468E7">
        <w:rPr>
          <w:rFonts w:eastAsia="Palatino Linotype" w:cs="Palatino Linotype"/>
          <w:i/>
          <w:iCs/>
          <w:sz w:val="20"/>
          <w:szCs w:val="20"/>
          <w:lang w:eastAsia="es-MX"/>
        </w:rPr>
        <w:t>INFORMACION INCOMPLETA</w:t>
      </w:r>
      <w:r w:rsidR="00AA1662" w:rsidRPr="009468E7">
        <w:rPr>
          <w:rFonts w:eastAsia="Palatino Linotype" w:cs="Palatino Linotype"/>
          <w:i/>
          <w:sz w:val="20"/>
          <w:szCs w:val="20"/>
          <w:lang w:eastAsia="es-MX"/>
        </w:rPr>
        <w:t>” (Sic.)</w:t>
      </w:r>
    </w:p>
    <w:p w14:paraId="1D9A2663" w14:textId="77777777" w:rsidR="00AA1662" w:rsidRPr="009468E7" w:rsidRDefault="00AA1662" w:rsidP="00BE7735">
      <w:pPr>
        <w:tabs>
          <w:tab w:val="left" w:pos="4667"/>
        </w:tabs>
        <w:spacing w:after="0" w:line="360" w:lineRule="auto"/>
        <w:ind w:left="567" w:right="567"/>
        <w:rPr>
          <w:rFonts w:eastAsia="Palatino Linotype" w:cs="Palatino Linotype"/>
          <w:b/>
          <w:i/>
          <w:color w:val="FF0000"/>
          <w:sz w:val="20"/>
          <w:szCs w:val="20"/>
          <w:lang w:eastAsia="es-MX"/>
        </w:rPr>
      </w:pPr>
    </w:p>
    <w:p w14:paraId="3DBF56EB" w14:textId="77777777" w:rsidR="00AA1662" w:rsidRPr="009468E7" w:rsidRDefault="00AA1662" w:rsidP="00BE7735">
      <w:pPr>
        <w:tabs>
          <w:tab w:val="left" w:pos="4667"/>
        </w:tabs>
        <w:spacing w:after="0" w:line="360" w:lineRule="auto"/>
        <w:ind w:left="567" w:right="567"/>
        <w:rPr>
          <w:rFonts w:eastAsia="Palatino Linotype" w:cs="Palatino Linotype"/>
          <w:b/>
          <w:i/>
          <w:sz w:val="20"/>
          <w:szCs w:val="20"/>
          <w:lang w:eastAsia="es-MX"/>
        </w:rPr>
      </w:pPr>
      <w:r w:rsidRPr="009468E7">
        <w:rPr>
          <w:rFonts w:eastAsia="Palatino Linotype" w:cs="Palatino Linotype"/>
          <w:b/>
          <w:i/>
          <w:sz w:val="20"/>
          <w:szCs w:val="20"/>
          <w:lang w:eastAsia="es-MX"/>
        </w:rPr>
        <w:t>“RAZONES O MOTIVOS DE LA INCONFORMIDAD</w:t>
      </w:r>
    </w:p>
    <w:p w14:paraId="70763CA0" w14:textId="1308505E" w:rsidR="00AA1662" w:rsidRPr="009468E7" w:rsidRDefault="00C169DA" w:rsidP="00BE7735">
      <w:pPr>
        <w:tabs>
          <w:tab w:val="left" w:pos="4667"/>
        </w:tabs>
        <w:spacing w:after="0" w:line="360" w:lineRule="auto"/>
        <w:ind w:left="567" w:right="567"/>
        <w:rPr>
          <w:rFonts w:eastAsia="Palatino Linotype" w:cs="Palatino Linotype"/>
          <w:i/>
          <w:sz w:val="20"/>
          <w:szCs w:val="20"/>
          <w:lang w:eastAsia="es-MX"/>
        </w:rPr>
      </w:pPr>
      <w:r w:rsidRPr="009468E7">
        <w:rPr>
          <w:rFonts w:eastAsia="Palatino Linotype" w:cs="Palatino Linotype"/>
          <w:i/>
          <w:sz w:val="20"/>
          <w:szCs w:val="20"/>
          <w:lang w:eastAsia="es-MX"/>
        </w:rPr>
        <w:t>EL SUJETO VIOLA LO ESTABLECIDO EN EL TITULO SEPTIMO DE LA LEY DE TRANSPARENCIA Y ACCESO A LA INFORMACION PUBLICA DEL ESTADO DE MEXICO Y MUNICIPIOS, ASI COMO INCURRIENDO EN RESPONSABILIDAD POR EL INCUMPLIMIENTO DE LAS OBLIGACIONES PREVISTAS EN DICHA LEY.</w:t>
      </w:r>
      <w:r w:rsidR="00AA1662" w:rsidRPr="009468E7">
        <w:rPr>
          <w:rFonts w:eastAsia="Palatino Linotype" w:cs="Palatino Linotype"/>
          <w:i/>
          <w:sz w:val="20"/>
          <w:szCs w:val="20"/>
          <w:lang w:eastAsia="es-MX"/>
        </w:rPr>
        <w:t>” (Sic.)</w:t>
      </w:r>
    </w:p>
    <w:p w14:paraId="0300BC5E" w14:textId="77777777" w:rsidR="00AA1662" w:rsidRPr="009468E7" w:rsidRDefault="00AA1662" w:rsidP="00BE7735">
      <w:pPr>
        <w:spacing w:after="0" w:line="360" w:lineRule="auto"/>
        <w:rPr>
          <w:rFonts w:eastAsia="Palatino Linotype" w:cs="Palatino Linotype"/>
          <w:color w:val="FF0000"/>
          <w:sz w:val="20"/>
          <w:szCs w:val="20"/>
          <w:lang w:eastAsia="es-MX"/>
        </w:rPr>
      </w:pPr>
    </w:p>
    <w:p w14:paraId="4E47078A" w14:textId="612A62B5" w:rsidR="00AA1662" w:rsidRPr="009468E7" w:rsidRDefault="00763274" w:rsidP="00BE7735">
      <w:pPr>
        <w:spacing w:after="0" w:line="360" w:lineRule="auto"/>
        <w:rPr>
          <w:rFonts w:eastAsia="Palatino Linotype" w:cs="Palatino Linotype"/>
          <w:b/>
          <w:lang w:eastAsia="es-MX"/>
        </w:rPr>
      </w:pPr>
      <w:r w:rsidRPr="009468E7">
        <w:rPr>
          <w:rFonts w:eastAsia="Palatino Linotype" w:cs="Palatino Linotype"/>
          <w:b/>
          <w:lang w:eastAsia="es-MX"/>
        </w:rPr>
        <w:t>IV. Trámite del Recurso</w:t>
      </w:r>
      <w:r w:rsidR="00AA1662" w:rsidRPr="009468E7">
        <w:rPr>
          <w:rFonts w:eastAsia="Palatino Linotype" w:cs="Palatino Linotype"/>
          <w:b/>
          <w:lang w:eastAsia="es-MX"/>
        </w:rPr>
        <w:t xml:space="preserve"> de Revisión ante este Instituto</w:t>
      </w:r>
    </w:p>
    <w:p w14:paraId="15F9051E" w14:textId="77777777" w:rsidR="00AA1662" w:rsidRPr="009468E7" w:rsidRDefault="00AA1662" w:rsidP="00BE7735">
      <w:pPr>
        <w:spacing w:after="0" w:line="360" w:lineRule="auto"/>
        <w:rPr>
          <w:rFonts w:eastAsia="Palatino Linotype" w:cs="Palatino Linotype"/>
          <w:b/>
          <w:color w:val="FF0000"/>
          <w:lang w:eastAsia="es-MX"/>
        </w:rPr>
      </w:pPr>
    </w:p>
    <w:p w14:paraId="0D45FB10" w14:textId="723C6B38" w:rsidR="00AA1662" w:rsidRPr="009468E7" w:rsidRDefault="00AA1662" w:rsidP="00BE7735">
      <w:pPr>
        <w:spacing w:after="0" w:line="360" w:lineRule="auto"/>
        <w:rPr>
          <w:rFonts w:eastAsia="Palatino Linotype" w:cs="Palatino Linotype"/>
          <w:b/>
          <w:lang w:eastAsia="es-MX"/>
        </w:rPr>
      </w:pPr>
      <w:r w:rsidRPr="009468E7">
        <w:rPr>
          <w:rFonts w:eastAsia="Palatino Linotype" w:cs="Palatino Linotype"/>
          <w:b/>
          <w:lang w:eastAsia="es-MX"/>
        </w:rPr>
        <w:t xml:space="preserve">a) Turno del Medio de Impugnación. </w:t>
      </w:r>
      <w:r w:rsidRPr="009468E7">
        <w:rPr>
          <w:rFonts w:eastAsia="Palatino Linotype" w:cs="Palatino Linotype"/>
          <w:lang w:eastAsia="es-MX"/>
        </w:rPr>
        <w:t xml:space="preserve">El </w:t>
      </w:r>
      <w:r w:rsidR="008C2F72" w:rsidRPr="009468E7">
        <w:rPr>
          <w:rFonts w:eastAsia="Palatino Linotype" w:cs="Palatino Linotype"/>
          <w:lang w:eastAsia="es-MX"/>
        </w:rPr>
        <w:t>diecinueve de marzo de dos mil veinticinco</w:t>
      </w:r>
      <w:r w:rsidRPr="009468E7">
        <w:rPr>
          <w:rFonts w:eastAsia="Palatino Linotype" w:cs="Palatino Linotype"/>
          <w:lang w:eastAsia="es-MX"/>
        </w:rPr>
        <w:t>, el Sistema de Acceso a la Información Mexiquense (SAIMEX), asignó el número de expediente</w:t>
      </w:r>
      <w:r w:rsidRPr="009468E7">
        <w:rPr>
          <w:rFonts w:eastAsia="Palatino Linotype" w:cs="Palatino Linotype"/>
          <w:b/>
          <w:lang w:eastAsia="es-MX"/>
        </w:rPr>
        <w:t xml:space="preserve"> </w:t>
      </w:r>
      <w:r w:rsidR="008C2F72" w:rsidRPr="009468E7">
        <w:rPr>
          <w:rFonts w:eastAsia="Palatino Linotype" w:cs="Palatino Linotype"/>
          <w:b/>
          <w:lang w:eastAsia="es-MX"/>
        </w:rPr>
        <w:t>03241/INFOEM/IP/RR/2025</w:t>
      </w:r>
      <w:r w:rsidRPr="009468E7">
        <w:rPr>
          <w:rFonts w:eastAsia="Palatino Linotype" w:cs="Palatino Linotype"/>
          <w:lang w:eastAsia="es-MX"/>
        </w:rPr>
        <w:t>, al Medio de Impugnación que nos ocupa, con base en el sistema aprobado por el Pl</w:t>
      </w:r>
      <w:r w:rsidR="00763274" w:rsidRPr="009468E7">
        <w:rPr>
          <w:rFonts w:eastAsia="Palatino Linotype" w:cs="Palatino Linotype"/>
          <w:lang w:eastAsia="es-MX"/>
        </w:rPr>
        <w:t>eno de este Órgano Garante y lo</w:t>
      </w:r>
      <w:r w:rsidRPr="009468E7">
        <w:rPr>
          <w:rFonts w:eastAsia="Palatino Linotype" w:cs="Palatino Linotype"/>
          <w:lang w:eastAsia="es-MX"/>
        </w:rPr>
        <w:t xml:space="preserve"> turnó al </w:t>
      </w:r>
      <w:r w:rsidRPr="009468E7">
        <w:rPr>
          <w:rFonts w:eastAsia="Palatino Linotype" w:cs="Palatino Linotype"/>
          <w:b/>
          <w:lang w:eastAsia="es-MX"/>
        </w:rPr>
        <w:t>Comisionado Ponente Luis Gustavo Parra Noriega</w:t>
      </w:r>
      <w:r w:rsidRPr="009468E7">
        <w:rPr>
          <w:rFonts w:eastAsia="Palatino Linotype" w:cs="Palatino Linotype"/>
          <w:lang w:eastAsia="es-MX"/>
        </w:rPr>
        <w:t>, para los efectos del artículo 185, fracción I de la Ley de Transparencia y Acceso a la Información Pública del Estado de México y Municipios.</w:t>
      </w:r>
    </w:p>
    <w:p w14:paraId="50BD39E7" w14:textId="77777777" w:rsidR="00AA1662" w:rsidRPr="009468E7" w:rsidRDefault="00AA1662" w:rsidP="00BE7735">
      <w:pPr>
        <w:spacing w:after="0" w:line="360" w:lineRule="auto"/>
        <w:rPr>
          <w:rFonts w:eastAsia="Palatino Linotype" w:cs="Palatino Linotype"/>
          <w:color w:val="FF0000"/>
          <w:lang w:eastAsia="es-MX"/>
        </w:rPr>
      </w:pPr>
    </w:p>
    <w:p w14:paraId="06632964" w14:textId="4405E6BA" w:rsidR="00AA1662" w:rsidRPr="009468E7" w:rsidRDefault="00AA1662" w:rsidP="00BE7735">
      <w:pPr>
        <w:spacing w:after="0" w:line="360" w:lineRule="auto"/>
        <w:rPr>
          <w:rFonts w:eastAsia="Palatino Linotype" w:cs="Palatino Linotype"/>
          <w:lang w:eastAsia="es-MX"/>
        </w:rPr>
      </w:pPr>
      <w:r w:rsidRPr="009468E7">
        <w:rPr>
          <w:rFonts w:eastAsia="Batang" w:cs="Tahoma"/>
          <w:b/>
          <w:bCs/>
          <w:lang w:eastAsia="es-ES"/>
        </w:rPr>
        <w:t xml:space="preserve">b) </w:t>
      </w:r>
      <w:r w:rsidRPr="009468E7">
        <w:rPr>
          <w:rFonts w:eastAsia="Palatino Linotype" w:cs="Palatino Linotype"/>
          <w:b/>
          <w:lang w:eastAsia="es-MX"/>
        </w:rPr>
        <w:t xml:space="preserve">Admisión del Recurso de Revisión. </w:t>
      </w:r>
      <w:r w:rsidRPr="009468E7">
        <w:rPr>
          <w:rFonts w:eastAsia="Palatino Linotype" w:cs="Palatino Linotype"/>
          <w:lang w:eastAsia="es-MX"/>
        </w:rPr>
        <w:t xml:space="preserve">El </w:t>
      </w:r>
      <w:r w:rsidR="008B06E8" w:rsidRPr="009468E7">
        <w:rPr>
          <w:rFonts w:eastAsia="Palatino Linotype" w:cs="Palatino Linotype"/>
          <w:lang w:eastAsia="es-MX"/>
        </w:rPr>
        <w:t>veinticuatro</w:t>
      </w:r>
      <w:r w:rsidR="00763274" w:rsidRPr="009468E7">
        <w:rPr>
          <w:rFonts w:eastAsia="Palatino Linotype" w:cs="Palatino Linotype"/>
          <w:lang w:eastAsia="es-MX"/>
        </w:rPr>
        <w:t xml:space="preserve"> de marzo</w:t>
      </w:r>
      <w:r w:rsidRPr="009468E7">
        <w:rPr>
          <w:rFonts w:eastAsia="Palatino Linotype" w:cs="Palatino Linotype"/>
          <w:lang w:eastAsia="es-MX"/>
        </w:rPr>
        <w:t xml:space="preserve"> 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debidamente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253785F8" w14:textId="77777777" w:rsidR="00AA1662" w:rsidRPr="009468E7" w:rsidRDefault="00AA1662" w:rsidP="00BE7735">
      <w:pPr>
        <w:spacing w:after="0" w:line="360" w:lineRule="auto"/>
        <w:rPr>
          <w:rFonts w:eastAsia="Palatino Linotype" w:cs="Palatino Linotype"/>
          <w:color w:val="FF0000"/>
          <w:lang w:eastAsia="es-MX"/>
        </w:rPr>
      </w:pPr>
    </w:p>
    <w:p w14:paraId="5E1B4E1D" w14:textId="5EAC25C9" w:rsidR="00AA1662" w:rsidRDefault="00AA1662" w:rsidP="00BE7735">
      <w:pPr>
        <w:spacing w:after="0" w:line="360" w:lineRule="auto"/>
        <w:rPr>
          <w:rFonts w:eastAsia="Palatino Linotype" w:cs="Palatino Linotype"/>
          <w:lang w:eastAsia="es-MX"/>
        </w:rPr>
      </w:pPr>
      <w:r w:rsidRPr="009468E7">
        <w:rPr>
          <w:rFonts w:eastAsia="Palatino Linotype" w:cs="Palatino Linotype"/>
          <w:b/>
          <w:lang w:eastAsia="es-MX"/>
        </w:rPr>
        <w:t>d) Informe Justificado o manifestaciones.</w:t>
      </w:r>
      <w:r w:rsidRPr="009468E7">
        <w:rPr>
          <w:rFonts w:eastAsia="Palatino Linotype" w:cs="Palatino Linotype"/>
          <w:lang w:eastAsia="es-MX"/>
        </w:rPr>
        <w:t xml:space="preserve"> El </w:t>
      </w:r>
      <w:r w:rsidR="008B06E8" w:rsidRPr="009468E7">
        <w:rPr>
          <w:rFonts w:eastAsia="Palatino Linotype" w:cs="Palatino Linotype"/>
          <w:lang w:eastAsia="es-MX"/>
        </w:rPr>
        <w:t>dos</w:t>
      </w:r>
      <w:r w:rsidR="00FE3BDF" w:rsidRPr="009468E7">
        <w:rPr>
          <w:rFonts w:eastAsia="Palatino Linotype" w:cs="Palatino Linotype"/>
          <w:lang w:eastAsia="es-MX"/>
        </w:rPr>
        <w:t xml:space="preserve"> de abril </w:t>
      </w:r>
      <w:r w:rsidRPr="009468E7">
        <w:rPr>
          <w:rFonts w:eastAsia="Palatino Linotype" w:cs="Palatino Linotype"/>
          <w:lang w:eastAsia="es-MX"/>
        </w:rPr>
        <w:t>de dos mil veinticinco, el Sujeto Obligado rindió su informe justifica</w:t>
      </w:r>
      <w:r w:rsidR="00FE3BDF" w:rsidRPr="009468E7">
        <w:rPr>
          <w:rFonts w:eastAsia="Palatino Linotype" w:cs="Palatino Linotype"/>
          <w:lang w:eastAsia="es-MX"/>
        </w:rPr>
        <w:t xml:space="preserve">do, donde </w:t>
      </w:r>
      <w:r w:rsidR="00A6263C" w:rsidRPr="009468E7">
        <w:rPr>
          <w:rFonts w:eastAsia="Palatino Linotype" w:cs="Palatino Linotype"/>
          <w:lang w:eastAsia="es-MX"/>
        </w:rPr>
        <w:t>ratificó su respuesta. Por su parte la Recurrente fue omisa en realizar manifestaciones vía alegatos</w:t>
      </w:r>
    </w:p>
    <w:p w14:paraId="0A3C465C" w14:textId="77777777" w:rsidR="003A066F" w:rsidRDefault="003A066F" w:rsidP="00BE7735">
      <w:pPr>
        <w:spacing w:after="0" w:line="360" w:lineRule="auto"/>
        <w:rPr>
          <w:rFonts w:eastAsia="Palatino Linotype" w:cs="Palatino Linotype"/>
          <w:lang w:eastAsia="es-MX"/>
        </w:rPr>
      </w:pPr>
    </w:p>
    <w:p w14:paraId="4563E68D" w14:textId="0D326D4F" w:rsidR="003A066F" w:rsidRPr="009468E7" w:rsidRDefault="003A066F" w:rsidP="003A066F">
      <w:pPr>
        <w:spacing w:after="0" w:line="360" w:lineRule="auto"/>
        <w:rPr>
          <w:rFonts w:eastAsia="Palatino Linotype" w:cs="Palatino Linotype"/>
          <w:lang w:eastAsia="es-MX"/>
        </w:rPr>
      </w:pPr>
      <w:r w:rsidRPr="004105A2">
        <w:rPr>
          <w:rFonts w:eastAsia="Palatino Linotype" w:cs="Palatino Linotype"/>
          <w:b/>
          <w:lang w:eastAsia="es-MX"/>
        </w:rPr>
        <w:t>e) Vista del Informe Justificado.</w:t>
      </w:r>
      <w:r w:rsidRPr="003A066F">
        <w:rPr>
          <w:rFonts w:eastAsia="Palatino Linotype" w:cs="Palatino Linotype"/>
          <w:lang w:eastAsia="es-MX"/>
        </w:rPr>
        <w:t xml:space="preserve"> El </w:t>
      </w:r>
      <w:r>
        <w:rPr>
          <w:rFonts w:eastAsia="Palatino Linotype" w:cs="Palatino Linotype"/>
          <w:lang w:eastAsia="es-MX"/>
        </w:rPr>
        <w:t>diecisiete</w:t>
      </w:r>
      <w:r w:rsidR="000B3718">
        <w:rPr>
          <w:rFonts w:eastAsia="Palatino Linotype" w:cs="Palatino Linotype"/>
          <w:lang w:eastAsia="es-MX"/>
        </w:rPr>
        <w:t xml:space="preserve"> </w:t>
      </w:r>
      <w:r w:rsidRPr="003A066F">
        <w:rPr>
          <w:rFonts w:eastAsia="Palatino Linotype" w:cs="Palatino Linotype"/>
          <w:lang w:eastAsia="es-MX"/>
        </w:rPr>
        <w:t>d</w:t>
      </w:r>
      <w:r>
        <w:rPr>
          <w:rFonts w:eastAsia="Palatino Linotype" w:cs="Palatino Linotype"/>
          <w:lang w:eastAsia="es-MX"/>
        </w:rPr>
        <w:t xml:space="preserve">e dos mil veinticinco, se dictó </w:t>
      </w:r>
      <w:r w:rsidRPr="003A066F">
        <w:rPr>
          <w:rFonts w:eastAsia="Palatino Linotype" w:cs="Palatino Linotype"/>
          <w:lang w:eastAsia="es-MX"/>
        </w:rPr>
        <w:t>acuerdo mediante el cual se puso a la vista del Particular el</w:t>
      </w:r>
      <w:r>
        <w:rPr>
          <w:rFonts w:eastAsia="Palatino Linotype" w:cs="Palatino Linotype"/>
          <w:lang w:eastAsia="es-MX"/>
        </w:rPr>
        <w:t xml:space="preserve"> Informe Justificado, entregado </w:t>
      </w:r>
      <w:r w:rsidRPr="003A066F">
        <w:rPr>
          <w:rFonts w:eastAsia="Palatino Linotype" w:cs="Palatino Linotype"/>
          <w:lang w:eastAsia="es-MX"/>
        </w:rPr>
        <w:t>por el Sujeto Obligado, así como los documentos adjunto</w:t>
      </w:r>
      <w:r>
        <w:rPr>
          <w:rFonts w:eastAsia="Palatino Linotype" w:cs="Palatino Linotype"/>
          <w:lang w:eastAsia="es-MX"/>
        </w:rPr>
        <w:t xml:space="preserve">s, el cual fue notificado a las </w:t>
      </w:r>
      <w:r w:rsidRPr="003A066F">
        <w:rPr>
          <w:rFonts w:eastAsia="Palatino Linotype" w:cs="Palatino Linotype"/>
          <w:lang w:eastAsia="es-MX"/>
        </w:rPr>
        <w:t>partes, a través del Sistema de Acceso a la Inform</w:t>
      </w:r>
      <w:r>
        <w:rPr>
          <w:rFonts w:eastAsia="Palatino Linotype" w:cs="Palatino Linotype"/>
          <w:lang w:eastAsia="es-MX"/>
        </w:rPr>
        <w:t>ación Mexiquense (SAIMEX).</w:t>
      </w:r>
      <w:r w:rsidRPr="003A066F">
        <w:rPr>
          <w:rFonts w:eastAsia="Palatino Linotype" w:cs="Palatino Linotype"/>
          <w:b/>
          <w:lang w:eastAsia="es-MX"/>
        </w:rPr>
        <w:t xml:space="preserve"> Cabe señalar que el Particular fue omiso en realizar manifestación alguna.</w:t>
      </w:r>
    </w:p>
    <w:p w14:paraId="758D31A6" w14:textId="77777777" w:rsidR="00557886" w:rsidRPr="009468E7" w:rsidRDefault="00557886" w:rsidP="00BE7735">
      <w:pPr>
        <w:spacing w:after="0" w:line="360" w:lineRule="auto"/>
        <w:rPr>
          <w:rFonts w:eastAsia="Palatino Linotype" w:cs="Palatino Linotype"/>
          <w:lang w:eastAsia="es-MX"/>
        </w:rPr>
      </w:pPr>
    </w:p>
    <w:p w14:paraId="403469C7" w14:textId="316583C0" w:rsidR="00557886" w:rsidRPr="009468E7" w:rsidRDefault="004105A2" w:rsidP="00BE7735">
      <w:pPr>
        <w:spacing w:after="0" w:line="360" w:lineRule="auto"/>
        <w:rPr>
          <w:rFonts w:eastAsia="Palatino Linotype" w:cs="Palatino Linotype"/>
          <w:lang w:val="es-ES"/>
        </w:rPr>
      </w:pPr>
      <w:r>
        <w:rPr>
          <w:rFonts w:eastAsia="Palatino Linotype" w:cs="Palatino Linotype"/>
          <w:b/>
          <w:bCs/>
          <w:lang w:val="es-ES"/>
        </w:rPr>
        <w:t>f</w:t>
      </w:r>
      <w:r w:rsidR="00557886" w:rsidRPr="009468E7">
        <w:rPr>
          <w:rFonts w:eastAsia="Palatino Linotype" w:cs="Palatino Linotype"/>
          <w:b/>
          <w:bCs/>
          <w:lang w:val="es-ES"/>
        </w:rPr>
        <w:t xml:space="preserve">) Ampliación de plazo para resolver. </w:t>
      </w:r>
      <w:r w:rsidR="00557886" w:rsidRPr="009468E7">
        <w:rPr>
          <w:rFonts w:eastAsia="Palatino Linotype" w:cs="Palatino Linotype"/>
          <w:lang w:val="es-ES"/>
        </w:rPr>
        <w:t xml:space="preserve">El </w:t>
      </w:r>
      <w:r w:rsidR="006B04A1" w:rsidRPr="009468E7">
        <w:rPr>
          <w:rFonts w:eastAsia="Palatino Linotype" w:cs="Palatino Linotype"/>
        </w:rPr>
        <w:t>diecisiete</w:t>
      </w:r>
      <w:r w:rsidR="00557886" w:rsidRPr="009468E7">
        <w:rPr>
          <w:rFonts w:eastAsia="Palatino Linotype" w:cs="Palatino Linotype"/>
        </w:rPr>
        <w:t xml:space="preserve"> de julio de dos mil veinticinco</w:t>
      </w:r>
      <w:r w:rsidR="00557886" w:rsidRPr="009468E7">
        <w:rPr>
          <w:rFonts w:eastAsia="Palatino Linotype" w:cs="Palatino Linotype"/>
          <w:lang w:val="es-ES"/>
        </w:rPr>
        <w:t>,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35CAC239" w14:textId="77777777" w:rsidR="00557886" w:rsidRPr="009468E7" w:rsidRDefault="00557886" w:rsidP="00BE7735">
      <w:pPr>
        <w:spacing w:after="0" w:line="360" w:lineRule="auto"/>
        <w:rPr>
          <w:rFonts w:eastAsia="Palatino Linotype" w:cs="Palatino Linotype"/>
          <w:lang w:val="es-ES"/>
        </w:rPr>
      </w:pPr>
    </w:p>
    <w:p w14:paraId="3D480B7A" w14:textId="1CC301FD" w:rsidR="00AA1662" w:rsidRPr="009468E7" w:rsidRDefault="004105A2" w:rsidP="00BE7735">
      <w:pPr>
        <w:spacing w:after="0" w:line="360" w:lineRule="auto"/>
        <w:rPr>
          <w:rFonts w:eastAsia="Palatino Linotype" w:cs="Palatino Linotype"/>
          <w:lang w:val="es-ES" w:eastAsia="es-MX"/>
        </w:rPr>
      </w:pPr>
      <w:r>
        <w:rPr>
          <w:rFonts w:eastAsia="Palatino Linotype" w:cs="Palatino Linotype"/>
          <w:b/>
          <w:bCs/>
          <w:lang w:eastAsia="es-MX"/>
        </w:rPr>
        <w:t>g</w:t>
      </w:r>
      <w:r w:rsidR="00AA1662" w:rsidRPr="009468E7">
        <w:rPr>
          <w:rFonts w:eastAsia="Palatino Linotype" w:cs="Palatino Linotype"/>
          <w:b/>
          <w:bCs/>
          <w:lang w:eastAsia="es-MX"/>
        </w:rPr>
        <w:t xml:space="preserve">) </w:t>
      </w:r>
      <w:r w:rsidR="00AA1662" w:rsidRPr="009468E7">
        <w:rPr>
          <w:rFonts w:eastAsia="Palatino Linotype" w:cs="Tahoma"/>
          <w:b/>
          <w:lang w:eastAsia="es-MX"/>
        </w:rPr>
        <w:t>Cierre de instrucción.</w:t>
      </w:r>
      <w:r w:rsidR="00AA1662" w:rsidRPr="009468E7">
        <w:rPr>
          <w:rFonts w:eastAsia="Palatino Linotype" w:cs="Tahoma"/>
          <w:lang w:eastAsia="es-MX"/>
        </w:rPr>
        <w:t xml:space="preserve"> El </w:t>
      </w:r>
      <w:r w:rsidR="005416EF">
        <w:rPr>
          <w:rFonts w:eastAsia="Palatino Linotype" w:cs="Tahoma"/>
          <w:lang w:eastAsia="es-MX"/>
        </w:rPr>
        <w:t>veinte</w:t>
      </w:r>
      <w:r w:rsidR="00FE3BDF" w:rsidRPr="009468E7">
        <w:rPr>
          <w:rFonts w:eastAsia="Palatino Linotype" w:cs="Tahoma"/>
          <w:lang w:eastAsia="es-MX"/>
        </w:rPr>
        <w:t xml:space="preserve"> de agosto</w:t>
      </w:r>
      <w:r w:rsidR="00AA1662" w:rsidRPr="009468E7">
        <w:rPr>
          <w:rFonts w:eastAsia="Palatino Linotype" w:cs="Tahoma"/>
          <w:lang w:eastAsia="es-MX"/>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AA1662" w:rsidRPr="009468E7">
        <w:rPr>
          <w:rFonts w:eastAsia="Palatino Linotype" w:cs="Palatino Linotype"/>
          <w:lang w:val="es-ES" w:eastAsia="es-MX"/>
        </w:rPr>
        <w:t>acto que fue notificado a las partes, mediante el Sistema de Acceso a la Información Mexiquense (SAIMEX), el mismo día.</w:t>
      </w:r>
    </w:p>
    <w:p w14:paraId="0FED19D2" w14:textId="77777777" w:rsidR="00AA1662" w:rsidRPr="009468E7" w:rsidRDefault="00AA1662" w:rsidP="00BE7735">
      <w:pPr>
        <w:spacing w:after="0" w:line="360" w:lineRule="auto"/>
        <w:rPr>
          <w:rFonts w:eastAsia="Palatino Linotype" w:cs="Palatino Linotype"/>
          <w:lang w:val="es-ES" w:eastAsia="es-MX"/>
        </w:rPr>
      </w:pPr>
    </w:p>
    <w:p w14:paraId="7BF62721" w14:textId="77777777" w:rsidR="00AA1662" w:rsidRPr="009468E7" w:rsidRDefault="00AA1662" w:rsidP="00BE7735">
      <w:pPr>
        <w:spacing w:after="0" w:line="360" w:lineRule="auto"/>
        <w:rPr>
          <w:rFonts w:eastAsia="Palatino Linotype" w:cs="Palatino Linotype"/>
          <w:color w:val="000000"/>
          <w:lang w:eastAsia="es-MX"/>
        </w:rPr>
      </w:pPr>
      <w:r w:rsidRPr="009468E7">
        <w:rPr>
          <w:rFonts w:eastAsia="Palatino Linotype" w:cs="Palatino Linotype"/>
          <w:color w:val="000000"/>
          <w:lang w:eastAsia="es-MX"/>
        </w:rPr>
        <w:t>En razón de que fue debidamente sustanciado e integrado el expediente electrónico y no existe diligencia pendiente de desahogo, se emite la resolución que conforme a Derecho proceda, de acuerdo a los siguientes:</w:t>
      </w:r>
    </w:p>
    <w:p w14:paraId="2D48061D" w14:textId="77777777" w:rsidR="00AA1662" w:rsidRPr="009468E7" w:rsidRDefault="00AA1662" w:rsidP="00BE7735">
      <w:pPr>
        <w:spacing w:after="0" w:line="360" w:lineRule="auto"/>
        <w:rPr>
          <w:rFonts w:eastAsia="Palatino Linotype" w:cs="Palatino Linotype"/>
          <w:b/>
          <w:lang w:eastAsia="es-MX"/>
        </w:rPr>
      </w:pPr>
    </w:p>
    <w:p w14:paraId="3F1F5A61" w14:textId="77777777" w:rsidR="00AA1662" w:rsidRPr="009468E7" w:rsidRDefault="00AA1662" w:rsidP="00BE7735">
      <w:pPr>
        <w:spacing w:after="0" w:line="360" w:lineRule="auto"/>
        <w:jc w:val="center"/>
        <w:rPr>
          <w:rFonts w:eastAsia="Palatino Linotype" w:cs="Palatino Linotype"/>
          <w:b/>
          <w:lang w:eastAsia="es-MX"/>
        </w:rPr>
      </w:pPr>
      <w:r w:rsidRPr="009468E7">
        <w:rPr>
          <w:rFonts w:eastAsia="Palatino Linotype" w:cs="Palatino Linotype"/>
          <w:b/>
          <w:lang w:eastAsia="es-MX"/>
        </w:rPr>
        <w:t>C O N S I D E R A N D O S</w:t>
      </w:r>
    </w:p>
    <w:p w14:paraId="30DB1EE5" w14:textId="77777777" w:rsidR="00AA1662" w:rsidRPr="009468E7" w:rsidRDefault="00AA1662" w:rsidP="00BE7735">
      <w:pPr>
        <w:spacing w:after="0" w:line="360" w:lineRule="auto"/>
        <w:jc w:val="center"/>
        <w:rPr>
          <w:rFonts w:eastAsia="Palatino Linotype" w:cs="Palatino Linotype"/>
          <w:b/>
          <w:lang w:eastAsia="es-MX"/>
        </w:rPr>
      </w:pPr>
    </w:p>
    <w:p w14:paraId="613D00FE" w14:textId="77777777" w:rsidR="00AA1662" w:rsidRPr="009468E7" w:rsidRDefault="00AA1662" w:rsidP="00BE7735">
      <w:pPr>
        <w:spacing w:after="0" w:line="360" w:lineRule="auto"/>
        <w:rPr>
          <w:rFonts w:eastAsia="Palatino Linotype" w:cs="Palatino Linotype"/>
          <w:b/>
          <w:lang w:eastAsia="es-MX"/>
        </w:rPr>
      </w:pPr>
      <w:r w:rsidRPr="009468E7">
        <w:rPr>
          <w:rFonts w:eastAsia="Palatino Linotype" w:cs="Palatino Linotype"/>
          <w:b/>
          <w:lang w:eastAsia="es-MX"/>
        </w:rPr>
        <w:t>PRIMERO</w:t>
      </w:r>
      <w:r w:rsidRPr="009468E7">
        <w:rPr>
          <w:rFonts w:eastAsia="Palatino Linotype" w:cs="Palatino Linotype"/>
          <w:lang w:eastAsia="es-MX"/>
        </w:rPr>
        <w:t xml:space="preserve">. </w:t>
      </w:r>
      <w:r w:rsidRPr="009468E7">
        <w:rPr>
          <w:rFonts w:eastAsia="Palatino Linotype" w:cs="Palatino Linotype"/>
          <w:b/>
          <w:lang w:eastAsia="es-MX"/>
        </w:rPr>
        <w:t>Competencia</w:t>
      </w:r>
    </w:p>
    <w:p w14:paraId="7C5C0D40" w14:textId="77777777" w:rsidR="00AA1662" w:rsidRPr="009468E7" w:rsidRDefault="00AA1662" w:rsidP="00BE7735">
      <w:pPr>
        <w:spacing w:after="0" w:line="360" w:lineRule="auto"/>
        <w:rPr>
          <w:rFonts w:eastAsia="Palatino Linotype" w:cs="Palatino Linotype"/>
          <w:b/>
          <w:color w:val="FF0000"/>
          <w:lang w:eastAsia="es-MX"/>
        </w:rPr>
      </w:pPr>
    </w:p>
    <w:p w14:paraId="72754F8D" w14:textId="046DC9AE" w:rsidR="00AA1662" w:rsidRPr="009468E7" w:rsidRDefault="00AA1662" w:rsidP="00BE7735">
      <w:pPr>
        <w:spacing w:after="0" w:line="360" w:lineRule="auto"/>
        <w:rPr>
          <w:rFonts w:eastAsia="Palatino Linotype" w:cs="Palatino Linotype"/>
          <w:lang w:eastAsia="es-MX"/>
        </w:rPr>
      </w:pPr>
      <w:bookmarkStart w:id="1" w:name="_heading=h.30j0zll" w:colFirst="0" w:colLast="0"/>
      <w:bookmarkEnd w:id="1"/>
      <w:r w:rsidRPr="009468E7">
        <w:rPr>
          <w:rFonts w:eastAsia="Palatino Linotype" w:cs="Palatino Linotype"/>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w:t>
      </w:r>
      <w:r w:rsidR="00BE7735">
        <w:rPr>
          <w:rFonts w:eastAsia="Palatino Linotype" w:cs="Palatino Linotype"/>
          <w:lang w:eastAsia="es-MX"/>
        </w:rPr>
        <w:t>noveno</w:t>
      </w:r>
      <w:r w:rsidRPr="009468E7">
        <w:rPr>
          <w:rFonts w:eastAsia="Palatino Linotype" w:cs="Palatino Linotype"/>
          <w:lang w:eastAsia="es-MX"/>
        </w:rPr>
        <w:t xml:space="preserve">, </w:t>
      </w:r>
      <w:r w:rsidR="00BE7735">
        <w:rPr>
          <w:rFonts w:eastAsia="Palatino Linotype" w:cs="Palatino Linotype"/>
          <w:lang w:eastAsia="es-MX"/>
        </w:rPr>
        <w:t>cuadragésimo</w:t>
      </w:r>
      <w:r w:rsidRPr="009468E7">
        <w:rPr>
          <w:rFonts w:eastAsia="Palatino Linotype" w:cs="Palatino Linotype"/>
          <w:lang w:eastAsia="es-MX"/>
        </w:rPr>
        <w:t xml:space="preserve"> y </w:t>
      </w:r>
      <w:r w:rsidR="00BE7735">
        <w:rPr>
          <w:rFonts w:eastAsia="Palatino Linotype" w:cs="Palatino Linotype"/>
          <w:lang w:eastAsia="es-MX"/>
        </w:rPr>
        <w:t>cuadragésimo primero</w:t>
      </w:r>
      <w:r w:rsidRPr="009468E7">
        <w:rPr>
          <w:rFonts w:eastAsia="Palatino Linotype" w:cs="Palatino Linotype"/>
          <w:lang w:eastAsia="es-MX"/>
        </w:rPr>
        <w:t xml:space="preserve">, fracciones I, II, III, IV y V de la Constitución Política del Estado Libre y Soberano de México; 13, 29, 36, </w:t>
      </w:r>
      <w:r w:rsidRPr="009468E7">
        <w:rPr>
          <w:rFonts w:eastAsia="Palatino Linotype" w:cs="Palatino Linotype"/>
          <w:lang w:eastAsia="es-MX"/>
        </w:rPr>
        <w:lastRenderedPageBreak/>
        <w:t>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979C571" w14:textId="77777777" w:rsidR="00AA1662" w:rsidRPr="009468E7" w:rsidRDefault="00AA1662" w:rsidP="00BE7735">
      <w:pPr>
        <w:spacing w:after="0" w:line="360" w:lineRule="auto"/>
        <w:rPr>
          <w:rFonts w:eastAsia="Palatino Linotype" w:cs="Palatino Linotype"/>
          <w:b/>
          <w:color w:val="FF0000"/>
          <w:lang w:eastAsia="es-MX"/>
        </w:rPr>
      </w:pPr>
    </w:p>
    <w:p w14:paraId="1CEE0B22" w14:textId="66E4AECA" w:rsidR="00C853D1" w:rsidRPr="009468E7" w:rsidRDefault="00C853D1" w:rsidP="00BE7735">
      <w:pPr>
        <w:autoSpaceDE w:val="0"/>
        <w:autoSpaceDN w:val="0"/>
        <w:adjustRightInd w:val="0"/>
        <w:spacing w:after="0" w:line="360" w:lineRule="auto"/>
        <w:rPr>
          <w:rFonts w:eastAsia="Times New Roman" w:cs="Tahoma"/>
          <w:color w:val="auto"/>
          <w:szCs w:val="24"/>
          <w:lang w:val="es-ES" w:eastAsia="es-ES"/>
        </w:rPr>
      </w:pPr>
      <w:r w:rsidRPr="009468E7">
        <w:rPr>
          <w:rFonts w:eastAsia="Calibri" w:cs="Tahoma"/>
          <w:b/>
          <w:color w:val="auto"/>
          <w:szCs w:val="24"/>
          <w:lang w:val="es-ES" w:eastAsia="es-MX"/>
        </w:rPr>
        <w:t>SEGUNDO</w:t>
      </w:r>
      <w:r w:rsidRPr="009468E7">
        <w:rPr>
          <w:rFonts w:eastAsia="Calibri" w:cs="Tahoma"/>
          <w:color w:val="auto"/>
          <w:szCs w:val="24"/>
          <w:lang w:val="es-ES" w:eastAsia="es-MX"/>
        </w:rPr>
        <w:t xml:space="preserve">. </w:t>
      </w:r>
      <w:r w:rsidRPr="009468E7">
        <w:rPr>
          <w:rFonts w:eastAsia="Times New Roman" w:cs="Tahoma"/>
          <w:b/>
          <w:color w:val="auto"/>
          <w:szCs w:val="24"/>
          <w:lang w:val="es-ES" w:eastAsia="es-ES"/>
        </w:rPr>
        <w:t>Causales de</w:t>
      </w:r>
      <w:r w:rsidR="00622459" w:rsidRPr="009468E7">
        <w:rPr>
          <w:rFonts w:eastAsia="Times New Roman" w:cs="Tahoma"/>
          <w:b/>
          <w:color w:val="auto"/>
          <w:szCs w:val="24"/>
          <w:lang w:val="es-ES" w:eastAsia="es-ES"/>
        </w:rPr>
        <w:t xml:space="preserve"> improcedencia y sobreseimiento</w:t>
      </w:r>
    </w:p>
    <w:p w14:paraId="732DCB46" w14:textId="77777777" w:rsidR="00C853D1" w:rsidRPr="009468E7" w:rsidRDefault="00C853D1" w:rsidP="00BE7735">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9468E7" w:rsidRDefault="00C853D1" w:rsidP="00BE7735">
      <w:pPr>
        <w:autoSpaceDE w:val="0"/>
        <w:autoSpaceDN w:val="0"/>
        <w:adjustRightInd w:val="0"/>
        <w:spacing w:after="0" w:line="360" w:lineRule="auto"/>
        <w:rPr>
          <w:rFonts w:eastAsia="Times New Roman" w:cs="Tahoma"/>
          <w:color w:val="auto"/>
          <w:szCs w:val="24"/>
          <w:lang w:val="es-ES" w:eastAsia="es-ES"/>
        </w:rPr>
      </w:pPr>
      <w:r w:rsidRPr="009468E7">
        <w:rPr>
          <w:rFonts w:eastAsia="Times New Roman" w:cs="Tahoma"/>
          <w:color w:val="auto"/>
          <w:szCs w:val="24"/>
          <w:lang w:val="es-ES" w:eastAsia="es-ES"/>
        </w:rPr>
        <w:t xml:space="preserve">De las constancias que forma parte del Recurso de Revisión que se analiza, se advierte que previo al estudio del fondo de la </w:t>
      </w:r>
      <w:r w:rsidRPr="009468E7">
        <w:rPr>
          <w:rFonts w:eastAsia="Times New Roman" w:cs="Tahoma"/>
          <w:i/>
          <w:color w:val="auto"/>
          <w:szCs w:val="24"/>
          <w:lang w:val="es-ES" w:eastAsia="es-ES"/>
        </w:rPr>
        <w:t>litis</w:t>
      </w:r>
      <w:r w:rsidRPr="009468E7">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9468E7" w:rsidRDefault="00C853D1" w:rsidP="00BE7735">
      <w:pPr>
        <w:autoSpaceDE w:val="0"/>
        <w:autoSpaceDN w:val="0"/>
        <w:adjustRightInd w:val="0"/>
        <w:spacing w:after="0" w:line="360" w:lineRule="auto"/>
        <w:rPr>
          <w:rFonts w:eastAsia="Times New Roman" w:cs="Tahoma"/>
          <w:color w:val="auto"/>
          <w:szCs w:val="24"/>
          <w:lang w:val="es-ES" w:eastAsia="es-ES"/>
        </w:rPr>
      </w:pPr>
    </w:p>
    <w:p w14:paraId="0D0DB2F6" w14:textId="16C277DB" w:rsidR="00C853D1" w:rsidRPr="009468E7" w:rsidRDefault="00622459" w:rsidP="00BE7735">
      <w:pPr>
        <w:autoSpaceDE w:val="0"/>
        <w:autoSpaceDN w:val="0"/>
        <w:adjustRightInd w:val="0"/>
        <w:spacing w:after="0" w:line="360" w:lineRule="auto"/>
        <w:rPr>
          <w:rFonts w:eastAsia="Calibri" w:cs="Tahoma"/>
          <w:color w:val="auto"/>
          <w:szCs w:val="24"/>
          <w:lang w:val="es-ES" w:eastAsia="es-MX"/>
        </w:rPr>
      </w:pPr>
      <w:r w:rsidRPr="009468E7">
        <w:rPr>
          <w:rFonts w:eastAsia="Calibri" w:cs="Tahoma"/>
          <w:b/>
          <w:color w:val="auto"/>
          <w:szCs w:val="24"/>
          <w:lang w:val="es-ES" w:eastAsia="es-MX"/>
        </w:rPr>
        <w:t>Causales de improcedencia</w:t>
      </w:r>
    </w:p>
    <w:p w14:paraId="61973DFD" w14:textId="77777777" w:rsidR="00C853D1" w:rsidRPr="009468E7" w:rsidRDefault="00C853D1" w:rsidP="00BE7735">
      <w:pPr>
        <w:autoSpaceDE w:val="0"/>
        <w:autoSpaceDN w:val="0"/>
        <w:adjustRightInd w:val="0"/>
        <w:spacing w:after="0" w:line="360" w:lineRule="auto"/>
        <w:rPr>
          <w:rFonts w:eastAsia="Calibri" w:cs="Tahoma"/>
          <w:color w:val="FF0000"/>
          <w:szCs w:val="24"/>
          <w:lang w:val="es-ES" w:eastAsia="es-MX"/>
        </w:rPr>
      </w:pPr>
    </w:p>
    <w:p w14:paraId="0231FCB7" w14:textId="77777777" w:rsidR="00C853D1" w:rsidRPr="009468E7" w:rsidRDefault="00C853D1" w:rsidP="00BE7735">
      <w:pPr>
        <w:autoSpaceDE w:val="0"/>
        <w:autoSpaceDN w:val="0"/>
        <w:adjustRightInd w:val="0"/>
        <w:spacing w:after="0" w:line="360" w:lineRule="auto"/>
        <w:rPr>
          <w:rFonts w:eastAsia="Calibri" w:cs="Tahoma"/>
          <w:color w:val="auto"/>
          <w:lang w:val="es-ES" w:eastAsia="es-MX"/>
        </w:rPr>
      </w:pPr>
      <w:r w:rsidRPr="009468E7">
        <w:rPr>
          <w:rFonts w:eastAsia="Calibri" w:cs="Tahoma"/>
          <w:color w:val="auto"/>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9468E7">
        <w:rPr>
          <w:rFonts w:eastAsia="Calibri" w:cs="Tahoma"/>
          <w:b/>
          <w:bCs/>
          <w:color w:val="auto"/>
          <w:lang w:eastAsia="es-MX"/>
        </w:rPr>
        <w:t xml:space="preserve"> </w:t>
      </w:r>
      <w:r w:rsidRPr="009468E7">
        <w:rPr>
          <w:rFonts w:eastAsia="Calibri" w:cs="Tahoma"/>
          <w:color w:val="auto"/>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2B897E0" w14:textId="77777777" w:rsidR="00C853D1" w:rsidRPr="009468E7" w:rsidRDefault="00C853D1" w:rsidP="00BE7735">
      <w:pPr>
        <w:autoSpaceDE w:val="0"/>
        <w:autoSpaceDN w:val="0"/>
        <w:adjustRightInd w:val="0"/>
        <w:spacing w:after="0" w:line="360" w:lineRule="auto"/>
        <w:rPr>
          <w:rFonts w:eastAsia="Calibri" w:cs="Tahoma"/>
          <w:color w:val="auto"/>
          <w:lang w:eastAsia="es-MX"/>
        </w:rPr>
      </w:pPr>
    </w:p>
    <w:p w14:paraId="0EA74A57" w14:textId="77777777" w:rsidR="00C853D1" w:rsidRPr="009468E7" w:rsidRDefault="00C853D1" w:rsidP="00BE7735">
      <w:pPr>
        <w:autoSpaceDE w:val="0"/>
        <w:autoSpaceDN w:val="0"/>
        <w:adjustRightInd w:val="0"/>
        <w:spacing w:after="0" w:line="360" w:lineRule="auto"/>
        <w:rPr>
          <w:rFonts w:eastAsia="Calibri" w:cs="Tahoma"/>
          <w:color w:val="auto"/>
          <w:lang w:eastAsia="es-MX"/>
        </w:rPr>
      </w:pPr>
      <w:r w:rsidRPr="009468E7">
        <w:rPr>
          <w:rFonts w:eastAsia="Calibri" w:cs="Tahoma"/>
          <w:color w:val="auto"/>
          <w:lang w:eastAsia="es-MX"/>
        </w:rPr>
        <w:t xml:space="preserve">En el presente caso, </w:t>
      </w:r>
      <w:r w:rsidRPr="009468E7">
        <w:rPr>
          <w:rFonts w:eastAsia="Calibri" w:cs="Tahoma"/>
          <w:b/>
          <w:color w:val="auto"/>
          <w:lang w:eastAsia="es-MX"/>
        </w:rPr>
        <w:t>no se actualiza ninguna de las causales de improcedencia</w:t>
      </w:r>
      <w:r w:rsidRPr="009468E7">
        <w:rPr>
          <w:rFonts w:eastAsia="Calibri" w:cs="Tahoma"/>
          <w:color w:val="auto"/>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w:t>
      </w:r>
      <w:r w:rsidRPr="009468E7">
        <w:rPr>
          <w:rFonts w:eastAsia="Calibri" w:cs="Tahoma"/>
          <w:color w:val="auto"/>
          <w:lang w:eastAsia="es-MX"/>
        </w:rPr>
        <w:lastRenderedPageBreak/>
        <w:t>formó parte del agravio; no se realizó una consulta o ampliación a los alcances del requerimiento informativo, aunado a que el medio de impugnación fue presentado en tiempo.</w:t>
      </w:r>
    </w:p>
    <w:p w14:paraId="42DBAD8B" w14:textId="77777777" w:rsidR="00C853D1" w:rsidRPr="009468E7" w:rsidRDefault="00C853D1" w:rsidP="00BE7735">
      <w:pPr>
        <w:spacing w:after="0" w:line="360" w:lineRule="auto"/>
        <w:rPr>
          <w:rFonts w:eastAsia="Times New Roman" w:cs="Tahoma"/>
          <w:b/>
          <w:bCs/>
          <w:color w:val="FF0000"/>
          <w:lang w:eastAsia="es-ES"/>
        </w:rPr>
      </w:pPr>
    </w:p>
    <w:p w14:paraId="009D8158" w14:textId="63D958F0" w:rsidR="00C853D1" w:rsidRPr="009468E7" w:rsidRDefault="00DD116F" w:rsidP="00BE7735">
      <w:pPr>
        <w:spacing w:after="0" w:line="360" w:lineRule="auto"/>
        <w:rPr>
          <w:rFonts w:eastAsia="Times New Roman" w:cs="Tahoma"/>
          <w:color w:val="auto"/>
          <w:lang w:val="es-ES" w:eastAsia="es-ES"/>
        </w:rPr>
      </w:pPr>
      <w:r w:rsidRPr="009468E7">
        <w:rPr>
          <w:rFonts w:eastAsia="Times New Roman" w:cs="Tahoma"/>
          <w:color w:val="auto"/>
          <w:lang w:eastAsia="es-ES"/>
        </w:rPr>
        <w:t xml:space="preserve">Asimismo, </w:t>
      </w:r>
      <w:r w:rsidR="00C853D1" w:rsidRPr="009468E7">
        <w:rPr>
          <w:rFonts w:eastAsia="Times New Roman" w:cs="Tahoma"/>
          <w:color w:val="auto"/>
          <w:lang w:eastAsia="es-ES"/>
        </w:rPr>
        <w:t>se actualiza la causal de procedencia del Recurso de Revisión señalada en el artículo 179, fracci</w:t>
      </w:r>
      <w:r w:rsidR="00D05BF1" w:rsidRPr="009468E7">
        <w:rPr>
          <w:rFonts w:eastAsia="Times New Roman" w:cs="Tahoma"/>
          <w:color w:val="auto"/>
          <w:lang w:eastAsia="es-ES"/>
        </w:rPr>
        <w:t xml:space="preserve">ón </w:t>
      </w:r>
      <w:r w:rsidR="00757B60" w:rsidRPr="009468E7">
        <w:rPr>
          <w:rFonts w:eastAsia="Times New Roman" w:cs="Tahoma"/>
          <w:color w:val="auto"/>
          <w:lang w:eastAsia="es-ES"/>
        </w:rPr>
        <w:t>V</w:t>
      </w:r>
      <w:r w:rsidR="00682222" w:rsidRPr="009468E7">
        <w:rPr>
          <w:rFonts w:eastAsia="Times New Roman" w:cs="Tahoma"/>
          <w:color w:val="auto"/>
          <w:lang w:eastAsia="es-ES"/>
        </w:rPr>
        <w:t>,</w:t>
      </w:r>
      <w:r w:rsidR="00C853D1" w:rsidRPr="009468E7">
        <w:rPr>
          <w:rFonts w:eastAsia="Times New Roman" w:cs="Tahoma"/>
          <w:color w:val="auto"/>
          <w:lang w:eastAsia="es-ES"/>
        </w:rPr>
        <w:t xml:space="preserve"> de la Ley en cita, </w:t>
      </w:r>
      <w:r w:rsidR="00C853D1" w:rsidRPr="009468E7">
        <w:rPr>
          <w:rFonts w:eastAsia="Calibri" w:cs="Tahoma"/>
          <w:color w:val="auto"/>
          <w:lang w:eastAsia="es-MX"/>
        </w:rPr>
        <w:t xml:space="preserve">pues la Recurrente se inconformó </w:t>
      </w:r>
      <w:r w:rsidR="002C5B0F" w:rsidRPr="009468E7">
        <w:rPr>
          <w:rFonts w:eastAsia="Times New Roman" w:cs="Tahoma"/>
          <w:color w:val="auto"/>
          <w:lang w:val="es-ES" w:eastAsia="es-ES"/>
        </w:rPr>
        <w:t xml:space="preserve">de </w:t>
      </w:r>
      <w:r w:rsidR="00622458" w:rsidRPr="009468E7">
        <w:rPr>
          <w:rFonts w:eastAsia="Times New Roman" w:cs="Tahoma"/>
          <w:color w:val="auto"/>
          <w:lang w:val="es-ES" w:eastAsia="es-ES"/>
        </w:rPr>
        <w:t xml:space="preserve">la </w:t>
      </w:r>
      <w:r w:rsidR="00757B60" w:rsidRPr="009468E7">
        <w:rPr>
          <w:rFonts w:eastAsia="Times New Roman" w:cs="Tahoma"/>
          <w:color w:val="auto"/>
          <w:lang w:val="es-ES" w:eastAsia="es-ES"/>
        </w:rPr>
        <w:t>entrega de información incompleta.</w:t>
      </w:r>
      <w:r w:rsidR="004D7490" w:rsidRPr="009468E7">
        <w:rPr>
          <w:rFonts w:eastAsia="Times New Roman" w:cs="Tahoma"/>
          <w:color w:val="auto"/>
          <w:lang w:val="es-ES" w:eastAsia="es-ES"/>
        </w:rPr>
        <w:t xml:space="preserve"> </w:t>
      </w:r>
    </w:p>
    <w:p w14:paraId="28386535" w14:textId="77777777" w:rsidR="00840BB7" w:rsidRPr="009468E7" w:rsidRDefault="00840BB7" w:rsidP="00BE7735">
      <w:pPr>
        <w:spacing w:after="0" w:line="360" w:lineRule="auto"/>
        <w:rPr>
          <w:rFonts w:eastAsia="Times New Roman" w:cs="Tahoma"/>
          <w:b/>
          <w:bCs/>
          <w:color w:val="auto"/>
          <w:lang w:eastAsia="es-ES"/>
        </w:rPr>
      </w:pPr>
    </w:p>
    <w:p w14:paraId="16AAA960" w14:textId="7901E6DB" w:rsidR="00AD663F" w:rsidRPr="009468E7" w:rsidRDefault="00AD663F" w:rsidP="00BE7735">
      <w:pPr>
        <w:spacing w:after="0" w:line="360" w:lineRule="auto"/>
        <w:rPr>
          <w:rFonts w:eastAsia="Times New Roman" w:cs="Tahoma"/>
          <w:b/>
          <w:bCs/>
          <w:color w:val="auto"/>
          <w:lang w:eastAsia="es-ES"/>
        </w:rPr>
      </w:pPr>
      <w:r w:rsidRPr="009468E7">
        <w:rPr>
          <w:rFonts w:eastAsia="Times New Roman" w:cs="Tahoma"/>
          <w:b/>
          <w:bCs/>
          <w:color w:val="auto"/>
          <w:lang w:eastAsia="es-ES"/>
        </w:rPr>
        <w:t>TERC</w:t>
      </w:r>
      <w:r w:rsidR="00622459" w:rsidRPr="009468E7">
        <w:rPr>
          <w:rFonts w:eastAsia="Times New Roman" w:cs="Tahoma"/>
          <w:b/>
          <w:bCs/>
          <w:color w:val="auto"/>
          <w:lang w:eastAsia="es-ES"/>
        </w:rPr>
        <w:t>ERO. Causales de sobreseimiento</w:t>
      </w:r>
    </w:p>
    <w:p w14:paraId="2C3074E9" w14:textId="77777777" w:rsidR="00AD663F" w:rsidRPr="009468E7" w:rsidRDefault="00AD663F" w:rsidP="00BE7735">
      <w:pPr>
        <w:spacing w:after="0" w:line="360" w:lineRule="auto"/>
        <w:rPr>
          <w:rFonts w:eastAsia="Times New Roman" w:cs="Tahoma"/>
          <w:b/>
          <w:bCs/>
          <w:color w:val="FF0000"/>
          <w:lang w:eastAsia="es-ES"/>
        </w:rPr>
      </w:pPr>
    </w:p>
    <w:p w14:paraId="1F07878A" w14:textId="77777777" w:rsidR="005D0CA0" w:rsidRPr="009468E7" w:rsidRDefault="005D0CA0" w:rsidP="00BE7735">
      <w:pPr>
        <w:spacing w:after="0" w:line="360" w:lineRule="auto"/>
        <w:contextualSpacing/>
        <w:rPr>
          <w:rFonts w:eastAsia="Times New Roman" w:cs="Tahoma"/>
          <w:color w:val="auto"/>
          <w:szCs w:val="24"/>
          <w:lang w:eastAsia="es-ES"/>
        </w:rPr>
      </w:pPr>
      <w:r w:rsidRPr="009468E7">
        <w:rPr>
          <w:rFonts w:eastAsia="Times New Roman" w:cs="Tahoma"/>
          <w:color w:val="auto"/>
          <w:szCs w:val="24"/>
          <w:lang w:eastAsia="es-ES"/>
        </w:rPr>
        <w:t>Por ser de previo y especial pronunciamiento, este Instituto analiza si se actualiza alguna causal de sobreseimiento.</w:t>
      </w:r>
    </w:p>
    <w:p w14:paraId="7EE785C8" w14:textId="77777777" w:rsidR="005D0CA0" w:rsidRPr="009468E7" w:rsidRDefault="005D0CA0" w:rsidP="00BE7735">
      <w:pPr>
        <w:spacing w:after="0" w:line="360" w:lineRule="auto"/>
        <w:contextualSpacing/>
        <w:rPr>
          <w:rFonts w:eastAsia="Times New Roman" w:cs="Tahoma"/>
          <w:color w:val="auto"/>
          <w:szCs w:val="24"/>
          <w:lang w:eastAsia="es-ES"/>
        </w:rPr>
      </w:pPr>
    </w:p>
    <w:p w14:paraId="130442E5" w14:textId="77777777" w:rsidR="005D0CA0" w:rsidRPr="009468E7" w:rsidRDefault="005D0CA0" w:rsidP="00BE7735">
      <w:pPr>
        <w:spacing w:after="0" w:line="360" w:lineRule="auto"/>
        <w:rPr>
          <w:rFonts w:eastAsia="Palatino Linotype" w:cs="Palatino Linotype"/>
          <w:color w:val="000000"/>
          <w:lang w:eastAsia="es-MX"/>
        </w:rPr>
      </w:pPr>
      <w:r w:rsidRPr="009468E7">
        <w:rPr>
          <w:rFonts w:eastAsia="Palatino Linotype" w:cs="Palatino Linotype"/>
          <w:color w:val="0D0D0D"/>
          <w:lang w:eastAsia="es-MX"/>
        </w:rPr>
        <w:t>Sobre el tema, e</w:t>
      </w:r>
      <w:r w:rsidRPr="009468E7">
        <w:rPr>
          <w:rFonts w:eastAsia="Palatino Linotype" w:cs="Palatino Linotype"/>
          <w:color w:val="000000"/>
          <w:lang w:eastAsia="es-MX"/>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47537714" w14:textId="77777777" w:rsidR="005D0CA0" w:rsidRPr="009468E7" w:rsidRDefault="005D0CA0" w:rsidP="00BE7735">
      <w:pPr>
        <w:widowControl w:val="0"/>
        <w:spacing w:after="0" w:line="360" w:lineRule="auto"/>
        <w:rPr>
          <w:rFonts w:eastAsia="Calibri" w:cs="Tahoma"/>
          <w:color w:val="auto"/>
          <w:szCs w:val="24"/>
          <w:lang w:val="es-ES"/>
        </w:rPr>
      </w:pPr>
    </w:p>
    <w:p w14:paraId="680C19CC" w14:textId="16F25C44" w:rsidR="005D0CA0" w:rsidRPr="009468E7" w:rsidRDefault="005D0CA0" w:rsidP="00BE7735">
      <w:pPr>
        <w:widowControl w:val="0"/>
        <w:spacing w:after="0" w:line="360" w:lineRule="auto"/>
        <w:rPr>
          <w:rFonts w:eastAsia="Calibri" w:cs="Tahoma"/>
          <w:color w:val="auto"/>
          <w:szCs w:val="24"/>
          <w:lang w:val="es-ES"/>
        </w:rPr>
      </w:pPr>
      <w:r w:rsidRPr="009468E7">
        <w:rPr>
          <w:rFonts w:eastAsia="Calibri" w:cs="Tahoma"/>
          <w:color w:val="auto"/>
          <w:szCs w:val="24"/>
          <w:lang w:val="es-ES"/>
        </w:rPr>
        <w:t>Por tales motivos, se considera procedente entrar al fondo del presente asunto.</w:t>
      </w:r>
    </w:p>
    <w:p w14:paraId="334697A7" w14:textId="77777777" w:rsidR="005D0CA0" w:rsidRPr="009468E7" w:rsidRDefault="005D0CA0" w:rsidP="00BE7735">
      <w:pPr>
        <w:widowControl w:val="0"/>
        <w:spacing w:after="0" w:line="360" w:lineRule="auto"/>
        <w:rPr>
          <w:rFonts w:eastAsia="Calibri" w:cs="Tahoma"/>
          <w:color w:val="auto"/>
          <w:szCs w:val="24"/>
          <w:lang w:val="es-ES"/>
        </w:rPr>
      </w:pPr>
    </w:p>
    <w:p w14:paraId="27FE9796" w14:textId="77777777" w:rsidR="005D0CA0" w:rsidRPr="009468E7" w:rsidRDefault="005D0CA0" w:rsidP="00BE7735">
      <w:pPr>
        <w:keepNext/>
        <w:keepLines/>
        <w:spacing w:after="0" w:line="360" w:lineRule="auto"/>
        <w:jc w:val="left"/>
        <w:outlineLvl w:val="1"/>
        <w:rPr>
          <w:rFonts w:eastAsia="Palatino Linotype" w:cs="Palatino Linotype"/>
          <w:b/>
          <w:szCs w:val="36"/>
          <w:lang w:eastAsia="es-MX"/>
        </w:rPr>
      </w:pPr>
      <w:bookmarkStart w:id="2" w:name="_Toc179975603"/>
      <w:bookmarkStart w:id="3" w:name="_Toc187931507"/>
      <w:bookmarkStart w:id="4" w:name="_Toc206620334"/>
      <w:r w:rsidRPr="009468E7">
        <w:rPr>
          <w:rFonts w:eastAsia="Palatino Linotype" w:cs="Palatino Linotype"/>
          <w:b/>
          <w:szCs w:val="36"/>
          <w:lang w:eastAsia="es-MX"/>
        </w:rPr>
        <w:t>TERCERO. Determinación de la Controversia.</w:t>
      </w:r>
      <w:bookmarkEnd w:id="2"/>
      <w:bookmarkEnd w:id="3"/>
      <w:bookmarkEnd w:id="4"/>
      <w:r w:rsidRPr="009468E7">
        <w:rPr>
          <w:rFonts w:eastAsia="Palatino Linotype" w:cs="Palatino Linotype"/>
          <w:b/>
          <w:szCs w:val="36"/>
          <w:lang w:eastAsia="es-MX"/>
        </w:rPr>
        <w:t xml:space="preserve"> </w:t>
      </w:r>
    </w:p>
    <w:p w14:paraId="6D0A1F85" w14:textId="77777777" w:rsidR="005D0CA0" w:rsidRPr="009468E7" w:rsidRDefault="005D0CA0" w:rsidP="00BE7735">
      <w:pPr>
        <w:tabs>
          <w:tab w:val="left" w:pos="3563"/>
        </w:tabs>
        <w:spacing w:after="0" w:line="360" w:lineRule="auto"/>
        <w:rPr>
          <w:rFonts w:eastAsia="Palatino Linotype" w:cs="Palatino Linotype"/>
          <w:b/>
          <w:lang w:eastAsia="es-MX"/>
        </w:rPr>
      </w:pPr>
      <w:r w:rsidRPr="009468E7">
        <w:rPr>
          <w:rFonts w:eastAsia="Palatino Linotype" w:cs="Palatino Linotype"/>
          <w:b/>
          <w:lang w:eastAsia="es-MX"/>
        </w:rPr>
        <w:tab/>
      </w:r>
    </w:p>
    <w:p w14:paraId="609B5E87" w14:textId="77777777" w:rsidR="00BE7735" w:rsidRDefault="005D0CA0" w:rsidP="00BE7735">
      <w:pPr>
        <w:widowControl w:val="0"/>
        <w:spacing w:after="0" w:line="360" w:lineRule="auto"/>
        <w:rPr>
          <w:rFonts w:eastAsia="Palatino Linotype" w:cs="Palatino Linotype"/>
          <w:lang w:eastAsia="es-MX"/>
        </w:rPr>
      </w:pPr>
      <w:r w:rsidRPr="009468E7">
        <w:rPr>
          <w:rFonts w:eastAsia="Palatino Linotype" w:cs="Palatino Linotype"/>
          <w:lang w:eastAsia="es-MX"/>
        </w:rPr>
        <w:t>Una vez realizado el estudio de las constancias que integran el expediente en que se actúa, se desprende que el Recurrente requirió</w:t>
      </w:r>
      <w:r w:rsidR="007E32C2" w:rsidRPr="009468E7">
        <w:rPr>
          <w:rFonts w:eastAsia="Palatino Linotype" w:cs="Palatino Linotype"/>
          <w:lang w:eastAsia="es-MX"/>
        </w:rPr>
        <w:t xml:space="preserve"> </w:t>
      </w:r>
      <w:r w:rsidR="00BE7735">
        <w:rPr>
          <w:rFonts w:eastAsia="Palatino Linotype" w:cs="Palatino Linotype"/>
          <w:lang w:eastAsia="es-MX"/>
        </w:rPr>
        <w:t>lo siguiente:</w:t>
      </w:r>
    </w:p>
    <w:p w14:paraId="1198EA3D" w14:textId="77777777" w:rsidR="00BE7735" w:rsidRDefault="00BE7735" w:rsidP="00BE7735">
      <w:pPr>
        <w:widowControl w:val="0"/>
        <w:spacing w:after="0" w:line="360" w:lineRule="auto"/>
        <w:rPr>
          <w:rFonts w:eastAsia="Palatino Linotype" w:cs="Palatino Linotype"/>
          <w:lang w:eastAsia="es-MX"/>
        </w:rPr>
      </w:pPr>
    </w:p>
    <w:p w14:paraId="7182B9D6" w14:textId="629828A5" w:rsidR="00BE7735" w:rsidRDefault="00BE7735" w:rsidP="00BE7735">
      <w:pPr>
        <w:pStyle w:val="Prrafodelista"/>
        <w:widowControl w:val="0"/>
        <w:numPr>
          <w:ilvl w:val="0"/>
          <w:numId w:val="30"/>
        </w:numPr>
        <w:spacing w:line="360" w:lineRule="auto"/>
        <w:rPr>
          <w:rFonts w:eastAsia="Palatino Linotype" w:cs="Palatino Linotype"/>
          <w:lang w:eastAsia="es-MX"/>
        </w:rPr>
      </w:pPr>
      <w:r w:rsidRPr="00BE7735">
        <w:rPr>
          <w:rFonts w:eastAsia="Palatino Linotype" w:cs="Palatino Linotype"/>
          <w:lang w:eastAsia="es-MX"/>
        </w:rPr>
        <w:lastRenderedPageBreak/>
        <w:t>La</w:t>
      </w:r>
      <w:r w:rsidR="00D05BF1" w:rsidRPr="00BE7735">
        <w:rPr>
          <w:rFonts w:eastAsia="Palatino Linotype" w:cs="Palatino Linotype"/>
          <w:lang w:eastAsia="es-MX"/>
        </w:rPr>
        <w:t xml:space="preserve"> nómina de la</w:t>
      </w:r>
      <w:r>
        <w:rPr>
          <w:rFonts w:eastAsia="Palatino Linotype" w:cs="Palatino Linotype"/>
          <w:lang w:eastAsia="es-MX"/>
        </w:rPr>
        <w:t xml:space="preserve"> primera quincena de enero a la</w:t>
      </w:r>
      <w:r w:rsidR="00D05BF1" w:rsidRPr="00BE7735">
        <w:rPr>
          <w:rFonts w:eastAsia="Palatino Linotype" w:cs="Palatino Linotype"/>
          <w:lang w:eastAsia="es-MX"/>
        </w:rPr>
        <w:t xml:space="preserve"> primera</w:t>
      </w:r>
      <w:r w:rsidR="00266C7D" w:rsidRPr="00BE7735">
        <w:rPr>
          <w:rFonts w:eastAsia="Palatino Linotype" w:cs="Palatino Linotype"/>
          <w:lang w:eastAsia="es-MX"/>
        </w:rPr>
        <w:t xml:space="preserve"> de febrero de dos mil veinticinco, así como los recibos de nómina </w:t>
      </w:r>
      <w:r>
        <w:rPr>
          <w:rFonts w:eastAsia="Palatino Linotype" w:cs="Palatino Linotype"/>
          <w:lang w:eastAsia="es-MX"/>
        </w:rPr>
        <w:t>de todos los servidores públicos, y</w:t>
      </w:r>
    </w:p>
    <w:p w14:paraId="5443042D" w14:textId="77777777" w:rsidR="00BE7735" w:rsidRDefault="00BE7735" w:rsidP="00BE7735">
      <w:pPr>
        <w:pStyle w:val="Prrafodelista"/>
        <w:widowControl w:val="0"/>
        <w:spacing w:line="360" w:lineRule="auto"/>
        <w:rPr>
          <w:rFonts w:eastAsia="Palatino Linotype" w:cs="Palatino Linotype"/>
          <w:lang w:eastAsia="es-MX"/>
        </w:rPr>
      </w:pPr>
    </w:p>
    <w:p w14:paraId="363C2780" w14:textId="32594398" w:rsidR="00BE7735" w:rsidRPr="00BE7735" w:rsidRDefault="00BE7735" w:rsidP="00BE7735">
      <w:pPr>
        <w:pStyle w:val="Prrafodelista"/>
        <w:widowControl w:val="0"/>
        <w:numPr>
          <w:ilvl w:val="0"/>
          <w:numId w:val="30"/>
        </w:numPr>
        <w:spacing w:line="360" w:lineRule="auto"/>
        <w:rPr>
          <w:rFonts w:eastAsia="Palatino Linotype" w:cs="Palatino Linotype"/>
          <w:lang w:eastAsia="es-MX"/>
        </w:rPr>
      </w:pPr>
      <w:r>
        <w:rPr>
          <w:rFonts w:eastAsia="Palatino Linotype" w:cs="Palatino Linotype"/>
          <w:lang w:eastAsia="es-MX"/>
        </w:rPr>
        <w:t xml:space="preserve">El </w:t>
      </w:r>
      <w:r w:rsidR="00266C7D" w:rsidRPr="00BE7735">
        <w:rPr>
          <w:rFonts w:eastAsia="Palatino Linotype" w:cs="Palatino Linotype"/>
          <w:i/>
          <w:iCs/>
          <w:lang w:eastAsia="es-MX"/>
        </w:rPr>
        <w:t>curr</w:t>
      </w:r>
      <w:r w:rsidRPr="00BE7735">
        <w:rPr>
          <w:rFonts w:eastAsia="Palatino Linotype" w:cs="Palatino Linotype"/>
          <w:i/>
          <w:iCs/>
          <w:lang w:eastAsia="es-MX"/>
        </w:rPr>
        <w:t>í</w:t>
      </w:r>
      <w:r w:rsidR="00266C7D" w:rsidRPr="00BE7735">
        <w:rPr>
          <w:rFonts w:eastAsia="Palatino Linotype" w:cs="Palatino Linotype"/>
          <w:i/>
          <w:iCs/>
          <w:lang w:eastAsia="es-MX"/>
        </w:rPr>
        <w:t>culum vitae</w:t>
      </w:r>
      <w:r>
        <w:rPr>
          <w:rFonts w:eastAsia="Palatino Linotype" w:cs="Palatino Linotype"/>
          <w:i/>
          <w:iCs/>
          <w:lang w:eastAsia="es-MX"/>
        </w:rPr>
        <w:t xml:space="preserve"> </w:t>
      </w:r>
      <w:r>
        <w:rPr>
          <w:rFonts w:eastAsia="Palatino Linotype" w:cs="Palatino Linotype"/>
          <w:lang w:eastAsia="es-MX"/>
        </w:rPr>
        <w:t xml:space="preserve">y </w:t>
      </w:r>
      <w:r w:rsidR="00266C7D" w:rsidRPr="00BE7735">
        <w:rPr>
          <w:rFonts w:eastAsia="Palatino Linotype" w:cs="Palatino Linotype"/>
          <w:lang w:eastAsia="es-MX"/>
        </w:rPr>
        <w:t>comprobante de</w:t>
      </w:r>
      <w:r>
        <w:rPr>
          <w:rFonts w:eastAsia="Palatino Linotype" w:cs="Palatino Linotype"/>
          <w:lang w:eastAsia="es-MX"/>
        </w:rPr>
        <w:t>l último grado o nivel de</w:t>
      </w:r>
      <w:r w:rsidR="00266C7D" w:rsidRPr="00BE7735">
        <w:rPr>
          <w:rFonts w:eastAsia="Palatino Linotype" w:cs="Palatino Linotype"/>
          <w:lang w:eastAsia="es-MX"/>
        </w:rPr>
        <w:t xml:space="preserve"> estudios de todos los servidores públicos</w:t>
      </w:r>
      <w:r w:rsidR="00B25AFC" w:rsidRPr="00BE7735">
        <w:rPr>
          <w:rFonts w:eastAsia="Palatino Linotype" w:cs="Palatino Linotype"/>
          <w:lang w:eastAsia="es-MX"/>
        </w:rPr>
        <w:t>.</w:t>
      </w:r>
      <w:r w:rsidR="009468E7" w:rsidRPr="00BE7735">
        <w:rPr>
          <w:rFonts w:eastAsia="Palatino Linotype" w:cs="Palatino Linotype"/>
          <w:lang w:eastAsia="es-MX"/>
        </w:rPr>
        <w:t xml:space="preserve"> </w:t>
      </w:r>
    </w:p>
    <w:p w14:paraId="4DF55927" w14:textId="77777777" w:rsidR="00BE7735" w:rsidRDefault="00BE7735" w:rsidP="00BE7735">
      <w:pPr>
        <w:widowControl w:val="0"/>
        <w:spacing w:after="0" w:line="360" w:lineRule="auto"/>
        <w:rPr>
          <w:rFonts w:eastAsia="Palatino Linotype" w:cs="Palatino Linotype"/>
          <w:lang w:eastAsia="es-MX"/>
        </w:rPr>
      </w:pPr>
    </w:p>
    <w:p w14:paraId="245F42DF" w14:textId="025C1D95" w:rsidR="0059335B" w:rsidRPr="009468E7" w:rsidRDefault="0059335B" w:rsidP="00BE7735">
      <w:pPr>
        <w:widowControl w:val="0"/>
        <w:spacing w:after="0" w:line="360" w:lineRule="auto"/>
        <w:rPr>
          <w:rFonts w:eastAsia="Palatino Linotype" w:cs="Palatino Linotype"/>
          <w:lang w:eastAsia="es-MX"/>
        </w:rPr>
      </w:pPr>
      <w:r w:rsidRPr="009468E7">
        <w:rPr>
          <w:rFonts w:eastAsia="Palatino Linotype" w:cs="Palatino Linotype"/>
          <w:lang w:eastAsia="es-MX"/>
        </w:rPr>
        <w:t xml:space="preserve">En respuesta, el Sujeto Obligado </w:t>
      </w:r>
      <w:r w:rsidR="00B25AFC" w:rsidRPr="009468E7">
        <w:rPr>
          <w:rFonts w:eastAsia="Palatino Linotype" w:cs="Palatino Linotype"/>
          <w:lang w:eastAsia="es-MX"/>
        </w:rPr>
        <w:t xml:space="preserve">remitió veinte </w:t>
      </w:r>
      <w:r w:rsidR="00BE7735">
        <w:rPr>
          <w:rFonts w:eastAsia="Palatino Linotype" w:cs="Palatino Linotype"/>
          <w:lang w:eastAsia="es-MX"/>
        </w:rPr>
        <w:t>fichas curriculares</w:t>
      </w:r>
      <w:r w:rsidR="00B25AFC" w:rsidRPr="009468E7">
        <w:rPr>
          <w:rFonts w:eastAsia="Palatino Linotype" w:cs="Palatino Linotype"/>
          <w:lang w:eastAsia="es-MX"/>
        </w:rPr>
        <w:t xml:space="preserve"> de personal del DIF y comunicó en relación con la nómina y los recibos de nómina,</w:t>
      </w:r>
      <w:r w:rsidR="009468E7" w:rsidRPr="009468E7">
        <w:rPr>
          <w:rFonts w:eastAsia="Palatino Linotype" w:cs="Palatino Linotype"/>
          <w:lang w:eastAsia="es-MX"/>
        </w:rPr>
        <w:t xml:space="preserve"> que</w:t>
      </w:r>
      <w:r w:rsidR="00B25AFC" w:rsidRPr="009468E7">
        <w:rPr>
          <w:rFonts w:eastAsia="Palatino Linotype" w:cs="Palatino Linotype"/>
          <w:lang w:eastAsia="es-MX"/>
        </w:rPr>
        <w:t xml:space="preserve"> ponía a disposición del solicitante la </w:t>
      </w:r>
      <w:r w:rsidR="009468E7" w:rsidRPr="009468E7">
        <w:rPr>
          <w:rFonts w:eastAsia="Palatino Linotype" w:cs="Palatino Linotype"/>
          <w:lang w:eastAsia="es-MX"/>
        </w:rPr>
        <w:t>información en consulta directa</w:t>
      </w:r>
      <w:r w:rsidRPr="009468E7">
        <w:rPr>
          <w:rFonts w:eastAsia="Palatino Linotype" w:cs="Palatino Linotype"/>
          <w:lang w:eastAsia="es-MX"/>
        </w:rPr>
        <w:t xml:space="preserve">; ante dicha respuesta, el Particular, se inconformó de la entrega de información </w:t>
      </w:r>
      <w:r w:rsidR="00577785" w:rsidRPr="009468E7">
        <w:rPr>
          <w:rFonts w:eastAsia="Palatino Linotype" w:cs="Palatino Linotype"/>
          <w:lang w:eastAsia="es-MX"/>
        </w:rPr>
        <w:t xml:space="preserve">incompleta, </w:t>
      </w:r>
      <w:r w:rsidRPr="009468E7">
        <w:rPr>
          <w:rFonts w:eastAsia="Palatino Linotype" w:cs="Palatino Linotype"/>
          <w:lang w:eastAsia="es-MX"/>
        </w:rPr>
        <w:t xml:space="preserve">lo cual actualiza el supuesto previsto en el artículo 179, fracción </w:t>
      </w:r>
      <w:r w:rsidR="007402CB" w:rsidRPr="009468E7">
        <w:rPr>
          <w:rFonts w:eastAsia="Palatino Linotype" w:cs="Palatino Linotype"/>
          <w:lang w:eastAsia="es-MX"/>
        </w:rPr>
        <w:t>V</w:t>
      </w:r>
      <w:r w:rsidRPr="009468E7">
        <w:rPr>
          <w:rFonts w:eastAsia="Palatino Linotype" w:cs="Palatino Linotype"/>
          <w:lang w:eastAsia="es-MX"/>
        </w:rPr>
        <w:t xml:space="preserve">, de la Ley de Transparencia y Acceso a la Información Pública del Estado de México y Municipios. Así las cosas, una vez admitido y notificado el Recurso de Revisión a las partes, el Sujeto Obligado </w:t>
      </w:r>
      <w:r w:rsidR="007F480F" w:rsidRPr="009468E7">
        <w:rPr>
          <w:rFonts w:eastAsia="Palatino Linotype" w:cs="Palatino Linotype"/>
          <w:lang w:eastAsia="es-MX"/>
        </w:rPr>
        <w:t xml:space="preserve">ratificó su respuesta. </w:t>
      </w:r>
    </w:p>
    <w:p w14:paraId="4CF69752" w14:textId="77777777" w:rsidR="00DF7357" w:rsidRPr="009468E7" w:rsidRDefault="00DF7357" w:rsidP="00BE7735">
      <w:pPr>
        <w:spacing w:after="0" w:line="360" w:lineRule="auto"/>
        <w:rPr>
          <w:rFonts w:eastAsia="Palatino Linotype" w:cs="Palatino Linotype"/>
          <w:lang w:eastAsia="es-MX"/>
        </w:rPr>
      </w:pPr>
    </w:p>
    <w:p w14:paraId="77E9D643" w14:textId="77777777" w:rsidR="0059335B" w:rsidRPr="009468E7" w:rsidRDefault="0059335B" w:rsidP="00BE7735">
      <w:pPr>
        <w:tabs>
          <w:tab w:val="left" w:pos="4962"/>
        </w:tabs>
        <w:spacing w:after="0" w:line="360" w:lineRule="auto"/>
        <w:rPr>
          <w:rFonts w:eastAsia="Palatino Linotype" w:cs="Palatino Linotype"/>
          <w:lang w:eastAsia="es-MX"/>
        </w:rPr>
      </w:pPr>
      <w:r w:rsidRPr="009468E7">
        <w:rPr>
          <w:rFonts w:eastAsia="Palatino Linotype" w:cs="Palatino Linotype"/>
          <w:lang w:eastAsia="es-MX"/>
        </w:rPr>
        <w:t xml:space="preserve">Lo anterior, se desprende de las documentales que obran en el expediente de referencia, materia de la presente resolución, consistente en: la solicitud de acceso a la información, la respuesta y el escrito </w:t>
      </w:r>
      <w:proofErr w:type="spellStart"/>
      <w:r w:rsidRPr="009468E7">
        <w:rPr>
          <w:rFonts w:eastAsia="Palatino Linotype" w:cs="Palatino Linotype"/>
          <w:lang w:eastAsia="es-MX"/>
        </w:rPr>
        <w:t>recursal</w:t>
      </w:r>
      <w:proofErr w:type="spellEnd"/>
      <w:r w:rsidRPr="009468E7">
        <w:rPr>
          <w:rFonts w:eastAsia="Palatino Linotype" w:cs="Palatino Linotype"/>
          <w:lang w:eastAsia="es-MX"/>
        </w:rP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536F76B2" w14:textId="7B2AA5FD" w:rsidR="00CA5C1A" w:rsidRPr="009468E7" w:rsidRDefault="00CA5C1A" w:rsidP="00BE7735">
      <w:pPr>
        <w:spacing w:after="0" w:line="360" w:lineRule="auto"/>
        <w:rPr>
          <w:bCs/>
          <w:color w:val="FF0000"/>
        </w:rPr>
      </w:pPr>
    </w:p>
    <w:p w14:paraId="1A8CEC51" w14:textId="77777777" w:rsidR="00DF7357" w:rsidRPr="009468E7" w:rsidRDefault="00DF7357" w:rsidP="00BE7735">
      <w:pPr>
        <w:keepNext/>
        <w:keepLines/>
        <w:spacing w:after="0" w:line="360" w:lineRule="auto"/>
        <w:outlineLvl w:val="1"/>
        <w:rPr>
          <w:rFonts w:eastAsia="Palatino Linotype" w:cs="Palatino Linotype"/>
          <w:b/>
          <w:szCs w:val="36"/>
          <w:lang w:eastAsia="es-MX"/>
        </w:rPr>
      </w:pPr>
      <w:bookmarkStart w:id="5" w:name="_Toc179975604"/>
      <w:bookmarkStart w:id="6" w:name="_Toc187931508"/>
      <w:bookmarkStart w:id="7" w:name="_Toc206620335"/>
      <w:r w:rsidRPr="009468E7">
        <w:rPr>
          <w:rFonts w:eastAsia="Palatino Linotype" w:cs="Palatino Linotype"/>
          <w:b/>
          <w:szCs w:val="36"/>
          <w:lang w:eastAsia="es-MX"/>
        </w:rPr>
        <w:t>CUARTO. Marco normativo aplicable en materia de transparencia y acceso a la información pública</w:t>
      </w:r>
      <w:bookmarkEnd w:id="5"/>
      <w:bookmarkEnd w:id="6"/>
      <w:bookmarkEnd w:id="7"/>
    </w:p>
    <w:p w14:paraId="2B52A1F7" w14:textId="77777777" w:rsidR="00DF7357" w:rsidRPr="009468E7" w:rsidRDefault="00DF7357" w:rsidP="00BE7735">
      <w:pPr>
        <w:spacing w:after="0" w:line="360" w:lineRule="auto"/>
        <w:rPr>
          <w:rFonts w:eastAsia="Palatino Linotype" w:cs="Palatino Linotype"/>
          <w:color w:val="000000"/>
          <w:lang w:eastAsia="es-MX"/>
        </w:rPr>
      </w:pPr>
    </w:p>
    <w:p w14:paraId="1C1C3F99" w14:textId="77777777" w:rsidR="00DF7357" w:rsidRPr="009468E7" w:rsidRDefault="00DF7357" w:rsidP="00BE7735">
      <w:pPr>
        <w:spacing w:after="0" w:line="360" w:lineRule="auto"/>
        <w:rPr>
          <w:rFonts w:eastAsia="Palatino Linotype" w:cs="Palatino Linotype"/>
          <w:color w:val="000000"/>
          <w:lang w:eastAsia="es-MX"/>
        </w:rPr>
      </w:pPr>
      <w:r w:rsidRPr="009468E7">
        <w:rPr>
          <w:rFonts w:eastAsia="Palatino Linotype" w:cs="Palatino Linotype"/>
          <w:color w:val="000000"/>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2C09346" w14:textId="77777777" w:rsidR="00DF7357" w:rsidRPr="009468E7" w:rsidRDefault="00DF7357" w:rsidP="00BE7735">
      <w:pPr>
        <w:spacing w:after="0" w:line="360" w:lineRule="auto"/>
        <w:rPr>
          <w:rFonts w:eastAsia="Palatino Linotype" w:cs="Palatino Linotype"/>
          <w:color w:val="000000"/>
          <w:lang w:eastAsia="es-MX"/>
        </w:rPr>
      </w:pPr>
    </w:p>
    <w:p w14:paraId="30DE8ADF" w14:textId="77777777" w:rsidR="00DF7357" w:rsidRPr="009468E7" w:rsidRDefault="00DF7357" w:rsidP="00BE7735">
      <w:pPr>
        <w:spacing w:after="0" w:line="360" w:lineRule="auto"/>
        <w:rPr>
          <w:rFonts w:eastAsia="Palatino Linotype" w:cs="Palatino Linotype"/>
          <w:color w:val="000000"/>
          <w:lang w:eastAsia="es-MX"/>
        </w:rPr>
      </w:pPr>
      <w:r w:rsidRPr="009468E7">
        <w:rPr>
          <w:rFonts w:eastAsia="Palatino Linotype" w:cs="Palatino Linotype"/>
          <w:color w:val="000000"/>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64824775" w14:textId="77777777" w:rsidR="00DF7357" w:rsidRPr="009468E7" w:rsidRDefault="00DF7357" w:rsidP="00BE7735">
      <w:pPr>
        <w:spacing w:after="0" w:line="360" w:lineRule="auto"/>
        <w:rPr>
          <w:rFonts w:eastAsia="Palatino Linotype" w:cs="Palatino Linotype"/>
          <w:color w:val="000000"/>
          <w:lang w:eastAsia="es-MX"/>
        </w:rPr>
      </w:pPr>
    </w:p>
    <w:p w14:paraId="74FC380E" w14:textId="77777777" w:rsidR="00DF7357" w:rsidRPr="009468E7" w:rsidRDefault="00DF7357" w:rsidP="00BE7735">
      <w:pPr>
        <w:spacing w:after="0" w:line="360" w:lineRule="auto"/>
        <w:rPr>
          <w:rFonts w:eastAsia="Palatino Linotype" w:cs="Palatino Linotype"/>
          <w:color w:val="000000"/>
          <w:lang w:eastAsia="es-MX"/>
        </w:rPr>
      </w:pPr>
      <w:r w:rsidRPr="009468E7">
        <w:rPr>
          <w:rFonts w:eastAsia="Palatino Linotype" w:cs="Palatino Linotype"/>
          <w:color w:val="000000"/>
          <w:lang w:eastAsia="es-MX"/>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AFF6827" w14:textId="77777777" w:rsidR="00DF7357" w:rsidRPr="009468E7" w:rsidRDefault="00DF7357" w:rsidP="00BE7735">
      <w:pPr>
        <w:spacing w:after="0" w:line="360" w:lineRule="auto"/>
        <w:rPr>
          <w:rFonts w:eastAsia="Palatino Linotype" w:cs="Palatino Linotype"/>
          <w:color w:val="000000"/>
          <w:lang w:eastAsia="es-MX"/>
        </w:rPr>
      </w:pPr>
    </w:p>
    <w:p w14:paraId="034B4569" w14:textId="77777777" w:rsidR="00DF7357" w:rsidRPr="009468E7" w:rsidRDefault="00DF7357" w:rsidP="00BE7735">
      <w:pPr>
        <w:spacing w:after="0" w:line="360" w:lineRule="auto"/>
        <w:rPr>
          <w:rFonts w:eastAsia="Palatino Linotype" w:cs="Palatino Linotype"/>
          <w:color w:val="000000"/>
          <w:lang w:eastAsia="es-MX"/>
        </w:rPr>
      </w:pPr>
      <w:r w:rsidRPr="009468E7">
        <w:rPr>
          <w:rFonts w:eastAsia="Palatino Linotype" w:cs="Palatino Linotype"/>
          <w:color w:val="000000"/>
          <w:lang w:eastAsia="es-MX"/>
        </w:rPr>
        <w:t>Por su parte, la Ley de Transparencia y Acceso a la Información Pública del Estado de México y Municipios (Reglamentaria del artículo 5° de la Constitución Local), establece lo siguiente:</w:t>
      </w:r>
    </w:p>
    <w:p w14:paraId="79B28B2F" w14:textId="77777777" w:rsidR="00DF7357" w:rsidRPr="009468E7" w:rsidRDefault="00DF7357" w:rsidP="00BE7735">
      <w:pPr>
        <w:spacing w:after="0" w:line="360" w:lineRule="auto"/>
        <w:rPr>
          <w:rFonts w:eastAsia="Palatino Linotype" w:cs="Palatino Linotype"/>
          <w:color w:val="000000"/>
          <w:lang w:eastAsia="es-MX"/>
        </w:rPr>
      </w:pPr>
    </w:p>
    <w:p w14:paraId="51927333" w14:textId="77777777" w:rsidR="00DF7357" w:rsidRPr="009468E7" w:rsidRDefault="00DF7357" w:rsidP="00BE7735">
      <w:pPr>
        <w:spacing w:after="0" w:line="360" w:lineRule="auto"/>
        <w:rPr>
          <w:rFonts w:eastAsia="Palatino Linotype" w:cs="Palatino Linotype"/>
          <w:color w:val="000000"/>
          <w:lang w:eastAsia="es-MX"/>
        </w:rPr>
      </w:pPr>
      <w:r w:rsidRPr="009468E7">
        <w:rPr>
          <w:rFonts w:eastAsia="Palatino Linotype" w:cs="Palatino Linotype"/>
          <w:color w:val="000000"/>
          <w:lang w:eastAsia="es-MX"/>
        </w:rPr>
        <w:t>El artículo 12, que, quienes generen, recopilen, administren, manejen, procesen, archiven o conserven información pública serán responsables de la misma.</w:t>
      </w:r>
    </w:p>
    <w:p w14:paraId="7A5A564C" w14:textId="77777777" w:rsidR="00DF7357" w:rsidRPr="009468E7" w:rsidRDefault="00DF7357" w:rsidP="00BE7735">
      <w:pPr>
        <w:spacing w:after="0" w:line="360" w:lineRule="auto"/>
        <w:rPr>
          <w:rFonts w:eastAsia="Palatino Linotype" w:cs="Palatino Linotype"/>
          <w:color w:val="000000"/>
          <w:lang w:eastAsia="es-MX"/>
        </w:rPr>
      </w:pPr>
    </w:p>
    <w:p w14:paraId="76AD9B97" w14:textId="77777777" w:rsidR="00DF7357" w:rsidRPr="009468E7" w:rsidRDefault="00DF7357" w:rsidP="00BE7735">
      <w:pPr>
        <w:widowControl w:val="0"/>
        <w:spacing w:after="0" w:line="360" w:lineRule="auto"/>
        <w:rPr>
          <w:rFonts w:eastAsia="Palatino Linotype" w:cs="Palatino Linotype"/>
          <w:color w:val="000000"/>
          <w:lang w:eastAsia="es-MX"/>
        </w:rPr>
      </w:pPr>
      <w:r w:rsidRPr="009468E7">
        <w:rPr>
          <w:rFonts w:eastAsia="Palatino Linotype" w:cs="Palatino Linotype"/>
          <w:color w:val="000000"/>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7D36E4F7" w14:textId="77777777" w:rsidR="00DF7357" w:rsidRPr="009468E7" w:rsidRDefault="00DF7357" w:rsidP="00BE7735">
      <w:pPr>
        <w:spacing w:after="0" w:line="360" w:lineRule="auto"/>
        <w:rPr>
          <w:rFonts w:eastAsia="Palatino Linotype" w:cs="Palatino Linotype"/>
          <w:color w:val="000000"/>
          <w:lang w:eastAsia="es-MX"/>
        </w:rPr>
      </w:pPr>
    </w:p>
    <w:p w14:paraId="3DFAD456" w14:textId="77777777" w:rsidR="00DF7357" w:rsidRPr="009468E7" w:rsidRDefault="00DF7357" w:rsidP="00BE7735">
      <w:pPr>
        <w:spacing w:after="0" w:line="360" w:lineRule="auto"/>
        <w:rPr>
          <w:rFonts w:eastAsia="Palatino Linotype" w:cs="Palatino Linotype"/>
          <w:color w:val="000000"/>
          <w:lang w:eastAsia="es-MX"/>
        </w:rPr>
      </w:pPr>
      <w:r w:rsidRPr="009468E7">
        <w:rPr>
          <w:rFonts w:eastAsia="Palatino Linotype" w:cs="Palatino Linotype"/>
          <w:color w:val="000000"/>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983B04F" w14:textId="77777777" w:rsidR="00DF7357" w:rsidRPr="009468E7" w:rsidRDefault="00DF7357" w:rsidP="00BE7735">
      <w:pPr>
        <w:spacing w:after="0" w:line="360" w:lineRule="auto"/>
        <w:rPr>
          <w:rFonts w:eastAsia="Palatino Linotype" w:cs="Palatino Linotype"/>
          <w:lang w:eastAsia="es-MX"/>
        </w:rPr>
      </w:pPr>
    </w:p>
    <w:p w14:paraId="4A538FA5" w14:textId="77777777" w:rsidR="00DF7357" w:rsidRPr="009468E7" w:rsidRDefault="00DF7357" w:rsidP="00BE7735">
      <w:pPr>
        <w:keepNext/>
        <w:keepLines/>
        <w:spacing w:after="0" w:line="360" w:lineRule="auto"/>
        <w:jc w:val="left"/>
        <w:outlineLvl w:val="1"/>
        <w:rPr>
          <w:rFonts w:eastAsia="Palatino Linotype" w:cs="Palatino Linotype"/>
          <w:b/>
          <w:szCs w:val="36"/>
          <w:lang w:eastAsia="es-MX"/>
        </w:rPr>
      </w:pPr>
      <w:bookmarkStart w:id="8" w:name="_Toc179975605"/>
      <w:bookmarkStart w:id="9" w:name="_Toc187931509"/>
      <w:bookmarkStart w:id="10" w:name="_Toc206620336"/>
      <w:r w:rsidRPr="009468E7">
        <w:rPr>
          <w:rFonts w:eastAsia="Palatino Linotype" w:cs="Palatino Linotype"/>
          <w:b/>
          <w:caps/>
          <w:szCs w:val="36"/>
          <w:lang w:eastAsia="es-MX"/>
        </w:rPr>
        <w:lastRenderedPageBreak/>
        <w:t>Quinto.</w:t>
      </w:r>
      <w:r w:rsidRPr="009468E7">
        <w:rPr>
          <w:rFonts w:eastAsia="Palatino Linotype" w:cs="Palatino Linotype"/>
          <w:b/>
          <w:szCs w:val="36"/>
          <w:lang w:eastAsia="es-MX"/>
        </w:rPr>
        <w:t xml:space="preserve"> Estudio de Fondo</w:t>
      </w:r>
      <w:bookmarkEnd w:id="8"/>
      <w:bookmarkEnd w:id="9"/>
      <w:bookmarkEnd w:id="10"/>
    </w:p>
    <w:p w14:paraId="5C0FAD21" w14:textId="77777777" w:rsidR="00DF7357" w:rsidRPr="009468E7" w:rsidRDefault="00DF7357" w:rsidP="00BE7735">
      <w:pPr>
        <w:keepNext/>
        <w:keepLines/>
        <w:spacing w:after="0" w:line="360" w:lineRule="auto"/>
        <w:jc w:val="left"/>
        <w:outlineLvl w:val="1"/>
        <w:rPr>
          <w:rFonts w:eastAsia="Palatino Linotype" w:cs="Palatino Linotype"/>
          <w:b/>
          <w:szCs w:val="36"/>
          <w:lang w:eastAsia="es-MX"/>
        </w:rPr>
      </w:pPr>
    </w:p>
    <w:p w14:paraId="112737BF" w14:textId="2429529E" w:rsidR="00CA5C1A" w:rsidRPr="009468E7" w:rsidRDefault="00CA5C1A" w:rsidP="00BE7735">
      <w:pPr>
        <w:spacing w:after="0" w:line="360" w:lineRule="auto"/>
        <w:rPr>
          <w:rFonts w:eastAsia="Times New Roman" w:cs="Tahoma"/>
          <w:bCs/>
          <w:iCs/>
          <w:color w:val="auto"/>
          <w:lang w:eastAsia="es-ES"/>
        </w:rPr>
      </w:pPr>
      <w:r w:rsidRPr="009468E7">
        <w:rPr>
          <w:rFonts w:eastAsia="Times New Roman" w:cs="Tahoma"/>
          <w:bCs/>
          <w:iCs/>
          <w:color w:val="auto"/>
          <w:lang w:eastAsia="es-ES"/>
        </w:rPr>
        <w:t xml:space="preserve">Expuesto lo anterior, se </w:t>
      </w:r>
      <w:r w:rsidRPr="00852131">
        <w:rPr>
          <w:rFonts w:eastAsia="Times New Roman" w:cs="Tahoma"/>
          <w:bCs/>
          <w:iCs/>
          <w:color w:val="auto"/>
          <w:lang w:eastAsia="es-ES"/>
        </w:rPr>
        <w:t>procede al análisis del agravio hecho valer por el ahora Recurrente, concerniente a la</w:t>
      </w:r>
      <w:r w:rsidR="00F345E8" w:rsidRPr="00852131">
        <w:rPr>
          <w:rFonts w:eastAsia="Times New Roman" w:cs="Tahoma"/>
          <w:bCs/>
          <w:iCs/>
          <w:color w:val="auto"/>
          <w:lang w:eastAsia="es-ES"/>
        </w:rPr>
        <w:t xml:space="preserve"> </w:t>
      </w:r>
      <w:r w:rsidR="00D77DD2" w:rsidRPr="00852131">
        <w:rPr>
          <w:rFonts w:eastAsia="Times New Roman" w:cs="Tahoma"/>
          <w:bCs/>
          <w:iCs/>
          <w:color w:val="auto"/>
          <w:lang w:eastAsia="es-ES"/>
        </w:rPr>
        <w:t xml:space="preserve">entrega de información </w:t>
      </w:r>
      <w:r w:rsidR="00B666E3" w:rsidRPr="00852131">
        <w:rPr>
          <w:rFonts w:eastAsia="Times New Roman" w:cs="Tahoma"/>
          <w:bCs/>
          <w:iCs/>
          <w:color w:val="auto"/>
          <w:lang w:eastAsia="es-ES"/>
        </w:rPr>
        <w:t>incompleta</w:t>
      </w:r>
      <w:r w:rsidR="00D77DD2" w:rsidRPr="00852131">
        <w:rPr>
          <w:rFonts w:eastAsia="Times New Roman" w:cs="Tahoma"/>
          <w:bCs/>
          <w:iCs/>
          <w:color w:val="auto"/>
          <w:lang w:eastAsia="es-ES"/>
        </w:rPr>
        <w:t xml:space="preserve">; </w:t>
      </w:r>
      <w:r w:rsidRPr="00852131">
        <w:rPr>
          <w:rFonts w:eastAsia="Times New Roman" w:cs="Tahoma"/>
          <w:bCs/>
          <w:iCs/>
          <w:color w:val="auto"/>
          <w:lang w:eastAsia="es-ES"/>
        </w:rPr>
        <w:t>por lo que, en principio es necesario contextualizar la solicitud de información.</w:t>
      </w:r>
    </w:p>
    <w:p w14:paraId="22537BCC" w14:textId="77777777" w:rsidR="0067459C" w:rsidRDefault="0067459C" w:rsidP="00BE7735">
      <w:pPr>
        <w:spacing w:after="0" w:line="360" w:lineRule="auto"/>
        <w:rPr>
          <w:rFonts w:eastAsia="Times New Roman" w:cs="Tahoma"/>
          <w:bCs/>
          <w:iCs/>
          <w:color w:val="auto"/>
          <w:lang w:eastAsia="es-ES"/>
        </w:rPr>
      </w:pPr>
    </w:p>
    <w:p w14:paraId="0E3DB574" w14:textId="77777777" w:rsidR="00991507" w:rsidRPr="00991507" w:rsidRDefault="00991507" w:rsidP="00BE7735">
      <w:pPr>
        <w:spacing w:after="0" w:line="360" w:lineRule="auto"/>
        <w:rPr>
          <w:rFonts w:eastAsia="Calibri" w:cs="Times New Roman"/>
          <w:bCs/>
          <w:color w:val="000000"/>
        </w:rPr>
      </w:pPr>
      <w:r w:rsidRPr="00991507">
        <w:rPr>
          <w:rFonts w:eastAsia="Calibri" w:cs="Tahoma"/>
          <w:iCs/>
          <w:color w:val="auto"/>
          <w:lang w:val="es-ES" w:eastAsia="es-MX"/>
        </w:rPr>
        <w:t xml:space="preserve">Al respecto, resulta </w:t>
      </w:r>
      <w:r w:rsidRPr="00991507">
        <w:rPr>
          <w:rFonts w:eastAsia="Calibri" w:cs="Times New Roman"/>
          <w:bCs/>
          <w:color w:val="000000"/>
          <w:lang w:val="es-ES"/>
        </w:rPr>
        <w:t>necesario</w:t>
      </w:r>
      <w:r w:rsidRPr="00991507">
        <w:rPr>
          <w:rFonts w:eastAsia="Calibri" w:cs="Times New Roman"/>
          <w:bCs/>
          <w:color w:val="000000"/>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7066D0D8" w14:textId="77777777" w:rsidR="00991507" w:rsidRPr="00991507" w:rsidRDefault="00991507" w:rsidP="00BE7735">
      <w:pPr>
        <w:spacing w:after="0" w:line="360" w:lineRule="auto"/>
        <w:rPr>
          <w:rFonts w:eastAsia="Calibri" w:cs="Times New Roman"/>
          <w:color w:val="000000"/>
        </w:rPr>
      </w:pPr>
    </w:p>
    <w:p w14:paraId="3366E708" w14:textId="77777777" w:rsidR="00991507" w:rsidRPr="00991507" w:rsidRDefault="00991507" w:rsidP="00BE7735">
      <w:pPr>
        <w:spacing w:after="0" w:line="360" w:lineRule="auto"/>
        <w:rPr>
          <w:rFonts w:eastAsia="Calibri" w:cs="Times New Roman"/>
          <w:bCs/>
          <w:color w:val="000000"/>
        </w:rPr>
      </w:pPr>
      <w:r w:rsidRPr="00991507">
        <w:rPr>
          <w:rFonts w:eastAsia="Calibri" w:cs="Times New Roman"/>
          <w:bCs/>
          <w:color w:val="000000"/>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DB9DB6D" w14:textId="77777777" w:rsidR="00991507" w:rsidRPr="00991507" w:rsidRDefault="00991507" w:rsidP="00BE7735">
      <w:pPr>
        <w:spacing w:after="0" w:line="360" w:lineRule="auto"/>
        <w:rPr>
          <w:rFonts w:eastAsia="Calibri" w:cs="Times New Roman"/>
          <w:bCs/>
          <w:color w:val="000000"/>
        </w:rPr>
      </w:pPr>
    </w:p>
    <w:p w14:paraId="2E239CF2" w14:textId="77777777" w:rsidR="00991507" w:rsidRPr="00991507" w:rsidRDefault="00991507" w:rsidP="00BE7735">
      <w:pPr>
        <w:spacing w:after="0" w:line="360" w:lineRule="auto"/>
        <w:rPr>
          <w:rFonts w:eastAsia="Calibri" w:cs="Times New Roman"/>
          <w:bCs/>
          <w:color w:val="000000"/>
        </w:rPr>
      </w:pPr>
      <w:r w:rsidRPr="00991507">
        <w:rPr>
          <w:rFonts w:eastAsia="Calibri" w:cs="Times New Roman"/>
          <w:bCs/>
          <w:color w:val="000000"/>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2748BA2B" w14:textId="77777777" w:rsidR="00991507" w:rsidRPr="00991507" w:rsidRDefault="00991507" w:rsidP="00BE7735">
      <w:pPr>
        <w:spacing w:after="0" w:line="360" w:lineRule="auto"/>
        <w:rPr>
          <w:rFonts w:eastAsia="Calibri" w:cs="Times New Roman"/>
          <w:bCs/>
          <w:color w:val="000000"/>
        </w:rPr>
      </w:pPr>
    </w:p>
    <w:p w14:paraId="2C1ADDB0" w14:textId="77777777" w:rsidR="00991507" w:rsidRPr="00991507" w:rsidRDefault="00991507" w:rsidP="00BE7735">
      <w:pPr>
        <w:spacing w:after="0" w:line="360" w:lineRule="auto"/>
        <w:rPr>
          <w:rFonts w:eastAsia="Calibri" w:cs="Times New Roman"/>
          <w:b/>
          <w:bCs/>
          <w:iCs/>
          <w:color w:val="000000"/>
          <w:lang w:val="es-ES"/>
        </w:rPr>
      </w:pPr>
      <w:r w:rsidRPr="00991507">
        <w:rPr>
          <w:rFonts w:eastAsia="Calibri" w:cs="Times New Roman"/>
          <w:bCs/>
          <w:iCs/>
          <w:color w:val="000000"/>
          <w:lang w:val="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991507">
        <w:rPr>
          <w:rFonts w:eastAsia="Calibri" w:cs="Times New Roman"/>
          <w:b/>
          <w:bCs/>
          <w:iCs/>
          <w:color w:val="000000"/>
          <w:lang w:val="es-ES"/>
        </w:rPr>
        <w:t xml:space="preserve">las remuneraciones brutas y netas de todos los servidores públicos, que incluya todas las percepciones, entre las cuales, </w:t>
      </w:r>
      <w:r w:rsidRPr="00991507">
        <w:rPr>
          <w:rFonts w:eastAsia="Calibri" w:cs="Times New Roman"/>
          <w:b/>
          <w:bCs/>
          <w:iCs/>
          <w:color w:val="000000"/>
          <w:lang w:val="es-ES"/>
        </w:rPr>
        <w:lastRenderedPageBreak/>
        <w:t>se encuentran los sueldos, prestaciones, gratificaciones, primas, comisiones, dietas, bonos, estímulos, ingresos, entre otros.</w:t>
      </w:r>
    </w:p>
    <w:p w14:paraId="1DB76927" w14:textId="77777777" w:rsidR="00991507" w:rsidRPr="00991507" w:rsidRDefault="00991507" w:rsidP="00BE7735">
      <w:pPr>
        <w:spacing w:after="0" w:line="360" w:lineRule="auto"/>
        <w:rPr>
          <w:rFonts w:eastAsia="Calibri" w:cs="Times New Roman"/>
          <w:b/>
          <w:bCs/>
          <w:iCs/>
          <w:color w:val="000000"/>
          <w:lang w:val="es-ES"/>
        </w:rPr>
      </w:pPr>
    </w:p>
    <w:p w14:paraId="2049CA32" w14:textId="77777777" w:rsidR="00991507" w:rsidRPr="00991507" w:rsidRDefault="00991507" w:rsidP="00BE7735">
      <w:pPr>
        <w:spacing w:after="0" w:line="360" w:lineRule="auto"/>
        <w:rPr>
          <w:rFonts w:eastAsia="Calibri" w:cs="Times New Roman"/>
          <w:b/>
          <w:bCs/>
          <w:iCs/>
          <w:color w:val="000000"/>
          <w:lang w:val="es-ES"/>
        </w:rPr>
      </w:pPr>
      <w:r w:rsidRPr="00991507">
        <w:rPr>
          <w:rFonts w:eastAsia="Calibri" w:cs="Times New Roman"/>
          <w:bCs/>
          <w:iCs/>
          <w:color w:val="000000"/>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991507">
        <w:rPr>
          <w:rFonts w:eastAsia="Calibri" w:cs="Times New Roman"/>
          <w:b/>
          <w:bCs/>
          <w:iCs/>
          <w:color w:val="000000"/>
          <w:lang w:val="es-ES"/>
        </w:rPr>
        <w:t>1000 Servicios Personales</w:t>
      </w:r>
      <w:r w:rsidRPr="00991507">
        <w:rPr>
          <w:rFonts w:eastAsia="Calibri" w:cs="Times New Roman"/>
          <w:bCs/>
          <w:iCs/>
          <w:color w:val="000000"/>
          <w:lang w:val="es-ES"/>
        </w:rPr>
        <w:t>,</w:t>
      </w:r>
      <w:r w:rsidRPr="00991507">
        <w:rPr>
          <w:rFonts w:eastAsia="Calibri" w:cs="Times New Roman"/>
          <w:b/>
          <w:bCs/>
          <w:iCs/>
          <w:color w:val="000000"/>
          <w:lang w:val="es-ES"/>
        </w:rPr>
        <w:t xml:space="preserve"> que agrupa las remuneraciones del personal al servicio de los entes públicos, tales como el sueldo, salarios, dietas, honorarios, prestaciones, obligaciones laborales, gratificaciones, entre otras.</w:t>
      </w:r>
    </w:p>
    <w:p w14:paraId="49DEAF83" w14:textId="77777777" w:rsidR="00991507" w:rsidRPr="00991507" w:rsidRDefault="00991507" w:rsidP="00BE7735">
      <w:pPr>
        <w:spacing w:after="0" w:line="360" w:lineRule="auto"/>
        <w:rPr>
          <w:rFonts w:eastAsia="Calibri" w:cs="Times New Roman"/>
          <w:bCs/>
          <w:color w:val="000000"/>
        </w:rPr>
      </w:pPr>
    </w:p>
    <w:p w14:paraId="7F001C23" w14:textId="77777777" w:rsidR="00991507" w:rsidRPr="00991507" w:rsidRDefault="00991507" w:rsidP="00BE7735">
      <w:pPr>
        <w:spacing w:after="0" w:line="360" w:lineRule="auto"/>
        <w:ind w:right="-93"/>
        <w:rPr>
          <w:rFonts w:eastAsia="Calibri" w:cs="Tahoma"/>
          <w:bCs/>
          <w:color w:val="000000"/>
        </w:rPr>
      </w:pPr>
      <w:r w:rsidRPr="00991507">
        <w:rPr>
          <w:rFonts w:eastAsia="Calibri" w:cs="Tahoma"/>
          <w:bCs/>
          <w:color w:val="000000"/>
        </w:rPr>
        <w:t>En ese orden de ideas, respecto a la nómina</w:t>
      </w:r>
      <w:r w:rsidRPr="00991507">
        <w:rPr>
          <w:rFonts w:eastAsia="Calibri" w:cs="Tahoma"/>
          <w:b/>
          <w:bCs/>
          <w:color w:val="000000"/>
        </w:rPr>
        <w:t xml:space="preserve">, </w:t>
      </w:r>
      <w:r w:rsidRPr="00991507">
        <w:rPr>
          <w:rFonts w:eastAsia="Calibri" w:cs="Tahoma"/>
          <w:bCs/>
          <w:color w:val="000000"/>
        </w:rPr>
        <w:t>el Glosario localizado en la página de Transparencia Presupuestaria de la Secretaría de Hacienda y Crédito Público (</w:t>
      </w:r>
      <w:hyperlink r:id="rId8" w:history="1">
        <w:r w:rsidRPr="00991507">
          <w:rPr>
            <w:rFonts w:eastAsia="Calibri" w:cs="Tahoma"/>
            <w:bCs/>
            <w:color w:val="000000"/>
            <w:u w:val="single"/>
          </w:rPr>
          <w:t>http://www.transparenciapresupuestaria.gob.mx/es/PTP/Glosario</w:t>
        </w:r>
      </w:hyperlink>
      <w:r w:rsidRPr="00991507">
        <w:rPr>
          <w:rFonts w:eastAsia="Calibri" w:cs="Tahoma"/>
          <w:bCs/>
          <w:color w:val="000000"/>
        </w:rPr>
        <w:t xml:space="preserve">, consultado el tres de agosto de dos mil veintidós) establece que </w:t>
      </w:r>
      <w:r w:rsidRPr="00991507">
        <w:rPr>
          <w:rFonts w:eastAsia="Calibri" w:cs="Tahoma"/>
          <w:b/>
          <w:bCs/>
          <w:color w:val="000000"/>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42446BF7" w14:textId="77777777" w:rsidR="00991507" w:rsidRPr="00991507" w:rsidRDefault="00991507" w:rsidP="00BE7735">
      <w:pPr>
        <w:spacing w:after="0" w:line="360" w:lineRule="auto"/>
        <w:ind w:right="-93"/>
        <w:rPr>
          <w:rFonts w:eastAsia="Calibri" w:cs="Tahoma"/>
          <w:b/>
          <w:bCs/>
          <w:color w:val="000000"/>
        </w:rPr>
      </w:pPr>
    </w:p>
    <w:p w14:paraId="55EEC94E" w14:textId="77777777" w:rsidR="00991507" w:rsidRPr="00991507" w:rsidRDefault="00991507" w:rsidP="00BE7735">
      <w:pPr>
        <w:spacing w:after="0" w:line="360" w:lineRule="auto"/>
        <w:ind w:right="-93"/>
        <w:rPr>
          <w:rFonts w:eastAsia="Calibri" w:cs="Tahoma"/>
          <w:b/>
          <w:bCs/>
          <w:color w:val="000000"/>
        </w:rPr>
      </w:pPr>
      <w:r w:rsidRPr="00991507">
        <w:rPr>
          <w:rFonts w:eastAsia="Calibri" w:cs="Tahoma"/>
          <w:bCs/>
          <w:color w:val="000000"/>
        </w:rPr>
        <w:t>De la misma manera, el Glosario de términos más usuales en la Administración Pública Federal, emitido por la Secretaría de Hacienda y Crédito Público (</w:t>
      </w:r>
      <w:hyperlink r:id="rId9" w:history="1">
        <w:r w:rsidRPr="00991507">
          <w:rPr>
            <w:rFonts w:eastAsia="Calibri" w:cs="Tahoma"/>
            <w:bCs/>
            <w:color w:val="000000"/>
            <w:u w:val="single"/>
          </w:rPr>
          <w:t>http://www.apartados.hacienda.gob.mx/contabilidad/documentos/informe_cuenta/1998/cuenta_publica/Glosario/n.htm</w:t>
        </w:r>
      </w:hyperlink>
      <w:r w:rsidRPr="00991507">
        <w:rPr>
          <w:rFonts w:eastAsia="Calibri" w:cs="Tahoma"/>
          <w:bCs/>
          <w:color w:val="000000"/>
        </w:rPr>
        <w:t xml:space="preserve">, consultada el tres de agosto de dos mil veintidós), establece que la </w:t>
      </w:r>
      <w:r w:rsidRPr="00991507">
        <w:rPr>
          <w:rFonts w:eastAsia="Calibri" w:cs="Tahoma"/>
          <w:b/>
          <w:bCs/>
          <w:color w:val="000000"/>
        </w:rPr>
        <w:t>nómina es un listado general de los trabajadores de una institución, en el cual se asientan las percepciones brutas, deducciones y alcance neto de las mismas.</w:t>
      </w:r>
    </w:p>
    <w:p w14:paraId="44ADA8BA" w14:textId="77777777" w:rsidR="00991507" w:rsidRPr="00991507" w:rsidRDefault="00991507" w:rsidP="00BE7735">
      <w:pPr>
        <w:spacing w:after="0" w:line="360" w:lineRule="auto"/>
        <w:ind w:right="-93"/>
        <w:rPr>
          <w:rFonts w:eastAsia="Calibri" w:cs="Tahoma"/>
          <w:bCs/>
          <w:color w:val="000000"/>
        </w:rPr>
      </w:pPr>
    </w:p>
    <w:p w14:paraId="552EB6EB" w14:textId="77777777" w:rsidR="00991507" w:rsidRPr="00991507" w:rsidRDefault="00991507" w:rsidP="00BE7735">
      <w:pPr>
        <w:spacing w:after="0" w:line="360" w:lineRule="auto"/>
        <w:ind w:right="-93"/>
        <w:rPr>
          <w:rFonts w:eastAsia="Calibri" w:cs="Tahoma"/>
          <w:bCs/>
          <w:color w:val="000000"/>
        </w:rPr>
      </w:pPr>
      <w:r w:rsidRPr="00991507">
        <w:rPr>
          <w:rFonts w:eastAsia="Calibri" w:cs="Tahoma"/>
          <w:bCs/>
          <w:color w:val="000000"/>
        </w:rPr>
        <w:t>Conforme a lo anterior, se puede advertir que la nómina se puede referir a lo siguiente:</w:t>
      </w:r>
    </w:p>
    <w:p w14:paraId="7C2C3CEB" w14:textId="77777777" w:rsidR="00991507" w:rsidRPr="00991507" w:rsidRDefault="00991507" w:rsidP="00BE7735">
      <w:pPr>
        <w:spacing w:after="0" w:line="360" w:lineRule="auto"/>
        <w:ind w:right="-93"/>
        <w:rPr>
          <w:rFonts w:eastAsia="Calibri" w:cs="Tahoma"/>
          <w:bCs/>
          <w:color w:val="000000"/>
        </w:rPr>
      </w:pPr>
    </w:p>
    <w:p w14:paraId="482A049F" w14:textId="77777777" w:rsidR="00991507" w:rsidRPr="00991507" w:rsidRDefault="00991507" w:rsidP="00BE7735">
      <w:pPr>
        <w:numPr>
          <w:ilvl w:val="0"/>
          <w:numId w:val="27"/>
        </w:numPr>
        <w:spacing w:after="0" w:line="360" w:lineRule="auto"/>
        <w:ind w:right="-93"/>
        <w:contextualSpacing/>
        <w:jc w:val="left"/>
        <w:rPr>
          <w:rFonts w:eastAsia="Calibri" w:cs="Tahoma"/>
          <w:bCs/>
          <w:color w:val="000000"/>
        </w:rPr>
      </w:pPr>
      <w:r w:rsidRPr="00991507">
        <w:rPr>
          <w:rFonts w:eastAsia="Calibri" w:cs="Tahoma"/>
          <w:bCs/>
          <w:color w:val="000000"/>
        </w:rPr>
        <w:t>Relación de trabajadores con las percepciones monetarias de cada uno.</w:t>
      </w:r>
    </w:p>
    <w:p w14:paraId="0F002E58" w14:textId="77777777" w:rsidR="00991507" w:rsidRPr="00991507" w:rsidRDefault="00991507" w:rsidP="00BE7735">
      <w:pPr>
        <w:spacing w:after="0" w:line="360" w:lineRule="auto"/>
        <w:ind w:left="720" w:right="-93"/>
        <w:contextualSpacing/>
        <w:rPr>
          <w:rFonts w:eastAsia="Calibri" w:cs="Tahoma"/>
          <w:b/>
          <w:bCs/>
          <w:color w:val="000000"/>
        </w:rPr>
      </w:pPr>
    </w:p>
    <w:p w14:paraId="14FE8CA2" w14:textId="77777777" w:rsidR="00991507" w:rsidRPr="00991507" w:rsidRDefault="00991507" w:rsidP="00BE7735">
      <w:pPr>
        <w:numPr>
          <w:ilvl w:val="0"/>
          <w:numId w:val="27"/>
        </w:numPr>
        <w:spacing w:after="0" w:line="360" w:lineRule="auto"/>
        <w:ind w:right="-93"/>
        <w:contextualSpacing/>
        <w:jc w:val="left"/>
        <w:rPr>
          <w:rFonts w:eastAsia="Calibri" w:cs="Tahoma"/>
          <w:bCs/>
          <w:color w:val="000000"/>
        </w:rPr>
      </w:pPr>
      <w:r w:rsidRPr="00991507">
        <w:rPr>
          <w:rFonts w:eastAsia="Calibri" w:cs="Tahoma"/>
          <w:bCs/>
          <w:color w:val="000000"/>
        </w:rPr>
        <w:t>Recibo individual que contiene las prestaciones y deducciones de un trabajador.</w:t>
      </w:r>
    </w:p>
    <w:p w14:paraId="0465F234" w14:textId="77777777" w:rsidR="00991507" w:rsidRPr="00991507" w:rsidRDefault="00991507" w:rsidP="00BE7735">
      <w:pPr>
        <w:spacing w:after="0" w:line="360" w:lineRule="auto"/>
        <w:ind w:left="720"/>
        <w:contextualSpacing/>
        <w:jc w:val="left"/>
        <w:rPr>
          <w:rFonts w:eastAsia="Calibri" w:cs="Tahoma"/>
          <w:b/>
          <w:bCs/>
          <w:color w:val="000000"/>
        </w:rPr>
      </w:pPr>
    </w:p>
    <w:p w14:paraId="56097614" w14:textId="77777777" w:rsidR="00991507" w:rsidRPr="009F603B" w:rsidRDefault="00991507" w:rsidP="00BE7735">
      <w:pPr>
        <w:numPr>
          <w:ilvl w:val="0"/>
          <w:numId w:val="27"/>
        </w:numPr>
        <w:spacing w:after="0" w:line="360" w:lineRule="auto"/>
        <w:ind w:right="-93"/>
        <w:contextualSpacing/>
        <w:jc w:val="left"/>
        <w:rPr>
          <w:rFonts w:eastAsia="Calibri" w:cs="Tahoma"/>
          <w:b/>
          <w:bCs/>
          <w:color w:val="000000"/>
        </w:rPr>
      </w:pPr>
      <w:r w:rsidRPr="009F603B">
        <w:rPr>
          <w:rFonts w:eastAsia="Calibri" w:cs="Tahoma"/>
          <w:b/>
          <w:bCs/>
          <w:color w:val="000000"/>
        </w:rPr>
        <w:t>Listado general de los servidores públicos de una institución o dependencia, en el cual se asientan las percepciones brutas, deducciones y alcance neto de las mismas.</w:t>
      </w:r>
    </w:p>
    <w:p w14:paraId="4403B827" w14:textId="77777777" w:rsidR="00991507" w:rsidRPr="00991507" w:rsidRDefault="00991507" w:rsidP="00BE7735">
      <w:pPr>
        <w:spacing w:after="0" w:line="360" w:lineRule="auto"/>
        <w:ind w:right="-93"/>
        <w:contextualSpacing/>
        <w:rPr>
          <w:rFonts w:eastAsia="Calibri" w:cs="Tahoma"/>
          <w:b/>
          <w:bCs/>
          <w:color w:val="000000"/>
        </w:rPr>
      </w:pPr>
    </w:p>
    <w:p w14:paraId="1099FEAB" w14:textId="77777777" w:rsidR="00210840" w:rsidRPr="00991507" w:rsidRDefault="00210840" w:rsidP="00BE7735">
      <w:pPr>
        <w:spacing w:after="0" w:line="360" w:lineRule="auto"/>
        <w:rPr>
          <w:rFonts w:eastAsia="Times New Roman" w:cs="Tahoma"/>
          <w:bCs/>
          <w:color w:val="000000"/>
          <w:lang w:eastAsia="es-MX"/>
        </w:rPr>
      </w:pPr>
    </w:p>
    <w:p w14:paraId="45D7F8BC" w14:textId="77777777" w:rsidR="009F603B" w:rsidRDefault="009F603B" w:rsidP="009F603B">
      <w:pPr>
        <w:spacing w:after="0" w:line="360" w:lineRule="auto"/>
      </w:pPr>
      <w:r>
        <w:t xml:space="preserve">En ese contexto, los </w:t>
      </w:r>
      <w:r w:rsidRPr="00A4232C">
        <w:t xml:space="preserve">Lineamientos para la </w:t>
      </w:r>
      <w:proofErr w:type="spellStart"/>
      <w:r w:rsidRPr="00A4232C">
        <w:t>integración</w:t>
      </w:r>
      <w:proofErr w:type="spellEnd"/>
      <w:r w:rsidRPr="00A4232C">
        <w:t xml:space="preserve"> y </w:t>
      </w:r>
      <w:proofErr w:type="spellStart"/>
      <w:r w:rsidRPr="00A4232C">
        <w:t>presentación</w:t>
      </w:r>
      <w:proofErr w:type="spellEnd"/>
      <w:r w:rsidRPr="00A4232C">
        <w:t xml:space="preserve"> de los Informes Trimestrales Estatales y Municipales del Ejercicio Fiscal 2025</w:t>
      </w:r>
      <w:r>
        <w:t xml:space="preserve">, emitidos por el Órgano Superior de Fiscalización del Estado de México, precisan que los Ayuntamientos deben de proporcionar, para su fiscalización, diversos documentos, entre los cuales se encuentran aquellos del </w:t>
      </w:r>
      <w:r>
        <w:rPr>
          <w:b/>
        </w:rPr>
        <w:t>Módulo 4</w:t>
      </w:r>
      <w:r>
        <w:t xml:space="preserve">, que contienen la </w:t>
      </w:r>
      <w:r>
        <w:rPr>
          <w:b/>
        </w:rPr>
        <w:t xml:space="preserve">Conciliación de Nómina, </w:t>
      </w:r>
      <w:r>
        <w:t xml:space="preserve">el cual se conforma del listado de servidores públicos de confianza, sindicalizados y eventual, con todas sus percepciones y deducciones, mismo que se genera de manera quincenal. </w:t>
      </w:r>
    </w:p>
    <w:p w14:paraId="096E294E" w14:textId="77777777" w:rsidR="009F603B" w:rsidRDefault="009F603B" w:rsidP="009F603B">
      <w:pPr>
        <w:spacing w:after="0" w:line="360" w:lineRule="auto"/>
      </w:pPr>
    </w:p>
    <w:p w14:paraId="14F13BB8" w14:textId="6233431E" w:rsidR="00210840" w:rsidRDefault="009F603B" w:rsidP="009F603B">
      <w:pPr>
        <w:spacing w:after="0" w:line="360" w:lineRule="auto"/>
        <w:rPr>
          <w:color w:val="000000"/>
        </w:rPr>
      </w:pPr>
      <w:r>
        <w:rPr>
          <w:color w:val="000000"/>
        </w:rPr>
        <w:t>En ese contexto, la Conciliación de Nómina tiene como fin presentar el concentrado quincenal de las cifras derivadas de todas las erogaciones realizadas por concepto de remuneraciones al trabajo, registradas en la nómina, contra las contenidas en los registros contables, por concepto de remuneraciones al trabajo de personal.</w:t>
      </w:r>
    </w:p>
    <w:p w14:paraId="27E56966" w14:textId="77777777" w:rsidR="009F603B" w:rsidRDefault="009F603B" w:rsidP="009F603B">
      <w:pPr>
        <w:spacing w:after="0" w:line="360" w:lineRule="auto"/>
        <w:rPr>
          <w:color w:val="000000"/>
        </w:rPr>
      </w:pPr>
    </w:p>
    <w:p w14:paraId="2080B860" w14:textId="77777777" w:rsidR="009F603B" w:rsidRDefault="009F603B" w:rsidP="009F603B">
      <w:pPr>
        <w:tabs>
          <w:tab w:val="left" w:pos="4962"/>
        </w:tabs>
        <w:spacing w:after="0" w:line="360" w:lineRule="auto"/>
      </w:pPr>
      <w:r>
        <w:t xml:space="preserve">Ahora bien, respecto de los recibos de nómina,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w:t>
      </w:r>
      <w:r>
        <w:lastRenderedPageBreak/>
        <w:t xml:space="preserve">de información magnética o electrónica que sean utilizadas para el pago de salarios, prima vacacional, aguinaldo y demás prestaciones. </w:t>
      </w:r>
    </w:p>
    <w:p w14:paraId="052DF7B8" w14:textId="77777777" w:rsidR="009F603B" w:rsidRDefault="009F603B" w:rsidP="009F603B">
      <w:pPr>
        <w:tabs>
          <w:tab w:val="left" w:pos="4962"/>
        </w:tabs>
        <w:spacing w:after="0" w:line="360" w:lineRule="auto"/>
      </w:pPr>
    </w:p>
    <w:p w14:paraId="4F851433" w14:textId="77777777" w:rsidR="009F603B" w:rsidRDefault="009F603B" w:rsidP="009F603B">
      <w:pPr>
        <w:tabs>
          <w:tab w:val="left" w:pos="4962"/>
        </w:tabs>
        <w:spacing w:after="0" w:line="360" w:lineRule="auto"/>
      </w:pPr>
      <w: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3F64D7DF" w14:textId="77777777" w:rsidR="009F603B" w:rsidRDefault="009F603B" w:rsidP="009F603B">
      <w:pPr>
        <w:tabs>
          <w:tab w:val="left" w:pos="4962"/>
        </w:tabs>
        <w:spacing w:after="0" w:line="360" w:lineRule="auto"/>
      </w:pPr>
    </w:p>
    <w:p w14:paraId="1ABA5CB5" w14:textId="77777777" w:rsidR="009F603B" w:rsidRPr="00A4232C" w:rsidRDefault="009F603B" w:rsidP="009F603B">
      <w:pPr>
        <w:tabs>
          <w:tab w:val="left" w:pos="4962"/>
        </w:tabs>
        <w:spacing w:after="0" w:line="360" w:lineRule="auto"/>
        <w:ind w:left="708" w:right="680"/>
        <w:rPr>
          <w:i/>
          <w:sz w:val="20"/>
          <w:szCs w:val="20"/>
        </w:rPr>
      </w:pPr>
      <w:r w:rsidRPr="00A4232C">
        <w:rPr>
          <w:i/>
          <w:sz w:val="20"/>
          <w:szCs w:val="20"/>
        </w:rPr>
        <w:t>“</w:t>
      </w:r>
      <w:r w:rsidRPr="00A4232C">
        <w:rPr>
          <w:b/>
          <w:i/>
          <w:sz w:val="20"/>
          <w:szCs w:val="20"/>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sidRPr="00A4232C">
        <w:rPr>
          <w:i/>
          <w:sz w:val="20"/>
          <w:szCs w:val="20"/>
        </w:rPr>
        <w:t>.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7A83454C" w14:textId="77777777" w:rsidR="009F603B" w:rsidRDefault="009F603B" w:rsidP="009F603B">
      <w:pPr>
        <w:tabs>
          <w:tab w:val="left" w:pos="4962"/>
        </w:tabs>
        <w:spacing w:after="0" w:line="360" w:lineRule="auto"/>
      </w:pPr>
    </w:p>
    <w:p w14:paraId="190661A2" w14:textId="77777777" w:rsidR="009F603B" w:rsidRDefault="009F603B" w:rsidP="009F603B">
      <w:pPr>
        <w:tabs>
          <w:tab w:val="left" w:pos="4962"/>
        </w:tabs>
        <w:spacing w:after="0" w:line="360" w:lineRule="auto"/>
      </w:pPr>
      <w:r>
        <w:t>De la tesis transcrita, se desprende que en materia burocrática los recibos de pago acreditan los conceptos y montos que en ellos se insertan, y constituyen prueba para demostrar las percepciones y montos que reciben los servidores públicos.</w:t>
      </w:r>
    </w:p>
    <w:p w14:paraId="24DC426B" w14:textId="77777777" w:rsidR="009F603B" w:rsidRDefault="009F603B" w:rsidP="009F603B">
      <w:pPr>
        <w:tabs>
          <w:tab w:val="left" w:pos="4962"/>
        </w:tabs>
        <w:spacing w:after="0" w:line="360" w:lineRule="auto"/>
      </w:pPr>
    </w:p>
    <w:p w14:paraId="30ECD00C" w14:textId="297AF249" w:rsidR="009F603B" w:rsidRDefault="009F603B" w:rsidP="009F603B">
      <w:pPr>
        <w:tabs>
          <w:tab w:val="left" w:pos="4962"/>
        </w:tabs>
        <w:spacing w:after="0" w:line="360" w:lineRule="auto"/>
      </w:pPr>
      <w:r>
        <w:lastRenderedPageBreak/>
        <w:t xml:space="preserve">En ese orden de ideas, los </w:t>
      </w:r>
      <w:r w:rsidRPr="00A4232C">
        <w:t xml:space="preserve">Lineamientos para la </w:t>
      </w:r>
      <w:r w:rsidR="000B3718" w:rsidRPr="00A4232C">
        <w:t>integración</w:t>
      </w:r>
      <w:r w:rsidRPr="00A4232C">
        <w:t xml:space="preserve"> y </w:t>
      </w:r>
      <w:proofErr w:type="spellStart"/>
      <w:r w:rsidRPr="00A4232C">
        <w:t>presentación</w:t>
      </w:r>
      <w:proofErr w:type="spellEnd"/>
      <w:r w:rsidRPr="00A4232C">
        <w:t xml:space="preserve"> de los Informes Trimestrales Estatales y Municipales del Ejercicio Fiscal 2025</w:t>
      </w:r>
      <w:r>
        <w:t>, establecen que el Sujeto Obligado deberá entregar al Órgano Superior de Fiscalización, los Comprobantes Fiscales Digitales por Internet (recibos de nómina), los cuales deberán ser generados de manera quincenal.</w:t>
      </w:r>
    </w:p>
    <w:p w14:paraId="10DD9A9A" w14:textId="77777777" w:rsidR="009F603B" w:rsidRDefault="009F603B" w:rsidP="009F603B">
      <w:pPr>
        <w:spacing w:after="0" w:line="360" w:lineRule="auto"/>
        <w:rPr>
          <w:color w:val="000000"/>
        </w:rPr>
      </w:pPr>
    </w:p>
    <w:p w14:paraId="25B9C02C" w14:textId="545E979F" w:rsidR="009F603B" w:rsidRDefault="0097204F" w:rsidP="009F603B">
      <w:pPr>
        <w:spacing w:after="0" w:line="360" w:lineRule="auto"/>
        <w:rPr>
          <w:color w:val="000000"/>
        </w:rPr>
      </w:pPr>
      <w:r>
        <w:rPr>
          <w:color w:val="000000"/>
        </w:rPr>
        <w:t>Conforme a lo anterior, se logra vislumbrar que la pretensión de la persona Recurrente es obtener la Conciliación de nómina y los Recibos de nómina de todos los servidores públicos adscritos al Sujeto Obligado, de la primera quincena de enero a la primera de febrero de dos mil veinticinco.</w:t>
      </w:r>
    </w:p>
    <w:p w14:paraId="544FAC32" w14:textId="77777777" w:rsidR="009F603B" w:rsidRPr="00991507" w:rsidRDefault="009F603B" w:rsidP="009F603B">
      <w:pPr>
        <w:spacing w:after="0" w:line="360" w:lineRule="auto"/>
        <w:rPr>
          <w:rFonts w:eastAsia="Times New Roman" w:cs="Tahoma"/>
          <w:bCs/>
          <w:color w:val="auto"/>
          <w:lang w:eastAsia="es-ES"/>
        </w:rPr>
      </w:pPr>
    </w:p>
    <w:p w14:paraId="1AFA7783" w14:textId="61A8BA28" w:rsidR="002A03EE" w:rsidRPr="002A03EE" w:rsidRDefault="002A03EE" w:rsidP="00BE7735">
      <w:pPr>
        <w:widowControl w:val="0"/>
        <w:spacing w:after="0" w:line="360" w:lineRule="auto"/>
        <w:rPr>
          <w:rFonts w:eastAsia="Times New Roman" w:cs="Tahoma"/>
          <w:color w:val="000000"/>
          <w:lang w:eastAsia="es-MX"/>
        </w:rPr>
      </w:pPr>
      <w:r w:rsidRPr="00210840">
        <w:rPr>
          <w:rFonts w:eastAsia="Times New Roman" w:cs="Tahoma"/>
          <w:color w:val="000000"/>
          <w:lang w:eastAsia="es-MX"/>
        </w:rPr>
        <w:t xml:space="preserve">Con respecto al </w:t>
      </w:r>
      <w:proofErr w:type="spellStart"/>
      <w:r w:rsidRPr="00210840">
        <w:rPr>
          <w:rFonts w:eastAsia="Times New Roman" w:cs="Tahoma"/>
          <w:color w:val="000000"/>
          <w:lang w:eastAsia="es-MX"/>
        </w:rPr>
        <w:t>Curriculum</w:t>
      </w:r>
      <w:proofErr w:type="spellEnd"/>
      <w:r w:rsidRPr="00210840">
        <w:rPr>
          <w:rFonts w:eastAsia="Times New Roman" w:cs="Tahoma"/>
          <w:color w:val="000000"/>
          <w:lang w:eastAsia="es-MX"/>
        </w:rPr>
        <w:t>, es de señalar que el documento</w:t>
      </w:r>
      <w:r w:rsidRPr="002A03EE">
        <w:rPr>
          <w:rFonts w:eastAsia="Times New Roman" w:cs="Tahoma"/>
          <w:color w:val="000000"/>
          <w:lang w:eastAsia="es-MX"/>
        </w:rPr>
        <w:t xml:space="preserve"> solicitado, corresponde aquel que las personas elaboran con los datos de identificación y contacto, preparación académica y experiencia profesional, para presentarse ante un posible empleador</w:t>
      </w:r>
      <w:r w:rsidR="0097204F">
        <w:rPr>
          <w:rFonts w:eastAsia="Times New Roman" w:cs="Tahoma"/>
          <w:color w:val="000000"/>
          <w:lang w:eastAsia="es-MX"/>
        </w:rPr>
        <w:t>; p</w:t>
      </w:r>
      <w:r w:rsidRPr="002A03EE">
        <w:rPr>
          <w:rFonts w:eastAsia="Times New Roman" w:cs="Tahoma"/>
          <w:color w:val="000000"/>
          <w:lang w:eastAsia="es-MX"/>
        </w:rPr>
        <w:t>or lo que, dicho documento da cuenta de la preparación académica y la experiencia laboral, lo cual permite identificar el nivel de conocimientos de su titular, así como, su perfil profesional o laboral.</w:t>
      </w:r>
    </w:p>
    <w:p w14:paraId="15C79E01" w14:textId="77777777" w:rsidR="002A03EE" w:rsidRPr="002A03EE" w:rsidRDefault="002A03EE" w:rsidP="00BE7735">
      <w:pPr>
        <w:widowControl w:val="0"/>
        <w:spacing w:after="0" w:line="360" w:lineRule="auto"/>
        <w:rPr>
          <w:rFonts w:eastAsia="Times New Roman" w:cs="Tahoma"/>
          <w:color w:val="000000"/>
          <w:lang w:eastAsia="es-MX"/>
        </w:rPr>
      </w:pPr>
    </w:p>
    <w:p w14:paraId="260555CB" w14:textId="77777777" w:rsidR="002A03EE" w:rsidRPr="002A03EE" w:rsidRDefault="002A03EE" w:rsidP="00BE7735">
      <w:pPr>
        <w:widowControl w:val="0"/>
        <w:spacing w:after="0" w:line="360" w:lineRule="auto"/>
        <w:rPr>
          <w:rFonts w:eastAsia="Times New Roman" w:cs="Tahoma"/>
          <w:color w:val="000000"/>
          <w:lang w:eastAsia="es-MX"/>
        </w:rPr>
      </w:pPr>
      <w:r w:rsidRPr="002A03EE">
        <w:rPr>
          <w:rFonts w:eastAsia="Times New Roman" w:cs="Tahoma"/>
          <w:color w:val="000000"/>
          <w:lang w:eastAsia="es-MX"/>
        </w:rPr>
        <w:t>En ese sentido, si bien el currículum,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35B926E3" w14:textId="77777777" w:rsidR="002A03EE" w:rsidRPr="002A03EE" w:rsidRDefault="002A03EE" w:rsidP="00BE7735">
      <w:pPr>
        <w:widowControl w:val="0"/>
        <w:spacing w:after="0" w:line="360" w:lineRule="auto"/>
        <w:rPr>
          <w:rFonts w:eastAsia="Times New Roman" w:cs="Tahoma"/>
          <w:color w:val="000000"/>
          <w:lang w:eastAsia="es-MX"/>
        </w:rPr>
      </w:pPr>
    </w:p>
    <w:p w14:paraId="1B1599A6" w14:textId="77777777" w:rsidR="002A03EE" w:rsidRPr="002A03EE" w:rsidRDefault="002A03EE" w:rsidP="00BE7735">
      <w:pPr>
        <w:widowControl w:val="0"/>
        <w:spacing w:after="0" w:line="360" w:lineRule="auto"/>
        <w:rPr>
          <w:rFonts w:eastAsia="Times New Roman" w:cs="Tahoma"/>
          <w:color w:val="000000"/>
          <w:lang w:eastAsia="es-MX"/>
        </w:rPr>
      </w:pPr>
      <w:r w:rsidRPr="002A03EE">
        <w:rPr>
          <w:rFonts w:eastAsia="Times New Roman" w:cs="Tahoma"/>
          <w:color w:val="000000"/>
          <w:lang w:eastAsia="es-MX"/>
        </w:rPr>
        <w:t>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w:t>
      </w:r>
    </w:p>
    <w:p w14:paraId="26B43E36" w14:textId="77777777" w:rsidR="002A03EE" w:rsidRPr="002A03EE" w:rsidRDefault="002A03EE" w:rsidP="00BE7735">
      <w:pPr>
        <w:widowControl w:val="0"/>
        <w:spacing w:after="0" w:line="360" w:lineRule="auto"/>
        <w:rPr>
          <w:rFonts w:eastAsia="Times New Roman" w:cs="Tahoma"/>
          <w:color w:val="000000"/>
          <w:lang w:eastAsia="es-MX"/>
        </w:rPr>
      </w:pPr>
    </w:p>
    <w:p w14:paraId="6BC36D57" w14:textId="77777777" w:rsidR="002A03EE" w:rsidRPr="002A03EE" w:rsidRDefault="002A03EE" w:rsidP="00BE7735">
      <w:pPr>
        <w:widowControl w:val="0"/>
        <w:spacing w:after="0" w:line="360" w:lineRule="auto"/>
        <w:rPr>
          <w:rFonts w:eastAsia="Times New Roman" w:cs="Tahoma"/>
          <w:color w:val="000000"/>
          <w:lang w:eastAsia="es-MX"/>
        </w:rPr>
      </w:pPr>
      <w:r w:rsidRPr="002A03EE">
        <w:rPr>
          <w:rFonts w:eastAsia="Times New Roman" w:cs="Tahoma"/>
          <w:color w:val="000000"/>
          <w:lang w:eastAsia="es-MX"/>
        </w:rPr>
        <w:t xml:space="preserve">Asimismo, toma relevancia, pues conforme al formato 17 LGT_Art_70_Fr_XVII (Información </w:t>
      </w:r>
      <w:r w:rsidRPr="002A03EE">
        <w:rPr>
          <w:rFonts w:eastAsia="Times New Roman" w:cs="Tahoma"/>
          <w:color w:val="000000"/>
          <w:lang w:eastAsia="es-MX"/>
        </w:rPr>
        <w:lastRenderedPageBreak/>
        <w:t>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w:t>
      </w:r>
    </w:p>
    <w:p w14:paraId="434686A3" w14:textId="77777777" w:rsidR="002A03EE" w:rsidRPr="002A03EE" w:rsidRDefault="002A03EE" w:rsidP="00BE7735">
      <w:pPr>
        <w:widowControl w:val="0"/>
        <w:spacing w:after="0" w:line="360" w:lineRule="auto"/>
        <w:rPr>
          <w:rFonts w:eastAsia="Times New Roman" w:cs="Tahoma"/>
          <w:color w:val="000000"/>
          <w:lang w:eastAsia="es-MX"/>
        </w:rPr>
      </w:pPr>
    </w:p>
    <w:p w14:paraId="03A7E194" w14:textId="77777777" w:rsidR="002A03EE" w:rsidRPr="002A03EE" w:rsidRDefault="002A03EE" w:rsidP="00BE7735">
      <w:pPr>
        <w:widowControl w:val="0"/>
        <w:spacing w:after="0" w:line="360" w:lineRule="auto"/>
        <w:rPr>
          <w:rFonts w:eastAsia="Times New Roman" w:cs="Tahoma"/>
          <w:color w:val="000000"/>
          <w:lang w:eastAsia="es-MX"/>
        </w:rPr>
      </w:pPr>
      <w:r w:rsidRPr="002A03EE">
        <w:rPr>
          <w:rFonts w:eastAsia="Times New Roman" w:cs="Tahoma"/>
          <w:color w:val="000000"/>
          <w:lang w:eastAsia="es-MX"/>
        </w:rPr>
        <w:t>En ese contexto, según Islas, Jorge (2016), en la “Ley General de Transparencia y Acceso a la Información Pública Comentada” (p. 244), refirió que el currículum vitae de un servidor público, justifica que su formación académica resulta viable para el desempeño eficiente y correcto de su encargo; lo anterior, con el fin de acreditar que dichos trabajadores sean los más capacitados acordes al área solicitada.</w:t>
      </w:r>
    </w:p>
    <w:p w14:paraId="5A858D62" w14:textId="77777777" w:rsidR="002A03EE" w:rsidRPr="002A03EE" w:rsidRDefault="002A03EE" w:rsidP="00BE7735">
      <w:pPr>
        <w:widowControl w:val="0"/>
        <w:spacing w:after="0" w:line="360" w:lineRule="auto"/>
        <w:rPr>
          <w:rFonts w:eastAsia="Times New Roman" w:cs="Tahoma"/>
          <w:color w:val="000000"/>
          <w:lang w:eastAsia="es-MX"/>
        </w:rPr>
      </w:pPr>
    </w:p>
    <w:p w14:paraId="1DB77EF0" w14:textId="508DBF4B" w:rsidR="002A03EE" w:rsidRDefault="002A03EE" w:rsidP="00BE7735">
      <w:pPr>
        <w:widowControl w:val="0"/>
        <w:spacing w:after="0" w:line="360" w:lineRule="auto"/>
        <w:rPr>
          <w:rFonts w:eastAsia="Times New Roman" w:cs="Tahoma"/>
          <w:color w:val="000000"/>
          <w:lang w:eastAsia="es-MX"/>
        </w:rPr>
      </w:pPr>
      <w:r w:rsidRPr="002A03EE">
        <w:rPr>
          <w:rFonts w:eastAsia="Times New Roman" w:cs="Tahoma"/>
          <w:color w:val="000000"/>
          <w:lang w:eastAsia="es-MX"/>
        </w:rPr>
        <w:t>En el mismo sentido, el Criterio de Interpretación, de la Tercera de Época, con número de registro SO/007/2023, emitido por el Instituto Nacional de Transparencia, Acceso a la Información y Protección de Datos Personales, establece que una de las formas en que los ciudadanos pueden evaluar las aptitudes para desempeñar un cargo público determinado, es mediante la publicidad de ciertos datos contenidos en el currículum vitae, tales como, la trayectoria académica, profesional, laboral, así como todos aquellos que acrediten su capacidad, habilidades pericia para ocupar el puesto público. Lo anterior, para favorecer la rendición de cuentas, pues la publicidad de lo anterior tiene como fin verificar el correcto desempeño de los sujetos obligados.</w:t>
      </w:r>
    </w:p>
    <w:p w14:paraId="29FA53F9" w14:textId="77777777" w:rsidR="002A03EE" w:rsidRDefault="002A03EE" w:rsidP="00BE7735">
      <w:pPr>
        <w:widowControl w:val="0"/>
        <w:spacing w:after="0" w:line="360" w:lineRule="auto"/>
        <w:rPr>
          <w:rFonts w:eastAsia="Times New Roman" w:cs="Tahoma"/>
          <w:color w:val="000000"/>
          <w:lang w:eastAsia="es-MX"/>
        </w:rPr>
      </w:pPr>
    </w:p>
    <w:p w14:paraId="2E5D0219" w14:textId="457B890F" w:rsidR="00530C42" w:rsidRPr="00530C42" w:rsidRDefault="0097204F" w:rsidP="00BE7735">
      <w:pPr>
        <w:widowControl w:val="0"/>
        <w:spacing w:after="0" w:line="360" w:lineRule="auto"/>
        <w:rPr>
          <w:rFonts w:eastAsia="Times New Roman" w:cs="Tahoma"/>
          <w:color w:val="000000"/>
          <w:lang w:eastAsia="es-MX"/>
        </w:rPr>
      </w:pPr>
      <w:r>
        <w:rPr>
          <w:rFonts w:eastAsia="Times New Roman" w:cs="Tahoma"/>
          <w:color w:val="000000"/>
          <w:lang w:eastAsia="es-MX"/>
        </w:rPr>
        <w:t>Ahora bien, respecto al comprobante del último nivel o grado de estudios</w:t>
      </w:r>
      <w:r w:rsidR="00530C42">
        <w:rPr>
          <w:rFonts w:eastAsia="Times New Roman" w:cs="Tahoma"/>
          <w:color w:val="000000"/>
          <w:lang w:eastAsia="es-MX"/>
        </w:rPr>
        <w:t xml:space="preserve">, </w:t>
      </w:r>
      <w:r w:rsidR="00530C42" w:rsidRPr="00530C42">
        <w:rPr>
          <w:rFonts w:eastAsia="Times New Roman" w:cs="Tahoma"/>
          <w:color w:val="000000"/>
          <w:lang w:eastAsia="es-MX"/>
        </w:rPr>
        <w:t xml:space="preserve">resulta conveniente </w:t>
      </w:r>
      <w:r w:rsidR="00530C42" w:rsidRPr="00530C42">
        <w:rPr>
          <w:rFonts w:eastAsia="Times New Roman" w:cs="Tahoma"/>
          <w:color w:val="000000"/>
          <w:lang w:eastAsia="es-MX"/>
        </w:rPr>
        <w:lastRenderedPageBreak/>
        <w:t>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w:t>
      </w:r>
    </w:p>
    <w:p w14:paraId="41263B65" w14:textId="77777777" w:rsidR="00530C42" w:rsidRPr="00530C42" w:rsidRDefault="00530C42" w:rsidP="00BE7735">
      <w:pPr>
        <w:widowControl w:val="0"/>
        <w:spacing w:after="0" w:line="360" w:lineRule="auto"/>
        <w:rPr>
          <w:rFonts w:eastAsia="Times New Roman" w:cs="Tahoma"/>
          <w:color w:val="000000"/>
          <w:lang w:eastAsia="es-MX"/>
        </w:rPr>
      </w:pPr>
    </w:p>
    <w:p w14:paraId="72C16203" w14:textId="77777777" w:rsidR="00530C42" w:rsidRPr="00530C42" w:rsidRDefault="00530C42" w:rsidP="00BE7735">
      <w:pPr>
        <w:widowControl w:val="0"/>
        <w:spacing w:after="0" w:line="360" w:lineRule="auto"/>
        <w:rPr>
          <w:rFonts w:eastAsia="Times New Roman" w:cs="Tahoma"/>
          <w:color w:val="000000"/>
          <w:lang w:eastAsia="es-MX"/>
        </w:rPr>
      </w:pPr>
      <w:r w:rsidRPr="00530C42">
        <w:rPr>
          <w:rFonts w:eastAsia="Times New Roman" w:cs="Tahoma"/>
          <w:color w:val="000000"/>
          <w:lang w:eastAsia="es-MX"/>
        </w:rPr>
        <w:t>En ese contexto, el Título profesional, el certificado de estudios o documento análogo,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7FDA0280" w14:textId="77777777" w:rsidR="00530C42" w:rsidRPr="00530C42" w:rsidRDefault="00530C42" w:rsidP="00BE7735">
      <w:pPr>
        <w:widowControl w:val="0"/>
        <w:spacing w:after="0" w:line="360" w:lineRule="auto"/>
        <w:rPr>
          <w:rFonts w:eastAsia="Times New Roman" w:cs="Tahoma"/>
          <w:color w:val="000000"/>
          <w:lang w:eastAsia="es-MX"/>
        </w:rPr>
      </w:pPr>
    </w:p>
    <w:p w14:paraId="699EDA9D" w14:textId="77777777" w:rsidR="00530C42" w:rsidRPr="00530C42" w:rsidRDefault="00530C42" w:rsidP="00BE7735">
      <w:pPr>
        <w:widowControl w:val="0"/>
        <w:spacing w:after="0" w:line="360" w:lineRule="auto"/>
        <w:rPr>
          <w:rFonts w:eastAsia="Times New Roman" w:cs="Tahoma"/>
          <w:color w:val="000000"/>
          <w:lang w:eastAsia="es-MX"/>
        </w:rPr>
      </w:pPr>
      <w:r w:rsidRPr="00530C42">
        <w:rPr>
          <w:rFonts w:eastAsia="Times New Roman" w:cs="Tahoma"/>
          <w:color w:val="000000"/>
          <w:lang w:eastAsia="es-MX"/>
        </w:rPr>
        <w:t xml:space="preserve">Además, es de señalar que la cédula profesional, es aquella expresión documental con validez legal, para certificar o demostrar que efectivamente una persona está </w:t>
      </w:r>
      <w:proofErr w:type="gramStart"/>
      <w:r w:rsidRPr="00530C42">
        <w:rPr>
          <w:rFonts w:eastAsia="Times New Roman" w:cs="Tahoma"/>
          <w:color w:val="000000"/>
          <w:lang w:eastAsia="es-MX"/>
        </w:rPr>
        <w:t>calificado</w:t>
      </w:r>
      <w:proofErr w:type="gramEnd"/>
      <w:r w:rsidRPr="00530C42">
        <w:rPr>
          <w:rFonts w:eastAsia="Times New Roman" w:cs="Tahoma"/>
          <w:color w:val="000000"/>
          <w:lang w:eastAsia="es-MX"/>
        </w:rPr>
        <w:t xml:space="preserve"> para ejercer la profesión para la cual se ha preparado y ha recibido un título profesional, conforme a lo referido en la página oficial de la Secretaría de Educación Pública.</w:t>
      </w:r>
    </w:p>
    <w:p w14:paraId="0E35AB74" w14:textId="77777777" w:rsidR="00530C42" w:rsidRPr="00530C42" w:rsidRDefault="00530C42" w:rsidP="00BE7735">
      <w:pPr>
        <w:widowControl w:val="0"/>
        <w:spacing w:after="0" w:line="360" w:lineRule="auto"/>
        <w:rPr>
          <w:rFonts w:eastAsia="Times New Roman" w:cs="Tahoma"/>
          <w:color w:val="000000"/>
          <w:lang w:eastAsia="es-MX"/>
        </w:rPr>
      </w:pPr>
    </w:p>
    <w:p w14:paraId="3BFF42A1" w14:textId="77777777" w:rsidR="00530C42" w:rsidRPr="00530C42" w:rsidRDefault="00530C42" w:rsidP="00BE7735">
      <w:pPr>
        <w:widowControl w:val="0"/>
        <w:spacing w:after="0" w:line="360" w:lineRule="auto"/>
        <w:rPr>
          <w:rFonts w:eastAsia="Times New Roman" w:cs="Tahoma"/>
          <w:color w:val="000000"/>
          <w:lang w:eastAsia="es-MX"/>
        </w:rPr>
      </w:pPr>
      <w:r w:rsidRPr="00530C42">
        <w:rPr>
          <w:rFonts w:eastAsia="Times New Roman" w:cs="Tahoma"/>
          <w:color w:val="000000"/>
          <w:lang w:eastAsia="es-MX"/>
        </w:rPr>
        <w:t>Así, los documentos que dan cuenta de la preparación académica sirven como medios de identificación, para que a su titular lo relacionen con el nivel de estudios con que cuenta, tales como comprobantes de estudio, independientemente de que estos sean o no medios de identificación oficiales.</w:t>
      </w:r>
    </w:p>
    <w:p w14:paraId="4AABEAE3" w14:textId="77777777" w:rsidR="00530C42" w:rsidRPr="00530C42" w:rsidRDefault="00530C42" w:rsidP="00BE7735">
      <w:pPr>
        <w:widowControl w:val="0"/>
        <w:spacing w:after="0" w:line="360" w:lineRule="auto"/>
        <w:rPr>
          <w:rFonts w:eastAsia="Times New Roman" w:cs="Tahoma"/>
          <w:color w:val="000000"/>
          <w:lang w:eastAsia="es-MX"/>
        </w:rPr>
      </w:pPr>
    </w:p>
    <w:p w14:paraId="405EDC7C" w14:textId="77777777" w:rsidR="00530C42" w:rsidRPr="00530C42" w:rsidRDefault="00530C42" w:rsidP="00BE7735">
      <w:pPr>
        <w:widowControl w:val="0"/>
        <w:spacing w:after="0" w:line="360" w:lineRule="auto"/>
        <w:rPr>
          <w:rFonts w:eastAsia="Times New Roman" w:cs="Tahoma"/>
          <w:color w:val="000000"/>
          <w:lang w:eastAsia="es-MX"/>
        </w:rPr>
      </w:pPr>
      <w:r w:rsidRPr="00530C42">
        <w:rPr>
          <w:rFonts w:eastAsia="Times New Roman" w:cs="Tahoma"/>
          <w:color w:val="000000"/>
          <w:lang w:eastAsia="es-MX"/>
        </w:rPr>
        <w:t xml:space="preserve">Además, debe tenerse presente que la naturaleza del certificado, título, cédula </w:t>
      </w:r>
      <w:proofErr w:type="spellStart"/>
      <w:r w:rsidRPr="00530C42">
        <w:rPr>
          <w:rFonts w:eastAsia="Times New Roman" w:cs="Tahoma"/>
          <w:color w:val="000000"/>
          <w:lang w:eastAsia="es-MX"/>
        </w:rPr>
        <w:t>u</w:t>
      </w:r>
      <w:proofErr w:type="spellEnd"/>
      <w:r w:rsidRPr="00530C42">
        <w:rPr>
          <w:rFonts w:eastAsia="Times New Roman" w:cs="Tahoma"/>
          <w:color w:val="000000"/>
          <w:lang w:eastAsia="es-MX"/>
        </w:rPr>
        <w:t xml:space="preserve"> homólogo, consiste en la de ser documentos de identificación para que a sus titulares, los acrediten como </w:t>
      </w:r>
      <w:r w:rsidRPr="00530C42">
        <w:rPr>
          <w:rFonts w:eastAsia="Times New Roman" w:cs="Tahoma"/>
          <w:color w:val="000000"/>
          <w:lang w:eastAsia="es-MX"/>
        </w:rPr>
        <w:lastRenderedPageBreak/>
        <w:t>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03744191" w14:textId="784BF4A7" w:rsidR="002A03EE" w:rsidRDefault="002A03EE" w:rsidP="00BE7735">
      <w:pPr>
        <w:widowControl w:val="0"/>
        <w:spacing w:after="0" w:line="360" w:lineRule="auto"/>
        <w:rPr>
          <w:rFonts w:eastAsia="Times New Roman" w:cs="Tahoma"/>
          <w:color w:val="000000"/>
          <w:lang w:eastAsia="es-MX"/>
        </w:rPr>
      </w:pPr>
    </w:p>
    <w:p w14:paraId="238D6C9F" w14:textId="77777777" w:rsidR="002A03EE" w:rsidRDefault="002A03EE" w:rsidP="00BE7735">
      <w:pPr>
        <w:widowControl w:val="0"/>
        <w:spacing w:after="0" w:line="360" w:lineRule="auto"/>
        <w:rPr>
          <w:rFonts w:eastAsia="Times New Roman" w:cs="Tahoma"/>
          <w:color w:val="000000"/>
          <w:lang w:eastAsia="es-MX"/>
        </w:rPr>
      </w:pPr>
    </w:p>
    <w:p w14:paraId="420AE6A7" w14:textId="34810A54" w:rsidR="0097204F" w:rsidRDefault="00991507" w:rsidP="00BE7735">
      <w:pPr>
        <w:widowControl w:val="0"/>
        <w:spacing w:after="0" w:line="360" w:lineRule="auto"/>
        <w:rPr>
          <w:rFonts w:eastAsia="Times New Roman" w:cs="Tahoma"/>
          <w:color w:val="000000"/>
          <w:lang w:eastAsia="es-MX"/>
        </w:rPr>
      </w:pPr>
      <w:r w:rsidRPr="00852131">
        <w:rPr>
          <w:rFonts w:eastAsia="Times New Roman" w:cs="Tahoma"/>
          <w:color w:val="000000"/>
          <w:lang w:eastAsia="es-MX"/>
        </w:rPr>
        <w:t xml:space="preserve">Así, se logra advertir que la pretensión del hoy Recurrente es obtener </w:t>
      </w:r>
      <w:r w:rsidR="0097204F">
        <w:rPr>
          <w:rFonts w:eastAsia="Times New Roman" w:cs="Tahoma"/>
          <w:color w:val="000000"/>
          <w:lang w:eastAsia="es-MX"/>
        </w:rPr>
        <w:t xml:space="preserve">los documentos donde conste la información curricular y el comprobante del último grado o nivel de estudios de todos los servidores públicos en funciones al trece de enero de dos mil veinticinco. </w:t>
      </w:r>
    </w:p>
    <w:p w14:paraId="26ED0A8B" w14:textId="77777777" w:rsidR="00991507" w:rsidRPr="00991507" w:rsidRDefault="00991507" w:rsidP="00BE7735">
      <w:pPr>
        <w:widowControl w:val="0"/>
        <w:spacing w:after="0" w:line="360" w:lineRule="auto"/>
        <w:rPr>
          <w:rFonts w:eastAsia="Times New Roman" w:cs="Tahoma"/>
          <w:b/>
          <w:color w:val="000000"/>
          <w:lang w:eastAsia="es-MX"/>
        </w:rPr>
      </w:pPr>
    </w:p>
    <w:p w14:paraId="51C51E7C" w14:textId="70715FB5" w:rsidR="00471416" w:rsidRDefault="00991507" w:rsidP="00BE7735">
      <w:pPr>
        <w:spacing w:after="0" w:line="360" w:lineRule="auto"/>
        <w:rPr>
          <w:rFonts w:eastAsia="Times New Roman" w:cs="Tahoma"/>
          <w:color w:val="auto"/>
          <w:lang w:val="es-ES" w:eastAsia="es-ES"/>
        </w:rPr>
      </w:pPr>
      <w:r w:rsidRPr="00991507">
        <w:rPr>
          <w:rFonts w:eastAsia="Times New Roman" w:cs="Tahoma"/>
          <w:color w:val="auto"/>
          <w:lang w:val="es-ES" w:eastAsia="es-ES"/>
        </w:rPr>
        <w:t xml:space="preserve">Establecido lo anterior, se procede analizar el agravió hecho valer por la Recurrente, referente </w:t>
      </w:r>
      <w:r w:rsidR="00210840">
        <w:rPr>
          <w:rFonts w:eastAsia="Times New Roman" w:cs="Tahoma"/>
          <w:color w:val="auto"/>
          <w:lang w:val="es-ES" w:eastAsia="es-ES"/>
        </w:rPr>
        <w:t>a la entrega de información incompleta</w:t>
      </w:r>
      <w:r w:rsidR="009C15F8">
        <w:rPr>
          <w:rFonts w:eastAsia="Times New Roman" w:cs="Tahoma"/>
          <w:color w:val="auto"/>
          <w:lang w:val="es-ES" w:eastAsia="es-ES"/>
        </w:rPr>
        <w:t>, para lo cual el análisis se realizará por cada punto de la solicitud.</w:t>
      </w:r>
    </w:p>
    <w:p w14:paraId="2251181C" w14:textId="77777777" w:rsidR="0097204F" w:rsidRDefault="0097204F" w:rsidP="00BE7735">
      <w:pPr>
        <w:spacing w:after="0" w:line="360" w:lineRule="auto"/>
        <w:rPr>
          <w:rFonts w:eastAsia="Times New Roman" w:cs="Tahoma"/>
          <w:color w:val="auto"/>
          <w:lang w:val="es-ES" w:eastAsia="es-ES"/>
        </w:rPr>
      </w:pPr>
    </w:p>
    <w:p w14:paraId="4E03DDA2" w14:textId="45AB4B28" w:rsidR="00AD17A7" w:rsidRDefault="00AD17A7" w:rsidP="00BE7735">
      <w:pPr>
        <w:spacing w:after="0" w:line="360" w:lineRule="auto"/>
        <w:rPr>
          <w:rFonts w:eastAsia="Times New Roman" w:cs="Tahoma"/>
          <w:color w:val="auto"/>
          <w:lang w:val="es-ES" w:eastAsia="es-ES"/>
        </w:rPr>
      </w:pPr>
      <w:r>
        <w:rPr>
          <w:rFonts w:eastAsia="Times New Roman" w:cs="Tahoma"/>
          <w:color w:val="auto"/>
          <w:lang w:val="es-ES" w:eastAsia="es-ES"/>
        </w:rPr>
        <w:t xml:space="preserve">En tal sentido, por lo que respecta a los </w:t>
      </w:r>
      <w:proofErr w:type="spellStart"/>
      <w:r>
        <w:rPr>
          <w:rFonts w:eastAsia="Times New Roman" w:cs="Tahoma"/>
          <w:color w:val="auto"/>
          <w:lang w:val="es-ES" w:eastAsia="es-ES"/>
        </w:rPr>
        <w:t>curriculums</w:t>
      </w:r>
      <w:proofErr w:type="spellEnd"/>
      <w:r>
        <w:rPr>
          <w:rFonts w:eastAsia="Times New Roman" w:cs="Tahoma"/>
          <w:color w:val="auto"/>
          <w:lang w:val="es-ES" w:eastAsia="es-ES"/>
        </w:rPr>
        <w:t xml:space="preserve"> de los </w:t>
      </w:r>
      <w:r w:rsidR="00740E0E">
        <w:rPr>
          <w:rFonts w:eastAsia="Times New Roman" w:cs="Tahoma"/>
          <w:color w:val="auto"/>
          <w:lang w:val="es-ES" w:eastAsia="es-ES"/>
        </w:rPr>
        <w:t xml:space="preserve">servidores públicos, el Sujeto Obligado remitió </w:t>
      </w:r>
      <w:r w:rsidR="00EA5AFD">
        <w:rPr>
          <w:rFonts w:eastAsia="Times New Roman" w:cs="Tahoma"/>
          <w:color w:val="auto"/>
          <w:lang w:val="es-ES" w:eastAsia="es-ES"/>
        </w:rPr>
        <w:t xml:space="preserve">los </w:t>
      </w:r>
      <w:proofErr w:type="spellStart"/>
      <w:r w:rsidR="00EA5AFD">
        <w:rPr>
          <w:rFonts w:eastAsia="Times New Roman" w:cs="Tahoma"/>
          <w:color w:val="auto"/>
          <w:lang w:val="es-ES" w:eastAsia="es-ES"/>
        </w:rPr>
        <w:t>curriculums</w:t>
      </w:r>
      <w:proofErr w:type="spellEnd"/>
      <w:r w:rsidR="00EA5AFD">
        <w:rPr>
          <w:rFonts w:eastAsia="Times New Roman" w:cs="Tahoma"/>
          <w:color w:val="auto"/>
          <w:lang w:val="es-ES" w:eastAsia="es-ES"/>
        </w:rPr>
        <w:t xml:space="preserve"> de veinte servidores públicos</w:t>
      </w:r>
      <w:r w:rsidR="006F0857">
        <w:rPr>
          <w:rFonts w:eastAsia="Times New Roman" w:cs="Tahoma"/>
          <w:color w:val="auto"/>
          <w:lang w:val="es-ES" w:eastAsia="es-ES"/>
        </w:rPr>
        <w:t>; n</w:t>
      </w:r>
      <w:r w:rsidR="00EA5AFD">
        <w:rPr>
          <w:rFonts w:eastAsia="Times New Roman" w:cs="Tahoma"/>
          <w:color w:val="auto"/>
          <w:lang w:val="es-ES" w:eastAsia="es-ES"/>
        </w:rPr>
        <w:t xml:space="preserve">o obstante de la revisión de dichos </w:t>
      </w:r>
      <w:r w:rsidR="006F0857">
        <w:rPr>
          <w:rFonts w:eastAsia="Times New Roman" w:cs="Tahoma"/>
          <w:color w:val="auto"/>
          <w:lang w:val="es-ES" w:eastAsia="es-ES"/>
        </w:rPr>
        <w:t xml:space="preserve">documentos </w:t>
      </w:r>
      <w:r w:rsidR="00F46B13">
        <w:rPr>
          <w:rFonts w:eastAsia="Times New Roman" w:cs="Tahoma"/>
          <w:color w:val="auto"/>
          <w:lang w:val="es-ES" w:eastAsia="es-ES"/>
        </w:rPr>
        <w:t>y el contraste con el  directorio del Sujeto Obligado</w:t>
      </w:r>
      <w:r w:rsidR="00EA5AFD">
        <w:rPr>
          <w:rFonts w:eastAsia="Times New Roman" w:cs="Tahoma"/>
          <w:color w:val="auto"/>
          <w:lang w:val="es-ES" w:eastAsia="es-ES"/>
        </w:rPr>
        <w:t>, este Instituto pudo apreciar que no se remitieron de todos los servidores públicos</w:t>
      </w:r>
      <w:r w:rsidR="00F46B13">
        <w:rPr>
          <w:rFonts w:eastAsia="Times New Roman" w:cs="Tahoma"/>
          <w:color w:val="auto"/>
          <w:lang w:val="es-ES" w:eastAsia="es-ES"/>
        </w:rPr>
        <w:t xml:space="preserve">, </w:t>
      </w:r>
      <w:r w:rsidR="00EA5AFD">
        <w:rPr>
          <w:rFonts w:eastAsia="Times New Roman" w:cs="Tahoma"/>
          <w:color w:val="auto"/>
          <w:lang w:val="es-ES" w:eastAsia="es-ES"/>
        </w:rPr>
        <w:t xml:space="preserve">pues de manera enunciativa, se aprecia que no se remitió </w:t>
      </w:r>
      <w:r w:rsidR="006F0857">
        <w:rPr>
          <w:rFonts w:eastAsia="Times New Roman" w:cs="Tahoma"/>
          <w:color w:val="auto"/>
          <w:lang w:val="es-ES" w:eastAsia="es-ES"/>
        </w:rPr>
        <w:t>la información</w:t>
      </w:r>
      <w:r w:rsidR="00874394">
        <w:rPr>
          <w:rFonts w:eastAsia="Times New Roman" w:cs="Tahoma"/>
          <w:color w:val="auto"/>
          <w:lang w:val="es-ES" w:eastAsia="es-ES"/>
        </w:rPr>
        <w:t xml:space="preserve"> de </w:t>
      </w:r>
      <w:r w:rsidR="00F46B13">
        <w:rPr>
          <w:rFonts w:eastAsia="Times New Roman" w:cs="Tahoma"/>
          <w:color w:val="auto"/>
          <w:lang w:val="es-ES" w:eastAsia="es-ES"/>
        </w:rPr>
        <w:t>la Presidenta del Sistema, Director General, Tesorero y Titular de la Unidad de Transparencia.</w:t>
      </w:r>
    </w:p>
    <w:p w14:paraId="09AE4652" w14:textId="77777777" w:rsidR="00F46B13" w:rsidRDefault="00F46B13" w:rsidP="00BE7735">
      <w:pPr>
        <w:spacing w:after="0" w:line="360" w:lineRule="auto"/>
        <w:rPr>
          <w:rFonts w:eastAsia="Times New Roman" w:cs="Tahoma"/>
          <w:color w:val="auto"/>
          <w:lang w:val="es-ES" w:eastAsia="es-ES"/>
        </w:rPr>
      </w:pPr>
    </w:p>
    <w:p w14:paraId="17E0B989" w14:textId="19552E3F" w:rsidR="0069701D" w:rsidRPr="000270C3" w:rsidRDefault="0069701D" w:rsidP="0069701D">
      <w:pPr>
        <w:spacing w:after="0" w:line="360" w:lineRule="auto"/>
        <w:rPr>
          <w:rFonts w:eastAsia="Calibri" w:cs="Times New Roman"/>
        </w:rPr>
      </w:pPr>
      <w:r>
        <w:rPr>
          <w:rFonts w:eastAsia="Calibri" w:cs="Tahoma"/>
          <w:bCs/>
        </w:rPr>
        <w:t xml:space="preserve">De tal circunstancia, se considera que para atender el requerimiento de información, el Sujeto Obligado deberá realizar una búsqueda exhaustiva y razonable en los archivos de las unidades </w:t>
      </w:r>
      <w:proofErr w:type="spellStart"/>
      <w:r>
        <w:rPr>
          <w:rFonts w:eastAsia="Calibri" w:cs="Tahoma"/>
          <w:bCs/>
        </w:rPr>
        <w:t>adminsitrativas</w:t>
      </w:r>
      <w:proofErr w:type="spellEnd"/>
      <w:r>
        <w:rPr>
          <w:rFonts w:eastAsia="Calibri" w:cs="Tahoma"/>
          <w:bCs/>
        </w:rPr>
        <w:t xml:space="preserve"> competentes, a efecto de que </w:t>
      </w:r>
      <w:proofErr w:type="spellStart"/>
      <w:r>
        <w:rPr>
          <w:rFonts w:eastAsia="Calibri" w:cs="Tahoma"/>
          <w:bCs/>
        </w:rPr>
        <w:t>proprocione</w:t>
      </w:r>
      <w:proofErr w:type="spellEnd"/>
      <w:r>
        <w:rPr>
          <w:rFonts w:eastAsia="Calibri" w:cs="Tahoma"/>
          <w:bCs/>
        </w:rPr>
        <w:t xml:space="preserve"> la información curricular de los servidores públicos faltantes en funciones a la fecha de la solicitud; </w:t>
      </w:r>
      <w:r w:rsidRPr="000270C3">
        <w:rPr>
          <w:rFonts w:eastAsia="Calibri" w:cs="Times New Roman"/>
          <w:bCs/>
          <w:lang w:val="es-ES"/>
        </w:rPr>
        <w:t>d</w:t>
      </w:r>
      <w:proofErr w:type="spellStart"/>
      <w:r w:rsidRPr="000270C3">
        <w:rPr>
          <w:rFonts w:eastAsia="Calibri" w:cs="Times New Roman"/>
          <w:bCs/>
          <w:iCs/>
        </w:rPr>
        <w:t>icha</w:t>
      </w:r>
      <w:proofErr w:type="spellEnd"/>
      <w:r w:rsidRPr="000270C3">
        <w:rPr>
          <w:rFonts w:eastAsia="Calibri" w:cs="Times New Roman"/>
          <w:bCs/>
          <w:iCs/>
        </w:rPr>
        <w:t xml:space="preserve"> situación toma sustento en</w:t>
      </w:r>
      <w:r w:rsidRPr="000270C3">
        <w:rPr>
          <w:rFonts w:eastAsia="Calibri" w:cs="Times New Roman"/>
          <w:bCs/>
        </w:rPr>
        <w:t xml:space="preserve"> el</w:t>
      </w:r>
      <w:r w:rsidRPr="000270C3">
        <w:rPr>
          <w:rFonts w:eastAsia="Calibri" w:cs="Times New Roman"/>
        </w:rPr>
        <w:t xml:space="preserve"> artículo 12 de la Ley de Transparencia y Acceso a la Información Pública del </w:t>
      </w:r>
      <w:r w:rsidRPr="000270C3">
        <w:rPr>
          <w:rFonts w:eastAsia="Calibri" w:cs="Times New Roman"/>
        </w:rPr>
        <w:lastRenderedPageBreak/>
        <w:t>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33A85AD" w14:textId="77777777" w:rsidR="0069701D" w:rsidRPr="000270C3" w:rsidRDefault="0069701D" w:rsidP="0069701D">
      <w:pPr>
        <w:spacing w:after="0" w:line="360" w:lineRule="auto"/>
        <w:rPr>
          <w:rFonts w:eastAsia="Calibri" w:cs="Times New Roman"/>
          <w:bCs/>
          <w:iCs/>
          <w:lang w:val="es-ES_tradnl"/>
        </w:rPr>
      </w:pPr>
    </w:p>
    <w:p w14:paraId="17270D93" w14:textId="77777777" w:rsidR="0069701D" w:rsidRPr="000270C3" w:rsidRDefault="0069701D" w:rsidP="0069701D">
      <w:pPr>
        <w:spacing w:after="0" w:line="360" w:lineRule="auto"/>
        <w:rPr>
          <w:rFonts w:eastAsia="Calibri" w:cs="Times New Roman"/>
        </w:rPr>
      </w:pPr>
      <w:r w:rsidRPr="000270C3">
        <w:rPr>
          <w:rFonts w:eastAsia="Calibri" w:cs="Times New Roman"/>
        </w:rPr>
        <w:t xml:space="preserve">De esta manera, </w:t>
      </w:r>
      <w:r w:rsidRPr="000270C3">
        <w:rPr>
          <w:rFonts w:eastAsia="Calibri" w:cs="Times New Roman"/>
          <w:lang w:val="es-ES"/>
        </w:rPr>
        <w:t xml:space="preserve">el derecho de acceso a la información pública se satisface en aquellos casos en que se entregue el soporte documental en el que conste la información solicitada, sin necesidad de elaborar documentos </w:t>
      </w:r>
      <w:r w:rsidRPr="000270C3">
        <w:rPr>
          <w:rFonts w:eastAsia="Calibri" w:cs="Times New Roman"/>
          <w:i/>
        </w:rPr>
        <w:t>ad hoc</w:t>
      </w:r>
      <w:r w:rsidRPr="000270C3">
        <w:rPr>
          <w:rFonts w:eastAsia="Calibri" w:cs="Times New Roman"/>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50407E11" w14:textId="77777777" w:rsidR="0069701D" w:rsidRPr="000270C3" w:rsidRDefault="0069701D" w:rsidP="0069701D">
      <w:pPr>
        <w:spacing w:after="0" w:line="360" w:lineRule="auto"/>
        <w:rPr>
          <w:rFonts w:eastAsia="Calibri" w:cs="Times New Roman"/>
        </w:rPr>
      </w:pPr>
    </w:p>
    <w:p w14:paraId="55313ED2" w14:textId="65F96054" w:rsidR="0069701D" w:rsidRDefault="0069701D" w:rsidP="0069701D">
      <w:pPr>
        <w:spacing w:after="0" w:line="360" w:lineRule="auto"/>
        <w:rPr>
          <w:rFonts w:eastAsia="Calibri" w:cs="Tahoma"/>
          <w:bCs/>
        </w:rPr>
      </w:pPr>
      <w:r w:rsidRPr="000270C3">
        <w:rPr>
          <w:rFonts w:eastAsia="Calibri" w:cs="Times New Roman"/>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Pr>
          <w:rFonts w:eastAsia="Calibri" w:cs="Times New Roman"/>
          <w:lang w:val="es-ES"/>
        </w:rPr>
        <w:t xml:space="preserve"> por lo que, en el presente caso, deberá proporcionar la información faltante.</w:t>
      </w:r>
    </w:p>
    <w:p w14:paraId="1F344C86" w14:textId="77777777" w:rsidR="006F0857" w:rsidRDefault="006F0857" w:rsidP="00BE7735">
      <w:pPr>
        <w:spacing w:after="0" w:line="360" w:lineRule="auto"/>
        <w:rPr>
          <w:rFonts w:eastAsia="Times New Roman" w:cs="Tahoma"/>
          <w:color w:val="auto"/>
          <w:lang w:val="es-ES" w:eastAsia="es-ES"/>
        </w:rPr>
      </w:pPr>
    </w:p>
    <w:p w14:paraId="18A0CB03" w14:textId="1DA900EB" w:rsidR="006F0857" w:rsidRPr="0069701D" w:rsidRDefault="0069701D" w:rsidP="0069701D">
      <w:pPr>
        <w:spacing w:after="0" w:line="360" w:lineRule="auto"/>
        <w:rPr>
          <w:rFonts w:eastAsia="Times New Roman" w:cs="Tahoma"/>
          <w:color w:val="auto"/>
          <w:lang w:val="es-ES" w:eastAsia="es-ES"/>
        </w:rPr>
      </w:pPr>
      <w:r>
        <w:rPr>
          <w:rFonts w:eastAsia="Times New Roman" w:cs="Tahoma"/>
          <w:color w:val="auto"/>
          <w:lang w:val="es-ES" w:eastAsia="es-ES"/>
        </w:rPr>
        <w:t xml:space="preserve">Ahora bien, respecto al comprobante del último grado o nivel de estudios de los trabajadores, el Sujeto Obligado omitió pronunciarse respecto a dichas documentales; </w:t>
      </w:r>
      <w:r w:rsidR="006F0857" w:rsidRPr="0007641D">
        <w:rPr>
          <w:rFonts w:eastAsia="Calibri" w:cs="Tahoma"/>
          <w:bCs/>
          <w:iCs/>
          <w:color w:val="000000"/>
          <w:szCs w:val="24"/>
        </w:rPr>
        <w:t>sobre el tema</w:t>
      </w:r>
      <w:r w:rsidR="006F0857" w:rsidRPr="0007641D">
        <w:rPr>
          <w:rFonts w:eastAsia="Calibri" w:cs="Times New Roman"/>
          <w:color w:val="000000"/>
        </w:rPr>
        <w:t>, el artículo 1.8, fracción XIII, del Código Administrativo del Estado de México, establece que para que tenga validez, todo acto administrativo deberá resolver todos los puntos propuestos por los interesados.</w:t>
      </w:r>
    </w:p>
    <w:p w14:paraId="6B98F526" w14:textId="77777777" w:rsidR="006F0857" w:rsidRPr="0007641D" w:rsidRDefault="006F0857" w:rsidP="006F0857">
      <w:pPr>
        <w:widowControl w:val="0"/>
        <w:autoSpaceDE w:val="0"/>
        <w:autoSpaceDN w:val="0"/>
        <w:adjustRightInd w:val="0"/>
        <w:spacing w:after="0" w:line="360" w:lineRule="auto"/>
        <w:rPr>
          <w:rFonts w:eastAsia="Calibri" w:cs="Tahoma"/>
          <w:bCs/>
          <w:color w:val="000000"/>
        </w:rPr>
      </w:pPr>
    </w:p>
    <w:p w14:paraId="6601A272" w14:textId="77777777" w:rsidR="006F0857" w:rsidRPr="0007641D" w:rsidRDefault="006F0857" w:rsidP="006F0857">
      <w:pPr>
        <w:spacing w:after="0" w:line="360" w:lineRule="auto"/>
        <w:rPr>
          <w:rFonts w:eastAsia="Calibri" w:cs="Times New Roman"/>
          <w:color w:val="000000"/>
        </w:rPr>
      </w:pPr>
      <w:r w:rsidRPr="0007641D">
        <w:rPr>
          <w:rFonts w:eastAsia="Calibri" w:cs="Times New Roman"/>
          <w:color w:val="000000"/>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07641D">
        <w:rPr>
          <w:rFonts w:eastAsia="Calibri" w:cs="Times New Roman"/>
          <w:b/>
          <w:bCs/>
          <w:color w:val="000000"/>
        </w:rPr>
        <w:t>principio de exhaustividad</w:t>
      </w:r>
      <w:r w:rsidRPr="0007641D">
        <w:rPr>
          <w:rFonts w:eastAsia="Calibri" w:cs="Times New Roman"/>
          <w:color w:val="000000"/>
        </w:rPr>
        <w:t xml:space="preserve">, entendiendo por éste que se pronuncie expresamente sobre cada uno de los puntos requeridos, lo cual en materia de transparencia y acceso a la información pública se </w:t>
      </w:r>
      <w:r w:rsidRPr="0007641D">
        <w:rPr>
          <w:rFonts w:eastAsia="Calibri" w:cs="Times New Roman"/>
          <w:color w:val="000000"/>
        </w:rPr>
        <w:lastRenderedPageBreak/>
        <w:t>traduce en que, las respuestas que emitan los sujetos obligados, deben guardar una relación lógica con lo solicitado, analizando y decidiendo –de marea íntegra- sobre todos los puntos requeridos, a fin de satisfacer la solicitud correspondiente.</w:t>
      </w:r>
    </w:p>
    <w:p w14:paraId="67C1E221" w14:textId="77777777" w:rsidR="006F0857" w:rsidRPr="0007641D" w:rsidRDefault="006F0857" w:rsidP="006F0857">
      <w:pPr>
        <w:spacing w:after="0" w:line="360" w:lineRule="auto"/>
        <w:rPr>
          <w:rFonts w:eastAsia="Calibri" w:cs="Tahoma"/>
          <w:bCs/>
          <w:color w:val="000000"/>
        </w:rPr>
      </w:pPr>
    </w:p>
    <w:p w14:paraId="140CE95A" w14:textId="2CE6E438" w:rsidR="006F0857" w:rsidRDefault="006F0857" w:rsidP="006F0857">
      <w:pPr>
        <w:spacing w:after="0" w:line="360" w:lineRule="auto"/>
        <w:rPr>
          <w:rFonts w:eastAsia="Calibri" w:cs="Times New Roman"/>
          <w:color w:val="000000"/>
        </w:rPr>
      </w:pPr>
      <w:r w:rsidRPr="0007641D">
        <w:rPr>
          <w:rFonts w:eastAsia="Calibri" w:cs="Times New Roman"/>
          <w:color w:val="000000"/>
        </w:rPr>
        <w:t xml:space="preserve">En esa tesitura, se concluye que el Sujeto Obligado no satisfizo el derecho de acceso a la información del Solicitante, pues omitió pronunciarse sobre la información solicitada, al no </w:t>
      </w:r>
      <w:r w:rsidR="0069701D">
        <w:rPr>
          <w:rFonts w:eastAsia="Calibri" w:cs="Times New Roman"/>
          <w:color w:val="000000"/>
        </w:rPr>
        <w:t>pronunciarse de la información solicitada, por lo que, para atender el requerimiento de información, el Sujeto Obligado deberá realizar una búsqueda exhaustiva y razonable en sus archivos, a efecto de proporcionar el comprobante del último nivel o grado de estudios de los servidores públicos en funciones a la fecha de la solicitud, con el fin de dar cumplimiento a los artículos 12, 160 y 162 de la Ley de Transparencia y Acceso a la Información Pública del Estado de México y Municipios.</w:t>
      </w:r>
    </w:p>
    <w:p w14:paraId="3A0516C9" w14:textId="77777777" w:rsidR="00F2695D" w:rsidRDefault="00F2695D" w:rsidP="006F0857">
      <w:pPr>
        <w:spacing w:after="0" w:line="360" w:lineRule="auto"/>
        <w:rPr>
          <w:rFonts w:eastAsia="Calibri" w:cs="Times New Roman"/>
          <w:color w:val="000000"/>
        </w:rPr>
      </w:pPr>
    </w:p>
    <w:p w14:paraId="1326CF7C" w14:textId="7015642C" w:rsidR="00F2695D" w:rsidRPr="0007641D" w:rsidRDefault="00F2695D" w:rsidP="006F0857">
      <w:pPr>
        <w:spacing w:after="0" w:line="360" w:lineRule="auto"/>
        <w:rPr>
          <w:rFonts w:eastAsia="Calibri" w:cs="Times New Roman"/>
          <w:b/>
          <w:bCs/>
          <w:color w:val="000000"/>
        </w:rPr>
      </w:pPr>
      <w:r>
        <w:rPr>
          <w:rFonts w:eastAsia="Calibri" w:cs="Times New Roman"/>
          <w:color w:val="000000"/>
        </w:rPr>
        <w:t xml:space="preserve">Ahora bien, para el caso de que alguno de los servidores públicos no </w:t>
      </w:r>
      <w:proofErr w:type="spellStart"/>
      <w:r>
        <w:rPr>
          <w:rFonts w:eastAsia="Calibri" w:cs="Times New Roman"/>
          <w:color w:val="000000"/>
        </w:rPr>
        <w:t>este</w:t>
      </w:r>
      <w:proofErr w:type="spellEnd"/>
      <w:r>
        <w:rPr>
          <w:rFonts w:eastAsia="Calibri" w:cs="Times New Roman"/>
          <w:color w:val="000000"/>
        </w:rPr>
        <w:t xml:space="preserve"> obligado a presentar el último nivel o grado de estudios, deberá hacerlo del conocimiento de la parte Recurrente, de manera clara y precisa, en términos del artículo 19, párrafo segundo, de la Ley de Transparencia y Acceso a la Información Pública del Estado de México y Municipios.</w:t>
      </w:r>
    </w:p>
    <w:p w14:paraId="59CF80FA" w14:textId="77777777" w:rsidR="006F0857" w:rsidRDefault="006F0857" w:rsidP="00BE7735">
      <w:pPr>
        <w:spacing w:after="0" w:line="360" w:lineRule="auto"/>
        <w:rPr>
          <w:rFonts w:cs="Tahoma"/>
        </w:rPr>
      </w:pPr>
    </w:p>
    <w:p w14:paraId="41D8DE25" w14:textId="084894BA" w:rsidR="00991507" w:rsidRPr="00B16339" w:rsidRDefault="00471416" w:rsidP="00BE7735">
      <w:pPr>
        <w:spacing w:after="0" w:line="360" w:lineRule="auto"/>
        <w:rPr>
          <w:rFonts w:cs="Tahoma"/>
        </w:rPr>
      </w:pPr>
      <w:r>
        <w:rPr>
          <w:rFonts w:cs="Tahoma"/>
        </w:rPr>
        <w:t xml:space="preserve">Ahora bien, por lo que respecta a la </w:t>
      </w:r>
      <w:r w:rsidR="0069701D">
        <w:rPr>
          <w:rFonts w:cs="Tahoma"/>
        </w:rPr>
        <w:t>Conciliación de nómina y los</w:t>
      </w:r>
      <w:r w:rsidR="00B16339">
        <w:rPr>
          <w:rFonts w:cs="Tahoma"/>
        </w:rPr>
        <w:t xml:space="preserve"> recibos de pago</w:t>
      </w:r>
      <w:r w:rsidR="0069701D">
        <w:rPr>
          <w:rFonts w:cs="Tahoma"/>
        </w:rPr>
        <w:t>,</w:t>
      </w:r>
      <w:r>
        <w:rPr>
          <w:rFonts w:cs="Tahoma"/>
        </w:rPr>
        <w:t xml:space="preserve"> el Tesorero</w:t>
      </w:r>
      <w:r w:rsidR="00B16339">
        <w:rPr>
          <w:rFonts w:cs="Tahoma"/>
        </w:rPr>
        <w:t>, comunicó el cambio de modalidad a consulta directa</w:t>
      </w:r>
      <w:r w:rsidR="00991507" w:rsidRPr="00991507">
        <w:rPr>
          <w:rFonts w:eastAsia="Times New Roman" w:cs="Tahoma"/>
          <w:color w:val="auto"/>
          <w:lang w:val="es-ES" w:eastAsia="es-ES"/>
        </w:rPr>
        <w:t xml:space="preserve">; al respecto, cabe recordar que se requirió la información, a través del Sistema de Acceso a Información Mexiquense (SAIMEX). </w:t>
      </w:r>
    </w:p>
    <w:p w14:paraId="37CEFAA6" w14:textId="77777777" w:rsidR="00991507" w:rsidRPr="00991507" w:rsidRDefault="00991507" w:rsidP="00BE7735">
      <w:pPr>
        <w:spacing w:after="0" w:line="360" w:lineRule="auto"/>
        <w:ind w:right="-28"/>
        <w:contextualSpacing/>
        <w:rPr>
          <w:rFonts w:eastAsia="Times New Roman" w:cs="Tahoma"/>
          <w:color w:val="auto"/>
          <w:lang w:eastAsia="es-ES"/>
        </w:rPr>
      </w:pPr>
    </w:p>
    <w:p w14:paraId="1A72778B" w14:textId="77777777" w:rsidR="00991507" w:rsidRPr="00991507" w:rsidRDefault="00991507" w:rsidP="00BE7735">
      <w:pPr>
        <w:spacing w:after="0" w:line="360" w:lineRule="auto"/>
        <w:rPr>
          <w:rFonts w:eastAsia="Calibri" w:cs="Tahoma"/>
          <w:bCs/>
          <w:color w:val="auto"/>
        </w:rPr>
      </w:pPr>
      <w:r w:rsidRPr="00991507">
        <w:rPr>
          <w:rFonts w:eastAsia="Times New Roman" w:cs="Tahoma"/>
          <w:bCs/>
          <w:color w:val="0D0D0D"/>
          <w:lang w:eastAsia="es-ES"/>
        </w:rPr>
        <w:t>En ese sentido,</w:t>
      </w:r>
      <w:r w:rsidRPr="00991507">
        <w:rPr>
          <w:rFonts w:eastAsia="Calibri" w:cs="Tahoma"/>
          <w:bCs/>
          <w:color w:val="auto"/>
          <w:lang w:val="es-ES"/>
        </w:rPr>
        <w:t xml:space="preserve"> el artículo 155, fracción V, de la Ley de Transparencia y Acceso a la Información Pública del Estado de México y Municipios, precisa que </w:t>
      </w:r>
      <w:r w:rsidRPr="00991507">
        <w:rPr>
          <w:rFonts w:eastAsia="Calibri" w:cs="Tahoma"/>
          <w:bCs/>
          <w:color w:val="auto"/>
        </w:rPr>
        <w:t xml:space="preserve">para presentar una solicitud, la particular podrá señalar </w:t>
      </w:r>
      <w:r w:rsidRPr="00991507">
        <w:rPr>
          <w:rFonts w:eastAsia="Calibri" w:cs="Tahoma"/>
          <w:b/>
          <w:bCs/>
          <w:color w:val="auto"/>
        </w:rPr>
        <w:t>la modalidad en la que prefiere se otorgue el acceso a la información</w:t>
      </w:r>
      <w:r w:rsidRPr="00991507">
        <w:rPr>
          <w:rFonts w:eastAsia="Calibri" w:cs="Tahoma"/>
          <w:bCs/>
          <w:color w:val="auto"/>
        </w:rPr>
        <w:t xml:space="preserve">, la cual podrá ser verbal, siempre y cuando sea para fines de orientación, mediante consulta </w:t>
      </w:r>
      <w:r w:rsidRPr="00991507">
        <w:rPr>
          <w:rFonts w:eastAsia="Calibri" w:cs="Tahoma"/>
          <w:bCs/>
          <w:color w:val="auto"/>
        </w:rPr>
        <w:lastRenderedPageBreak/>
        <w:t>directa, mediante la expedición de copias simples o certificadas o la reproducción en cualquier otro medio, incluidos los electrónicos.</w:t>
      </w:r>
    </w:p>
    <w:p w14:paraId="3460BCAE" w14:textId="77777777" w:rsidR="00991507" w:rsidRPr="00991507" w:rsidRDefault="00991507" w:rsidP="00BE7735">
      <w:pPr>
        <w:spacing w:after="0" w:line="360" w:lineRule="auto"/>
        <w:rPr>
          <w:rFonts w:eastAsia="Calibri" w:cs="Tahoma"/>
          <w:bCs/>
          <w:color w:val="auto"/>
        </w:rPr>
      </w:pPr>
    </w:p>
    <w:p w14:paraId="7E3326FD" w14:textId="77777777" w:rsidR="00991507" w:rsidRPr="00991507" w:rsidRDefault="00991507" w:rsidP="00BE7735">
      <w:pPr>
        <w:spacing w:after="0" w:line="360" w:lineRule="auto"/>
        <w:rPr>
          <w:rFonts w:eastAsia="Calibri" w:cs="Tahoma"/>
          <w:b/>
          <w:bCs/>
          <w:color w:val="auto"/>
          <w:lang w:val="es-ES"/>
        </w:rPr>
      </w:pPr>
      <w:r w:rsidRPr="00991507">
        <w:rPr>
          <w:rFonts w:eastAsia="Calibri" w:cs="Tahoma"/>
          <w:bCs/>
          <w:color w:val="auto"/>
          <w:lang w:val="es-ES"/>
        </w:rPr>
        <w:t xml:space="preserve">El artículo 158, dispone que, de manera excepcional, cuando de manera fundada y motivada lo determine el Sujeto Obligado, </w:t>
      </w:r>
      <w:r w:rsidRPr="00991507">
        <w:rPr>
          <w:rFonts w:eastAsia="Calibri" w:cs="Tahoma"/>
          <w:b/>
          <w:bCs/>
          <w:color w:val="auto"/>
          <w:lang w:val="es-E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B6BB891" w14:textId="77777777" w:rsidR="00991507" w:rsidRPr="00991507" w:rsidRDefault="00991507" w:rsidP="00BE7735">
      <w:pPr>
        <w:spacing w:after="0" w:line="360" w:lineRule="auto"/>
        <w:rPr>
          <w:rFonts w:eastAsia="Calibri" w:cs="Tahoma"/>
          <w:b/>
          <w:bCs/>
          <w:color w:val="auto"/>
          <w:lang w:val="es-ES"/>
        </w:rPr>
      </w:pPr>
    </w:p>
    <w:p w14:paraId="58A1DFDB" w14:textId="637E4EF4" w:rsidR="00991507" w:rsidRDefault="00991507" w:rsidP="00BE7735">
      <w:pPr>
        <w:spacing w:after="0" w:line="360" w:lineRule="auto"/>
        <w:rPr>
          <w:rFonts w:eastAsia="Calibri" w:cs="Tahoma"/>
          <w:bCs/>
          <w:color w:val="auto"/>
        </w:rPr>
      </w:pPr>
      <w:r w:rsidRPr="00991507">
        <w:rPr>
          <w:rFonts w:eastAsia="Calibri" w:cs="Tahoma"/>
          <w:bCs/>
          <w:color w:val="auto"/>
          <w:lang w:val="es-ES"/>
        </w:rPr>
        <w:t xml:space="preserve">En ese orden de ideas, el artículo 164 de dicho ordenamiento jurídico, prevé que </w:t>
      </w:r>
      <w:r w:rsidRPr="00991507">
        <w:rPr>
          <w:rFonts w:eastAsia="Calibri" w:cs="Tahoma"/>
          <w:bCs/>
          <w:color w:val="auto"/>
        </w:rPr>
        <w:t xml:space="preserve">el acceso se dará en la modalidad de entrega y, en su caso, de envío elegidos por al solicitante. </w:t>
      </w:r>
      <w:r w:rsidRPr="00991507">
        <w:rPr>
          <w:rFonts w:eastAsia="Calibri" w:cs="Tahoma"/>
          <w:b/>
          <w:bCs/>
          <w:color w:val="auto"/>
        </w:rPr>
        <w:t>Cuando la información no pueda entregarse o enviarse en la modalidad elegida, el sujeto obligado deberá ofrecer otra u otras modalidades de entrega.</w:t>
      </w:r>
      <w:r w:rsidRPr="00991507">
        <w:rPr>
          <w:rFonts w:eastAsia="Calibri" w:cs="Tahoma"/>
          <w:bCs/>
          <w:color w:val="auto"/>
        </w:rPr>
        <w:t xml:space="preserve"> En cualquier caso, </w:t>
      </w:r>
      <w:r w:rsidRPr="00991507">
        <w:rPr>
          <w:rFonts w:eastAsia="Calibri" w:cs="Tahoma"/>
          <w:b/>
          <w:bCs/>
          <w:color w:val="auto"/>
        </w:rPr>
        <w:t>se deberá fundar y motivar</w:t>
      </w:r>
      <w:r w:rsidRPr="00991507">
        <w:rPr>
          <w:rFonts w:eastAsia="Calibri" w:cs="Tahoma"/>
          <w:bCs/>
          <w:color w:val="auto"/>
        </w:rPr>
        <w:t xml:space="preserve"> la necesidad de ofrecer otras modalidades.</w:t>
      </w:r>
    </w:p>
    <w:p w14:paraId="4A1267EC" w14:textId="77777777" w:rsidR="009C15F8" w:rsidRPr="00991507" w:rsidRDefault="009C15F8" w:rsidP="00BE7735">
      <w:pPr>
        <w:spacing w:after="0" w:line="360" w:lineRule="auto"/>
        <w:rPr>
          <w:rFonts w:eastAsia="Calibri" w:cs="Tahoma"/>
          <w:bCs/>
          <w:color w:val="auto"/>
        </w:rPr>
      </w:pPr>
    </w:p>
    <w:p w14:paraId="5515C746" w14:textId="77777777" w:rsidR="00991507" w:rsidRPr="00991507" w:rsidRDefault="00991507" w:rsidP="00BE7735">
      <w:pPr>
        <w:spacing w:after="0" w:line="360" w:lineRule="auto"/>
        <w:rPr>
          <w:rFonts w:eastAsia="Calibri" w:cs="Tahoma"/>
          <w:bCs/>
          <w:color w:val="auto"/>
          <w:lang w:val="es-ES"/>
        </w:rPr>
      </w:pPr>
      <w:r w:rsidRPr="00991507">
        <w:rPr>
          <w:rFonts w:eastAsia="Calibri" w:cs="Tahoma"/>
          <w:bCs/>
          <w:color w:val="auto"/>
          <w:lang w:val="es-E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991507">
        <w:rPr>
          <w:rFonts w:eastAsia="Calibri" w:cs="Tahoma"/>
          <w:b/>
          <w:bCs/>
          <w:color w:val="auto"/>
          <w:lang w:val="es-ES"/>
        </w:rPr>
        <w:t>en la medida de lo posible, en la forma solicitada por el interesado, salvo que exista un impedimento justificado para atenderla</w:t>
      </w:r>
      <w:r w:rsidRPr="00991507">
        <w:rPr>
          <w:rFonts w:eastAsia="Calibri" w:cs="Tahoma"/>
          <w:bCs/>
          <w:color w:val="auto"/>
          <w:lang w:val="es-ES"/>
        </w:rPr>
        <w:t xml:space="preserve">, en cuyo caso, deberán exponerse las razones por las cuales no es posible utilizar el medio de reproducción solicitado; en este sentido, la entrega de la información en una modalidad distinta a la elegida por la particular </w:t>
      </w:r>
      <w:r w:rsidRPr="00991507">
        <w:rPr>
          <w:rFonts w:eastAsia="Calibri" w:cs="Tahoma"/>
          <w:b/>
          <w:bCs/>
          <w:color w:val="auto"/>
          <w:lang w:val="es-ES"/>
        </w:rPr>
        <w:t>sólo procede, en caso de que se acredite la imposibilidad de atenderla.</w:t>
      </w:r>
      <w:r w:rsidRPr="00991507">
        <w:rPr>
          <w:rFonts w:eastAsia="Calibri" w:cs="Tahoma"/>
          <w:bCs/>
          <w:color w:val="auto"/>
          <w:lang w:val="es-ES"/>
        </w:rPr>
        <w:t xml:space="preserve"> </w:t>
      </w:r>
    </w:p>
    <w:p w14:paraId="3F8AA5CA" w14:textId="77777777" w:rsidR="00991507" w:rsidRPr="00991507" w:rsidRDefault="00991507" w:rsidP="00BE7735">
      <w:pPr>
        <w:spacing w:after="0" w:line="360" w:lineRule="auto"/>
        <w:rPr>
          <w:rFonts w:eastAsia="Calibri" w:cs="Tahoma"/>
          <w:bCs/>
          <w:color w:val="auto"/>
          <w:lang w:val="es-ES"/>
        </w:rPr>
      </w:pPr>
    </w:p>
    <w:p w14:paraId="6A3666F4" w14:textId="7F88A195" w:rsidR="00DA01E7" w:rsidRPr="00DA01E7" w:rsidRDefault="00DA01E7" w:rsidP="00DA01E7">
      <w:pPr>
        <w:spacing w:after="0" w:line="360" w:lineRule="auto"/>
        <w:contextualSpacing/>
        <w:rPr>
          <w:rFonts w:eastAsia="Palatino Linotype" w:cs="Tahoma"/>
          <w:b/>
          <w:color w:val="auto"/>
        </w:rPr>
      </w:pPr>
      <w:r w:rsidRPr="00DA01E7">
        <w:rPr>
          <w:rFonts w:eastAsia="Palatino Linotype" w:cs="Tahoma"/>
          <w:bCs/>
          <w:color w:val="auto"/>
          <w:lang w:val="es-ES"/>
        </w:rPr>
        <w:t xml:space="preserve">Así, cuando se justifique el impedimento, </w:t>
      </w:r>
      <w:r w:rsidRPr="00DA01E7">
        <w:rPr>
          <w:rFonts w:eastAsia="Palatino Linotype" w:cs="Tahoma"/>
          <w:b/>
          <w:bCs/>
          <w:color w:val="auto"/>
          <w:lang w:val="es-ES"/>
        </w:rPr>
        <w:t>los Sujetos Obligados deberán ofrecer al particular otras modalidades de entrega que permita la información</w:t>
      </w:r>
      <w:r w:rsidRPr="00DA01E7">
        <w:rPr>
          <w:rFonts w:eastAsia="Palatino Linotype" w:cs="Tahoma"/>
          <w:bCs/>
          <w:color w:val="auto"/>
          <w:lang w:val="es-ES"/>
        </w:rPr>
        <w:t xml:space="preserve">, como consulta directa en las oficinas de la Unidad de Transparencia; lo anterior, es robustecido con el Criterio SO/008/2017, </w:t>
      </w:r>
      <w:r w:rsidRPr="00DA01E7">
        <w:rPr>
          <w:rFonts w:eastAsia="Palatino Linotype" w:cs="Tahoma"/>
          <w:bCs/>
          <w:color w:val="auto"/>
          <w:lang w:val="es-ES"/>
        </w:rPr>
        <w:lastRenderedPageBreak/>
        <w:t xml:space="preserve">emitido por el Pleno del Instituto Nacional de Transparencia, Acceso a la Información y Protección de Datos Personales, </w:t>
      </w:r>
      <w:r w:rsidRPr="00DA01E7">
        <w:rPr>
          <w:rFonts w:eastAsia="Palatino Linotype" w:cs="Tahoma"/>
          <w:bCs/>
          <w:color w:val="auto"/>
        </w:rPr>
        <w:t xml:space="preserve">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DA01E7">
        <w:rPr>
          <w:rFonts w:eastAsia="Palatino Linotype" w:cs="Tahoma"/>
          <w:b/>
          <w:color w:val="auto"/>
        </w:rPr>
        <w:t>información en todas las modalidades que lo permitan, procurando reducir los costos de entrega</w:t>
      </w:r>
      <w:r w:rsidRPr="00DA01E7">
        <w:rPr>
          <w:rFonts w:eastAsia="Palatino Linotype" w:cs="Tahoma"/>
          <w:bCs/>
          <w:color w:val="auto"/>
        </w:rPr>
        <w:t>.</w:t>
      </w:r>
    </w:p>
    <w:p w14:paraId="44189900" w14:textId="77777777" w:rsidR="00DA01E7" w:rsidRPr="00DA01E7" w:rsidRDefault="00DA01E7" w:rsidP="00DA01E7">
      <w:pPr>
        <w:autoSpaceDE w:val="0"/>
        <w:autoSpaceDN w:val="0"/>
        <w:adjustRightInd w:val="0"/>
        <w:spacing w:after="0" w:line="360" w:lineRule="auto"/>
        <w:contextualSpacing/>
        <w:jc w:val="center"/>
        <w:rPr>
          <w:rFonts w:eastAsia="Cambria" w:cs="Times New Roman"/>
          <w:noProof/>
          <w:color w:val="auto"/>
          <w14:ligatures w14:val="standardContextual"/>
        </w:rPr>
      </w:pPr>
    </w:p>
    <w:p w14:paraId="2C505B3C" w14:textId="77777777" w:rsidR="00991507" w:rsidRPr="00991507" w:rsidRDefault="00991507" w:rsidP="00BE7735">
      <w:pPr>
        <w:widowControl w:val="0"/>
        <w:spacing w:after="0" w:line="360" w:lineRule="auto"/>
        <w:rPr>
          <w:rFonts w:eastAsia="Calibri" w:cs="Tahoma"/>
          <w:bCs/>
          <w:color w:val="auto"/>
          <w:lang w:val="es-ES"/>
        </w:rPr>
      </w:pPr>
      <w:r w:rsidRPr="00991507">
        <w:rPr>
          <w:rFonts w:eastAsia="Calibri" w:cs="Tahoma"/>
          <w:bCs/>
          <w:color w:val="auto"/>
          <w:lang w:val="es-E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21C8DAB9" w14:textId="77777777" w:rsidR="00991507" w:rsidRPr="00991507" w:rsidRDefault="00991507" w:rsidP="00BE7735">
      <w:pPr>
        <w:spacing w:after="0" w:line="360" w:lineRule="auto"/>
        <w:rPr>
          <w:rFonts w:eastAsia="Calibri" w:cs="Tahoma"/>
          <w:bCs/>
          <w:color w:val="auto"/>
          <w:lang w:val="es-ES"/>
        </w:rPr>
      </w:pPr>
    </w:p>
    <w:p w14:paraId="73B9353C" w14:textId="2F4BEC8B" w:rsidR="00991507" w:rsidRPr="00F2695D" w:rsidRDefault="00991507" w:rsidP="00F2695D">
      <w:pPr>
        <w:numPr>
          <w:ilvl w:val="0"/>
          <w:numId w:val="25"/>
        </w:numPr>
        <w:spacing w:after="0" w:line="360" w:lineRule="auto"/>
        <w:contextualSpacing/>
        <w:rPr>
          <w:rFonts w:eastAsia="Calibri" w:cs="Tahoma"/>
          <w:bCs/>
          <w:color w:val="auto"/>
          <w:lang w:val="es-ES" w:eastAsia="es-MX"/>
        </w:rPr>
      </w:pPr>
      <w:r w:rsidRPr="00991507">
        <w:rPr>
          <w:rFonts w:eastAsia="Calibri" w:cs="Tahoma"/>
          <w:bCs/>
          <w:color w:val="auto"/>
          <w:lang w:val="es-ES" w:eastAsia="es-MX"/>
        </w:rPr>
        <w:t>Las razones por las cuales la información implicaba un análisis, estudio o procesamiento de datos;</w:t>
      </w:r>
    </w:p>
    <w:p w14:paraId="5A1E6B2D" w14:textId="188F7E23" w:rsidR="00991507" w:rsidRPr="00F2695D" w:rsidRDefault="00991507" w:rsidP="00F2695D">
      <w:pPr>
        <w:numPr>
          <w:ilvl w:val="0"/>
          <w:numId w:val="25"/>
        </w:numPr>
        <w:spacing w:after="0" w:line="360" w:lineRule="auto"/>
        <w:contextualSpacing/>
        <w:jc w:val="left"/>
        <w:rPr>
          <w:rFonts w:eastAsia="Calibri" w:cs="Tahoma"/>
          <w:bCs/>
          <w:color w:val="auto"/>
          <w:lang w:val="es-ES" w:eastAsia="es-MX"/>
        </w:rPr>
      </w:pPr>
      <w:r w:rsidRPr="00991507">
        <w:rPr>
          <w:rFonts w:eastAsia="Times New Roman" w:cs="Tahoma"/>
          <w:iCs/>
          <w:color w:val="auto"/>
          <w:lang w:eastAsia="es-MX"/>
        </w:rPr>
        <w:t>Por qué motivo el tiempo, que se le otorga al Sujeto Obligado para dar respuesta, en la modalidad elegida a la solicitud de información, no le es suficiente</w:t>
      </w:r>
      <w:r w:rsidRPr="00991507">
        <w:rPr>
          <w:rFonts w:eastAsia="Calibri" w:cs="Tahoma"/>
          <w:bCs/>
          <w:color w:val="auto"/>
          <w:lang w:val="es-ES" w:eastAsia="es-MX"/>
        </w:rPr>
        <w:t>, y</w:t>
      </w:r>
    </w:p>
    <w:p w14:paraId="5C027FA7" w14:textId="77777777" w:rsidR="00991507" w:rsidRPr="00991507" w:rsidRDefault="00991507" w:rsidP="00BE7735">
      <w:pPr>
        <w:numPr>
          <w:ilvl w:val="0"/>
          <w:numId w:val="25"/>
        </w:numPr>
        <w:spacing w:after="0" w:line="360" w:lineRule="auto"/>
        <w:contextualSpacing/>
        <w:jc w:val="left"/>
        <w:rPr>
          <w:rFonts w:eastAsia="Calibri" w:cs="Tahoma"/>
          <w:bCs/>
          <w:color w:val="auto"/>
          <w:lang w:val="es-ES" w:eastAsia="es-MX"/>
        </w:rPr>
      </w:pPr>
      <w:r w:rsidRPr="00991507">
        <w:rPr>
          <w:rFonts w:eastAsia="Calibri" w:cs="Tahoma"/>
          <w:bCs/>
          <w:color w:val="auto"/>
          <w:lang w:val="es-ES" w:eastAsia="es-MX"/>
        </w:rPr>
        <w:t>La cantidad de recursos humanos y materiales con los que cuenta el Sujeto Obligado son insuficientes.</w:t>
      </w:r>
    </w:p>
    <w:p w14:paraId="66E80F7E" w14:textId="77777777" w:rsidR="00991507" w:rsidRPr="00991507" w:rsidRDefault="00991507" w:rsidP="00BE7735">
      <w:pPr>
        <w:spacing w:after="0" w:line="360" w:lineRule="auto"/>
        <w:ind w:right="-28"/>
        <w:contextualSpacing/>
        <w:rPr>
          <w:rFonts w:eastAsia="Calibri" w:cs="Tahoma"/>
          <w:bCs/>
          <w:color w:val="000000"/>
          <w:lang w:val="es-ES"/>
        </w:rPr>
      </w:pPr>
    </w:p>
    <w:p w14:paraId="6FA74F34" w14:textId="77777777" w:rsidR="00991507" w:rsidRPr="00991507" w:rsidRDefault="00991507" w:rsidP="00BE7735">
      <w:pPr>
        <w:spacing w:after="0" w:line="360" w:lineRule="auto"/>
        <w:ind w:right="-28"/>
        <w:contextualSpacing/>
        <w:rPr>
          <w:rFonts w:eastAsia="Calibri" w:cs="Tahoma"/>
          <w:bCs/>
          <w:color w:val="000000"/>
          <w:lang w:val="es-ES"/>
        </w:rPr>
      </w:pPr>
      <w:r w:rsidRPr="00991507">
        <w:rPr>
          <w:rFonts w:eastAsia="Calibri" w:cs="Tahoma"/>
          <w:bCs/>
          <w:color w:val="000000"/>
        </w:rPr>
        <w:t xml:space="preserve">Ahora bien, el Ente Recurrido precisó en respuesta que ponía a disposición del ahora Recurrente la documentación peticionada en consulta directa; sin embargo, este Instituto considera que omitió fundar y motivar el cambio de modalidad, pues no precisó las siguientes circunstancias: </w:t>
      </w:r>
    </w:p>
    <w:p w14:paraId="00967674" w14:textId="77777777" w:rsidR="00991507" w:rsidRPr="00991507" w:rsidRDefault="00991507" w:rsidP="00BE7735">
      <w:pPr>
        <w:spacing w:after="0" w:line="360" w:lineRule="auto"/>
        <w:rPr>
          <w:rFonts w:eastAsia="Calibri" w:cs="Tahoma"/>
          <w:bCs/>
          <w:color w:val="000000"/>
          <w:lang w:val="es-ES"/>
        </w:rPr>
      </w:pPr>
    </w:p>
    <w:p w14:paraId="274AFDA9" w14:textId="77777777" w:rsidR="00991507" w:rsidRPr="00991507" w:rsidRDefault="00991507" w:rsidP="00BE7735">
      <w:pPr>
        <w:numPr>
          <w:ilvl w:val="0"/>
          <w:numId w:val="26"/>
        </w:numPr>
        <w:spacing w:after="0" w:line="360" w:lineRule="auto"/>
        <w:contextualSpacing/>
        <w:jc w:val="left"/>
        <w:rPr>
          <w:rFonts w:eastAsia="Calibri" w:cs="Tahoma"/>
          <w:bCs/>
          <w:color w:val="000000"/>
          <w:lang w:val="es-ES"/>
        </w:rPr>
      </w:pPr>
      <w:r w:rsidRPr="00991507">
        <w:rPr>
          <w:rFonts w:eastAsia="Calibri" w:cs="Tahoma"/>
          <w:bCs/>
          <w:color w:val="000000"/>
          <w:lang w:val="es-ES"/>
        </w:rPr>
        <w:t>El número de hojas o peso aproximado de la información;</w:t>
      </w:r>
    </w:p>
    <w:p w14:paraId="02F1F4BF" w14:textId="77777777" w:rsidR="00991507" w:rsidRPr="00991507" w:rsidRDefault="00991507" w:rsidP="00BE7735">
      <w:pPr>
        <w:numPr>
          <w:ilvl w:val="0"/>
          <w:numId w:val="26"/>
        </w:numPr>
        <w:spacing w:after="0" w:line="360" w:lineRule="auto"/>
        <w:contextualSpacing/>
        <w:jc w:val="left"/>
        <w:rPr>
          <w:rFonts w:eastAsia="Calibri" w:cs="Tahoma"/>
          <w:bCs/>
          <w:color w:val="000000"/>
          <w:lang w:val="es-ES"/>
        </w:rPr>
      </w:pPr>
      <w:r w:rsidRPr="00991507">
        <w:rPr>
          <w:rFonts w:eastAsia="Calibri" w:cs="Tahoma"/>
          <w:bCs/>
          <w:color w:val="000000"/>
          <w:lang w:val="es-ES"/>
        </w:rPr>
        <w:t>La ubicación de los documentos que daban cuenta de la información solicitada;</w:t>
      </w:r>
    </w:p>
    <w:p w14:paraId="1746F2C8" w14:textId="77777777" w:rsidR="00991507" w:rsidRPr="00991507" w:rsidRDefault="00991507" w:rsidP="00BE7735">
      <w:pPr>
        <w:numPr>
          <w:ilvl w:val="0"/>
          <w:numId w:val="26"/>
        </w:numPr>
        <w:spacing w:after="0" w:line="360" w:lineRule="auto"/>
        <w:contextualSpacing/>
        <w:jc w:val="left"/>
        <w:rPr>
          <w:rFonts w:eastAsia="Calibri" w:cs="Tahoma"/>
          <w:bCs/>
          <w:color w:val="000000"/>
          <w:lang w:val="es-ES"/>
        </w:rPr>
      </w:pPr>
      <w:r w:rsidRPr="00991507">
        <w:rPr>
          <w:rFonts w:eastAsia="Calibri" w:cs="Tahoma"/>
          <w:bCs/>
          <w:color w:val="000000"/>
          <w:lang w:val="es-ES"/>
        </w:rPr>
        <w:lastRenderedPageBreak/>
        <w:t>La forma en que se encontraba la información (físico o digital), y</w:t>
      </w:r>
    </w:p>
    <w:p w14:paraId="17DCA503" w14:textId="77777777" w:rsidR="00991507" w:rsidRPr="00991507" w:rsidRDefault="00991507" w:rsidP="00BE7735">
      <w:pPr>
        <w:numPr>
          <w:ilvl w:val="0"/>
          <w:numId w:val="26"/>
        </w:numPr>
        <w:spacing w:after="0" w:line="360" w:lineRule="auto"/>
        <w:contextualSpacing/>
        <w:jc w:val="left"/>
        <w:rPr>
          <w:rFonts w:eastAsia="Calibri" w:cs="Tahoma"/>
          <w:bCs/>
          <w:color w:val="000000"/>
          <w:lang w:val="es-ES"/>
        </w:rPr>
      </w:pPr>
      <w:r w:rsidRPr="00991507">
        <w:rPr>
          <w:rFonts w:eastAsia="Calibri" w:cs="Tahoma"/>
          <w:bCs/>
          <w:color w:val="000000"/>
          <w:lang w:val="es-ES"/>
        </w:rPr>
        <w:t>Las capacidades técnicas y humanas con las que contaba el Sujeto Obligado.</w:t>
      </w:r>
    </w:p>
    <w:p w14:paraId="06B3155C" w14:textId="77777777" w:rsidR="00991507" w:rsidRPr="00991507" w:rsidRDefault="00991507" w:rsidP="00BE7735">
      <w:pPr>
        <w:spacing w:after="0" w:line="360" w:lineRule="auto"/>
        <w:rPr>
          <w:rFonts w:eastAsia="Times New Roman" w:cs="Times New Roman"/>
          <w:bCs/>
          <w:iCs/>
          <w:color w:val="auto"/>
          <w:szCs w:val="20"/>
          <w:lang w:val="es-ES" w:eastAsia="es-ES"/>
        </w:rPr>
      </w:pPr>
    </w:p>
    <w:p w14:paraId="1F471B2A" w14:textId="7ED39C03" w:rsidR="00991507" w:rsidRDefault="00991507" w:rsidP="00BE7735">
      <w:pPr>
        <w:spacing w:after="0" w:line="360" w:lineRule="auto"/>
        <w:rPr>
          <w:rFonts w:eastAsia="Times New Roman" w:cs="Times New Roman"/>
          <w:bCs/>
          <w:iCs/>
          <w:color w:val="auto"/>
          <w:szCs w:val="20"/>
          <w:lang w:val="es-ES" w:eastAsia="es-ES"/>
        </w:rPr>
      </w:pPr>
      <w:r w:rsidRPr="00991507">
        <w:rPr>
          <w:rFonts w:eastAsia="Times New Roman" w:cs="Times New Roman"/>
          <w:bCs/>
          <w:iCs/>
          <w:color w:val="auto"/>
          <w:szCs w:val="20"/>
          <w:lang w:val="es-ES" w:eastAsia="es-ES"/>
        </w:rPr>
        <w:t>Además, tampoco acreditó que lo peticionado implicaba un análisis, procesamiento o estudio de documentos cuya reproducción sobrepasará las capacidades técnicas, administrativas y humanas del Sujeto Obligado, pues como se refirió no señaló ninguna de las circunstancias previamente referidas</w:t>
      </w:r>
      <w:r w:rsidR="00DA01E7">
        <w:rPr>
          <w:rFonts w:eastAsia="Times New Roman" w:cs="Times New Roman"/>
          <w:bCs/>
          <w:iCs/>
          <w:color w:val="auto"/>
          <w:szCs w:val="20"/>
          <w:lang w:val="es-ES" w:eastAsia="es-ES"/>
        </w:rPr>
        <w:t>; lo cual toma relevancia, pues este Instituto realizó una búsqueda en el Portal de Información Pública de Oficio Mexiquense y localizó que durante el dos mil veinticuatro contaba con un total de noventa y seis plazas, por lo que, la información que da cuenta de lo peticionado no sobrepasa las setecientas fojas.</w:t>
      </w:r>
    </w:p>
    <w:p w14:paraId="1E2AEB58" w14:textId="77777777" w:rsidR="00DA01E7" w:rsidRDefault="00DA01E7" w:rsidP="00BE7735">
      <w:pPr>
        <w:spacing w:after="0" w:line="360" w:lineRule="auto"/>
        <w:rPr>
          <w:rFonts w:eastAsia="Times New Roman" w:cs="Times New Roman"/>
          <w:bCs/>
          <w:iCs/>
          <w:color w:val="auto"/>
          <w:szCs w:val="20"/>
          <w:lang w:val="es-ES" w:eastAsia="es-ES"/>
        </w:rPr>
      </w:pPr>
    </w:p>
    <w:p w14:paraId="7F3173E1" w14:textId="77777777" w:rsidR="00DA01E7" w:rsidRPr="00DA01E7" w:rsidRDefault="00DA01E7" w:rsidP="00DA01E7">
      <w:pPr>
        <w:autoSpaceDE w:val="0"/>
        <w:autoSpaceDN w:val="0"/>
        <w:adjustRightInd w:val="0"/>
        <w:spacing w:after="0" w:line="360" w:lineRule="auto"/>
        <w:rPr>
          <w:rFonts w:eastAsia="Palatino Linotype" w:cs="Tahoma"/>
          <w:color w:val="auto"/>
          <w:szCs w:val="24"/>
        </w:rPr>
      </w:pPr>
      <w:r w:rsidRPr="00DA01E7">
        <w:rPr>
          <w:rFonts w:eastAsia="Palatino Linotype" w:cs="Tahoma"/>
          <w:color w:val="auto"/>
          <w:szCs w:val="24"/>
        </w:rPr>
        <w:t>Al respecto, 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quinientos megabytes o su equivalente a ocho mil fojas.</w:t>
      </w:r>
    </w:p>
    <w:p w14:paraId="27377F05" w14:textId="77777777" w:rsidR="00DA01E7" w:rsidRPr="00DA01E7" w:rsidRDefault="00DA01E7" w:rsidP="00DA01E7">
      <w:pPr>
        <w:autoSpaceDE w:val="0"/>
        <w:autoSpaceDN w:val="0"/>
        <w:adjustRightInd w:val="0"/>
        <w:spacing w:after="0" w:line="360" w:lineRule="auto"/>
        <w:rPr>
          <w:rFonts w:eastAsia="Calibri" w:cs="Tahoma"/>
          <w:color w:val="auto"/>
          <w:szCs w:val="24"/>
        </w:rPr>
      </w:pPr>
    </w:p>
    <w:p w14:paraId="1710A0A3" w14:textId="7A7E390F" w:rsidR="00DA01E7" w:rsidRDefault="00DA01E7" w:rsidP="00DA01E7">
      <w:pPr>
        <w:spacing w:after="0" w:line="360" w:lineRule="auto"/>
        <w:ind w:right="-93"/>
        <w:contextualSpacing/>
        <w:rPr>
          <w:rFonts w:eastAsia="Palatino Linotype" w:cs="Tahoma"/>
          <w:iCs/>
          <w:color w:val="auto"/>
          <w:lang w:val="es-ES"/>
        </w:rPr>
      </w:pPr>
      <w:r w:rsidRPr="00DA01E7">
        <w:rPr>
          <w:rFonts w:eastAsia="Palatino Linotype" w:cs="Tahoma"/>
          <w:iCs/>
          <w:color w:val="auto"/>
          <w:lang w:val="es-ES"/>
        </w:rPr>
        <w:t>Conforme a lo anterior, es claro que la información que da cuenta de lo solicitado</w:t>
      </w:r>
      <w:r>
        <w:rPr>
          <w:rFonts w:eastAsia="Palatino Linotype" w:cs="Tahoma"/>
          <w:iCs/>
          <w:color w:val="auto"/>
          <w:lang w:val="es-ES"/>
        </w:rPr>
        <w:t xml:space="preserve"> </w:t>
      </w:r>
      <w:r w:rsidRPr="00DA01E7">
        <w:rPr>
          <w:rFonts w:eastAsia="Palatino Linotype" w:cs="Tahoma"/>
          <w:iCs/>
          <w:color w:val="auto"/>
          <w:lang w:val="es-ES"/>
        </w:rPr>
        <w:t>no sobrepasa las capacidades técnicas del Sistema de Acceso a la Información Mexiquense, aunado a que no señaló ningún impedimento para cambiar la modalidad de información, es decir, no fundamentó y motivó el cambio de modalidad</w:t>
      </w:r>
      <w:r>
        <w:rPr>
          <w:rFonts w:eastAsia="Palatino Linotype" w:cs="Tahoma"/>
          <w:iCs/>
          <w:color w:val="auto"/>
          <w:lang w:val="es-ES"/>
        </w:rPr>
        <w:t>.</w:t>
      </w:r>
    </w:p>
    <w:p w14:paraId="14092125" w14:textId="77777777" w:rsidR="00DA01E7" w:rsidRDefault="00DA01E7" w:rsidP="00DA01E7">
      <w:pPr>
        <w:spacing w:after="0" w:line="360" w:lineRule="auto"/>
        <w:ind w:right="-93"/>
        <w:contextualSpacing/>
        <w:rPr>
          <w:rFonts w:eastAsia="Palatino Linotype" w:cs="Tahoma"/>
          <w:iCs/>
          <w:color w:val="auto"/>
          <w:lang w:val="es-ES"/>
        </w:rPr>
      </w:pPr>
    </w:p>
    <w:p w14:paraId="14361686" w14:textId="77777777" w:rsidR="00DA01E7" w:rsidRPr="007327F9" w:rsidRDefault="00DA01E7" w:rsidP="00DA01E7">
      <w:pPr>
        <w:spacing w:after="0" w:line="360" w:lineRule="auto"/>
        <w:ind w:right="-28"/>
        <w:contextualSpacing/>
        <w:rPr>
          <w:rFonts w:cs="Tahoma"/>
          <w:iCs/>
        </w:rPr>
      </w:pPr>
      <w:r>
        <w:rPr>
          <w:rFonts w:eastAsia="Palatino Linotype" w:cs="Tahoma"/>
          <w:iCs/>
          <w:color w:val="auto"/>
          <w:lang w:val="es-ES"/>
        </w:rPr>
        <w:t xml:space="preserve">Ahora bien, </w:t>
      </w:r>
      <w:r w:rsidRPr="007327F9">
        <w:rPr>
          <w:rFonts w:cs="Tahoma"/>
          <w:iCs/>
        </w:rPr>
        <w:t>En ese contexto, del análisis e interpretación del artículo 57, fracción V, de la Ley del Trabajo de los Servidores Públicos del Estado y Municipios, se logra vislumbrar que a los trabajadores gubernamentales se les deben pagar sus sueldos de manera quincenal, al señalar que dicho pago no puede realizar en un plazo mayor de quince días.</w:t>
      </w:r>
    </w:p>
    <w:p w14:paraId="7A0ACD32" w14:textId="77777777" w:rsidR="00DA01E7" w:rsidRPr="007327F9" w:rsidRDefault="00DA01E7" w:rsidP="00DA01E7">
      <w:pPr>
        <w:spacing w:after="0" w:line="360" w:lineRule="auto"/>
        <w:rPr>
          <w:color w:val="000000"/>
        </w:rPr>
      </w:pPr>
    </w:p>
    <w:p w14:paraId="3A488C01" w14:textId="3F268D81" w:rsidR="00DA01E7" w:rsidRDefault="00DA01E7" w:rsidP="00DA01E7">
      <w:pPr>
        <w:spacing w:after="0" w:line="360" w:lineRule="auto"/>
        <w:rPr>
          <w:color w:val="000000"/>
        </w:rPr>
      </w:pPr>
      <w:r w:rsidRPr="007327F9">
        <w:rPr>
          <w:color w:val="000000"/>
        </w:rPr>
        <w:lastRenderedPageBreak/>
        <w:t>En otras palabras, a los servidores públicos Estatales o Municipales del Estado de México, se les deben pagar quincenalmente sus sueldos y salarios;</w:t>
      </w:r>
      <w:r>
        <w:rPr>
          <w:color w:val="000000"/>
        </w:rPr>
        <w:t xml:space="preserve"> lo cual se robustece pues </w:t>
      </w:r>
      <w:r w:rsidR="009C15F8">
        <w:t xml:space="preserve">los </w:t>
      </w:r>
      <w:r w:rsidR="009C15F8" w:rsidRPr="00A4232C">
        <w:t xml:space="preserve">Lineamientos para la </w:t>
      </w:r>
      <w:proofErr w:type="spellStart"/>
      <w:r w:rsidR="009C15F8" w:rsidRPr="00A4232C">
        <w:t>integración</w:t>
      </w:r>
      <w:proofErr w:type="spellEnd"/>
      <w:r w:rsidR="009C15F8" w:rsidRPr="00A4232C">
        <w:t xml:space="preserve"> y </w:t>
      </w:r>
      <w:proofErr w:type="spellStart"/>
      <w:r w:rsidR="009C15F8" w:rsidRPr="00A4232C">
        <w:t>presentación</w:t>
      </w:r>
      <w:proofErr w:type="spellEnd"/>
      <w:r w:rsidR="009C15F8" w:rsidRPr="00A4232C">
        <w:t xml:space="preserve"> de los Informes Trimestrales Estatales y Municipales del Ejercicio Fiscal 2025</w:t>
      </w:r>
      <w:r w:rsidR="009C15F8">
        <w:t>, establecen que la información de remuneraciones se genera de manera quincenal.</w:t>
      </w:r>
    </w:p>
    <w:p w14:paraId="41C979C6" w14:textId="77777777" w:rsidR="009C15F8" w:rsidRDefault="009C15F8" w:rsidP="00DA01E7">
      <w:pPr>
        <w:spacing w:after="0" w:line="360" w:lineRule="auto"/>
        <w:rPr>
          <w:color w:val="000000"/>
        </w:rPr>
      </w:pPr>
    </w:p>
    <w:p w14:paraId="0C2FCD72" w14:textId="23694FFA" w:rsidR="00DA01E7" w:rsidRPr="007327F9" w:rsidRDefault="00DA01E7" w:rsidP="00DA01E7">
      <w:pPr>
        <w:spacing w:after="0" w:line="360" w:lineRule="auto"/>
        <w:rPr>
          <w:color w:val="000000"/>
        </w:rPr>
      </w:pPr>
      <w:r>
        <w:rPr>
          <w:color w:val="000000"/>
        </w:rPr>
        <w:t>Ahora bien</w:t>
      </w:r>
      <w:r w:rsidRPr="007327F9">
        <w:rPr>
          <w:color w:val="000000"/>
        </w:rPr>
        <w:t xml:space="preserve">, es necesario señalar que la persona Particular, requirió </w:t>
      </w:r>
      <w:r>
        <w:rPr>
          <w:color w:val="000000"/>
        </w:rPr>
        <w:t xml:space="preserve">la información de la </w:t>
      </w:r>
      <w:proofErr w:type="gramStart"/>
      <w:r>
        <w:rPr>
          <w:color w:val="000000"/>
        </w:rPr>
        <w:t>primer quincena</w:t>
      </w:r>
      <w:proofErr w:type="gramEnd"/>
      <w:r>
        <w:rPr>
          <w:color w:val="000000"/>
        </w:rPr>
        <w:t xml:space="preserve"> de febrero de dos mil veinticinco</w:t>
      </w:r>
      <w:r w:rsidRPr="007327F9">
        <w:rPr>
          <w:color w:val="000000"/>
        </w:rPr>
        <w:t>,</w:t>
      </w:r>
      <w:r>
        <w:rPr>
          <w:color w:val="000000"/>
        </w:rPr>
        <w:t xml:space="preserve"> mientras que</w:t>
      </w:r>
      <w:r w:rsidRPr="007327F9">
        <w:rPr>
          <w:color w:val="000000"/>
        </w:rPr>
        <w:t xml:space="preserve"> la solicitud se presentó el </w:t>
      </w:r>
      <w:r w:rsidRPr="007327F9">
        <w:rPr>
          <w:b/>
          <w:color w:val="000000"/>
        </w:rPr>
        <w:t xml:space="preserve">trece </w:t>
      </w:r>
      <w:r>
        <w:rPr>
          <w:b/>
          <w:color w:val="000000"/>
        </w:rPr>
        <w:t>de dicho mes y año</w:t>
      </w:r>
      <w:r w:rsidRPr="007327F9">
        <w:rPr>
          <w:color w:val="000000"/>
        </w:rPr>
        <w:t>.</w:t>
      </w:r>
    </w:p>
    <w:p w14:paraId="20E9420B" w14:textId="77777777" w:rsidR="00DA01E7" w:rsidRPr="007327F9" w:rsidRDefault="00DA01E7" w:rsidP="00DA01E7">
      <w:pPr>
        <w:spacing w:after="0" w:line="360" w:lineRule="auto"/>
        <w:rPr>
          <w:color w:val="000000"/>
        </w:rPr>
      </w:pPr>
    </w:p>
    <w:p w14:paraId="2F97593E" w14:textId="7BE05D5F" w:rsidR="00DA01E7" w:rsidRPr="007327F9" w:rsidRDefault="00DA01E7" w:rsidP="00DA01E7">
      <w:pPr>
        <w:spacing w:after="0" w:line="360" w:lineRule="auto"/>
      </w:pPr>
      <w:r w:rsidRPr="007327F9">
        <w:rPr>
          <w:color w:val="000000"/>
        </w:rPr>
        <w:t xml:space="preserve">Así, de lo anterior se advierte que a la fecha de la solicitud, no se había realizado el pago de </w:t>
      </w:r>
      <w:r>
        <w:rPr>
          <w:color w:val="000000"/>
        </w:rPr>
        <w:t>remuneraciones</w:t>
      </w:r>
      <w:r w:rsidRPr="007327F9">
        <w:rPr>
          <w:color w:val="000000"/>
        </w:rPr>
        <w:t xml:space="preserve"> de la primera quincena de </w:t>
      </w:r>
      <w:r w:rsidR="009C15F8">
        <w:rPr>
          <w:color w:val="000000"/>
        </w:rPr>
        <w:t>febrero</w:t>
      </w:r>
      <w:r w:rsidRPr="007327F9">
        <w:rPr>
          <w:color w:val="000000"/>
        </w:rPr>
        <w:t xml:space="preserve"> de dos mil veinticinco y por lo tanto, no exist</w:t>
      </w:r>
      <w:r>
        <w:rPr>
          <w:color w:val="000000"/>
        </w:rPr>
        <w:t>ía</w:t>
      </w:r>
      <w:r w:rsidRPr="007327F9">
        <w:rPr>
          <w:color w:val="000000"/>
        </w:rPr>
        <w:t xml:space="preserve"> </w:t>
      </w:r>
      <w:r>
        <w:rPr>
          <w:color w:val="000000"/>
        </w:rPr>
        <w:t>a dicha fecha la nómina</w:t>
      </w:r>
      <w:r w:rsidRPr="007327F9">
        <w:rPr>
          <w:color w:val="000000"/>
        </w:rPr>
        <w:t xml:space="preserve">; </w:t>
      </w:r>
      <w:r w:rsidRPr="007327F9">
        <w:t xml:space="preserve">sobre el tema, cabe traer a colación el Criterio Orientador SO/014/2017, emitido por el entonces Instituto Nacional de Transparencia, Acceso a la Información Pública y Protección de Datos Personales en el Estado de México y Municipios, vigente a la fecha de la solicitud, el cual precisa que la inexistencia de la información, es una cuestión de hecho que se le atribuye a la misma, cuando ésta no se encuentra en los archivos del sujeto obligado. </w:t>
      </w:r>
    </w:p>
    <w:p w14:paraId="5C4770AB" w14:textId="77777777" w:rsidR="00DA01E7" w:rsidRPr="007327F9" w:rsidRDefault="00DA01E7" w:rsidP="00DA01E7">
      <w:pPr>
        <w:spacing w:after="0" w:line="360" w:lineRule="auto"/>
        <w:ind w:right="-30"/>
      </w:pPr>
    </w:p>
    <w:p w14:paraId="3BBA4576" w14:textId="77777777" w:rsidR="00DA01E7" w:rsidRPr="007327F9" w:rsidRDefault="00DA01E7" w:rsidP="00DA01E7">
      <w:pPr>
        <w:spacing w:after="0" w:line="360" w:lineRule="auto"/>
        <w:ind w:right="-30"/>
      </w:pPr>
      <w:r w:rsidRPr="007327F9">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74078493" w14:textId="77777777" w:rsidR="00DA01E7" w:rsidRPr="007327F9" w:rsidRDefault="00DA01E7" w:rsidP="00DA01E7">
      <w:pPr>
        <w:spacing w:after="0" w:line="360" w:lineRule="auto"/>
        <w:ind w:right="-30"/>
      </w:pPr>
    </w:p>
    <w:p w14:paraId="5F75EAE5" w14:textId="77777777" w:rsidR="00DA01E7" w:rsidRPr="007327F9" w:rsidRDefault="00DA01E7" w:rsidP="00DA01E7">
      <w:pPr>
        <w:spacing w:after="0" w:line="360" w:lineRule="auto"/>
        <w:contextualSpacing/>
      </w:pPr>
      <w:r w:rsidRPr="007327F9">
        <w:t xml:space="preserve">Así, es posible concluir que la </w:t>
      </w:r>
      <w:r w:rsidRPr="007327F9">
        <w:rPr>
          <w:b/>
          <w:bCs/>
        </w:rPr>
        <w:t>inexistencia</w:t>
      </w:r>
      <w:r w:rsidRPr="007327F9">
        <w:t xml:space="preserve"> presupone la competencia del sujeto obligado para conocer de la información, pero por alguna circunstancia, la documentación solicitada no obra en sus archivos; lo cual acontece en el presente caso, pues como ya se refirió en párrafos </w:t>
      </w:r>
      <w:r w:rsidRPr="007327F9">
        <w:lastRenderedPageBreak/>
        <w:t>anteriores, a la fecha de la solicitud no se había generado la nómina del personal, al no haberse realizado el pago de la primera quincena de enero de dos mil veinticinco.</w:t>
      </w:r>
    </w:p>
    <w:p w14:paraId="49C137D2" w14:textId="77777777" w:rsidR="00DA01E7" w:rsidRPr="007327F9" w:rsidRDefault="00DA01E7" w:rsidP="00DA01E7">
      <w:pPr>
        <w:spacing w:after="0" w:line="360" w:lineRule="auto"/>
        <w:contextualSpacing/>
      </w:pPr>
    </w:p>
    <w:p w14:paraId="14874AF5" w14:textId="3F8C9D01" w:rsidR="00DA01E7" w:rsidRPr="007327F9" w:rsidRDefault="00DA01E7" w:rsidP="00DA01E7">
      <w:pPr>
        <w:spacing w:after="0" w:line="360" w:lineRule="auto"/>
        <w:contextualSpacing/>
      </w:pPr>
      <w:r w:rsidRPr="007327F9">
        <w:t xml:space="preserve">En otras palabras, en el presente caso, la inexistencia, es por una cuestión de hecho, consistente en la temporalidad de la presentación de la solicitud, pues </w:t>
      </w:r>
      <w:r w:rsidR="009C15F8">
        <w:t>se efectuó el trece de febrero de dos mil veinticinco,</w:t>
      </w:r>
      <w:r w:rsidRPr="007327F9">
        <w:t xml:space="preserve"> por lo que, la primera quincena concluyo el quince de dicho mes y año, dos días posteriores a la presentación del requerimiento de información.</w:t>
      </w:r>
    </w:p>
    <w:p w14:paraId="2553606A" w14:textId="77777777" w:rsidR="00DA01E7" w:rsidRPr="007327F9" w:rsidRDefault="00DA01E7" w:rsidP="00DA01E7">
      <w:pPr>
        <w:spacing w:after="0" w:line="360" w:lineRule="auto"/>
        <w:contextualSpacing/>
      </w:pPr>
    </w:p>
    <w:p w14:paraId="0AA679F5" w14:textId="77777777" w:rsidR="00DA01E7" w:rsidRPr="007327F9" w:rsidRDefault="00DA01E7" w:rsidP="00DA01E7">
      <w:pPr>
        <w:spacing w:after="0" w:line="360" w:lineRule="auto"/>
        <w:contextualSpacing/>
        <w:rPr>
          <w:rFonts w:cs="Tahoma"/>
        </w:rPr>
      </w:pPr>
      <w:r w:rsidRPr="007327F9">
        <w:t>Lo cual toma relevancia, pues conforme al artículo 12 y 160 de la Ley de Transparencia y Acceso a la Información Pública, los Sujetos Obligados únicamente se encuentran constreñidos a proporcionar la información que obraba en sus archivos a la fecha de la solicitud; situación que no acontece en el presente caso, pues como ya se mencionó no se había generado el pago de nómina quincenal.</w:t>
      </w:r>
    </w:p>
    <w:p w14:paraId="2FA16F5E" w14:textId="77777777" w:rsidR="00DA01E7" w:rsidRPr="007327F9" w:rsidRDefault="00DA01E7" w:rsidP="00DA01E7">
      <w:pPr>
        <w:spacing w:after="0" w:line="360" w:lineRule="auto"/>
        <w:contextualSpacing/>
        <w:rPr>
          <w:rFonts w:cs="Tahoma"/>
          <w:lang w:val="es-ES"/>
        </w:rPr>
      </w:pPr>
    </w:p>
    <w:p w14:paraId="4171EB2B" w14:textId="410138DA" w:rsidR="00DA01E7" w:rsidRPr="00DA01E7" w:rsidRDefault="00DA01E7" w:rsidP="00DA01E7">
      <w:pPr>
        <w:spacing w:after="0" w:line="360" w:lineRule="auto"/>
        <w:ind w:right="-93"/>
        <w:contextualSpacing/>
        <w:rPr>
          <w:rFonts w:eastAsia="Palatino Linotype" w:cs="Tahoma"/>
          <w:b/>
          <w:iCs/>
          <w:color w:val="auto"/>
          <w:lang w:val="es-ES"/>
        </w:rPr>
      </w:pPr>
      <w:r>
        <w:rPr>
          <w:rFonts w:eastAsia="Calibri" w:cs="Tahoma"/>
          <w:bCs/>
        </w:rPr>
        <w:t>De tal suerte,</w:t>
      </w:r>
      <w:r w:rsidRPr="007327F9">
        <w:rPr>
          <w:rFonts w:eastAsia="Calibri" w:cs="Tahoma"/>
          <w:bCs/>
        </w:rPr>
        <w:t xml:space="preserve"> si bien el Sujeto Obligado, en respuesta, no entregó la información solicitada</w:t>
      </w:r>
      <w:r w:rsidR="009C15F8">
        <w:rPr>
          <w:rFonts w:eastAsia="Calibri" w:cs="Tahoma"/>
          <w:bCs/>
        </w:rPr>
        <w:t xml:space="preserve"> al cambiar la modalidad</w:t>
      </w:r>
      <w:r w:rsidRPr="007327F9">
        <w:rPr>
          <w:rFonts w:eastAsia="Calibri" w:cs="Tahoma"/>
          <w:bCs/>
        </w:rPr>
        <w:t>,</w:t>
      </w:r>
      <w:r w:rsidR="009C15F8">
        <w:rPr>
          <w:rFonts w:eastAsia="Calibri" w:cs="Tahoma"/>
          <w:bCs/>
        </w:rPr>
        <w:t xml:space="preserve"> ordenar el pronunciamiento de inexistencia</w:t>
      </w:r>
      <w:r w:rsidRPr="007327F9">
        <w:rPr>
          <w:rFonts w:eastAsia="Calibri" w:cs="Tahoma"/>
          <w:bCs/>
        </w:rPr>
        <w:t xml:space="preserve"> no abonaría y resultará inútil ordenar al Sujeto Obligado a realizar una búsqueda de información, que como ya se mencionó a la fecha de la solicitud, resultaba inexistente; esto es, en nada abonaría a la transparencia ordenar un pronunciamiento de inexistencia por parte del Sujeto Obligado, pues el Particular no recibirá lo peticionado al no obrar en sus archivos</w:t>
      </w:r>
      <w:r w:rsidR="009C15F8">
        <w:rPr>
          <w:rFonts w:eastAsia="Calibri" w:cs="Tahoma"/>
          <w:bCs/>
        </w:rPr>
        <w:t xml:space="preserve">; además, que dicha situación reduce la información que se deberá entregar, situación que robustece que no se acredita el cambio de </w:t>
      </w:r>
      <w:r w:rsidR="000B3718">
        <w:rPr>
          <w:rFonts w:eastAsia="Calibri" w:cs="Tahoma"/>
          <w:bCs/>
        </w:rPr>
        <w:t xml:space="preserve"> </w:t>
      </w:r>
      <w:r w:rsidR="009C15F8">
        <w:rPr>
          <w:rFonts w:eastAsia="Calibri" w:cs="Tahoma"/>
          <w:bCs/>
        </w:rPr>
        <w:t>moda</w:t>
      </w:r>
      <w:r w:rsidR="000B3718">
        <w:rPr>
          <w:rFonts w:eastAsia="Calibri" w:cs="Tahoma"/>
          <w:bCs/>
        </w:rPr>
        <w:t>l</w:t>
      </w:r>
      <w:r w:rsidR="009C15F8">
        <w:rPr>
          <w:rFonts w:eastAsia="Calibri" w:cs="Tahoma"/>
          <w:bCs/>
        </w:rPr>
        <w:t>idad.</w:t>
      </w:r>
    </w:p>
    <w:p w14:paraId="37BBD2A3" w14:textId="77777777" w:rsidR="00874030" w:rsidRDefault="00874030" w:rsidP="00BE7735">
      <w:pPr>
        <w:spacing w:after="0" w:line="360" w:lineRule="auto"/>
        <w:ind w:right="-28"/>
        <w:contextualSpacing/>
        <w:rPr>
          <w:rFonts w:eastAsia="Times New Roman" w:cs="Tahoma"/>
          <w:iCs/>
          <w:color w:val="auto"/>
          <w:lang w:eastAsia="es-ES"/>
        </w:rPr>
      </w:pPr>
    </w:p>
    <w:p w14:paraId="0B76A358" w14:textId="3F6CEA8B" w:rsidR="009C15F8" w:rsidRDefault="009C15F8" w:rsidP="009C15F8">
      <w:pPr>
        <w:spacing w:after="0" w:line="360" w:lineRule="auto"/>
        <w:rPr>
          <w:rFonts w:eastAsia="Times New Roman" w:cs="Tahoma"/>
          <w:bCs/>
          <w:color w:val="auto"/>
          <w:lang w:val="es-ES" w:eastAsia="es-ES"/>
        </w:rPr>
      </w:pPr>
      <w:r w:rsidRPr="006A5AC7">
        <w:rPr>
          <w:rFonts w:eastAsia="Times New Roman" w:cs="Tahoma"/>
          <w:bCs/>
          <w:color w:val="auto"/>
          <w:lang w:val="es-ES" w:eastAsia="es-ES"/>
        </w:rPr>
        <w:t xml:space="preserve">Conforme a lo anterior, resulta procedente ordenar la entrega </w:t>
      </w:r>
      <w:r>
        <w:rPr>
          <w:rFonts w:eastAsia="Times New Roman" w:cs="Tahoma"/>
          <w:bCs/>
          <w:color w:val="auto"/>
          <w:lang w:val="es-ES" w:eastAsia="es-ES"/>
        </w:rPr>
        <w:t>de la Conciliación de nómina y los recibos de pago de la primera y segunda quincena de enero de dos mil veinticinco de los servidores públicos adscritos al</w:t>
      </w:r>
      <w:r w:rsidR="00F2695D">
        <w:rPr>
          <w:rFonts w:eastAsia="Times New Roman" w:cs="Tahoma"/>
          <w:bCs/>
          <w:color w:val="auto"/>
          <w:lang w:val="es-ES" w:eastAsia="es-ES"/>
        </w:rPr>
        <w:t xml:space="preserve"> Sujeto Obligado, para dar cumplimiento a los artículos 12 y 160 </w:t>
      </w:r>
      <w:r w:rsidR="00F2695D">
        <w:rPr>
          <w:rFonts w:eastAsia="Times New Roman" w:cs="Tahoma"/>
          <w:bCs/>
          <w:color w:val="auto"/>
          <w:lang w:val="es-ES" w:eastAsia="es-ES"/>
        </w:rPr>
        <w:lastRenderedPageBreak/>
        <w:t>de la Ley de Transparencia y Acceso a la Información Pública del Estado de México y Municipios.</w:t>
      </w:r>
    </w:p>
    <w:p w14:paraId="0740EEEA" w14:textId="77777777" w:rsidR="00F2695D" w:rsidRDefault="00F2695D" w:rsidP="009C15F8">
      <w:pPr>
        <w:spacing w:after="0" w:line="360" w:lineRule="auto"/>
        <w:rPr>
          <w:rFonts w:eastAsia="Times New Roman" w:cs="Tahoma"/>
          <w:bCs/>
          <w:color w:val="auto"/>
          <w:lang w:val="es-ES" w:eastAsia="es-ES"/>
        </w:rPr>
      </w:pPr>
    </w:p>
    <w:p w14:paraId="43F2535C" w14:textId="0E857F07" w:rsidR="00F2695D" w:rsidRPr="00991507" w:rsidRDefault="00F2695D" w:rsidP="009C15F8">
      <w:pPr>
        <w:spacing w:after="0" w:line="360" w:lineRule="auto"/>
        <w:rPr>
          <w:rFonts w:eastAsia="Times New Roman" w:cs="Tahoma"/>
          <w:color w:val="auto"/>
          <w:szCs w:val="24"/>
          <w:lang w:val="es-ES" w:eastAsia="es-ES"/>
        </w:rPr>
      </w:pPr>
      <w:r>
        <w:rPr>
          <w:rFonts w:eastAsia="Times New Roman" w:cs="Tahoma"/>
          <w:bCs/>
          <w:color w:val="auto"/>
          <w:lang w:val="es-ES" w:eastAsia="es-ES"/>
        </w:rPr>
        <w:t xml:space="preserve">Ahora bien, para el caso de que alguno de los servidores públicos no cuente con sueldos, al ser un cargo honorífico deberá hacerlo del conocimiento de la parte Recurrente, de manera clara y precisa, en términos del artículo 19, párrafo segundo, de la Ley referida. </w:t>
      </w:r>
    </w:p>
    <w:p w14:paraId="21744320" w14:textId="77777777" w:rsidR="00F2695D" w:rsidRPr="006F159B" w:rsidRDefault="00F2695D" w:rsidP="00F2695D">
      <w:pPr>
        <w:spacing w:after="0" w:line="360" w:lineRule="auto"/>
        <w:ind w:right="-28"/>
        <w:contextualSpacing/>
        <w:rPr>
          <w:rFonts w:eastAsia="Times New Roman" w:cs="Times New Roman"/>
          <w:bCs/>
          <w:color w:val="auto"/>
          <w:lang w:eastAsia="es-ES"/>
        </w:rPr>
      </w:pPr>
      <w:r w:rsidRPr="006F159B">
        <w:rPr>
          <w:rFonts w:eastAsia="Times New Roman" w:cs="Times New Roman"/>
          <w:bCs/>
          <w:iCs/>
          <w:szCs w:val="20"/>
          <w:lang w:val="es-ES" w:eastAsia="es-ES"/>
        </w:rPr>
        <w:t>A</w:t>
      </w:r>
      <w:proofErr w:type="spellStart"/>
      <w:r w:rsidRPr="006F159B">
        <w:rPr>
          <w:rFonts w:eastAsia="Times New Roman" w:cs="Times New Roman"/>
          <w:bCs/>
          <w:color w:val="auto"/>
          <w:lang w:eastAsia="es-ES"/>
        </w:rPr>
        <w:t>hora</w:t>
      </w:r>
      <w:proofErr w:type="spellEnd"/>
      <w:r w:rsidRPr="006F159B">
        <w:rPr>
          <w:rFonts w:eastAsia="Times New Roman" w:cs="Times New Roman"/>
          <w:bCs/>
          <w:color w:val="auto"/>
          <w:lang w:eastAsia="es-ES"/>
        </w:rPr>
        <w:t xml:space="preserve"> bien, de los documentos pendientes de su entrega pudiera </w:t>
      </w:r>
      <w:r>
        <w:rPr>
          <w:rFonts w:eastAsia="Times New Roman" w:cs="Times New Roman"/>
          <w:bCs/>
          <w:color w:val="auto"/>
          <w:lang w:eastAsia="es-ES"/>
        </w:rPr>
        <w:t>contener</w:t>
      </w:r>
      <w:r w:rsidRPr="006F159B">
        <w:rPr>
          <w:rFonts w:eastAsia="Times New Roman" w:cs="Times New Roman"/>
          <w:bCs/>
          <w:color w:val="auto"/>
          <w:lang w:eastAsia="es-ES"/>
        </w:rPr>
        <w:t xml:space="preserve"> los datos siguientes:</w:t>
      </w:r>
    </w:p>
    <w:p w14:paraId="043FF2CD" w14:textId="77777777" w:rsidR="00F2695D" w:rsidRPr="006F159B" w:rsidRDefault="00F2695D" w:rsidP="00F2695D">
      <w:pPr>
        <w:spacing w:after="0" w:line="360" w:lineRule="auto"/>
        <w:ind w:right="-28"/>
        <w:contextualSpacing/>
        <w:rPr>
          <w:rFonts w:eastAsia="Times New Roman" w:cs="Times New Roman"/>
          <w:bCs/>
          <w:color w:val="auto"/>
          <w:lang w:eastAsia="es-ES"/>
        </w:rPr>
      </w:pPr>
    </w:p>
    <w:p w14:paraId="24526396" w14:textId="77777777" w:rsidR="00F2695D" w:rsidRPr="006F159B" w:rsidRDefault="00F2695D" w:rsidP="00F2695D">
      <w:pPr>
        <w:numPr>
          <w:ilvl w:val="0"/>
          <w:numId w:val="31"/>
        </w:numPr>
        <w:spacing w:after="0" w:line="360" w:lineRule="auto"/>
        <w:rPr>
          <w:color w:val="000000"/>
        </w:rPr>
      </w:pPr>
      <w:bookmarkStart w:id="11" w:name="_Hlk179971039"/>
      <w:r w:rsidRPr="006F159B">
        <w:rPr>
          <w:color w:val="000000"/>
        </w:rPr>
        <w:t>Clave Única de Registro de Población (CURP);</w:t>
      </w:r>
    </w:p>
    <w:p w14:paraId="07C3456A" w14:textId="77777777" w:rsidR="00F2695D" w:rsidRPr="006F159B" w:rsidRDefault="00F2695D" w:rsidP="00F2695D">
      <w:pPr>
        <w:numPr>
          <w:ilvl w:val="0"/>
          <w:numId w:val="31"/>
        </w:numPr>
        <w:spacing w:after="0" w:line="360" w:lineRule="auto"/>
        <w:rPr>
          <w:color w:val="000000"/>
        </w:rPr>
      </w:pPr>
      <w:r w:rsidRPr="006F159B">
        <w:rPr>
          <w:color w:val="000000"/>
        </w:rPr>
        <w:t>Registro Federal de Contribuyentes del servidor público (RFC);</w:t>
      </w:r>
    </w:p>
    <w:p w14:paraId="694AB7C4" w14:textId="77777777" w:rsidR="00F2695D" w:rsidRPr="006F159B" w:rsidRDefault="00F2695D" w:rsidP="00F2695D">
      <w:pPr>
        <w:numPr>
          <w:ilvl w:val="0"/>
          <w:numId w:val="31"/>
        </w:numPr>
        <w:spacing w:after="0" w:line="360" w:lineRule="auto"/>
        <w:rPr>
          <w:color w:val="000000"/>
        </w:rPr>
      </w:pPr>
      <w:r w:rsidRPr="006F159B">
        <w:rPr>
          <w:color w:val="000000"/>
        </w:rPr>
        <w:t>Número de seguridad social del Instituto de Seguridad Social del Estado de México y Municipios;</w:t>
      </w:r>
    </w:p>
    <w:p w14:paraId="7278C63F" w14:textId="77777777" w:rsidR="00F2695D" w:rsidRPr="006F159B" w:rsidRDefault="00F2695D" w:rsidP="00F2695D">
      <w:pPr>
        <w:numPr>
          <w:ilvl w:val="0"/>
          <w:numId w:val="31"/>
        </w:numPr>
        <w:spacing w:after="0" w:line="360" w:lineRule="auto"/>
        <w:rPr>
          <w:color w:val="000000"/>
        </w:rPr>
      </w:pPr>
      <w:r w:rsidRPr="006F159B">
        <w:rPr>
          <w:color w:val="000000"/>
        </w:rPr>
        <w:t>Deducciones personales;</w:t>
      </w:r>
    </w:p>
    <w:p w14:paraId="1E5A5C3E" w14:textId="77777777" w:rsidR="00F2695D" w:rsidRPr="006F159B" w:rsidRDefault="00F2695D" w:rsidP="00F2695D">
      <w:pPr>
        <w:numPr>
          <w:ilvl w:val="0"/>
          <w:numId w:val="31"/>
        </w:numPr>
        <w:spacing w:after="0" w:line="360" w:lineRule="auto"/>
        <w:rPr>
          <w:color w:val="000000"/>
        </w:rPr>
      </w:pPr>
      <w:r w:rsidRPr="006F159B">
        <w:rPr>
          <w:rFonts w:eastAsia="Times New Roman" w:cs="Tahoma"/>
          <w:bCs/>
          <w:lang w:val="es-ES"/>
        </w:rPr>
        <w:t>Código bidimensional o QR;</w:t>
      </w:r>
    </w:p>
    <w:bookmarkEnd w:id="11"/>
    <w:p w14:paraId="0B918C05" w14:textId="58F3F5E3" w:rsidR="00F2695D" w:rsidRPr="006F159B" w:rsidRDefault="00F2695D" w:rsidP="00F2695D">
      <w:pPr>
        <w:pStyle w:val="Prrafodelista"/>
        <w:numPr>
          <w:ilvl w:val="0"/>
          <w:numId w:val="31"/>
        </w:numPr>
        <w:spacing w:line="360" w:lineRule="auto"/>
        <w:rPr>
          <w:iCs/>
          <w:lang w:val="es-ES"/>
        </w:rPr>
      </w:pPr>
      <w:r w:rsidRPr="006F159B">
        <w:rPr>
          <w:iCs/>
          <w:lang w:val="es-ES"/>
        </w:rPr>
        <w:t>Sellos digitales del emisor y del Servicio de Administración Tributaria</w:t>
      </w:r>
      <w:r>
        <w:rPr>
          <w:iCs/>
          <w:lang w:val="es-ES"/>
        </w:rPr>
        <w:t>;</w:t>
      </w:r>
    </w:p>
    <w:p w14:paraId="69B558F5" w14:textId="2DFE2AD4" w:rsidR="00F2695D" w:rsidRDefault="00F2695D" w:rsidP="00F2695D">
      <w:pPr>
        <w:pStyle w:val="Prrafodelista"/>
        <w:numPr>
          <w:ilvl w:val="0"/>
          <w:numId w:val="31"/>
        </w:numPr>
        <w:spacing w:line="360" w:lineRule="auto"/>
        <w:rPr>
          <w:iCs/>
          <w:lang w:val="es-ES"/>
        </w:rPr>
      </w:pPr>
      <w:r w:rsidRPr="006F159B">
        <w:rPr>
          <w:iCs/>
          <w:lang w:val="es-ES"/>
        </w:rPr>
        <w:t>Cadena original del complemento de certificación digital del organismo previamente señalado</w:t>
      </w:r>
      <w:r>
        <w:rPr>
          <w:iCs/>
          <w:lang w:val="es-ES"/>
        </w:rPr>
        <w:t>;</w:t>
      </w:r>
    </w:p>
    <w:p w14:paraId="30626F00" w14:textId="54E422D3" w:rsidR="00F2695D" w:rsidRDefault="00F2695D" w:rsidP="00F2695D">
      <w:pPr>
        <w:pStyle w:val="Prrafodelista"/>
        <w:numPr>
          <w:ilvl w:val="0"/>
          <w:numId w:val="31"/>
        </w:numPr>
        <w:spacing w:line="360" w:lineRule="auto"/>
        <w:rPr>
          <w:iCs/>
          <w:lang w:val="es-ES"/>
        </w:rPr>
      </w:pPr>
      <w:r>
        <w:rPr>
          <w:iCs/>
          <w:lang w:val="es-ES"/>
        </w:rPr>
        <w:t xml:space="preserve">Fotografía de servidores públicos y </w:t>
      </w:r>
    </w:p>
    <w:p w14:paraId="0904BE48" w14:textId="029681E1" w:rsidR="00F2695D" w:rsidRPr="006F159B" w:rsidRDefault="00F2695D" w:rsidP="00F2695D">
      <w:pPr>
        <w:pStyle w:val="Prrafodelista"/>
        <w:numPr>
          <w:ilvl w:val="0"/>
          <w:numId w:val="31"/>
        </w:numPr>
        <w:spacing w:line="360" w:lineRule="auto"/>
        <w:rPr>
          <w:iCs/>
          <w:lang w:val="es-ES"/>
        </w:rPr>
      </w:pPr>
      <w:r>
        <w:rPr>
          <w:iCs/>
          <w:lang w:val="es-ES"/>
        </w:rPr>
        <w:t>Firma de trabajadores.</w:t>
      </w:r>
    </w:p>
    <w:p w14:paraId="6D22913C" w14:textId="77777777" w:rsidR="00F2695D" w:rsidRPr="006F159B" w:rsidRDefault="00F2695D" w:rsidP="00F2695D">
      <w:pPr>
        <w:spacing w:after="0" w:line="360" w:lineRule="auto"/>
        <w:ind w:right="-28"/>
        <w:contextualSpacing/>
        <w:rPr>
          <w:rFonts w:eastAsia="Times New Roman" w:cs="Times New Roman"/>
          <w:bCs/>
          <w:iCs/>
          <w:szCs w:val="20"/>
          <w:lang w:val="es-ES" w:eastAsia="es-ES"/>
        </w:rPr>
      </w:pPr>
    </w:p>
    <w:p w14:paraId="622A89A8" w14:textId="77777777" w:rsidR="00F2695D" w:rsidRPr="006F159B" w:rsidRDefault="00F2695D" w:rsidP="00F2695D">
      <w:pPr>
        <w:spacing w:after="0" w:line="360" w:lineRule="auto"/>
        <w:ind w:right="-28"/>
        <w:rPr>
          <w:color w:val="000000"/>
        </w:rPr>
      </w:pPr>
      <w:r w:rsidRPr="006F159B">
        <w:rPr>
          <w:color w:val="000000"/>
        </w:rPr>
        <w:t>De lo anterior, resulta procedente analizar si dichos datos son públicos o privados; en principio, cabe mencionar que el artículo 143, fracción I, de la Ley previamente citada, establece que la información privada y los datos personales, concernientes a una persona física o jurídica colectiva identificada o identificable son confidenciales.</w:t>
      </w:r>
    </w:p>
    <w:p w14:paraId="14EFCA60" w14:textId="77777777" w:rsidR="00F2695D" w:rsidRPr="006F159B" w:rsidRDefault="00F2695D" w:rsidP="00F2695D">
      <w:pPr>
        <w:spacing w:after="0" w:line="360" w:lineRule="auto"/>
        <w:rPr>
          <w:color w:val="000000"/>
        </w:rPr>
      </w:pPr>
    </w:p>
    <w:p w14:paraId="4E337E45" w14:textId="77777777" w:rsidR="00F2695D" w:rsidRPr="006F159B" w:rsidRDefault="00F2695D" w:rsidP="00F2695D">
      <w:pPr>
        <w:spacing w:after="0" w:line="360" w:lineRule="auto"/>
        <w:rPr>
          <w:color w:val="000000"/>
        </w:rPr>
      </w:pPr>
      <w:r w:rsidRPr="006F159B">
        <w:rPr>
          <w:color w:val="000000"/>
        </w:rPr>
        <w:t xml:space="preserve">Asimismo, el artículo 145 de la Ley de Transparencia y Acceso a la Información Pública del Estado de México y Municipios, prevé que para que los Sujetos Obligados puedan permitir el </w:t>
      </w:r>
      <w:r w:rsidRPr="006F159B">
        <w:rPr>
          <w:color w:val="000000"/>
        </w:rPr>
        <w:lastRenderedPageBreak/>
        <w:t xml:space="preserve">acceso a la información confidencial, requieren obtener el consentimiento de los particulares titulares de la información, excepto cuando i) la información se encuentre en registros públicos o fuentes de acceso público, </w:t>
      </w:r>
      <w:proofErr w:type="spellStart"/>
      <w:r w:rsidRPr="006F159B">
        <w:rPr>
          <w:color w:val="000000"/>
        </w:rPr>
        <w:t>ii</w:t>
      </w:r>
      <w:proofErr w:type="spellEnd"/>
      <w:r w:rsidRPr="006F159B">
        <w:rPr>
          <w:color w:val="000000"/>
        </w:rPr>
        <w:t xml:space="preserve">) por ley tenga el carácter de pública, </w:t>
      </w:r>
      <w:proofErr w:type="spellStart"/>
      <w:r w:rsidRPr="006F159B">
        <w:rPr>
          <w:color w:val="000000"/>
        </w:rPr>
        <w:t>iii</w:t>
      </w:r>
      <w:proofErr w:type="spellEnd"/>
      <w:r w:rsidRPr="006F159B">
        <w:rPr>
          <w:color w:val="000000"/>
        </w:rPr>
        <w:t xml:space="preserve">) exista una orden judicial, </w:t>
      </w:r>
      <w:proofErr w:type="spellStart"/>
      <w:r w:rsidRPr="006F159B">
        <w:rPr>
          <w:color w:val="000000"/>
        </w:rPr>
        <w:t>iv</w:t>
      </w:r>
      <w:proofErr w:type="spellEnd"/>
      <w:r w:rsidRPr="006F159B">
        <w:rPr>
          <w:color w:val="000000"/>
        </w:rPr>
        <w:t>) por razones de seguridad nacional y salubridad general o v) para proteger los derechos de terceros o cuando se transmita entre sujetos obligados en términos de los tratados y los acuerdos interinstitucionales.</w:t>
      </w:r>
    </w:p>
    <w:p w14:paraId="287FFC27" w14:textId="77777777" w:rsidR="00F2695D" w:rsidRPr="006F159B" w:rsidRDefault="00F2695D" w:rsidP="00F2695D">
      <w:pPr>
        <w:spacing w:after="0" w:line="360" w:lineRule="auto"/>
        <w:rPr>
          <w:color w:val="000000"/>
        </w:rPr>
      </w:pPr>
    </w:p>
    <w:p w14:paraId="50F92AE6" w14:textId="77777777" w:rsidR="00F2695D" w:rsidRPr="006F159B" w:rsidRDefault="00F2695D" w:rsidP="00F2695D">
      <w:pPr>
        <w:spacing w:after="0" w:line="360" w:lineRule="auto"/>
        <w:rPr>
          <w:color w:val="000000"/>
        </w:rPr>
      </w:pPr>
      <w:r w:rsidRPr="006F159B">
        <w:rPr>
          <w:color w:val="000000"/>
        </w:rPr>
        <w:t>En términos de lo expuesto, la documentación y aquellos datos que se consideren confidenciales, serán una limitante del derecho de acceso a la información, siempre y cuando:</w:t>
      </w:r>
    </w:p>
    <w:p w14:paraId="01EFA561" w14:textId="77777777" w:rsidR="00F2695D" w:rsidRPr="006F159B" w:rsidRDefault="00F2695D" w:rsidP="00F2695D">
      <w:pPr>
        <w:spacing w:after="0" w:line="360" w:lineRule="auto"/>
        <w:rPr>
          <w:color w:val="000000"/>
        </w:rPr>
      </w:pPr>
    </w:p>
    <w:p w14:paraId="61A83C53" w14:textId="77777777" w:rsidR="00F2695D" w:rsidRPr="006F159B" w:rsidRDefault="00F2695D" w:rsidP="00F2695D">
      <w:pPr>
        <w:numPr>
          <w:ilvl w:val="0"/>
          <w:numId w:val="32"/>
        </w:numPr>
        <w:spacing w:after="0" w:line="360" w:lineRule="auto"/>
        <w:rPr>
          <w:color w:val="000000"/>
        </w:rPr>
      </w:pPr>
      <w:r w:rsidRPr="006F159B">
        <w:rPr>
          <w:color w:val="000000"/>
        </w:rPr>
        <w:t xml:space="preserve">Se trate de datos personales o información privada; esto es, información concerniente a una persona física o jurídico colectiva y que esta sea identificada o identificable. </w:t>
      </w:r>
    </w:p>
    <w:p w14:paraId="0E1F1DF1" w14:textId="77777777" w:rsidR="00F2695D" w:rsidRPr="006F159B" w:rsidRDefault="00F2695D" w:rsidP="00F2695D">
      <w:pPr>
        <w:numPr>
          <w:ilvl w:val="0"/>
          <w:numId w:val="32"/>
        </w:numPr>
        <w:spacing w:after="0" w:line="360" w:lineRule="auto"/>
        <w:rPr>
          <w:color w:val="000000"/>
        </w:rPr>
      </w:pPr>
      <w:r w:rsidRPr="006F159B">
        <w:rPr>
          <w:color w:val="000000"/>
        </w:rPr>
        <w:t xml:space="preserve">Para la difusión de los datos, se requiera el consentimiento del titular. </w:t>
      </w:r>
    </w:p>
    <w:p w14:paraId="5ACC4C3D" w14:textId="77777777" w:rsidR="00F2695D" w:rsidRPr="006F159B" w:rsidRDefault="00F2695D" w:rsidP="00F2695D">
      <w:pPr>
        <w:spacing w:after="0" w:line="360" w:lineRule="auto"/>
        <w:rPr>
          <w:color w:val="000000"/>
        </w:rPr>
      </w:pPr>
    </w:p>
    <w:p w14:paraId="6A95A802" w14:textId="77777777" w:rsidR="00F2695D" w:rsidRPr="006F159B" w:rsidRDefault="00F2695D" w:rsidP="00F2695D">
      <w:pPr>
        <w:spacing w:after="0" w:line="360" w:lineRule="auto"/>
        <w:rPr>
          <w:color w:val="000000"/>
        </w:rPr>
      </w:pPr>
      <w:r w:rsidRPr="006F159B">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A5B4B7E" w14:textId="77777777" w:rsidR="00F2695D" w:rsidRPr="006F159B" w:rsidRDefault="00F2695D" w:rsidP="00F2695D">
      <w:pPr>
        <w:spacing w:after="0" w:line="360" w:lineRule="auto"/>
        <w:rPr>
          <w:color w:val="000000"/>
        </w:rPr>
      </w:pPr>
    </w:p>
    <w:p w14:paraId="6B6BD06D" w14:textId="77777777" w:rsidR="00F2695D" w:rsidRPr="006F159B" w:rsidRDefault="00F2695D" w:rsidP="00F2695D">
      <w:pPr>
        <w:spacing w:after="0" w:line="360" w:lineRule="auto"/>
        <w:rPr>
          <w:color w:val="000000"/>
        </w:rPr>
      </w:pPr>
      <w:r w:rsidRPr="006F159B">
        <w:rPr>
          <w:color w:val="000000"/>
        </w:rPr>
        <w:t>Además, en el artículo 5° de dicho ordenamiento jurídico, establece que es la Ley aplicable para todo tratamiento de datos personales.</w:t>
      </w:r>
    </w:p>
    <w:p w14:paraId="2227D385" w14:textId="77777777" w:rsidR="00F2695D" w:rsidRPr="006F159B" w:rsidRDefault="00F2695D" w:rsidP="00F2695D">
      <w:pPr>
        <w:spacing w:after="0" w:line="360" w:lineRule="auto"/>
        <w:rPr>
          <w:color w:val="000000"/>
        </w:rPr>
      </w:pPr>
    </w:p>
    <w:p w14:paraId="6CEA5AC6" w14:textId="77777777" w:rsidR="00F2695D" w:rsidRPr="006F159B" w:rsidRDefault="00F2695D" w:rsidP="00F2695D">
      <w:pPr>
        <w:spacing w:after="0" w:line="360" w:lineRule="auto"/>
        <w:rPr>
          <w:color w:val="000000"/>
        </w:rPr>
      </w:pPr>
      <w:r w:rsidRPr="006F159B">
        <w:rPr>
          <w:color w:val="000000"/>
        </w:rPr>
        <w:t xml:space="preserve">En ese orden de ideas, los artículos 6°, 7°, 8° y 14 de la Ley de Protección de Datos Personales en Posesión de Sujetos Obligados del Estado de México y Municipios disponen que los </w:t>
      </w:r>
      <w:r w:rsidRPr="006F159B">
        <w:rPr>
          <w:color w:val="000000"/>
        </w:rPr>
        <w:lastRenderedPageBreak/>
        <w:t>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5A94660" w14:textId="77777777" w:rsidR="00F2695D" w:rsidRPr="006F159B" w:rsidRDefault="00F2695D" w:rsidP="00F2695D">
      <w:pPr>
        <w:spacing w:after="0" w:line="360" w:lineRule="auto"/>
        <w:rPr>
          <w:color w:val="000000"/>
        </w:rPr>
      </w:pPr>
    </w:p>
    <w:p w14:paraId="79FDD92B" w14:textId="77777777" w:rsidR="00F2695D" w:rsidRPr="006F159B" w:rsidRDefault="00F2695D" w:rsidP="00F2695D">
      <w:pPr>
        <w:spacing w:after="0" w:line="360" w:lineRule="auto"/>
        <w:rPr>
          <w:color w:val="000000"/>
        </w:rPr>
      </w:pPr>
      <w:r w:rsidRPr="006F159B">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1A81300C" w14:textId="77777777" w:rsidR="00F2695D" w:rsidRPr="006F159B" w:rsidRDefault="00F2695D" w:rsidP="00F2695D">
      <w:pPr>
        <w:spacing w:after="0" w:line="360" w:lineRule="auto"/>
        <w:rPr>
          <w:color w:val="000000"/>
        </w:rPr>
      </w:pPr>
    </w:p>
    <w:p w14:paraId="691D05B6" w14:textId="77777777" w:rsidR="00F2695D" w:rsidRPr="006F159B" w:rsidRDefault="00F2695D" w:rsidP="00F2695D">
      <w:pPr>
        <w:numPr>
          <w:ilvl w:val="0"/>
          <w:numId w:val="34"/>
        </w:numPr>
        <w:spacing w:after="0" w:line="360" w:lineRule="auto"/>
        <w:rPr>
          <w:b/>
          <w:color w:val="000000"/>
        </w:rPr>
      </w:pPr>
      <w:r w:rsidRPr="006F159B">
        <w:rPr>
          <w:b/>
          <w:color w:val="000000"/>
        </w:rPr>
        <w:t>Clave Única de Registro de Población (CURP)</w:t>
      </w:r>
    </w:p>
    <w:p w14:paraId="197110A7" w14:textId="77777777" w:rsidR="00F2695D" w:rsidRPr="006F159B" w:rsidRDefault="00F2695D" w:rsidP="00F2695D">
      <w:pPr>
        <w:spacing w:after="0" w:line="360" w:lineRule="auto"/>
        <w:rPr>
          <w:color w:val="000000"/>
        </w:rPr>
      </w:pPr>
    </w:p>
    <w:p w14:paraId="2198A1F9" w14:textId="77777777" w:rsidR="00F2695D" w:rsidRPr="006F159B" w:rsidRDefault="00F2695D" w:rsidP="00F2695D">
      <w:pPr>
        <w:spacing w:after="0" w:line="360" w:lineRule="auto"/>
        <w:rPr>
          <w:color w:val="000000"/>
        </w:rPr>
      </w:pPr>
      <w:r w:rsidRPr="006F159B">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78A95FC" w14:textId="77777777" w:rsidR="00F2695D" w:rsidRPr="006F159B" w:rsidRDefault="00F2695D" w:rsidP="00F2695D">
      <w:pPr>
        <w:spacing w:after="0" w:line="360" w:lineRule="auto"/>
        <w:rPr>
          <w:color w:val="000000"/>
        </w:rPr>
      </w:pPr>
    </w:p>
    <w:p w14:paraId="1AA8DE28" w14:textId="77777777" w:rsidR="00F2695D" w:rsidRPr="006F159B" w:rsidRDefault="00F2695D" w:rsidP="00F2695D">
      <w:pPr>
        <w:spacing w:after="0" w:line="360" w:lineRule="auto"/>
        <w:rPr>
          <w:color w:val="000000"/>
        </w:rPr>
      </w:pPr>
      <w:r w:rsidRPr="006F159B">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B5F76E0" w14:textId="77777777" w:rsidR="00F2695D" w:rsidRPr="006F159B" w:rsidRDefault="00F2695D" w:rsidP="00F2695D">
      <w:pPr>
        <w:spacing w:after="0" w:line="360" w:lineRule="auto"/>
        <w:rPr>
          <w:color w:val="000000"/>
        </w:rPr>
      </w:pPr>
    </w:p>
    <w:p w14:paraId="7860611D" w14:textId="77777777" w:rsidR="00F2695D" w:rsidRPr="006F159B" w:rsidRDefault="00F2695D" w:rsidP="00F2695D">
      <w:pPr>
        <w:spacing w:after="0" w:line="360" w:lineRule="auto"/>
        <w:rPr>
          <w:color w:val="000000"/>
        </w:rPr>
      </w:pPr>
      <w:r w:rsidRPr="006F159B">
        <w:rPr>
          <w:color w:val="000000"/>
        </w:rPr>
        <w:lastRenderedPageBreak/>
        <w:t xml:space="preserve">En ese orden de ideas, la Secretaría de Gobernación en las direcciones </w:t>
      </w:r>
      <w:hyperlink r:id="rId10" w:history="1">
        <w:r w:rsidRPr="006F159B">
          <w:rPr>
            <w:rStyle w:val="Hipervnculo"/>
            <w:color w:val="0563C1"/>
          </w:rPr>
          <w:t>https://consultas.curp.gob.mx/CurpSP/html/informacionecurpPS.html</w:t>
        </w:r>
      </w:hyperlink>
      <w:r w:rsidRPr="006F159B">
        <w:rPr>
          <w:color w:val="000000"/>
        </w:rPr>
        <w:t xml:space="preserve"> y </w:t>
      </w:r>
      <w:hyperlink r:id="rId11" w:history="1">
        <w:r w:rsidRPr="006F159B">
          <w:rPr>
            <w:rStyle w:val="Hipervnculo"/>
            <w:color w:val="0563C1"/>
          </w:rPr>
          <w:t>https://www.gob.mx/segob/renapo/acciones-y-programas/clave-unica-de-registro-de-poblacion-curp-142226</w:t>
        </w:r>
      </w:hyperlink>
      <w:r w:rsidRPr="006F159B">
        <w:rPr>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6F159B">
        <w:rPr>
          <w:b/>
          <w:color w:val="000000"/>
        </w:rPr>
        <w:t>se generan a partir de los datos contenidos en el documento probatorio de la identidad</w:t>
      </w:r>
      <w:r w:rsidRPr="006F159B">
        <w:rPr>
          <w:color w:val="000000"/>
        </w:rPr>
        <w:t xml:space="preserve"> </w:t>
      </w:r>
      <w:r w:rsidRPr="006F159B">
        <w:rPr>
          <w:b/>
          <w:color w:val="000000"/>
        </w:rPr>
        <w:t xml:space="preserve">del interesado </w:t>
      </w:r>
      <w:r w:rsidRPr="006F159B">
        <w:rPr>
          <w:color w:val="000000"/>
        </w:rPr>
        <w:t>(acta de nacimiento, carta de naturalización o documento migratorio) de la siguiente forma:</w:t>
      </w:r>
    </w:p>
    <w:p w14:paraId="247A8B66" w14:textId="77777777" w:rsidR="00F2695D" w:rsidRPr="006F159B" w:rsidRDefault="00F2695D" w:rsidP="00F2695D">
      <w:pPr>
        <w:spacing w:after="0" w:line="360" w:lineRule="auto"/>
        <w:rPr>
          <w:color w:val="000000"/>
        </w:rPr>
      </w:pPr>
    </w:p>
    <w:p w14:paraId="0C429742" w14:textId="77777777" w:rsidR="00F2695D" w:rsidRPr="006F159B" w:rsidRDefault="00F2695D" w:rsidP="00F2695D">
      <w:pPr>
        <w:numPr>
          <w:ilvl w:val="0"/>
          <w:numId w:val="35"/>
        </w:numPr>
        <w:spacing w:after="0" w:line="360" w:lineRule="auto"/>
        <w:rPr>
          <w:color w:val="000000"/>
        </w:rPr>
      </w:pPr>
      <w:r w:rsidRPr="006F159B">
        <w:rPr>
          <w:color w:val="000000"/>
        </w:rPr>
        <w:t>El primero y segundo apellidos, así como al nombre de pila;</w:t>
      </w:r>
    </w:p>
    <w:p w14:paraId="71B1723A" w14:textId="77777777" w:rsidR="00F2695D" w:rsidRPr="006F159B" w:rsidRDefault="00F2695D" w:rsidP="00F2695D">
      <w:pPr>
        <w:numPr>
          <w:ilvl w:val="0"/>
          <w:numId w:val="35"/>
        </w:numPr>
        <w:spacing w:after="0" w:line="360" w:lineRule="auto"/>
        <w:rPr>
          <w:color w:val="000000"/>
        </w:rPr>
      </w:pPr>
      <w:r w:rsidRPr="006F159B">
        <w:rPr>
          <w:color w:val="000000"/>
        </w:rPr>
        <w:t>La fecha de nacimiento;</w:t>
      </w:r>
    </w:p>
    <w:p w14:paraId="3F77FE33" w14:textId="77777777" w:rsidR="00F2695D" w:rsidRPr="006F159B" w:rsidRDefault="00F2695D" w:rsidP="00F2695D">
      <w:pPr>
        <w:numPr>
          <w:ilvl w:val="0"/>
          <w:numId w:val="35"/>
        </w:numPr>
        <w:spacing w:after="0" w:line="360" w:lineRule="auto"/>
        <w:rPr>
          <w:color w:val="000000"/>
        </w:rPr>
      </w:pPr>
      <w:r w:rsidRPr="006F159B">
        <w:rPr>
          <w:color w:val="000000"/>
        </w:rPr>
        <w:t>El sexo, y</w:t>
      </w:r>
    </w:p>
    <w:p w14:paraId="795FD05A" w14:textId="77777777" w:rsidR="00F2695D" w:rsidRPr="006F159B" w:rsidRDefault="00F2695D" w:rsidP="00F2695D">
      <w:pPr>
        <w:numPr>
          <w:ilvl w:val="0"/>
          <w:numId w:val="35"/>
        </w:numPr>
        <w:spacing w:after="0" w:line="360" w:lineRule="auto"/>
        <w:rPr>
          <w:color w:val="000000"/>
        </w:rPr>
      </w:pPr>
      <w:r w:rsidRPr="006F159B">
        <w:rPr>
          <w:color w:val="000000"/>
        </w:rPr>
        <w:t>La entidad federativa de nacimiento.</w:t>
      </w:r>
    </w:p>
    <w:p w14:paraId="6BC90720" w14:textId="77777777" w:rsidR="00F2695D" w:rsidRPr="006F159B" w:rsidRDefault="00F2695D" w:rsidP="00F2695D">
      <w:pPr>
        <w:spacing w:after="0" w:line="360" w:lineRule="auto"/>
        <w:rPr>
          <w:color w:val="000000"/>
        </w:rPr>
      </w:pPr>
    </w:p>
    <w:p w14:paraId="1A234F56" w14:textId="77777777" w:rsidR="00F2695D" w:rsidRPr="006F159B" w:rsidRDefault="00F2695D" w:rsidP="00F2695D">
      <w:pPr>
        <w:spacing w:after="0" w:line="360" w:lineRule="auto"/>
        <w:rPr>
          <w:color w:val="000000"/>
        </w:rPr>
      </w:pPr>
      <w:r w:rsidRPr="006F159B">
        <w:rPr>
          <w:color w:val="000000"/>
        </w:rPr>
        <w:t>Los dos últimos elementos de la Clave Única de Registro de Población evitan la duplicidad de la Clave y garantizan su correcta integración.</w:t>
      </w:r>
    </w:p>
    <w:p w14:paraId="57A761B2" w14:textId="77777777" w:rsidR="00F2695D" w:rsidRPr="006F159B" w:rsidRDefault="00F2695D" w:rsidP="00F2695D">
      <w:pPr>
        <w:spacing w:after="0" w:line="360" w:lineRule="auto"/>
        <w:rPr>
          <w:color w:val="000000"/>
        </w:rPr>
      </w:pPr>
    </w:p>
    <w:p w14:paraId="4B5BC022" w14:textId="77777777" w:rsidR="00F2695D" w:rsidRPr="006F159B" w:rsidRDefault="00F2695D" w:rsidP="00F2695D">
      <w:pPr>
        <w:spacing w:after="0" w:line="360" w:lineRule="auto"/>
        <w:rPr>
          <w:color w:val="000000"/>
        </w:rPr>
      </w:pPr>
      <w:r w:rsidRPr="006F159B">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9E6A35C" w14:textId="77777777" w:rsidR="00F2695D" w:rsidRPr="006F159B" w:rsidRDefault="00F2695D" w:rsidP="00F2695D">
      <w:pPr>
        <w:spacing w:after="0" w:line="360" w:lineRule="auto"/>
        <w:rPr>
          <w:color w:val="000000"/>
        </w:rPr>
      </w:pPr>
    </w:p>
    <w:p w14:paraId="4015AD14" w14:textId="77777777" w:rsidR="00F2695D" w:rsidRPr="006F159B" w:rsidRDefault="00F2695D" w:rsidP="00F2695D">
      <w:pPr>
        <w:spacing w:after="0" w:line="360" w:lineRule="auto"/>
        <w:rPr>
          <w:color w:val="000000"/>
        </w:rPr>
      </w:pPr>
      <w:r w:rsidRPr="006F159B">
        <w:rPr>
          <w:color w:val="000000"/>
        </w:rPr>
        <w:lastRenderedPageBreak/>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1A9DBBFF" w14:textId="77777777" w:rsidR="00F2695D" w:rsidRPr="006F159B" w:rsidRDefault="00F2695D" w:rsidP="00F2695D">
      <w:pPr>
        <w:spacing w:after="0" w:line="360" w:lineRule="auto"/>
        <w:ind w:left="567" w:right="567"/>
        <w:rPr>
          <w:color w:val="000000"/>
          <w:sz w:val="20"/>
          <w:szCs w:val="20"/>
        </w:rPr>
      </w:pPr>
    </w:p>
    <w:p w14:paraId="3041F669" w14:textId="77777777" w:rsidR="00F2695D" w:rsidRPr="006F159B" w:rsidRDefault="00F2695D" w:rsidP="00F2695D">
      <w:pPr>
        <w:spacing w:after="0" w:line="360" w:lineRule="auto"/>
        <w:ind w:left="567" w:right="567"/>
        <w:rPr>
          <w:i/>
          <w:color w:val="000000"/>
          <w:sz w:val="20"/>
          <w:szCs w:val="20"/>
        </w:rPr>
      </w:pPr>
      <w:r w:rsidRPr="006F159B">
        <w:rPr>
          <w:b/>
          <w:i/>
          <w:color w:val="000000"/>
          <w:sz w:val="20"/>
          <w:szCs w:val="20"/>
        </w:rPr>
        <w:t xml:space="preserve">“Clave Única de Registro de Población (CURP). </w:t>
      </w:r>
      <w:r w:rsidRPr="006F159B">
        <w:rPr>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D96ECA3" w14:textId="77777777" w:rsidR="00F2695D" w:rsidRPr="006F159B" w:rsidRDefault="00F2695D" w:rsidP="00F2695D">
      <w:pPr>
        <w:spacing w:after="0" w:line="360" w:lineRule="auto"/>
        <w:rPr>
          <w:color w:val="000000"/>
        </w:rPr>
      </w:pPr>
    </w:p>
    <w:p w14:paraId="520128E4" w14:textId="77777777" w:rsidR="00F2695D" w:rsidRPr="006F159B" w:rsidRDefault="00F2695D" w:rsidP="00F2695D">
      <w:pPr>
        <w:spacing w:after="0" w:line="360" w:lineRule="auto"/>
        <w:rPr>
          <w:color w:val="000000"/>
        </w:rPr>
      </w:pPr>
      <w:r w:rsidRPr="006F159B">
        <w:rPr>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118AA074" w14:textId="77777777" w:rsidR="00F2695D" w:rsidRPr="006F159B" w:rsidRDefault="00F2695D" w:rsidP="00F2695D">
      <w:pPr>
        <w:spacing w:after="0" w:line="360" w:lineRule="auto"/>
        <w:rPr>
          <w:color w:val="000000"/>
        </w:rPr>
      </w:pPr>
    </w:p>
    <w:p w14:paraId="0E3A2BA7" w14:textId="77777777" w:rsidR="00F2695D" w:rsidRPr="006F159B" w:rsidRDefault="00F2695D" w:rsidP="00F2695D">
      <w:pPr>
        <w:numPr>
          <w:ilvl w:val="0"/>
          <w:numId w:val="34"/>
        </w:numPr>
        <w:spacing w:after="0" w:line="360" w:lineRule="auto"/>
        <w:rPr>
          <w:b/>
          <w:color w:val="000000"/>
        </w:rPr>
      </w:pPr>
      <w:r w:rsidRPr="006F159B">
        <w:rPr>
          <w:b/>
          <w:color w:val="000000"/>
        </w:rPr>
        <w:t>Registro Federal de Contribuyentes (RFC)</w:t>
      </w:r>
    </w:p>
    <w:p w14:paraId="68A97145" w14:textId="77777777" w:rsidR="00F2695D" w:rsidRPr="006F159B" w:rsidRDefault="00F2695D" w:rsidP="00F2695D">
      <w:pPr>
        <w:spacing w:after="0" w:line="360" w:lineRule="auto"/>
        <w:rPr>
          <w:color w:val="000000"/>
        </w:rPr>
      </w:pPr>
    </w:p>
    <w:p w14:paraId="476B4878" w14:textId="77777777" w:rsidR="00F2695D" w:rsidRPr="006F159B" w:rsidRDefault="00F2695D" w:rsidP="00F2695D">
      <w:pPr>
        <w:spacing w:after="0" w:line="360" w:lineRule="auto"/>
        <w:rPr>
          <w:color w:val="000000"/>
        </w:rPr>
      </w:pPr>
      <w:r w:rsidRPr="006F159B">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9C80CB7" w14:textId="77777777" w:rsidR="00F2695D" w:rsidRPr="006F159B" w:rsidRDefault="00F2695D" w:rsidP="00F2695D">
      <w:pPr>
        <w:spacing w:after="0" w:line="360" w:lineRule="auto"/>
        <w:rPr>
          <w:color w:val="000000"/>
        </w:rPr>
      </w:pPr>
    </w:p>
    <w:p w14:paraId="0A9CC29E" w14:textId="77777777" w:rsidR="00F2695D" w:rsidRPr="006F159B" w:rsidRDefault="00F2695D" w:rsidP="00F2695D">
      <w:pPr>
        <w:spacing w:after="0" w:line="360" w:lineRule="auto"/>
        <w:rPr>
          <w:color w:val="000000"/>
        </w:rPr>
      </w:pPr>
      <w:r w:rsidRPr="006F159B">
        <w:rPr>
          <w:color w:val="000000"/>
        </w:rPr>
        <w:t xml:space="preserve">De acuerdo a lo establecido en el artículo en comento, esta clave se compone de trece caracteres alfanuméricos, con datos obtenidos de los apellidos, nombre(s), fecha de nacimiento del titular, </w:t>
      </w:r>
      <w:r w:rsidRPr="006F159B">
        <w:rPr>
          <w:color w:val="000000"/>
        </w:rPr>
        <w:lastRenderedPageBreak/>
        <w:t xml:space="preserve">más una </w:t>
      </w:r>
      <w:proofErr w:type="spellStart"/>
      <w:r w:rsidRPr="006F159B">
        <w:rPr>
          <w:color w:val="000000"/>
        </w:rPr>
        <w:t>homoclave</w:t>
      </w:r>
      <w:proofErr w:type="spellEnd"/>
      <w:r w:rsidRPr="006F159B">
        <w:rPr>
          <w:color w:val="000000"/>
        </w:rPr>
        <w:t xml:space="preserve"> que establece el sistema automático del Servicio de Administración Tributaria.</w:t>
      </w:r>
    </w:p>
    <w:p w14:paraId="3AE2DDDF" w14:textId="77777777" w:rsidR="00F2695D" w:rsidRPr="006F159B" w:rsidRDefault="00F2695D" w:rsidP="00F2695D">
      <w:pPr>
        <w:spacing w:after="0" w:line="360" w:lineRule="auto"/>
        <w:rPr>
          <w:color w:val="000000"/>
        </w:rPr>
      </w:pPr>
    </w:p>
    <w:p w14:paraId="2C668FE0" w14:textId="77777777" w:rsidR="00F2695D" w:rsidRPr="006F159B" w:rsidRDefault="00F2695D" w:rsidP="00F2695D">
      <w:pPr>
        <w:spacing w:after="0" w:line="360" w:lineRule="auto"/>
        <w:rPr>
          <w:color w:val="000000"/>
        </w:rPr>
      </w:pPr>
      <w:r w:rsidRPr="006F159B">
        <w:rPr>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5AA525F" w14:textId="77777777" w:rsidR="00F2695D" w:rsidRPr="006F159B" w:rsidRDefault="00F2695D" w:rsidP="00F2695D">
      <w:pPr>
        <w:spacing w:after="0" w:line="360" w:lineRule="auto"/>
        <w:rPr>
          <w:color w:val="000000"/>
        </w:rPr>
      </w:pPr>
    </w:p>
    <w:p w14:paraId="22270A17" w14:textId="77777777" w:rsidR="00F2695D" w:rsidRPr="006F159B" w:rsidRDefault="00F2695D" w:rsidP="00F2695D">
      <w:pPr>
        <w:spacing w:after="0" w:line="360" w:lineRule="auto"/>
        <w:rPr>
          <w:color w:val="000000"/>
        </w:rPr>
      </w:pPr>
      <w:r w:rsidRPr="006F159B">
        <w:rPr>
          <w:color w:val="000000"/>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EBAC655" w14:textId="77777777" w:rsidR="00F2695D" w:rsidRPr="006F159B" w:rsidRDefault="00F2695D" w:rsidP="00F2695D">
      <w:pPr>
        <w:spacing w:after="0" w:line="360" w:lineRule="auto"/>
        <w:rPr>
          <w:color w:val="000000"/>
        </w:rPr>
      </w:pPr>
    </w:p>
    <w:p w14:paraId="6E578AA2" w14:textId="77777777" w:rsidR="00F2695D" w:rsidRPr="006F159B" w:rsidRDefault="00F2695D" w:rsidP="00F2695D">
      <w:pPr>
        <w:spacing w:after="0" w:line="360" w:lineRule="auto"/>
        <w:rPr>
          <w:color w:val="000000"/>
        </w:rPr>
      </w:pPr>
      <w:r w:rsidRPr="006F159B">
        <w:rPr>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2F6E6E4D" w14:textId="77777777" w:rsidR="00F2695D" w:rsidRPr="006F159B" w:rsidRDefault="00F2695D" w:rsidP="00F2695D">
      <w:pPr>
        <w:spacing w:after="0" w:line="360" w:lineRule="auto"/>
        <w:rPr>
          <w:color w:val="000000"/>
        </w:rPr>
      </w:pPr>
    </w:p>
    <w:p w14:paraId="3A8A46C8" w14:textId="77777777" w:rsidR="00F2695D" w:rsidRPr="006F159B" w:rsidRDefault="00F2695D" w:rsidP="00F2695D">
      <w:pPr>
        <w:spacing w:after="0" w:line="360" w:lineRule="auto"/>
        <w:ind w:left="567" w:right="567"/>
        <w:rPr>
          <w:i/>
          <w:color w:val="000000"/>
          <w:sz w:val="20"/>
          <w:szCs w:val="20"/>
        </w:rPr>
      </w:pPr>
      <w:r w:rsidRPr="006F159B">
        <w:rPr>
          <w:b/>
          <w:i/>
          <w:color w:val="000000"/>
          <w:sz w:val="20"/>
          <w:szCs w:val="20"/>
        </w:rPr>
        <w:t>“Registro Federal de Contribuyentes (RFC) de personas físicas.</w:t>
      </w:r>
      <w:r w:rsidRPr="006F159B">
        <w:rPr>
          <w:i/>
          <w:color w:val="000000"/>
          <w:sz w:val="20"/>
          <w:szCs w:val="20"/>
        </w:rPr>
        <w:t xml:space="preserve"> El RFC es una clave de carácter fiscal, única e irrepetible, que permite identificar al titular, su edad y fecha de nacimiento, por lo que es un dato personal de carácter confidencial.”</w:t>
      </w:r>
    </w:p>
    <w:p w14:paraId="65CA3315" w14:textId="77777777" w:rsidR="00F2695D" w:rsidRPr="006F159B" w:rsidRDefault="00F2695D" w:rsidP="00F2695D">
      <w:pPr>
        <w:spacing w:after="0" w:line="360" w:lineRule="auto"/>
        <w:rPr>
          <w:color w:val="000000"/>
        </w:rPr>
      </w:pPr>
    </w:p>
    <w:p w14:paraId="191690F6" w14:textId="77777777" w:rsidR="00F2695D" w:rsidRPr="006F159B" w:rsidRDefault="00F2695D" w:rsidP="00F2695D">
      <w:pPr>
        <w:spacing w:after="0" w:line="360" w:lineRule="auto"/>
        <w:rPr>
          <w:color w:val="000000"/>
        </w:rPr>
      </w:pPr>
      <w:r w:rsidRPr="006F159B">
        <w:rPr>
          <w:color w:val="000000"/>
        </w:rPr>
        <w:t xml:space="preserve">De tal suerte, el Registro Federal de Contribuyentes de los servidores públicos no guarda relación con la transparencia de los recursos públicos, así como tampoco con el desempeño </w:t>
      </w:r>
      <w:r w:rsidRPr="006F159B">
        <w:rPr>
          <w:color w:val="000000"/>
        </w:rPr>
        <w:lastRenderedPageBreak/>
        <w:t>laboral que pueda tener una persona, por lo que constituye un dato personal confidencial al actualizar el supuesto normativo del artículo 143, fracción I, de la Ley de Transparencia y Acceso a la Información Pública del Estado de México y Municipios.</w:t>
      </w:r>
    </w:p>
    <w:p w14:paraId="11C3E92A" w14:textId="77777777" w:rsidR="00F2695D" w:rsidRPr="006F159B" w:rsidRDefault="00F2695D" w:rsidP="00F2695D">
      <w:pPr>
        <w:tabs>
          <w:tab w:val="center" w:pos="4522"/>
        </w:tabs>
        <w:spacing w:after="0" w:line="360" w:lineRule="auto"/>
        <w:rPr>
          <w:color w:val="000000"/>
        </w:rPr>
      </w:pPr>
    </w:p>
    <w:p w14:paraId="23D4A1CA" w14:textId="77777777" w:rsidR="00F2695D" w:rsidRPr="006F159B" w:rsidRDefault="00F2695D" w:rsidP="00F2695D">
      <w:pPr>
        <w:numPr>
          <w:ilvl w:val="0"/>
          <w:numId w:val="33"/>
        </w:numPr>
        <w:spacing w:after="0" w:line="360" w:lineRule="auto"/>
        <w:contextualSpacing/>
        <w:jc w:val="left"/>
        <w:rPr>
          <w:rFonts w:eastAsia="Calibri" w:cs="Tahoma"/>
          <w:b/>
          <w:bCs/>
          <w:iCs/>
        </w:rPr>
      </w:pPr>
      <w:r w:rsidRPr="006F159B">
        <w:rPr>
          <w:rFonts w:eastAsia="Calibri" w:cs="Tahoma"/>
          <w:b/>
          <w:bCs/>
          <w:iCs/>
        </w:rPr>
        <w:t xml:space="preserve">Código bidimensional o </w:t>
      </w:r>
      <w:proofErr w:type="spellStart"/>
      <w:r w:rsidRPr="006F159B">
        <w:rPr>
          <w:rFonts w:eastAsia="Calibri" w:cs="Tahoma"/>
          <w:b/>
          <w:bCs/>
          <w:iCs/>
        </w:rPr>
        <w:t>Qr</w:t>
      </w:r>
      <w:proofErr w:type="spellEnd"/>
    </w:p>
    <w:p w14:paraId="2F4F7855" w14:textId="77777777" w:rsidR="00F2695D" w:rsidRPr="006F159B" w:rsidRDefault="00F2695D" w:rsidP="00F2695D">
      <w:pPr>
        <w:spacing w:after="0" w:line="360" w:lineRule="auto"/>
        <w:contextualSpacing/>
        <w:rPr>
          <w:rFonts w:eastAsia="Calibri" w:cs="Tahoma"/>
          <w:b/>
          <w:bCs/>
          <w:iCs/>
        </w:rPr>
      </w:pPr>
    </w:p>
    <w:p w14:paraId="16C82654" w14:textId="77777777" w:rsidR="00F2695D" w:rsidRPr="006F159B" w:rsidRDefault="00F2695D" w:rsidP="00F2695D">
      <w:pPr>
        <w:spacing w:after="0" w:line="360" w:lineRule="auto"/>
        <w:contextualSpacing/>
        <w:rPr>
          <w:rFonts w:eastAsia="Calibri" w:cs="Tahoma"/>
          <w:bCs/>
        </w:rPr>
      </w:pPr>
      <w:r w:rsidRPr="006F159B">
        <w:rPr>
          <w:rFonts w:eastAsia="Calibri" w:cs="Tahoma"/>
          <w:bCs/>
        </w:rPr>
        <w:t xml:space="preserve">En principio, resulta necesario señalar que los comprobantes fiscales digitales por Internet, deben de incluir un código bidimensional conforme al formato </w:t>
      </w:r>
      <w:r w:rsidRPr="006F159B">
        <w:rPr>
          <w:rFonts w:eastAsia="Calibri" w:cs="Tahoma"/>
          <w:bCs/>
          <w:i/>
        </w:rPr>
        <w:t xml:space="preserve">QR </w:t>
      </w:r>
      <w:proofErr w:type="spellStart"/>
      <w:r w:rsidRPr="006F159B">
        <w:rPr>
          <w:rFonts w:eastAsia="Calibri" w:cs="Tahoma"/>
          <w:bCs/>
          <w:i/>
        </w:rPr>
        <w:t>Code</w:t>
      </w:r>
      <w:proofErr w:type="spellEnd"/>
      <w:r w:rsidRPr="006F159B">
        <w:rPr>
          <w:rFonts w:eastAsia="Calibri" w:cs="Tahoma"/>
          <w:bCs/>
          <w:i/>
        </w:rPr>
        <w:t xml:space="preserve"> (Quick Response </w:t>
      </w:r>
      <w:proofErr w:type="spellStart"/>
      <w:r w:rsidRPr="006F159B">
        <w:rPr>
          <w:rFonts w:eastAsia="Calibri" w:cs="Tahoma"/>
          <w:bCs/>
          <w:i/>
        </w:rPr>
        <w:t>Code</w:t>
      </w:r>
      <w:proofErr w:type="spellEnd"/>
      <w:r w:rsidRPr="006F159B">
        <w:rPr>
          <w:rFonts w:eastAsia="Calibri" w:cs="Tahoma"/>
          <w:bCs/>
          <w:i/>
        </w:rPr>
        <w:t>)</w:t>
      </w:r>
      <w:r w:rsidRPr="006F159B">
        <w:rPr>
          <w:rFonts w:eastAsia="Calibri" w:cs="Tahoma"/>
          <w:bC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2" w:history="1">
        <w:r w:rsidRPr="006F159B">
          <w:rPr>
            <w:rStyle w:val="Hipervnculo"/>
            <w:rFonts w:eastAsia="Calibri" w:cs="Tahoma"/>
            <w:bCs/>
            <w:color w:val="0563C1"/>
          </w:rPr>
          <w:t>http://dof.gob.mx/nota_detalle.php?codigo=5492254&amp;fecha=28/07/2017</w:t>
        </w:r>
      </w:hyperlink>
      <w:r w:rsidRPr="006F159B">
        <w:rPr>
          <w:rFonts w:eastAsia="Calibri" w:cs="Tahoma"/>
          <w:bCs/>
        </w:rPr>
        <w:t>. Incluso con la captura de dicho código, a través de la aplicación móvil del Servicio de Administración Tributaria, permite el acceso al Registro Federal de Contribuyentes, como del Sujeto Obligado, como de los servidores públicos.</w:t>
      </w:r>
    </w:p>
    <w:p w14:paraId="17732901" w14:textId="77777777" w:rsidR="00F2695D" w:rsidRPr="006F159B" w:rsidRDefault="00F2695D" w:rsidP="00F2695D">
      <w:pPr>
        <w:spacing w:after="0" w:line="360" w:lineRule="auto"/>
        <w:contextualSpacing/>
        <w:rPr>
          <w:rFonts w:eastAsia="Calibri" w:cs="Tahoma"/>
          <w:bCs/>
        </w:rPr>
      </w:pPr>
    </w:p>
    <w:p w14:paraId="37F8BF97" w14:textId="77777777" w:rsidR="00F2695D" w:rsidRPr="006F159B" w:rsidRDefault="00F2695D" w:rsidP="00F2695D">
      <w:pPr>
        <w:spacing w:after="0" w:line="360" w:lineRule="auto"/>
        <w:contextualSpacing/>
        <w:rPr>
          <w:rFonts w:eastAsia="Calibri" w:cs="Tahoma"/>
          <w:bCs/>
        </w:rPr>
      </w:pPr>
      <w:r w:rsidRPr="006F159B">
        <w:rPr>
          <w:rFonts w:eastAsia="Calibri" w:cs="Tahoma"/>
          <w:bC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5CDACE7C" w14:textId="77777777" w:rsidR="00F2695D" w:rsidRPr="006F159B" w:rsidRDefault="00F2695D" w:rsidP="00F2695D">
      <w:pPr>
        <w:tabs>
          <w:tab w:val="center" w:pos="4522"/>
        </w:tabs>
        <w:spacing w:after="0" w:line="360" w:lineRule="auto"/>
        <w:rPr>
          <w:color w:val="000000"/>
        </w:rPr>
      </w:pPr>
    </w:p>
    <w:p w14:paraId="51304197" w14:textId="77777777" w:rsidR="00F2695D" w:rsidRPr="006F159B" w:rsidRDefault="00F2695D" w:rsidP="00F2695D">
      <w:pPr>
        <w:numPr>
          <w:ilvl w:val="0"/>
          <w:numId w:val="34"/>
        </w:numPr>
        <w:spacing w:after="0" w:line="360" w:lineRule="auto"/>
        <w:rPr>
          <w:b/>
          <w:color w:val="000000"/>
        </w:rPr>
      </w:pPr>
      <w:r w:rsidRPr="006F159B">
        <w:rPr>
          <w:b/>
          <w:color w:val="000000"/>
        </w:rPr>
        <w:t>Número de seguridad social del Instituto de Seguridad Social del Estado de México y Municipios</w:t>
      </w:r>
    </w:p>
    <w:p w14:paraId="43510FD4" w14:textId="77777777" w:rsidR="00F2695D" w:rsidRPr="006F159B" w:rsidRDefault="00F2695D" w:rsidP="00F2695D">
      <w:pPr>
        <w:spacing w:after="0" w:line="360" w:lineRule="auto"/>
        <w:rPr>
          <w:b/>
          <w:color w:val="000000"/>
        </w:rPr>
      </w:pPr>
    </w:p>
    <w:p w14:paraId="17D906EB" w14:textId="77777777" w:rsidR="00F2695D" w:rsidRPr="006F159B" w:rsidRDefault="00F2695D" w:rsidP="00F2695D">
      <w:pPr>
        <w:spacing w:after="0" w:line="360" w:lineRule="auto"/>
        <w:rPr>
          <w:color w:val="000000"/>
        </w:rPr>
      </w:pPr>
      <w:r w:rsidRPr="006F159B">
        <w:rPr>
          <w:color w:val="000000"/>
        </w:rPr>
        <w:t xml:space="preserve">El Instituto de Seguridad Social del Estado de México y Municipios (ISSEMYM) es el organismo público encargado de proporcionar los servicios de seguridad social a los servidores públicos del Estado de México, con el objetivo de garantizar a los derechohabientes el acceso a las </w:t>
      </w:r>
      <w:r w:rsidRPr="006F159B">
        <w:rPr>
          <w:color w:val="000000"/>
        </w:rPr>
        <w:lastRenderedPageBreak/>
        <w:t>prestaciones que otorga, de conformidad con el artículo 14 de la Ley de Seguridad Social para los Servidores Públicos del Estado de México y Municipios.</w:t>
      </w:r>
    </w:p>
    <w:p w14:paraId="7BEB231C" w14:textId="77777777" w:rsidR="00F2695D" w:rsidRPr="006F159B" w:rsidRDefault="00F2695D" w:rsidP="00F2695D">
      <w:pPr>
        <w:spacing w:after="0" w:line="360" w:lineRule="auto"/>
        <w:rPr>
          <w:color w:val="000000"/>
        </w:rPr>
      </w:pPr>
    </w:p>
    <w:p w14:paraId="06AEDCCA" w14:textId="77777777" w:rsidR="00F2695D" w:rsidRPr="006F159B" w:rsidRDefault="00F2695D" w:rsidP="00F2695D">
      <w:pPr>
        <w:spacing w:after="0" w:line="360" w:lineRule="auto"/>
        <w:rPr>
          <w:color w:val="000000"/>
        </w:rPr>
      </w:pPr>
      <w:r w:rsidRPr="006F159B">
        <w:rPr>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7D58EF58" w14:textId="77777777" w:rsidR="00F2695D" w:rsidRPr="006F159B" w:rsidRDefault="00F2695D" w:rsidP="00F2695D">
      <w:pPr>
        <w:spacing w:after="0" w:line="360" w:lineRule="auto"/>
        <w:rPr>
          <w:color w:val="000000"/>
        </w:rPr>
      </w:pPr>
    </w:p>
    <w:p w14:paraId="57E30B7D" w14:textId="77777777" w:rsidR="00F2695D" w:rsidRPr="006F159B" w:rsidRDefault="00F2695D" w:rsidP="00F2695D">
      <w:pPr>
        <w:spacing w:after="0" w:line="360" w:lineRule="auto"/>
        <w:rPr>
          <w:color w:val="000000"/>
        </w:rPr>
      </w:pPr>
      <w:r w:rsidRPr="006F159B">
        <w:rPr>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3C3C9274" w14:textId="77777777" w:rsidR="00F2695D" w:rsidRPr="006F159B" w:rsidRDefault="00F2695D" w:rsidP="00F2695D">
      <w:pPr>
        <w:spacing w:after="0" w:line="360" w:lineRule="auto"/>
        <w:rPr>
          <w:color w:val="000000"/>
        </w:rPr>
      </w:pPr>
    </w:p>
    <w:p w14:paraId="7ACB3006" w14:textId="77777777" w:rsidR="00F2695D" w:rsidRPr="006F159B" w:rsidRDefault="00F2695D" w:rsidP="00F2695D">
      <w:pPr>
        <w:spacing w:after="0" w:line="360" w:lineRule="auto"/>
        <w:rPr>
          <w:color w:val="000000"/>
        </w:rPr>
      </w:pPr>
      <w:r w:rsidRPr="006F159B">
        <w:rPr>
          <w:color w:val="000000"/>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5FFE45BF" w14:textId="77777777" w:rsidR="00F2695D" w:rsidRPr="006F159B" w:rsidRDefault="00F2695D" w:rsidP="00F2695D">
      <w:pPr>
        <w:spacing w:after="0" w:line="360" w:lineRule="auto"/>
        <w:rPr>
          <w:color w:val="000000"/>
        </w:rPr>
      </w:pPr>
    </w:p>
    <w:p w14:paraId="38C69C0F" w14:textId="77777777" w:rsidR="00F2695D" w:rsidRPr="006F159B" w:rsidRDefault="00F2695D" w:rsidP="00F2695D">
      <w:pPr>
        <w:numPr>
          <w:ilvl w:val="0"/>
          <w:numId w:val="36"/>
        </w:numPr>
        <w:spacing w:after="0" w:line="360" w:lineRule="auto"/>
        <w:jc w:val="left"/>
        <w:rPr>
          <w:b/>
          <w:color w:val="000000"/>
        </w:rPr>
      </w:pPr>
      <w:r w:rsidRPr="006F159B">
        <w:rPr>
          <w:b/>
          <w:color w:val="000000"/>
        </w:rPr>
        <w:lastRenderedPageBreak/>
        <w:t>Deducciones personales</w:t>
      </w:r>
    </w:p>
    <w:p w14:paraId="365DC5F7" w14:textId="77777777" w:rsidR="00F2695D" w:rsidRPr="006F159B" w:rsidRDefault="00F2695D" w:rsidP="00F2695D">
      <w:pPr>
        <w:spacing w:after="0" w:line="360" w:lineRule="auto"/>
        <w:ind w:left="720"/>
        <w:rPr>
          <w:b/>
          <w:color w:val="000000"/>
        </w:rPr>
      </w:pPr>
    </w:p>
    <w:p w14:paraId="46805864" w14:textId="77777777" w:rsidR="00F2695D" w:rsidRPr="006F159B" w:rsidRDefault="00F2695D" w:rsidP="00F2695D">
      <w:pPr>
        <w:spacing w:after="0" w:line="360" w:lineRule="auto"/>
        <w:rPr>
          <w:color w:val="000000"/>
        </w:rPr>
      </w:pPr>
      <w:r w:rsidRPr="006F159B">
        <w:rPr>
          <w:color w:val="000000"/>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44CBCEFE" w14:textId="77777777" w:rsidR="00F2695D" w:rsidRPr="006F159B" w:rsidRDefault="00F2695D" w:rsidP="00F2695D">
      <w:pPr>
        <w:spacing w:after="0" w:line="360" w:lineRule="auto"/>
        <w:rPr>
          <w:color w:val="000000"/>
        </w:rPr>
      </w:pPr>
    </w:p>
    <w:p w14:paraId="59D0B7DE" w14:textId="77777777" w:rsidR="00F2695D" w:rsidRPr="006F159B" w:rsidRDefault="00F2695D" w:rsidP="00F2695D">
      <w:pPr>
        <w:spacing w:after="0" w:line="360" w:lineRule="auto"/>
        <w:rPr>
          <w:color w:val="000000"/>
        </w:rPr>
      </w:pPr>
      <w:r w:rsidRPr="006F159B">
        <w:rPr>
          <w:color w:val="000000"/>
        </w:rPr>
        <w:t xml:space="preserve">Asimismo, hay otras que se generan con motivo de una sentencia judicial, como es la pensión alimenticia que periódicamente se retira de la cuenta de un empleado, a efecto de que sea entregado a un tercero.  </w:t>
      </w:r>
    </w:p>
    <w:p w14:paraId="372AB86F" w14:textId="77777777" w:rsidR="00F2695D" w:rsidRPr="006F159B" w:rsidRDefault="00F2695D" w:rsidP="00F2695D">
      <w:pPr>
        <w:spacing w:after="0" w:line="360" w:lineRule="auto"/>
        <w:rPr>
          <w:color w:val="000000"/>
        </w:rPr>
      </w:pPr>
    </w:p>
    <w:p w14:paraId="7CF24CAB" w14:textId="77777777" w:rsidR="00F2695D" w:rsidRPr="006F159B" w:rsidRDefault="00F2695D" w:rsidP="00F2695D">
      <w:pPr>
        <w:spacing w:after="0" w:line="360" w:lineRule="auto"/>
        <w:rPr>
          <w:color w:val="000000"/>
        </w:rPr>
      </w:pPr>
      <w:r w:rsidRPr="006F159B">
        <w:rPr>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76742DDC" w14:textId="77777777" w:rsidR="00F2695D" w:rsidRPr="006F159B" w:rsidRDefault="00F2695D" w:rsidP="00F2695D">
      <w:pPr>
        <w:spacing w:after="0" w:line="360" w:lineRule="auto"/>
        <w:rPr>
          <w:color w:val="000000"/>
        </w:rPr>
      </w:pPr>
    </w:p>
    <w:p w14:paraId="621046EF" w14:textId="77777777" w:rsidR="00F2695D" w:rsidRPr="006F159B" w:rsidRDefault="00F2695D" w:rsidP="00F2695D">
      <w:pPr>
        <w:spacing w:after="0" w:line="360" w:lineRule="auto"/>
        <w:rPr>
          <w:b/>
          <w:bCs/>
          <w:color w:val="000000"/>
        </w:rPr>
      </w:pPr>
      <w:r w:rsidRPr="006F159B">
        <w:rPr>
          <w:color w:val="000000"/>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r w:rsidRPr="006F159B">
        <w:rPr>
          <w:b/>
          <w:bCs/>
          <w:color w:val="000000"/>
        </w:rPr>
        <w:t>Cabe precisar que el Sujeto Obligado dejó visible la cuota sindical.</w:t>
      </w:r>
    </w:p>
    <w:p w14:paraId="257E1BF6" w14:textId="77777777" w:rsidR="00F2695D" w:rsidRPr="006F159B" w:rsidRDefault="00F2695D" w:rsidP="00F2695D">
      <w:pPr>
        <w:spacing w:after="0" w:line="360" w:lineRule="auto"/>
        <w:rPr>
          <w:color w:val="000000"/>
        </w:rPr>
      </w:pPr>
    </w:p>
    <w:p w14:paraId="72037DBD" w14:textId="77777777" w:rsidR="00F2695D" w:rsidRPr="006F159B" w:rsidRDefault="00F2695D" w:rsidP="00F2695D">
      <w:pPr>
        <w:numPr>
          <w:ilvl w:val="0"/>
          <w:numId w:val="33"/>
        </w:numPr>
        <w:spacing w:after="0" w:line="360" w:lineRule="auto"/>
        <w:contextualSpacing/>
        <w:rPr>
          <w:rFonts w:eastAsia="Times New Roman" w:cs="Tahoma"/>
          <w:bCs/>
          <w:lang w:eastAsia="es-ES"/>
        </w:rPr>
      </w:pPr>
      <w:r w:rsidRPr="006F159B">
        <w:rPr>
          <w:rFonts w:eastAsia="Times New Roman" w:cs="Tahoma"/>
          <w:b/>
          <w:bCs/>
          <w:szCs w:val="24"/>
          <w:lang w:eastAsia="es-ES"/>
        </w:rPr>
        <w:t>Sellos digitales del emisor y del Servicio de Administración Tributaria y cadena original del complemento de certificación digital del organismo previamente señalado</w:t>
      </w:r>
    </w:p>
    <w:p w14:paraId="0AFB9F8B" w14:textId="77777777" w:rsidR="00F2695D" w:rsidRPr="006F159B" w:rsidRDefault="00F2695D" w:rsidP="00F2695D">
      <w:pPr>
        <w:spacing w:after="0" w:line="360" w:lineRule="auto"/>
        <w:ind w:left="720"/>
        <w:contextualSpacing/>
        <w:rPr>
          <w:rFonts w:eastAsia="Times New Roman" w:cs="Tahoma"/>
          <w:b/>
          <w:lang w:eastAsia="es-ES"/>
        </w:rPr>
      </w:pPr>
    </w:p>
    <w:p w14:paraId="72244FEA" w14:textId="77777777" w:rsidR="00F2695D" w:rsidRPr="006F159B" w:rsidRDefault="00F2695D" w:rsidP="00F2695D">
      <w:pPr>
        <w:spacing w:after="0" w:line="360" w:lineRule="auto"/>
        <w:contextualSpacing/>
        <w:rPr>
          <w:rFonts w:eastAsia="Times New Roman" w:cs="Tahoma"/>
          <w:bCs/>
          <w:lang w:val="es-ES" w:eastAsia="es-ES"/>
        </w:rPr>
      </w:pPr>
      <w:r w:rsidRPr="006F159B">
        <w:rPr>
          <w:rFonts w:eastAsia="Times New Roman" w:cs="Tahoma"/>
          <w:bCs/>
          <w:lang w:val="es-ES" w:eastAsia="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761ABB97" w14:textId="77777777" w:rsidR="00F2695D" w:rsidRPr="006F159B" w:rsidRDefault="00F2695D" w:rsidP="00F2695D">
      <w:pPr>
        <w:spacing w:after="0" w:line="360" w:lineRule="auto"/>
        <w:contextualSpacing/>
        <w:rPr>
          <w:rFonts w:eastAsia="Times New Roman" w:cs="Tahoma"/>
          <w:bCs/>
          <w:lang w:val="es-ES" w:eastAsia="es-ES"/>
        </w:rPr>
      </w:pPr>
      <w:r w:rsidRPr="006F159B">
        <w:rPr>
          <w:rFonts w:eastAsia="Times New Roman" w:cs="Tahoma"/>
          <w:bCs/>
          <w:lang w:val="es-ES" w:eastAsia="es-ES"/>
        </w:rPr>
        <w:t> </w:t>
      </w:r>
    </w:p>
    <w:p w14:paraId="7A9B8C29" w14:textId="77777777" w:rsidR="00F2695D" w:rsidRPr="006F159B" w:rsidRDefault="00F2695D" w:rsidP="00F2695D">
      <w:pPr>
        <w:spacing w:after="0" w:line="360" w:lineRule="auto"/>
        <w:contextualSpacing/>
        <w:rPr>
          <w:rFonts w:eastAsia="Times New Roman" w:cs="Tahoma"/>
          <w:bCs/>
          <w:lang w:val="es-ES" w:eastAsia="es-ES"/>
        </w:rPr>
      </w:pPr>
      <w:r w:rsidRPr="006F159B">
        <w:rPr>
          <w:rFonts w:eastAsia="Times New Roman" w:cs="Tahoma"/>
          <w:lang w:val="es-ES" w:eastAsia="es-ES"/>
        </w:rPr>
        <w:t>Las cadenas originales y sellos que se agregan a las facturas</w:t>
      </w:r>
      <w:r w:rsidRPr="006F159B">
        <w:rPr>
          <w:rFonts w:eastAsia="Times New Roman" w:cs="Tahoma"/>
          <w:b/>
          <w:bCs/>
          <w:lang w:val="es-ES" w:eastAsia="es-ES"/>
        </w:rPr>
        <w:t>,</w:t>
      </w:r>
      <w:r w:rsidRPr="006F159B">
        <w:rPr>
          <w:rFonts w:eastAsia="Times New Roman" w:cs="Tahoma"/>
          <w:bCs/>
          <w:lang w:val="es-ES" w:eastAsia="es-ES"/>
        </w:rPr>
        <w:t xml:space="preserve"> tienen una secuencia de generación, determinados con base en el ANEXO 20 de la Segunda Resolución de modificaciones a la Resolución Miscelánea </w:t>
      </w:r>
      <w:proofErr w:type="gramStart"/>
      <w:r w:rsidRPr="006F159B">
        <w:rPr>
          <w:rFonts w:eastAsia="Times New Roman" w:cs="Tahoma"/>
          <w:bCs/>
          <w:lang w:val="es-ES" w:eastAsia="es-ES"/>
        </w:rPr>
        <w:t>Fiscal,  que</w:t>
      </w:r>
      <w:proofErr w:type="gramEnd"/>
      <w:r w:rsidRPr="006F159B">
        <w:rPr>
          <w:rFonts w:eastAsia="Times New Roman" w:cs="Tahoma"/>
          <w:bCs/>
          <w:lang w:val="es-ES" w:eastAsia="es-ES"/>
        </w:rPr>
        <w:t xml:space="preserve"> precisa los datos de los que se componen los elementos de seguridad y se puntualiza que dicha información está encriptada.</w:t>
      </w:r>
    </w:p>
    <w:p w14:paraId="3C5CE7EC" w14:textId="77777777" w:rsidR="00F2695D" w:rsidRPr="006F159B" w:rsidRDefault="00F2695D" w:rsidP="00F2695D">
      <w:pPr>
        <w:spacing w:after="0" w:line="360" w:lineRule="auto"/>
        <w:contextualSpacing/>
        <w:rPr>
          <w:rFonts w:eastAsia="Times New Roman" w:cs="Tahoma"/>
          <w:bCs/>
          <w:lang w:val="es-ES" w:eastAsia="es-ES"/>
        </w:rPr>
      </w:pPr>
      <w:r w:rsidRPr="006F159B">
        <w:rPr>
          <w:rFonts w:eastAsia="Times New Roman" w:cs="Tahoma"/>
          <w:bCs/>
          <w:lang w:val="es-ES" w:eastAsia="es-ES"/>
        </w:rPr>
        <w:t> </w:t>
      </w:r>
    </w:p>
    <w:p w14:paraId="533A1948" w14:textId="77777777" w:rsidR="00F2695D" w:rsidRPr="006F159B" w:rsidRDefault="00F2695D" w:rsidP="00F2695D">
      <w:pPr>
        <w:spacing w:after="0" w:line="360" w:lineRule="auto"/>
        <w:ind w:left="567" w:right="539"/>
        <w:contextualSpacing/>
        <w:rPr>
          <w:rFonts w:eastAsia="Calibri" w:cs="Tahoma"/>
          <w:bCs/>
          <w:i/>
          <w:sz w:val="20"/>
          <w:szCs w:val="20"/>
          <w:lang w:val="es-ES"/>
        </w:rPr>
      </w:pPr>
      <w:r w:rsidRPr="006F159B">
        <w:rPr>
          <w:rFonts w:eastAsia="Calibri" w:cs="Tahoma"/>
          <w:bCs/>
          <w:i/>
          <w:sz w:val="20"/>
          <w:szCs w:val="20"/>
          <w:lang w:val="es-ES"/>
        </w:rPr>
        <w:t>“…</w:t>
      </w:r>
    </w:p>
    <w:p w14:paraId="76E8C31C" w14:textId="77777777" w:rsidR="00F2695D" w:rsidRPr="006F159B" w:rsidRDefault="00F2695D" w:rsidP="00F2695D">
      <w:pPr>
        <w:spacing w:after="0" w:line="360" w:lineRule="auto"/>
        <w:ind w:left="567" w:right="539"/>
        <w:contextualSpacing/>
        <w:rPr>
          <w:rFonts w:eastAsia="Calibri" w:cs="Tahoma"/>
          <w:bCs/>
          <w:i/>
          <w:sz w:val="20"/>
          <w:szCs w:val="20"/>
          <w:lang w:val="es-ES"/>
        </w:rPr>
      </w:pPr>
      <w:r w:rsidRPr="006F159B">
        <w:rPr>
          <w:rFonts w:eastAsia="Calibri" w:cs="Tahoma"/>
          <w:bCs/>
          <w:i/>
          <w:sz w:val="20"/>
          <w:szCs w:val="20"/>
          <w:lang w:val="es-ES"/>
        </w:rPr>
        <w:t>Elementos utilizados en la generación de Sellos Digitales:</w:t>
      </w:r>
    </w:p>
    <w:p w14:paraId="5A91EED9" w14:textId="77777777" w:rsidR="00F2695D" w:rsidRPr="006F159B" w:rsidRDefault="00F2695D" w:rsidP="00F2695D">
      <w:pPr>
        <w:spacing w:after="0" w:line="360" w:lineRule="auto"/>
        <w:ind w:left="567" w:right="539"/>
        <w:contextualSpacing/>
        <w:rPr>
          <w:rFonts w:eastAsia="Calibri" w:cs="Tahoma"/>
          <w:bCs/>
          <w:i/>
          <w:sz w:val="20"/>
          <w:szCs w:val="20"/>
          <w:lang w:val="es-ES"/>
        </w:rPr>
      </w:pPr>
    </w:p>
    <w:p w14:paraId="2B84E768" w14:textId="77777777" w:rsidR="00F2695D" w:rsidRPr="006F159B" w:rsidRDefault="00F2695D" w:rsidP="00F2695D">
      <w:pPr>
        <w:spacing w:after="0" w:line="360" w:lineRule="auto"/>
        <w:ind w:left="567" w:right="539"/>
        <w:contextualSpacing/>
        <w:rPr>
          <w:rFonts w:eastAsia="Calibri" w:cs="Tahoma"/>
          <w:bCs/>
          <w:i/>
          <w:sz w:val="20"/>
          <w:szCs w:val="20"/>
          <w:lang w:val="es-ES"/>
        </w:rPr>
      </w:pPr>
      <w:r w:rsidRPr="006F159B">
        <w:rPr>
          <w:rFonts w:eastAsia="Calibri" w:cs="Tahoma"/>
          <w:bCs/>
          <w:i/>
          <w:sz w:val="20"/>
          <w:szCs w:val="20"/>
          <w:lang w:val="es-ES"/>
        </w:rPr>
        <w:t>•</w:t>
      </w:r>
      <w:r w:rsidRPr="006F159B">
        <w:rPr>
          <w:rFonts w:eastAsia="Calibri" w:cs="Tahoma"/>
          <w:bCs/>
          <w:i/>
          <w:sz w:val="20"/>
          <w:szCs w:val="20"/>
          <w:lang w:val="es-ES"/>
        </w:rPr>
        <w:tab/>
        <w:t>Cadena Original, el elemento a sellar, en este caso de un comprobante fiscal digital a través de Internet.</w:t>
      </w:r>
    </w:p>
    <w:p w14:paraId="24AE3BD4" w14:textId="77777777" w:rsidR="00F2695D" w:rsidRPr="006F159B" w:rsidRDefault="00F2695D" w:rsidP="00F2695D">
      <w:pPr>
        <w:spacing w:after="0" w:line="360" w:lineRule="auto"/>
        <w:ind w:left="567" w:right="539"/>
        <w:contextualSpacing/>
        <w:rPr>
          <w:rFonts w:eastAsia="Calibri" w:cs="Tahoma"/>
          <w:bCs/>
          <w:i/>
          <w:sz w:val="20"/>
          <w:szCs w:val="20"/>
          <w:lang w:val="es-ES"/>
        </w:rPr>
      </w:pPr>
      <w:r w:rsidRPr="006F159B">
        <w:rPr>
          <w:rFonts w:eastAsia="Calibri" w:cs="Tahoma"/>
          <w:bCs/>
          <w:i/>
          <w:sz w:val="20"/>
          <w:szCs w:val="20"/>
          <w:lang w:val="es-ES"/>
        </w:rPr>
        <w:t>•</w:t>
      </w:r>
      <w:r w:rsidRPr="006F159B">
        <w:rPr>
          <w:rFonts w:eastAsia="Calibri" w:cs="Tahoma"/>
          <w:bCs/>
          <w:i/>
          <w:sz w:val="20"/>
          <w:szCs w:val="20"/>
          <w:lang w:val="es-ES"/>
        </w:rPr>
        <w:tab/>
        <w:t>Certificado de Sello Digital y su correspondiente clave privada.</w:t>
      </w:r>
    </w:p>
    <w:p w14:paraId="4B39EC96" w14:textId="77777777" w:rsidR="00F2695D" w:rsidRPr="006F159B" w:rsidRDefault="00F2695D" w:rsidP="00F2695D">
      <w:pPr>
        <w:spacing w:after="0" w:line="360" w:lineRule="auto"/>
        <w:ind w:left="567" w:right="539"/>
        <w:contextualSpacing/>
        <w:rPr>
          <w:rFonts w:eastAsia="Calibri" w:cs="Tahoma"/>
          <w:bCs/>
          <w:i/>
          <w:sz w:val="20"/>
          <w:szCs w:val="20"/>
          <w:lang w:val="es-ES"/>
        </w:rPr>
      </w:pPr>
      <w:r w:rsidRPr="006F159B">
        <w:rPr>
          <w:rFonts w:eastAsia="Calibri" w:cs="Tahoma"/>
          <w:bCs/>
          <w:i/>
          <w:sz w:val="20"/>
          <w:szCs w:val="20"/>
          <w:lang w:val="es-ES"/>
        </w:rPr>
        <w:t>•</w:t>
      </w:r>
      <w:r w:rsidRPr="006F159B">
        <w:rPr>
          <w:rFonts w:eastAsia="Calibri" w:cs="Tahoma"/>
          <w:bCs/>
          <w:i/>
          <w:sz w:val="20"/>
          <w:szCs w:val="20"/>
          <w:lang w:val="es-ES"/>
        </w:rPr>
        <w:tab/>
        <w:t>Algoritmos de criptografía de clave pública para firma electrónica avanzada.</w:t>
      </w:r>
    </w:p>
    <w:p w14:paraId="083615A8" w14:textId="77777777" w:rsidR="00F2695D" w:rsidRPr="006F159B" w:rsidRDefault="00F2695D" w:rsidP="00F2695D">
      <w:pPr>
        <w:spacing w:after="0" w:line="360" w:lineRule="auto"/>
        <w:ind w:left="567" w:right="539"/>
        <w:contextualSpacing/>
        <w:rPr>
          <w:rFonts w:eastAsia="Calibri" w:cs="Tahoma"/>
          <w:bCs/>
          <w:i/>
          <w:sz w:val="20"/>
          <w:szCs w:val="20"/>
          <w:lang w:val="es-ES"/>
        </w:rPr>
      </w:pPr>
      <w:r w:rsidRPr="006F159B">
        <w:rPr>
          <w:rFonts w:eastAsia="Calibri" w:cs="Tahoma"/>
          <w:bCs/>
          <w:i/>
          <w:sz w:val="20"/>
          <w:szCs w:val="20"/>
          <w:lang w:val="es-ES"/>
        </w:rPr>
        <w:t>•</w:t>
      </w:r>
      <w:r w:rsidRPr="006F159B">
        <w:rPr>
          <w:rFonts w:eastAsia="Calibri" w:cs="Tahoma"/>
          <w:bCs/>
          <w:i/>
          <w:sz w:val="20"/>
          <w:szCs w:val="20"/>
          <w:lang w:val="es-ES"/>
        </w:rPr>
        <w:tab/>
        <w:t>Especificaciones de conversión de la firma electrónica avanzada a Base 64.</w:t>
      </w:r>
    </w:p>
    <w:p w14:paraId="1DE9755F" w14:textId="77777777" w:rsidR="00F2695D" w:rsidRPr="006F159B" w:rsidRDefault="00F2695D" w:rsidP="00F2695D">
      <w:pPr>
        <w:spacing w:after="0" w:line="360" w:lineRule="auto"/>
        <w:ind w:left="567" w:right="539"/>
        <w:contextualSpacing/>
        <w:rPr>
          <w:rFonts w:eastAsia="Calibri" w:cs="Tahoma"/>
          <w:bCs/>
          <w:i/>
          <w:sz w:val="20"/>
          <w:szCs w:val="20"/>
          <w:lang w:val="es-ES"/>
        </w:rPr>
      </w:pPr>
      <w:r w:rsidRPr="006F159B">
        <w:rPr>
          <w:rFonts w:eastAsia="Calibri" w:cs="Tahoma"/>
          <w:bCs/>
          <w:i/>
          <w:sz w:val="20"/>
          <w:szCs w:val="20"/>
          <w:lang w:val="es-ES"/>
        </w:rPr>
        <w:t>Para la generación de sellos digitales se utiliza criptografía de clave pública aplicada a una cadena original.</w:t>
      </w:r>
    </w:p>
    <w:p w14:paraId="20487EDA" w14:textId="77777777" w:rsidR="00F2695D" w:rsidRPr="006F159B" w:rsidRDefault="00F2695D" w:rsidP="00F2695D">
      <w:pPr>
        <w:spacing w:after="0" w:line="360" w:lineRule="auto"/>
        <w:ind w:left="567" w:right="539"/>
        <w:contextualSpacing/>
        <w:rPr>
          <w:rFonts w:eastAsia="Calibri" w:cs="Tahoma"/>
          <w:bCs/>
          <w:i/>
          <w:sz w:val="20"/>
          <w:szCs w:val="20"/>
          <w:lang w:val="es-ES"/>
        </w:rPr>
      </w:pPr>
    </w:p>
    <w:p w14:paraId="183733A9" w14:textId="77777777" w:rsidR="00F2695D" w:rsidRDefault="00F2695D" w:rsidP="00F2695D">
      <w:pPr>
        <w:spacing w:after="0" w:line="360" w:lineRule="auto"/>
        <w:ind w:left="567" w:right="539"/>
        <w:contextualSpacing/>
        <w:rPr>
          <w:rFonts w:eastAsia="Calibri" w:cs="Tahoma"/>
          <w:bCs/>
          <w:i/>
          <w:sz w:val="20"/>
          <w:szCs w:val="20"/>
          <w:lang w:val="es-ES"/>
        </w:rPr>
      </w:pPr>
      <w:r w:rsidRPr="006F159B">
        <w:rPr>
          <w:rFonts w:eastAsia="Calibri" w:cs="Tahoma"/>
          <w:bCs/>
          <w:i/>
          <w:sz w:val="20"/>
          <w:szCs w:val="20"/>
          <w:lang w:val="es-ES"/>
        </w:rPr>
        <w:t>Criptografía de la Clave Pública</w:t>
      </w:r>
    </w:p>
    <w:p w14:paraId="18C5924B" w14:textId="77777777" w:rsidR="00F2695D" w:rsidRPr="006F159B" w:rsidRDefault="00F2695D" w:rsidP="00F2695D">
      <w:pPr>
        <w:spacing w:after="0" w:line="360" w:lineRule="auto"/>
        <w:ind w:left="567" w:right="539"/>
        <w:contextualSpacing/>
        <w:rPr>
          <w:rFonts w:eastAsia="Calibri" w:cs="Tahoma"/>
          <w:bCs/>
          <w:i/>
          <w:sz w:val="20"/>
          <w:szCs w:val="20"/>
          <w:lang w:val="es-ES"/>
        </w:rPr>
      </w:pPr>
    </w:p>
    <w:p w14:paraId="6E8A0E0D" w14:textId="77777777" w:rsidR="00F2695D" w:rsidRPr="006F159B" w:rsidRDefault="00F2695D" w:rsidP="00F2695D">
      <w:pPr>
        <w:spacing w:after="0" w:line="360" w:lineRule="auto"/>
        <w:ind w:left="567" w:right="539"/>
        <w:contextualSpacing/>
        <w:rPr>
          <w:rFonts w:eastAsia="Calibri" w:cs="Tahoma"/>
          <w:bCs/>
          <w:i/>
          <w:sz w:val="20"/>
          <w:szCs w:val="20"/>
          <w:lang w:val="es-ES"/>
        </w:rPr>
      </w:pPr>
      <w:r w:rsidRPr="006F159B">
        <w:rPr>
          <w:rFonts w:eastAsia="Calibri" w:cs="Tahoma"/>
          <w:bCs/>
          <w:i/>
          <w:sz w:val="20"/>
          <w:szCs w:val="20"/>
          <w:lang w:val="es-ES"/>
        </w:rPr>
        <w:t xml:space="preserve">La criptografía de Clave Pública se basa en la generación de una pareja de números muy grandes relacionados íntimamente entre sí, de tal manera que una operación de </w:t>
      </w:r>
      <w:proofErr w:type="spellStart"/>
      <w:r w:rsidRPr="006F159B">
        <w:rPr>
          <w:rFonts w:eastAsia="Calibri" w:cs="Tahoma"/>
          <w:bCs/>
          <w:i/>
          <w:sz w:val="20"/>
          <w:szCs w:val="20"/>
          <w:lang w:val="es-ES"/>
        </w:rPr>
        <w:t>encripción</w:t>
      </w:r>
      <w:proofErr w:type="spellEnd"/>
      <w:r w:rsidRPr="006F159B">
        <w:rPr>
          <w:rFonts w:eastAsia="Calibri" w:cs="Tahoma"/>
          <w:bCs/>
          <w:i/>
          <w:sz w:val="20"/>
          <w:szCs w:val="20"/>
          <w:lang w:val="es-ES"/>
        </w:rPr>
        <w:t xml:space="preserve"> sobre un mensaje tomando como clave de </w:t>
      </w:r>
      <w:proofErr w:type="spellStart"/>
      <w:r w:rsidRPr="006F159B">
        <w:rPr>
          <w:rFonts w:eastAsia="Calibri" w:cs="Tahoma"/>
          <w:bCs/>
          <w:i/>
          <w:sz w:val="20"/>
          <w:szCs w:val="20"/>
          <w:lang w:val="es-ES"/>
        </w:rPr>
        <w:t>encripción</w:t>
      </w:r>
      <w:proofErr w:type="spellEnd"/>
      <w:r w:rsidRPr="006F159B">
        <w:rPr>
          <w:rFonts w:eastAsia="Calibri" w:cs="Tahoma"/>
          <w:bCs/>
          <w:i/>
          <w:sz w:val="20"/>
          <w:szCs w:val="20"/>
          <w:lang w:val="es-ES"/>
        </w:rPr>
        <w:t xml:space="preserve"> a uno de los dos números, produce un mensaje alterado en su significado que solo puede ser devuelto a su estado original mediante la operación de </w:t>
      </w:r>
      <w:proofErr w:type="spellStart"/>
      <w:r w:rsidRPr="006F159B">
        <w:rPr>
          <w:rFonts w:eastAsia="Calibri" w:cs="Tahoma"/>
          <w:bCs/>
          <w:i/>
          <w:sz w:val="20"/>
          <w:szCs w:val="20"/>
          <w:lang w:val="es-ES"/>
        </w:rPr>
        <w:t>desencripción</w:t>
      </w:r>
      <w:proofErr w:type="spellEnd"/>
      <w:r w:rsidRPr="006F159B">
        <w:rPr>
          <w:rFonts w:eastAsia="Calibri" w:cs="Tahoma"/>
          <w:bCs/>
          <w:i/>
          <w:sz w:val="20"/>
          <w:szCs w:val="20"/>
          <w:lang w:val="es-ES"/>
        </w:rPr>
        <w:t xml:space="preserve"> correspondiente tomando como clave de </w:t>
      </w:r>
      <w:proofErr w:type="spellStart"/>
      <w:r w:rsidRPr="006F159B">
        <w:rPr>
          <w:rFonts w:eastAsia="Calibri" w:cs="Tahoma"/>
          <w:bCs/>
          <w:i/>
          <w:sz w:val="20"/>
          <w:szCs w:val="20"/>
          <w:lang w:val="es-ES"/>
        </w:rPr>
        <w:t>desencripción</w:t>
      </w:r>
      <w:proofErr w:type="spellEnd"/>
      <w:r w:rsidRPr="006F159B">
        <w:rPr>
          <w:rFonts w:eastAsia="Calibri" w:cs="Tahoma"/>
          <w:bCs/>
          <w:i/>
          <w:sz w:val="20"/>
          <w:szCs w:val="20"/>
          <w:lang w:val="es-ES"/>
        </w:rPr>
        <w:t xml:space="preserve"> al otro número de la pareja.</w:t>
      </w:r>
    </w:p>
    <w:p w14:paraId="4149FB83" w14:textId="77777777" w:rsidR="00F2695D" w:rsidRPr="006F159B" w:rsidRDefault="00F2695D" w:rsidP="00F2695D">
      <w:pPr>
        <w:spacing w:after="0" w:line="360" w:lineRule="auto"/>
        <w:ind w:left="567" w:right="539"/>
        <w:contextualSpacing/>
        <w:rPr>
          <w:rFonts w:eastAsia="Calibri" w:cs="Tahoma"/>
          <w:bCs/>
          <w:i/>
          <w:sz w:val="20"/>
          <w:szCs w:val="20"/>
          <w:lang w:val="es-ES"/>
        </w:rPr>
      </w:pPr>
      <w:r w:rsidRPr="006F159B">
        <w:rPr>
          <w:rFonts w:eastAsia="Calibri" w:cs="Tahoma"/>
          <w:bCs/>
          <w:i/>
          <w:sz w:val="20"/>
          <w:szCs w:val="20"/>
          <w:lang w:val="es-ES"/>
        </w:rPr>
        <w:t>…”</w:t>
      </w:r>
    </w:p>
    <w:p w14:paraId="4E42B4EB" w14:textId="77777777" w:rsidR="00F2695D" w:rsidRPr="006F159B" w:rsidRDefault="00F2695D" w:rsidP="00F2695D">
      <w:pPr>
        <w:spacing w:after="0" w:line="360" w:lineRule="auto"/>
        <w:contextualSpacing/>
        <w:rPr>
          <w:rFonts w:eastAsia="Times New Roman" w:cs="Tahoma"/>
          <w:bCs/>
          <w:lang w:val="es-ES" w:eastAsia="es-ES"/>
        </w:rPr>
      </w:pPr>
      <w:r w:rsidRPr="006F159B">
        <w:rPr>
          <w:rFonts w:eastAsia="Times New Roman" w:cs="Tahoma"/>
          <w:bCs/>
          <w:lang w:val="es-ES" w:eastAsia="es-ES"/>
        </w:rPr>
        <w:t> </w:t>
      </w:r>
    </w:p>
    <w:p w14:paraId="70237D86" w14:textId="77777777" w:rsidR="00F2695D" w:rsidRPr="006F159B" w:rsidRDefault="00F2695D" w:rsidP="00F2695D">
      <w:pPr>
        <w:spacing w:after="0" w:line="360" w:lineRule="auto"/>
        <w:contextualSpacing/>
        <w:rPr>
          <w:rFonts w:eastAsia="Times New Roman" w:cs="Tahoma"/>
          <w:bCs/>
          <w:lang w:val="es-ES" w:eastAsia="es-ES"/>
        </w:rPr>
      </w:pPr>
      <w:r w:rsidRPr="006F159B">
        <w:rPr>
          <w:rFonts w:eastAsia="Times New Roman" w:cs="Tahoma"/>
          <w:bCs/>
          <w:lang w:val="es-ES" w:eastAsia="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1C937BF0" w14:textId="77777777" w:rsidR="00F2695D" w:rsidRPr="006F159B" w:rsidRDefault="00F2695D" w:rsidP="00F2695D">
      <w:pPr>
        <w:spacing w:after="0" w:line="360" w:lineRule="auto"/>
        <w:contextualSpacing/>
        <w:rPr>
          <w:rFonts w:eastAsia="Times New Roman" w:cs="Tahoma"/>
          <w:bCs/>
          <w:lang w:val="es-ES" w:eastAsia="es-ES"/>
        </w:rPr>
      </w:pPr>
    </w:p>
    <w:p w14:paraId="61065C36" w14:textId="77777777" w:rsidR="00F2695D" w:rsidRPr="006F159B" w:rsidRDefault="00F2695D" w:rsidP="00F2695D">
      <w:pPr>
        <w:spacing w:after="0" w:line="360" w:lineRule="auto"/>
        <w:contextualSpacing/>
        <w:rPr>
          <w:rFonts w:eastAsia="Times New Roman" w:cs="Tahoma"/>
          <w:bCs/>
          <w:lang w:val="es-ES" w:eastAsia="es-ES"/>
        </w:rPr>
      </w:pPr>
      <w:r w:rsidRPr="006F159B">
        <w:rPr>
          <w:rFonts w:eastAsia="Times New Roman" w:cs="Tahoma"/>
          <w:bCs/>
          <w:lang w:val="es-ES" w:eastAsia="es-ES"/>
        </w:rPr>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p>
    <w:p w14:paraId="7E457938" w14:textId="77777777" w:rsidR="009C15F8" w:rsidRDefault="009C15F8" w:rsidP="00BE7735">
      <w:pPr>
        <w:spacing w:after="0" w:line="360" w:lineRule="auto"/>
        <w:ind w:right="-28"/>
        <w:contextualSpacing/>
        <w:rPr>
          <w:rFonts w:eastAsia="Times New Roman" w:cs="Tahoma"/>
          <w:iCs/>
          <w:color w:val="auto"/>
          <w:lang w:eastAsia="es-ES"/>
        </w:rPr>
      </w:pPr>
    </w:p>
    <w:p w14:paraId="1A386704" w14:textId="77777777" w:rsidR="00FB75CF" w:rsidRPr="00B94180" w:rsidRDefault="00FB75CF" w:rsidP="00FB75CF">
      <w:pPr>
        <w:numPr>
          <w:ilvl w:val="0"/>
          <w:numId w:val="33"/>
        </w:numPr>
        <w:spacing w:after="0" w:line="360" w:lineRule="auto"/>
        <w:contextualSpacing/>
        <w:rPr>
          <w:rFonts w:eastAsia="Calibri" w:cs="Tahoma"/>
          <w:b/>
          <w:color w:val="000000"/>
        </w:rPr>
      </w:pPr>
      <w:r w:rsidRPr="00FB75CF">
        <w:rPr>
          <w:rFonts w:eastAsia="Times New Roman" w:cs="Tahoma"/>
          <w:b/>
          <w:bCs/>
          <w:szCs w:val="24"/>
          <w:lang w:eastAsia="es-ES"/>
        </w:rPr>
        <w:t>Fotografía</w:t>
      </w:r>
    </w:p>
    <w:p w14:paraId="00D4D528" w14:textId="77777777" w:rsidR="00FB75CF" w:rsidRPr="00B94180" w:rsidRDefault="00FB75CF" w:rsidP="00FB75CF">
      <w:pPr>
        <w:spacing w:after="0" w:line="360" w:lineRule="auto"/>
        <w:ind w:right="-93"/>
        <w:rPr>
          <w:rFonts w:eastAsia="Calibri" w:cs="Tahoma"/>
          <w:bCs/>
          <w:lang w:val="es-ES"/>
        </w:rPr>
      </w:pPr>
    </w:p>
    <w:p w14:paraId="000204B3" w14:textId="77777777" w:rsidR="00FB75CF" w:rsidRPr="00B94180" w:rsidRDefault="00FB75CF" w:rsidP="00FB75CF">
      <w:pPr>
        <w:tabs>
          <w:tab w:val="left" w:pos="4962"/>
        </w:tabs>
        <w:spacing w:after="0" w:line="360" w:lineRule="auto"/>
        <w:rPr>
          <w:rFonts w:eastAsia="Calibri" w:cs="Tahoma"/>
          <w:bCs/>
          <w:lang w:val="es-ES"/>
        </w:rPr>
      </w:pPr>
      <w:r w:rsidRPr="00B94180">
        <w:rPr>
          <w:rFonts w:eastAsia="Calibri" w:cs="Tahoma"/>
          <w:bCs/>
          <w:lang w:val="es-ES"/>
        </w:rPr>
        <w:t xml:space="preserve">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w:t>
      </w:r>
      <w:r w:rsidRPr="00B94180">
        <w:rPr>
          <w:rFonts w:eastAsia="Calibri" w:cs="Tahoma"/>
          <w:bCs/>
          <w:lang w:val="es-ES"/>
        </w:rPr>
        <w:lastRenderedPageBreak/>
        <w:t>medios, desde volantes impresos de la forma más rudimentaria, hasta filmaciones y fotografías transmitidas por televisión cine, video, correo electrónico o Internet.</w:t>
      </w:r>
    </w:p>
    <w:p w14:paraId="687AFE19" w14:textId="77777777" w:rsidR="00FB75CF" w:rsidRPr="00B94180" w:rsidRDefault="00FB75CF" w:rsidP="00FB75CF">
      <w:pPr>
        <w:tabs>
          <w:tab w:val="left" w:pos="4962"/>
        </w:tabs>
        <w:spacing w:after="0" w:line="360" w:lineRule="auto"/>
        <w:rPr>
          <w:rFonts w:eastAsia="Calibri" w:cs="Tahoma"/>
          <w:bCs/>
          <w:lang w:val="es-ES"/>
        </w:rPr>
      </w:pPr>
    </w:p>
    <w:p w14:paraId="5172FDD3" w14:textId="77777777" w:rsidR="00FB75CF" w:rsidRPr="00B94180" w:rsidRDefault="00FB75CF" w:rsidP="00FB75CF">
      <w:pPr>
        <w:tabs>
          <w:tab w:val="left" w:pos="4962"/>
        </w:tabs>
        <w:spacing w:after="0" w:line="360" w:lineRule="auto"/>
        <w:rPr>
          <w:rFonts w:eastAsia="Calibri" w:cs="Tahoma"/>
          <w:bCs/>
          <w:lang w:val="es-ES"/>
        </w:rPr>
      </w:pPr>
      <w:r w:rsidRPr="00B94180">
        <w:rPr>
          <w:rFonts w:eastAsia="Calibri" w:cs="Tahoma"/>
          <w:bCs/>
          <w:lang w:val="es-E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3807B6B" w14:textId="77777777" w:rsidR="00FB75CF" w:rsidRPr="00B94180" w:rsidRDefault="00FB75CF" w:rsidP="00FB75CF">
      <w:pPr>
        <w:tabs>
          <w:tab w:val="left" w:pos="4962"/>
        </w:tabs>
        <w:spacing w:after="0" w:line="360" w:lineRule="auto"/>
        <w:rPr>
          <w:rFonts w:eastAsia="Calibri" w:cs="Tahoma"/>
          <w:bCs/>
          <w:lang w:val="es-ES"/>
        </w:rPr>
      </w:pPr>
    </w:p>
    <w:p w14:paraId="330B83B3" w14:textId="77777777" w:rsidR="00FB75CF" w:rsidRPr="00B94180" w:rsidRDefault="00FB75CF" w:rsidP="00FB75CF">
      <w:pPr>
        <w:tabs>
          <w:tab w:val="left" w:pos="4962"/>
        </w:tabs>
        <w:spacing w:after="0" w:line="360" w:lineRule="auto"/>
        <w:rPr>
          <w:rFonts w:eastAsia="Calibri" w:cs="Tahoma"/>
          <w:bCs/>
          <w:lang w:val="es-ES"/>
        </w:rPr>
      </w:pPr>
      <w:r w:rsidRPr="00B94180">
        <w:rPr>
          <w:rFonts w:eastAsia="Calibri" w:cs="Tahoma"/>
          <w:bCs/>
          <w:lang w:val="es-ES"/>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5BC83CF9" w14:textId="77777777" w:rsidR="00FB75CF" w:rsidRPr="00B94180" w:rsidRDefault="00FB75CF" w:rsidP="00FB75CF">
      <w:pPr>
        <w:tabs>
          <w:tab w:val="left" w:pos="4962"/>
        </w:tabs>
        <w:spacing w:after="0" w:line="360" w:lineRule="auto"/>
        <w:rPr>
          <w:rFonts w:eastAsia="Calibri" w:cs="Tahoma"/>
          <w:bCs/>
          <w:lang w:val="es-ES"/>
        </w:rPr>
      </w:pPr>
    </w:p>
    <w:p w14:paraId="2BD7F938" w14:textId="77777777" w:rsidR="00FB75CF" w:rsidRPr="00B94180" w:rsidRDefault="00FB75CF" w:rsidP="00FB75CF">
      <w:pPr>
        <w:tabs>
          <w:tab w:val="left" w:pos="4962"/>
        </w:tabs>
        <w:spacing w:after="0" w:line="360" w:lineRule="auto"/>
        <w:rPr>
          <w:rFonts w:eastAsia="Calibri" w:cs="Tahoma"/>
          <w:bCs/>
          <w:lang w:val="es-ES"/>
        </w:rPr>
      </w:pPr>
      <w:r w:rsidRPr="00B94180">
        <w:rPr>
          <w:rFonts w:eastAsia="Calibri" w:cs="Tahoma"/>
          <w:bCs/>
          <w:lang w:val="es-E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1780AE3E" w14:textId="77777777" w:rsidR="00FB75CF" w:rsidRPr="00B94180" w:rsidRDefault="00FB75CF" w:rsidP="00FB75CF">
      <w:pPr>
        <w:tabs>
          <w:tab w:val="left" w:pos="4962"/>
        </w:tabs>
        <w:spacing w:after="0" w:line="360" w:lineRule="auto"/>
        <w:rPr>
          <w:rFonts w:eastAsia="Calibri" w:cs="Tahoma"/>
          <w:bCs/>
          <w:lang w:val="es-ES"/>
        </w:rPr>
      </w:pPr>
    </w:p>
    <w:p w14:paraId="3EA92C48" w14:textId="77777777" w:rsidR="00FB75CF" w:rsidRPr="00B94180" w:rsidRDefault="00FB75CF" w:rsidP="00FB75CF">
      <w:pPr>
        <w:tabs>
          <w:tab w:val="left" w:pos="4962"/>
        </w:tabs>
        <w:spacing w:after="0" w:line="360" w:lineRule="auto"/>
        <w:rPr>
          <w:rFonts w:eastAsia="Calibri" w:cs="Tahoma"/>
          <w:bCs/>
          <w:lang w:val="es-ES"/>
        </w:rPr>
      </w:pPr>
      <w:r w:rsidRPr="00B94180">
        <w:rPr>
          <w:rFonts w:eastAsia="Calibri" w:cs="Tahoma"/>
          <w:bCs/>
          <w:lang w:val="es-ES"/>
        </w:rPr>
        <w:lastRenderedPageBreak/>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7B14A2FD" w14:textId="77777777" w:rsidR="00FB75CF" w:rsidRPr="00B94180" w:rsidRDefault="00FB75CF" w:rsidP="00FB75CF">
      <w:pPr>
        <w:tabs>
          <w:tab w:val="left" w:pos="4962"/>
        </w:tabs>
        <w:spacing w:after="0" w:line="360" w:lineRule="auto"/>
        <w:rPr>
          <w:rFonts w:eastAsia="Calibri" w:cs="Tahoma"/>
          <w:bCs/>
          <w:lang w:val="es-ES"/>
        </w:rPr>
      </w:pPr>
    </w:p>
    <w:p w14:paraId="61BDC622" w14:textId="77777777" w:rsidR="00FB75CF" w:rsidRPr="00B94180" w:rsidRDefault="00FB75CF" w:rsidP="00FB75CF">
      <w:pPr>
        <w:tabs>
          <w:tab w:val="left" w:pos="4962"/>
        </w:tabs>
        <w:spacing w:after="0" w:line="360" w:lineRule="auto"/>
        <w:rPr>
          <w:rFonts w:eastAsia="Calibri" w:cs="Tahoma"/>
          <w:bCs/>
          <w:lang w:val="es-ES"/>
        </w:rPr>
      </w:pPr>
      <w:r w:rsidRPr="00B94180">
        <w:rPr>
          <w:rFonts w:eastAsia="Calibri" w:cs="Tahoma"/>
          <w:bCs/>
          <w:lang w:val="es-ES"/>
        </w:rPr>
        <w:t>Por lo anterior, todas las fotografías de los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4866FADD" w14:textId="77777777" w:rsidR="00FB75CF" w:rsidRPr="00B94180" w:rsidRDefault="00FB75CF" w:rsidP="00FB75CF">
      <w:pPr>
        <w:tabs>
          <w:tab w:val="left" w:pos="4962"/>
        </w:tabs>
        <w:spacing w:after="0" w:line="360" w:lineRule="auto"/>
        <w:rPr>
          <w:rFonts w:eastAsia="Calibri" w:cs="Tahoma"/>
          <w:bCs/>
          <w:lang w:val="es-ES"/>
        </w:rPr>
      </w:pPr>
    </w:p>
    <w:p w14:paraId="31B2DB6F" w14:textId="77777777" w:rsidR="00FB75CF" w:rsidRPr="00B94180" w:rsidRDefault="00FB75CF" w:rsidP="00FB75CF">
      <w:pPr>
        <w:tabs>
          <w:tab w:val="left" w:pos="4962"/>
        </w:tabs>
        <w:spacing w:after="0" w:line="360" w:lineRule="auto"/>
        <w:rPr>
          <w:rFonts w:eastAsia="Calibri" w:cs="Tahoma"/>
          <w:bCs/>
          <w:lang w:val="es-ES"/>
        </w:rPr>
      </w:pPr>
      <w:r w:rsidRPr="00B94180">
        <w:rPr>
          <w:rFonts w:eastAsia="Calibri" w:cs="Tahoma"/>
          <w:bCs/>
          <w:lang w:val="es-ES"/>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3599016C" w14:textId="77777777" w:rsidR="00FB75CF" w:rsidRPr="00B94180" w:rsidRDefault="00FB75CF" w:rsidP="00FB75CF">
      <w:pPr>
        <w:tabs>
          <w:tab w:val="left" w:pos="4962"/>
        </w:tabs>
        <w:spacing w:after="0" w:line="360" w:lineRule="auto"/>
        <w:rPr>
          <w:rFonts w:eastAsia="Calibri" w:cs="Tahoma"/>
          <w:bCs/>
          <w:lang w:val="es-ES"/>
        </w:rPr>
      </w:pPr>
    </w:p>
    <w:p w14:paraId="49D86CBE" w14:textId="77777777" w:rsidR="00FB75CF" w:rsidRPr="00B94180" w:rsidRDefault="00FB75CF" w:rsidP="00FB75CF">
      <w:pPr>
        <w:tabs>
          <w:tab w:val="left" w:pos="4962"/>
        </w:tabs>
        <w:spacing w:after="0" w:line="360" w:lineRule="auto"/>
        <w:rPr>
          <w:rFonts w:eastAsia="Calibri" w:cs="Tahoma"/>
          <w:bCs/>
          <w:lang w:val="es-ES"/>
        </w:rPr>
      </w:pPr>
      <w:r w:rsidRPr="00B94180">
        <w:rPr>
          <w:rFonts w:eastAsia="Calibri" w:cs="Tahoma"/>
          <w:bCs/>
          <w:lang w:val="es-ES"/>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w:t>
      </w:r>
    </w:p>
    <w:p w14:paraId="0ED08D11" w14:textId="77777777" w:rsidR="00FB75CF" w:rsidRPr="00B94180" w:rsidRDefault="00FB75CF" w:rsidP="00FB75CF">
      <w:pPr>
        <w:tabs>
          <w:tab w:val="center" w:pos="4522"/>
        </w:tabs>
        <w:spacing w:after="0" w:line="360" w:lineRule="auto"/>
        <w:rPr>
          <w:rFonts w:eastAsia="Calibri" w:cs="Times New Roman"/>
          <w:color w:val="000000"/>
        </w:rPr>
      </w:pPr>
    </w:p>
    <w:p w14:paraId="71C0890F" w14:textId="77777777" w:rsidR="00FB75CF" w:rsidRPr="00B94180" w:rsidRDefault="00FB75CF" w:rsidP="00FB75CF">
      <w:pPr>
        <w:numPr>
          <w:ilvl w:val="0"/>
          <w:numId w:val="33"/>
        </w:numPr>
        <w:spacing w:after="0" w:line="360" w:lineRule="auto"/>
        <w:jc w:val="left"/>
        <w:rPr>
          <w:rFonts w:eastAsia="Calibri" w:cs="Tahoma"/>
          <w:bCs/>
          <w:lang w:eastAsia="es-ES"/>
        </w:rPr>
      </w:pPr>
      <w:r w:rsidRPr="00B94180">
        <w:rPr>
          <w:rFonts w:eastAsia="Calibri" w:cs="Tahoma"/>
          <w:b/>
          <w:lang w:eastAsia="es-ES"/>
        </w:rPr>
        <w:t>Firma de servidores públicos</w:t>
      </w:r>
    </w:p>
    <w:p w14:paraId="0256F406" w14:textId="77777777" w:rsidR="00FB75CF" w:rsidRPr="00B94180" w:rsidRDefault="00FB75CF" w:rsidP="00FB75CF">
      <w:pPr>
        <w:spacing w:line="360" w:lineRule="auto"/>
        <w:contextualSpacing/>
        <w:rPr>
          <w:rFonts w:eastAsia="Calibri" w:cs="Tahoma"/>
          <w:bCs/>
          <w:lang w:eastAsia="es-ES"/>
        </w:rPr>
      </w:pPr>
    </w:p>
    <w:p w14:paraId="5CDC2920" w14:textId="77777777" w:rsidR="00FB75CF" w:rsidRPr="00B94180" w:rsidRDefault="00FB75CF" w:rsidP="00FB75CF">
      <w:pPr>
        <w:tabs>
          <w:tab w:val="left" w:pos="4962"/>
        </w:tabs>
        <w:spacing w:line="360" w:lineRule="auto"/>
        <w:contextualSpacing/>
        <w:rPr>
          <w:rFonts w:eastAsia="Calibri" w:cs="Tahoma"/>
          <w:bCs/>
          <w:lang w:val="es-ES"/>
        </w:rPr>
      </w:pPr>
      <w:r w:rsidRPr="00B94180">
        <w:rPr>
          <w:rFonts w:eastAsia="Calibri" w:cs="Tahoma"/>
          <w:bCs/>
          <w:lang w:val="es-ES"/>
        </w:rPr>
        <w:lastRenderedPageBreak/>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05228B25" w14:textId="77777777" w:rsidR="00FB75CF" w:rsidRPr="00B94180" w:rsidRDefault="00FB75CF" w:rsidP="00FB75CF">
      <w:pPr>
        <w:tabs>
          <w:tab w:val="left" w:pos="4962"/>
        </w:tabs>
        <w:spacing w:line="360" w:lineRule="auto"/>
        <w:contextualSpacing/>
        <w:rPr>
          <w:rFonts w:eastAsia="Calibri" w:cs="Tahoma"/>
          <w:bCs/>
          <w:lang w:val="es-ES"/>
        </w:rPr>
      </w:pPr>
      <w:r w:rsidRPr="00B94180">
        <w:rPr>
          <w:rFonts w:eastAsia="Calibri" w:cs="Tahoma"/>
          <w:bCs/>
          <w:lang w:val="es-ES"/>
        </w:rPr>
        <w:t> </w:t>
      </w:r>
    </w:p>
    <w:p w14:paraId="1940BEBE" w14:textId="77777777" w:rsidR="00FB75CF" w:rsidRPr="00B94180" w:rsidRDefault="00FB75CF" w:rsidP="00FB75CF">
      <w:pPr>
        <w:tabs>
          <w:tab w:val="left" w:pos="4962"/>
        </w:tabs>
        <w:spacing w:line="360" w:lineRule="auto"/>
        <w:contextualSpacing/>
        <w:rPr>
          <w:rFonts w:eastAsia="Calibri" w:cs="Tahoma"/>
          <w:bCs/>
          <w:lang w:val="es-ES"/>
        </w:rPr>
      </w:pPr>
      <w:r w:rsidRPr="00B94180">
        <w:rPr>
          <w:rFonts w:eastAsia="Calibri" w:cs="Tahoma"/>
          <w:bCs/>
          <w:lang w:val="es-ES"/>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63E2509E" w14:textId="77777777" w:rsidR="00FB75CF" w:rsidRPr="00B94180" w:rsidRDefault="00FB75CF" w:rsidP="00FB75CF">
      <w:pPr>
        <w:tabs>
          <w:tab w:val="left" w:pos="4962"/>
        </w:tabs>
        <w:spacing w:line="360" w:lineRule="auto"/>
        <w:contextualSpacing/>
        <w:rPr>
          <w:rFonts w:eastAsia="Calibri" w:cs="Tahoma"/>
          <w:bCs/>
          <w:lang w:val="es-ES"/>
        </w:rPr>
      </w:pPr>
      <w:r w:rsidRPr="00B94180">
        <w:rPr>
          <w:rFonts w:eastAsia="Calibri" w:cs="Tahoma"/>
          <w:bCs/>
          <w:lang w:val="es-ES"/>
        </w:rPr>
        <w:t> </w:t>
      </w:r>
    </w:p>
    <w:p w14:paraId="7C3BB62E" w14:textId="3D73380C" w:rsidR="00FB75CF" w:rsidRPr="00B94180" w:rsidRDefault="00FB75CF" w:rsidP="00FB75CF">
      <w:pPr>
        <w:shd w:val="clear" w:color="auto" w:fill="FFFFFF"/>
        <w:spacing w:line="360" w:lineRule="auto"/>
        <w:contextualSpacing/>
        <w:rPr>
          <w:rFonts w:eastAsia="Times New Roman" w:cs="Times New Roman"/>
          <w:color w:val="000000"/>
        </w:rPr>
      </w:pPr>
      <w:r w:rsidRPr="00B94180">
        <w:rPr>
          <w:rFonts w:eastAsia="Times New Roman" w:cs="Times New Roman"/>
          <w:bdr w:val="none" w:sz="0" w:space="0" w:color="auto" w:frame="1"/>
        </w:rPr>
        <w:t>La publicidad de dichos datos, se robustece, con el </w:t>
      </w:r>
      <w:r w:rsidRPr="00B94180">
        <w:rPr>
          <w:rFonts w:eastAsia="Times New Roman" w:cs="Times New Roman"/>
          <w:color w:val="000000"/>
          <w:bdr w:val="none" w:sz="0" w:space="0" w:color="auto" w:frame="1"/>
          <w:lang w:val="es-ES"/>
        </w:rPr>
        <w:t xml:space="preserve">Criterio </w:t>
      </w:r>
      <w:r>
        <w:rPr>
          <w:rFonts w:eastAsia="Times New Roman" w:cs="Times New Roman"/>
          <w:color w:val="000000"/>
          <w:bdr w:val="none" w:sz="0" w:space="0" w:color="auto" w:frame="1"/>
          <w:lang w:val="es-ES"/>
        </w:rPr>
        <w:t>Orientador</w:t>
      </w:r>
      <w:r w:rsidRPr="00B94180">
        <w:rPr>
          <w:rFonts w:eastAsia="Times New Roman" w:cs="Times New Roman"/>
          <w:color w:val="000000"/>
          <w:bdr w:val="none" w:sz="0" w:space="0" w:color="auto" w:frame="1"/>
          <w:lang w:val="es-ES"/>
        </w:rPr>
        <w:t>, de la Segunda Época, con clave de control </w:t>
      </w:r>
      <w:r w:rsidRPr="00B94180">
        <w:rPr>
          <w:rFonts w:eastAsia="Times New Roman" w:cs="Times New Roman"/>
          <w:color w:val="000000"/>
        </w:rPr>
        <w:t>SO/002/2019</w:t>
      </w:r>
      <w:r w:rsidRPr="00B94180">
        <w:rPr>
          <w:rFonts w:eastAsia="Times New Roman" w:cs="Times New Roman"/>
          <w:color w:val="000000"/>
          <w:bdr w:val="none" w:sz="0" w:space="0" w:color="auto" w:frame="1"/>
        </w:rPr>
        <w:t>, emitido por el Instituto Nacional de Transparencia, Acceso a la Información y Protección de Datos Personales, que establece lo siguiente:</w:t>
      </w:r>
    </w:p>
    <w:p w14:paraId="19C8FB6C" w14:textId="77777777" w:rsidR="00FB75CF" w:rsidRPr="00B94180" w:rsidRDefault="00FB75CF" w:rsidP="00FB75CF">
      <w:pPr>
        <w:shd w:val="clear" w:color="auto" w:fill="FFFFFF"/>
        <w:spacing w:line="360" w:lineRule="auto"/>
        <w:contextualSpacing/>
        <w:rPr>
          <w:rFonts w:eastAsia="Times New Roman" w:cs="Times New Roman"/>
          <w:color w:val="000000"/>
        </w:rPr>
      </w:pPr>
      <w:r w:rsidRPr="00B94180">
        <w:rPr>
          <w:rFonts w:eastAsia="Times New Roman" w:cs="Times New Roman"/>
          <w:bdr w:val="none" w:sz="0" w:space="0" w:color="auto" w:frame="1"/>
        </w:rPr>
        <w:t> </w:t>
      </w:r>
    </w:p>
    <w:p w14:paraId="4E6229B0" w14:textId="77777777" w:rsidR="00FB75CF" w:rsidRPr="00B94180" w:rsidRDefault="00FB75CF" w:rsidP="00FB75CF">
      <w:pPr>
        <w:spacing w:after="0" w:line="360" w:lineRule="auto"/>
        <w:ind w:left="567" w:right="567"/>
        <w:contextualSpacing/>
        <w:rPr>
          <w:rFonts w:eastAsia="Times New Roman" w:cs="Times New Roman"/>
          <w:color w:val="000000"/>
          <w:sz w:val="20"/>
        </w:rPr>
      </w:pPr>
      <w:r w:rsidRPr="00B94180">
        <w:rPr>
          <w:rFonts w:eastAsia="Times New Roman" w:cs="Times New Roman"/>
          <w:b/>
          <w:bCs/>
          <w:i/>
          <w:iCs/>
          <w:sz w:val="20"/>
          <w:bdr w:val="none" w:sz="0" w:space="0" w:color="auto" w:frame="1"/>
        </w:rPr>
        <w:t>“Firma y rúbrica de servidores públicos.</w:t>
      </w:r>
      <w:r w:rsidRPr="00B94180">
        <w:rPr>
          <w:rFonts w:eastAsia="Times New Roman" w:cs="Times New Roman"/>
          <w:i/>
          <w:iCs/>
          <w:sz w:val="20"/>
          <w:bdr w:val="none" w:sz="0" w:space="0" w:color="auto" w:frame="1"/>
        </w:rPr>
        <w:t> Si bien la firma y la rúbrica son datos personales confidenciales, cuando un servidor público emite un acto como autoridad, en ejercicio de las funciones que tiene conferidas, la firma o rúbrica mediante la cual se valida dicho acto es pública.”</w:t>
      </w:r>
    </w:p>
    <w:p w14:paraId="26E61B68" w14:textId="77777777" w:rsidR="00FB75CF" w:rsidRPr="00B94180" w:rsidRDefault="00FB75CF" w:rsidP="00FB75CF">
      <w:pPr>
        <w:tabs>
          <w:tab w:val="left" w:pos="4962"/>
        </w:tabs>
        <w:spacing w:line="360" w:lineRule="auto"/>
        <w:contextualSpacing/>
        <w:rPr>
          <w:rFonts w:eastAsia="Calibri" w:cs="Tahoma"/>
          <w:bCs/>
          <w:lang w:val="es-ES"/>
        </w:rPr>
      </w:pPr>
      <w:r w:rsidRPr="00B94180">
        <w:rPr>
          <w:rFonts w:eastAsia="Calibri" w:cs="Tahoma"/>
          <w:bCs/>
          <w:lang w:val="es-ES"/>
        </w:rPr>
        <w:t> </w:t>
      </w:r>
    </w:p>
    <w:p w14:paraId="64B62FC8" w14:textId="77777777" w:rsidR="00FB75CF" w:rsidRPr="00B94180" w:rsidRDefault="00FB75CF" w:rsidP="00FB75CF">
      <w:pPr>
        <w:tabs>
          <w:tab w:val="left" w:pos="4962"/>
        </w:tabs>
        <w:spacing w:line="360" w:lineRule="auto"/>
        <w:contextualSpacing/>
        <w:rPr>
          <w:rFonts w:eastAsia="Calibri" w:cs="Tahoma"/>
          <w:bCs/>
          <w:lang w:val="es-ES"/>
        </w:rPr>
      </w:pPr>
      <w:r w:rsidRPr="00B94180">
        <w:rPr>
          <w:rFonts w:eastAsia="Calibri" w:cs="Tahoma"/>
          <w:bCs/>
          <w:lang w:val="es-ES"/>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o nivel académico. </w:t>
      </w:r>
    </w:p>
    <w:p w14:paraId="17CBBE19" w14:textId="77777777" w:rsidR="00991507" w:rsidRPr="00991507" w:rsidRDefault="00991507" w:rsidP="00BE7735">
      <w:pPr>
        <w:spacing w:after="0" w:line="360" w:lineRule="auto"/>
        <w:rPr>
          <w:rFonts w:eastAsia="Times New Roman" w:cs="Tahoma"/>
          <w:bCs/>
          <w:iCs/>
          <w:color w:val="auto"/>
          <w:lang w:eastAsia="es-ES"/>
        </w:rPr>
      </w:pPr>
    </w:p>
    <w:p w14:paraId="7E487927" w14:textId="60050615" w:rsidR="00991507" w:rsidRPr="00991507" w:rsidRDefault="00FB75CF" w:rsidP="00BE7735">
      <w:pPr>
        <w:spacing w:after="0" w:line="360" w:lineRule="auto"/>
        <w:rPr>
          <w:rFonts w:eastAsia="Calibri" w:cs="Tahoma"/>
          <w:bCs/>
          <w:iCs/>
          <w:color w:val="000000"/>
          <w:lang w:val="es-ES"/>
        </w:rPr>
      </w:pPr>
      <w:r>
        <w:rPr>
          <w:rFonts w:eastAsia="Calibri" w:cs="Tahoma"/>
          <w:bCs/>
          <w:iCs/>
          <w:color w:val="000000"/>
          <w:lang w:val="es-ES_tradnl"/>
        </w:rPr>
        <w:t>P</w:t>
      </w:r>
      <w:r w:rsidR="00991507" w:rsidRPr="00991507">
        <w:rPr>
          <w:rFonts w:eastAsia="Calibri" w:cs="Tahoma"/>
          <w:bCs/>
          <w:iCs/>
          <w:color w:val="000000"/>
          <w:lang w:val="es-ES_tradnl"/>
        </w:rPr>
        <w:t>or lo que, en el supuesto, deberá elaborar la versión pública respectiva; a</w:t>
      </w:r>
      <w:r w:rsidR="00991507" w:rsidRPr="00991507">
        <w:rPr>
          <w:rFonts w:eastAsia="Calibri" w:cs="Tahoma"/>
          <w:bCs/>
          <w:iCs/>
          <w:color w:val="000000"/>
          <w:lang w:val="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w:t>
      </w:r>
      <w:r w:rsidR="00991507" w:rsidRPr="00991507">
        <w:rPr>
          <w:rFonts w:eastAsia="Calibri" w:cs="Tahoma"/>
          <w:bCs/>
          <w:iCs/>
          <w:color w:val="000000"/>
          <w:lang w:val="es-ES"/>
        </w:rPr>
        <w:lastRenderedPageBreak/>
        <w:t>requerimiento informativo, deberá elaborar una versión Pública en la que se testen las partes o secciones clasificadas, indicando su contenido de manera genérica y fundando y motivando su clasificación.</w:t>
      </w:r>
    </w:p>
    <w:p w14:paraId="3D5CD696" w14:textId="77777777" w:rsidR="00991507" w:rsidRPr="00991507" w:rsidRDefault="00991507" w:rsidP="00BE7735">
      <w:pPr>
        <w:spacing w:after="0" w:line="360" w:lineRule="auto"/>
        <w:ind w:right="-28"/>
        <w:contextualSpacing/>
        <w:rPr>
          <w:rFonts w:eastAsia="Calibri" w:cs="Tahoma"/>
          <w:bCs/>
          <w:color w:val="auto"/>
          <w:lang w:val="es-ES"/>
        </w:rPr>
      </w:pPr>
    </w:p>
    <w:p w14:paraId="180C8FC2" w14:textId="3BC73B41" w:rsidR="00991507" w:rsidRPr="00FB75CF" w:rsidRDefault="00991507" w:rsidP="00BE7735">
      <w:pPr>
        <w:spacing w:after="0" w:line="360" w:lineRule="auto"/>
        <w:rPr>
          <w:rFonts w:eastAsia="Calibri" w:cs="Tahoma"/>
          <w:bCs/>
          <w:iCs/>
          <w:color w:val="000000"/>
          <w:lang w:val="es-ES"/>
        </w:rPr>
      </w:pPr>
      <w:r w:rsidRPr="00991507">
        <w:rPr>
          <w:rFonts w:eastAsia="Calibri" w:cs="Tahoma"/>
          <w:bCs/>
          <w:iCs/>
          <w:color w:val="000000"/>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736231F" w14:textId="77777777" w:rsidR="00991507" w:rsidRPr="00991507" w:rsidRDefault="00991507" w:rsidP="00BE7735">
      <w:pPr>
        <w:spacing w:after="0" w:line="360" w:lineRule="auto"/>
        <w:rPr>
          <w:rFonts w:eastAsia="Times New Roman" w:cs="Tahoma"/>
          <w:b/>
          <w:bCs/>
          <w:iCs/>
          <w:color w:val="auto"/>
          <w:lang w:eastAsia="es-MX"/>
        </w:rPr>
      </w:pPr>
    </w:p>
    <w:p w14:paraId="42EE1236" w14:textId="084B2664" w:rsidR="00991507" w:rsidRPr="00991507" w:rsidRDefault="006E0641" w:rsidP="00BE7735">
      <w:pPr>
        <w:spacing w:after="0" w:line="360" w:lineRule="auto"/>
        <w:rPr>
          <w:rFonts w:eastAsia="Times New Roman" w:cs="Tahoma"/>
          <w:b/>
          <w:bCs/>
          <w:iCs/>
          <w:color w:val="auto"/>
          <w:lang w:eastAsia="es-MX"/>
        </w:rPr>
      </w:pPr>
      <w:r>
        <w:rPr>
          <w:rFonts w:eastAsia="Times New Roman" w:cs="Tahoma"/>
          <w:b/>
          <w:bCs/>
          <w:iCs/>
          <w:color w:val="auto"/>
          <w:lang w:eastAsia="es-MX"/>
        </w:rPr>
        <w:t>SEXTO. Decisión</w:t>
      </w:r>
    </w:p>
    <w:p w14:paraId="423D7310" w14:textId="77777777" w:rsidR="00991507" w:rsidRPr="00991507" w:rsidRDefault="00991507" w:rsidP="00BE7735">
      <w:pPr>
        <w:spacing w:after="0" w:line="360" w:lineRule="auto"/>
        <w:rPr>
          <w:rFonts w:eastAsia="Times New Roman" w:cs="Tahoma"/>
          <w:bCs/>
          <w:iCs/>
          <w:color w:val="auto"/>
          <w:sz w:val="24"/>
          <w:lang w:eastAsia="es-MX"/>
        </w:rPr>
      </w:pPr>
    </w:p>
    <w:p w14:paraId="307DE192" w14:textId="5F905424" w:rsidR="00E009A5" w:rsidRDefault="00991507" w:rsidP="00BE7735">
      <w:pPr>
        <w:spacing w:after="0" w:line="360" w:lineRule="auto"/>
        <w:rPr>
          <w:rFonts w:eastAsia="Times New Roman" w:cs="Tahoma"/>
          <w:iCs/>
          <w:color w:val="auto"/>
          <w:lang w:eastAsia="es-MX"/>
        </w:rPr>
      </w:pPr>
      <w:r w:rsidRPr="00991507">
        <w:rPr>
          <w:rFonts w:eastAsia="Times New Roman" w:cs="Tahoma"/>
          <w:bCs/>
          <w:iCs/>
          <w:color w:val="auto"/>
          <w:lang w:eastAsia="es-MX"/>
        </w:rPr>
        <w:t xml:space="preserve">Con fundamento en el artículo 186, fracción III, de la Ley de Transparencia y Acceso a la Información Pública del Estado de México y Municipios, este Instituto considera procedente </w:t>
      </w:r>
      <w:r w:rsidR="006A5AC7">
        <w:rPr>
          <w:rFonts w:eastAsia="Times New Roman" w:cs="Tahoma"/>
          <w:b/>
          <w:bCs/>
          <w:iCs/>
          <w:color w:val="auto"/>
          <w:lang w:eastAsia="es-MX"/>
        </w:rPr>
        <w:t>MODIFICAR</w:t>
      </w:r>
      <w:r w:rsidRPr="00991507">
        <w:rPr>
          <w:rFonts w:eastAsia="Times New Roman" w:cs="Tahoma"/>
          <w:b/>
          <w:bCs/>
          <w:iCs/>
          <w:color w:val="auto"/>
          <w:lang w:eastAsia="es-MX"/>
        </w:rPr>
        <w:t xml:space="preserve"> </w:t>
      </w:r>
      <w:r w:rsidRPr="00991507">
        <w:rPr>
          <w:rFonts w:eastAsia="Times New Roman" w:cs="Tahoma"/>
          <w:bCs/>
          <w:iCs/>
          <w:color w:val="auto"/>
          <w:lang w:eastAsia="es-MX"/>
        </w:rPr>
        <w:t>la respuesta otorgada por el Sistema Municipal para el Desarrollo Integral de la Familia de Metepec, a la</w:t>
      </w:r>
      <w:r w:rsidR="00E009A5">
        <w:rPr>
          <w:rFonts w:eastAsia="Times New Roman" w:cs="Tahoma"/>
          <w:bCs/>
          <w:iCs/>
          <w:color w:val="auto"/>
          <w:lang w:eastAsia="es-MX"/>
        </w:rPr>
        <w:t xml:space="preserve"> solicitud</w:t>
      </w:r>
      <w:r w:rsidRPr="00991507">
        <w:rPr>
          <w:rFonts w:eastAsia="Times New Roman" w:cs="Tahoma"/>
          <w:bCs/>
          <w:iCs/>
          <w:color w:val="auto"/>
          <w:lang w:eastAsia="es-MX"/>
        </w:rPr>
        <w:t xml:space="preserve"> de acceso a la información pública con número </w:t>
      </w:r>
      <w:r w:rsidR="00E009A5" w:rsidRPr="006A5AC7">
        <w:rPr>
          <w:rFonts w:eastAsia="Times New Roman" w:cs="Tahoma"/>
          <w:b/>
          <w:bCs/>
          <w:iCs/>
          <w:color w:val="auto"/>
          <w:lang w:eastAsia="es-MX"/>
        </w:rPr>
        <w:t>00007/DIFMALIMAY/IP/2025</w:t>
      </w:r>
      <w:r w:rsidRPr="00991507">
        <w:rPr>
          <w:rFonts w:eastAsia="Times New Roman" w:cs="Tahoma"/>
          <w:iCs/>
          <w:color w:val="auto"/>
          <w:lang w:eastAsia="es-MX"/>
        </w:rPr>
        <w:t>,</w:t>
      </w:r>
      <w:r w:rsidRPr="00991507">
        <w:rPr>
          <w:rFonts w:eastAsia="Times New Roman" w:cs="Tahoma"/>
          <w:b/>
          <w:iCs/>
          <w:color w:val="auto"/>
          <w:lang w:eastAsia="es-MX"/>
        </w:rPr>
        <w:t xml:space="preserve"> </w:t>
      </w:r>
      <w:r w:rsidRPr="00991507">
        <w:rPr>
          <w:rFonts w:eastAsia="Times New Roman" w:cs="Tahoma"/>
          <w:iCs/>
          <w:color w:val="auto"/>
          <w:lang w:eastAsia="es-MX"/>
        </w:rPr>
        <w:t>a efecto de que</w:t>
      </w:r>
      <w:r w:rsidR="00FB75CF">
        <w:rPr>
          <w:rFonts w:eastAsia="Times New Roman" w:cs="Tahoma"/>
          <w:iCs/>
          <w:color w:val="auto"/>
          <w:lang w:eastAsia="es-MX"/>
        </w:rPr>
        <w:t xml:space="preserve"> entregue la información faltante.</w:t>
      </w:r>
    </w:p>
    <w:p w14:paraId="2BF3F2E4" w14:textId="77777777" w:rsidR="00991507" w:rsidRPr="00991507" w:rsidRDefault="00991507" w:rsidP="00BE7735">
      <w:pPr>
        <w:spacing w:after="0" w:line="360" w:lineRule="auto"/>
        <w:rPr>
          <w:rFonts w:eastAsia="Times New Roman" w:cs="Tahoma"/>
          <w:color w:val="auto"/>
          <w:lang w:val="es-ES" w:eastAsia="es-ES"/>
        </w:rPr>
      </w:pPr>
    </w:p>
    <w:p w14:paraId="48B9E6E0" w14:textId="6751A45E" w:rsidR="00991507" w:rsidRPr="00991507" w:rsidRDefault="00991507" w:rsidP="00BE7735">
      <w:pPr>
        <w:spacing w:after="0" w:line="360" w:lineRule="auto"/>
        <w:rPr>
          <w:rFonts w:eastAsia="Calibri" w:cs="Tahoma"/>
          <w:b/>
          <w:bCs/>
          <w:color w:val="000000"/>
        </w:rPr>
      </w:pPr>
      <w:r w:rsidRPr="00991507">
        <w:rPr>
          <w:rFonts w:eastAsia="Calibri" w:cs="Tahoma"/>
          <w:b/>
          <w:bCs/>
          <w:color w:val="000000"/>
        </w:rPr>
        <w:t>Términos de la Resolución p</w:t>
      </w:r>
      <w:r w:rsidR="006E0641">
        <w:rPr>
          <w:rFonts w:eastAsia="Calibri" w:cs="Tahoma"/>
          <w:b/>
          <w:bCs/>
          <w:color w:val="000000"/>
        </w:rPr>
        <w:t>ara conocimiento del Particular</w:t>
      </w:r>
    </w:p>
    <w:p w14:paraId="1EDAF53F" w14:textId="77777777" w:rsidR="00991507" w:rsidRPr="00991507" w:rsidRDefault="00991507" w:rsidP="00BE7735">
      <w:pPr>
        <w:spacing w:after="0" w:line="360" w:lineRule="auto"/>
        <w:rPr>
          <w:rFonts w:eastAsia="Calibri" w:cs="Tahoma"/>
          <w:b/>
          <w:bCs/>
          <w:color w:val="000000"/>
        </w:rPr>
      </w:pPr>
    </w:p>
    <w:p w14:paraId="76724F0A" w14:textId="41B49415" w:rsidR="00991507" w:rsidRPr="00FB75CF" w:rsidRDefault="00991507" w:rsidP="00FB75CF">
      <w:pPr>
        <w:spacing w:after="0" w:line="360" w:lineRule="auto"/>
        <w:rPr>
          <w:rFonts w:eastAsia="Calibri" w:cs="Tahoma"/>
          <w:bCs/>
          <w:color w:val="auto"/>
        </w:rPr>
      </w:pPr>
      <w:r w:rsidRPr="00991507">
        <w:rPr>
          <w:rFonts w:eastAsia="Calibri" w:cs="Tahoma"/>
          <w:bCs/>
          <w:iCs/>
          <w:color w:val="auto"/>
          <w:lang w:val="es-ES"/>
        </w:rPr>
        <w:t>Se</w:t>
      </w:r>
      <w:r w:rsidRPr="00991507">
        <w:rPr>
          <w:rFonts w:eastAsia="Calibri" w:cs="Tahoma"/>
          <w:bCs/>
          <w:color w:val="auto"/>
        </w:rPr>
        <w:t xml:space="preserve"> le hace del conocimiento a la ahora Recurrente, que, en el presente caso, se le da la razón, pues el Ente Recurrido no </w:t>
      </w:r>
      <w:r w:rsidR="0063636B">
        <w:rPr>
          <w:rFonts w:eastAsia="Calibri" w:cs="Tahoma"/>
          <w:bCs/>
          <w:color w:val="auto"/>
        </w:rPr>
        <w:t xml:space="preserve">remitió la información solicitada de forma completa, por lo que deberá entregarla vía SAIMEX. </w:t>
      </w:r>
      <w:r w:rsidRPr="00991507">
        <w:rPr>
          <w:rFonts w:eastAsia="Calibri" w:cs="Tahoma"/>
          <w:bCs/>
          <w:iCs/>
          <w:color w:val="auto"/>
          <w:lang w:val="es-ES_tradnl"/>
        </w:rPr>
        <w:t>Finalmente, se le informa que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6BF94681" w14:textId="77777777" w:rsidR="00991507" w:rsidRPr="00991507" w:rsidRDefault="00991507" w:rsidP="00BE7735">
      <w:pPr>
        <w:autoSpaceDE w:val="0"/>
        <w:autoSpaceDN w:val="0"/>
        <w:adjustRightInd w:val="0"/>
        <w:spacing w:after="0" w:line="360" w:lineRule="auto"/>
        <w:rPr>
          <w:rFonts w:eastAsia="Calibri" w:cs="Tahoma"/>
          <w:bCs/>
          <w:iCs/>
          <w:color w:val="auto"/>
        </w:rPr>
      </w:pPr>
    </w:p>
    <w:p w14:paraId="5512AADD" w14:textId="77777777" w:rsidR="00991507" w:rsidRPr="00991507" w:rsidRDefault="00991507" w:rsidP="00BE7735">
      <w:pPr>
        <w:autoSpaceDE w:val="0"/>
        <w:autoSpaceDN w:val="0"/>
        <w:adjustRightInd w:val="0"/>
        <w:spacing w:after="0" w:line="360" w:lineRule="auto"/>
        <w:rPr>
          <w:rFonts w:eastAsia="Calibri" w:cs="Tahoma"/>
          <w:bCs/>
          <w:iCs/>
          <w:color w:val="auto"/>
        </w:rPr>
      </w:pPr>
      <w:r w:rsidRPr="00991507">
        <w:rPr>
          <w:rFonts w:eastAsia="Calibri" w:cs="Tahoma"/>
          <w:bCs/>
          <w:iCs/>
          <w:color w:val="auto"/>
        </w:rPr>
        <w:t>Por lo expuesto y fundado, este Pleno:</w:t>
      </w:r>
    </w:p>
    <w:p w14:paraId="4831BE9F" w14:textId="77777777" w:rsidR="00991507" w:rsidRPr="00991507" w:rsidRDefault="00991507" w:rsidP="00BE7735">
      <w:pPr>
        <w:spacing w:after="0" w:line="360" w:lineRule="auto"/>
        <w:rPr>
          <w:rFonts w:eastAsia="Times New Roman" w:cs="Tahoma"/>
          <w:iCs/>
          <w:color w:val="auto"/>
          <w:szCs w:val="24"/>
          <w:lang w:val="es-ES" w:eastAsia="es-ES"/>
        </w:rPr>
      </w:pPr>
    </w:p>
    <w:p w14:paraId="376AA78A" w14:textId="3A744F98" w:rsidR="00991507" w:rsidRPr="00991507" w:rsidRDefault="006E0641" w:rsidP="00BE7735">
      <w:pPr>
        <w:spacing w:after="0" w:line="360" w:lineRule="auto"/>
        <w:ind w:right="-28"/>
        <w:jc w:val="center"/>
        <w:rPr>
          <w:rFonts w:eastAsia="Calibri" w:cs="Tahoma"/>
          <w:b/>
          <w:bCs/>
          <w:color w:val="auto"/>
          <w:lang w:eastAsia="es-MX"/>
        </w:rPr>
      </w:pPr>
      <w:r>
        <w:rPr>
          <w:rFonts w:eastAsia="Calibri" w:cs="Tahoma"/>
          <w:b/>
          <w:bCs/>
          <w:color w:val="auto"/>
          <w:lang w:eastAsia="es-MX"/>
        </w:rPr>
        <w:t>R E S U E L V E</w:t>
      </w:r>
    </w:p>
    <w:p w14:paraId="11AA2171" w14:textId="77777777" w:rsidR="00991507" w:rsidRPr="00991507" w:rsidRDefault="00991507" w:rsidP="00BE7735">
      <w:pPr>
        <w:spacing w:after="0" w:line="360" w:lineRule="auto"/>
        <w:ind w:right="-28"/>
        <w:rPr>
          <w:rFonts w:eastAsia="Times New Roman" w:cs="Tahoma"/>
          <w:color w:val="auto"/>
          <w:lang w:eastAsia="es-MX"/>
        </w:rPr>
      </w:pPr>
    </w:p>
    <w:p w14:paraId="46D1AA64" w14:textId="593A8F2E" w:rsidR="00991507" w:rsidRPr="00991507" w:rsidRDefault="00991507" w:rsidP="00BE7735">
      <w:pPr>
        <w:spacing w:after="0" w:line="360" w:lineRule="auto"/>
        <w:contextualSpacing/>
        <w:rPr>
          <w:rFonts w:eastAsia="Times New Roman" w:cs="Times New Roman"/>
          <w:b/>
          <w:bCs/>
          <w:color w:val="auto"/>
          <w:lang w:eastAsia="es-ES"/>
        </w:rPr>
      </w:pPr>
      <w:r w:rsidRPr="00991507">
        <w:rPr>
          <w:rFonts w:eastAsia="Times New Roman" w:cs="Tahoma"/>
          <w:b/>
          <w:bCs/>
          <w:color w:val="auto"/>
          <w:lang w:eastAsia="es-ES"/>
        </w:rPr>
        <w:t xml:space="preserve">PRIMERO. </w:t>
      </w:r>
      <w:r w:rsidRPr="00991507">
        <w:rPr>
          <w:rFonts w:eastAsia="Times New Roman" w:cs="Tahoma"/>
          <w:bCs/>
          <w:color w:val="auto"/>
          <w:lang w:eastAsia="es-ES"/>
        </w:rPr>
        <w:t xml:space="preserve">Se </w:t>
      </w:r>
      <w:r w:rsidR="0063636B">
        <w:rPr>
          <w:rFonts w:eastAsia="Times New Roman" w:cs="Tahoma"/>
          <w:b/>
          <w:bCs/>
          <w:color w:val="auto"/>
          <w:lang w:eastAsia="es-ES"/>
        </w:rPr>
        <w:t>MODIFICA</w:t>
      </w:r>
      <w:r w:rsidRPr="00991507">
        <w:rPr>
          <w:rFonts w:eastAsia="Times New Roman" w:cs="Tahoma"/>
          <w:b/>
          <w:bCs/>
          <w:color w:val="auto"/>
          <w:lang w:eastAsia="es-ES"/>
        </w:rPr>
        <w:t xml:space="preserve"> </w:t>
      </w:r>
      <w:r w:rsidR="0063636B">
        <w:rPr>
          <w:rFonts w:eastAsia="Times New Roman" w:cs="Tahoma"/>
          <w:bCs/>
          <w:color w:val="auto"/>
          <w:lang w:eastAsia="es-ES"/>
        </w:rPr>
        <w:t>la respuesta entregada</w:t>
      </w:r>
      <w:r w:rsidRPr="00991507">
        <w:rPr>
          <w:rFonts w:eastAsia="Times New Roman" w:cs="Tahoma"/>
          <w:bCs/>
          <w:color w:val="auto"/>
          <w:lang w:eastAsia="es-ES"/>
        </w:rPr>
        <w:t xml:space="preserve"> por el</w:t>
      </w:r>
      <w:r w:rsidRPr="00991507">
        <w:rPr>
          <w:rFonts w:eastAsia="Times New Roman" w:cs="Tahoma"/>
          <w:color w:val="auto"/>
          <w:lang w:eastAsia="es-ES"/>
        </w:rPr>
        <w:t xml:space="preserve"> </w:t>
      </w:r>
      <w:r w:rsidR="0063636B" w:rsidRPr="0063636B">
        <w:rPr>
          <w:rFonts w:eastAsia="Times New Roman" w:cs="Tahoma"/>
          <w:color w:val="auto"/>
          <w:lang w:eastAsia="es-ES"/>
        </w:rPr>
        <w:t>Sistema Municipal para el Desarrollo Integral de la Familia de Calimaya</w:t>
      </w:r>
      <w:r w:rsidRPr="00991507">
        <w:rPr>
          <w:rFonts w:eastAsia="Times New Roman" w:cs="Tahoma"/>
          <w:color w:val="auto"/>
          <w:lang w:eastAsia="es-ES"/>
        </w:rPr>
        <w:t>,</w:t>
      </w:r>
      <w:r w:rsidRPr="00991507">
        <w:rPr>
          <w:rFonts w:eastAsia="Times New Roman" w:cs="Tahoma"/>
          <w:b/>
          <w:bCs/>
          <w:color w:val="auto"/>
          <w:lang w:eastAsia="es-ES"/>
        </w:rPr>
        <w:t xml:space="preserve"> </w:t>
      </w:r>
      <w:r w:rsidR="0063636B">
        <w:rPr>
          <w:rFonts w:eastAsia="Times New Roman" w:cs="Tahoma"/>
          <w:bCs/>
          <w:color w:val="auto"/>
          <w:lang w:eastAsia="es-ES"/>
        </w:rPr>
        <w:t>a la solicitud</w:t>
      </w:r>
      <w:r w:rsidRPr="00991507">
        <w:rPr>
          <w:rFonts w:eastAsia="Times New Roman" w:cs="Tahoma"/>
          <w:bCs/>
          <w:color w:val="auto"/>
          <w:lang w:eastAsia="es-ES"/>
        </w:rPr>
        <w:t xml:space="preserve"> de </w:t>
      </w:r>
      <w:r w:rsidR="0063636B" w:rsidRPr="00FB75CF">
        <w:rPr>
          <w:rFonts w:eastAsia="Times New Roman" w:cs="Tahoma"/>
          <w:color w:val="auto"/>
          <w:lang w:eastAsia="es-ES"/>
        </w:rPr>
        <w:t>00007/DIFMALIMAY/IP/2025</w:t>
      </w:r>
      <w:r w:rsidRPr="00991507">
        <w:rPr>
          <w:rFonts w:eastAsia="Times New Roman" w:cs="Times New Roman"/>
          <w:color w:val="auto"/>
          <w:lang w:eastAsia="es-ES"/>
        </w:rPr>
        <w:t>,</w:t>
      </w:r>
      <w:r w:rsidRPr="00991507">
        <w:rPr>
          <w:rFonts w:eastAsia="Times New Roman" w:cs="Times New Roman"/>
          <w:b/>
          <w:bCs/>
          <w:color w:val="auto"/>
          <w:lang w:eastAsia="es-ES"/>
        </w:rPr>
        <w:t xml:space="preserve"> </w:t>
      </w:r>
      <w:r w:rsidRPr="00991507">
        <w:rPr>
          <w:rFonts w:eastAsia="Times New Roman" w:cs="Times New Roman"/>
          <w:bCs/>
          <w:color w:val="auto"/>
          <w:lang w:eastAsia="es-ES"/>
        </w:rPr>
        <w:t xml:space="preserve">por resultar </w:t>
      </w:r>
      <w:r w:rsidRPr="00991507">
        <w:rPr>
          <w:rFonts w:eastAsia="Times New Roman" w:cs="Times New Roman"/>
          <w:b/>
          <w:bCs/>
          <w:color w:val="auto"/>
          <w:lang w:eastAsia="es-ES"/>
        </w:rPr>
        <w:t>FUNDADAS</w:t>
      </w:r>
      <w:r w:rsidRPr="00991507">
        <w:rPr>
          <w:rFonts w:eastAsia="Times New Roman" w:cs="Tahoma"/>
          <w:bCs/>
          <w:color w:val="auto"/>
          <w:lang w:eastAsia="es-ES"/>
        </w:rPr>
        <w:t xml:space="preserve"> </w:t>
      </w:r>
      <w:r w:rsidRPr="00991507">
        <w:rPr>
          <w:rFonts w:eastAsia="Calibri" w:cs="Tahoma"/>
          <w:bCs/>
          <w:color w:val="auto"/>
        </w:rPr>
        <w:t xml:space="preserve">las razones o motivos de inconformidad hechos valer por el Recurrente, en términos de los considerandos </w:t>
      </w:r>
      <w:r w:rsidRPr="00991507">
        <w:rPr>
          <w:rFonts w:eastAsia="Calibri" w:cs="Tahoma"/>
          <w:color w:val="auto"/>
        </w:rPr>
        <w:t>QUINTO</w:t>
      </w:r>
      <w:r w:rsidRPr="00991507">
        <w:rPr>
          <w:rFonts w:eastAsia="Calibri" w:cs="Tahoma"/>
          <w:bCs/>
          <w:color w:val="auto"/>
        </w:rPr>
        <w:t xml:space="preserve"> y </w:t>
      </w:r>
      <w:r w:rsidRPr="00991507">
        <w:rPr>
          <w:rFonts w:eastAsia="Calibri" w:cs="Tahoma"/>
          <w:color w:val="auto"/>
        </w:rPr>
        <w:t>SEXTO</w:t>
      </w:r>
      <w:r w:rsidRPr="00991507">
        <w:rPr>
          <w:rFonts w:eastAsia="Calibri" w:cs="Tahoma"/>
          <w:b/>
          <w:color w:val="auto"/>
        </w:rPr>
        <w:t xml:space="preserve"> </w:t>
      </w:r>
      <w:r w:rsidRPr="00991507">
        <w:rPr>
          <w:rFonts w:eastAsia="Calibri" w:cs="Tahoma"/>
          <w:bCs/>
          <w:color w:val="auto"/>
        </w:rPr>
        <w:t>de la presente Resolución.</w:t>
      </w:r>
    </w:p>
    <w:p w14:paraId="74829CF6" w14:textId="77777777" w:rsidR="00991507" w:rsidRPr="00991507" w:rsidRDefault="00991507" w:rsidP="00BE7735">
      <w:pPr>
        <w:spacing w:after="0" w:line="360" w:lineRule="auto"/>
        <w:ind w:right="-28"/>
        <w:rPr>
          <w:rFonts w:eastAsia="Times New Roman" w:cs="Tahoma"/>
          <w:color w:val="auto"/>
          <w:lang w:eastAsia="es-MX"/>
        </w:rPr>
      </w:pPr>
    </w:p>
    <w:p w14:paraId="51CC7304" w14:textId="77777777" w:rsidR="00991507" w:rsidRPr="00991507" w:rsidRDefault="00991507" w:rsidP="00BE7735">
      <w:pPr>
        <w:spacing w:after="0" w:line="360" w:lineRule="auto"/>
        <w:rPr>
          <w:rFonts w:eastAsia="Times New Roman" w:cs="Tahoma"/>
          <w:iCs/>
          <w:color w:val="auto"/>
          <w:lang w:eastAsia="es-MX"/>
        </w:rPr>
      </w:pPr>
      <w:r w:rsidRPr="00991507">
        <w:rPr>
          <w:rFonts w:eastAsia="Times New Roman" w:cs="Tahoma"/>
          <w:b/>
          <w:bCs/>
          <w:color w:val="auto"/>
          <w:lang w:eastAsia="es-ES"/>
        </w:rPr>
        <w:t xml:space="preserve">SEGUNDO. </w:t>
      </w:r>
      <w:r w:rsidRPr="00991507">
        <w:rPr>
          <w:rFonts w:eastAsia="Times New Roman" w:cs="Tahoma"/>
          <w:color w:val="auto"/>
          <w:lang w:eastAsia="es-ES"/>
        </w:rPr>
        <w:t xml:space="preserve">Se </w:t>
      </w:r>
      <w:r w:rsidRPr="00991507">
        <w:rPr>
          <w:rFonts w:eastAsia="Times New Roman" w:cs="Tahoma"/>
          <w:b/>
          <w:color w:val="auto"/>
          <w:lang w:eastAsia="es-ES"/>
        </w:rPr>
        <w:t>ORDENA</w:t>
      </w:r>
      <w:r w:rsidRPr="00991507">
        <w:rPr>
          <w:rFonts w:eastAsia="Times New Roman" w:cs="Tahoma"/>
          <w:bCs/>
          <w:color w:val="auto"/>
          <w:lang w:eastAsia="es-ES"/>
        </w:rPr>
        <w:t xml:space="preserve"> al</w:t>
      </w:r>
      <w:r w:rsidRPr="00991507">
        <w:rPr>
          <w:rFonts w:eastAsia="Times New Roman" w:cs="Tahoma"/>
          <w:color w:val="auto"/>
          <w:lang w:eastAsia="es-ES"/>
        </w:rPr>
        <w:t xml:space="preserve"> </w:t>
      </w:r>
      <w:r w:rsidRPr="00991507">
        <w:rPr>
          <w:rFonts w:eastAsia="Calibri" w:cs="Tahoma"/>
          <w:color w:val="auto"/>
        </w:rPr>
        <w:t>Sujeto Obligado,</w:t>
      </w:r>
      <w:r w:rsidRPr="00991507">
        <w:rPr>
          <w:rFonts w:eastAsia="Times New Roman" w:cs="Tahoma"/>
          <w:b/>
          <w:color w:val="auto"/>
          <w:lang w:eastAsia="es-ES"/>
        </w:rPr>
        <w:t xml:space="preserve"> </w:t>
      </w:r>
      <w:r w:rsidRPr="00991507">
        <w:rPr>
          <w:rFonts w:eastAsia="Times New Roman" w:cs="Tahoma"/>
          <w:color w:val="auto"/>
          <w:lang w:eastAsia="es-ES"/>
        </w:rPr>
        <w:t xml:space="preserve">a efecto de que, previa búsqueda exhaustiva y razonable en todas las unidades administrativas competentes, entregue </w:t>
      </w:r>
      <w:r w:rsidRPr="00991507">
        <w:rPr>
          <w:rFonts w:eastAsia="Times New Roman" w:cs="Tahoma"/>
          <w:bCs/>
          <w:iCs/>
          <w:color w:val="auto"/>
          <w:lang w:eastAsia="es-ES"/>
        </w:rPr>
        <w:t xml:space="preserve">a través del Sistema de Acceso a la Información Mexiquense (SAIMEX), </w:t>
      </w:r>
      <w:r w:rsidRPr="00991507">
        <w:rPr>
          <w:rFonts w:eastAsia="Times New Roman" w:cs="Tahoma"/>
          <w:color w:val="auto"/>
          <w:szCs w:val="24"/>
          <w:lang w:val="es-ES" w:eastAsia="es-ES"/>
        </w:rPr>
        <w:t xml:space="preserve">en versión pública, </w:t>
      </w:r>
      <w:r w:rsidRPr="00991507">
        <w:rPr>
          <w:rFonts w:eastAsia="Times New Roman" w:cs="Tahoma"/>
          <w:iCs/>
          <w:color w:val="auto"/>
          <w:lang w:eastAsia="es-MX"/>
        </w:rPr>
        <w:t>lo siguiente:</w:t>
      </w:r>
    </w:p>
    <w:p w14:paraId="2B653ECA" w14:textId="77777777" w:rsidR="00991507" w:rsidRPr="00991507" w:rsidRDefault="00991507" w:rsidP="00BE7735">
      <w:pPr>
        <w:spacing w:after="0" w:line="360" w:lineRule="auto"/>
        <w:rPr>
          <w:rFonts w:eastAsia="Times New Roman" w:cs="Tahoma"/>
          <w:iCs/>
          <w:color w:val="auto"/>
          <w:lang w:eastAsia="es-MX"/>
        </w:rPr>
      </w:pPr>
    </w:p>
    <w:p w14:paraId="78F60B58" w14:textId="780C979D" w:rsidR="006C0F64" w:rsidRPr="006C0F64" w:rsidRDefault="006C0F64" w:rsidP="00BE7735">
      <w:pPr>
        <w:pStyle w:val="Prrafodelista"/>
        <w:numPr>
          <w:ilvl w:val="0"/>
          <w:numId w:val="29"/>
        </w:numPr>
        <w:spacing w:line="360" w:lineRule="auto"/>
        <w:rPr>
          <w:rFonts w:cs="Tahoma"/>
          <w:bCs/>
          <w:iCs/>
          <w:color w:val="auto"/>
          <w:lang w:val="es-ES"/>
        </w:rPr>
      </w:pPr>
      <w:r>
        <w:rPr>
          <w:rFonts w:cs="Tahoma"/>
          <w:bCs/>
          <w:color w:val="auto"/>
        </w:rPr>
        <w:t>L</w:t>
      </w:r>
      <w:r w:rsidRPr="006C0F64">
        <w:rPr>
          <w:rFonts w:cs="Tahoma"/>
          <w:bCs/>
          <w:color w:val="auto"/>
        </w:rPr>
        <w:t xml:space="preserve">a </w:t>
      </w:r>
      <w:r w:rsidR="00140910">
        <w:rPr>
          <w:rFonts w:cs="Tahoma"/>
          <w:bCs/>
          <w:color w:val="auto"/>
        </w:rPr>
        <w:t xml:space="preserve">conciliación de </w:t>
      </w:r>
      <w:r w:rsidRPr="006C0F64">
        <w:rPr>
          <w:rFonts w:cs="Tahoma"/>
          <w:bCs/>
          <w:color w:val="auto"/>
        </w:rPr>
        <w:t xml:space="preserve">nómina y los recibos de pago de la primera y segunda quincena de enero </w:t>
      </w:r>
      <w:r>
        <w:rPr>
          <w:rFonts w:cs="Tahoma"/>
          <w:bCs/>
          <w:color w:val="auto"/>
        </w:rPr>
        <w:t>de dos mil veinticinco.</w:t>
      </w:r>
    </w:p>
    <w:p w14:paraId="05C6C73D" w14:textId="06C77085" w:rsidR="00140910" w:rsidRPr="00140910" w:rsidRDefault="00140910" w:rsidP="00BE7735">
      <w:pPr>
        <w:pStyle w:val="Prrafodelista"/>
        <w:numPr>
          <w:ilvl w:val="0"/>
          <w:numId w:val="29"/>
        </w:numPr>
        <w:spacing w:line="360" w:lineRule="auto"/>
        <w:rPr>
          <w:rFonts w:cs="Tahoma"/>
          <w:bCs/>
          <w:iCs/>
          <w:color w:val="auto"/>
          <w:lang w:val="es-ES"/>
        </w:rPr>
      </w:pPr>
      <w:r>
        <w:rPr>
          <w:rFonts w:cs="Tahoma"/>
          <w:bCs/>
          <w:color w:val="auto"/>
        </w:rPr>
        <w:t>Respecto de los servidores públicos en funciones al trece de febrero de dos mil veinticinco, los documentos que den cuenta de lo siguiente:</w:t>
      </w:r>
    </w:p>
    <w:p w14:paraId="6D10577A" w14:textId="0977BAE6" w:rsidR="00140910" w:rsidRDefault="00140910" w:rsidP="00140910">
      <w:pPr>
        <w:pStyle w:val="Prrafodelista"/>
        <w:numPr>
          <w:ilvl w:val="0"/>
          <w:numId w:val="37"/>
        </w:numPr>
        <w:spacing w:line="360" w:lineRule="auto"/>
        <w:rPr>
          <w:rFonts w:cs="Tahoma"/>
          <w:bCs/>
          <w:iCs/>
          <w:color w:val="auto"/>
          <w:lang w:val="es-ES"/>
        </w:rPr>
      </w:pPr>
      <w:r>
        <w:rPr>
          <w:rFonts w:cs="Tahoma"/>
          <w:bCs/>
          <w:iCs/>
          <w:color w:val="auto"/>
          <w:lang w:val="es-ES"/>
        </w:rPr>
        <w:t>La información curricular de los servidores públicos faltantes, y</w:t>
      </w:r>
    </w:p>
    <w:p w14:paraId="4FEEA1C0" w14:textId="31CE07D4" w:rsidR="00140910" w:rsidRPr="00140910" w:rsidRDefault="00140910" w:rsidP="00140910">
      <w:pPr>
        <w:pStyle w:val="Prrafodelista"/>
        <w:numPr>
          <w:ilvl w:val="0"/>
          <w:numId w:val="37"/>
        </w:numPr>
        <w:spacing w:line="360" w:lineRule="auto"/>
        <w:rPr>
          <w:rFonts w:cs="Tahoma"/>
          <w:bCs/>
          <w:iCs/>
          <w:color w:val="auto"/>
          <w:lang w:val="es-ES"/>
        </w:rPr>
      </w:pPr>
      <w:r>
        <w:rPr>
          <w:rFonts w:cs="Tahoma"/>
          <w:bCs/>
          <w:iCs/>
          <w:color w:val="auto"/>
          <w:lang w:val="es-ES"/>
        </w:rPr>
        <w:t>El último nivel o grado de estudios.</w:t>
      </w:r>
    </w:p>
    <w:p w14:paraId="7CB9AF4D" w14:textId="77777777" w:rsidR="006C0F64" w:rsidRDefault="006C0F64" w:rsidP="00BE7735">
      <w:pPr>
        <w:spacing w:after="0" w:line="360" w:lineRule="auto"/>
        <w:contextualSpacing/>
        <w:rPr>
          <w:rFonts w:eastAsia="Times New Roman" w:cs="Tahoma"/>
          <w:bCs/>
          <w:iCs/>
          <w:color w:val="auto"/>
          <w:szCs w:val="24"/>
          <w:lang w:val="es-ES" w:eastAsia="es-ES"/>
        </w:rPr>
      </w:pPr>
    </w:p>
    <w:p w14:paraId="1A65C33C" w14:textId="77777777" w:rsidR="00991507" w:rsidRPr="00991507" w:rsidRDefault="00991507" w:rsidP="00BE7735">
      <w:pPr>
        <w:spacing w:after="0" w:line="360" w:lineRule="auto"/>
        <w:contextualSpacing/>
        <w:rPr>
          <w:rFonts w:eastAsia="Times New Roman" w:cs="Tahoma"/>
          <w:bCs/>
          <w:iCs/>
          <w:color w:val="auto"/>
          <w:szCs w:val="24"/>
          <w:lang w:val="es-ES" w:eastAsia="es-ES"/>
        </w:rPr>
      </w:pPr>
      <w:r w:rsidRPr="00991507">
        <w:rPr>
          <w:rFonts w:eastAsia="Times New Roman" w:cs="Tahoma"/>
          <w:bCs/>
          <w:iCs/>
          <w:color w:val="auto"/>
          <w:szCs w:val="24"/>
          <w:lang w:val="es-ES" w:eastAsia="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4CFF8D11" w14:textId="77777777" w:rsidR="00991507" w:rsidRDefault="00991507" w:rsidP="00BE7735">
      <w:pPr>
        <w:spacing w:after="0" w:line="360" w:lineRule="auto"/>
        <w:rPr>
          <w:rFonts w:eastAsia="Times New Roman" w:cs="Tahoma"/>
          <w:color w:val="auto"/>
          <w:lang w:val="es-ES" w:eastAsia="es-ES"/>
        </w:rPr>
      </w:pPr>
    </w:p>
    <w:p w14:paraId="08CB47FA" w14:textId="358C2DF9" w:rsidR="00140910" w:rsidRDefault="00140910" w:rsidP="00BE7735">
      <w:pPr>
        <w:spacing w:after="0" w:line="360" w:lineRule="auto"/>
        <w:rPr>
          <w:rFonts w:eastAsia="Times New Roman" w:cs="Tahoma"/>
          <w:color w:val="auto"/>
          <w:lang w:val="es-ES" w:eastAsia="es-ES"/>
        </w:rPr>
      </w:pPr>
      <w:r>
        <w:rPr>
          <w:rFonts w:eastAsia="Times New Roman" w:cs="Tahoma"/>
          <w:color w:val="auto"/>
          <w:lang w:val="es-ES" w:eastAsia="es-ES"/>
        </w:rPr>
        <w:t>Para el caso, de que alguno de los servidores públicos sea honorifico y no cuente con remuneraciones, o bien, no tenga obligación normativa de contar con un comprobante de estudios, deberá hacerlo del conocimiento de la parte Recurrente, de manera clara y precisa.</w:t>
      </w:r>
    </w:p>
    <w:p w14:paraId="6145C548" w14:textId="77777777" w:rsidR="00140910" w:rsidRPr="00991507" w:rsidRDefault="00140910" w:rsidP="00BE7735">
      <w:pPr>
        <w:spacing w:after="0" w:line="360" w:lineRule="auto"/>
        <w:rPr>
          <w:rFonts w:eastAsia="Times New Roman" w:cs="Tahoma"/>
          <w:color w:val="auto"/>
          <w:lang w:val="es-ES" w:eastAsia="es-ES"/>
        </w:rPr>
      </w:pPr>
    </w:p>
    <w:p w14:paraId="02D3AED4" w14:textId="5EE123C4" w:rsidR="00991507" w:rsidRPr="00991507" w:rsidRDefault="00991507" w:rsidP="00BE7735">
      <w:pPr>
        <w:spacing w:after="0" w:line="360" w:lineRule="auto"/>
        <w:contextualSpacing/>
        <w:rPr>
          <w:rFonts w:eastAsia="Times New Roman" w:cs="Tahoma"/>
          <w:color w:val="auto"/>
          <w:lang w:eastAsia="es-ES"/>
        </w:rPr>
      </w:pPr>
      <w:r w:rsidRPr="00991507">
        <w:rPr>
          <w:rFonts w:eastAsia="Calibri" w:cs="Tahoma"/>
          <w:b/>
          <w:bCs/>
          <w:color w:val="auto"/>
        </w:rPr>
        <w:t xml:space="preserve">TERCERO. </w:t>
      </w:r>
      <w:r w:rsidRPr="00991507">
        <w:rPr>
          <w:rFonts w:eastAsia="Times New Roman" w:cs="Tahoma"/>
          <w:b/>
          <w:color w:val="auto"/>
          <w:lang w:eastAsia="es-ES"/>
        </w:rPr>
        <w:t>NOTIFÍQUESE</w:t>
      </w:r>
      <w:r w:rsidR="006C0F64">
        <w:rPr>
          <w:rFonts w:eastAsia="Times New Roman" w:cs="Tahoma"/>
          <w:b/>
          <w:color w:val="auto"/>
          <w:lang w:eastAsia="es-ES"/>
        </w:rPr>
        <w:t xml:space="preserve"> VÍA SAIMEX</w:t>
      </w:r>
      <w:r w:rsidRPr="00991507">
        <w:rPr>
          <w:rFonts w:eastAsia="Times New Roman" w:cs="Tahoma"/>
          <w:b/>
          <w:color w:val="auto"/>
          <w:lang w:eastAsia="es-ES"/>
        </w:rPr>
        <w:t xml:space="preserve"> </w:t>
      </w:r>
      <w:r w:rsidRPr="00991507">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DE6B2D7" w14:textId="77777777" w:rsidR="00991507" w:rsidRPr="00991507" w:rsidRDefault="00991507" w:rsidP="00BE7735">
      <w:pPr>
        <w:spacing w:after="0" w:line="360" w:lineRule="auto"/>
        <w:contextualSpacing/>
        <w:rPr>
          <w:rFonts w:eastAsia="Times New Roman" w:cs="Tahoma"/>
          <w:color w:val="auto"/>
          <w:lang w:eastAsia="es-ES"/>
        </w:rPr>
      </w:pPr>
    </w:p>
    <w:p w14:paraId="6667A1F2" w14:textId="77777777" w:rsidR="00991507" w:rsidRPr="00991507" w:rsidRDefault="00991507" w:rsidP="00BE7735">
      <w:pPr>
        <w:spacing w:after="0" w:line="360" w:lineRule="auto"/>
        <w:contextualSpacing/>
        <w:rPr>
          <w:rFonts w:eastAsia="Times New Roman" w:cs="Tahoma"/>
          <w:iCs/>
          <w:color w:val="auto"/>
          <w:lang w:eastAsia="es-ES"/>
        </w:rPr>
      </w:pPr>
      <w:r w:rsidRPr="00991507">
        <w:rPr>
          <w:rFonts w:eastAsia="Times New Roman" w:cs="Tahoma"/>
          <w:iCs/>
          <w:color w:val="auto"/>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0BCA877" w14:textId="77777777" w:rsidR="00991507" w:rsidRPr="00991507" w:rsidRDefault="00991507" w:rsidP="00BE7735">
      <w:pPr>
        <w:spacing w:after="0" w:line="360" w:lineRule="auto"/>
        <w:contextualSpacing/>
        <w:rPr>
          <w:rFonts w:eastAsia="Calibri" w:cs="Tahoma"/>
          <w:color w:val="000000"/>
          <w:lang w:val="es-ES" w:eastAsia="es-MX"/>
        </w:rPr>
      </w:pPr>
    </w:p>
    <w:p w14:paraId="5097B81E" w14:textId="0FEAB2E8" w:rsidR="00991507" w:rsidRPr="00991507" w:rsidRDefault="00991507" w:rsidP="00BE7735">
      <w:pPr>
        <w:spacing w:after="0" w:line="360" w:lineRule="auto"/>
        <w:contextualSpacing/>
        <w:rPr>
          <w:rFonts w:eastAsia="Times New Roman" w:cs="Tahoma"/>
          <w:lang w:eastAsia="es-ES"/>
        </w:rPr>
      </w:pPr>
      <w:r w:rsidRPr="00991507">
        <w:rPr>
          <w:rFonts w:eastAsia="Calibri" w:cs="Tahoma"/>
          <w:b/>
          <w:lang w:eastAsia="es-MX"/>
        </w:rPr>
        <w:t>CUARTO</w:t>
      </w:r>
      <w:r w:rsidRPr="00991507">
        <w:rPr>
          <w:rFonts w:eastAsia="Calibri" w:cs="Tahoma"/>
          <w:b/>
          <w:bCs/>
        </w:rPr>
        <w:t xml:space="preserve">. </w:t>
      </w:r>
      <w:r w:rsidRPr="00991507">
        <w:rPr>
          <w:rFonts w:eastAsia="Times New Roman" w:cs="Tahoma"/>
          <w:b/>
          <w:lang w:eastAsia="es-ES"/>
        </w:rPr>
        <w:t>NOTIFÍQUESE</w:t>
      </w:r>
      <w:r w:rsidRPr="00991507">
        <w:rPr>
          <w:rFonts w:eastAsia="Times New Roman" w:cs="Tahoma"/>
          <w:lang w:eastAsia="es-ES"/>
        </w:rPr>
        <w:t xml:space="preserve"> </w:t>
      </w:r>
      <w:r w:rsidR="006C0F64" w:rsidRPr="006C0F64">
        <w:rPr>
          <w:rFonts w:eastAsia="Times New Roman" w:cs="Tahoma"/>
          <w:b/>
          <w:lang w:eastAsia="es-ES"/>
        </w:rPr>
        <w:t>VÍA SAIMEX</w:t>
      </w:r>
      <w:r w:rsidR="006C0F64">
        <w:rPr>
          <w:rFonts w:eastAsia="Times New Roman" w:cs="Tahoma"/>
          <w:lang w:eastAsia="es-ES"/>
        </w:rPr>
        <w:t xml:space="preserve"> </w:t>
      </w:r>
      <w:r w:rsidRPr="00991507">
        <w:rPr>
          <w:rFonts w:eastAsia="Times New Roman" w:cs="Tahoma"/>
          <w:lang w:eastAsia="es-ES"/>
        </w:rPr>
        <w:t xml:space="preserve">al Recurrente la presente Resolución a través del </w:t>
      </w:r>
      <w:r w:rsidRPr="00991507">
        <w:rPr>
          <w:rFonts w:eastAsia="Calibri" w:cs="Tahoma"/>
          <w:bCs/>
        </w:rPr>
        <w:t>Sistema de Acceso a la Información Mexiquense (SAIMEX)</w:t>
      </w:r>
      <w:r w:rsidRPr="00991507">
        <w:rPr>
          <w:rFonts w:eastAsia="Times New Roman" w:cs="Tahoma"/>
          <w:lang w:eastAsia="es-ES"/>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77F3D66" w14:textId="77777777" w:rsidR="00991507" w:rsidRPr="00991507" w:rsidRDefault="00991507" w:rsidP="00BE7735">
      <w:pPr>
        <w:spacing w:after="0" w:line="360" w:lineRule="auto"/>
        <w:ind w:right="-28"/>
        <w:rPr>
          <w:rFonts w:eastAsia="Times New Roman" w:cs="Tahoma"/>
          <w:color w:val="auto"/>
          <w:lang w:eastAsia="es-MX"/>
        </w:rPr>
      </w:pPr>
    </w:p>
    <w:p w14:paraId="78EA5DEE" w14:textId="4B414D55" w:rsidR="006C0F64" w:rsidRPr="006C0F64" w:rsidRDefault="006C0F64" w:rsidP="00BE7735">
      <w:pPr>
        <w:spacing w:after="0" w:line="360" w:lineRule="auto"/>
        <w:rPr>
          <w:rFonts w:eastAsia="Palatino Linotype" w:cs="Palatino Linotype"/>
          <w:lang w:eastAsia="es-MX"/>
        </w:rPr>
      </w:pPr>
      <w:r w:rsidRPr="006C0F64">
        <w:rPr>
          <w:rFonts w:eastAsia="Palatino Linotype" w:cs="Palatino Linotype"/>
          <w:lang w:eastAsia="es-MX"/>
        </w:rPr>
        <w:t xml:space="preserve">ASÍ LO RESUELVE, POR </w:t>
      </w:r>
      <w:r w:rsidRPr="006C0F64">
        <w:rPr>
          <w:rFonts w:eastAsia="Palatino Linotype" w:cs="Palatino Linotype"/>
          <w:b/>
          <w:lang w:eastAsia="es-MX"/>
        </w:rPr>
        <w:t>UNANIMIDAD</w:t>
      </w:r>
      <w:r w:rsidRPr="006C0F64">
        <w:rPr>
          <w:rFonts w:eastAsia="Palatino Linotype" w:cs="Palatino Linotype"/>
          <w:lang w:eastAsia="es-MX"/>
        </w:rPr>
        <w:t xml:space="preserve"> DE VOTOS EL PLENO DEL INSTITUTO DE TRANSPARENCIA, ACCESO A LA INFORMACIÓN PÚBLICA Y PROTECCIÓN DE DATOS PERSONALES DEL ESTADO DE MÉXICO Y MUNICIPIOS, CONFORMADO POR LOS COMISIONADOS JOSÉ MARTÍNEZ VILCHIS</w:t>
      </w:r>
      <w:r w:rsidR="006E0641">
        <w:rPr>
          <w:rFonts w:eastAsia="Palatino Linotype" w:cs="Palatino Linotype"/>
          <w:lang w:eastAsia="es-MX"/>
        </w:rPr>
        <w:t xml:space="preserve"> CON VOTO PARTICULAR</w:t>
      </w:r>
      <w:r w:rsidRPr="006C0F64">
        <w:rPr>
          <w:rFonts w:eastAsia="Palatino Linotype" w:cs="Palatino Linotype"/>
          <w:lang w:eastAsia="es-MX"/>
        </w:rPr>
        <w:t>, MARÍA DEL ROSARIO MEJÍA AYALA</w:t>
      </w:r>
      <w:r w:rsidR="006E0641">
        <w:rPr>
          <w:rFonts w:eastAsia="Palatino Linotype" w:cs="Palatino Linotype"/>
          <w:lang w:eastAsia="es-MX"/>
        </w:rPr>
        <w:t xml:space="preserve"> CON VOTO PARTICULAR</w:t>
      </w:r>
      <w:r w:rsidRPr="006C0F64">
        <w:rPr>
          <w:rFonts w:eastAsia="Palatino Linotype" w:cs="Palatino Linotype"/>
          <w:lang w:eastAsia="es-MX"/>
        </w:rPr>
        <w:t>, SHARON CRISTINA MORALES MARTÍNEZ</w:t>
      </w:r>
      <w:r w:rsidR="006E0641">
        <w:rPr>
          <w:rFonts w:eastAsia="Palatino Linotype" w:cs="Palatino Linotype"/>
          <w:lang w:eastAsia="es-MX"/>
        </w:rPr>
        <w:t xml:space="preserve"> CON VOTO PARTICULAR</w:t>
      </w:r>
      <w:r w:rsidRPr="006C0F64">
        <w:rPr>
          <w:rFonts w:eastAsia="Palatino Linotype" w:cs="Palatino Linotype"/>
          <w:lang w:eastAsia="es-MX"/>
        </w:rPr>
        <w:t xml:space="preserve">, LUIS GUSTAVO PARRA NORIEGA </w:t>
      </w:r>
      <w:r w:rsidR="006E0641">
        <w:rPr>
          <w:rFonts w:eastAsia="Palatino Linotype" w:cs="Palatino Linotype"/>
          <w:lang w:eastAsia="es-MX"/>
        </w:rPr>
        <w:t>CON VOTO PARTICULAR</w:t>
      </w:r>
      <w:r w:rsidR="004E6272">
        <w:rPr>
          <w:rFonts w:eastAsia="Palatino Linotype" w:cs="Palatino Linotype"/>
          <w:lang w:eastAsia="es-MX"/>
        </w:rPr>
        <w:t xml:space="preserve"> </w:t>
      </w:r>
      <w:r w:rsidRPr="006C0F64">
        <w:rPr>
          <w:rFonts w:eastAsia="Palatino Linotype" w:cs="Palatino Linotype"/>
          <w:lang w:eastAsia="es-MX"/>
        </w:rPr>
        <w:t>Y GUADALUPE RAMÍREZ PEÑA</w:t>
      </w:r>
      <w:r w:rsidR="006E0641">
        <w:rPr>
          <w:rFonts w:eastAsia="Palatino Linotype" w:cs="Palatino Linotype"/>
          <w:lang w:eastAsia="es-MX"/>
        </w:rPr>
        <w:t xml:space="preserve"> CON VOTO PARTICULAR</w:t>
      </w:r>
      <w:r w:rsidRPr="006C0F64">
        <w:rPr>
          <w:rFonts w:eastAsia="Palatino Linotype" w:cs="Palatino Linotype"/>
          <w:lang w:eastAsia="es-MX"/>
        </w:rPr>
        <w:t xml:space="preserve">, EN LA TRIGÉSIMA SESIÓN ORDINARIA, CELEBRADA EL VEINTISISTE DE AGOSTO  DE DOS </w:t>
      </w:r>
      <w:r w:rsidRPr="006C0F64">
        <w:rPr>
          <w:rFonts w:eastAsia="Palatino Linotype" w:cs="Palatino Linotype"/>
          <w:lang w:eastAsia="es-MX"/>
        </w:rPr>
        <w:lastRenderedPageBreak/>
        <w:t>MIL VEINTICINCO, ANTE EL SECRETARIO TÉCNICO DEL PLENO, ALEXIS TAPIA RAMÍREZ.</w:t>
      </w:r>
    </w:p>
    <w:p w14:paraId="6EE4C98E" w14:textId="52226F77" w:rsidR="00991507" w:rsidRPr="00991507" w:rsidRDefault="006C0F64" w:rsidP="00BE7735">
      <w:pPr>
        <w:spacing w:after="0" w:line="360" w:lineRule="auto"/>
        <w:jc w:val="left"/>
        <w:rPr>
          <w:rFonts w:eastAsia="Times New Roman" w:cs="Times New Roman"/>
          <w:color w:val="auto"/>
          <w:sz w:val="24"/>
          <w:szCs w:val="24"/>
          <w:lang w:eastAsia="es-MX"/>
        </w:rPr>
      </w:pPr>
      <w:r w:rsidRPr="006C0F64">
        <w:rPr>
          <w:rFonts w:eastAsia="Palatino Linotype" w:cs="Palatino Linotype"/>
          <w:lang w:eastAsia="es-MX"/>
        </w:rPr>
        <w:br w:type="page"/>
      </w:r>
    </w:p>
    <w:p w14:paraId="6077C42C" w14:textId="77777777" w:rsidR="00991507" w:rsidRPr="009468E7" w:rsidRDefault="00991507" w:rsidP="00BE7735">
      <w:pPr>
        <w:spacing w:after="0" w:line="360" w:lineRule="auto"/>
        <w:rPr>
          <w:rFonts w:eastAsia="Times New Roman" w:cs="Tahoma"/>
          <w:bCs/>
          <w:iCs/>
          <w:color w:val="auto"/>
          <w:lang w:eastAsia="es-ES"/>
        </w:rPr>
      </w:pPr>
    </w:p>
    <w:sectPr w:rsidR="00991507" w:rsidRPr="009468E7" w:rsidSect="002228A6">
      <w:headerReference w:type="even" r:id="rId13"/>
      <w:headerReference w:type="default" r:id="rId14"/>
      <w:footerReference w:type="even" r:id="rId15"/>
      <w:footerReference w:type="default" r:id="rId16"/>
      <w:headerReference w:type="first" r:id="rId17"/>
      <w:footerReference w:type="first" r:id="rId18"/>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5FA5F" w14:textId="77777777" w:rsidR="00533FE7" w:rsidRDefault="00533FE7" w:rsidP="00C853D1">
      <w:pPr>
        <w:spacing w:after="0" w:line="240" w:lineRule="auto"/>
      </w:pPr>
      <w:r>
        <w:separator/>
      </w:r>
    </w:p>
  </w:endnote>
  <w:endnote w:type="continuationSeparator" w:id="0">
    <w:p w14:paraId="4482E72E" w14:textId="77777777" w:rsidR="00533FE7" w:rsidRDefault="00533FE7"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CA2552" w:rsidRDefault="00CA25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F4318B3" w14:textId="77777777" w:rsidR="00CA2552" w:rsidRDefault="00CA25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CA2552" w:rsidRDefault="00CA25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E0641">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E0641">
              <w:rPr>
                <w:b/>
                <w:bCs/>
                <w:noProof/>
              </w:rPr>
              <w:t>42</w:t>
            </w:r>
            <w:r>
              <w:rPr>
                <w:b/>
                <w:bCs/>
                <w:sz w:val="24"/>
                <w:szCs w:val="24"/>
              </w:rPr>
              <w:fldChar w:fldCharType="end"/>
            </w:r>
          </w:p>
        </w:sdtContent>
      </w:sdt>
    </w:sdtContent>
  </w:sdt>
  <w:p w14:paraId="3F35B7C0" w14:textId="77777777" w:rsidR="00CA2552" w:rsidRDefault="00CA255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CA2552" w:rsidRDefault="00CA25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E064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E0641">
              <w:rPr>
                <w:b/>
                <w:bCs/>
                <w:noProof/>
              </w:rPr>
              <w:t>42</w:t>
            </w:r>
            <w:r>
              <w:rPr>
                <w:b/>
                <w:bCs/>
                <w:sz w:val="24"/>
                <w:szCs w:val="24"/>
              </w:rPr>
              <w:fldChar w:fldCharType="end"/>
            </w:r>
          </w:p>
        </w:sdtContent>
      </w:sdt>
    </w:sdtContent>
  </w:sdt>
  <w:p w14:paraId="1A7218CE" w14:textId="77777777" w:rsidR="00CA2552" w:rsidRDefault="00CA25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32325" w14:textId="77777777" w:rsidR="00533FE7" w:rsidRDefault="00533FE7" w:rsidP="00C853D1">
      <w:pPr>
        <w:spacing w:after="0" w:line="240" w:lineRule="auto"/>
      </w:pPr>
      <w:r>
        <w:separator/>
      </w:r>
    </w:p>
  </w:footnote>
  <w:footnote w:type="continuationSeparator" w:id="0">
    <w:p w14:paraId="2C6CA593" w14:textId="77777777" w:rsidR="00533FE7" w:rsidRDefault="00533FE7" w:rsidP="00C8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CA2552" w14:paraId="282B3A75" w14:textId="77777777" w:rsidTr="002C59A0">
      <w:trPr>
        <w:trHeight w:val="141"/>
      </w:trPr>
      <w:tc>
        <w:tcPr>
          <w:tcW w:w="2404" w:type="dxa"/>
        </w:tcPr>
        <w:p w14:paraId="57F547E7" w14:textId="77777777" w:rsidR="00CA2552" w:rsidRPr="001B5FB6" w:rsidRDefault="00CA2552"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CA2552" w:rsidRPr="00A8173F" w:rsidRDefault="00CA2552" w:rsidP="002C59A0">
          <w:pPr>
            <w:tabs>
              <w:tab w:val="right" w:pos="8838"/>
            </w:tabs>
            <w:ind w:left="-28" w:right="683"/>
            <w:rPr>
              <w:rFonts w:eastAsia="Calibri" w:cs="Tahoma"/>
            </w:rPr>
          </w:pPr>
          <w:r w:rsidRPr="00A8173F">
            <w:rPr>
              <w:rFonts w:eastAsia="Calibri" w:cs="Tahoma"/>
              <w:lang w:val="es-MX"/>
            </w:rPr>
            <w:t>04196/INFOEM/IP/RR/2020</w:t>
          </w:r>
        </w:p>
      </w:tc>
    </w:tr>
    <w:tr w:rsidR="00CA2552" w14:paraId="46AFE2B4" w14:textId="77777777" w:rsidTr="002C59A0">
      <w:trPr>
        <w:trHeight w:val="276"/>
      </w:trPr>
      <w:tc>
        <w:tcPr>
          <w:tcW w:w="2404" w:type="dxa"/>
        </w:tcPr>
        <w:p w14:paraId="1D6E5B2B" w14:textId="77777777" w:rsidR="00CA2552" w:rsidRPr="001B5FB6" w:rsidRDefault="00CA2552"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CA2552" w:rsidRPr="00A8173F" w:rsidRDefault="00CA2552" w:rsidP="002C59A0">
          <w:pPr>
            <w:tabs>
              <w:tab w:val="right" w:pos="8838"/>
            </w:tabs>
            <w:ind w:right="116"/>
            <w:rPr>
              <w:rFonts w:eastAsia="Calibri" w:cs="Tahoma"/>
              <w:lang w:val="es-MX"/>
            </w:rPr>
          </w:pPr>
          <w:r w:rsidRPr="00A8173F">
            <w:rPr>
              <w:rFonts w:eastAsia="Calibri" w:cs="Tahoma"/>
              <w:lang w:val="es-MX"/>
            </w:rPr>
            <w:t>Ayuntamiento de Chapultepec</w:t>
          </w:r>
        </w:p>
      </w:tc>
    </w:tr>
    <w:tr w:rsidR="00CA2552" w14:paraId="1FA679E9" w14:textId="77777777" w:rsidTr="002C59A0">
      <w:trPr>
        <w:trHeight w:val="276"/>
      </w:trPr>
      <w:tc>
        <w:tcPr>
          <w:tcW w:w="2404" w:type="dxa"/>
        </w:tcPr>
        <w:p w14:paraId="6498FD30" w14:textId="77777777" w:rsidR="00CA2552" w:rsidRPr="001B5FB6" w:rsidRDefault="00CA2552"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CA2552" w:rsidRPr="00A8173F" w:rsidRDefault="00CA2552"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CA2552" w:rsidRDefault="00533FE7">
    <w:pPr>
      <w:pStyle w:val="Encabezado"/>
    </w:pPr>
    <w:r>
      <w:rPr>
        <w:noProof/>
      </w:rPr>
      <w:pict w14:anchorId="585AA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330"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920"/>
    </w:tblGrid>
    <w:tr w:rsidR="00CA2552" w14:paraId="1E2FF18B" w14:textId="77777777" w:rsidTr="00A6340D">
      <w:trPr>
        <w:trHeight w:val="141"/>
      </w:trPr>
      <w:tc>
        <w:tcPr>
          <w:tcW w:w="2410" w:type="dxa"/>
        </w:tcPr>
        <w:p w14:paraId="13CD72D6" w14:textId="4BBB4672" w:rsidR="00CA2552" w:rsidRDefault="00CA2552" w:rsidP="00682222">
          <w:pPr>
            <w:tabs>
              <w:tab w:val="right" w:pos="8838"/>
            </w:tabs>
            <w:ind w:left="-395" w:right="-105" w:firstLine="395"/>
            <w:rPr>
              <w:rFonts w:eastAsia="Calibri" w:cs="Tahoma"/>
              <w:b/>
              <w:lang w:val="es-MX"/>
            </w:rPr>
          </w:pPr>
        </w:p>
        <w:p w14:paraId="6B6D03E8" w14:textId="3349083A" w:rsidR="00CA2552" w:rsidRPr="001B5FB6" w:rsidRDefault="00CA2552" w:rsidP="00682222">
          <w:pPr>
            <w:tabs>
              <w:tab w:val="right" w:pos="8838"/>
            </w:tabs>
            <w:ind w:left="-395" w:right="-105" w:firstLine="395"/>
            <w:rPr>
              <w:rFonts w:eastAsia="Calibri" w:cs="Tahoma"/>
              <w:b/>
              <w:lang w:val="es-MX"/>
            </w:rPr>
          </w:pPr>
          <w:r>
            <w:rPr>
              <w:rFonts w:eastAsia="Calibri" w:cs="Tahoma"/>
              <w:b/>
              <w:lang w:val="es-MX"/>
            </w:rPr>
            <w:t>R</w:t>
          </w:r>
          <w:r w:rsidRPr="001B5FB6">
            <w:rPr>
              <w:rFonts w:eastAsia="Calibri" w:cs="Tahoma"/>
              <w:b/>
              <w:lang w:val="es-MX"/>
            </w:rPr>
            <w:t>ecurso de Revisión:</w:t>
          </w:r>
        </w:p>
      </w:tc>
      <w:tc>
        <w:tcPr>
          <w:tcW w:w="4920" w:type="dxa"/>
        </w:tcPr>
        <w:p w14:paraId="427F5EC8" w14:textId="77777777" w:rsidR="00CA2552" w:rsidRDefault="00CA2552" w:rsidP="00682222">
          <w:pPr>
            <w:tabs>
              <w:tab w:val="right" w:pos="8838"/>
            </w:tabs>
            <w:ind w:left="-28" w:right="454"/>
            <w:rPr>
              <w:rFonts w:eastAsia="Calibri" w:cs="Tahoma"/>
              <w:lang w:val="es-MX"/>
            </w:rPr>
          </w:pPr>
        </w:p>
        <w:p w14:paraId="503BB8DE" w14:textId="3D728281" w:rsidR="00CA2552" w:rsidRPr="00C853D1" w:rsidRDefault="00CA2552" w:rsidP="00682222">
          <w:pPr>
            <w:tabs>
              <w:tab w:val="right" w:pos="8838"/>
            </w:tabs>
            <w:ind w:left="-28" w:right="454"/>
            <w:rPr>
              <w:rFonts w:eastAsia="Calibri" w:cs="Tahoma"/>
            </w:rPr>
          </w:pPr>
          <w:r>
            <w:rPr>
              <w:rFonts w:eastAsia="Calibri" w:cs="Tahoma"/>
              <w:lang w:val="es-MX"/>
            </w:rPr>
            <w:t>03241</w:t>
          </w:r>
          <w:r w:rsidRPr="00AA1662">
            <w:rPr>
              <w:rFonts w:eastAsia="Calibri" w:cs="Tahoma"/>
              <w:lang w:val="es-MX"/>
            </w:rPr>
            <w:t>/INFOEM/IP/RR/2025</w:t>
          </w:r>
        </w:p>
      </w:tc>
    </w:tr>
    <w:tr w:rsidR="00CA2552" w14:paraId="110906AA" w14:textId="77777777" w:rsidTr="00A6340D">
      <w:trPr>
        <w:trHeight w:val="276"/>
      </w:trPr>
      <w:tc>
        <w:tcPr>
          <w:tcW w:w="2410" w:type="dxa"/>
        </w:tcPr>
        <w:p w14:paraId="3052339E" w14:textId="77777777" w:rsidR="00CA2552" w:rsidRPr="001B5FB6" w:rsidRDefault="00CA2552" w:rsidP="002C59A0">
          <w:pPr>
            <w:tabs>
              <w:tab w:val="right" w:pos="8838"/>
            </w:tabs>
            <w:ind w:right="-105"/>
            <w:rPr>
              <w:rFonts w:eastAsia="Calibri" w:cs="Tahoma"/>
              <w:b/>
              <w:lang w:val="es-MX"/>
            </w:rPr>
          </w:pPr>
          <w:r w:rsidRPr="001B5FB6">
            <w:rPr>
              <w:rFonts w:eastAsia="Calibri" w:cs="Tahoma"/>
              <w:b/>
              <w:lang w:val="es-MX"/>
            </w:rPr>
            <w:t>Sujeto Obligado:</w:t>
          </w:r>
        </w:p>
      </w:tc>
      <w:tc>
        <w:tcPr>
          <w:tcW w:w="4920" w:type="dxa"/>
        </w:tcPr>
        <w:p w14:paraId="5C93113C" w14:textId="4DD1D26B" w:rsidR="00CA2552" w:rsidRPr="00A8173F" w:rsidRDefault="00CA2552" w:rsidP="00AA1662">
          <w:pPr>
            <w:tabs>
              <w:tab w:val="left" w:pos="3158"/>
              <w:tab w:val="left" w:pos="4292"/>
              <w:tab w:val="right" w:pos="8838"/>
            </w:tabs>
            <w:ind w:right="601"/>
            <w:rPr>
              <w:rFonts w:eastAsia="Calibri" w:cs="Tahoma"/>
              <w:lang w:val="es-MX"/>
            </w:rPr>
          </w:pPr>
          <w:r w:rsidRPr="00FF6ED6">
            <w:rPr>
              <w:rFonts w:eastAsia="Calibri" w:cs="Tahoma"/>
              <w:lang w:val="es-MX"/>
            </w:rPr>
            <w:t>Sistema Municipal para el Desarrollo Integral de la Familia de Calimaya</w:t>
          </w:r>
        </w:p>
      </w:tc>
    </w:tr>
    <w:tr w:rsidR="00CA2552" w14:paraId="065F2043" w14:textId="77777777" w:rsidTr="00A6340D">
      <w:trPr>
        <w:trHeight w:val="276"/>
      </w:trPr>
      <w:tc>
        <w:tcPr>
          <w:tcW w:w="2410" w:type="dxa"/>
        </w:tcPr>
        <w:p w14:paraId="22514F66" w14:textId="77777777" w:rsidR="00CA2552" w:rsidRPr="001B5FB6" w:rsidRDefault="00CA2552" w:rsidP="002C59A0">
          <w:pPr>
            <w:tabs>
              <w:tab w:val="right" w:pos="8838"/>
            </w:tabs>
            <w:ind w:right="-105"/>
            <w:rPr>
              <w:rFonts w:eastAsia="Calibri" w:cs="Tahoma"/>
              <w:b/>
              <w:lang w:val="es-MX"/>
            </w:rPr>
          </w:pPr>
          <w:r w:rsidRPr="001B5FB6">
            <w:rPr>
              <w:rFonts w:eastAsia="Calibri" w:cs="Tahoma"/>
              <w:b/>
              <w:lang w:val="es-MX"/>
            </w:rPr>
            <w:t>Comisionado Ponente:</w:t>
          </w:r>
        </w:p>
      </w:tc>
      <w:tc>
        <w:tcPr>
          <w:tcW w:w="4920" w:type="dxa"/>
        </w:tcPr>
        <w:p w14:paraId="245FB2E7" w14:textId="77777777" w:rsidR="00CA2552" w:rsidRPr="00A8173F" w:rsidRDefault="00CA2552"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CA2552" w:rsidRDefault="00533FE7">
    <w:pPr>
      <w:pStyle w:val="Encabezado"/>
    </w:pPr>
    <w:r>
      <w:rPr>
        <w:noProof/>
      </w:rPr>
      <w:pict w14:anchorId="0748D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CA2552" w:rsidRPr="005C106F" w14:paraId="5D26797B" w14:textId="77777777" w:rsidTr="002C59A0">
      <w:trPr>
        <w:trHeight w:val="1546"/>
      </w:trPr>
      <w:tc>
        <w:tcPr>
          <w:tcW w:w="2127" w:type="dxa"/>
        </w:tcPr>
        <w:p w14:paraId="76E7DE43" w14:textId="5E82449E" w:rsidR="00CA2552" w:rsidRPr="005C106F" w:rsidRDefault="00CA2552" w:rsidP="002C59A0">
          <w:pPr>
            <w:tabs>
              <w:tab w:val="right" w:pos="4273"/>
            </w:tabs>
            <w:rPr>
              <w:rFonts w:ascii="Garamond" w:eastAsia="Calibri" w:hAnsi="Garamond"/>
              <w:sz w:val="16"/>
              <w:szCs w:val="16"/>
            </w:rPr>
          </w:pPr>
        </w:p>
      </w:tc>
      <w:tc>
        <w:tcPr>
          <w:tcW w:w="6945" w:type="dxa"/>
        </w:tcPr>
        <w:tbl>
          <w:tblPr>
            <w:tblStyle w:val="Tablaconcuadrcula"/>
            <w:tblW w:w="7230" w:type="dxa"/>
            <w:tblInd w:w="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60"/>
            <w:gridCol w:w="4770"/>
          </w:tblGrid>
          <w:tr w:rsidR="00CA2552" w14:paraId="5CB74832" w14:textId="77777777" w:rsidTr="00B67E46">
            <w:trPr>
              <w:trHeight w:val="161"/>
            </w:trPr>
            <w:tc>
              <w:tcPr>
                <w:tcW w:w="2460" w:type="dxa"/>
                <w:vAlign w:val="bottom"/>
              </w:tcPr>
              <w:p w14:paraId="38469831" w14:textId="77777777" w:rsidR="00CA2552" w:rsidRPr="001B5FB6" w:rsidRDefault="00CA2552" w:rsidP="002C59A0">
                <w:pPr>
                  <w:tabs>
                    <w:tab w:val="right" w:pos="8838"/>
                  </w:tabs>
                  <w:ind w:right="-105"/>
                  <w:rPr>
                    <w:rFonts w:eastAsia="Calibri" w:cs="Tahoma"/>
                    <w:b/>
                    <w:lang w:val="es-MX"/>
                  </w:rPr>
                </w:pPr>
                <w:r w:rsidRPr="001B5FB6">
                  <w:rPr>
                    <w:rFonts w:eastAsia="Calibri" w:cs="Tahoma"/>
                    <w:b/>
                    <w:lang w:val="es-MX"/>
                  </w:rPr>
                  <w:t>Recurso de Revisión:</w:t>
                </w:r>
              </w:p>
            </w:tc>
            <w:tc>
              <w:tcPr>
                <w:tcW w:w="4770" w:type="dxa"/>
              </w:tcPr>
              <w:p w14:paraId="25021A4A" w14:textId="1DBAFB8D" w:rsidR="00CA2552" w:rsidRPr="00CB04B0" w:rsidRDefault="00CA2552" w:rsidP="002C59A0">
                <w:pPr>
                  <w:tabs>
                    <w:tab w:val="right" w:pos="8838"/>
                  </w:tabs>
                  <w:ind w:left="-28" w:right="-107"/>
                  <w:rPr>
                    <w:rFonts w:eastAsia="Calibri" w:cs="Tahoma"/>
                  </w:rPr>
                </w:pPr>
                <w:r w:rsidRPr="00CB04B0">
                  <w:rPr>
                    <w:rFonts w:eastAsia="Calibri" w:cs="Tahoma"/>
                    <w:lang w:val="es-MX"/>
                  </w:rPr>
                  <w:t>0</w:t>
                </w:r>
                <w:r>
                  <w:rPr>
                    <w:rFonts w:eastAsia="Calibri" w:cs="Tahoma"/>
                    <w:lang w:val="es-MX"/>
                  </w:rPr>
                  <w:t>3241</w:t>
                </w:r>
                <w:r w:rsidRPr="00CB04B0">
                  <w:rPr>
                    <w:rFonts w:eastAsia="Calibri" w:cs="Tahoma"/>
                    <w:lang w:val="es-MX"/>
                  </w:rPr>
                  <w:t>/INFOEM/IP/RR/202</w:t>
                </w:r>
                <w:r>
                  <w:rPr>
                    <w:rFonts w:eastAsia="Calibri" w:cs="Tahoma"/>
                    <w:lang w:val="es-MX"/>
                  </w:rPr>
                  <w:t>5</w:t>
                </w:r>
              </w:p>
            </w:tc>
          </w:tr>
          <w:tr w:rsidR="00CA2552" w14:paraId="65D6C982" w14:textId="77777777" w:rsidTr="00B67E46">
            <w:trPr>
              <w:trHeight w:val="161"/>
            </w:trPr>
            <w:tc>
              <w:tcPr>
                <w:tcW w:w="2460" w:type="dxa"/>
              </w:tcPr>
              <w:p w14:paraId="7E5992A8" w14:textId="77777777" w:rsidR="00CA2552" w:rsidRPr="001B5FB6" w:rsidRDefault="00CA2552" w:rsidP="002C59A0">
                <w:pPr>
                  <w:tabs>
                    <w:tab w:val="right" w:pos="8838"/>
                  </w:tabs>
                  <w:ind w:right="-105"/>
                  <w:rPr>
                    <w:rFonts w:eastAsia="Calibri" w:cs="Tahoma"/>
                    <w:b/>
                    <w:lang w:val="es-MX"/>
                  </w:rPr>
                </w:pPr>
                <w:r w:rsidRPr="001B5FB6">
                  <w:rPr>
                    <w:rFonts w:eastAsia="Calibri" w:cs="Tahoma"/>
                    <w:b/>
                    <w:lang w:val="es-MX"/>
                  </w:rPr>
                  <w:t>Recurrente:</w:t>
                </w:r>
              </w:p>
            </w:tc>
            <w:tc>
              <w:tcPr>
                <w:tcW w:w="4770" w:type="dxa"/>
              </w:tcPr>
              <w:p w14:paraId="4D5C37D5" w14:textId="18DB6952" w:rsidR="00CA2552" w:rsidRPr="003405AF" w:rsidRDefault="000B3718" w:rsidP="00AA1662">
                <w:pPr>
                  <w:tabs>
                    <w:tab w:val="left" w:pos="2869"/>
                    <w:tab w:val="right" w:pos="8838"/>
                  </w:tabs>
                  <w:ind w:right="169"/>
                  <w:rPr>
                    <w:rFonts w:eastAsia="Calibri" w:cs="Tahoma"/>
                    <w:lang w:val="es-MX"/>
                  </w:rPr>
                </w:pPr>
                <w:r w:rsidRPr="000B3718">
                  <w:rPr>
                    <w:rFonts w:eastAsia="Calibri" w:cs="Tahoma"/>
                    <w:highlight w:val="black"/>
                    <w:lang w:val="es-MX"/>
                  </w:rPr>
                  <w:t xml:space="preserve">XXXXXXX X </w:t>
                </w:r>
                <w:proofErr w:type="spellStart"/>
                <w:r w:rsidRPr="000B3718">
                  <w:rPr>
                    <w:rFonts w:eastAsia="Calibri" w:cs="Tahoma"/>
                    <w:highlight w:val="black"/>
                    <w:lang w:val="es-MX"/>
                  </w:rPr>
                  <w:t>X</w:t>
                </w:r>
                <w:proofErr w:type="spellEnd"/>
              </w:p>
            </w:tc>
          </w:tr>
          <w:tr w:rsidR="00CA2552" w14:paraId="40A995EA" w14:textId="77777777" w:rsidTr="00B67E46">
            <w:trPr>
              <w:trHeight w:val="315"/>
            </w:trPr>
            <w:tc>
              <w:tcPr>
                <w:tcW w:w="2460" w:type="dxa"/>
              </w:tcPr>
              <w:p w14:paraId="7BFD65FA" w14:textId="77777777" w:rsidR="00CA2552" w:rsidRPr="001B5FB6" w:rsidRDefault="00CA2552" w:rsidP="002C59A0">
                <w:pPr>
                  <w:tabs>
                    <w:tab w:val="right" w:pos="8838"/>
                  </w:tabs>
                  <w:ind w:right="-105"/>
                  <w:rPr>
                    <w:rFonts w:eastAsia="Calibri" w:cs="Tahoma"/>
                    <w:b/>
                    <w:lang w:val="es-MX"/>
                  </w:rPr>
                </w:pPr>
                <w:r w:rsidRPr="001B5FB6">
                  <w:rPr>
                    <w:rFonts w:eastAsia="Calibri" w:cs="Tahoma"/>
                    <w:b/>
                    <w:lang w:val="es-MX"/>
                  </w:rPr>
                  <w:t>Sujeto Obligado:</w:t>
                </w:r>
              </w:p>
            </w:tc>
            <w:tc>
              <w:tcPr>
                <w:tcW w:w="4770" w:type="dxa"/>
              </w:tcPr>
              <w:p w14:paraId="433E1B49" w14:textId="6C577176" w:rsidR="00CA2552" w:rsidRPr="00245DE1" w:rsidRDefault="00CA2552" w:rsidP="00AA1662">
                <w:pPr>
                  <w:tabs>
                    <w:tab w:val="right" w:pos="8838"/>
                  </w:tabs>
                  <w:ind w:right="327"/>
                  <w:rPr>
                    <w:rFonts w:eastAsia="Calibri" w:cs="Tahoma"/>
                    <w:lang w:val="es-MX"/>
                  </w:rPr>
                </w:pPr>
                <w:r w:rsidRPr="00FF6ED6">
                  <w:rPr>
                    <w:rFonts w:eastAsia="Calibri" w:cs="Tahoma"/>
                    <w:lang w:val="es-MX"/>
                  </w:rPr>
                  <w:t>Sistema Municipal para el Desarrollo Integral de la Familia de Calimaya</w:t>
                </w:r>
              </w:p>
            </w:tc>
          </w:tr>
          <w:tr w:rsidR="00CA2552" w14:paraId="386AB112" w14:textId="77777777" w:rsidTr="00B67E46">
            <w:trPr>
              <w:trHeight w:val="315"/>
            </w:trPr>
            <w:tc>
              <w:tcPr>
                <w:tcW w:w="2460" w:type="dxa"/>
              </w:tcPr>
              <w:p w14:paraId="44E8F60B" w14:textId="77777777" w:rsidR="00CA2552" w:rsidRPr="001B5FB6" w:rsidRDefault="00CA2552" w:rsidP="002C59A0">
                <w:pPr>
                  <w:tabs>
                    <w:tab w:val="right" w:pos="8838"/>
                  </w:tabs>
                  <w:ind w:right="-105"/>
                  <w:rPr>
                    <w:rFonts w:eastAsia="Calibri" w:cs="Tahoma"/>
                    <w:b/>
                    <w:lang w:val="es-MX"/>
                  </w:rPr>
                </w:pPr>
                <w:r w:rsidRPr="001B5FB6">
                  <w:rPr>
                    <w:rFonts w:eastAsia="Calibri" w:cs="Tahoma"/>
                    <w:b/>
                    <w:lang w:val="es-MX"/>
                  </w:rPr>
                  <w:t>Comisionado Ponente:</w:t>
                </w:r>
              </w:p>
            </w:tc>
            <w:tc>
              <w:tcPr>
                <w:tcW w:w="4770" w:type="dxa"/>
              </w:tcPr>
              <w:p w14:paraId="3833DB23" w14:textId="77777777" w:rsidR="00CA2552" w:rsidRPr="00A8173F" w:rsidRDefault="00CA2552"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554FCEEF" w:rsidR="00CA2552" w:rsidRPr="005C106F" w:rsidRDefault="00CA2552" w:rsidP="002C59A0">
          <w:pPr>
            <w:tabs>
              <w:tab w:val="right" w:pos="8838"/>
            </w:tabs>
            <w:ind w:left="-28"/>
            <w:rPr>
              <w:rFonts w:ascii="Arial" w:eastAsia="Calibri" w:hAnsi="Arial" w:cs="Arial"/>
              <w:b/>
            </w:rPr>
          </w:pPr>
        </w:p>
      </w:tc>
    </w:tr>
  </w:tbl>
  <w:p w14:paraId="280F3B20" w14:textId="3802CD14" w:rsidR="00CA2552" w:rsidRPr="00AD2C04" w:rsidRDefault="00533FE7">
    <w:pPr>
      <w:pStyle w:val="Encabezado"/>
      <w:rPr>
        <w:sz w:val="2"/>
        <w:szCs w:val="2"/>
      </w:rPr>
    </w:pPr>
    <w:r>
      <w:rPr>
        <w:noProof/>
      </w:rPr>
      <w:pict w14:anchorId="30949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49" type="#_x0000_t75" alt="MARCA DE AGUA - HOJA RESOLUCIÓN" style="position:absolute;left:0;text-align:left;margin-left:-87.9pt;margin-top:-117.2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9A"/>
    <w:multiLevelType w:val="hybridMultilevel"/>
    <w:tmpl w:val="DF5C904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3D4683"/>
    <w:multiLevelType w:val="hybridMultilevel"/>
    <w:tmpl w:val="4D7052D4"/>
    <w:lvl w:ilvl="0" w:tplc="FC642F46">
      <w:start w:val="1"/>
      <w:numFmt w:val="lowerRoman"/>
      <w:lvlText w:val="%1."/>
      <w:lvlJc w:val="right"/>
      <w:pPr>
        <w:ind w:left="1287" w:hanging="360"/>
      </w:pPr>
      <w:rPr>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FAE2E6C"/>
    <w:multiLevelType w:val="hybridMultilevel"/>
    <w:tmpl w:val="433829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61C5F6D"/>
    <w:multiLevelType w:val="hybridMultilevel"/>
    <w:tmpl w:val="2B9A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1CCB50C7"/>
    <w:multiLevelType w:val="hybridMultilevel"/>
    <w:tmpl w:val="1CF08DAC"/>
    <w:lvl w:ilvl="0" w:tplc="29F2770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F85DE1"/>
    <w:multiLevelType w:val="hybridMultilevel"/>
    <w:tmpl w:val="C0C24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840BA7"/>
    <w:multiLevelType w:val="hybridMultilevel"/>
    <w:tmpl w:val="814E1C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B32DE9"/>
    <w:multiLevelType w:val="hybridMultilevel"/>
    <w:tmpl w:val="EB60426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DA72E8"/>
    <w:multiLevelType w:val="hybridMultilevel"/>
    <w:tmpl w:val="CE1697C4"/>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3"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98631F7"/>
    <w:multiLevelType w:val="hybridMultilevel"/>
    <w:tmpl w:val="0900AD1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2F6877EE"/>
    <w:multiLevelType w:val="hybridMultilevel"/>
    <w:tmpl w:val="7D22F8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A4D4F18"/>
    <w:multiLevelType w:val="hybridMultilevel"/>
    <w:tmpl w:val="06D4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0A2759"/>
    <w:multiLevelType w:val="multilevel"/>
    <w:tmpl w:val="7B0A9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2C5454B"/>
    <w:multiLevelType w:val="hybridMultilevel"/>
    <w:tmpl w:val="0B3EC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CF329C"/>
    <w:multiLevelType w:val="hybridMultilevel"/>
    <w:tmpl w:val="98BCC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03213A"/>
    <w:multiLevelType w:val="hybridMultilevel"/>
    <w:tmpl w:val="C60096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327549"/>
    <w:multiLevelType w:val="hybridMultilevel"/>
    <w:tmpl w:val="8124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E336B3"/>
    <w:multiLevelType w:val="hybridMultilevel"/>
    <w:tmpl w:val="511C1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7442350"/>
    <w:multiLevelType w:val="hybridMultilevel"/>
    <w:tmpl w:val="B804F8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985551"/>
    <w:multiLevelType w:val="hybridMultilevel"/>
    <w:tmpl w:val="B804F8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71713E09"/>
    <w:multiLevelType w:val="hybridMultilevel"/>
    <w:tmpl w:val="23AA751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EAF4EC7"/>
    <w:multiLevelType w:val="hybridMultilevel"/>
    <w:tmpl w:val="DDCEB09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3"/>
  </w:num>
  <w:num w:numId="9">
    <w:abstractNumId w:val="20"/>
  </w:num>
  <w:num w:numId="10">
    <w:abstractNumId w:val="0"/>
  </w:num>
  <w:num w:numId="11">
    <w:abstractNumId w:val="15"/>
  </w:num>
  <w:num w:numId="12">
    <w:abstractNumId w:val="8"/>
  </w:num>
  <w:num w:numId="13">
    <w:abstractNumId w:val="27"/>
  </w:num>
  <w:num w:numId="14">
    <w:abstractNumId w:val="36"/>
  </w:num>
  <w:num w:numId="15">
    <w:abstractNumId w:val="29"/>
  </w:num>
  <w:num w:numId="16">
    <w:abstractNumId w:val="11"/>
  </w:num>
  <w:num w:numId="17">
    <w:abstractNumId w:val="33"/>
  </w:num>
  <w:num w:numId="18">
    <w:abstractNumId w:val="2"/>
  </w:num>
  <w:num w:numId="19">
    <w:abstractNumId w:val="26"/>
  </w:num>
  <w:num w:numId="20">
    <w:abstractNumId w:val="16"/>
  </w:num>
  <w:num w:numId="21">
    <w:abstractNumId w:val="13"/>
  </w:num>
  <w:num w:numId="22">
    <w:abstractNumId w:val="22"/>
  </w:num>
  <w:num w:numId="23">
    <w:abstractNumId w:val="21"/>
  </w:num>
  <w:num w:numId="24">
    <w:abstractNumId w:val="17"/>
  </w:num>
  <w:num w:numId="25">
    <w:abstractNumId w:val="35"/>
  </w:num>
  <w:num w:numId="26">
    <w:abstractNumId w:val="6"/>
  </w:num>
  <w:num w:numId="27">
    <w:abstractNumId w:val="31"/>
  </w:num>
  <w:num w:numId="28">
    <w:abstractNumId w:val="24"/>
  </w:num>
  <w:num w:numId="29">
    <w:abstractNumId w:val="23"/>
  </w:num>
  <w:num w:numId="30">
    <w:abstractNumId w:val="5"/>
  </w:num>
  <w:num w:numId="31">
    <w:abstractNumId w:val="30"/>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
  </w:num>
  <w:num w:numId="35">
    <w:abstractNumId w:val="19"/>
  </w:num>
  <w:num w:numId="36">
    <w:abstractNumId w:val="28"/>
  </w:num>
  <w:num w:numId="3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01B2"/>
    <w:rsid w:val="00001359"/>
    <w:rsid w:val="00001F87"/>
    <w:rsid w:val="00002E53"/>
    <w:rsid w:val="000039BC"/>
    <w:rsid w:val="000051F1"/>
    <w:rsid w:val="000058AA"/>
    <w:rsid w:val="00005A5B"/>
    <w:rsid w:val="00007008"/>
    <w:rsid w:val="00007A72"/>
    <w:rsid w:val="00007EB8"/>
    <w:rsid w:val="00010BFB"/>
    <w:rsid w:val="00012B27"/>
    <w:rsid w:val="0001499A"/>
    <w:rsid w:val="00015585"/>
    <w:rsid w:val="00015EBC"/>
    <w:rsid w:val="00017D8C"/>
    <w:rsid w:val="00020AE4"/>
    <w:rsid w:val="00020EBA"/>
    <w:rsid w:val="00021119"/>
    <w:rsid w:val="00021314"/>
    <w:rsid w:val="000223B0"/>
    <w:rsid w:val="0002307D"/>
    <w:rsid w:val="00025D1D"/>
    <w:rsid w:val="00027FA3"/>
    <w:rsid w:val="00030561"/>
    <w:rsid w:val="00031C3D"/>
    <w:rsid w:val="00034036"/>
    <w:rsid w:val="00034DB8"/>
    <w:rsid w:val="00035496"/>
    <w:rsid w:val="00035852"/>
    <w:rsid w:val="0003622B"/>
    <w:rsid w:val="000377E6"/>
    <w:rsid w:val="00037BF0"/>
    <w:rsid w:val="00043872"/>
    <w:rsid w:val="000477C6"/>
    <w:rsid w:val="0005010C"/>
    <w:rsid w:val="0005287E"/>
    <w:rsid w:val="00052A57"/>
    <w:rsid w:val="000532A4"/>
    <w:rsid w:val="00055A53"/>
    <w:rsid w:val="00055CC6"/>
    <w:rsid w:val="00056F8C"/>
    <w:rsid w:val="00056FE5"/>
    <w:rsid w:val="00060456"/>
    <w:rsid w:val="00062AAC"/>
    <w:rsid w:val="00062C8B"/>
    <w:rsid w:val="0006568C"/>
    <w:rsid w:val="0006611C"/>
    <w:rsid w:val="000667C9"/>
    <w:rsid w:val="00070106"/>
    <w:rsid w:val="000705A9"/>
    <w:rsid w:val="00071A6B"/>
    <w:rsid w:val="00073DFC"/>
    <w:rsid w:val="00081145"/>
    <w:rsid w:val="0008118F"/>
    <w:rsid w:val="00083EB1"/>
    <w:rsid w:val="00087263"/>
    <w:rsid w:val="0009039A"/>
    <w:rsid w:val="0009195C"/>
    <w:rsid w:val="000939CD"/>
    <w:rsid w:val="00096694"/>
    <w:rsid w:val="000A21C7"/>
    <w:rsid w:val="000A2588"/>
    <w:rsid w:val="000A259F"/>
    <w:rsid w:val="000A3674"/>
    <w:rsid w:val="000A3A02"/>
    <w:rsid w:val="000A3CFD"/>
    <w:rsid w:val="000A5C42"/>
    <w:rsid w:val="000A61A2"/>
    <w:rsid w:val="000A64BA"/>
    <w:rsid w:val="000A785D"/>
    <w:rsid w:val="000A7AB0"/>
    <w:rsid w:val="000B0EAF"/>
    <w:rsid w:val="000B3718"/>
    <w:rsid w:val="000B7029"/>
    <w:rsid w:val="000C1285"/>
    <w:rsid w:val="000C3C46"/>
    <w:rsid w:val="000C5B37"/>
    <w:rsid w:val="000C715C"/>
    <w:rsid w:val="000D1A72"/>
    <w:rsid w:val="000D2522"/>
    <w:rsid w:val="000D45D9"/>
    <w:rsid w:val="000D59F5"/>
    <w:rsid w:val="000D69EB"/>
    <w:rsid w:val="000D6E68"/>
    <w:rsid w:val="000D73F7"/>
    <w:rsid w:val="000D7D95"/>
    <w:rsid w:val="000E28E6"/>
    <w:rsid w:val="000E4E10"/>
    <w:rsid w:val="000E4FFB"/>
    <w:rsid w:val="000E5CCF"/>
    <w:rsid w:val="000F2A9A"/>
    <w:rsid w:val="000F3002"/>
    <w:rsid w:val="000F311A"/>
    <w:rsid w:val="000F3403"/>
    <w:rsid w:val="000F45A1"/>
    <w:rsid w:val="000F5A93"/>
    <w:rsid w:val="000F68CA"/>
    <w:rsid w:val="001004CE"/>
    <w:rsid w:val="00100EB3"/>
    <w:rsid w:val="0010232F"/>
    <w:rsid w:val="00102F45"/>
    <w:rsid w:val="0010413E"/>
    <w:rsid w:val="001059E3"/>
    <w:rsid w:val="00105EF9"/>
    <w:rsid w:val="00106390"/>
    <w:rsid w:val="001105F1"/>
    <w:rsid w:val="0011426D"/>
    <w:rsid w:val="00115309"/>
    <w:rsid w:val="00116B7F"/>
    <w:rsid w:val="00117828"/>
    <w:rsid w:val="001202DE"/>
    <w:rsid w:val="00123E35"/>
    <w:rsid w:val="00130743"/>
    <w:rsid w:val="0013083D"/>
    <w:rsid w:val="00133D43"/>
    <w:rsid w:val="00134C39"/>
    <w:rsid w:val="0013575B"/>
    <w:rsid w:val="00140910"/>
    <w:rsid w:val="00142455"/>
    <w:rsid w:val="001437AB"/>
    <w:rsid w:val="00144F37"/>
    <w:rsid w:val="00146731"/>
    <w:rsid w:val="00146DBF"/>
    <w:rsid w:val="00150251"/>
    <w:rsid w:val="00150828"/>
    <w:rsid w:val="00150C25"/>
    <w:rsid w:val="0015101F"/>
    <w:rsid w:val="00152878"/>
    <w:rsid w:val="001554D0"/>
    <w:rsid w:val="001601CC"/>
    <w:rsid w:val="001605D3"/>
    <w:rsid w:val="00161E74"/>
    <w:rsid w:val="00164599"/>
    <w:rsid w:val="001666AB"/>
    <w:rsid w:val="001675D9"/>
    <w:rsid w:val="0017201C"/>
    <w:rsid w:val="0017347E"/>
    <w:rsid w:val="0017427D"/>
    <w:rsid w:val="00174F57"/>
    <w:rsid w:val="00175572"/>
    <w:rsid w:val="0017663D"/>
    <w:rsid w:val="00177F5C"/>
    <w:rsid w:val="00180003"/>
    <w:rsid w:val="00185619"/>
    <w:rsid w:val="00186135"/>
    <w:rsid w:val="00186DDE"/>
    <w:rsid w:val="001900B4"/>
    <w:rsid w:val="00190EBA"/>
    <w:rsid w:val="00190FE7"/>
    <w:rsid w:val="00192210"/>
    <w:rsid w:val="001935D3"/>
    <w:rsid w:val="00193D30"/>
    <w:rsid w:val="00194DD1"/>
    <w:rsid w:val="0019678D"/>
    <w:rsid w:val="001971C9"/>
    <w:rsid w:val="00197B15"/>
    <w:rsid w:val="001A2DE8"/>
    <w:rsid w:val="001A42BF"/>
    <w:rsid w:val="001A5672"/>
    <w:rsid w:val="001A619F"/>
    <w:rsid w:val="001A641F"/>
    <w:rsid w:val="001B24DC"/>
    <w:rsid w:val="001B3B40"/>
    <w:rsid w:val="001B77BD"/>
    <w:rsid w:val="001C0051"/>
    <w:rsid w:val="001C1007"/>
    <w:rsid w:val="001C31B1"/>
    <w:rsid w:val="001C35D9"/>
    <w:rsid w:val="001C3C7E"/>
    <w:rsid w:val="001C3D02"/>
    <w:rsid w:val="001C5106"/>
    <w:rsid w:val="001C6764"/>
    <w:rsid w:val="001D02DD"/>
    <w:rsid w:val="001D24AC"/>
    <w:rsid w:val="001D3222"/>
    <w:rsid w:val="001D37BB"/>
    <w:rsid w:val="001D4B5A"/>
    <w:rsid w:val="001D50E9"/>
    <w:rsid w:val="001E104E"/>
    <w:rsid w:val="001E1C91"/>
    <w:rsid w:val="001E386E"/>
    <w:rsid w:val="001E5E8C"/>
    <w:rsid w:val="001E6D1F"/>
    <w:rsid w:val="001F034C"/>
    <w:rsid w:val="001F13E7"/>
    <w:rsid w:val="001F4A28"/>
    <w:rsid w:val="001F6455"/>
    <w:rsid w:val="001F7986"/>
    <w:rsid w:val="001F7C51"/>
    <w:rsid w:val="001F7D88"/>
    <w:rsid w:val="002032F2"/>
    <w:rsid w:val="00204AF1"/>
    <w:rsid w:val="00205611"/>
    <w:rsid w:val="002070CA"/>
    <w:rsid w:val="0021081F"/>
    <w:rsid w:val="00210840"/>
    <w:rsid w:val="00210F79"/>
    <w:rsid w:val="002111A8"/>
    <w:rsid w:val="00213776"/>
    <w:rsid w:val="00220583"/>
    <w:rsid w:val="0022261D"/>
    <w:rsid w:val="002228A6"/>
    <w:rsid w:val="00225752"/>
    <w:rsid w:val="00231569"/>
    <w:rsid w:val="00232369"/>
    <w:rsid w:val="002339BD"/>
    <w:rsid w:val="00234580"/>
    <w:rsid w:val="00234F20"/>
    <w:rsid w:val="002351C8"/>
    <w:rsid w:val="00235BA0"/>
    <w:rsid w:val="00236FE6"/>
    <w:rsid w:val="002402DE"/>
    <w:rsid w:val="002408C5"/>
    <w:rsid w:val="002419E9"/>
    <w:rsid w:val="0024301C"/>
    <w:rsid w:val="0024313A"/>
    <w:rsid w:val="00245DE1"/>
    <w:rsid w:val="00247C01"/>
    <w:rsid w:val="002512D8"/>
    <w:rsid w:val="00252EF3"/>
    <w:rsid w:val="00253390"/>
    <w:rsid w:val="0025433F"/>
    <w:rsid w:val="00254EC3"/>
    <w:rsid w:val="002557A7"/>
    <w:rsid w:val="00255EE2"/>
    <w:rsid w:val="0025728E"/>
    <w:rsid w:val="00257F3B"/>
    <w:rsid w:val="00260112"/>
    <w:rsid w:val="00260AAA"/>
    <w:rsid w:val="002614EF"/>
    <w:rsid w:val="00261807"/>
    <w:rsid w:val="00261B52"/>
    <w:rsid w:val="00261BED"/>
    <w:rsid w:val="002634E5"/>
    <w:rsid w:val="00263B84"/>
    <w:rsid w:val="00266C7D"/>
    <w:rsid w:val="00270784"/>
    <w:rsid w:val="002718A0"/>
    <w:rsid w:val="00271D9C"/>
    <w:rsid w:val="00272886"/>
    <w:rsid w:val="00272A03"/>
    <w:rsid w:val="00272C1E"/>
    <w:rsid w:val="00273986"/>
    <w:rsid w:val="00273E14"/>
    <w:rsid w:val="00273E3B"/>
    <w:rsid w:val="00274042"/>
    <w:rsid w:val="0027618E"/>
    <w:rsid w:val="002761D7"/>
    <w:rsid w:val="00276671"/>
    <w:rsid w:val="00277FCF"/>
    <w:rsid w:val="00280669"/>
    <w:rsid w:val="00281280"/>
    <w:rsid w:val="00281C3D"/>
    <w:rsid w:val="00281D05"/>
    <w:rsid w:val="0028305A"/>
    <w:rsid w:val="002831CB"/>
    <w:rsid w:val="00284D5C"/>
    <w:rsid w:val="00285302"/>
    <w:rsid w:val="00286CEE"/>
    <w:rsid w:val="002908BE"/>
    <w:rsid w:val="00293506"/>
    <w:rsid w:val="002947C8"/>
    <w:rsid w:val="00296E2A"/>
    <w:rsid w:val="002A03EE"/>
    <w:rsid w:val="002A2CCD"/>
    <w:rsid w:val="002A333B"/>
    <w:rsid w:val="002A612A"/>
    <w:rsid w:val="002B1235"/>
    <w:rsid w:val="002B2103"/>
    <w:rsid w:val="002B258A"/>
    <w:rsid w:val="002B3565"/>
    <w:rsid w:val="002B3FDA"/>
    <w:rsid w:val="002B54AE"/>
    <w:rsid w:val="002B62B6"/>
    <w:rsid w:val="002B6568"/>
    <w:rsid w:val="002B6B44"/>
    <w:rsid w:val="002C0375"/>
    <w:rsid w:val="002C35F7"/>
    <w:rsid w:val="002C514D"/>
    <w:rsid w:val="002C59A0"/>
    <w:rsid w:val="002C5B0F"/>
    <w:rsid w:val="002C6390"/>
    <w:rsid w:val="002C7309"/>
    <w:rsid w:val="002C7496"/>
    <w:rsid w:val="002D2E5D"/>
    <w:rsid w:val="002D4420"/>
    <w:rsid w:val="002E0552"/>
    <w:rsid w:val="002E05D6"/>
    <w:rsid w:val="002E0FA2"/>
    <w:rsid w:val="002E12FD"/>
    <w:rsid w:val="002E1FAC"/>
    <w:rsid w:val="002E21F5"/>
    <w:rsid w:val="002E25D3"/>
    <w:rsid w:val="002E25E7"/>
    <w:rsid w:val="002E3226"/>
    <w:rsid w:val="002E333F"/>
    <w:rsid w:val="002E33E8"/>
    <w:rsid w:val="002E4593"/>
    <w:rsid w:val="002E55D1"/>
    <w:rsid w:val="002E5CED"/>
    <w:rsid w:val="002E663D"/>
    <w:rsid w:val="002E69B6"/>
    <w:rsid w:val="002E6D12"/>
    <w:rsid w:val="002E7320"/>
    <w:rsid w:val="002F0EF5"/>
    <w:rsid w:val="002F5822"/>
    <w:rsid w:val="002F71EC"/>
    <w:rsid w:val="00300286"/>
    <w:rsid w:val="00300668"/>
    <w:rsid w:val="0030179F"/>
    <w:rsid w:val="00301D80"/>
    <w:rsid w:val="00306450"/>
    <w:rsid w:val="0031010E"/>
    <w:rsid w:val="00310C14"/>
    <w:rsid w:val="00311288"/>
    <w:rsid w:val="003114A1"/>
    <w:rsid w:val="00311811"/>
    <w:rsid w:val="0031233F"/>
    <w:rsid w:val="003132E9"/>
    <w:rsid w:val="003160D6"/>
    <w:rsid w:val="00316C63"/>
    <w:rsid w:val="003170DF"/>
    <w:rsid w:val="00320506"/>
    <w:rsid w:val="00320671"/>
    <w:rsid w:val="00320B93"/>
    <w:rsid w:val="003265A2"/>
    <w:rsid w:val="00326DC2"/>
    <w:rsid w:val="00327CBD"/>
    <w:rsid w:val="003305F2"/>
    <w:rsid w:val="00331D5B"/>
    <w:rsid w:val="00334B20"/>
    <w:rsid w:val="003361B1"/>
    <w:rsid w:val="00336980"/>
    <w:rsid w:val="0033737B"/>
    <w:rsid w:val="003412CD"/>
    <w:rsid w:val="00343743"/>
    <w:rsid w:val="00343DB5"/>
    <w:rsid w:val="0034462A"/>
    <w:rsid w:val="00345528"/>
    <w:rsid w:val="00347ECE"/>
    <w:rsid w:val="00350D55"/>
    <w:rsid w:val="003537E3"/>
    <w:rsid w:val="00355553"/>
    <w:rsid w:val="00360690"/>
    <w:rsid w:val="00362A9B"/>
    <w:rsid w:val="00362DE2"/>
    <w:rsid w:val="00363046"/>
    <w:rsid w:val="003632C6"/>
    <w:rsid w:val="0036457B"/>
    <w:rsid w:val="003647F7"/>
    <w:rsid w:val="00365075"/>
    <w:rsid w:val="0036556C"/>
    <w:rsid w:val="00365A65"/>
    <w:rsid w:val="00367659"/>
    <w:rsid w:val="00371DAE"/>
    <w:rsid w:val="00372BAB"/>
    <w:rsid w:val="00374361"/>
    <w:rsid w:val="003751F2"/>
    <w:rsid w:val="00375797"/>
    <w:rsid w:val="00376559"/>
    <w:rsid w:val="00376C6F"/>
    <w:rsid w:val="00376DB7"/>
    <w:rsid w:val="00380368"/>
    <w:rsid w:val="00381FDE"/>
    <w:rsid w:val="003830E7"/>
    <w:rsid w:val="0038387E"/>
    <w:rsid w:val="00384A4A"/>
    <w:rsid w:val="00384ADA"/>
    <w:rsid w:val="00386E03"/>
    <w:rsid w:val="003870B0"/>
    <w:rsid w:val="0038779D"/>
    <w:rsid w:val="0039191E"/>
    <w:rsid w:val="003936D2"/>
    <w:rsid w:val="003955C4"/>
    <w:rsid w:val="00397046"/>
    <w:rsid w:val="003975AD"/>
    <w:rsid w:val="00397660"/>
    <w:rsid w:val="003A066F"/>
    <w:rsid w:val="003A1B84"/>
    <w:rsid w:val="003A23D2"/>
    <w:rsid w:val="003A3FDA"/>
    <w:rsid w:val="003A44EE"/>
    <w:rsid w:val="003B0BA2"/>
    <w:rsid w:val="003B39B8"/>
    <w:rsid w:val="003B46DC"/>
    <w:rsid w:val="003B69FD"/>
    <w:rsid w:val="003B6F89"/>
    <w:rsid w:val="003C2ED7"/>
    <w:rsid w:val="003C39E9"/>
    <w:rsid w:val="003C39EE"/>
    <w:rsid w:val="003C3E59"/>
    <w:rsid w:val="003C470A"/>
    <w:rsid w:val="003C537A"/>
    <w:rsid w:val="003C5B59"/>
    <w:rsid w:val="003D0092"/>
    <w:rsid w:val="003D01BC"/>
    <w:rsid w:val="003D15D4"/>
    <w:rsid w:val="003D2BB6"/>
    <w:rsid w:val="003D30B4"/>
    <w:rsid w:val="003D3C2E"/>
    <w:rsid w:val="003D4A58"/>
    <w:rsid w:val="003D4C8E"/>
    <w:rsid w:val="003D5D1A"/>
    <w:rsid w:val="003D602D"/>
    <w:rsid w:val="003D7B71"/>
    <w:rsid w:val="003D7C1D"/>
    <w:rsid w:val="003D7ED4"/>
    <w:rsid w:val="003E2A04"/>
    <w:rsid w:val="003E2FB0"/>
    <w:rsid w:val="003E454A"/>
    <w:rsid w:val="003E4B1F"/>
    <w:rsid w:val="003E6181"/>
    <w:rsid w:val="003E633C"/>
    <w:rsid w:val="003E6425"/>
    <w:rsid w:val="003E65C4"/>
    <w:rsid w:val="003E7060"/>
    <w:rsid w:val="003F0CE1"/>
    <w:rsid w:val="003F0E14"/>
    <w:rsid w:val="003F0F63"/>
    <w:rsid w:val="003F3E73"/>
    <w:rsid w:val="003F5DA4"/>
    <w:rsid w:val="003F7951"/>
    <w:rsid w:val="003F7A2D"/>
    <w:rsid w:val="003F7B5C"/>
    <w:rsid w:val="00403367"/>
    <w:rsid w:val="004059D0"/>
    <w:rsid w:val="00406178"/>
    <w:rsid w:val="00407122"/>
    <w:rsid w:val="00407C4D"/>
    <w:rsid w:val="004105A2"/>
    <w:rsid w:val="00411555"/>
    <w:rsid w:val="004122A9"/>
    <w:rsid w:val="00414820"/>
    <w:rsid w:val="00415A15"/>
    <w:rsid w:val="0041747F"/>
    <w:rsid w:val="00417D41"/>
    <w:rsid w:val="00417EED"/>
    <w:rsid w:val="0042422A"/>
    <w:rsid w:val="004258D6"/>
    <w:rsid w:val="00425B82"/>
    <w:rsid w:val="00425CB1"/>
    <w:rsid w:val="004279F9"/>
    <w:rsid w:val="00430B0D"/>
    <w:rsid w:val="00430BDD"/>
    <w:rsid w:val="00433CAA"/>
    <w:rsid w:val="0043437D"/>
    <w:rsid w:val="0044231A"/>
    <w:rsid w:val="00447887"/>
    <w:rsid w:val="00447E01"/>
    <w:rsid w:val="00450E6E"/>
    <w:rsid w:val="00452038"/>
    <w:rsid w:val="00453096"/>
    <w:rsid w:val="004542DC"/>
    <w:rsid w:val="004548CD"/>
    <w:rsid w:val="00455916"/>
    <w:rsid w:val="004566A2"/>
    <w:rsid w:val="00460EAD"/>
    <w:rsid w:val="00461B17"/>
    <w:rsid w:val="00462A63"/>
    <w:rsid w:val="004633F1"/>
    <w:rsid w:val="00463A70"/>
    <w:rsid w:val="00464242"/>
    <w:rsid w:val="00464C14"/>
    <w:rsid w:val="00465EC8"/>
    <w:rsid w:val="004664FA"/>
    <w:rsid w:val="004673C4"/>
    <w:rsid w:val="00467751"/>
    <w:rsid w:val="0046778C"/>
    <w:rsid w:val="00470A7A"/>
    <w:rsid w:val="00470AF6"/>
    <w:rsid w:val="00471416"/>
    <w:rsid w:val="004714E9"/>
    <w:rsid w:val="00471A6E"/>
    <w:rsid w:val="00474538"/>
    <w:rsid w:val="00474E4C"/>
    <w:rsid w:val="00476ED1"/>
    <w:rsid w:val="0048026F"/>
    <w:rsid w:val="004822BC"/>
    <w:rsid w:val="004829B9"/>
    <w:rsid w:val="0048648B"/>
    <w:rsid w:val="00486724"/>
    <w:rsid w:val="004868E6"/>
    <w:rsid w:val="0049061B"/>
    <w:rsid w:val="004908D3"/>
    <w:rsid w:val="00490FE0"/>
    <w:rsid w:val="00491C3E"/>
    <w:rsid w:val="004922B6"/>
    <w:rsid w:val="00493121"/>
    <w:rsid w:val="00493364"/>
    <w:rsid w:val="00493386"/>
    <w:rsid w:val="00494387"/>
    <w:rsid w:val="004949AC"/>
    <w:rsid w:val="004959CB"/>
    <w:rsid w:val="00496426"/>
    <w:rsid w:val="004A1E88"/>
    <w:rsid w:val="004A27DB"/>
    <w:rsid w:val="004A2EE3"/>
    <w:rsid w:val="004A3DDE"/>
    <w:rsid w:val="004A528D"/>
    <w:rsid w:val="004A5C0B"/>
    <w:rsid w:val="004B065F"/>
    <w:rsid w:val="004B15BE"/>
    <w:rsid w:val="004B15E8"/>
    <w:rsid w:val="004B1F22"/>
    <w:rsid w:val="004B2D5B"/>
    <w:rsid w:val="004B5517"/>
    <w:rsid w:val="004B5E64"/>
    <w:rsid w:val="004B720F"/>
    <w:rsid w:val="004B726A"/>
    <w:rsid w:val="004C0EC0"/>
    <w:rsid w:val="004C19EC"/>
    <w:rsid w:val="004C1B53"/>
    <w:rsid w:val="004C2D23"/>
    <w:rsid w:val="004C34C6"/>
    <w:rsid w:val="004C3C1A"/>
    <w:rsid w:val="004C41E3"/>
    <w:rsid w:val="004C5B8E"/>
    <w:rsid w:val="004C73AD"/>
    <w:rsid w:val="004C7405"/>
    <w:rsid w:val="004D099B"/>
    <w:rsid w:val="004D2404"/>
    <w:rsid w:val="004D2468"/>
    <w:rsid w:val="004D4220"/>
    <w:rsid w:val="004D6598"/>
    <w:rsid w:val="004D66A3"/>
    <w:rsid w:val="004D6DB1"/>
    <w:rsid w:val="004D7490"/>
    <w:rsid w:val="004E1BF6"/>
    <w:rsid w:val="004E2875"/>
    <w:rsid w:val="004E49BA"/>
    <w:rsid w:val="004E5602"/>
    <w:rsid w:val="004E592B"/>
    <w:rsid w:val="004E617D"/>
    <w:rsid w:val="004E6272"/>
    <w:rsid w:val="004E6274"/>
    <w:rsid w:val="004E6D06"/>
    <w:rsid w:val="004F3DE8"/>
    <w:rsid w:val="004F4445"/>
    <w:rsid w:val="004F5235"/>
    <w:rsid w:val="004F6003"/>
    <w:rsid w:val="004F662C"/>
    <w:rsid w:val="004F736C"/>
    <w:rsid w:val="004F7666"/>
    <w:rsid w:val="0050010E"/>
    <w:rsid w:val="00502912"/>
    <w:rsid w:val="00502EA5"/>
    <w:rsid w:val="005056F9"/>
    <w:rsid w:val="0050591F"/>
    <w:rsid w:val="00506F24"/>
    <w:rsid w:val="00511BEB"/>
    <w:rsid w:val="00511C06"/>
    <w:rsid w:val="00513607"/>
    <w:rsid w:val="00513F33"/>
    <w:rsid w:val="00514B51"/>
    <w:rsid w:val="00515CA2"/>
    <w:rsid w:val="00516118"/>
    <w:rsid w:val="005171B1"/>
    <w:rsid w:val="00517B06"/>
    <w:rsid w:val="00520182"/>
    <w:rsid w:val="00521F65"/>
    <w:rsid w:val="0052281F"/>
    <w:rsid w:val="00522A03"/>
    <w:rsid w:val="00522F3F"/>
    <w:rsid w:val="005230CF"/>
    <w:rsid w:val="0052470A"/>
    <w:rsid w:val="0052508E"/>
    <w:rsid w:val="005268A7"/>
    <w:rsid w:val="005277CB"/>
    <w:rsid w:val="00530C42"/>
    <w:rsid w:val="005311F0"/>
    <w:rsid w:val="00533C3F"/>
    <w:rsid w:val="00533FE7"/>
    <w:rsid w:val="00534853"/>
    <w:rsid w:val="00534932"/>
    <w:rsid w:val="005364AB"/>
    <w:rsid w:val="0054028E"/>
    <w:rsid w:val="00540994"/>
    <w:rsid w:val="005416EF"/>
    <w:rsid w:val="005436F8"/>
    <w:rsid w:val="005437BF"/>
    <w:rsid w:val="005457BA"/>
    <w:rsid w:val="00550B53"/>
    <w:rsid w:val="00550D10"/>
    <w:rsid w:val="00551230"/>
    <w:rsid w:val="00552F7D"/>
    <w:rsid w:val="00553DB8"/>
    <w:rsid w:val="0055607B"/>
    <w:rsid w:val="00557886"/>
    <w:rsid w:val="00563969"/>
    <w:rsid w:val="00563E84"/>
    <w:rsid w:val="00566942"/>
    <w:rsid w:val="00566D02"/>
    <w:rsid w:val="0056713B"/>
    <w:rsid w:val="005706CC"/>
    <w:rsid w:val="0057118F"/>
    <w:rsid w:val="00571737"/>
    <w:rsid w:val="005729FC"/>
    <w:rsid w:val="00572AAD"/>
    <w:rsid w:val="0057317C"/>
    <w:rsid w:val="005739F2"/>
    <w:rsid w:val="005742BB"/>
    <w:rsid w:val="00574573"/>
    <w:rsid w:val="005747FF"/>
    <w:rsid w:val="00576254"/>
    <w:rsid w:val="00576A71"/>
    <w:rsid w:val="00577391"/>
    <w:rsid w:val="00577785"/>
    <w:rsid w:val="00581915"/>
    <w:rsid w:val="00581B0F"/>
    <w:rsid w:val="00583138"/>
    <w:rsid w:val="005835D7"/>
    <w:rsid w:val="00583F6B"/>
    <w:rsid w:val="00584189"/>
    <w:rsid w:val="005861E7"/>
    <w:rsid w:val="005865A5"/>
    <w:rsid w:val="00587FE6"/>
    <w:rsid w:val="00590466"/>
    <w:rsid w:val="0059279A"/>
    <w:rsid w:val="0059335B"/>
    <w:rsid w:val="00593E62"/>
    <w:rsid w:val="0059523B"/>
    <w:rsid w:val="00596883"/>
    <w:rsid w:val="00597D03"/>
    <w:rsid w:val="005A07C3"/>
    <w:rsid w:val="005A3C21"/>
    <w:rsid w:val="005A43BA"/>
    <w:rsid w:val="005A5008"/>
    <w:rsid w:val="005A756B"/>
    <w:rsid w:val="005B2648"/>
    <w:rsid w:val="005C131D"/>
    <w:rsid w:val="005C21B9"/>
    <w:rsid w:val="005C283A"/>
    <w:rsid w:val="005C409B"/>
    <w:rsid w:val="005C40CA"/>
    <w:rsid w:val="005C58EB"/>
    <w:rsid w:val="005C6308"/>
    <w:rsid w:val="005C7219"/>
    <w:rsid w:val="005D0C10"/>
    <w:rsid w:val="005D0CA0"/>
    <w:rsid w:val="005D2E05"/>
    <w:rsid w:val="005D3368"/>
    <w:rsid w:val="005D33E0"/>
    <w:rsid w:val="005D49CB"/>
    <w:rsid w:val="005D4A87"/>
    <w:rsid w:val="005D6383"/>
    <w:rsid w:val="005E0A33"/>
    <w:rsid w:val="005E0D5A"/>
    <w:rsid w:val="005E1588"/>
    <w:rsid w:val="005E1BAC"/>
    <w:rsid w:val="005E4232"/>
    <w:rsid w:val="005E5646"/>
    <w:rsid w:val="005F0729"/>
    <w:rsid w:val="005F0AA5"/>
    <w:rsid w:val="005F0F77"/>
    <w:rsid w:val="005F251F"/>
    <w:rsid w:val="005F2BAD"/>
    <w:rsid w:val="005F4E56"/>
    <w:rsid w:val="005F517C"/>
    <w:rsid w:val="005F5987"/>
    <w:rsid w:val="005F751A"/>
    <w:rsid w:val="005F7F0F"/>
    <w:rsid w:val="0060051F"/>
    <w:rsid w:val="00600620"/>
    <w:rsid w:val="00601159"/>
    <w:rsid w:val="00601867"/>
    <w:rsid w:val="006026B5"/>
    <w:rsid w:val="00603B2B"/>
    <w:rsid w:val="00604FB9"/>
    <w:rsid w:val="00607213"/>
    <w:rsid w:val="00607349"/>
    <w:rsid w:val="00607F00"/>
    <w:rsid w:val="00610E0B"/>
    <w:rsid w:val="006134B9"/>
    <w:rsid w:val="0061403D"/>
    <w:rsid w:val="00614CDB"/>
    <w:rsid w:val="00621E91"/>
    <w:rsid w:val="00622458"/>
    <w:rsid w:val="00622459"/>
    <w:rsid w:val="00622CA8"/>
    <w:rsid w:val="00622D53"/>
    <w:rsid w:val="00623446"/>
    <w:rsid w:val="006246F1"/>
    <w:rsid w:val="00625925"/>
    <w:rsid w:val="006309C9"/>
    <w:rsid w:val="00631367"/>
    <w:rsid w:val="00631373"/>
    <w:rsid w:val="00631658"/>
    <w:rsid w:val="00631FD1"/>
    <w:rsid w:val="0063438C"/>
    <w:rsid w:val="0063487F"/>
    <w:rsid w:val="00635177"/>
    <w:rsid w:val="0063599F"/>
    <w:rsid w:val="0063636B"/>
    <w:rsid w:val="00636C2E"/>
    <w:rsid w:val="00637317"/>
    <w:rsid w:val="00637BD8"/>
    <w:rsid w:val="00640F49"/>
    <w:rsid w:val="006441E1"/>
    <w:rsid w:val="00644838"/>
    <w:rsid w:val="00644CE6"/>
    <w:rsid w:val="00645CA4"/>
    <w:rsid w:val="006473A8"/>
    <w:rsid w:val="006507ED"/>
    <w:rsid w:val="006510F8"/>
    <w:rsid w:val="00652665"/>
    <w:rsid w:val="00657E8F"/>
    <w:rsid w:val="00660363"/>
    <w:rsid w:val="00660E60"/>
    <w:rsid w:val="00661821"/>
    <w:rsid w:val="006631C9"/>
    <w:rsid w:val="006642B4"/>
    <w:rsid w:val="00666855"/>
    <w:rsid w:val="0066721A"/>
    <w:rsid w:val="00670338"/>
    <w:rsid w:val="006703A5"/>
    <w:rsid w:val="006733E5"/>
    <w:rsid w:val="0067427A"/>
    <w:rsid w:val="0067459C"/>
    <w:rsid w:val="00680041"/>
    <w:rsid w:val="006812F7"/>
    <w:rsid w:val="00682222"/>
    <w:rsid w:val="00683B16"/>
    <w:rsid w:val="00683E1F"/>
    <w:rsid w:val="00686F7A"/>
    <w:rsid w:val="00687641"/>
    <w:rsid w:val="0068788E"/>
    <w:rsid w:val="0069007D"/>
    <w:rsid w:val="006901C3"/>
    <w:rsid w:val="0069111D"/>
    <w:rsid w:val="0069249E"/>
    <w:rsid w:val="00692848"/>
    <w:rsid w:val="00695E03"/>
    <w:rsid w:val="0069701D"/>
    <w:rsid w:val="00697B65"/>
    <w:rsid w:val="00697C77"/>
    <w:rsid w:val="006A0781"/>
    <w:rsid w:val="006A0B45"/>
    <w:rsid w:val="006A4019"/>
    <w:rsid w:val="006A4247"/>
    <w:rsid w:val="006A4E8D"/>
    <w:rsid w:val="006A539D"/>
    <w:rsid w:val="006A5AC7"/>
    <w:rsid w:val="006B04A1"/>
    <w:rsid w:val="006B06CA"/>
    <w:rsid w:val="006B0C55"/>
    <w:rsid w:val="006B5B3E"/>
    <w:rsid w:val="006C03ED"/>
    <w:rsid w:val="006C0F64"/>
    <w:rsid w:val="006C1E60"/>
    <w:rsid w:val="006C34F4"/>
    <w:rsid w:val="006C5754"/>
    <w:rsid w:val="006D0976"/>
    <w:rsid w:val="006D1782"/>
    <w:rsid w:val="006D2FEC"/>
    <w:rsid w:val="006D4AB9"/>
    <w:rsid w:val="006D6F5A"/>
    <w:rsid w:val="006D7C2E"/>
    <w:rsid w:val="006E01DD"/>
    <w:rsid w:val="006E035D"/>
    <w:rsid w:val="006E0641"/>
    <w:rsid w:val="006E0643"/>
    <w:rsid w:val="006E079F"/>
    <w:rsid w:val="006E1606"/>
    <w:rsid w:val="006E353E"/>
    <w:rsid w:val="006E420D"/>
    <w:rsid w:val="006E5273"/>
    <w:rsid w:val="006E5A93"/>
    <w:rsid w:val="006E681F"/>
    <w:rsid w:val="006E704F"/>
    <w:rsid w:val="006F0508"/>
    <w:rsid w:val="006F0857"/>
    <w:rsid w:val="006F275A"/>
    <w:rsid w:val="006F3217"/>
    <w:rsid w:val="006F4D8C"/>
    <w:rsid w:val="006F4F1C"/>
    <w:rsid w:val="006F6104"/>
    <w:rsid w:val="00703469"/>
    <w:rsid w:val="007035B6"/>
    <w:rsid w:val="00706604"/>
    <w:rsid w:val="00706AD3"/>
    <w:rsid w:val="007136F5"/>
    <w:rsid w:val="00713F1F"/>
    <w:rsid w:val="00714298"/>
    <w:rsid w:val="00716C76"/>
    <w:rsid w:val="00720572"/>
    <w:rsid w:val="00720C0D"/>
    <w:rsid w:val="00721176"/>
    <w:rsid w:val="00721566"/>
    <w:rsid w:val="00722325"/>
    <w:rsid w:val="007227CD"/>
    <w:rsid w:val="00723CF2"/>
    <w:rsid w:val="00724A49"/>
    <w:rsid w:val="00725B10"/>
    <w:rsid w:val="00725C8B"/>
    <w:rsid w:val="007268C8"/>
    <w:rsid w:val="00726A94"/>
    <w:rsid w:val="00732599"/>
    <w:rsid w:val="0073382E"/>
    <w:rsid w:val="00733985"/>
    <w:rsid w:val="007359A2"/>
    <w:rsid w:val="007368D4"/>
    <w:rsid w:val="007370CD"/>
    <w:rsid w:val="007402CB"/>
    <w:rsid w:val="00740CD0"/>
    <w:rsid w:val="00740E0E"/>
    <w:rsid w:val="00740F8F"/>
    <w:rsid w:val="007430FE"/>
    <w:rsid w:val="00743B72"/>
    <w:rsid w:val="00744439"/>
    <w:rsid w:val="00745AEC"/>
    <w:rsid w:val="007474FF"/>
    <w:rsid w:val="00750797"/>
    <w:rsid w:val="0075270D"/>
    <w:rsid w:val="007533EF"/>
    <w:rsid w:val="007550F6"/>
    <w:rsid w:val="0075605D"/>
    <w:rsid w:val="007565CA"/>
    <w:rsid w:val="00757B60"/>
    <w:rsid w:val="0076077F"/>
    <w:rsid w:val="00762968"/>
    <w:rsid w:val="00762999"/>
    <w:rsid w:val="00763274"/>
    <w:rsid w:val="00763EC2"/>
    <w:rsid w:val="00765002"/>
    <w:rsid w:val="00765ECF"/>
    <w:rsid w:val="0076630A"/>
    <w:rsid w:val="007667CC"/>
    <w:rsid w:val="00773174"/>
    <w:rsid w:val="007745CA"/>
    <w:rsid w:val="00776746"/>
    <w:rsid w:val="00780E32"/>
    <w:rsid w:val="007820BC"/>
    <w:rsid w:val="00782132"/>
    <w:rsid w:val="00782EDE"/>
    <w:rsid w:val="00785C2F"/>
    <w:rsid w:val="007869D1"/>
    <w:rsid w:val="00786BD1"/>
    <w:rsid w:val="0079077D"/>
    <w:rsid w:val="00792748"/>
    <w:rsid w:val="00794A6C"/>
    <w:rsid w:val="007A0941"/>
    <w:rsid w:val="007A0978"/>
    <w:rsid w:val="007A0D0B"/>
    <w:rsid w:val="007A34C7"/>
    <w:rsid w:val="007A5334"/>
    <w:rsid w:val="007A595B"/>
    <w:rsid w:val="007A66D1"/>
    <w:rsid w:val="007A670A"/>
    <w:rsid w:val="007A6B4B"/>
    <w:rsid w:val="007A6F13"/>
    <w:rsid w:val="007A7F6E"/>
    <w:rsid w:val="007B0E9C"/>
    <w:rsid w:val="007B18F1"/>
    <w:rsid w:val="007B48A9"/>
    <w:rsid w:val="007B4C9D"/>
    <w:rsid w:val="007C140B"/>
    <w:rsid w:val="007C27B7"/>
    <w:rsid w:val="007C55B1"/>
    <w:rsid w:val="007C58F6"/>
    <w:rsid w:val="007C5DBC"/>
    <w:rsid w:val="007C64AB"/>
    <w:rsid w:val="007C72C8"/>
    <w:rsid w:val="007C7973"/>
    <w:rsid w:val="007C7F7D"/>
    <w:rsid w:val="007D3C22"/>
    <w:rsid w:val="007D42C2"/>
    <w:rsid w:val="007D4551"/>
    <w:rsid w:val="007D6AF3"/>
    <w:rsid w:val="007D779A"/>
    <w:rsid w:val="007D7AB9"/>
    <w:rsid w:val="007E10A0"/>
    <w:rsid w:val="007E1DC9"/>
    <w:rsid w:val="007E2548"/>
    <w:rsid w:val="007E32C2"/>
    <w:rsid w:val="007E38E8"/>
    <w:rsid w:val="007E59A6"/>
    <w:rsid w:val="007E5D97"/>
    <w:rsid w:val="007E600B"/>
    <w:rsid w:val="007E6CE9"/>
    <w:rsid w:val="007E7556"/>
    <w:rsid w:val="007E7EC2"/>
    <w:rsid w:val="007F06F2"/>
    <w:rsid w:val="007F0BFF"/>
    <w:rsid w:val="007F400F"/>
    <w:rsid w:val="007F480F"/>
    <w:rsid w:val="007F601C"/>
    <w:rsid w:val="007F7D92"/>
    <w:rsid w:val="008006C4"/>
    <w:rsid w:val="00800F72"/>
    <w:rsid w:val="00800FED"/>
    <w:rsid w:val="008026F3"/>
    <w:rsid w:val="00804053"/>
    <w:rsid w:val="00804248"/>
    <w:rsid w:val="008049D6"/>
    <w:rsid w:val="00805071"/>
    <w:rsid w:val="00807F2A"/>
    <w:rsid w:val="00810184"/>
    <w:rsid w:val="00811464"/>
    <w:rsid w:val="008132C4"/>
    <w:rsid w:val="0081663D"/>
    <w:rsid w:val="00820C1B"/>
    <w:rsid w:val="008219F3"/>
    <w:rsid w:val="00821FA4"/>
    <w:rsid w:val="00822253"/>
    <w:rsid w:val="00822579"/>
    <w:rsid w:val="00823130"/>
    <w:rsid w:val="0082578E"/>
    <w:rsid w:val="008262C2"/>
    <w:rsid w:val="00827B0C"/>
    <w:rsid w:val="00831EAC"/>
    <w:rsid w:val="00831FD9"/>
    <w:rsid w:val="0083386E"/>
    <w:rsid w:val="00834A0C"/>
    <w:rsid w:val="00834BC6"/>
    <w:rsid w:val="00836F1F"/>
    <w:rsid w:val="00840145"/>
    <w:rsid w:val="00840807"/>
    <w:rsid w:val="00840BB7"/>
    <w:rsid w:val="0084159F"/>
    <w:rsid w:val="00842168"/>
    <w:rsid w:val="00842331"/>
    <w:rsid w:val="008425D2"/>
    <w:rsid w:val="00843AB9"/>
    <w:rsid w:val="00844549"/>
    <w:rsid w:val="00845AB7"/>
    <w:rsid w:val="00845B7A"/>
    <w:rsid w:val="008508E2"/>
    <w:rsid w:val="00850A5F"/>
    <w:rsid w:val="00851408"/>
    <w:rsid w:val="00851652"/>
    <w:rsid w:val="00852049"/>
    <w:rsid w:val="00852131"/>
    <w:rsid w:val="0085319A"/>
    <w:rsid w:val="008538DF"/>
    <w:rsid w:val="00853ACB"/>
    <w:rsid w:val="00853F28"/>
    <w:rsid w:val="0085649B"/>
    <w:rsid w:val="00856788"/>
    <w:rsid w:val="00857F62"/>
    <w:rsid w:val="00860365"/>
    <w:rsid w:val="00860D4A"/>
    <w:rsid w:val="008644E3"/>
    <w:rsid w:val="00867736"/>
    <w:rsid w:val="00870165"/>
    <w:rsid w:val="008702B3"/>
    <w:rsid w:val="00874030"/>
    <w:rsid w:val="00874394"/>
    <w:rsid w:val="00874616"/>
    <w:rsid w:val="00876166"/>
    <w:rsid w:val="00880490"/>
    <w:rsid w:val="00880F6A"/>
    <w:rsid w:val="008831E6"/>
    <w:rsid w:val="00884AD3"/>
    <w:rsid w:val="00884C71"/>
    <w:rsid w:val="00887AC3"/>
    <w:rsid w:val="00892595"/>
    <w:rsid w:val="00892EC1"/>
    <w:rsid w:val="008930A4"/>
    <w:rsid w:val="008934EE"/>
    <w:rsid w:val="008949CD"/>
    <w:rsid w:val="008951DE"/>
    <w:rsid w:val="00896354"/>
    <w:rsid w:val="008972C5"/>
    <w:rsid w:val="008977F6"/>
    <w:rsid w:val="00897AC3"/>
    <w:rsid w:val="00897D57"/>
    <w:rsid w:val="008A0670"/>
    <w:rsid w:val="008A323B"/>
    <w:rsid w:val="008A34BD"/>
    <w:rsid w:val="008A43BA"/>
    <w:rsid w:val="008A4D26"/>
    <w:rsid w:val="008B06E8"/>
    <w:rsid w:val="008B0792"/>
    <w:rsid w:val="008B2FFC"/>
    <w:rsid w:val="008B38A4"/>
    <w:rsid w:val="008B42C1"/>
    <w:rsid w:val="008B4F02"/>
    <w:rsid w:val="008B58A2"/>
    <w:rsid w:val="008B5B74"/>
    <w:rsid w:val="008B64EA"/>
    <w:rsid w:val="008B6963"/>
    <w:rsid w:val="008C00D9"/>
    <w:rsid w:val="008C1062"/>
    <w:rsid w:val="008C19B3"/>
    <w:rsid w:val="008C1BCF"/>
    <w:rsid w:val="008C2F72"/>
    <w:rsid w:val="008C4F3D"/>
    <w:rsid w:val="008C5A8C"/>
    <w:rsid w:val="008C621A"/>
    <w:rsid w:val="008D097A"/>
    <w:rsid w:val="008D10DE"/>
    <w:rsid w:val="008D1356"/>
    <w:rsid w:val="008D1382"/>
    <w:rsid w:val="008D4F4A"/>
    <w:rsid w:val="008D567B"/>
    <w:rsid w:val="008D67B7"/>
    <w:rsid w:val="008E1474"/>
    <w:rsid w:val="008E15AF"/>
    <w:rsid w:val="008E332D"/>
    <w:rsid w:val="008E3B00"/>
    <w:rsid w:val="008E42A5"/>
    <w:rsid w:val="008E44BC"/>
    <w:rsid w:val="008E52A4"/>
    <w:rsid w:val="008E702E"/>
    <w:rsid w:val="008F0C31"/>
    <w:rsid w:val="008F0CA0"/>
    <w:rsid w:val="008F277E"/>
    <w:rsid w:val="008F2D84"/>
    <w:rsid w:val="008F442E"/>
    <w:rsid w:val="008F5A30"/>
    <w:rsid w:val="008F5FA0"/>
    <w:rsid w:val="008F619E"/>
    <w:rsid w:val="008F6AD4"/>
    <w:rsid w:val="008F6CC3"/>
    <w:rsid w:val="009032B7"/>
    <w:rsid w:val="00904433"/>
    <w:rsid w:val="009076E7"/>
    <w:rsid w:val="009117B1"/>
    <w:rsid w:val="00911857"/>
    <w:rsid w:val="00912D87"/>
    <w:rsid w:val="009135B2"/>
    <w:rsid w:val="009144C6"/>
    <w:rsid w:val="00915401"/>
    <w:rsid w:val="00916305"/>
    <w:rsid w:val="0091790E"/>
    <w:rsid w:val="00922364"/>
    <w:rsid w:val="0092362E"/>
    <w:rsid w:val="009237C1"/>
    <w:rsid w:val="0092560F"/>
    <w:rsid w:val="009264DB"/>
    <w:rsid w:val="009265C9"/>
    <w:rsid w:val="00927AEA"/>
    <w:rsid w:val="00930BFE"/>
    <w:rsid w:val="0093192E"/>
    <w:rsid w:val="0093249D"/>
    <w:rsid w:val="0093309B"/>
    <w:rsid w:val="00934394"/>
    <w:rsid w:val="009366D5"/>
    <w:rsid w:val="00936D73"/>
    <w:rsid w:val="009402FE"/>
    <w:rsid w:val="0094038B"/>
    <w:rsid w:val="009418D2"/>
    <w:rsid w:val="00941AC3"/>
    <w:rsid w:val="00942065"/>
    <w:rsid w:val="009430B1"/>
    <w:rsid w:val="00943E54"/>
    <w:rsid w:val="009447A9"/>
    <w:rsid w:val="009468E7"/>
    <w:rsid w:val="009508A6"/>
    <w:rsid w:val="00951B5E"/>
    <w:rsid w:val="00951F34"/>
    <w:rsid w:val="0095242D"/>
    <w:rsid w:val="009527B1"/>
    <w:rsid w:val="00952D4F"/>
    <w:rsid w:val="00954B99"/>
    <w:rsid w:val="009569BD"/>
    <w:rsid w:val="00956B63"/>
    <w:rsid w:val="009572BA"/>
    <w:rsid w:val="00960EDB"/>
    <w:rsid w:val="0096288F"/>
    <w:rsid w:val="00963588"/>
    <w:rsid w:val="00963A6C"/>
    <w:rsid w:val="00963E26"/>
    <w:rsid w:val="00964C82"/>
    <w:rsid w:val="009651AB"/>
    <w:rsid w:val="00965D72"/>
    <w:rsid w:val="00967104"/>
    <w:rsid w:val="00970657"/>
    <w:rsid w:val="0097154F"/>
    <w:rsid w:val="00971A55"/>
    <w:rsid w:val="0097204F"/>
    <w:rsid w:val="00973571"/>
    <w:rsid w:val="009737EE"/>
    <w:rsid w:val="00974109"/>
    <w:rsid w:val="009748E8"/>
    <w:rsid w:val="0097697F"/>
    <w:rsid w:val="00976DA5"/>
    <w:rsid w:val="0097775B"/>
    <w:rsid w:val="00977D0A"/>
    <w:rsid w:val="00977F70"/>
    <w:rsid w:val="009836F9"/>
    <w:rsid w:val="00985407"/>
    <w:rsid w:val="00986A35"/>
    <w:rsid w:val="0099032F"/>
    <w:rsid w:val="00991507"/>
    <w:rsid w:val="009920E8"/>
    <w:rsid w:val="00993011"/>
    <w:rsid w:val="00993F22"/>
    <w:rsid w:val="00994127"/>
    <w:rsid w:val="009A0DE7"/>
    <w:rsid w:val="009A3F88"/>
    <w:rsid w:val="009A57DD"/>
    <w:rsid w:val="009A66AA"/>
    <w:rsid w:val="009A7B72"/>
    <w:rsid w:val="009A7D4B"/>
    <w:rsid w:val="009B1230"/>
    <w:rsid w:val="009B13BB"/>
    <w:rsid w:val="009B2A82"/>
    <w:rsid w:val="009B31FE"/>
    <w:rsid w:val="009B3CF0"/>
    <w:rsid w:val="009B772D"/>
    <w:rsid w:val="009B77C8"/>
    <w:rsid w:val="009C082A"/>
    <w:rsid w:val="009C15F8"/>
    <w:rsid w:val="009C5FC9"/>
    <w:rsid w:val="009C6C70"/>
    <w:rsid w:val="009D1963"/>
    <w:rsid w:val="009D45B3"/>
    <w:rsid w:val="009D4BF1"/>
    <w:rsid w:val="009D6CD2"/>
    <w:rsid w:val="009D778F"/>
    <w:rsid w:val="009D7C7E"/>
    <w:rsid w:val="009D7DC3"/>
    <w:rsid w:val="009D7F75"/>
    <w:rsid w:val="009E28E1"/>
    <w:rsid w:val="009E2D80"/>
    <w:rsid w:val="009E3B82"/>
    <w:rsid w:val="009E5052"/>
    <w:rsid w:val="009E5A27"/>
    <w:rsid w:val="009E5AC3"/>
    <w:rsid w:val="009E6313"/>
    <w:rsid w:val="009E7447"/>
    <w:rsid w:val="009F133B"/>
    <w:rsid w:val="009F3861"/>
    <w:rsid w:val="009F4B89"/>
    <w:rsid w:val="009F508D"/>
    <w:rsid w:val="009F603B"/>
    <w:rsid w:val="009F6373"/>
    <w:rsid w:val="009F6931"/>
    <w:rsid w:val="009F6EE9"/>
    <w:rsid w:val="00A00D51"/>
    <w:rsid w:val="00A0114C"/>
    <w:rsid w:val="00A01428"/>
    <w:rsid w:val="00A016FD"/>
    <w:rsid w:val="00A043EC"/>
    <w:rsid w:val="00A05BA1"/>
    <w:rsid w:val="00A064B9"/>
    <w:rsid w:val="00A06615"/>
    <w:rsid w:val="00A1044E"/>
    <w:rsid w:val="00A111BE"/>
    <w:rsid w:val="00A134A7"/>
    <w:rsid w:val="00A13749"/>
    <w:rsid w:val="00A14B13"/>
    <w:rsid w:val="00A159E8"/>
    <w:rsid w:val="00A163D6"/>
    <w:rsid w:val="00A17DFE"/>
    <w:rsid w:val="00A227CB"/>
    <w:rsid w:val="00A22D36"/>
    <w:rsid w:val="00A2545F"/>
    <w:rsid w:val="00A25D91"/>
    <w:rsid w:val="00A26733"/>
    <w:rsid w:val="00A26A61"/>
    <w:rsid w:val="00A27233"/>
    <w:rsid w:val="00A310CF"/>
    <w:rsid w:val="00A3196D"/>
    <w:rsid w:val="00A3342E"/>
    <w:rsid w:val="00A34148"/>
    <w:rsid w:val="00A35DDF"/>
    <w:rsid w:val="00A41EAB"/>
    <w:rsid w:val="00A42E12"/>
    <w:rsid w:val="00A430CD"/>
    <w:rsid w:val="00A46802"/>
    <w:rsid w:val="00A477DA"/>
    <w:rsid w:val="00A4787D"/>
    <w:rsid w:val="00A47DC9"/>
    <w:rsid w:val="00A50618"/>
    <w:rsid w:val="00A519CC"/>
    <w:rsid w:val="00A55011"/>
    <w:rsid w:val="00A556D2"/>
    <w:rsid w:val="00A61DD2"/>
    <w:rsid w:val="00A62501"/>
    <w:rsid w:val="00A6263C"/>
    <w:rsid w:val="00A6340D"/>
    <w:rsid w:val="00A6477D"/>
    <w:rsid w:val="00A66BDB"/>
    <w:rsid w:val="00A71DD0"/>
    <w:rsid w:val="00A7345F"/>
    <w:rsid w:val="00A74A69"/>
    <w:rsid w:val="00A760F1"/>
    <w:rsid w:val="00A76A66"/>
    <w:rsid w:val="00A80474"/>
    <w:rsid w:val="00A807EA"/>
    <w:rsid w:val="00A80C6B"/>
    <w:rsid w:val="00A82929"/>
    <w:rsid w:val="00A82B69"/>
    <w:rsid w:val="00A8360E"/>
    <w:rsid w:val="00A860DA"/>
    <w:rsid w:val="00A867E6"/>
    <w:rsid w:val="00A879BC"/>
    <w:rsid w:val="00A91D47"/>
    <w:rsid w:val="00A92676"/>
    <w:rsid w:val="00A94260"/>
    <w:rsid w:val="00A944F4"/>
    <w:rsid w:val="00A960D8"/>
    <w:rsid w:val="00AA1662"/>
    <w:rsid w:val="00AA42BC"/>
    <w:rsid w:val="00AA4435"/>
    <w:rsid w:val="00AA484B"/>
    <w:rsid w:val="00AA5187"/>
    <w:rsid w:val="00AA64FB"/>
    <w:rsid w:val="00AA6E5C"/>
    <w:rsid w:val="00AA6E8D"/>
    <w:rsid w:val="00AB0C45"/>
    <w:rsid w:val="00AB1AFE"/>
    <w:rsid w:val="00AB2BA0"/>
    <w:rsid w:val="00AB2C50"/>
    <w:rsid w:val="00AB7AF7"/>
    <w:rsid w:val="00AC22B0"/>
    <w:rsid w:val="00AC4658"/>
    <w:rsid w:val="00AC4743"/>
    <w:rsid w:val="00AC4A40"/>
    <w:rsid w:val="00AC4CA5"/>
    <w:rsid w:val="00AC5758"/>
    <w:rsid w:val="00AC6254"/>
    <w:rsid w:val="00AC7801"/>
    <w:rsid w:val="00AD17A7"/>
    <w:rsid w:val="00AD2C04"/>
    <w:rsid w:val="00AD4CDA"/>
    <w:rsid w:val="00AD546F"/>
    <w:rsid w:val="00AD5498"/>
    <w:rsid w:val="00AD5B92"/>
    <w:rsid w:val="00AD663F"/>
    <w:rsid w:val="00AD7476"/>
    <w:rsid w:val="00AD7704"/>
    <w:rsid w:val="00AE0136"/>
    <w:rsid w:val="00AE1BE0"/>
    <w:rsid w:val="00AE1BEB"/>
    <w:rsid w:val="00AE29CA"/>
    <w:rsid w:val="00AE3417"/>
    <w:rsid w:val="00AE3AE5"/>
    <w:rsid w:val="00AE5488"/>
    <w:rsid w:val="00AE6E01"/>
    <w:rsid w:val="00AE7943"/>
    <w:rsid w:val="00AF0946"/>
    <w:rsid w:val="00AF1B23"/>
    <w:rsid w:val="00AF227C"/>
    <w:rsid w:val="00AF2AA2"/>
    <w:rsid w:val="00AF4053"/>
    <w:rsid w:val="00AF48F9"/>
    <w:rsid w:val="00AF58D9"/>
    <w:rsid w:val="00AF5CDA"/>
    <w:rsid w:val="00AF6F2C"/>
    <w:rsid w:val="00AF780A"/>
    <w:rsid w:val="00B02BC7"/>
    <w:rsid w:val="00B03157"/>
    <w:rsid w:val="00B03F22"/>
    <w:rsid w:val="00B0416C"/>
    <w:rsid w:val="00B042A0"/>
    <w:rsid w:val="00B0578A"/>
    <w:rsid w:val="00B0648E"/>
    <w:rsid w:val="00B125A8"/>
    <w:rsid w:val="00B1369F"/>
    <w:rsid w:val="00B13AC3"/>
    <w:rsid w:val="00B14AC6"/>
    <w:rsid w:val="00B15379"/>
    <w:rsid w:val="00B15AF2"/>
    <w:rsid w:val="00B16339"/>
    <w:rsid w:val="00B16528"/>
    <w:rsid w:val="00B1662E"/>
    <w:rsid w:val="00B16B86"/>
    <w:rsid w:val="00B20A1E"/>
    <w:rsid w:val="00B20B03"/>
    <w:rsid w:val="00B23ED1"/>
    <w:rsid w:val="00B25406"/>
    <w:rsid w:val="00B25AFC"/>
    <w:rsid w:val="00B25B74"/>
    <w:rsid w:val="00B265BF"/>
    <w:rsid w:val="00B27264"/>
    <w:rsid w:val="00B30B2A"/>
    <w:rsid w:val="00B30D07"/>
    <w:rsid w:val="00B31157"/>
    <w:rsid w:val="00B3116D"/>
    <w:rsid w:val="00B324DC"/>
    <w:rsid w:val="00B3318F"/>
    <w:rsid w:val="00B332FC"/>
    <w:rsid w:val="00B33A5D"/>
    <w:rsid w:val="00B34707"/>
    <w:rsid w:val="00B36583"/>
    <w:rsid w:val="00B417EE"/>
    <w:rsid w:val="00B41B8A"/>
    <w:rsid w:val="00B43451"/>
    <w:rsid w:val="00B46E1F"/>
    <w:rsid w:val="00B50F7D"/>
    <w:rsid w:val="00B51DA2"/>
    <w:rsid w:val="00B52B8A"/>
    <w:rsid w:val="00B53642"/>
    <w:rsid w:val="00B561F9"/>
    <w:rsid w:val="00B57547"/>
    <w:rsid w:val="00B57EC4"/>
    <w:rsid w:val="00B606C3"/>
    <w:rsid w:val="00B60742"/>
    <w:rsid w:val="00B616A6"/>
    <w:rsid w:val="00B62E2E"/>
    <w:rsid w:val="00B64955"/>
    <w:rsid w:val="00B65640"/>
    <w:rsid w:val="00B666E3"/>
    <w:rsid w:val="00B67856"/>
    <w:rsid w:val="00B67E46"/>
    <w:rsid w:val="00B70C84"/>
    <w:rsid w:val="00B75F61"/>
    <w:rsid w:val="00B8071B"/>
    <w:rsid w:val="00B808EE"/>
    <w:rsid w:val="00B80DA1"/>
    <w:rsid w:val="00B81498"/>
    <w:rsid w:val="00B81AF2"/>
    <w:rsid w:val="00B82BEA"/>
    <w:rsid w:val="00B82F8E"/>
    <w:rsid w:val="00B8492C"/>
    <w:rsid w:val="00B85DBE"/>
    <w:rsid w:val="00B91096"/>
    <w:rsid w:val="00B93381"/>
    <w:rsid w:val="00B935E7"/>
    <w:rsid w:val="00B9655B"/>
    <w:rsid w:val="00B96FD6"/>
    <w:rsid w:val="00B97B89"/>
    <w:rsid w:val="00B97F0C"/>
    <w:rsid w:val="00BA07C3"/>
    <w:rsid w:val="00BA2CFA"/>
    <w:rsid w:val="00BA354E"/>
    <w:rsid w:val="00BA3D9F"/>
    <w:rsid w:val="00BA48D6"/>
    <w:rsid w:val="00BA7254"/>
    <w:rsid w:val="00BA75B1"/>
    <w:rsid w:val="00BA79C2"/>
    <w:rsid w:val="00BB1B87"/>
    <w:rsid w:val="00BB1C7F"/>
    <w:rsid w:val="00BB1FCB"/>
    <w:rsid w:val="00BB4C7A"/>
    <w:rsid w:val="00BB54EA"/>
    <w:rsid w:val="00BB650D"/>
    <w:rsid w:val="00BB672D"/>
    <w:rsid w:val="00BB6FC6"/>
    <w:rsid w:val="00BC012A"/>
    <w:rsid w:val="00BC0A1C"/>
    <w:rsid w:val="00BC0A7F"/>
    <w:rsid w:val="00BC0C67"/>
    <w:rsid w:val="00BC16DD"/>
    <w:rsid w:val="00BC2DAE"/>
    <w:rsid w:val="00BC3F9C"/>
    <w:rsid w:val="00BC48A1"/>
    <w:rsid w:val="00BC6F77"/>
    <w:rsid w:val="00BC7CB4"/>
    <w:rsid w:val="00BD0828"/>
    <w:rsid w:val="00BD286A"/>
    <w:rsid w:val="00BD66B1"/>
    <w:rsid w:val="00BD6BDC"/>
    <w:rsid w:val="00BE0C4E"/>
    <w:rsid w:val="00BE2254"/>
    <w:rsid w:val="00BE2A2E"/>
    <w:rsid w:val="00BE5741"/>
    <w:rsid w:val="00BE69B9"/>
    <w:rsid w:val="00BE7735"/>
    <w:rsid w:val="00BF0782"/>
    <w:rsid w:val="00BF092A"/>
    <w:rsid w:val="00BF139F"/>
    <w:rsid w:val="00BF178B"/>
    <w:rsid w:val="00BF1EBA"/>
    <w:rsid w:val="00BF27F5"/>
    <w:rsid w:val="00BF47BD"/>
    <w:rsid w:val="00BF548C"/>
    <w:rsid w:val="00BF7714"/>
    <w:rsid w:val="00C00FE4"/>
    <w:rsid w:val="00C04842"/>
    <w:rsid w:val="00C04DBE"/>
    <w:rsid w:val="00C123A3"/>
    <w:rsid w:val="00C1355C"/>
    <w:rsid w:val="00C160F9"/>
    <w:rsid w:val="00C16291"/>
    <w:rsid w:val="00C16593"/>
    <w:rsid w:val="00C168E0"/>
    <w:rsid w:val="00C169DA"/>
    <w:rsid w:val="00C171B9"/>
    <w:rsid w:val="00C21871"/>
    <w:rsid w:val="00C21CEE"/>
    <w:rsid w:val="00C228A9"/>
    <w:rsid w:val="00C22A8C"/>
    <w:rsid w:val="00C252B9"/>
    <w:rsid w:val="00C26F66"/>
    <w:rsid w:val="00C334F1"/>
    <w:rsid w:val="00C33658"/>
    <w:rsid w:val="00C34719"/>
    <w:rsid w:val="00C35A21"/>
    <w:rsid w:val="00C367B0"/>
    <w:rsid w:val="00C37242"/>
    <w:rsid w:val="00C37352"/>
    <w:rsid w:val="00C4172D"/>
    <w:rsid w:val="00C4231C"/>
    <w:rsid w:val="00C452FF"/>
    <w:rsid w:val="00C512AB"/>
    <w:rsid w:val="00C546C5"/>
    <w:rsid w:val="00C54838"/>
    <w:rsid w:val="00C56C76"/>
    <w:rsid w:val="00C57347"/>
    <w:rsid w:val="00C57C82"/>
    <w:rsid w:val="00C605D8"/>
    <w:rsid w:val="00C62B8F"/>
    <w:rsid w:val="00C63C2C"/>
    <w:rsid w:val="00C658CD"/>
    <w:rsid w:val="00C7016D"/>
    <w:rsid w:val="00C72970"/>
    <w:rsid w:val="00C72F8C"/>
    <w:rsid w:val="00C74988"/>
    <w:rsid w:val="00C8193A"/>
    <w:rsid w:val="00C84C2B"/>
    <w:rsid w:val="00C84D8C"/>
    <w:rsid w:val="00C853D1"/>
    <w:rsid w:val="00C85A96"/>
    <w:rsid w:val="00C85E95"/>
    <w:rsid w:val="00C8701A"/>
    <w:rsid w:val="00C93E0A"/>
    <w:rsid w:val="00C95160"/>
    <w:rsid w:val="00C959DE"/>
    <w:rsid w:val="00CA0C1D"/>
    <w:rsid w:val="00CA19AC"/>
    <w:rsid w:val="00CA23C9"/>
    <w:rsid w:val="00CA2552"/>
    <w:rsid w:val="00CA2F03"/>
    <w:rsid w:val="00CA2F84"/>
    <w:rsid w:val="00CA5C1A"/>
    <w:rsid w:val="00CA5E50"/>
    <w:rsid w:val="00CA783B"/>
    <w:rsid w:val="00CB02CF"/>
    <w:rsid w:val="00CB04B0"/>
    <w:rsid w:val="00CB233C"/>
    <w:rsid w:val="00CB2768"/>
    <w:rsid w:val="00CB2B7B"/>
    <w:rsid w:val="00CB49F7"/>
    <w:rsid w:val="00CB4D29"/>
    <w:rsid w:val="00CB5A9E"/>
    <w:rsid w:val="00CC12D9"/>
    <w:rsid w:val="00CC1E4F"/>
    <w:rsid w:val="00CC2EBD"/>
    <w:rsid w:val="00CC43DE"/>
    <w:rsid w:val="00CC5561"/>
    <w:rsid w:val="00CC6E2E"/>
    <w:rsid w:val="00CC708F"/>
    <w:rsid w:val="00CC7111"/>
    <w:rsid w:val="00CC7EAC"/>
    <w:rsid w:val="00CD183A"/>
    <w:rsid w:val="00CD1955"/>
    <w:rsid w:val="00CD573E"/>
    <w:rsid w:val="00CD67B9"/>
    <w:rsid w:val="00CE32DD"/>
    <w:rsid w:val="00CE3D3B"/>
    <w:rsid w:val="00CE7899"/>
    <w:rsid w:val="00CE7DB1"/>
    <w:rsid w:val="00CF1893"/>
    <w:rsid w:val="00CF1FCE"/>
    <w:rsid w:val="00CF2E37"/>
    <w:rsid w:val="00CF33F8"/>
    <w:rsid w:val="00CF38E2"/>
    <w:rsid w:val="00CF5199"/>
    <w:rsid w:val="00CF521E"/>
    <w:rsid w:val="00CF55C6"/>
    <w:rsid w:val="00CF7911"/>
    <w:rsid w:val="00D02413"/>
    <w:rsid w:val="00D03748"/>
    <w:rsid w:val="00D04493"/>
    <w:rsid w:val="00D05BF1"/>
    <w:rsid w:val="00D05D3F"/>
    <w:rsid w:val="00D05EFC"/>
    <w:rsid w:val="00D060B7"/>
    <w:rsid w:val="00D069DF"/>
    <w:rsid w:val="00D101F8"/>
    <w:rsid w:val="00D104DB"/>
    <w:rsid w:val="00D10ABA"/>
    <w:rsid w:val="00D10BBE"/>
    <w:rsid w:val="00D10C13"/>
    <w:rsid w:val="00D10F38"/>
    <w:rsid w:val="00D114F9"/>
    <w:rsid w:val="00D11E84"/>
    <w:rsid w:val="00D121F9"/>
    <w:rsid w:val="00D124D8"/>
    <w:rsid w:val="00D15032"/>
    <w:rsid w:val="00D16932"/>
    <w:rsid w:val="00D16C0D"/>
    <w:rsid w:val="00D204EE"/>
    <w:rsid w:val="00D20A34"/>
    <w:rsid w:val="00D228A2"/>
    <w:rsid w:val="00D237F3"/>
    <w:rsid w:val="00D2535A"/>
    <w:rsid w:val="00D265B4"/>
    <w:rsid w:val="00D32D4B"/>
    <w:rsid w:val="00D3492E"/>
    <w:rsid w:val="00D34952"/>
    <w:rsid w:val="00D349C8"/>
    <w:rsid w:val="00D353FA"/>
    <w:rsid w:val="00D35E46"/>
    <w:rsid w:val="00D373AF"/>
    <w:rsid w:val="00D40EB5"/>
    <w:rsid w:val="00D41407"/>
    <w:rsid w:val="00D415B3"/>
    <w:rsid w:val="00D41618"/>
    <w:rsid w:val="00D4183F"/>
    <w:rsid w:val="00D4246E"/>
    <w:rsid w:val="00D42F90"/>
    <w:rsid w:val="00D42FE0"/>
    <w:rsid w:val="00D4661B"/>
    <w:rsid w:val="00D5012F"/>
    <w:rsid w:val="00D51B7F"/>
    <w:rsid w:val="00D53A0C"/>
    <w:rsid w:val="00D53F42"/>
    <w:rsid w:val="00D55164"/>
    <w:rsid w:val="00D553B2"/>
    <w:rsid w:val="00D56006"/>
    <w:rsid w:val="00D5686A"/>
    <w:rsid w:val="00D603BF"/>
    <w:rsid w:val="00D615CC"/>
    <w:rsid w:val="00D618FA"/>
    <w:rsid w:val="00D62C6E"/>
    <w:rsid w:val="00D6394A"/>
    <w:rsid w:val="00D6407D"/>
    <w:rsid w:val="00D70292"/>
    <w:rsid w:val="00D733EF"/>
    <w:rsid w:val="00D752D2"/>
    <w:rsid w:val="00D76975"/>
    <w:rsid w:val="00D772C9"/>
    <w:rsid w:val="00D77542"/>
    <w:rsid w:val="00D77DD2"/>
    <w:rsid w:val="00D800E6"/>
    <w:rsid w:val="00D81405"/>
    <w:rsid w:val="00D8155A"/>
    <w:rsid w:val="00D81E2A"/>
    <w:rsid w:val="00D83931"/>
    <w:rsid w:val="00D87BE5"/>
    <w:rsid w:val="00D90E06"/>
    <w:rsid w:val="00D91B5E"/>
    <w:rsid w:val="00D92BAB"/>
    <w:rsid w:val="00D93EFD"/>
    <w:rsid w:val="00D9434F"/>
    <w:rsid w:val="00D94C0C"/>
    <w:rsid w:val="00D96276"/>
    <w:rsid w:val="00DA01E7"/>
    <w:rsid w:val="00DA2072"/>
    <w:rsid w:val="00DA3046"/>
    <w:rsid w:val="00DA3751"/>
    <w:rsid w:val="00DA69DD"/>
    <w:rsid w:val="00DA7965"/>
    <w:rsid w:val="00DB10DD"/>
    <w:rsid w:val="00DB171B"/>
    <w:rsid w:val="00DB268E"/>
    <w:rsid w:val="00DB5BD8"/>
    <w:rsid w:val="00DB5D3F"/>
    <w:rsid w:val="00DB6863"/>
    <w:rsid w:val="00DB6D27"/>
    <w:rsid w:val="00DC0C01"/>
    <w:rsid w:val="00DC165A"/>
    <w:rsid w:val="00DC41D9"/>
    <w:rsid w:val="00DC5A36"/>
    <w:rsid w:val="00DC6387"/>
    <w:rsid w:val="00DD06F5"/>
    <w:rsid w:val="00DD0EE9"/>
    <w:rsid w:val="00DD0F84"/>
    <w:rsid w:val="00DD116F"/>
    <w:rsid w:val="00DD2536"/>
    <w:rsid w:val="00DD2C50"/>
    <w:rsid w:val="00DD5573"/>
    <w:rsid w:val="00DD6442"/>
    <w:rsid w:val="00DE054D"/>
    <w:rsid w:val="00DE0A05"/>
    <w:rsid w:val="00DE1184"/>
    <w:rsid w:val="00DE3979"/>
    <w:rsid w:val="00DE5994"/>
    <w:rsid w:val="00DE6290"/>
    <w:rsid w:val="00DE6FC4"/>
    <w:rsid w:val="00DF18BF"/>
    <w:rsid w:val="00DF2DD7"/>
    <w:rsid w:val="00DF38FA"/>
    <w:rsid w:val="00DF3D95"/>
    <w:rsid w:val="00DF5230"/>
    <w:rsid w:val="00DF5442"/>
    <w:rsid w:val="00DF63B1"/>
    <w:rsid w:val="00DF68C5"/>
    <w:rsid w:val="00DF6A37"/>
    <w:rsid w:val="00DF7357"/>
    <w:rsid w:val="00E009A5"/>
    <w:rsid w:val="00E00B9A"/>
    <w:rsid w:val="00E00CF7"/>
    <w:rsid w:val="00E010F7"/>
    <w:rsid w:val="00E01CD2"/>
    <w:rsid w:val="00E0369E"/>
    <w:rsid w:val="00E04D30"/>
    <w:rsid w:val="00E0587E"/>
    <w:rsid w:val="00E06552"/>
    <w:rsid w:val="00E13EC0"/>
    <w:rsid w:val="00E14E9E"/>
    <w:rsid w:val="00E1527B"/>
    <w:rsid w:val="00E15B4F"/>
    <w:rsid w:val="00E160CE"/>
    <w:rsid w:val="00E22458"/>
    <w:rsid w:val="00E2326A"/>
    <w:rsid w:val="00E240BC"/>
    <w:rsid w:val="00E26019"/>
    <w:rsid w:val="00E2672A"/>
    <w:rsid w:val="00E278F2"/>
    <w:rsid w:val="00E30548"/>
    <w:rsid w:val="00E30E7E"/>
    <w:rsid w:val="00E31577"/>
    <w:rsid w:val="00E317EA"/>
    <w:rsid w:val="00E32D11"/>
    <w:rsid w:val="00E33E03"/>
    <w:rsid w:val="00E35618"/>
    <w:rsid w:val="00E378A7"/>
    <w:rsid w:val="00E41827"/>
    <w:rsid w:val="00E41E5D"/>
    <w:rsid w:val="00E45953"/>
    <w:rsid w:val="00E4650F"/>
    <w:rsid w:val="00E46887"/>
    <w:rsid w:val="00E46DA8"/>
    <w:rsid w:val="00E53079"/>
    <w:rsid w:val="00E5473E"/>
    <w:rsid w:val="00E54BF0"/>
    <w:rsid w:val="00E61DB9"/>
    <w:rsid w:val="00E61E5E"/>
    <w:rsid w:val="00E6219E"/>
    <w:rsid w:val="00E6532D"/>
    <w:rsid w:val="00E663DA"/>
    <w:rsid w:val="00E67ED5"/>
    <w:rsid w:val="00E70DE9"/>
    <w:rsid w:val="00E71AF0"/>
    <w:rsid w:val="00E723EA"/>
    <w:rsid w:val="00E73817"/>
    <w:rsid w:val="00E7522F"/>
    <w:rsid w:val="00E761E2"/>
    <w:rsid w:val="00E80296"/>
    <w:rsid w:val="00E80884"/>
    <w:rsid w:val="00E8346C"/>
    <w:rsid w:val="00E83494"/>
    <w:rsid w:val="00E86C14"/>
    <w:rsid w:val="00E90157"/>
    <w:rsid w:val="00E9186A"/>
    <w:rsid w:val="00E92B4A"/>
    <w:rsid w:val="00E92F31"/>
    <w:rsid w:val="00E93EDF"/>
    <w:rsid w:val="00E94589"/>
    <w:rsid w:val="00E95783"/>
    <w:rsid w:val="00E966F3"/>
    <w:rsid w:val="00E97929"/>
    <w:rsid w:val="00E979E3"/>
    <w:rsid w:val="00EA028E"/>
    <w:rsid w:val="00EA1004"/>
    <w:rsid w:val="00EA2274"/>
    <w:rsid w:val="00EA2CF6"/>
    <w:rsid w:val="00EA3621"/>
    <w:rsid w:val="00EA3C2A"/>
    <w:rsid w:val="00EA5447"/>
    <w:rsid w:val="00EA5AFD"/>
    <w:rsid w:val="00EB0056"/>
    <w:rsid w:val="00EB051B"/>
    <w:rsid w:val="00EB0AEA"/>
    <w:rsid w:val="00EB1E57"/>
    <w:rsid w:val="00EB43DB"/>
    <w:rsid w:val="00EB44D8"/>
    <w:rsid w:val="00EB4A38"/>
    <w:rsid w:val="00EB6809"/>
    <w:rsid w:val="00EC01B9"/>
    <w:rsid w:val="00EC023F"/>
    <w:rsid w:val="00EC0FD6"/>
    <w:rsid w:val="00EC13C0"/>
    <w:rsid w:val="00EC1572"/>
    <w:rsid w:val="00EC287A"/>
    <w:rsid w:val="00EC3958"/>
    <w:rsid w:val="00EC4DD8"/>
    <w:rsid w:val="00EC4F07"/>
    <w:rsid w:val="00ED23EB"/>
    <w:rsid w:val="00ED2BAD"/>
    <w:rsid w:val="00ED2FAF"/>
    <w:rsid w:val="00ED3E43"/>
    <w:rsid w:val="00ED4E54"/>
    <w:rsid w:val="00ED641B"/>
    <w:rsid w:val="00ED764A"/>
    <w:rsid w:val="00EE23E5"/>
    <w:rsid w:val="00EE53C5"/>
    <w:rsid w:val="00EE5741"/>
    <w:rsid w:val="00EE6F35"/>
    <w:rsid w:val="00EF0402"/>
    <w:rsid w:val="00EF0D39"/>
    <w:rsid w:val="00EF6024"/>
    <w:rsid w:val="00EF639E"/>
    <w:rsid w:val="00F00AEE"/>
    <w:rsid w:val="00F00E25"/>
    <w:rsid w:val="00F02093"/>
    <w:rsid w:val="00F03666"/>
    <w:rsid w:val="00F04E61"/>
    <w:rsid w:val="00F05DDC"/>
    <w:rsid w:val="00F060A2"/>
    <w:rsid w:val="00F06386"/>
    <w:rsid w:val="00F07E7D"/>
    <w:rsid w:val="00F10C8E"/>
    <w:rsid w:val="00F121AE"/>
    <w:rsid w:val="00F12290"/>
    <w:rsid w:val="00F12BA1"/>
    <w:rsid w:val="00F137CE"/>
    <w:rsid w:val="00F1403F"/>
    <w:rsid w:val="00F14F9C"/>
    <w:rsid w:val="00F20BC2"/>
    <w:rsid w:val="00F21071"/>
    <w:rsid w:val="00F21183"/>
    <w:rsid w:val="00F21344"/>
    <w:rsid w:val="00F216D8"/>
    <w:rsid w:val="00F245ED"/>
    <w:rsid w:val="00F2695D"/>
    <w:rsid w:val="00F27A89"/>
    <w:rsid w:val="00F27B5E"/>
    <w:rsid w:val="00F30CF8"/>
    <w:rsid w:val="00F345E8"/>
    <w:rsid w:val="00F35A10"/>
    <w:rsid w:val="00F4029B"/>
    <w:rsid w:val="00F40C66"/>
    <w:rsid w:val="00F433A5"/>
    <w:rsid w:val="00F44120"/>
    <w:rsid w:val="00F447A5"/>
    <w:rsid w:val="00F469B8"/>
    <w:rsid w:val="00F46B13"/>
    <w:rsid w:val="00F46F91"/>
    <w:rsid w:val="00F516F1"/>
    <w:rsid w:val="00F5217D"/>
    <w:rsid w:val="00F53A86"/>
    <w:rsid w:val="00F54246"/>
    <w:rsid w:val="00F5482F"/>
    <w:rsid w:val="00F55385"/>
    <w:rsid w:val="00F560A6"/>
    <w:rsid w:val="00F561D0"/>
    <w:rsid w:val="00F566B5"/>
    <w:rsid w:val="00F60A4F"/>
    <w:rsid w:val="00F60DAF"/>
    <w:rsid w:val="00F60E48"/>
    <w:rsid w:val="00F63FA8"/>
    <w:rsid w:val="00F643C0"/>
    <w:rsid w:val="00F67D7C"/>
    <w:rsid w:val="00F7258B"/>
    <w:rsid w:val="00F72E4B"/>
    <w:rsid w:val="00F731F4"/>
    <w:rsid w:val="00F7369F"/>
    <w:rsid w:val="00F75808"/>
    <w:rsid w:val="00F75EA5"/>
    <w:rsid w:val="00F762D3"/>
    <w:rsid w:val="00F7685F"/>
    <w:rsid w:val="00F76BA8"/>
    <w:rsid w:val="00F815F6"/>
    <w:rsid w:val="00F81A9B"/>
    <w:rsid w:val="00F821C8"/>
    <w:rsid w:val="00F8282B"/>
    <w:rsid w:val="00F82DF5"/>
    <w:rsid w:val="00F90C85"/>
    <w:rsid w:val="00F91BA3"/>
    <w:rsid w:val="00F92095"/>
    <w:rsid w:val="00F926A0"/>
    <w:rsid w:val="00F92C0B"/>
    <w:rsid w:val="00F95B32"/>
    <w:rsid w:val="00F97B1C"/>
    <w:rsid w:val="00FA1312"/>
    <w:rsid w:val="00FA25ED"/>
    <w:rsid w:val="00FA3952"/>
    <w:rsid w:val="00FA48BE"/>
    <w:rsid w:val="00FA5759"/>
    <w:rsid w:val="00FA66DC"/>
    <w:rsid w:val="00FA7B77"/>
    <w:rsid w:val="00FB4748"/>
    <w:rsid w:val="00FB5C57"/>
    <w:rsid w:val="00FB75CF"/>
    <w:rsid w:val="00FC1636"/>
    <w:rsid w:val="00FC20CC"/>
    <w:rsid w:val="00FC2E0B"/>
    <w:rsid w:val="00FC4CB0"/>
    <w:rsid w:val="00FC6454"/>
    <w:rsid w:val="00FC6B3E"/>
    <w:rsid w:val="00FD12D2"/>
    <w:rsid w:val="00FD1A44"/>
    <w:rsid w:val="00FD5A7B"/>
    <w:rsid w:val="00FD6AB5"/>
    <w:rsid w:val="00FD6EAA"/>
    <w:rsid w:val="00FE0F9D"/>
    <w:rsid w:val="00FE3038"/>
    <w:rsid w:val="00FE3840"/>
    <w:rsid w:val="00FE3BDF"/>
    <w:rsid w:val="00FE53FE"/>
    <w:rsid w:val="00FE5BF6"/>
    <w:rsid w:val="00FE5E84"/>
    <w:rsid w:val="00FE6DE2"/>
    <w:rsid w:val="00FE7059"/>
    <w:rsid w:val="00FE7575"/>
    <w:rsid w:val="00FF2C3D"/>
    <w:rsid w:val="00FF5167"/>
    <w:rsid w:val="00FF69DD"/>
    <w:rsid w:val="00FF69E9"/>
    <w:rsid w:val="00FF6E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642"/>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F06386"/>
    <w:rPr>
      <w:color w:val="605E5C"/>
      <w:shd w:val="clear" w:color="auto" w:fill="E1DFDD"/>
    </w:rPr>
  </w:style>
  <w:style w:type="paragraph" w:styleId="TDC2">
    <w:name w:val="toc 2"/>
    <w:basedOn w:val="Normal"/>
    <w:next w:val="Normal"/>
    <w:autoRedefine/>
    <w:uiPriority w:val="39"/>
    <w:unhideWhenUsed/>
    <w:rsid w:val="00BE773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8172">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436490073">
      <w:bodyDiv w:val="1"/>
      <w:marLeft w:val="0"/>
      <w:marRight w:val="0"/>
      <w:marTop w:val="0"/>
      <w:marBottom w:val="0"/>
      <w:divBdr>
        <w:top w:val="none" w:sz="0" w:space="0" w:color="auto"/>
        <w:left w:val="none" w:sz="0" w:space="0" w:color="auto"/>
        <w:bottom w:val="none" w:sz="0" w:space="0" w:color="auto"/>
        <w:right w:val="none" w:sz="0" w:space="0" w:color="auto"/>
      </w:divBdr>
    </w:div>
    <w:div w:id="478352140">
      <w:bodyDiv w:val="1"/>
      <w:marLeft w:val="0"/>
      <w:marRight w:val="0"/>
      <w:marTop w:val="0"/>
      <w:marBottom w:val="0"/>
      <w:divBdr>
        <w:top w:val="none" w:sz="0" w:space="0" w:color="auto"/>
        <w:left w:val="none" w:sz="0" w:space="0" w:color="auto"/>
        <w:bottom w:val="none" w:sz="0" w:space="0" w:color="auto"/>
        <w:right w:val="none" w:sz="0" w:space="0" w:color="auto"/>
      </w:divBdr>
    </w:div>
    <w:div w:id="486434366">
      <w:bodyDiv w:val="1"/>
      <w:marLeft w:val="0"/>
      <w:marRight w:val="0"/>
      <w:marTop w:val="0"/>
      <w:marBottom w:val="0"/>
      <w:divBdr>
        <w:top w:val="none" w:sz="0" w:space="0" w:color="auto"/>
        <w:left w:val="none" w:sz="0" w:space="0" w:color="auto"/>
        <w:bottom w:val="none" w:sz="0" w:space="0" w:color="auto"/>
        <w:right w:val="none" w:sz="0" w:space="0" w:color="auto"/>
      </w:divBdr>
    </w:div>
    <w:div w:id="560484147">
      <w:bodyDiv w:val="1"/>
      <w:marLeft w:val="0"/>
      <w:marRight w:val="0"/>
      <w:marTop w:val="0"/>
      <w:marBottom w:val="0"/>
      <w:divBdr>
        <w:top w:val="none" w:sz="0" w:space="0" w:color="auto"/>
        <w:left w:val="none" w:sz="0" w:space="0" w:color="auto"/>
        <w:bottom w:val="none" w:sz="0" w:space="0" w:color="auto"/>
        <w:right w:val="none" w:sz="0" w:space="0" w:color="auto"/>
      </w:divBdr>
    </w:div>
    <w:div w:id="587034009">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51358">
      <w:bodyDiv w:val="1"/>
      <w:marLeft w:val="0"/>
      <w:marRight w:val="0"/>
      <w:marTop w:val="0"/>
      <w:marBottom w:val="0"/>
      <w:divBdr>
        <w:top w:val="none" w:sz="0" w:space="0" w:color="auto"/>
        <w:left w:val="none" w:sz="0" w:space="0" w:color="auto"/>
        <w:bottom w:val="none" w:sz="0" w:space="0" w:color="auto"/>
        <w:right w:val="none" w:sz="0" w:space="0" w:color="auto"/>
      </w:divBdr>
    </w:div>
    <w:div w:id="651984546">
      <w:bodyDiv w:val="1"/>
      <w:marLeft w:val="0"/>
      <w:marRight w:val="0"/>
      <w:marTop w:val="0"/>
      <w:marBottom w:val="0"/>
      <w:divBdr>
        <w:top w:val="none" w:sz="0" w:space="0" w:color="auto"/>
        <w:left w:val="none" w:sz="0" w:space="0" w:color="auto"/>
        <w:bottom w:val="none" w:sz="0" w:space="0" w:color="auto"/>
        <w:right w:val="none" w:sz="0" w:space="0" w:color="auto"/>
      </w:divBdr>
    </w:div>
    <w:div w:id="707268195">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20267">
      <w:bodyDiv w:val="1"/>
      <w:marLeft w:val="0"/>
      <w:marRight w:val="0"/>
      <w:marTop w:val="0"/>
      <w:marBottom w:val="0"/>
      <w:divBdr>
        <w:top w:val="none" w:sz="0" w:space="0" w:color="auto"/>
        <w:left w:val="none" w:sz="0" w:space="0" w:color="auto"/>
        <w:bottom w:val="none" w:sz="0" w:space="0" w:color="auto"/>
        <w:right w:val="none" w:sz="0" w:space="0" w:color="auto"/>
      </w:divBdr>
    </w:div>
    <w:div w:id="877543821">
      <w:bodyDiv w:val="1"/>
      <w:marLeft w:val="0"/>
      <w:marRight w:val="0"/>
      <w:marTop w:val="0"/>
      <w:marBottom w:val="0"/>
      <w:divBdr>
        <w:top w:val="none" w:sz="0" w:space="0" w:color="auto"/>
        <w:left w:val="none" w:sz="0" w:space="0" w:color="auto"/>
        <w:bottom w:val="none" w:sz="0" w:space="0" w:color="auto"/>
        <w:right w:val="none" w:sz="0" w:space="0" w:color="auto"/>
      </w:divBdr>
    </w:div>
    <w:div w:id="1021199529">
      <w:bodyDiv w:val="1"/>
      <w:marLeft w:val="0"/>
      <w:marRight w:val="0"/>
      <w:marTop w:val="0"/>
      <w:marBottom w:val="0"/>
      <w:divBdr>
        <w:top w:val="none" w:sz="0" w:space="0" w:color="auto"/>
        <w:left w:val="none" w:sz="0" w:space="0" w:color="auto"/>
        <w:bottom w:val="none" w:sz="0" w:space="0" w:color="auto"/>
        <w:right w:val="none" w:sz="0" w:space="0" w:color="auto"/>
      </w:divBdr>
    </w:div>
    <w:div w:id="1103497493">
      <w:bodyDiv w:val="1"/>
      <w:marLeft w:val="0"/>
      <w:marRight w:val="0"/>
      <w:marTop w:val="0"/>
      <w:marBottom w:val="0"/>
      <w:divBdr>
        <w:top w:val="none" w:sz="0" w:space="0" w:color="auto"/>
        <w:left w:val="none" w:sz="0" w:space="0" w:color="auto"/>
        <w:bottom w:val="none" w:sz="0" w:space="0" w:color="auto"/>
        <w:right w:val="none" w:sz="0" w:space="0" w:color="auto"/>
      </w:divBdr>
    </w:div>
    <w:div w:id="1189871938">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22044">
      <w:bodyDiv w:val="1"/>
      <w:marLeft w:val="0"/>
      <w:marRight w:val="0"/>
      <w:marTop w:val="0"/>
      <w:marBottom w:val="0"/>
      <w:divBdr>
        <w:top w:val="none" w:sz="0" w:space="0" w:color="auto"/>
        <w:left w:val="none" w:sz="0" w:space="0" w:color="auto"/>
        <w:bottom w:val="none" w:sz="0" w:space="0" w:color="auto"/>
        <w:right w:val="none" w:sz="0" w:space="0" w:color="auto"/>
      </w:divBdr>
    </w:div>
    <w:div w:id="1357347579">
      <w:bodyDiv w:val="1"/>
      <w:marLeft w:val="0"/>
      <w:marRight w:val="0"/>
      <w:marTop w:val="0"/>
      <w:marBottom w:val="0"/>
      <w:divBdr>
        <w:top w:val="none" w:sz="0" w:space="0" w:color="auto"/>
        <w:left w:val="none" w:sz="0" w:space="0" w:color="auto"/>
        <w:bottom w:val="none" w:sz="0" w:space="0" w:color="auto"/>
        <w:right w:val="none" w:sz="0" w:space="0" w:color="auto"/>
      </w:divBdr>
    </w:div>
    <w:div w:id="1418478395">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1912080368">
      <w:bodyDiv w:val="1"/>
      <w:marLeft w:val="0"/>
      <w:marRight w:val="0"/>
      <w:marTop w:val="0"/>
      <w:marBottom w:val="0"/>
      <w:divBdr>
        <w:top w:val="none" w:sz="0" w:space="0" w:color="auto"/>
        <w:left w:val="none" w:sz="0" w:space="0" w:color="auto"/>
        <w:bottom w:val="none" w:sz="0" w:space="0" w:color="auto"/>
        <w:right w:val="none" w:sz="0" w:space="0" w:color="auto"/>
      </w:divBdr>
    </w:div>
    <w:div w:id="2006394338">
      <w:bodyDiv w:val="1"/>
      <w:marLeft w:val="0"/>
      <w:marRight w:val="0"/>
      <w:marTop w:val="0"/>
      <w:marBottom w:val="0"/>
      <w:divBdr>
        <w:top w:val="none" w:sz="0" w:space="0" w:color="auto"/>
        <w:left w:val="none" w:sz="0" w:space="0" w:color="auto"/>
        <w:bottom w:val="none" w:sz="0" w:space="0" w:color="auto"/>
        <w:right w:val="none" w:sz="0" w:space="0" w:color="auto"/>
      </w:divBdr>
    </w:div>
    <w:div w:id="210187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f.gob.mx/nota_detalle.php?codigo=5492254&amp;fecha=28/07/201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segob/renapo/acciones-y-programas/clave-unica-de-registro-de-poblacion-curp-14222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nsultas.curp.gob.mx/CurpSP/html/informacionecurpP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BBCAD-EA4A-4A1D-BD66-3AF49BDFD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10948</Words>
  <Characters>60215</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Hp</cp:lastModifiedBy>
  <cp:revision>4</cp:revision>
  <cp:lastPrinted>2025-08-29T12:04:00Z</cp:lastPrinted>
  <dcterms:created xsi:type="dcterms:W3CDTF">2025-08-29T12:04:00Z</dcterms:created>
  <dcterms:modified xsi:type="dcterms:W3CDTF">2025-09-23T23:52:00Z</dcterms:modified>
</cp:coreProperties>
</file>