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trece de agosto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05209/INFOEM/IP/RR/2025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un particular que no proporcionó nombre o seudónimo para ser identificado,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01595/TOLUCA/IP/2025</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Ayuntamiento de Toluca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8"/>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numPr>
          <w:ilvl w:val="1"/>
          <w:numId w:val="1"/>
        </w:numPr>
        <w:pBdr>
          <w:top w:space="0" w:sz="0" w:val="nil"/>
          <w:left w:space="0" w:sz="0" w:val="nil"/>
          <w:bottom w:space="0" w:sz="0" w:val="nil"/>
          <w:right w:space="0" w:sz="0" w:val="nil"/>
          <w:between w:space="0" w:sz="0" w:val="nil"/>
        </w:pBdr>
        <w:spacing w:after="240" w:before="240"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catorce de marzo del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su solicitud de acceso a la información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mediante la cual requirió lo siguiente:</w:t>
      </w:r>
      <w:r w:rsidDel="00000000" w:rsidR="00000000" w:rsidRPr="00000000">
        <w:rPr>
          <w:rtl w:val="0"/>
        </w:rPr>
      </w:r>
    </w:p>
    <w:p w:rsidR="00000000" w:rsidDel="00000000" w:rsidP="00000000" w:rsidRDefault="00000000" w:rsidRPr="00000000" w14:paraId="0000000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programa de obra 2025 con el acta de aprobación de cabildo cuantas de esas obra se iniciaron a la fecha el exde contratación de esos servicios si es asignado directamente o por licitación facturas pagadas”</w:t>
      </w:r>
    </w:p>
    <w:p w:rsidR="00000000" w:rsidDel="00000000" w:rsidP="00000000" w:rsidRDefault="00000000" w:rsidRPr="00000000" w14:paraId="00000008">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siete de abril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C">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0D">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E">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 la solicitud con folio 01595/TOLUCA/IP/2025, me permito adjuntar al presente la respuesta correspondiente. Sin más por el momento, reciba un saludo.</w:t>
      </w:r>
    </w:p>
    <w:p w:rsidR="00000000" w:rsidDel="00000000" w:rsidP="00000000" w:rsidRDefault="00000000" w:rsidRPr="00000000" w14:paraId="0000000F">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0">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Dr. Nahum Miguel Mendoza Morales” (Sic)</w:t>
      </w:r>
    </w:p>
    <w:p w:rsidR="00000000" w:rsidDel="00000000" w:rsidP="00000000" w:rsidRDefault="00000000" w:rsidRPr="00000000" w14:paraId="0000001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a su respuesta el archivo electrónico denominado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 01595. 2025.pdf</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el cual contiene lo siguiente: </w:t>
      </w:r>
    </w:p>
    <w:p w:rsidR="00000000" w:rsidDel="00000000" w:rsidP="00000000" w:rsidRDefault="00000000" w:rsidRPr="00000000" w14:paraId="0000001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pacing w:line="360" w:lineRule="auto"/>
        <w:ind w:left="851"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Oficio de fecha siete de abril de dos mil veinticinco, signado la Titular de la Unidad de Transparencia, mediante el cual informó que la Secretaría del Ayuntamiento informó que procedió a realizar una búsqueda exhaustiva y razonable en los archivos que obran en la Coordinación de Apoyo a Cabildo, quien de acuerdo a sus facultades, competencias y funciones, no localizó expresión documental que dé cuenta de atención a su pretensión, en razón de que a la fecha no se ha generado, poseído o administrado la información requerida. </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Por lo que respecta a la Tesorería Municipal informó que la información solicitada se encuentra en proceso de integración, toda vez que corresponde al primer trimestre del ejercicio fiscal 2025. </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la Dirección General de Obras Públicas hizo del conocimiento que realizó una búsqueda exhaustiva y razonable de la información, en la que se concluyó que el Programa Anual de Obra para el ejercicio fiscal 2025, se encuentra en el periodo de integración y autorización, razón por la que no se han realizado procedimientos de contratación para la ejecución de obras públicas y en consecuencia no se ha generado ni administra expresión documental que dé cuenta de lo solicitado.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las facturas pagadas, puntualizó que de conformidad con lo establecido en el artículo 92 fracción X del Bando Municipal de Toluca 2025, así como el artículo 3.55 del Código Reglamentario Municipal de Toluca vigente y de lo estipulado en el Manual General de Organización del Sector Central de la Administración Pública Municipal de Toluca no es competencia, ni atribución de dicha dirección generarlas ni administrarlas.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siete de mayo de dos mil veinticinco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E">
      <w:pPr>
        <w:spacing w:line="36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p>
    <w:p w:rsidR="00000000" w:rsidDel="00000000" w:rsidP="00000000" w:rsidRDefault="00000000" w:rsidRPr="00000000" w14:paraId="0000001F">
      <w:pP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respuesta no entrega lo solicitado” </w:t>
      </w:r>
    </w:p>
    <w:p w:rsidR="00000000" w:rsidDel="00000000" w:rsidP="00000000" w:rsidRDefault="00000000" w:rsidRPr="00000000" w14:paraId="00000020">
      <w:pPr>
        <w:spacing w:line="276"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La negativa de la información solicitada”</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05209/INFOEM/IP/RR/2024</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doce de mayo de dos mil veinticinco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tabs>
          <w:tab w:val="left" w:leader="none" w:pos="284"/>
        </w:tabs>
        <w:spacing w:before="160"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rindió su informe justificado, en fecha </w:t>
      </w:r>
      <w:r w:rsidDel="00000000" w:rsidR="00000000" w:rsidRPr="00000000">
        <w:rPr>
          <w:rFonts w:ascii="Palatino Linotype" w:cs="Palatino Linotype" w:eastAsia="Palatino Linotype" w:hAnsi="Palatino Linotype"/>
          <w:b w:val="1"/>
          <w:sz w:val="22"/>
          <w:szCs w:val="22"/>
          <w:rtl w:val="0"/>
        </w:rPr>
        <w:t xml:space="preserve">veintiuno de mayo de dos mil veinticinco, </w:t>
      </w:r>
      <w:r w:rsidDel="00000000" w:rsidR="00000000" w:rsidRPr="00000000">
        <w:rPr>
          <w:rFonts w:ascii="Palatino Linotype" w:cs="Palatino Linotype" w:eastAsia="Palatino Linotype" w:hAnsi="Palatino Linotype"/>
          <w:sz w:val="22"/>
          <w:szCs w:val="22"/>
          <w:rtl w:val="0"/>
        </w:rPr>
        <w:t xml:space="preserve">a través del archivo electrónico denominado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“Ratificación 05208.pdf” </w:t>
      </w:r>
      <w:r w:rsidDel="00000000" w:rsidR="00000000" w:rsidRPr="00000000">
        <w:rPr>
          <w:rFonts w:ascii="Palatino Linotype" w:cs="Palatino Linotype" w:eastAsia="Palatino Linotype" w:hAnsi="Palatino Linotype"/>
          <w:sz w:val="22"/>
          <w:szCs w:val="22"/>
          <w:rtl w:val="0"/>
        </w:rPr>
        <w:t xml:space="preserve">mediante el cual ratifico en todas y cada y una de sus partes su respuesta de inicio. </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precisar que esta documentación se puso a disposición del particular mediante acuerdo signado por la Comisionada Ponente el </w:t>
      </w:r>
      <w:r w:rsidDel="00000000" w:rsidR="00000000" w:rsidRPr="00000000">
        <w:rPr>
          <w:rFonts w:ascii="Palatino Linotype" w:cs="Palatino Linotype" w:eastAsia="Palatino Linotype" w:hAnsi="Palatino Linotype"/>
          <w:b w:val="1"/>
          <w:sz w:val="22"/>
          <w:szCs w:val="22"/>
          <w:rtl w:val="0"/>
        </w:rPr>
        <w:t xml:space="preserve">seis de agosto de dos mil veinticinco</w:t>
      </w:r>
      <w:r w:rsidDel="00000000" w:rsidR="00000000" w:rsidRPr="00000000">
        <w:rPr>
          <w:rFonts w:ascii="Palatino Linotype" w:cs="Palatino Linotype" w:eastAsia="Palatino Linotype" w:hAnsi="Palatino Linotype"/>
          <w:sz w:val="22"/>
          <w:szCs w:val="22"/>
          <w:rtl w:val="0"/>
        </w:rPr>
        <w:t xml:space="preserve">, asimismo por cuanto hace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tiene que fue omisa en emitir sus alegatos o cualquier manifestación que a su derecho conviniera, por lo que se tiene por precluido su derecho para tal efecto. </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C">
      <w:pPr>
        <w:widowControl w:val="0"/>
        <w:numPr>
          <w:ilvl w:val="0"/>
          <w:numId w:val="6"/>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Ampliación de plazo: </w:t>
      </w:r>
      <w:r w:rsidDel="00000000" w:rsidR="00000000" w:rsidRPr="00000000">
        <w:rPr>
          <w:rFonts w:ascii="Palatino Linotype" w:cs="Palatino Linotype" w:eastAsia="Palatino Linotype" w:hAnsi="Palatino Linotype"/>
          <w:sz w:val="22"/>
          <w:szCs w:val="22"/>
          <w:rtl w:val="0"/>
        </w:rPr>
        <w:t xml:space="preserve">El</w:t>
      </w:r>
      <w:r w:rsidDel="00000000" w:rsidR="00000000" w:rsidRPr="00000000">
        <w:rPr>
          <w:rFonts w:ascii="Palatino Linotype" w:cs="Palatino Linotype" w:eastAsia="Palatino Linotype" w:hAnsi="Palatino Linotype"/>
          <w:b w:val="1"/>
          <w:sz w:val="22"/>
          <w:szCs w:val="22"/>
          <w:rtl w:val="0"/>
        </w:rPr>
        <w:t xml:space="preserve"> seis de agosto de dos mil veinticinco, </w:t>
      </w:r>
      <w:r w:rsidDel="00000000" w:rsidR="00000000" w:rsidRPr="00000000">
        <w:rPr>
          <w:rFonts w:ascii="Palatino Linotype" w:cs="Palatino Linotype" w:eastAsia="Palatino Linotype" w:hAnsi="Palatino Linotype"/>
          <w:sz w:val="22"/>
          <w:szCs w:val="22"/>
          <w:rtl w:val="0"/>
        </w:rPr>
        <w:t xml:space="preserve">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D">
      <w:pPr>
        <w:widowControl w:val="0"/>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3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    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9">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b)   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3A">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  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3B">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3C">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4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4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4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 consultable en el Seminario Judicial de la Federación y su gaceta, con el registro digital 2002351.</w:t>
      </w:r>
    </w:p>
    <w:p w:rsidR="00000000" w:rsidDel="00000000" w:rsidP="00000000" w:rsidRDefault="00000000" w:rsidRPr="00000000" w14:paraId="0000004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7">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 visible en el Seminario Judicial de la Federación y su gaceta, con el registro digital 2002350</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numPr>
          <w:ilvl w:val="0"/>
          <w:numId w:val="7"/>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mediante acuerdo de fecha trece de agosto de dos mil veinticinco, la Comisionada Ponente determinó el cierre de instrucción en términos de la fracción VI del artículo 185 de la Ley de Transparencia y Acceso a la Información Pública del Estado de México y Municipios, mismo que fue notificado en fecha catorce de agosto de dos mil veinticinco. </w:t>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D">
      <w:pPr>
        <w:numPr>
          <w:ilvl w:val="0"/>
          <w:numId w:val="8"/>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0">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siete de abril de dos mil veinticinco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siete de mayo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el décimo quinto día hábil en que tuvo conocimiento de la respuesta. </w:t>
      </w:r>
    </w:p>
    <w:p w:rsidR="00000000" w:rsidDel="00000000" w:rsidP="00000000" w:rsidRDefault="00000000" w:rsidRPr="00000000" w14:paraId="0000005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así como la fecha en que se interpuso el recurso de revisión, se concluye que el presente recurso de revisión se encuentra dentro de los márgenes temporales previstos las disposiciones legales referidas.</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por cuanto hace a la procedibilidad del recurso de revisión, es de suma importancia señalar que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no señaló un nombre con el que pueda ser identificado, tal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w:t>
      </w:r>
      <w:r w:rsidDel="00000000" w:rsidR="00000000" w:rsidRPr="00000000">
        <w:rPr>
          <w:rFonts w:ascii="Palatino Linotype" w:cs="Palatino Linotype" w:eastAsia="Palatino Linotype" w:hAnsi="Palatino Linotype"/>
          <w:b w:val="1"/>
          <w:i w:val="1"/>
          <w:sz w:val="22"/>
          <w:szCs w:val="22"/>
          <w:rtl w:val="0"/>
        </w:rPr>
        <w:t xml:space="preserve">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5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w:t>
      </w:r>
    </w:p>
    <w:p w:rsidR="00000000" w:rsidDel="00000000" w:rsidP="00000000" w:rsidRDefault="00000000" w:rsidRPr="00000000" w14:paraId="0000005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0">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e informe justificado rendido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5">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6">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7">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el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6A">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E">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70">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7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73">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7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7B">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D">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8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81">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82">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87">
      <w:pPr>
        <w:spacing w:after="240" w:before="240" w:line="360" w:lineRule="auto"/>
        <w:ind w:right="51"/>
        <w:jc w:val="both"/>
        <w:rPr>
          <w:rFonts w:ascii="Palatino Linotype" w:cs="Palatino Linotype" w:eastAsia="Palatino Linotype" w:hAnsi="Palatino Linotype"/>
          <w:sz w:val="22"/>
          <w:szCs w:val="22"/>
        </w:rPr>
      </w:pPr>
      <w:bookmarkStart w:colFirst="0" w:colLast="0" w:name="_heading=h.ky4ix0ncq2z7" w:id="3"/>
      <w:bookmarkEnd w:id="3"/>
      <w:r w:rsidDel="00000000" w:rsidR="00000000" w:rsidRPr="00000000">
        <w:rPr>
          <w:rFonts w:ascii="Palatino Linotype" w:cs="Palatino Linotype" w:eastAsia="Palatino Linotype" w:hAnsi="Palatino Linotype"/>
          <w:sz w:val="22"/>
          <w:szCs w:val="22"/>
          <w:rtl w:val="0"/>
        </w:rPr>
        <w:t xml:space="preserve">Ahora bien, del análisis a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del ejercicio fiscal dos mil veinticinco, la siguiente información: </w:t>
      </w:r>
    </w:p>
    <w:p w:rsidR="00000000" w:rsidDel="00000000" w:rsidP="00000000" w:rsidRDefault="00000000" w:rsidRPr="00000000" w14:paraId="00000088">
      <w:pPr>
        <w:numPr>
          <w:ilvl w:val="0"/>
          <w:numId w:val="2"/>
        </w:numPr>
        <w:pBdr>
          <w:top w:space="0" w:sz="0" w:val="nil"/>
          <w:left w:space="0" w:sz="0" w:val="nil"/>
          <w:bottom w:space="0" w:sz="0" w:val="nil"/>
          <w:right w:space="0" w:sz="0" w:val="nil"/>
          <w:between w:space="0" w:sz="0" w:val="nil"/>
        </w:pBdr>
        <w:spacing w:line="360" w:lineRule="auto"/>
        <w:ind w:left="720" w:right="616"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El programa de obras con acta de aprobación de cabildo,</w:t>
      </w:r>
    </w:p>
    <w:p w:rsidR="00000000" w:rsidDel="00000000" w:rsidP="00000000" w:rsidRDefault="00000000" w:rsidRPr="00000000" w14:paraId="00000089">
      <w:pPr>
        <w:numPr>
          <w:ilvl w:val="0"/>
          <w:numId w:val="2"/>
        </w:numPr>
        <w:pBdr>
          <w:top w:space="0" w:sz="0" w:val="nil"/>
          <w:left w:space="0" w:sz="0" w:val="nil"/>
          <w:bottom w:space="0" w:sz="0" w:val="nil"/>
          <w:right w:space="0" w:sz="0" w:val="nil"/>
          <w:between w:space="0" w:sz="0" w:val="nil"/>
        </w:pBdr>
        <w:spacing w:line="360" w:lineRule="auto"/>
        <w:ind w:left="720" w:right="616"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Obras iniciadas a la fecha,</w:t>
      </w:r>
    </w:p>
    <w:p w:rsidR="00000000" w:rsidDel="00000000" w:rsidP="00000000" w:rsidRDefault="00000000" w:rsidRPr="00000000" w14:paraId="0000008A">
      <w:pPr>
        <w:numPr>
          <w:ilvl w:val="0"/>
          <w:numId w:val="2"/>
        </w:numPr>
        <w:pBdr>
          <w:top w:space="0" w:sz="0" w:val="nil"/>
          <w:left w:space="0" w:sz="0" w:val="nil"/>
          <w:bottom w:space="0" w:sz="0" w:val="nil"/>
          <w:right w:space="0" w:sz="0" w:val="nil"/>
          <w:between w:space="0" w:sz="0" w:val="nil"/>
        </w:pBdr>
        <w:spacing w:line="360" w:lineRule="auto"/>
        <w:ind w:left="720" w:right="616"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Expediente de contratación de esos servicios si es asignado directamente o por licitación,</w:t>
      </w:r>
    </w:p>
    <w:p w:rsidR="00000000" w:rsidDel="00000000" w:rsidP="00000000" w:rsidRDefault="00000000" w:rsidRPr="00000000" w14:paraId="0000008B">
      <w:pPr>
        <w:numPr>
          <w:ilvl w:val="0"/>
          <w:numId w:val="2"/>
        </w:numPr>
        <w:pBdr>
          <w:top w:space="0" w:sz="0" w:val="nil"/>
          <w:left w:space="0" w:sz="0" w:val="nil"/>
          <w:bottom w:space="0" w:sz="0" w:val="nil"/>
          <w:right w:space="0" w:sz="0" w:val="nil"/>
          <w:between w:space="0" w:sz="0" w:val="nil"/>
        </w:pBdr>
        <w:spacing w:line="360" w:lineRule="auto"/>
        <w:ind w:left="720" w:right="616"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Facturas pagadas.</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280" w:before="280" w:line="360" w:lineRule="auto"/>
        <w:ind w:right="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través de la Secretaría del Ayuntamiento informó que procedió a realizar una búsqueda exhaustiva y razonable en los archivos que obran en la Coordinación de Apoyo a Cabildo, quien, de acuerdo con sus facultades, competencias y funciones, no localizó expresión documental que dé atención a su pretensión, en razón de que a la fecha no se ha generado, poseído o administrado la información requerida. </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280" w:before="280" w:line="360" w:lineRule="auto"/>
        <w:ind w:right="34"/>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280" w:before="280" w:line="360" w:lineRule="auto"/>
        <w:ind w:right="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respecta a la Tesorería Municipal informó que la información solicitada se encuentra en proceso de integración, toda vez que corresponde al primer trimestre del ejercicio fiscal 2025. </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280" w:before="280" w:line="360" w:lineRule="auto"/>
        <w:ind w:right="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la Dirección General de Obras Públicas hizo del conocimiento que realizó una búsqueda exhaustiva y razonable de la información, en la que se concluyó que el Programa Anual de Obra para el ejercicio fiscal dos mil veinticinco, se encuentra en el periodo de integración y autorización, razón por la que no se han realizado procedimientos de contratación para la ejecución de obras públicas y en consecuencia no se ha generado ni administra expresión documental que dé cuenta de lo solicitado.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280" w:before="280" w:line="360" w:lineRule="auto"/>
        <w:ind w:right="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las facturas pagadas, puntualizó que no es competencia, ni atribución de dicha dirección generarlas ni administrarlas.</w:t>
      </w:r>
    </w:p>
    <w:p w:rsidR="00000000" w:rsidDel="00000000" w:rsidP="00000000" w:rsidRDefault="00000000" w:rsidRPr="00000000" w14:paraId="0000009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Conocida la respuesta por el particular y al no estar conforme con los términos de la misma, presentó el recurso de revisión que nos ocupa, mediante el cual se inconformó medularmente por la negativa a la información.</w:t>
      </w:r>
    </w:p>
    <w:p w:rsidR="00000000" w:rsidDel="00000000" w:rsidP="00000000" w:rsidRDefault="00000000" w:rsidRPr="00000000" w14:paraId="0000009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su informe justificado en el que ratificó su respuesta inicial. </w:t>
      </w:r>
    </w:p>
    <w:p w:rsidR="00000000" w:rsidDel="00000000" w:rsidP="00000000" w:rsidRDefault="00000000" w:rsidRPr="00000000" w14:paraId="0000009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esto, es de señalar que la controversia a dirimir en el presente asunto, se encuentra centrada en la negativa a la información declarada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respecto a los requerimientos de información realizados por la persona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ese sentido, a efecto de garantizar el efectivo ejercicio del derecho de acceso a la información pública que asiste al particular, resulta conveniente entrar al estudio de las siguientes consideraciones de hecho y derecho: </w:t>
      </w:r>
    </w:p>
    <w:p w:rsidR="00000000" w:rsidDel="00000000" w:rsidP="00000000" w:rsidRDefault="00000000" w:rsidRPr="00000000" w14:paraId="00000096">
      <w:pPr>
        <w:numPr>
          <w:ilvl w:val="0"/>
          <w:numId w:val="2"/>
        </w:numPr>
        <w:pBdr>
          <w:top w:space="0" w:sz="0" w:val="nil"/>
          <w:left w:space="0" w:sz="0" w:val="nil"/>
          <w:bottom w:space="0" w:sz="0" w:val="nil"/>
          <w:right w:space="0" w:sz="0" w:val="nil"/>
          <w:between w:space="0" w:sz="0" w:val="nil"/>
        </w:pBdr>
        <w:spacing w:after="240" w:before="240"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Programa de obras con acta de aprobación de cabildo.</w:t>
      </w:r>
      <w:r w:rsidDel="00000000" w:rsidR="00000000" w:rsidRPr="00000000">
        <w:rPr>
          <w:rtl w:val="0"/>
        </w:rPr>
      </w:r>
    </w:p>
    <w:p w:rsidR="00000000" w:rsidDel="00000000" w:rsidP="00000000" w:rsidRDefault="00000000" w:rsidRPr="00000000" w14:paraId="0000009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Referente a este punto, conviene traer a colación lo previsto por los artículos 31, fracción XXI; 87, fracción III y 96 bis, fracción II de la Ley Orgánica Municipal del Estado de México, así como el artículo 3.55 del Código Reglamentario Municipal de Toluca vigente, los cuales son del tenor literal siguiente:</w:t>
      </w:r>
    </w:p>
    <w:p w:rsidR="00000000" w:rsidDel="00000000" w:rsidP="00000000" w:rsidRDefault="00000000" w:rsidRPr="00000000" w14:paraId="00000098">
      <w:pPr>
        <w:tabs>
          <w:tab w:val="left" w:leader="none" w:pos="7371"/>
        </w:tabs>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Orgánica Municipal</w:t>
      </w:r>
    </w:p>
    <w:p w:rsidR="00000000" w:rsidDel="00000000" w:rsidP="00000000" w:rsidRDefault="00000000" w:rsidRPr="00000000" w14:paraId="00000099">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31.-</w:t>
      </w:r>
      <w:r w:rsidDel="00000000" w:rsidR="00000000" w:rsidRPr="00000000">
        <w:rPr>
          <w:rFonts w:ascii="Palatino Linotype" w:cs="Palatino Linotype" w:eastAsia="Palatino Linotype" w:hAnsi="Palatino Linotype"/>
          <w:i w:val="1"/>
          <w:sz w:val="22"/>
          <w:szCs w:val="22"/>
          <w:rtl w:val="0"/>
        </w:rPr>
        <w:t xml:space="preserve"> Son </w:t>
      </w:r>
      <w:r w:rsidDel="00000000" w:rsidR="00000000" w:rsidRPr="00000000">
        <w:rPr>
          <w:rFonts w:ascii="Palatino Linotype" w:cs="Palatino Linotype" w:eastAsia="Palatino Linotype" w:hAnsi="Palatino Linotype"/>
          <w:b w:val="1"/>
          <w:i w:val="1"/>
          <w:sz w:val="22"/>
          <w:szCs w:val="22"/>
          <w:rtl w:val="0"/>
        </w:rPr>
        <w:t xml:space="preserve">atribuciones de los ayuntamientos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Formular, aprobar y ejecutar los planes de desarrollo municipal y los Programas correspondientes;</w:t>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87.-</w:t>
      </w:r>
      <w:r w:rsidDel="00000000" w:rsidR="00000000" w:rsidRPr="00000000">
        <w:rPr>
          <w:rFonts w:ascii="Palatino Linotype" w:cs="Palatino Linotype" w:eastAsia="Palatino Linotype" w:hAnsi="Palatino Linotype"/>
          <w:i w:val="1"/>
          <w:sz w:val="22"/>
          <w:szCs w:val="22"/>
          <w:rtl w:val="0"/>
        </w:rPr>
        <w:t xml:space="preserve"> Para el despacho, estudio y planeación de los diversos asuntos de la administración municipal, </w:t>
      </w:r>
      <w:r w:rsidDel="00000000" w:rsidR="00000000" w:rsidRPr="00000000">
        <w:rPr>
          <w:rFonts w:ascii="Palatino Linotype" w:cs="Palatino Linotype" w:eastAsia="Palatino Linotype" w:hAnsi="Palatino Linotype"/>
          <w:b w:val="1"/>
          <w:i w:val="1"/>
          <w:sz w:val="22"/>
          <w:szCs w:val="22"/>
          <w:rtl w:val="0"/>
        </w:rPr>
        <w:t xml:space="preserve">el ayuntamiento contará</w:t>
      </w:r>
      <w:r w:rsidDel="00000000" w:rsidR="00000000" w:rsidRPr="00000000">
        <w:rPr>
          <w:rFonts w:ascii="Palatino Linotype" w:cs="Palatino Linotype" w:eastAsia="Palatino Linotype" w:hAnsi="Palatino Linotype"/>
          <w:i w:val="1"/>
          <w:sz w:val="22"/>
          <w:szCs w:val="22"/>
          <w:rtl w:val="0"/>
        </w:rPr>
        <w:t xml:space="preserve"> por lo menos </w:t>
      </w:r>
      <w:r w:rsidDel="00000000" w:rsidR="00000000" w:rsidRPr="00000000">
        <w:rPr>
          <w:rFonts w:ascii="Palatino Linotype" w:cs="Palatino Linotype" w:eastAsia="Palatino Linotype" w:hAnsi="Palatino Linotype"/>
          <w:b w:val="1"/>
          <w:i w:val="1"/>
          <w:sz w:val="22"/>
          <w:szCs w:val="22"/>
          <w:rtl w:val="0"/>
        </w:rPr>
        <w:t xml:space="preserve">con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siguientes Dependencias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rtl w:val="0"/>
        </w:rPr>
        <w:t xml:space="preserve">La Dirección de Obras Públicas o equivalente.</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96. Bis</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Director de Obras Públicas</w:t>
      </w:r>
      <w:r w:rsidDel="00000000" w:rsidR="00000000" w:rsidRPr="00000000">
        <w:rPr>
          <w:rFonts w:ascii="Palatino Linotype" w:cs="Palatino Linotype" w:eastAsia="Palatino Linotype" w:hAnsi="Palatino Linotype"/>
          <w:i w:val="1"/>
          <w:sz w:val="22"/>
          <w:szCs w:val="22"/>
          <w:rtl w:val="0"/>
        </w:rPr>
        <w:t xml:space="preserve"> o el Titular de la Unidad Administrativa equivalente, </w:t>
      </w:r>
      <w:r w:rsidDel="00000000" w:rsidR="00000000" w:rsidRPr="00000000">
        <w:rPr>
          <w:rFonts w:ascii="Palatino Linotype" w:cs="Palatino Linotype" w:eastAsia="Palatino Linotype" w:hAnsi="Palatino Linotype"/>
          <w:b w:val="1"/>
          <w:i w:val="1"/>
          <w:sz w:val="22"/>
          <w:szCs w:val="22"/>
          <w:rtl w:val="0"/>
        </w:rPr>
        <w:t xml:space="preserve">tiene las siguientes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atribuciones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rtl w:val="0"/>
        </w:rPr>
        <w:t xml:space="preserve">Realizar la programación y ejecución de las obras públicas y servicios relacionados</w:t>
      </w:r>
      <w:r w:rsidDel="00000000" w:rsidR="00000000" w:rsidRPr="00000000">
        <w:rPr>
          <w:rFonts w:ascii="Palatino Linotype" w:cs="Palatino Linotype" w:eastAsia="Palatino Linotype" w:hAnsi="Palatino Linotype"/>
          <w:i w:val="1"/>
          <w:sz w:val="22"/>
          <w:szCs w:val="22"/>
          <w:rtl w:val="0"/>
        </w:rPr>
        <w:t xml:space="preserve">, que por orden expresa del Ayuntamiento requieran prioridad </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rtl w:val="0"/>
        </w:rPr>
        <w:t xml:space="preserve">Planear y coordinar los </w:t>
      </w:r>
      <w:r w:rsidDel="00000000" w:rsidR="00000000" w:rsidRPr="00000000">
        <w:rPr>
          <w:rFonts w:ascii="Palatino Linotype" w:cs="Palatino Linotype" w:eastAsia="Palatino Linotype" w:hAnsi="Palatino Linotype"/>
          <w:b w:val="1"/>
          <w:i w:val="1"/>
          <w:sz w:val="22"/>
          <w:szCs w:val="22"/>
          <w:u w:val="single"/>
          <w:rtl w:val="0"/>
        </w:rPr>
        <w:t xml:space="preserve">proyectos</w:t>
      </w:r>
      <w:r w:rsidDel="00000000" w:rsidR="00000000" w:rsidRPr="00000000">
        <w:rPr>
          <w:rFonts w:ascii="Palatino Linotype" w:cs="Palatino Linotype" w:eastAsia="Palatino Linotype" w:hAnsi="Palatino Linotype"/>
          <w:b w:val="1"/>
          <w:i w:val="1"/>
          <w:sz w:val="22"/>
          <w:szCs w:val="22"/>
          <w:rtl w:val="0"/>
        </w:rPr>
        <w:t xml:space="preserve"> de obras públicas y servicios relacionados con las mismas</w:t>
      </w:r>
      <w:r w:rsidDel="00000000" w:rsidR="00000000" w:rsidRPr="00000000">
        <w:rPr>
          <w:rFonts w:ascii="Palatino Linotype" w:cs="Palatino Linotype" w:eastAsia="Palatino Linotype" w:hAnsi="Palatino Linotype"/>
          <w:i w:val="1"/>
          <w:sz w:val="22"/>
          <w:szCs w:val="22"/>
          <w:rtl w:val="0"/>
        </w:rPr>
        <w:t xml:space="preserve"> que autorice el Ayuntamiento, una vez que se cumplan los requisitos de licitación y otros que determine la ley de la materia;</w:t>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w:t>
      </w:r>
      <w:r w:rsidDel="00000000" w:rsidR="00000000" w:rsidRPr="00000000">
        <w:rPr>
          <w:rFonts w:ascii="Palatino Linotype" w:cs="Palatino Linotype" w:eastAsia="Palatino Linotype" w:hAnsi="Palatino Linotype"/>
          <w:b w:val="1"/>
          <w:i w:val="1"/>
          <w:sz w:val="22"/>
          <w:szCs w:val="22"/>
          <w:u w:val="single"/>
          <w:rtl w:val="0"/>
        </w:rPr>
        <w:t xml:space="preserve">Proyectar, formular y proponer al Presidente Municipal, el Programa General de Obras Públicas</w:t>
      </w:r>
      <w:r w:rsidDel="00000000" w:rsidR="00000000" w:rsidRPr="00000000">
        <w:rPr>
          <w:rFonts w:ascii="Palatino Linotype" w:cs="Palatino Linotype" w:eastAsia="Palatino Linotype" w:hAnsi="Palatino Linotype"/>
          <w:i w:val="1"/>
          <w:sz w:val="22"/>
          <w:szCs w:val="22"/>
          <w:rtl w:val="0"/>
        </w:rPr>
        <w:t xml:space="preserve">, para la construcción y mejoramiento de las mismas, de acuerdo a la normatividad aplicable y en congruencia con el Plan de Desarrollo Municipal y con la política, objetivos y prioridades del Municipio y vigilar su ejecución;…”</w:t>
      </w:r>
    </w:p>
    <w:p w:rsidR="00000000" w:rsidDel="00000000" w:rsidP="00000000" w:rsidRDefault="00000000" w:rsidRPr="00000000" w14:paraId="000000A5">
      <w:pPr>
        <w:tabs>
          <w:tab w:val="left" w:leader="none" w:pos="7371"/>
        </w:tabs>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Código Reglamentario Municipal de Toluca</w:t>
      </w:r>
    </w:p>
    <w:p w:rsidR="00000000" w:rsidDel="00000000" w:rsidP="00000000" w:rsidRDefault="00000000" w:rsidRPr="00000000" w14:paraId="000000A6">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3.55</w:t>
      </w:r>
      <w:r w:rsidDel="00000000" w:rsidR="00000000" w:rsidRPr="00000000">
        <w:rPr>
          <w:rFonts w:ascii="Palatino Linotype" w:cs="Palatino Linotype" w:eastAsia="Palatino Linotype" w:hAnsi="Palatino Linotype"/>
          <w:i w:val="1"/>
          <w:sz w:val="22"/>
          <w:szCs w:val="22"/>
          <w:rtl w:val="0"/>
        </w:rPr>
        <w:t xml:space="preserve">. La o el titular de </w:t>
      </w:r>
      <w:r w:rsidDel="00000000" w:rsidR="00000000" w:rsidRPr="00000000">
        <w:rPr>
          <w:rFonts w:ascii="Palatino Linotype" w:cs="Palatino Linotype" w:eastAsia="Palatino Linotype" w:hAnsi="Palatino Linotype"/>
          <w:b w:val="1"/>
          <w:i w:val="1"/>
          <w:sz w:val="22"/>
          <w:szCs w:val="22"/>
          <w:rtl w:val="0"/>
        </w:rPr>
        <w:t xml:space="preserve">la Dirección de Obras Públicas</w:t>
      </w:r>
      <w:r w:rsidDel="00000000" w:rsidR="00000000" w:rsidRPr="00000000">
        <w:rPr>
          <w:rFonts w:ascii="Palatino Linotype" w:cs="Palatino Linotype" w:eastAsia="Palatino Linotype" w:hAnsi="Palatino Linotype"/>
          <w:i w:val="1"/>
          <w:sz w:val="22"/>
          <w:szCs w:val="22"/>
          <w:rtl w:val="0"/>
        </w:rPr>
        <w:t xml:space="preserve">, tendrá las siguientes atribuciones:</w:t>
      </w:r>
    </w:p>
    <w:p w:rsidR="00000000" w:rsidDel="00000000" w:rsidP="00000000" w:rsidRDefault="00000000" w:rsidRPr="00000000" w14:paraId="000000A7">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Desarrollar, proponer y ejecutar el Programa Anual de Obra en los términos establecidos por la normatividad aplicable, </w:t>
      </w:r>
      <w:r w:rsidDel="00000000" w:rsidR="00000000" w:rsidRPr="00000000">
        <w:rPr>
          <w:rFonts w:ascii="Palatino Linotype" w:cs="Palatino Linotype" w:eastAsia="Palatino Linotype" w:hAnsi="Palatino Linotype"/>
          <w:i w:val="1"/>
          <w:sz w:val="22"/>
          <w:szCs w:val="22"/>
          <w:rtl w:val="0"/>
        </w:rPr>
        <w:t xml:space="preserve">así como proponer y solicitar las modificaciones y reconducciones necesarias al mismo;</w:t>
      </w:r>
    </w:p>
    <w:p w:rsidR="00000000" w:rsidDel="00000000" w:rsidP="00000000" w:rsidRDefault="00000000" w:rsidRPr="00000000" w14:paraId="000000A8">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Coordinar actos relativos a la planeación, programación, presupuestación, adjudicación y contratación de la obra pública</w:t>
      </w:r>
      <w:r w:rsidDel="00000000" w:rsidR="00000000" w:rsidRPr="00000000">
        <w:rPr>
          <w:rFonts w:ascii="Palatino Linotype" w:cs="Palatino Linotype" w:eastAsia="Palatino Linotype" w:hAnsi="Palatino Linotype"/>
          <w:i w:val="1"/>
          <w:sz w:val="22"/>
          <w:szCs w:val="22"/>
          <w:rtl w:val="0"/>
        </w:rPr>
        <w:t xml:space="preserve">, cuidando que los mismos se proyecten con perspectiva de género; así como los servicios relacionados con las mismas;</w:t>
      </w:r>
    </w:p>
    <w:p w:rsidR="00000000" w:rsidDel="00000000" w:rsidP="00000000" w:rsidRDefault="00000000" w:rsidRPr="00000000" w14:paraId="000000A9">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Proyectar las obras públicas y servicios relacionados,</w:t>
      </w:r>
      <w:r w:rsidDel="00000000" w:rsidR="00000000" w:rsidRPr="00000000">
        <w:rPr>
          <w:rFonts w:ascii="Palatino Linotype" w:cs="Palatino Linotype" w:eastAsia="Palatino Linotype" w:hAnsi="Palatino Linotype"/>
          <w:i w:val="1"/>
          <w:sz w:val="22"/>
          <w:szCs w:val="22"/>
          <w:rtl w:val="0"/>
        </w:rPr>
        <w:t xml:space="preserve"> incluyendo la construcción de edificios públicos, monumentos y bienes de uso común;</w:t>
      </w:r>
    </w:p>
    <w:p w:rsidR="00000000" w:rsidDel="00000000" w:rsidP="00000000" w:rsidRDefault="00000000" w:rsidRPr="00000000" w14:paraId="000000AA">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Planear, dirigir, organizar y ejecutar, en coordinación con las autoridades estatales competentes, programas de construcción y mantenimiento a las vialidades del municipio de Toluca;</w:t>
      </w:r>
    </w:p>
    <w:p w:rsidR="00000000" w:rsidDel="00000000" w:rsidP="00000000" w:rsidRDefault="00000000" w:rsidRPr="00000000" w14:paraId="000000AB">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Programar, coadyuvar y ejecutar la construcción de edificios, monumentos, bienes de uso común, avenidas, calles, caminos y todo tipo de vialidades e infraestructura urbana de jurisdicción municipal;</w:t>
      </w:r>
    </w:p>
    <w:p w:rsidR="00000000" w:rsidDel="00000000" w:rsidP="00000000" w:rsidRDefault="00000000" w:rsidRPr="00000000" w14:paraId="000000AC">
      <w:pPr>
        <w:tabs>
          <w:tab w:val="left" w:leader="none" w:pos="7371"/>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Vigilar la construcción de las obras por contrato que hayan sido adjudicadas en términos de la legislación de la materia;</w:t>
      </w:r>
    </w:p>
    <w:p w:rsidR="00000000" w:rsidDel="00000000" w:rsidP="00000000" w:rsidRDefault="00000000" w:rsidRPr="00000000" w14:paraId="000000AD">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Supervisar y vigilar la ejecución de obras por cooperación, así como la construcción y mejoramiento de obras de infraestructura y equipamiento urbano;</w:t>
      </w:r>
    </w:p>
    <w:p w:rsidR="00000000" w:rsidDel="00000000" w:rsidP="00000000" w:rsidRDefault="00000000" w:rsidRPr="00000000" w14:paraId="000000AE">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Coadyuvar con la Contraloría Municipal la integración de los Comités Ciudadanos de Control y Vigilancia, encargados de supervisar la obra pública municipal;</w:t>
      </w:r>
    </w:p>
    <w:p w:rsidR="00000000" w:rsidDel="00000000" w:rsidP="00000000" w:rsidRDefault="00000000" w:rsidRPr="00000000" w14:paraId="000000AF">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Designar a los residentes y supervisores de obras en los términos establecidos por la normatividad aplicable;</w:t>
      </w:r>
    </w:p>
    <w:p w:rsidR="00000000" w:rsidDel="00000000" w:rsidP="00000000" w:rsidRDefault="00000000" w:rsidRPr="00000000" w14:paraId="000000B0">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Integrar y verificar que se elaboren de manera correcta y completa las bitácoras y/o expedientes abiertos con motivo de la obra pública y servicios relacionados con la misma, </w:t>
      </w:r>
      <w:r w:rsidDel="00000000" w:rsidR="00000000" w:rsidRPr="00000000">
        <w:rPr>
          <w:rFonts w:ascii="Palatino Linotype" w:cs="Palatino Linotype" w:eastAsia="Palatino Linotype" w:hAnsi="Palatino Linotype"/>
          <w:i w:val="1"/>
          <w:sz w:val="22"/>
          <w:szCs w:val="22"/>
          <w:rtl w:val="0"/>
        </w:rPr>
        <w:t xml:space="preserve">conforme a la normatividad aplicable;</w:t>
      </w:r>
    </w:p>
    <w:p w:rsidR="00000000" w:rsidDel="00000000" w:rsidP="00000000" w:rsidRDefault="00000000" w:rsidRPr="00000000" w14:paraId="000000B1">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Revisar y autorizar para su pago, previa validación del avance y calidad de las obras, los presupuestos y estimaciones de las obras públicas municipales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2">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Integrar y autorizar con su firma, la documentación que, en materia de obra pública, deba presentarse al Órgano Superior de Fiscalización del Estado de México;</w:t>
      </w:r>
    </w:p>
    <w:p w:rsidR="00000000" w:rsidDel="00000000" w:rsidP="00000000" w:rsidRDefault="00000000" w:rsidRPr="00000000" w14:paraId="000000B3">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Integrar, coordinar, supervisar y dar seguimiento al adecuado funcionamiento del Comité Interno de Obra Pública en los términos dispuestos por la normatividad aplicable en la materia;</w:t>
      </w:r>
    </w:p>
    <w:p w:rsidR="00000000" w:rsidDel="00000000" w:rsidP="00000000" w:rsidRDefault="00000000" w:rsidRPr="00000000" w14:paraId="000000B4">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Atender lo enmarcado en el Artículo 92 de la Ley de Transparencia y Acceso a la Información Pública del Estado de México y Municipios, de acuerdo a la información generada por el área; y</w:t>
      </w:r>
    </w:p>
    <w:p w:rsidR="00000000" w:rsidDel="00000000" w:rsidP="00000000" w:rsidRDefault="00000000" w:rsidRPr="00000000" w14:paraId="000000B5">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Las demás que le asignen otros ordenamientos, el presidente municipal y la o el Director General de Desarrollo Urbano, Ordenamiento Territorial y Obras Públicas.”</w:t>
      </w:r>
    </w:p>
    <w:p w:rsidR="00000000" w:rsidDel="00000000" w:rsidP="00000000" w:rsidRDefault="00000000" w:rsidRPr="00000000" w14:paraId="000000B6">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dentro de las dependencias con las que cuentan los Ayuntamientos para la realización de las atribuciones que las leyes les confieren, tienen a la </w:t>
      </w:r>
      <w:r w:rsidDel="00000000" w:rsidR="00000000" w:rsidRPr="00000000">
        <w:rPr>
          <w:rFonts w:ascii="Palatino Linotype" w:cs="Palatino Linotype" w:eastAsia="Palatino Linotype" w:hAnsi="Palatino Linotype"/>
          <w:b w:val="1"/>
          <w:sz w:val="22"/>
          <w:szCs w:val="22"/>
          <w:rtl w:val="0"/>
        </w:rPr>
        <w:t xml:space="preserve">Dirección de Obras Públicas</w:t>
      </w:r>
      <w:r w:rsidDel="00000000" w:rsidR="00000000" w:rsidRPr="00000000">
        <w:rPr>
          <w:rFonts w:ascii="Palatino Linotype" w:cs="Palatino Linotype" w:eastAsia="Palatino Linotype" w:hAnsi="Palatino Linotype"/>
          <w:sz w:val="22"/>
          <w:szCs w:val="22"/>
          <w:rtl w:val="0"/>
        </w:rPr>
        <w:t xml:space="preserve"> a quien dentro del Ayuntamiento, le corresponde entre otras cosas, realizar la programación de obras públicas; licitar, concursar o asignar en su caso, servicios de obra y las obras públicas aprobadas en el programa anual, elaborar los contratos de obra pública y gestionar el pago de anticipos, así como los servicios que se encuentren relacionados con las mismas.</w:t>
      </w:r>
    </w:p>
    <w:p w:rsidR="00000000" w:rsidDel="00000000" w:rsidP="00000000" w:rsidRDefault="00000000" w:rsidRPr="00000000" w14:paraId="000000B8">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la Ley Orgánica Municipal del Estado de México señala en sus artículos 31, fracción XIX, 100 y 101, a saber:</w:t>
      </w:r>
    </w:p>
    <w:p w:rsidR="00000000" w:rsidDel="00000000" w:rsidP="00000000" w:rsidRDefault="00000000" w:rsidRPr="00000000" w14:paraId="000000B9">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31</w:t>
      </w:r>
      <w:r w:rsidDel="00000000" w:rsidR="00000000" w:rsidRPr="00000000">
        <w:rPr>
          <w:rFonts w:ascii="Palatino Linotype" w:cs="Palatino Linotype" w:eastAsia="Palatino Linotype" w:hAnsi="Palatino Linotype"/>
          <w:i w:val="1"/>
          <w:sz w:val="22"/>
          <w:szCs w:val="22"/>
          <w:rtl w:val="0"/>
        </w:rPr>
        <w:t xml:space="preserve">.- Son atribuciones de los ayuntamientos:</w:t>
      </w:r>
    </w:p>
    <w:p w:rsidR="00000000" w:rsidDel="00000000" w:rsidP="00000000" w:rsidRDefault="00000000" w:rsidRPr="00000000" w14:paraId="000000BA">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B">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XIX.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sz w:val="22"/>
          <w:szCs w:val="22"/>
          <w:u w:val="single"/>
          <w:rtl w:val="0"/>
        </w:rPr>
        <w:t xml:space="preserve">probar anualmente a más tardar el 20 de diciembre, su Presupuesto de Egresos, en base a los ingresos presupuestados para el ejercicio que corresponda</w:t>
      </w: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Fonts w:ascii="Palatino Linotype" w:cs="Palatino Linotype" w:eastAsia="Palatino Linotype" w:hAnsi="Palatino Linotype"/>
          <w:i w:val="1"/>
          <w:sz w:val="22"/>
          <w:szCs w:val="22"/>
          <w:rtl w:val="0"/>
        </w:rPr>
        <w:t xml:space="preserve"> el cual podrá ser adecuado en función de las implicaciones que deriven de la aprobación de la Ley de Ingresos Municipal que haga la Legislatura, así como por la asignación de las participaciones y aportaciones federales y estatales.</w:t>
      </w:r>
    </w:p>
    <w:p w:rsidR="00000000" w:rsidDel="00000000" w:rsidP="00000000" w:rsidRDefault="00000000" w:rsidRPr="00000000" w14:paraId="000000BC">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D">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100.-</w:t>
      </w:r>
      <w:r w:rsidDel="00000000" w:rsidR="00000000" w:rsidRPr="00000000">
        <w:rPr>
          <w:rFonts w:ascii="Palatino Linotype" w:cs="Palatino Linotype" w:eastAsia="Palatino Linotype" w:hAnsi="Palatino Linotype"/>
          <w:i w:val="1"/>
          <w:sz w:val="22"/>
          <w:szCs w:val="22"/>
          <w:rtl w:val="0"/>
        </w:rPr>
        <w:t xml:space="preserve"> El presupuesto de egresos deberá contener las previsiones de gasto público que habrán de realizar los municipios.” </w:t>
      </w:r>
    </w:p>
    <w:p w:rsidR="00000000" w:rsidDel="00000000" w:rsidP="00000000" w:rsidRDefault="00000000" w:rsidRPr="00000000" w14:paraId="000000BE">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101.</w:t>
      </w:r>
      <w:r w:rsidDel="00000000" w:rsidR="00000000" w:rsidRPr="00000000">
        <w:rPr>
          <w:rFonts w:ascii="Palatino Linotype" w:cs="Palatino Linotype" w:eastAsia="Palatino Linotype" w:hAnsi="Palatino Linotype"/>
          <w:i w:val="1"/>
          <w:sz w:val="22"/>
          <w:szCs w:val="22"/>
          <w:rtl w:val="0"/>
        </w:rPr>
        <w:t xml:space="preserve">- El proyecto del presupuesto de egresos se integrará básicamente con:</w:t>
      </w:r>
    </w:p>
    <w:p w:rsidR="00000000" w:rsidDel="00000000" w:rsidP="00000000" w:rsidRDefault="00000000" w:rsidRPr="00000000" w14:paraId="000000BF">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programas en que se señalen objetivos, metas y unidades responsables para su ejecución</w:t>
      </w:r>
      <w:r w:rsidDel="00000000" w:rsidR="00000000" w:rsidRPr="00000000">
        <w:rPr>
          <w:rFonts w:ascii="Palatino Linotype" w:cs="Palatino Linotype" w:eastAsia="Palatino Linotype" w:hAnsi="Palatino Linotype"/>
          <w:b w:val="1"/>
          <w:i w:val="1"/>
          <w:sz w:val="22"/>
          <w:szCs w:val="22"/>
          <w:rtl w:val="0"/>
        </w:rPr>
        <w:t xml:space="preserve">, así como la valuación estimada del programa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0">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Estimación de los ingresos y gastos del ejercicio fiscal calendarizados;</w:t>
      </w:r>
    </w:p>
    <w:p w:rsidR="00000000" w:rsidDel="00000000" w:rsidP="00000000" w:rsidRDefault="00000000" w:rsidRPr="00000000" w14:paraId="000000C1">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Situación de deuda pública.</w:t>
      </w:r>
    </w:p>
    <w:p w:rsidR="00000000" w:rsidDel="00000000" w:rsidP="00000000" w:rsidRDefault="00000000" w:rsidRPr="00000000" w14:paraId="000000C2">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proyecto de presupuesto de egresos deberá realizarse con base en los criterios de proporcionalidad y equidad, considerando las necesidades básicas de las localidades que integran al municipio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relación a este punto, el Código Administrativo del Estado de México señala en el mismo sentido que los artículos antes citados, específicamente en su artículo 12.15, que corresponde a los Ayuntamientos formular los programas de obra pública o de servicios relacionados con la misma, con base en las políticas, objetivos y prioridades de la planeación del desarrollo del Municipio</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C5">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6">
      <w:pPr>
        <w:tabs>
          <w:tab w:val="left" w:leader="none" w:pos="2552"/>
        </w:tabs>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el Manual para la Planeación, Programación y Presupuesto de Egresos Municipal para el Ejercicio Fiscal 2025, garantiza realizar la integración del proyecto de presupuesto de egresos municipal, que sustente programas y proyectos que se ejecutarán en el ejercicio fiscal, orientando éstos a la realización de acciones que den cumplimiento a objetivos preestablecidos en el Plan de Desarrollo Municipal (PDM), los cuales serán verificados a través de indicadores y metas previstas a alcanzar; además en el cual se determinan los formatos impresos que deben integrarse, como se ilustra a continuación:</w:t>
      </w:r>
    </w:p>
    <w:p w:rsidR="00000000" w:rsidDel="00000000" w:rsidP="00000000" w:rsidRDefault="00000000" w:rsidRPr="00000000" w14:paraId="000000C7">
      <w:pPr>
        <w:tabs>
          <w:tab w:val="left" w:leader="none" w:pos="2552"/>
        </w:tabs>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951654" cy="382500"/>
            <wp:effectExtent b="0" l="0" r="0" t="0"/>
            <wp:docPr id="203219602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51654" cy="3825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tabs>
          <w:tab w:val="left" w:leader="none" w:pos="255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826672" cy="2996249"/>
            <wp:effectExtent b="0" l="0" r="0" t="0"/>
            <wp:docPr id="2032196029"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826672" cy="299624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157163</wp:posOffset>
                </wp:positionH>
                <wp:positionV relativeFrom="paragraph">
                  <wp:posOffset>2497138</wp:posOffset>
                </wp:positionV>
                <wp:extent cx="2390775" cy="276225"/>
                <wp:effectExtent b="0" l="0" r="0" t="0"/>
                <wp:wrapNone/>
                <wp:docPr id="2032196024" name=""/>
                <a:graphic>
                  <a:graphicData uri="http://schemas.microsoft.com/office/word/2010/wordprocessingShape">
                    <wps:wsp>
                      <wps:cNvSpPr/>
                      <wps:cNvPr id="2" name="Shape 2"/>
                      <wps:spPr>
                        <a:xfrm>
                          <a:off x="4164900" y="3656175"/>
                          <a:ext cx="2362200" cy="247650"/>
                        </a:xfrm>
                        <a:prstGeom prst="rect">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157163</wp:posOffset>
                </wp:positionH>
                <wp:positionV relativeFrom="paragraph">
                  <wp:posOffset>2497138</wp:posOffset>
                </wp:positionV>
                <wp:extent cx="2390775" cy="276225"/>
                <wp:effectExtent b="0" l="0" r="0" t="0"/>
                <wp:wrapNone/>
                <wp:docPr id="2032196024"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2390775" cy="276225"/>
                        </a:xfrm>
                        <a:prstGeom prst="rect"/>
                        <a:ln/>
                      </pic:spPr>
                    </pic:pic>
                  </a:graphicData>
                </a:graphic>
              </wp:anchor>
            </w:drawing>
          </mc:Fallback>
        </mc:AlternateContent>
      </w:r>
    </w:p>
    <w:p w:rsidR="00000000" w:rsidDel="00000000" w:rsidP="00000000" w:rsidRDefault="00000000" w:rsidRPr="00000000" w14:paraId="000000C9">
      <w:pPr>
        <w:tabs>
          <w:tab w:val="left" w:leader="none" w:pos="255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Mismo que se maneja con el formato siguiente:</w:t>
      </w:r>
    </w:p>
    <w:p w:rsidR="00000000" w:rsidDel="00000000" w:rsidP="00000000" w:rsidRDefault="00000000" w:rsidRPr="00000000" w14:paraId="000000C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878140" cy="3825456"/>
            <wp:effectExtent b="0" l="0" r="0" t="0"/>
            <wp:docPr id="2032196028"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878140" cy="3825456"/>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ha expuesto en líneas anteriores, el Programa Anual de Obras, se encuentra vinculado con el Presupuesto de Egresos Municipal; para argumentar lo anterior, es indispensable citar lo ordenado por el artículo 125 de la Constitución Política del Estado Libre y Soberano de México, que en su antepenúltimo párrafo establece que el</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Presidente Municipal, promulgará y publicará el Presupuesto de Egresos Municipal, a más tardar el día 25 de febrero de cada año debiendo enviarlo al Órgano Superior de Fiscalización en la misma fecha</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lo cual se colige que deberá presentar la propuesta correspondiente, a fin de que el día veinticinco de febrero de cada año pueda llevarse a cabo su promulgación y publicación e informar al Órgano Superior de Fiscalización del Estado de México. </w:t>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ello, conviene recordar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w:t>
      </w:r>
      <w:r w:rsidDel="00000000" w:rsidR="00000000" w:rsidRPr="00000000">
        <w:rPr>
          <w:rtl w:val="0"/>
        </w:rPr>
        <w:t xml:space="preserve"> </w:t>
      </w:r>
      <w:r w:rsidDel="00000000" w:rsidR="00000000" w:rsidRPr="00000000">
        <w:rPr>
          <w:rFonts w:ascii="Palatino Linotype" w:cs="Palatino Linotype" w:eastAsia="Palatino Linotype" w:hAnsi="Palatino Linotype"/>
          <w:sz w:val="22"/>
          <w:szCs w:val="22"/>
          <w:rtl w:val="0"/>
        </w:rPr>
        <w:t xml:space="preserve">la Secretaría del Ayuntamiento informó que después de realizar una búsqueda exhaustiva y razonable en los archivos que obran en la Coordinación de Apoyo a Cabildo, no localizó expresión documental que de atención de lo solicitado, en razón de que a la fecha no se ha generado, poseído o administrado la información requerida, mientras que la Dirección de Obras Públicas manifestó que aún no contaba con la información solicitada, ya que se encontraba en proceso de integración; en ese sentido, el Manual para la Planeación, Programación y Presupuesto de Egresos Municipal para el ejercicio fiscal 2025, establece que los Sujetos Obligados promulgarán y publicarán el Presupuesto de Egresos Municipal, a más tardar el 25 de febrero de cada año, tal y como se advierte a continuación: </w:t>
      </w:r>
    </w:p>
    <w:p w:rsidR="00000000" w:rsidDel="00000000" w:rsidP="00000000" w:rsidRDefault="00000000" w:rsidRPr="00000000" w14:paraId="000000C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3.4. Tercera Etapa: Presupuesto de Egresos Municipal.</w:t>
      </w:r>
      <w:r w:rsidDel="00000000" w:rsidR="00000000" w:rsidRPr="00000000">
        <w:rPr>
          <w:rtl w:val="0"/>
        </w:rPr>
      </w:r>
    </w:p>
    <w:p w:rsidR="00000000" w:rsidDel="00000000" w:rsidP="00000000" w:rsidRDefault="00000000" w:rsidRPr="00000000" w14:paraId="000000D1">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Del="00000000" w:rsidR="00000000" w:rsidRPr="00000000">
        <w:rPr>
          <w:rFonts w:ascii="Palatino Linotype" w:cs="Palatino Linotype" w:eastAsia="Palatino Linotype" w:hAnsi="Palatino Linotype"/>
          <w:b w:val="1"/>
          <w:i w:val="1"/>
          <w:sz w:val="22"/>
          <w:szCs w:val="22"/>
          <w:rtl w:val="0"/>
        </w:rPr>
        <w:t xml:space="preserve">El Presidente Municipal, promulgará y publicará el Presupuesto de Egresos Municipal, a más tardar el día 25 de febrero de cada año</w:t>
      </w:r>
      <w:r w:rsidDel="00000000" w:rsidR="00000000" w:rsidRPr="00000000">
        <w:rPr>
          <w:rFonts w:ascii="Palatino Linotype" w:cs="Palatino Linotype" w:eastAsia="Palatino Linotype" w:hAnsi="Palatino Linotype"/>
          <w:i w:val="1"/>
          <w:sz w:val="22"/>
          <w:szCs w:val="22"/>
          <w:rtl w:val="0"/>
        </w:rPr>
        <w:t xml:space="preserve"> debiendo enviarlo al Órgano Superior de Fiscalización en la misma fecha, observando asimismo lo dispuesto en el artículo 47 de la Ley de Fiscalización Superior del Estado de México vigente.”</w:t>
      </w:r>
      <w:r w:rsidDel="00000000" w:rsidR="00000000" w:rsidRPr="00000000">
        <w:rPr>
          <w:rtl w:val="0"/>
        </w:rPr>
      </w:r>
    </w:p>
    <w:p w:rsidR="00000000" w:rsidDel="00000000" w:rsidP="00000000" w:rsidRDefault="00000000" w:rsidRPr="00000000" w14:paraId="000000D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anteriormente expuesto, resulta claro que al momento de ingresar la solicitud, esto es en fecha catorce de marzo de dos mil veinticinco,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debió contar con la aprobación del Presupuesto de Egresos Municipal, por lo que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resulta incongruente, pues se insiste que a la fecha de la solicitud,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debió generar, poseer y/o administrar la información solicitada; en ese sentido, este Instituto estima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colmó el presente punto de análisis, toda vez que a la fecha de la solicitud debió contar con la información solicitada, por tanto, los motivos de inconformidad planteados por el particular devienen fundados; resultando procedente ordenar la entrega del Programa Anual de Obras Públicas para el ejercicio fiscal dos mil veinticinco; así como, el acta de cabildo en la que se aprobó el Programa Anual de Obra del ejercicio fiscal dos mil veinticinco.</w:t>
      </w:r>
    </w:p>
    <w:p w:rsidR="00000000" w:rsidDel="00000000" w:rsidP="00000000" w:rsidRDefault="00000000" w:rsidRPr="00000000" w14:paraId="000000D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5">
      <w:pPr>
        <w:numPr>
          <w:ilvl w:val="0"/>
          <w:numId w:val="2"/>
        </w:numPr>
        <w:pBdr>
          <w:top w:space="0" w:sz="0" w:val="nil"/>
          <w:left w:space="0" w:sz="0" w:val="nil"/>
          <w:bottom w:space="0" w:sz="0" w:val="nil"/>
          <w:right w:space="0" w:sz="0" w:val="nil"/>
          <w:between w:space="0" w:sz="0" w:val="nil"/>
        </w:pBdr>
        <w:spacing w:line="360" w:lineRule="auto"/>
        <w:ind w:left="720" w:right="616" w:hanging="360"/>
        <w:jc w:val="both"/>
        <w:rPr>
          <w:rFonts w:ascii="Palatino Linotype" w:cs="Palatino Linotype" w:eastAsia="Palatino Linotype" w:hAnsi="Palatino Linotype"/>
          <w:b w:val="1"/>
          <w:sz w:val="22"/>
          <w:szCs w:val="22"/>
        </w:rPr>
      </w:pPr>
      <w:bookmarkStart w:colFirst="0" w:colLast="0" w:name="_heading=h.5jol9g6jbqak" w:id="4"/>
      <w:bookmarkEnd w:id="4"/>
      <w:r w:rsidDel="00000000" w:rsidR="00000000" w:rsidRPr="00000000">
        <w:rPr>
          <w:rFonts w:ascii="Palatino Linotype" w:cs="Palatino Linotype" w:eastAsia="Palatino Linotype" w:hAnsi="Palatino Linotype"/>
          <w:b w:val="1"/>
          <w:sz w:val="22"/>
          <w:szCs w:val="22"/>
          <w:rtl w:val="0"/>
        </w:rPr>
        <w:t xml:space="preserve">Obras iniciadas a la fecha,</w:t>
      </w:r>
    </w:p>
    <w:p w:rsidR="00000000" w:rsidDel="00000000" w:rsidP="00000000" w:rsidRDefault="00000000" w:rsidRPr="00000000" w14:paraId="000000D6">
      <w:pPr>
        <w:numPr>
          <w:ilvl w:val="0"/>
          <w:numId w:val="2"/>
        </w:numPr>
        <w:pBdr>
          <w:top w:space="0" w:sz="0" w:val="nil"/>
          <w:left w:space="0" w:sz="0" w:val="nil"/>
          <w:bottom w:space="0" w:sz="0" w:val="nil"/>
          <w:right w:space="0" w:sz="0" w:val="nil"/>
          <w:between w:space="0" w:sz="0" w:val="nil"/>
        </w:pBdr>
        <w:spacing w:line="360" w:lineRule="auto"/>
        <w:ind w:left="720" w:right="616"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Expediente de contratación de servicios, si es asignado directamente o por licitación,</w:t>
      </w:r>
    </w:p>
    <w:p w:rsidR="00000000" w:rsidDel="00000000" w:rsidP="00000000" w:rsidRDefault="00000000" w:rsidRPr="00000000" w14:paraId="000000D7">
      <w:pPr>
        <w:numPr>
          <w:ilvl w:val="0"/>
          <w:numId w:val="2"/>
        </w:numPr>
        <w:pBdr>
          <w:top w:space="0" w:sz="0" w:val="nil"/>
          <w:left w:space="0" w:sz="0" w:val="nil"/>
          <w:bottom w:space="0" w:sz="0" w:val="nil"/>
          <w:right w:space="0" w:sz="0" w:val="nil"/>
          <w:between w:space="0" w:sz="0" w:val="nil"/>
        </w:pBdr>
        <w:spacing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Facturas pagadas. </w:t>
      </w: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este punto,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Tesorería Municipal informó que la información solicitada se encuentra en proceso de integración, toda vez que corresponde al primer trimestre del ejercicio fiscal 2025.</w:t>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Mientras que la Dirección de Obras Públicas informó que realizó una búsqueda exhaustiva y razonable de la información, en la que se concluyó que, el Programa Anual de Obra para el ejercicio fiscal 2025, se encuentra en el periodo de integración y autorización, razón por la que </w:t>
      </w:r>
      <w:r w:rsidDel="00000000" w:rsidR="00000000" w:rsidRPr="00000000">
        <w:rPr>
          <w:rFonts w:ascii="Palatino Linotype" w:cs="Palatino Linotype" w:eastAsia="Palatino Linotype" w:hAnsi="Palatino Linotype"/>
          <w:b w:val="1"/>
          <w:sz w:val="22"/>
          <w:szCs w:val="22"/>
          <w:u w:val="single"/>
          <w:rtl w:val="0"/>
        </w:rPr>
        <w:t xml:space="preserve">no se han realizado procedimientos de contratación para la ejecución de obras públicas</w:t>
      </w:r>
      <w:r w:rsidDel="00000000" w:rsidR="00000000" w:rsidRPr="00000000">
        <w:rPr>
          <w:rFonts w:ascii="Palatino Linotype" w:cs="Palatino Linotype" w:eastAsia="Palatino Linotype" w:hAnsi="Palatino Linotype"/>
          <w:sz w:val="22"/>
          <w:szCs w:val="22"/>
          <w:rtl w:val="0"/>
        </w:rPr>
        <w:t xml:space="preserve"> y en consecuencia no se ha generado ni administra expresión documental que dé cuenta de lo solicitado; sin embargo, este Organismo Garante localizó dentro de la página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el Ayuntamiento de Toluca</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realizó obras públicas en el municipio antes de la fecha de la solicitud de información, tal y como se muestra a continuación: </w:t>
      </w:r>
    </w:p>
    <w:p w:rsidR="00000000" w:rsidDel="00000000" w:rsidP="00000000" w:rsidRDefault="00000000" w:rsidRPr="00000000" w14:paraId="000000DB">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290246" cy="4649294"/>
            <wp:effectExtent b="0" l="0" r="0" t="0"/>
            <wp:docPr id="2032196031" name="image15.png"/>
            <a:graphic>
              <a:graphicData uri="http://schemas.openxmlformats.org/drawingml/2006/picture">
                <pic:pic>
                  <pic:nvPicPr>
                    <pic:cNvPr id="0" name="image15.png"/>
                    <pic:cNvPicPr preferRelativeResize="0"/>
                  </pic:nvPicPr>
                  <pic:blipFill>
                    <a:blip r:embed="rId12"/>
                    <a:srcRect b="0" l="0" r="0" t="10296"/>
                    <a:stretch>
                      <a:fillRect/>
                    </a:stretch>
                  </pic:blipFill>
                  <pic:spPr>
                    <a:xfrm>
                      <a:off x="0" y="0"/>
                      <a:ext cx="5290246" cy="4649294"/>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722706" cy="3567997"/>
            <wp:effectExtent b="0" l="0" r="0" t="0"/>
            <wp:docPr id="2032196030"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722706" cy="3567997"/>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709"/>
        </w:tabs>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995503" cy="2928137"/>
            <wp:effectExtent b="0" l="0" r="0" t="0"/>
            <wp:docPr id="2032196033"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3995503" cy="2928137"/>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709"/>
        </w:tabs>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545838" cy="3950108"/>
            <wp:effectExtent b="0" l="0" r="0" t="0"/>
            <wp:docPr id="203219603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545838" cy="3950108"/>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lo anteriormente expuesto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realizó obras públicas durante el mes de enero de dos mil veinticinco, por lo que debe contar con información que es del interés del particular. </w:t>
      </w:r>
    </w:p>
    <w:p w:rsidR="00000000" w:rsidDel="00000000" w:rsidP="00000000" w:rsidRDefault="00000000" w:rsidRPr="00000000" w14:paraId="000000E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procedemos al análisis de la naturaleza de la información, para ello debemos observar lo dispuesto por la Ley de Contratación Pública del Estado de México y Municipios, la cual tiene por objeto regular los actos relativos a la </w:t>
      </w:r>
      <w:r w:rsidDel="00000000" w:rsidR="00000000" w:rsidRPr="00000000">
        <w:rPr>
          <w:rFonts w:ascii="Palatino Linotype" w:cs="Palatino Linotype" w:eastAsia="Palatino Linotype" w:hAnsi="Palatino Linotype"/>
          <w:b w:val="1"/>
          <w:sz w:val="22"/>
          <w:szCs w:val="22"/>
          <w:u w:val="single"/>
          <w:rtl w:val="0"/>
        </w:rPr>
        <w:t xml:space="preserve">planeación, programación, presupuestación</w:t>
      </w:r>
      <w:r w:rsidDel="00000000" w:rsidR="00000000" w:rsidRPr="00000000">
        <w:rPr>
          <w:rFonts w:ascii="Palatino Linotype" w:cs="Palatino Linotype" w:eastAsia="Palatino Linotype" w:hAnsi="Palatino Linotype"/>
          <w:sz w:val="22"/>
          <w:szCs w:val="22"/>
          <w:rtl w:val="0"/>
        </w:rPr>
        <w:t xml:space="preserve">, ejecución y control de la </w:t>
      </w:r>
      <w:r w:rsidDel="00000000" w:rsidR="00000000" w:rsidRPr="00000000">
        <w:rPr>
          <w:rFonts w:ascii="Palatino Linotype" w:cs="Palatino Linotype" w:eastAsia="Palatino Linotype" w:hAnsi="Palatino Linotype"/>
          <w:b w:val="1"/>
          <w:sz w:val="22"/>
          <w:szCs w:val="22"/>
          <w:u w:val="single"/>
          <w:rtl w:val="0"/>
        </w:rPr>
        <w:t xml:space="preserve">adquisición</w:t>
      </w:r>
      <w:r w:rsidDel="00000000" w:rsidR="00000000" w:rsidRPr="00000000">
        <w:rPr>
          <w:rFonts w:ascii="Palatino Linotype" w:cs="Palatino Linotype" w:eastAsia="Palatino Linotype" w:hAnsi="Palatino Linotype"/>
          <w:sz w:val="22"/>
          <w:szCs w:val="22"/>
          <w:rtl w:val="0"/>
        </w:rPr>
        <w:t xml:space="preserve">, enajenación y arrendamiento </w:t>
      </w:r>
      <w:r w:rsidDel="00000000" w:rsidR="00000000" w:rsidRPr="00000000">
        <w:rPr>
          <w:rFonts w:ascii="Palatino Linotype" w:cs="Palatino Linotype" w:eastAsia="Palatino Linotype" w:hAnsi="Palatino Linotype"/>
          <w:sz w:val="22"/>
          <w:szCs w:val="22"/>
          <w:u w:val="single"/>
          <w:rtl w:val="0"/>
        </w:rPr>
        <w:t xml:space="preserve">de bienes</w:t>
      </w:r>
      <w:r w:rsidDel="00000000" w:rsidR="00000000" w:rsidRPr="00000000">
        <w:rPr>
          <w:rFonts w:ascii="Palatino Linotype" w:cs="Palatino Linotype" w:eastAsia="Palatino Linotype" w:hAnsi="Palatino Linotype"/>
          <w:sz w:val="22"/>
          <w:szCs w:val="22"/>
          <w:rtl w:val="0"/>
        </w:rPr>
        <w:t xml:space="preserve">, y la </w:t>
      </w:r>
      <w:r w:rsidDel="00000000" w:rsidR="00000000" w:rsidRPr="00000000">
        <w:rPr>
          <w:rFonts w:ascii="Palatino Linotype" w:cs="Palatino Linotype" w:eastAsia="Palatino Linotype" w:hAnsi="Palatino Linotype"/>
          <w:b w:val="1"/>
          <w:sz w:val="22"/>
          <w:szCs w:val="22"/>
          <w:u w:val="single"/>
          <w:rtl w:val="0"/>
        </w:rPr>
        <w:t xml:space="preserve">contratación de servicios de cualquier naturaleza, que realicen los Ayuntamientos del Estado</w:t>
      </w:r>
      <w:r w:rsidDel="00000000" w:rsidR="00000000" w:rsidRPr="00000000">
        <w:rPr>
          <w:rFonts w:ascii="Palatino Linotype" w:cs="Palatino Linotype" w:eastAsia="Palatino Linotype" w:hAnsi="Palatino Linotype"/>
          <w:sz w:val="22"/>
          <w:szCs w:val="22"/>
          <w:rtl w:val="0"/>
        </w:rPr>
        <w:t xml:space="preserve">; entre ellos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los cuales se adjudicarán a través de licitación pública, invitación restringida o adjudicación directa, tal y como lo establecen los artículos 4, 26 y 27 de dicha Ley, los cuales son del tenor siguiente:</w:t>
      </w:r>
    </w:p>
    <w:p w:rsidR="00000000" w:rsidDel="00000000" w:rsidP="00000000" w:rsidRDefault="00000000" w:rsidRPr="00000000" w14:paraId="000000E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Para los efectos de esta Ley, </w:t>
      </w:r>
      <w:r w:rsidDel="00000000" w:rsidR="00000000" w:rsidRPr="00000000">
        <w:rPr>
          <w:rFonts w:ascii="Palatino Linotype" w:cs="Palatino Linotype" w:eastAsia="Palatino Linotype" w:hAnsi="Palatino Linotype"/>
          <w:b w:val="1"/>
          <w:i w:val="1"/>
          <w:sz w:val="22"/>
          <w:szCs w:val="22"/>
          <w:rtl w:val="0"/>
        </w:rPr>
        <w:t xml:space="preserve">en las adquisiciones, enajenaciones, arrendamientos y servicios, quedan comprendidos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adquisición de bienes muebles.</w:t>
      </w:r>
    </w:p>
    <w:p w:rsidR="00000000" w:rsidDel="00000000" w:rsidP="00000000" w:rsidRDefault="00000000" w:rsidRPr="00000000" w14:paraId="000000E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La adquisición de bienes inmuebles, a través de compraventa.</w:t>
      </w:r>
    </w:p>
    <w:p w:rsidR="00000000" w:rsidDel="00000000" w:rsidP="00000000" w:rsidRDefault="00000000" w:rsidRPr="00000000" w14:paraId="000000E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enajenación de bienes muebles e inmuebles.</w:t>
      </w:r>
    </w:p>
    <w:p w:rsidR="00000000" w:rsidDel="00000000" w:rsidP="00000000" w:rsidRDefault="00000000" w:rsidRPr="00000000" w14:paraId="000000E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El arrendamiento de bienes muebles e inmuebles. </w:t>
      </w:r>
    </w:p>
    <w:p w:rsidR="00000000" w:rsidDel="00000000" w:rsidP="00000000" w:rsidRDefault="00000000" w:rsidRPr="00000000" w14:paraId="000000E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contratación de los servicios, relacionados con bienes muebles que se encuentran incorporados o adheridos a bienes inmuebles, cuya instalación o mantenimiento no implique modificación al bien inmueble.</w:t>
      </w:r>
    </w:p>
    <w:p w:rsidR="00000000" w:rsidDel="00000000" w:rsidP="00000000" w:rsidRDefault="00000000" w:rsidRPr="00000000" w14:paraId="000000E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La contratación de los servicios de reconstrucción y mantenimiento de bienes muebles. </w:t>
      </w:r>
    </w:p>
    <w:p w:rsidR="00000000" w:rsidDel="00000000" w:rsidP="00000000" w:rsidRDefault="00000000" w:rsidRPr="00000000" w14:paraId="000000E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La contratación de los servicios de maquila, seguros y transportación, así como de los de limpieza y vigilancia de bienes inmuebles. </w:t>
      </w:r>
    </w:p>
    <w:p w:rsidR="00000000" w:rsidDel="00000000" w:rsidP="00000000" w:rsidRDefault="00000000" w:rsidRPr="00000000" w14:paraId="000000E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prestación de servicios profesionales, la contratación de consultorías, asesorías y estudios e investigaciones, excepto la contratación de servicios personales de personas físicas bajo el régimen de honorarios. </w:t>
      </w:r>
    </w:p>
    <w:p w:rsidR="00000000" w:rsidDel="00000000" w:rsidP="00000000" w:rsidRDefault="00000000" w:rsidRPr="00000000" w14:paraId="000000E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general, otros actos que impliquen la contratación de servicios de cualquier naturaleza</w:t>
      </w:r>
    </w:p>
    <w:p w:rsidR="00000000" w:rsidDel="00000000" w:rsidP="00000000" w:rsidRDefault="00000000" w:rsidRPr="00000000" w14:paraId="000000E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adquisiciones, arrendamientos y servicios se adjudicarán a través de licitaciones públicas</w:t>
      </w:r>
      <w:r w:rsidDel="00000000" w:rsidR="00000000" w:rsidRPr="00000000">
        <w:rPr>
          <w:rFonts w:ascii="Palatino Linotype" w:cs="Palatino Linotype" w:eastAsia="Palatino Linotype" w:hAnsi="Palatino Linotype"/>
          <w:i w:val="1"/>
          <w:sz w:val="22"/>
          <w:szCs w:val="22"/>
          <w:rtl w:val="0"/>
        </w:rPr>
        <w:t xml:space="preserve">, mediante convocatoria pública. </w:t>
      </w:r>
    </w:p>
    <w:p w:rsidR="00000000" w:rsidDel="00000000" w:rsidP="00000000" w:rsidRDefault="00000000" w:rsidRPr="00000000" w14:paraId="000000F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27.</w:t>
      </w:r>
      <w:r w:rsidDel="00000000" w:rsidR="00000000" w:rsidRPr="00000000">
        <w:rPr>
          <w:rFonts w:ascii="Palatino Linotype" w:cs="Palatino Linotype" w:eastAsia="Palatino Linotype" w:hAnsi="Palatino Linotype"/>
          <w:i w:val="1"/>
          <w:sz w:val="22"/>
          <w:szCs w:val="22"/>
          <w:rtl w:val="0"/>
        </w:rPr>
        <w:t xml:space="preserve">- La Secretaría, las entidades, los tribunales administrativos y los ayuntamientos podrán </w:t>
      </w:r>
      <w:r w:rsidDel="00000000" w:rsidR="00000000" w:rsidRPr="00000000">
        <w:rPr>
          <w:rFonts w:ascii="Palatino Linotype" w:cs="Palatino Linotype" w:eastAsia="Palatino Linotype" w:hAnsi="Palatino Linotype"/>
          <w:b w:val="1"/>
          <w:i w:val="1"/>
          <w:sz w:val="22"/>
          <w:szCs w:val="22"/>
          <w:rtl w:val="0"/>
        </w:rPr>
        <w:t xml:space="preserve">adjudicar adquisiciones, arrendamientos y servicios, mediante las excepciones al procedimiento de licitación</w:t>
      </w:r>
      <w:r w:rsidDel="00000000" w:rsidR="00000000" w:rsidRPr="00000000">
        <w:rPr>
          <w:rFonts w:ascii="Palatino Linotype" w:cs="Palatino Linotype" w:eastAsia="Palatino Linotype" w:hAnsi="Palatino Linotype"/>
          <w:i w:val="1"/>
          <w:sz w:val="22"/>
          <w:szCs w:val="22"/>
          <w:rtl w:val="0"/>
        </w:rPr>
        <w:t xml:space="preserve"> que a continuación se señalan:</w:t>
      </w:r>
    </w:p>
    <w:p w:rsidR="00000000" w:rsidDel="00000000" w:rsidP="00000000" w:rsidRDefault="00000000" w:rsidRPr="00000000" w14:paraId="000000F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Invitación restringida.</w:t>
      </w:r>
    </w:p>
    <w:p w:rsidR="00000000" w:rsidDel="00000000" w:rsidP="00000000" w:rsidRDefault="00000000" w:rsidRPr="00000000" w14:paraId="000000F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Adjudicación directa.”</w:t>
      </w:r>
    </w:p>
    <w:p w:rsidR="00000000" w:rsidDel="00000000" w:rsidP="00000000" w:rsidRDefault="00000000" w:rsidRPr="00000000" w14:paraId="000000F3">
      <w:pPr>
        <w:spacing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en los preceptos citados se advierte que, por regla general, las adquisiciones, que celebren los entes públicos, deben adjudicarse mediante licitación pública, sin embargo, también se contemplan como excepciones a dicho proceso, la invitación restringida y la adjudicación directa, procedimientos que son materia de la solicitud presentada por el particular.</w:t>
      </w:r>
    </w:p>
    <w:p w:rsidR="00000000" w:rsidDel="00000000" w:rsidP="00000000" w:rsidRDefault="00000000" w:rsidRPr="00000000" w14:paraId="000000F5">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6">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 Además, conforme al artículo 12.6 de dicho ordenamiento jurídico, uno de los entes que pueden llevar a cabo contratos de obra pública o servicios relacionados con la misma, son los Municipios, a través de los Ayuntamientos.</w:t>
      </w:r>
    </w:p>
    <w:p w:rsidR="00000000" w:rsidDel="00000000" w:rsidP="00000000" w:rsidRDefault="00000000" w:rsidRPr="00000000" w14:paraId="000000F7">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8">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 </w:t>
      </w:r>
    </w:p>
    <w:p w:rsidR="00000000" w:rsidDel="00000000" w:rsidP="00000000" w:rsidRDefault="00000000" w:rsidRPr="00000000" w14:paraId="000000F9">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A">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se localizó el Acuerdo del Secretario de Infraestructura por el que se establece el Índice de Expediente Único de Obra Pública e Instructivos de llenado en las modalidades de adjudicación directa, invitación restringida y licitación pública el cual establece los Índices de Expedientes Únicos de Obra e instructivos de llenado para la integración de dichos legajos, que deberán integrar entre otros, los Ayuntamientos. Además, precisa que los Expedientes se conforman de la siguiente manera: </w:t>
      </w:r>
    </w:p>
    <w:p w:rsidR="00000000" w:rsidDel="00000000" w:rsidP="00000000" w:rsidRDefault="00000000" w:rsidRPr="00000000" w14:paraId="000000FB">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C">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7064375"/>
            <wp:effectExtent b="0" l="0" r="0" t="0"/>
            <wp:docPr descr="Tabla&#10;&#10;El contenido generado por IA puede ser incorrecto." id="2032196035" name="image2.png"/>
            <a:graphic>
              <a:graphicData uri="http://schemas.openxmlformats.org/drawingml/2006/picture">
                <pic:pic>
                  <pic:nvPicPr>
                    <pic:cNvPr descr="Tabla&#10;&#10;El contenido generado por IA puede ser incorrecto." id="0" name="image2.png"/>
                    <pic:cNvPicPr preferRelativeResize="0"/>
                  </pic:nvPicPr>
                  <pic:blipFill>
                    <a:blip r:embed="rId16"/>
                    <a:srcRect b="0" l="0" r="0" t="0"/>
                    <a:stretch>
                      <a:fillRect/>
                    </a:stretch>
                  </pic:blipFill>
                  <pic:spPr>
                    <a:xfrm>
                      <a:off x="0" y="0"/>
                      <a:ext cx="5612130" cy="7064375"/>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line="360" w:lineRule="auto"/>
        <w:ind w:right="51"/>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093436" cy="2348850"/>
            <wp:effectExtent b="0" l="0" r="0" t="0"/>
            <wp:docPr descr="Tabla&#10;&#10;El contenido generado por IA puede ser incorrecto." id="2032196034" name="image6.png"/>
            <a:graphic>
              <a:graphicData uri="http://schemas.openxmlformats.org/drawingml/2006/picture">
                <pic:pic>
                  <pic:nvPicPr>
                    <pic:cNvPr descr="Tabla&#10;&#10;El contenido generado por IA puede ser incorrecto." id="0" name="image6.png"/>
                    <pic:cNvPicPr preferRelativeResize="0"/>
                  </pic:nvPicPr>
                  <pic:blipFill>
                    <a:blip r:embed="rId17"/>
                    <a:srcRect b="0" l="0" r="0" t="0"/>
                    <a:stretch>
                      <a:fillRect/>
                    </a:stretch>
                  </pic:blipFill>
                  <pic:spPr>
                    <a:xfrm>
                      <a:off x="0" y="0"/>
                      <a:ext cx="5093436" cy="234885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line="360" w:lineRule="auto"/>
        <w:ind w:right="51"/>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187720" cy="4993846"/>
            <wp:effectExtent b="0" l="0" r="0" t="0"/>
            <wp:docPr descr="Tabla&#10;&#10;El contenido generado por IA puede ser incorrecto." id="2032196038" name="image3.png"/>
            <a:graphic>
              <a:graphicData uri="http://schemas.openxmlformats.org/drawingml/2006/picture">
                <pic:pic>
                  <pic:nvPicPr>
                    <pic:cNvPr descr="Tabla&#10;&#10;El contenido generado por IA puede ser incorrecto." id="0" name="image3.png"/>
                    <pic:cNvPicPr preferRelativeResize="0"/>
                  </pic:nvPicPr>
                  <pic:blipFill>
                    <a:blip r:embed="rId18"/>
                    <a:srcRect b="0" l="0" r="0" t="0"/>
                    <a:stretch>
                      <a:fillRect/>
                    </a:stretch>
                  </pic:blipFill>
                  <pic:spPr>
                    <a:xfrm>
                      <a:off x="0" y="0"/>
                      <a:ext cx="5187720" cy="4993846"/>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line="360" w:lineRule="auto"/>
        <w:ind w:right="51"/>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929019" cy="3296241"/>
            <wp:effectExtent b="0" l="0" r="0" t="0"/>
            <wp:docPr descr="Tabla&#10;&#10;El contenido generado por IA puede ser incorrecto." id="2032196036" name="image9.png"/>
            <a:graphic>
              <a:graphicData uri="http://schemas.openxmlformats.org/drawingml/2006/picture">
                <pic:pic>
                  <pic:nvPicPr>
                    <pic:cNvPr descr="Tabla&#10;&#10;El contenido generado por IA puede ser incorrecto." id="0" name="image9.png"/>
                    <pic:cNvPicPr preferRelativeResize="0"/>
                  </pic:nvPicPr>
                  <pic:blipFill>
                    <a:blip r:embed="rId19"/>
                    <a:srcRect b="0" l="0" r="0" t="0"/>
                    <a:stretch>
                      <a:fillRect/>
                    </a:stretch>
                  </pic:blipFill>
                  <pic:spPr>
                    <a:xfrm>
                      <a:off x="0" y="0"/>
                      <a:ext cx="4929019" cy="3296241"/>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438775" cy="3590925"/>
            <wp:effectExtent b="0" l="0" r="0" t="0"/>
            <wp:docPr descr="Tabla&#10;&#10;El contenido generado por IA puede ser incorrecto." id="2032196037" name="image14.png"/>
            <a:graphic>
              <a:graphicData uri="http://schemas.openxmlformats.org/drawingml/2006/picture">
                <pic:pic>
                  <pic:nvPicPr>
                    <pic:cNvPr descr="Tabla&#10;&#10;El contenido generado por IA puede ser incorrecto." id="0" name="image14.png"/>
                    <pic:cNvPicPr preferRelativeResize="0"/>
                  </pic:nvPicPr>
                  <pic:blipFill>
                    <a:blip r:embed="rId20"/>
                    <a:srcRect b="0" l="0" r="0" t="0"/>
                    <a:stretch>
                      <a:fillRect/>
                    </a:stretch>
                  </pic:blipFill>
                  <pic:spPr>
                    <a:xfrm>
                      <a:off x="0" y="0"/>
                      <a:ext cx="5438775" cy="359092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2">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210175" cy="6934200"/>
            <wp:effectExtent b="0" l="0" r="0" t="0"/>
            <wp:docPr descr="Tabla&#10;&#10;El contenido generado por IA puede ser incorrecto." id="2032196039" name="image7.png"/>
            <a:graphic>
              <a:graphicData uri="http://schemas.openxmlformats.org/drawingml/2006/picture">
                <pic:pic>
                  <pic:nvPicPr>
                    <pic:cNvPr descr="Tabla&#10;&#10;El contenido generado por IA puede ser incorrecto." id="0" name="image7.png"/>
                    <pic:cNvPicPr preferRelativeResize="0"/>
                  </pic:nvPicPr>
                  <pic:blipFill>
                    <a:blip r:embed="rId21"/>
                    <a:srcRect b="0" l="0" r="0" t="0"/>
                    <a:stretch>
                      <a:fillRect/>
                    </a:stretch>
                  </pic:blipFill>
                  <pic:spPr>
                    <a:xfrm>
                      <a:off x="0" y="0"/>
                      <a:ext cx="5210175" cy="69342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4">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suerte que con lo citado con antelación, se visualiza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atribuciones para generar, poseer y/o administrar la información solicitada, toda vez que de los expedientes únicos de obra se puede advertir las obras realizadas y la modalidad de la licitación; así como los comprobantes de las erogaciones de las obras, los cuales podrá advertir el particular con la entrega de las facturas que se integran para estos expedientes en referencia.</w:t>
      </w:r>
    </w:p>
    <w:p w:rsidR="00000000" w:rsidDel="00000000" w:rsidP="00000000" w:rsidRDefault="00000000" w:rsidRPr="00000000" w14:paraId="00000105">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6">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Robusteciendo lo anterior,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que deberán contener por lo menos lo siguiente: </w:t>
      </w:r>
    </w:p>
    <w:p w:rsidR="00000000" w:rsidDel="00000000" w:rsidP="00000000" w:rsidRDefault="00000000" w:rsidRPr="00000000" w14:paraId="00000107">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109">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A">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XXIX.</w:t>
      </w:r>
      <w:r w:rsidDel="00000000" w:rsidR="00000000" w:rsidRPr="00000000">
        <w:rPr>
          <w:rFonts w:ascii="Palatino Linotype" w:cs="Palatino Linotype" w:eastAsia="Palatino Linotype" w:hAnsi="Palatino Linotype"/>
          <w:i w:val="1"/>
          <w:sz w:val="22"/>
          <w:szCs w:val="22"/>
          <w:rtl w:val="0"/>
        </w:rPr>
        <w:t xml:space="preserve"> La </w:t>
      </w:r>
      <w:r w:rsidDel="00000000" w:rsidR="00000000" w:rsidRPr="00000000">
        <w:rPr>
          <w:rFonts w:ascii="Palatino Linotype" w:cs="Palatino Linotype" w:eastAsia="Palatino Linotype" w:hAnsi="Palatino Linotype"/>
          <w:b w:val="1"/>
          <w:i w:val="1"/>
          <w:sz w:val="22"/>
          <w:szCs w:val="22"/>
          <w:rtl w:val="0"/>
        </w:rPr>
        <w:t xml:space="preserve">información sobre los procesos y resultados </w:t>
      </w:r>
      <w:r w:rsidDel="00000000" w:rsidR="00000000" w:rsidRPr="00000000">
        <w:rPr>
          <w:rFonts w:ascii="Palatino Linotype" w:cs="Palatino Linotype" w:eastAsia="Palatino Linotype" w:hAnsi="Palatino Linotype"/>
          <w:b w:val="1"/>
          <w:i w:val="1"/>
          <w:sz w:val="22"/>
          <w:szCs w:val="22"/>
          <w:u w:val="single"/>
          <w:rtl w:val="0"/>
        </w:rPr>
        <w:t xml:space="preserve">sobre procedimientos de adjudicación directa, invitación restringida y licitación de cualquier naturaleza</w:t>
      </w:r>
      <w:r w:rsidDel="00000000" w:rsidR="00000000" w:rsidRPr="00000000">
        <w:rPr>
          <w:rFonts w:ascii="Palatino Linotype" w:cs="Palatino Linotype" w:eastAsia="Palatino Linotype" w:hAnsi="Palatino Linotype"/>
          <w:i w:val="1"/>
          <w:sz w:val="22"/>
          <w:szCs w:val="22"/>
          <w:u w:val="single"/>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incluyendo la versión </w:t>
      </w:r>
      <w:r w:rsidDel="00000000" w:rsidR="00000000" w:rsidRPr="00000000">
        <w:rPr>
          <w:rFonts w:ascii="Palatino Linotype" w:cs="Palatino Linotype" w:eastAsia="Palatino Linotype" w:hAnsi="Palatino Linotype"/>
          <w:b w:val="1"/>
          <w:i w:val="1"/>
          <w:sz w:val="22"/>
          <w:szCs w:val="22"/>
          <w:u w:val="single"/>
          <w:rtl w:val="0"/>
        </w:rPr>
        <w:t xml:space="preserve">pública del expediente respectivo y de los contratos celebrados,</w:t>
      </w:r>
      <w:r w:rsidDel="00000000" w:rsidR="00000000" w:rsidRPr="00000000">
        <w:rPr>
          <w:rFonts w:ascii="Palatino Linotype" w:cs="Palatino Linotype" w:eastAsia="Palatino Linotype" w:hAnsi="Palatino Linotype"/>
          <w:i w:val="1"/>
          <w:sz w:val="22"/>
          <w:szCs w:val="22"/>
          <w:rtl w:val="0"/>
        </w:rPr>
        <w:t xml:space="preserve"> que deberán contener, por los menos, lo siguiente:</w:t>
      </w:r>
    </w:p>
    <w:p w:rsidR="00000000" w:rsidDel="00000000" w:rsidP="00000000" w:rsidRDefault="00000000" w:rsidRPr="00000000" w14:paraId="0000010B">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C">
      <w:pPr>
        <w:tabs>
          <w:tab w:val="left" w:leader="none" w:pos="426"/>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De licitaciones públicas o procedimientos de invitación restringida:</w:t>
      </w:r>
    </w:p>
    <w:p w:rsidR="00000000" w:rsidDel="00000000" w:rsidP="00000000" w:rsidRDefault="00000000" w:rsidRPr="00000000" w14:paraId="0000010D">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w:t>
      </w:r>
      <w:r w:rsidDel="00000000" w:rsidR="00000000" w:rsidRPr="00000000">
        <w:rPr>
          <w:rFonts w:ascii="Palatino Linotype" w:cs="Palatino Linotype" w:eastAsia="Palatino Linotype" w:hAnsi="Palatino Linotype"/>
          <w:i w:val="1"/>
          <w:sz w:val="22"/>
          <w:szCs w:val="22"/>
          <w:rtl w:val="0"/>
        </w:rPr>
        <w:t xml:space="preserve"> La convocatoria o invitación emitida, así como los fundamentos legales aplicados para llevarla a cabo;</w:t>
      </w:r>
    </w:p>
    <w:p w:rsidR="00000000" w:rsidDel="00000000" w:rsidP="00000000" w:rsidRDefault="00000000" w:rsidRPr="00000000" w14:paraId="0000010E">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w:t>
      </w:r>
      <w:r w:rsidDel="00000000" w:rsidR="00000000" w:rsidRPr="00000000">
        <w:rPr>
          <w:rFonts w:ascii="Palatino Linotype" w:cs="Palatino Linotype" w:eastAsia="Palatino Linotype" w:hAnsi="Palatino Linotype"/>
          <w:i w:val="1"/>
          <w:sz w:val="22"/>
          <w:szCs w:val="22"/>
          <w:rtl w:val="0"/>
        </w:rPr>
        <w:t xml:space="preserve"> Los nombres de los participantes o invitados;</w:t>
      </w:r>
    </w:p>
    <w:p w:rsidR="00000000" w:rsidDel="00000000" w:rsidP="00000000" w:rsidRDefault="00000000" w:rsidRPr="00000000" w14:paraId="0000010F">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w:t>
      </w:r>
      <w:r w:rsidDel="00000000" w:rsidR="00000000" w:rsidRPr="00000000">
        <w:rPr>
          <w:rFonts w:ascii="Palatino Linotype" w:cs="Palatino Linotype" w:eastAsia="Palatino Linotype" w:hAnsi="Palatino Linotype"/>
          <w:i w:val="1"/>
          <w:sz w:val="22"/>
          <w:szCs w:val="22"/>
          <w:rtl w:val="0"/>
        </w:rPr>
        <w:t xml:space="preserve"> El nombre del ganador y las razones que lo justifican;</w:t>
      </w:r>
    </w:p>
    <w:p w:rsidR="00000000" w:rsidDel="00000000" w:rsidP="00000000" w:rsidRDefault="00000000" w:rsidRPr="00000000" w14:paraId="00000110">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4)</w:t>
      </w:r>
      <w:r w:rsidDel="00000000" w:rsidR="00000000" w:rsidRPr="00000000">
        <w:rPr>
          <w:rFonts w:ascii="Palatino Linotype" w:cs="Palatino Linotype" w:eastAsia="Palatino Linotype" w:hAnsi="Palatino Linotype"/>
          <w:i w:val="1"/>
          <w:sz w:val="22"/>
          <w:szCs w:val="22"/>
          <w:rtl w:val="0"/>
        </w:rPr>
        <w:t xml:space="preserve"> El área solicitante y la responsable de su ejecución;</w:t>
      </w:r>
    </w:p>
    <w:p w:rsidR="00000000" w:rsidDel="00000000" w:rsidP="00000000" w:rsidRDefault="00000000" w:rsidRPr="00000000" w14:paraId="00000111">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5)</w:t>
      </w:r>
      <w:r w:rsidDel="00000000" w:rsidR="00000000" w:rsidRPr="00000000">
        <w:rPr>
          <w:rFonts w:ascii="Palatino Linotype" w:cs="Palatino Linotype" w:eastAsia="Palatino Linotype" w:hAnsi="Palatino Linotype"/>
          <w:i w:val="1"/>
          <w:sz w:val="22"/>
          <w:szCs w:val="22"/>
          <w:rtl w:val="0"/>
        </w:rPr>
        <w:t xml:space="preserve"> Las convocatorias e invitaciones emitidas; </w:t>
      </w:r>
    </w:p>
    <w:p w:rsidR="00000000" w:rsidDel="00000000" w:rsidP="00000000" w:rsidRDefault="00000000" w:rsidRPr="00000000" w14:paraId="00000112">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Los dictámenes y fallo de adjudicación;</w:t>
      </w:r>
    </w:p>
    <w:p w:rsidR="00000000" w:rsidDel="00000000" w:rsidP="00000000" w:rsidRDefault="00000000" w:rsidRPr="00000000" w14:paraId="00000113">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 El contrato y, en su caso, sus anexos; </w:t>
      </w:r>
    </w:p>
    <w:p w:rsidR="00000000" w:rsidDel="00000000" w:rsidP="00000000" w:rsidRDefault="00000000" w:rsidRPr="00000000" w14:paraId="00000114">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8)</w:t>
      </w:r>
      <w:r w:rsidDel="00000000" w:rsidR="00000000" w:rsidRPr="00000000">
        <w:rPr>
          <w:rFonts w:ascii="Palatino Linotype" w:cs="Palatino Linotype" w:eastAsia="Palatino Linotype" w:hAnsi="Palatino Linotype"/>
          <w:i w:val="1"/>
          <w:sz w:val="22"/>
          <w:szCs w:val="22"/>
          <w:rtl w:val="0"/>
        </w:rPr>
        <w:t xml:space="preserve"> Los mecanismos de vigilancia y supervisión, incluyendo en su caso, los estudios de impacto urbano y ambiental, según corresponda;</w:t>
      </w:r>
    </w:p>
    <w:p w:rsidR="00000000" w:rsidDel="00000000" w:rsidP="00000000" w:rsidRDefault="00000000" w:rsidRPr="00000000" w14:paraId="00000115">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9)</w:t>
      </w:r>
      <w:r w:rsidDel="00000000" w:rsidR="00000000" w:rsidRPr="00000000">
        <w:rPr>
          <w:rFonts w:ascii="Palatino Linotype" w:cs="Palatino Linotype" w:eastAsia="Palatino Linotype" w:hAnsi="Palatino Linotype"/>
          <w:i w:val="1"/>
          <w:sz w:val="22"/>
          <w:szCs w:val="22"/>
          <w:rtl w:val="0"/>
        </w:rPr>
        <w:t xml:space="preserve"> La partida presupuestal, de conformidad con el clasificador por objeto del gasto, en el caso de ser aplicable; </w:t>
      </w:r>
    </w:p>
    <w:p w:rsidR="00000000" w:rsidDel="00000000" w:rsidP="00000000" w:rsidRDefault="00000000" w:rsidRPr="00000000" w14:paraId="00000116">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10)</w:t>
      </w:r>
      <w:r w:rsidDel="00000000" w:rsidR="00000000" w:rsidRPr="00000000">
        <w:rPr>
          <w:rFonts w:ascii="Palatino Linotype" w:cs="Palatino Linotype" w:eastAsia="Palatino Linotype" w:hAnsi="Palatino Linotype"/>
          <w:i w:val="1"/>
          <w:sz w:val="22"/>
          <w:szCs w:val="22"/>
          <w:rtl w:val="0"/>
        </w:rPr>
        <w:t xml:space="preserve"> Origen de los recursos especificando si son federales, estatales o municipales, así como el tipo de fondo de participación o aportación respectiva;</w:t>
      </w:r>
    </w:p>
    <w:p w:rsidR="00000000" w:rsidDel="00000000" w:rsidP="00000000" w:rsidRDefault="00000000" w:rsidRPr="00000000" w14:paraId="00000117">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11)</w:t>
      </w:r>
      <w:r w:rsidDel="00000000" w:rsidR="00000000" w:rsidRPr="00000000">
        <w:rPr>
          <w:rFonts w:ascii="Palatino Linotype" w:cs="Palatino Linotype" w:eastAsia="Palatino Linotype" w:hAnsi="Palatino Linotype"/>
          <w:i w:val="1"/>
          <w:sz w:val="22"/>
          <w:szCs w:val="22"/>
          <w:rtl w:val="0"/>
        </w:rPr>
        <w:t xml:space="preserve"> Los convenios modificatorios que, en su caso, sean firmados, precisando el objeto y la fecha de celebración;</w:t>
      </w:r>
    </w:p>
    <w:p w:rsidR="00000000" w:rsidDel="00000000" w:rsidP="00000000" w:rsidRDefault="00000000" w:rsidRPr="00000000" w14:paraId="00000118">
      <w:pPr>
        <w:tabs>
          <w:tab w:val="left" w:leader="none" w:pos="426"/>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12) </w:t>
      </w:r>
      <w:r w:rsidDel="00000000" w:rsidR="00000000" w:rsidRPr="00000000">
        <w:rPr>
          <w:rFonts w:ascii="Palatino Linotype" w:cs="Palatino Linotype" w:eastAsia="Palatino Linotype" w:hAnsi="Palatino Linotype"/>
          <w:i w:val="1"/>
          <w:sz w:val="22"/>
          <w:szCs w:val="22"/>
          <w:rtl w:val="0"/>
        </w:rPr>
        <w:t xml:space="preserve">Los informes de avance físico y financiero sobre las obras o servicios contratados;</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19">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 El convenio de terminación; </w:t>
      </w:r>
    </w:p>
    <w:p w:rsidR="00000000" w:rsidDel="00000000" w:rsidP="00000000" w:rsidRDefault="00000000" w:rsidRPr="00000000" w14:paraId="0000011A">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14)</w:t>
      </w:r>
      <w:r w:rsidDel="00000000" w:rsidR="00000000" w:rsidRPr="00000000">
        <w:rPr>
          <w:rFonts w:ascii="Palatino Linotype" w:cs="Palatino Linotype" w:eastAsia="Palatino Linotype" w:hAnsi="Palatino Linotype"/>
          <w:i w:val="1"/>
          <w:sz w:val="22"/>
          <w:szCs w:val="22"/>
          <w:rtl w:val="0"/>
        </w:rPr>
        <w:t xml:space="preserve"> El finiquito.</w:t>
      </w:r>
    </w:p>
    <w:p w:rsidR="00000000" w:rsidDel="00000000" w:rsidP="00000000" w:rsidRDefault="00000000" w:rsidRPr="00000000" w14:paraId="0000011B">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C">
      <w:pPr>
        <w:tabs>
          <w:tab w:val="left" w:leader="none" w:pos="426"/>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De las adjudicaciones directas: </w:t>
      </w:r>
    </w:p>
    <w:p w:rsidR="00000000" w:rsidDel="00000000" w:rsidP="00000000" w:rsidRDefault="00000000" w:rsidRPr="00000000" w14:paraId="0000011D">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w:t>
      </w:r>
      <w:r w:rsidDel="00000000" w:rsidR="00000000" w:rsidRPr="00000000">
        <w:rPr>
          <w:rFonts w:ascii="Palatino Linotype" w:cs="Palatino Linotype" w:eastAsia="Palatino Linotype" w:hAnsi="Palatino Linotype"/>
          <w:i w:val="1"/>
          <w:sz w:val="22"/>
          <w:szCs w:val="22"/>
          <w:rtl w:val="0"/>
        </w:rPr>
        <w:t xml:space="preserve"> La propuesta enviada por el participante; </w:t>
      </w:r>
    </w:p>
    <w:p w:rsidR="00000000" w:rsidDel="00000000" w:rsidP="00000000" w:rsidRDefault="00000000" w:rsidRPr="00000000" w14:paraId="0000011E">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w:t>
      </w:r>
      <w:r w:rsidDel="00000000" w:rsidR="00000000" w:rsidRPr="00000000">
        <w:rPr>
          <w:rFonts w:ascii="Palatino Linotype" w:cs="Palatino Linotype" w:eastAsia="Palatino Linotype" w:hAnsi="Palatino Linotype"/>
          <w:i w:val="1"/>
          <w:sz w:val="22"/>
          <w:szCs w:val="22"/>
          <w:rtl w:val="0"/>
        </w:rPr>
        <w:t xml:space="preserve"> Los motivos y fundamentos legales aplicados para llevarla a cabo;</w:t>
      </w:r>
    </w:p>
    <w:p w:rsidR="00000000" w:rsidDel="00000000" w:rsidP="00000000" w:rsidRDefault="00000000" w:rsidRPr="00000000" w14:paraId="0000011F">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w:t>
      </w:r>
      <w:r w:rsidDel="00000000" w:rsidR="00000000" w:rsidRPr="00000000">
        <w:rPr>
          <w:rFonts w:ascii="Palatino Linotype" w:cs="Palatino Linotype" w:eastAsia="Palatino Linotype" w:hAnsi="Palatino Linotype"/>
          <w:i w:val="1"/>
          <w:sz w:val="22"/>
          <w:szCs w:val="22"/>
          <w:rtl w:val="0"/>
        </w:rPr>
        <w:t xml:space="preserve"> La autorización del ejercicio de la opción; </w:t>
      </w:r>
    </w:p>
    <w:p w:rsidR="00000000" w:rsidDel="00000000" w:rsidP="00000000" w:rsidRDefault="00000000" w:rsidRPr="00000000" w14:paraId="00000120">
      <w:pPr>
        <w:tabs>
          <w:tab w:val="left" w:leader="none" w:pos="426"/>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4) </w:t>
      </w:r>
      <w:r w:rsidDel="00000000" w:rsidR="00000000" w:rsidRPr="00000000">
        <w:rPr>
          <w:rFonts w:ascii="Palatino Linotype" w:cs="Palatino Linotype" w:eastAsia="Palatino Linotype" w:hAnsi="Palatino Linotype"/>
          <w:i w:val="1"/>
          <w:sz w:val="22"/>
          <w:szCs w:val="22"/>
          <w:rtl w:val="0"/>
        </w:rPr>
        <w:t xml:space="preserve">En su caso, las cotizaciones consideradas, especificando los nombres de los proveedores y sus montos;</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21">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5)</w:t>
      </w:r>
      <w:r w:rsidDel="00000000" w:rsidR="00000000" w:rsidRPr="00000000">
        <w:rPr>
          <w:rFonts w:ascii="Palatino Linotype" w:cs="Palatino Linotype" w:eastAsia="Palatino Linotype" w:hAnsi="Palatino Linotype"/>
          <w:i w:val="1"/>
          <w:sz w:val="22"/>
          <w:szCs w:val="22"/>
          <w:rtl w:val="0"/>
        </w:rPr>
        <w:t xml:space="preserve"> El nombre de la persona física o jurídica colectiva adjudicada; </w:t>
      </w:r>
    </w:p>
    <w:p w:rsidR="00000000" w:rsidDel="00000000" w:rsidP="00000000" w:rsidRDefault="00000000" w:rsidRPr="00000000" w14:paraId="00000122">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6)</w:t>
      </w:r>
      <w:r w:rsidDel="00000000" w:rsidR="00000000" w:rsidRPr="00000000">
        <w:rPr>
          <w:rFonts w:ascii="Palatino Linotype" w:cs="Palatino Linotype" w:eastAsia="Palatino Linotype" w:hAnsi="Palatino Linotype"/>
          <w:i w:val="1"/>
          <w:sz w:val="22"/>
          <w:szCs w:val="22"/>
          <w:rtl w:val="0"/>
        </w:rPr>
        <w:t xml:space="preserve"> La unidad administrativa solicitante y la responsable de su ejecución; </w:t>
      </w:r>
    </w:p>
    <w:p w:rsidR="00000000" w:rsidDel="00000000" w:rsidP="00000000" w:rsidRDefault="00000000" w:rsidRPr="00000000" w14:paraId="00000123">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7</w:t>
      </w:r>
      <w:r w:rsidDel="00000000" w:rsidR="00000000" w:rsidRPr="00000000">
        <w:rPr>
          <w:rFonts w:ascii="Palatino Linotype" w:cs="Palatino Linotype" w:eastAsia="Palatino Linotype" w:hAnsi="Palatino Linotype"/>
          <w:i w:val="1"/>
          <w:sz w:val="22"/>
          <w:szCs w:val="22"/>
          <w:rtl w:val="0"/>
        </w:rPr>
        <w:t xml:space="preserve">) El número, fecha, el monto del contrato y el plazo de entrega o de ejecución de los servicios u obra; </w:t>
      </w:r>
    </w:p>
    <w:p w:rsidR="00000000" w:rsidDel="00000000" w:rsidP="00000000" w:rsidRDefault="00000000" w:rsidRPr="00000000" w14:paraId="00000124">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8)</w:t>
      </w:r>
      <w:r w:rsidDel="00000000" w:rsidR="00000000" w:rsidRPr="00000000">
        <w:rPr>
          <w:rFonts w:ascii="Palatino Linotype" w:cs="Palatino Linotype" w:eastAsia="Palatino Linotype" w:hAnsi="Palatino Linotype"/>
          <w:i w:val="1"/>
          <w:sz w:val="22"/>
          <w:szCs w:val="22"/>
          <w:rtl w:val="0"/>
        </w:rPr>
        <w:t xml:space="preserve"> Los mecanismos de vigilancia y supervisión, incluyendo, en su caso, los estudios de impacto urbano y ambiental, según corresponda; </w:t>
      </w:r>
    </w:p>
    <w:p w:rsidR="00000000" w:rsidDel="00000000" w:rsidP="00000000" w:rsidRDefault="00000000" w:rsidRPr="00000000" w14:paraId="00000125">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9</w:t>
      </w:r>
      <w:r w:rsidDel="00000000" w:rsidR="00000000" w:rsidRPr="00000000">
        <w:rPr>
          <w:rFonts w:ascii="Palatino Linotype" w:cs="Palatino Linotype" w:eastAsia="Palatino Linotype" w:hAnsi="Palatino Linotype"/>
          <w:i w:val="1"/>
          <w:sz w:val="22"/>
          <w:szCs w:val="22"/>
          <w:rtl w:val="0"/>
        </w:rPr>
        <w:t xml:space="preserve">) Los informes de avance sobre las obras o servicios contratados; </w:t>
      </w:r>
    </w:p>
    <w:p w:rsidR="00000000" w:rsidDel="00000000" w:rsidP="00000000" w:rsidRDefault="00000000" w:rsidRPr="00000000" w14:paraId="00000126">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 El convenio de terminación; y </w:t>
      </w:r>
    </w:p>
    <w:p w:rsidR="00000000" w:rsidDel="00000000" w:rsidP="00000000" w:rsidRDefault="00000000" w:rsidRPr="00000000" w14:paraId="00000127">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11)</w:t>
      </w:r>
      <w:r w:rsidDel="00000000" w:rsidR="00000000" w:rsidRPr="00000000">
        <w:rPr>
          <w:rFonts w:ascii="Palatino Linotype" w:cs="Palatino Linotype" w:eastAsia="Palatino Linotype" w:hAnsi="Palatino Linotype"/>
          <w:i w:val="1"/>
          <w:sz w:val="22"/>
          <w:szCs w:val="22"/>
          <w:rtl w:val="0"/>
        </w:rPr>
        <w:t xml:space="preserve"> El finiquito;”</w:t>
      </w:r>
    </w:p>
    <w:p w:rsidR="00000000" w:rsidDel="00000000" w:rsidP="00000000" w:rsidRDefault="00000000" w:rsidRPr="00000000" w14:paraId="00000128">
      <w:pPr>
        <w:tabs>
          <w:tab w:val="left" w:leader="none" w:pos="426"/>
        </w:tabs>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1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A">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logra vislumbrar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atribuciones para generar, poseer y administrar la información que desea conocer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puesto que como ya se señaló anteriormente, el Ayuntamiento de Toluca llevó a cabo obras públicas desde el inicio de su administración, es decir a partir del mes enero del año en curso; por lo que cuenta con la información solicitada; de modo que resulta válido instruir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realizar una nueva búsqueda exhaustiva y razonable en sus archivos a fin de entregar al particular, en versión pública de ser procedente, los expedientes de contratación de obras públicas del primero de enero al catorce de marzo de dos mil veinticinco, mismos que deberán incluir las facturas de las erogaciones de las obras.</w:t>
      </w:r>
    </w:p>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C">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sin menoscabar el derecho a la protección de los datos personales de terceros.</w:t>
      </w:r>
    </w:p>
    <w:p w:rsidR="00000000" w:rsidDel="00000000" w:rsidP="00000000" w:rsidRDefault="00000000" w:rsidRPr="00000000" w14:paraId="0000012D">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E">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12F">
      <w:pPr>
        <w:spacing w:line="276"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0">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 Para los efectos de la presente Ley se entenderá por:</w:t>
      </w:r>
    </w:p>
    <w:p w:rsidR="00000000" w:rsidDel="00000000" w:rsidP="00000000" w:rsidRDefault="00000000" w:rsidRPr="00000000" w14:paraId="0000013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sz w:val="22"/>
          <w:szCs w:val="22"/>
          <w:rtl w:val="0"/>
        </w:rPr>
        <w:t xml:space="preserve"> según lo dispuesto por la Ley de Protección de Datos Personales del Estado de México;</w:t>
      </w:r>
    </w:p>
    <w:p w:rsidR="00000000" w:rsidDel="00000000" w:rsidP="00000000" w:rsidRDefault="00000000" w:rsidRPr="00000000" w14:paraId="0000013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3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3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3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37">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3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3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13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3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 </w:t>
      </w:r>
    </w:p>
    <w:p w:rsidR="00000000" w:rsidDel="00000000" w:rsidP="00000000" w:rsidRDefault="00000000" w:rsidRPr="00000000" w14:paraId="0000013C">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encuentren contenidos en los documentos a entregar para satisfacer el derecho de acceso a la información pública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3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F">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40">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4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14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4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14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 </w:t>
      </w:r>
    </w:p>
    <w:p w:rsidR="00000000" w:rsidDel="00000000" w:rsidP="00000000" w:rsidRDefault="00000000" w:rsidRPr="00000000" w14:paraId="00000149">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w:t>
      </w:r>
    </w:p>
    <w:p w:rsidR="00000000" w:rsidDel="00000000" w:rsidP="00000000" w:rsidRDefault="00000000" w:rsidRPr="00000000" w14:paraId="0000014F">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0">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51">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2">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mencionar que 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pretende clasificar como confidencial, el nombre, firma y domicilio para tal efecto, se debe establecer lo siguiente:</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del </w:t>
      </w:r>
      <w:r w:rsidDel="00000000" w:rsidR="00000000" w:rsidRPr="00000000">
        <w:rPr>
          <w:rFonts w:ascii="Palatino Linotype" w:cs="Palatino Linotype" w:eastAsia="Palatino Linotype" w:hAnsi="Palatino Linotype"/>
          <w:b w:val="1"/>
          <w:sz w:val="22"/>
          <w:szCs w:val="22"/>
          <w:rtl w:val="0"/>
        </w:rPr>
        <w:t xml:space="preserve">nombre de las personas físicas</w:t>
      </w:r>
      <w:r w:rsidDel="00000000" w:rsidR="00000000" w:rsidRPr="00000000">
        <w:rPr>
          <w:rFonts w:ascii="Palatino Linotype" w:cs="Palatino Linotype" w:eastAsia="Palatino Linotype" w:hAnsi="Palatino Linotype"/>
          <w:sz w:val="22"/>
          <w:szCs w:val="22"/>
          <w:rtl w:val="0"/>
        </w:rPr>
        <w:t xml:space="preserve"> o los </w:t>
      </w:r>
      <w:r w:rsidDel="00000000" w:rsidR="00000000" w:rsidRPr="00000000">
        <w:rPr>
          <w:rFonts w:ascii="Palatino Linotype" w:cs="Palatino Linotype" w:eastAsia="Palatino Linotype" w:hAnsi="Palatino Linotype"/>
          <w:b w:val="1"/>
          <w:sz w:val="22"/>
          <w:szCs w:val="22"/>
          <w:rtl w:val="0"/>
        </w:rPr>
        <w:t xml:space="preserve">representantes legales de las personas morales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en su calidad de proveedores, contratistas o prestadores de servicios, y la firma y rúbrica de estos</w:t>
      </w:r>
      <w:r w:rsidDel="00000000" w:rsidR="00000000" w:rsidRPr="00000000">
        <w:rPr>
          <w:rFonts w:ascii="Palatino Linotype" w:cs="Palatino Linotype" w:eastAsia="Palatino Linotype" w:hAnsi="Palatino Linotype"/>
          <w:sz w:val="22"/>
          <w:szCs w:val="22"/>
          <w:rtl w:val="0"/>
        </w:rPr>
        <w:t xml:space="preserve">,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Argumentación que guarda sustento en lo estipulado por el artículo 23 de la Ley de Transparencia y Acceso a la Información Pública del Estado de México y Municipios en su penúltimo párrafo, mismo que es del tenor literal siguiente:</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23.</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360" w:lineRule="auto"/>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el contenido del criterio orientador 01/19 emitido por el entonces Instituto Nacional de Transparencia, Acceso a la Información, y Protección de Datos Personales, INAI, que lleva por rubro y texto los siguientes</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“Datos de identificación del representante o apoderado legal.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Naturaleza jurídica. El nombre, la </w:t>
      </w:r>
      <w:r w:rsidDel="00000000" w:rsidR="00000000" w:rsidRPr="00000000">
        <w:rPr>
          <w:rFonts w:ascii="Palatino Linotype" w:cs="Palatino Linotype" w:eastAsia="Palatino Linotype" w:hAnsi="Palatino Linotype"/>
          <w:b w:val="1"/>
          <w:i w:val="1"/>
          <w:sz w:val="22"/>
          <w:szCs w:val="22"/>
          <w:u w:val="single"/>
          <w:rtl w:val="0"/>
        </w:rPr>
        <w:t xml:space="preserve">firma y la rúbrica</w:t>
      </w:r>
      <w:r w:rsidDel="00000000" w:rsidR="00000000" w:rsidRPr="00000000">
        <w:rPr>
          <w:rFonts w:ascii="Palatino Linotype" w:cs="Palatino Linotype" w:eastAsia="Palatino Linotype" w:hAnsi="Palatino Linotype"/>
          <w:i w:val="1"/>
          <w:sz w:val="22"/>
          <w:szCs w:val="22"/>
          <w:rtl w:val="0"/>
        </w:rPr>
        <w:t xml:space="preserve"> de una persona física, que actúe como representante o apoderado legal de un tercero que haya celebrado un acto jurídico, con algún sujeto obligado, </w:t>
      </w:r>
      <w:r w:rsidDel="00000000" w:rsidR="00000000" w:rsidRPr="00000000">
        <w:rPr>
          <w:rFonts w:ascii="Palatino Linotype" w:cs="Palatino Linotype" w:eastAsia="Palatino Linotype" w:hAnsi="Palatino Linotype"/>
          <w:b w:val="1"/>
          <w:i w:val="1"/>
          <w:sz w:val="22"/>
          <w:szCs w:val="22"/>
          <w:u w:val="single"/>
          <w:rtl w:val="0"/>
        </w:rPr>
        <w:t xml:space="preserve">es información pública</w:t>
      </w:r>
      <w:r w:rsidDel="00000000" w:rsidR="00000000" w:rsidRPr="00000000">
        <w:rPr>
          <w:rFonts w:ascii="Palatino Linotype" w:cs="Palatino Linotype" w:eastAsia="Palatino Linotype" w:hAnsi="Palatino Linotype"/>
          <w:b w:val="1"/>
          <w:i w:val="1"/>
          <w:sz w:val="22"/>
          <w:szCs w:val="22"/>
          <w:rtl w:val="0"/>
        </w:rPr>
        <w:t xml:space="preserve">, en razón de que tales datos fueron proporcionados con el objeto de expresar el consentimiento obligacional del tercero y otorgar validez a dicho instrumento jurídico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5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F">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el </w:t>
      </w:r>
      <w:r w:rsidDel="00000000" w:rsidR="00000000" w:rsidRPr="00000000">
        <w:rPr>
          <w:rFonts w:ascii="Palatino Linotype" w:cs="Palatino Linotype" w:eastAsia="Palatino Linotype" w:hAnsi="Palatino Linotype"/>
          <w:b w:val="1"/>
          <w:sz w:val="22"/>
          <w:szCs w:val="22"/>
          <w:rtl w:val="0"/>
        </w:rPr>
        <w:t xml:space="preserve">RFC</w:t>
      </w:r>
      <w:r w:rsidDel="00000000" w:rsidR="00000000" w:rsidRPr="00000000">
        <w:rPr>
          <w:rFonts w:ascii="Palatino Linotype" w:cs="Palatino Linotype" w:eastAsia="Palatino Linotype" w:hAnsi="Palatino Linotype"/>
          <w:sz w:val="22"/>
          <w:szCs w:val="22"/>
          <w:rtl w:val="0"/>
        </w:rPr>
        <w:t xml:space="preserve">,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000000" w:rsidDel="00000000" w:rsidP="00000000" w:rsidRDefault="00000000" w:rsidRPr="00000000" w14:paraId="00000160">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1">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000000" w:rsidDel="00000000" w:rsidP="00000000" w:rsidRDefault="00000000" w:rsidRPr="00000000" w14:paraId="00000162">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3">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000000" w:rsidDel="00000000" w:rsidP="00000000" w:rsidRDefault="00000000" w:rsidRPr="00000000" w14:paraId="0000016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rsidR="00000000" w:rsidDel="00000000" w:rsidP="00000000" w:rsidRDefault="00000000" w:rsidRPr="00000000" w14:paraId="00000166">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7">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000000" w:rsidDel="00000000" w:rsidP="00000000" w:rsidRDefault="00000000" w:rsidRPr="00000000" w14:paraId="0000016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9">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encuentra sustento en el criterio orientador 10/17 emitido por el entonces Instituto Nacional de Transparencia y Acceso a la Información Pública del Estado de México y Municipios, que a la letra dicen:</w:t>
      </w:r>
    </w:p>
    <w:p w:rsidR="00000000" w:rsidDel="00000000" w:rsidP="00000000" w:rsidRDefault="00000000" w:rsidRPr="00000000" w14:paraId="0000016A">
      <w:pPr>
        <w:spacing w:line="276" w:lineRule="auto"/>
        <w:ind w:left="851" w:right="1134"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6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00000" w:rsidDel="00000000" w:rsidP="00000000" w:rsidRDefault="00000000" w:rsidRPr="00000000" w14:paraId="0000016C">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D">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por cuanto hace a las cuentas bancarias de los Sujetos obligados, dicha información no puede considerarse como confidencial, pues la difusión de dichas cuentas o claves interbancarias, favorecen a la rendición de cuentas; ello tiene sustento en el criterio orientador 11/17, emitido por el entonces Instituto Nacional de Transparencia y Acceso a la Información Pública del Estado de México y Municipios, el cual para mayor referencia se inserta a continuación:</w:t>
      </w:r>
    </w:p>
    <w:p w:rsidR="00000000" w:rsidDel="00000000" w:rsidP="00000000" w:rsidRDefault="00000000" w:rsidRPr="00000000" w14:paraId="0000016E">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000000" w:rsidDel="00000000" w:rsidP="00000000" w:rsidRDefault="00000000" w:rsidRPr="00000000" w14:paraId="00000170">
      <w:pPr>
        <w:spacing w:line="360" w:lineRule="auto"/>
        <w:ind w:left="851" w:right="1134"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destaca que la versión pública que elabore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72">
      <w:pPr>
        <w:ind w:left="709" w:right="70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line="276" w:lineRule="auto"/>
        <w:ind w:left="851" w:right="616"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r w:rsidDel="00000000" w:rsidR="00000000" w:rsidRPr="00000000">
        <w:rPr>
          <w:rtl w:val="0"/>
        </w:rPr>
      </w:r>
    </w:p>
    <w:p w:rsidR="00000000" w:rsidDel="00000000" w:rsidP="00000000" w:rsidRDefault="00000000" w:rsidRPr="00000000" w14:paraId="000001A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A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5">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A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1A8">
      <w:pPr>
        <w:numPr>
          <w:ilvl w:val="0"/>
          <w:numId w:val="5"/>
        </w:numPr>
        <w:pBdr>
          <w:top w:space="0" w:sz="0" w:val="nil"/>
          <w:left w:space="0" w:sz="0" w:val="nil"/>
          <w:bottom w:space="0" w:sz="0" w:val="nil"/>
          <w:right w:space="0" w:sz="0" w:val="nil"/>
          <w:between w:space="0" w:sz="0" w:val="nil"/>
        </w:pBdr>
        <w:spacing w:after="240" w:before="240" w:line="360" w:lineRule="auto"/>
        <w:ind w:left="567" w:hanging="14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1A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05209/INFOEM/IP/RR/2025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tl w:val="0"/>
        </w:rPr>
      </w:r>
    </w:p>
    <w:p w:rsidR="00000000" w:rsidDel="00000000" w:rsidP="00000000" w:rsidRDefault="00000000" w:rsidRPr="00000000" w14:paraId="000001AA">
      <w:pPr>
        <w:spacing w:after="240" w:before="240" w:line="360" w:lineRule="auto"/>
        <w:ind w:right="49"/>
        <w:jc w:val="both"/>
        <w:rPr>
          <w:rFonts w:ascii="Palatino Linotype" w:cs="Palatino Linotype" w:eastAsia="Palatino Linotype" w:hAnsi="Palatino Linotype"/>
          <w:i w:val="1"/>
          <w:sz w:val="22"/>
          <w:szCs w:val="22"/>
        </w:rPr>
      </w:pPr>
      <w:bookmarkStart w:colFirst="0" w:colLast="0" w:name="_heading=h.1fob9te" w:id="5"/>
      <w:bookmarkEnd w:id="5"/>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entregue, 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vía SAIMEX, </w:t>
      </w:r>
      <w:r w:rsidDel="00000000" w:rsidR="00000000" w:rsidRPr="00000000">
        <w:rPr>
          <w:rFonts w:ascii="Palatino Linotype" w:cs="Palatino Linotype" w:eastAsia="Palatino Linotype" w:hAnsi="Palatino Linotype"/>
          <w:sz w:val="22"/>
          <w:szCs w:val="22"/>
          <w:rtl w:val="0"/>
        </w:rPr>
        <w:t xml:space="preserve">en términos de</w:t>
      </w:r>
      <w:r w:rsidDel="00000000" w:rsidR="00000000" w:rsidRPr="00000000">
        <w:rPr>
          <w:rFonts w:ascii="Palatino Linotype" w:cs="Palatino Linotype" w:eastAsia="Palatino Linotype" w:hAnsi="Palatino Linotype"/>
          <w:b w:val="1"/>
          <w:sz w:val="22"/>
          <w:szCs w:val="22"/>
          <w:rtl w:val="0"/>
        </w:rPr>
        <w:t xml:space="preserve">l 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y Quinto</w:t>
      </w:r>
      <w:r w:rsidDel="00000000" w:rsidR="00000000" w:rsidRPr="00000000">
        <w:rPr>
          <w:rFonts w:ascii="Palatino Linotype" w:cs="Palatino Linotype" w:eastAsia="Palatino Linotype" w:hAnsi="Palatino Linotype"/>
          <w:sz w:val="22"/>
          <w:szCs w:val="22"/>
          <w:rtl w:val="0"/>
        </w:rPr>
        <w:t xml:space="preserve">, previa búsqueda exhaustiva y razonable, de ser procedente en versión pública, de lo siguiente:</w:t>
      </w:r>
      <w:r w:rsidDel="00000000" w:rsidR="00000000" w:rsidRPr="00000000">
        <w:rPr>
          <w:rtl w:val="0"/>
        </w:rPr>
      </w:r>
    </w:p>
    <w:p w:rsidR="00000000" w:rsidDel="00000000" w:rsidP="00000000" w:rsidRDefault="00000000" w:rsidRPr="00000000" w14:paraId="000001AB">
      <w:pPr>
        <w:numPr>
          <w:ilvl w:val="0"/>
          <w:numId w:val="4"/>
        </w:num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Programa Anual de Obras Públicas para el ejercicio fiscal dos mil veinticinco.</w:t>
      </w:r>
    </w:p>
    <w:p w:rsidR="00000000" w:rsidDel="00000000" w:rsidP="00000000" w:rsidRDefault="00000000" w:rsidRPr="00000000" w14:paraId="000001AC">
      <w:pPr>
        <w:numPr>
          <w:ilvl w:val="0"/>
          <w:numId w:val="4"/>
        </w:num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de cabildo en la que se aprobó el Programa Anual de Obra del ejercicio fiscal dos mil veinticinco.</w:t>
      </w:r>
    </w:p>
    <w:p w:rsidR="00000000" w:rsidDel="00000000" w:rsidP="00000000" w:rsidRDefault="00000000" w:rsidRPr="00000000" w14:paraId="000001AD">
      <w:pPr>
        <w:numPr>
          <w:ilvl w:val="0"/>
          <w:numId w:val="4"/>
        </w:num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Expedientes de contratación de obras públicas y facturas pagadas del primero de enero al catorce de marzo de dos mil veinticinco. </w:t>
      </w:r>
    </w:p>
    <w:p w:rsidR="00000000" w:rsidDel="00000000" w:rsidP="00000000" w:rsidRDefault="00000000" w:rsidRPr="00000000" w14:paraId="000001AE">
      <w:pPr>
        <w:pBdr>
          <w:top w:space="0" w:sz="0" w:val="nil"/>
          <w:left w:space="0" w:sz="0" w:val="nil"/>
          <w:bottom w:space="0" w:sz="0" w:val="nil"/>
          <w:right w:space="0" w:sz="0" w:val="nil"/>
          <w:between w:space="0" w:sz="0" w:val="nil"/>
        </w:pBd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B0">
      <w:pPr>
        <w:pBdr>
          <w:top w:space="0" w:sz="0" w:val="nil"/>
          <w:left w:space="0" w:sz="0" w:val="nil"/>
          <w:bottom w:space="0" w:sz="0" w:val="nil"/>
          <w:right w:space="0" w:sz="0" w:val="nil"/>
          <w:between w:space="0" w:sz="0" w:val="nil"/>
        </w:pBd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B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B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Notifíquese 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B4">
      <w:pPr>
        <w:spacing w:line="360" w:lineRule="auto"/>
        <w:jc w:val="both"/>
        <w:rPr>
          <w:rFonts w:ascii="Palatino Linotype" w:cs="Palatino Linotype" w:eastAsia="Palatino Linotype" w:hAnsi="Palatino Linotype"/>
          <w:sz w:val="22"/>
          <w:szCs w:val="22"/>
        </w:rPr>
        <w:sectPr>
          <w:headerReference r:id="rId22" w:type="default"/>
          <w:headerReference r:id="rId23" w:type="first"/>
          <w:footerReference r:id="rId24" w:type="default"/>
          <w:footerReference r:id="rId25"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TRECE DE AGOSTO DE DOS MIL VEINTICINCO, ANTE EL SECRETARIO TÉCNICO DEL PLENO ALEXIS TAPIA RAMÍREZ.                              </w:t>
      </w:r>
    </w:p>
    <w:p w:rsidR="00000000" w:rsidDel="00000000" w:rsidP="00000000" w:rsidRDefault="00000000" w:rsidRPr="00000000" w14:paraId="000001B5">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26"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B6">
      <w:pPr>
        <w:pBdr>
          <w:top w:space="0" w:sz="0" w:val="nil"/>
          <w:left w:space="0" w:sz="0" w:val="nil"/>
          <w:bottom w:space="0" w:sz="0" w:val="nil"/>
          <w:right w:space="0" w:sz="0" w:val="nil"/>
          <w:between w:space="0" w:sz="0" w:val="nil"/>
        </w:pBdr>
        <w:tabs>
          <w:tab w:val="left" w:leader="none" w:pos="7371"/>
        </w:tabs>
        <w:ind w:right="-93"/>
        <w:jc w:val="both"/>
        <w:rPr>
          <w:rFonts w:ascii="Palatino Linotype" w:cs="Palatino Linotype" w:eastAsia="Palatino Linotype" w:hAnsi="Palatino Linotype"/>
          <w:color w:val="000000"/>
          <w:sz w:val="19"/>
          <w:szCs w:val="19"/>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sz w:val="18"/>
          <w:szCs w:val="18"/>
          <w:rtl w:val="0"/>
        </w:rPr>
        <w:t xml:space="preserve">“Artículo 12.15.- Las dependencias, entidades y </w:t>
      </w:r>
      <w:r w:rsidDel="00000000" w:rsidR="00000000" w:rsidRPr="00000000">
        <w:rPr>
          <w:rFonts w:ascii="Palatino Linotype" w:cs="Palatino Linotype" w:eastAsia="Palatino Linotype" w:hAnsi="Palatino Linotype"/>
          <w:b w:val="1"/>
          <w:color w:val="000000"/>
          <w:sz w:val="18"/>
          <w:szCs w:val="18"/>
          <w:rtl w:val="0"/>
        </w:rPr>
        <w:t xml:space="preserve">ayuntamientos</w:t>
      </w:r>
      <w:r w:rsidDel="00000000" w:rsidR="00000000" w:rsidRPr="00000000">
        <w:rPr>
          <w:rFonts w:ascii="Palatino Linotype" w:cs="Palatino Linotype" w:eastAsia="Palatino Linotype" w:hAnsi="Palatino Linotype"/>
          <w:color w:val="000000"/>
          <w:sz w:val="18"/>
          <w:szCs w:val="18"/>
          <w:rtl w:val="0"/>
        </w:rPr>
        <w:t xml:space="preserve">, según las características, complejidad y magnitud de los trabajos, </w:t>
      </w:r>
      <w:r w:rsidDel="00000000" w:rsidR="00000000" w:rsidRPr="00000000">
        <w:rPr>
          <w:rFonts w:ascii="Palatino Linotype" w:cs="Palatino Linotype" w:eastAsia="Palatino Linotype" w:hAnsi="Palatino Linotype"/>
          <w:b w:val="1"/>
          <w:color w:val="000000"/>
          <w:sz w:val="18"/>
          <w:szCs w:val="18"/>
          <w:rtl w:val="0"/>
        </w:rPr>
        <w:t xml:space="preserve">formularán los programas de obra pública</w:t>
      </w:r>
      <w:r w:rsidDel="00000000" w:rsidR="00000000" w:rsidRPr="00000000">
        <w:rPr>
          <w:rFonts w:ascii="Palatino Linotype" w:cs="Palatino Linotype" w:eastAsia="Palatino Linotype" w:hAnsi="Palatino Linotype"/>
          <w:color w:val="000000"/>
          <w:sz w:val="18"/>
          <w:szCs w:val="18"/>
          <w:rtl w:val="0"/>
        </w:rPr>
        <w:t xml:space="preserve"> </w:t>
      </w:r>
      <w:r w:rsidDel="00000000" w:rsidR="00000000" w:rsidRPr="00000000">
        <w:rPr>
          <w:rFonts w:ascii="Palatino Linotype" w:cs="Palatino Linotype" w:eastAsia="Palatino Linotype" w:hAnsi="Palatino Linotype"/>
          <w:b w:val="1"/>
          <w:color w:val="000000"/>
          <w:sz w:val="18"/>
          <w:szCs w:val="18"/>
          <w:rtl w:val="0"/>
        </w:rPr>
        <w:t xml:space="preserve">o de servicios relacionados con la misma</w:t>
      </w:r>
      <w:r w:rsidDel="00000000" w:rsidR="00000000" w:rsidRPr="00000000">
        <w:rPr>
          <w:rFonts w:ascii="Palatino Linotype" w:cs="Palatino Linotype" w:eastAsia="Palatino Linotype" w:hAnsi="Palatino Linotype"/>
          <w:color w:val="000000"/>
          <w:sz w:val="18"/>
          <w:szCs w:val="18"/>
          <w:rtl w:val="0"/>
        </w:rPr>
        <w:t xml:space="preserve">, así como sus respectivos presupuestos, con base en las políticas, objetivos y prioridades de la planeación del desarrollo del Estado y municipios, </w:t>
      </w:r>
      <w:r w:rsidDel="00000000" w:rsidR="00000000" w:rsidRPr="00000000">
        <w:rPr>
          <w:rFonts w:ascii="Palatino Linotype" w:cs="Palatino Linotype" w:eastAsia="Palatino Linotype" w:hAnsi="Palatino Linotype"/>
          <w:b w:val="1"/>
          <w:color w:val="000000"/>
          <w:sz w:val="18"/>
          <w:szCs w:val="18"/>
          <w:rtl w:val="0"/>
        </w:rPr>
        <w:t xml:space="preserve">considerando</w:t>
      </w:r>
      <w:r w:rsidDel="00000000" w:rsidR="00000000" w:rsidRPr="00000000">
        <w:rPr>
          <w:rFonts w:ascii="Palatino Linotype" w:cs="Palatino Linotype" w:eastAsia="Palatino Linotype" w:hAnsi="Palatino Linotype"/>
          <w:color w:val="000000"/>
          <w:sz w:val="18"/>
          <w:szCs w:val="18"/>
          <w:rtl w:val="0"/>
        </w:rPr>
        <w:t xml:space="preserve">: (…)</w:t>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tl w:val="0"/>
        </w:rPr>
      </w:r>
    </w:p>
  </w:footnote>
  <w:footnote w:id="1">
    <w:p w:rsidR="00000000" w:rsidDel="00000000" w:rsidP="00000000" w:rsidRDefault="00000000" w:rsidRPr="00000000" w14:paraId="000001B8">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Palatino Linotype" w:cs="Palatino Linotype" w:eastAsia="Palatino Linotype" w:hAnsi="Palatino Linotype"/>
          <w:color w:val="000000"/>
          <w:sz w:val="20"/>
          <w:szCs w:val="20"/>
          <w:rtl w:val="0"/>
        </w:rPr>
        <w:t xml:space="preserve">Consultable en: </w:t>
      </w:r>
      <w:hyperlink r:id="rId1">
        <w:r w:rsidDel="00000000" w:rsidR="00000000" w:rsidRPr="00000000">
          <w:rPr>
            <w:rFonts w:ascii="Palatino Linotype" w:cs="Palatino Linotype" w:eastAsia="Palatino Linotype" w:hAnsi="Palatino Linotype"/>
            <w:color w:val="0563c1"/>
            <w:sz w:val="20"/>
            <w:szCs w:val="20"/>
            <w:u w:val="single"/>
            <w:rtl w:val="0"/>
          </w:rPr>
          <w:t xml:space="preserve">https://www2.toluca.gob.mx/toluca-se-pone-a-la-vanguardia-con-nueva-tecnologia-para-rehabilitar-calles/</w:t>
        </w:r>
      </w:hyperlink>
      <w:r w:rsidDel="00000000" w:rsidR="00000000" w:rsidRPr="00000000">
        <w:rPr>
          <w:rtl w:val="0"/>
        </w:rPr>
      </w:r>
    </w:p>
    <w:p w:rsidR="00000000" w:rsidDel="00000000" w:rsidP="00000000" w:rsidRDefault="00000000" w:rsidRPr="00000000" w14:paraId="000001B9">
      <w:pPr>
        <w:rPr>
          <w:rFonts w:ascii="Palatino Linotype" w:cs="Palatino Linotype" w:eastAsia="Palatino Linotype" w:hAnsi="Palatino Linotype"/>
        </w:rPr>
      </w:pPr>
      <w:hyperlink r:id="rId2">
        <w:r w:rsidDel="00000000" w:rsidR="00000000" w:rsidRPr="00000000">
          <w:rPr>
            <w:rFonts w:ascii="Palatino Linotype" w:cs="Palatino Linotype" w:eastAsia="Palatino Linotype" w:hAnsi="Palatino Linotype"/>
            <w:color w:val="0563c1"/>
            <w:sz w:val="20"/>
            <w:szCs w:val="20"/>
            <w:u w:val="single"/>
            <w:rtl w:val="0"/>
          </w:rPr>
          <w:t xml:space="preserve">https://www2.toluca.gob.mx/lleva-ricardo-moreno-la-transformacion-a-las-colonias-olvidadas-de-toluca/</w:t>
        </w:r>
      </w:hyperlink>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-638173</wp:posOffset>
          </wp:positionH>
          <wp:positionV relativeFrom="paragraph">
            <wp:posOffset>-450213</wp:posOffset>
          </wp:positionV>
          <wp:extent cx="7809876" cy="10165823"/>
          <wp:effectExtent b="0" l="0" r="0" t="0"/>
          <wp:wrapNone/>
          <wp:docPr id="203219602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B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BC">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05209/INFOEM/IP/RR/2025</w:t>
          </w:r>
        </w:p>
      </w:tc>
    </w:tr>
    <w:tr>
      <w:trPr>
        <w:cantSplit w:val="0"/>
        <w:trHeight w:val="228" w:hRule="atLeast"/>
        <w:tblHeader w:val="0"/>
      </w:trPr>
      <w:tc>
        <w:tcPr>
          <w:vAlign w:val="center"/>
        </w:tcPr>
        <w:p w:rsidR="00000000" w:rsidDel="00000000" w:rsidP="00000000" w:rsidRDefault="00000000" w:rsidRPr="00000000" w14:paraId="000001B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B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vAlign w:val="center"/>
        </w:tcPr>
        <w:p w:rsidR="00000000" w:rsidDel="00000000" w:rsidP="00000000" w:rsidRDefault="00000000" w:rsidRPr="00000000" w14:paraId="000001B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C0">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C1">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2">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-798191</wp:posOffset>
          </wp:positionH>
          <wp:positionV relativeFrom="paragraph">
            <wp:posOffset>-399411</wp:posOffset>
          </wp:positionV>
          <wp:extent cx="7809876" cy="10165823"/>
          <wp:effectExtent b="0" l="0" r="0" t="0"/>
          <wp:wrapNone/>
          <wp:docPr id="2032196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C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C4">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05209/INFOEM/IP/RR/2025</w:t>
          </w:r>
        </w:p>
      </w:tc>
    </w:tr>
    <w:tr>
      <w:trPr>
        <w:cantSplit w:val="0"/>
        <w:tblHeader w:val="0"/>
      </w:trPr>
      <w:tc>
        <w:tcPr>
          <w:vAlign w:val="center"/>
        </w:tcPr>
        <w:p w:rsidR="00000000" w:rsidDel="00000000" w:rsidP="00000000" w:rsidRDefault="00000000" w:rsidRPr="00000000" w14:paraId="000001C5">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C6">
          <w:pPr>
            <w:ind w:right="-533"/>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C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C8">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vAlign w:val="center"/>
        </w:tcPr>
        <w:p w:rsidR="00000000" w:rsidDel="00000000" w:rsidP="00000000" w:rsidRDefault="00000000" w:rsidRPr="00000000" w14:paraId="000001C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CA">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CB">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5">
    <w:lvl w:ilvl="0">
      <w:start w:val="1"/>
      <w:numFmt w:val="upperRoman"/>
      <w:lvlText w:val="%1."/>
      <w:lvlJc w:val="righ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7"/>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8"/>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18" w:customStyle="1">
    <w:name w:val="18"/>
    <w:basedOn w:val="TableNormal1"/>
    <w:tblPr>
      <w:tblStyleRowBandSize w:val="1"/>
      <w:tblStyleColBandSize w:val="1"/>
      <w:tblCellMar>
        <w:left w:w="108.0" w:type="dxa"/>
        <w:right w:w="108.0" w:type="dxa"/>
      </w:tblCellMar>
    </w:tblPr>
  </w:style>
  <w:style w:type="table" w:styleId="17" w:customStyle="1">
    <w:name w:val="17"/>
    <w:basedOn w:val="TableNormal1"/>
    <w:tblPr>
      <w:tblStyleRowBandSize w:val="1"/>
      <w:tblStyleColBandSize w:val="1"/>
      <w:tblCellMar>
        <w:left w:w="115.0" w:type="dxa"/>
        <w:right w:w="115.0" w:type="dxa"/>
      </w:tblCellMar>
    </w:tblPr>
  </w:style>
  <w:style w:type="table" w:styleId="16" w:customStyle="1">
    <w:name w:val="16"/>
    <w:basedOn w:val="TableNormal1"/>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15" w:customStyle="1">
    <w:name w:val="15"/>
    <w:basedOn w:val="TableNormal1"/>
    <w:tblPr>
      <w:tblStyleRowBandSize w:val="1"/>
      <w:tblStyleColBandSize w:val="1"/>
      <w:tblCellMar>
        <w:left w:w="108.0" w:type="dxa"/>
        <w:right w:w="108.0" w:type="dxa"/>
      </w:tblCellMar>
    </w:tblPr>
  </w:style>
  <w:style w:type="table" w:styleId="14" w:customStyle="1">
    <w:name w:val="14"/>
    <w:basedOn w:val="TableNormal1"/>
    <w:tblPr>
      <w:tblStyleRowBandSize w:val="1"/>
      <w:tblStyleColBandSize w:val="1"/>
      <w:tblCellMar>
        <w:left w:w="108.0" w:type="dxa"/>
        <w:right w:w="108.0" w:type="dxa"/>
      </w:tblCellMar>
    </w:tblPr>
  </w:style>
  <w:style w:type="table" w:styleId="13" w:customStyle="1">
    <w:name w:val="13"/>
    <w:basedOn w:val="TableNormal1"/>
    <w:tblPr>
      <w:tblStyleRowBandSize w:val="1"/>
      <w:tblStyleColBandSize w:val="1"/>
      <w:tblCellMar>
        <w:left w:w="108.0" w:type="dxa"/>
        <w:right w:w="108.0" w:type="dxa"/>
      </w:tblCellMar>
    </w:tblPr>
  </w:style>
  <w:style w:type="table" w:styleId="12" w:customStyle="1">
    <w:name w:val="12"/>
    <w:basedOn w:val="TableNormal1"/>
    <w:tblPr>
      <w:tblStyleRowBandSize w:val="1"/>
      <w:tblStyleColBandSize w:val="1"/>
      <w:tblCellMar>
        <w:left w:w="108.0" w:type="dxa"/>
        <w:right w:w="108.0" w:type="dxa"/>
      </w:tblCellMar>
    </w:tblPr>
  </w:style>
  <w:style w:type="table" w:styleId="11" w:customStyle="1">
    <w:name w:val="11"/>
    <w:basedOn w:val="TableNormal1"/>
    <w:tblPr>
      <w:tblStyleRowBandSize w:val="1"/>
      <w:tblStyleColBandSize w:val="1"/>
      <w:tblCellMar>
        <w:left w:w="108.0" w:type="dxa"/>
        <w:right w:w="108.0" w:type="dxa"/>
      </w:tblCellMar>
    </w:tblPr>
  </w:style>
  <w:style w:type="table" w:styleId="10" w:customStyle="1">
    <w:name w:val="10"/>
    <w:basedOn w:val="TableNormal1"/>
    <w:tblPr>
      <w:tblStyleRowBandSize w:val="1"/>
      <w:tblStyleColBandSize w:val="1"/>
      <w:tblCellMar>
        <w:left w:w="108.0" w:type="dxa"/>
        <w:right w:w="108.0" w:type="dxa"/>
      </w:tblCellMar>
    </w:tblPr>
  </w:style>
  <w:style w:type="table" w:styleId="9" w:customStyle="1">
    <w:name w:val="9"/>
    <w:basedOn w:val="TableNormal1"/>
    <w:tblPr>
      <w:tblStyleRowBandSize w:val="1"/>
      <w:tblStyleColBandSize w:val="1"/>
      <w:tblCellMar>
        <w:left w:w="108.0" w:type="dxa"/>
        <w:right w:w="108.0" w:type="dxa"/>
      </w:tblCellMar>
    </w:tblPr>
  </w:style>
  <w:style w:type="table" w:styleId="8" w:customStyle="1">
    <w:name w:val="8"/>
    <w:basedOn w:val="TableNormal1"/>
    <w:tblPr>
      <w:tblStyleRowBandSize w:val="1"/>
      <w:tblStyleColBandSize w:val="1"/>
      <w:tblCellMar>
        <w:left w:w="115.0" w:type="dxa"/>
        <w:right w:w="115.0" w:type="dxa"/>
      </w:tblCellMar>
    </w:tblPr>
  </w:style>
  <w:style w:type="table" w:styleId="7" w:customStyle="1">
    <w:name w:val="7"/>
    <w:basedOn w:val="TableNormal1"/>
    <w:tblPr>
      <w:tblStyleRowBandSize w:val="1"/>
      <w:tblStyleColBandSize w:val="1"/>
      <w:tblCellMar>
        <w:left w:w="115.0" w:type="dxa"/>
        <w:right w:w="115.0" w:type="dxa"/>
      </w:tblCellMar>
    </w:tblPr>
  </w:style>
  <w:style w:type="table" w:styleId="6" w:customStyle="1">
    <w:name w:val="6"/>
    <w:basedOn w:val="TableNormal1"/>
    <w:tblPr>
      <w:tblStyleRowBandSize w:val="1"/>
      <w:tblStyleColBandSize w:val="1"/>
      <w:tblCellMar>
        <w:left w:w="115.0" w:type="dxa"/>
        <w:right w:w="115.0" w:type="dxa"/>
      </w:tblCellMar>
    </w:tblPr>
  </w:style>
  <w:style w:type="table" w:styleId="5" w:customStyle="1">
    <w:name w:val="5"/>
    <w:basedOn w:val="TableNormal2"/>
    <w:tblPr>
      <w:tblStyleRowBandSize w:val="1"/>
      <w:tblStyleColBandSize w:val="1"/>
      <w:tblCellMar>
        <w:left w:w="115.0" w:type="dxa"/>
        <w:right w:w="115.0" w:type="dxa"/>
      </w:tblCellMar>
    </w:tblPr>
  </w:style>
  <w:style w:type="table" w:styleId="4" w:customStyle="1">
    <w:name w:val="4"/>
    <w:basedOn w:val="TableNormal2"/>
    <w:tblPr>
      <w:tblStyleRowBandSize w:val="1"/>
      <w:tblStyleColBandSize w:val="1"/>
      <w:tblCellMar>
        <w:left w:w="115.0" w:type="dxa"/>
        <w:right w:w="115.0" w:type="dxa"/>
      </w:tblCellMar>
    </w:tblPr>
  </w:style>
  <w:style w:type="table" w:styleId="3" w:customStyle="1">
    <w:name w:val="3"/>
    <w:basedOn w:val="TableNormal2"/>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5"/>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2" w:customStyle="1">
    <w:name w:val="2"/>
    <w:basedOn w:val="TableNormal3"/>
    <w:tblPr>
      <w:tblStyleRowBandSize w:val="1"/>
      <w:tblStyleColBandSize w:val="1"/>
      <w:tblCellMar>
        <w:left w:w="115.0" w:type="dxa"/>
        <w:right w:w="115.0" w:type="dxa"/>
      </w:tblCellMar>
    </w:tblPr>
  </w:style>
  <w:style w:type="table" w:styleId="1" w:customStyle="1">
    <w:name w:val="1"/>
    <w:basedOn w:val="TableNormal3"/>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Tablaconcuadrcula3" w:customStyle="1">
    <w:name w:val="Tabla con cuadrícula3"/>
    <w:basedOn w:val="Tablanormal"/>
    <w:next w:val="Tablaconcuadrcula"/>
    <w:uiPriority w:val="59"/>
    <w:rsid w:val="00267918"/>
    <w:rPr>
      <w:rFonts w:ascii="Calibri" w:eastAsia="Calibri" w:hAnsi="Calibr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header" Target="header1.xml"/><Relationship Id="rId21" Type="http://schemas.openxmlformats.org/officeDocument/2006/relationships/image" Target="media/image7.png"/><Relationship Id="rId24" Type="http://schemas.openxmlformats.org/officeDocument/2006/relationships/footer" Target="foot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0.png"/><Relationship Id="rId26" Type="http://schemas.openxmlformats.org/officeDocument/2006/relationships/header" Target="header3.xml"/><Relationship Id="rId25"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 Id="rId11" Type="http://schemas.openxmlformats.org/officeDocument/2006/relationships/image" Target="media/image12.png"/><Relationship Id="rId10" Type="http://schemas.openxmlformats.org/officeDocument/2006/relationships/image" Target="media/image13.png"/><Relationship Id="rId13" Type="http://schemas.openxmlformats.org/officeDocument/2006/relationships/image" Target="media/image8.png"/><Relationship Id="rId12" Type="http://schemas.openxmlformats.org/officeDocument/2006/relationships/image" Target="media/image15.png"/><Relationship Id="rId15" Type="http://schemas.openxmlformats.org/officeDocument/2006/relationships/image" Target="media/image4.png"/><Relationship Id="rId14" Type="http://schemas.openxmlformats.org/officeDocument/2006/relationships/image" Target="media/image11.png"/><Relationship Id="rId17" Type="http://schemas.openxmlformats.org/officeDocument/2006/relationships/image" Target="media/image6.png"/><Relationship Id="rId16" Type="http://schemas.openxmlformats.org/officeDocument/2006/relationships/image" Target="media/image2.png"/><Relationship Id="rId19" Type="http://schemas.openxmlformats.org/officeDocument/2006/relationships/image" Target="media/image9.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2.toluca.gob.mx/toluca-se-pone-a-la-vanguardia-con-nueva-tecnologia-para-rehabilitar-calles/" TargetMode="External"/><Relationship Id="rId2" Type="http://schemas.openxmlformats.org/officeDocument/2006/relationships/hyperlink" Target="https://www2.toluca.gob.mx/lleva-ricardo-moreno-la-transformacion-a-las-colonias-olvidadas-de-tolu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npQVb75xxawBO0t6LWtqPBXmbA==">CgMxLjAyCWguM3pueXNoNzIIaC5namRneHMyCWguMzBqMHpsbDIOaC5reTRpeDBuY3EyejcyDmguNWpvbDlnNmpicWFrMgloLjFmb2I5dGU4AHIhMWFiLUtDN2tzLUlURVhLVmZrRlowS0dzVW5mUk52MVVu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2025-09-03T21:50:00Z</dcterms:created>
  <dc:creator>USER</dc:creator>
</cp:coreProperties>
</file>