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9220" w14:textId="77777777" w:rsidR="00624A47" w:rsidRDefault="00624A47" w:rsidP="00994027">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7DB8CC88" w14:textId="6F1C0CAE" w:rsidR="00624A47" w:rsidRPr="00D87A7E" w:rsidRDefault="00624A47" w:rsidP="00994027">
          <w:pPr>
            <w:pStyle w:val="TtuloTDC"/>
            <w:spacing w:before="0" w:line="360" w:lineRule="auto"/>
            <w:contextualSpacing/>
            <w:jc w:val="center"/>
            <w:rPr>
              <w:rFonts w:ascii="Palatino Linotype" w:hAnsi="Palatino Linotype"/>
              <w:color w:val="auto"/>
              <w:sz w:val="22"/>
              <w:szCs w:val="22"/>
            </w:rPr>
          </w:pPr>
          <w:r w:rsidRPr="00D87A7E">
            <w:rPr>
              <w:rFonts w:ascii="Palatino Linotype" w:hAnsi="Palatino Linotype"/>
              <w:color w:val="auto"/>
              <w:sz w:val="22"/>
              <w:szCs w:val="22"/>
              <w:lang w:val="es-ES"/>
            </w:rPr>
            <w:t xml:space="preserve">RESOLUCIÓN DEL RECURSO DE REVISIÓN </w:t>
          </w:r>
          <w:r w:rsidRPr="00D87A7E">
            <w:rPr>
              <w:rFonts w:ascii="Palatino Linotype" w:hAnsi="Palatino Linotype"/>
              <w:color w:val="auto"/>
              <w:sz w:val="22"/>
              <w:szCs w:val="22"/>
            </w:rPr>
            <w:t>05876/INFOEM/IP/RR/2025</w:t>
          </w:r>
        </w:p>
        <w:p w14:paraId="358B87BA" w14:textId="77777777" w:rsidR="00624A47" w:rsidRPr="00D87A7E" w:rsidRDefault="00624A47" w:rsidP="00994027">
          <w:pPr>
            <w:pStyle w:val="TtuloTDC"/>
            <w:spacing w:before="0" w:line="360" w:lineRule="auto"/>
            <w:contextualSpacing/>
            <w:rPr>
              <w:rFonts w:ascii="Palatino Linotype" w:hAnsi="Palatino Linotype"/>
              <w:color w:val="auto"/>
              <w:sz w:val="22"/>
              <w:szCs w:val="22"/>
            </w:rPr>
          </w:pPr>
        </w:p>
        <w:p w14:paraId="3934A394" w14:textId="0F68F43B" w:rsidR="00D87A7E" w:rsidRPr="00D87A7E" w:rsidRDefault="00624A47">
          <w:pPr>
            <w:pStyle w:val="TDC1"/>
            <w:tabs>
              <w:tab w:val="right" w:leader="dot" w:pos="8828"/>
            </w:tabs>
            <w:rPr>
              <w:rFonts w:cstheme="minorBidi"/>
              <w:noProof/>
            </w:rPr>
          </w:pPr>
          <w:r w:rsidRPr="00D87A7E">
            <w:rPr>
              <w:rFonts w:ascii="Palatino Linotype" w:eastAsia="Palatino Linotype" w:hAnsi="Palatino Linotype" w:cs="Palatino Linotype"/>
              <w:color w:val="000000" w:themeColor="text1"/>
            </w:rPr>
            <w:fldChar w:fldCharType="begin"/>
          </w:r>
          <w:r w:rsidRPr="00D87A7E">
            <w:rPr>
              <w:rFonts w:ascii="Palatino Linotype" w:hAnsi="Palatino Linotype"/>
            </w:rPr>
            <w:instrText xml:space="preserve"> TOC \o "1-3" \h \z \u </w:instrText>
          </w:r>
          <w:r w:rsidRPr="00D87A7E">
            <w:rPr>
              <w:rFonts w:ascii="Palatino Linotype" w:eastAsia="Palatino Linotype" w:hAnsi="Palatino Linotype" w:cs="Palatino Linotype"/>
              <w:color w:val="000000" w:themeColor="text1"/>
            </w:rPr>
            <w:fldChar w:fldCharType="separate"/>
          </w:r>
          <w:hyperlink w:anchor="_Toc212732964" w:history="1">
            <w:r w:rsidR="00D87A7E" w:rsidRPr="00D87A7E">
              <w:rPr>
                <w:rStyle w:val="Hipervnculo"/>
                <w:rFonts w:ascii="Palatino Linotype" w:hAnsi="Palatino Linotype"/>
                <w:bCs/>
                <w:noProof/>
              </w:rPr>
              <w:t>A N T E C E D E N T E S</w:t>
            </w:r>
            <w:r w:rsidR="00D87A7E" w:rsidRPr="00D87A7E">
              <w:rPr>
                <w:noProof/>
                <w:webHidden/>
              </w:rPr>
              <w:tab/>
            </w:r>
            <w:r w:rsidR="00D87A7E" w:rsidRPr="00D87A7E">
              <w:rPr>
                <w:noProof/>
                <w:webHidden/>
              </w:rPr>
              <w:fldChar w:fldCharType="begin"/>
            </w:r>
            <w:r w:rsidR="00D87A7E" w:rsidRPr="00D87A7E">
              <w:rPr>
                <w:noProof/>
                <w:webHidden/>
              </w:rPr>
              <w:instrText xml:space="preserve"> PAGEREF _Toc212732964 \h </w:instrText>
            </w:r>
            <w:r w:rsidR="00D87A7E" w:rsidRPr="00D87A7E">
              <w:rPr>
                <w:noProof/>
                <w:webHidden/>
              </w:rPr>
            </w:r>
            <w:r w:rsidR="00D87A7E" w:rsidRPr="00D87A7E">
              <w:rPr>
                <w:noProof/>
                <w:webHidden/>
              </w:rPr>
              <w:fldChar w:fldCharType="separate"/>
            </w:r>
            <w:r w:rsidR="00DB52AA">
              <w:rPr>
                <w:noProof/>
                <w:webHidden/>
              </w:rPr>
              <w:t>2</w:t>
            </w:r>
            <w:r w:rsidR="00D87A7E" w:rsidRPr="00D87A7E">
              <w:rPr>
                <w:noProof/>
                <w:webHidden/>
              </w:rPr>
              <w:fldChar w:fldCharType="end"/>
            </w:r>
          </w:hyperlink>
        </w:p>
        <w:p w14:paraId="33743F0E" w14:textId="46D0C965" w:rsidR="00D87A7E" w:rsidRPr="00D87A7E" w:rsidRDefault="00D87A7E">
          <w:pPr>
            <w:pStyle w:val="TDC2"/>
            <w:tabs>
              <w:tab w:val="right" w:leader="dot" w:pos="8828"/>
            </w:tabs>
            <w:rPr>
              <w:rFonts w:cstheme="minorBidi"/>
              <w:noProof/>
            </w:rPr>
          </w:pPr>
          <w:hyperlink w:anchor="_Toc212732965" w:history="1">
            <w:r w:rsidRPr="00D87A7E">
              <w:rPr>
                <w:rStyle w:val="Hipervnculo"/>
                <w:rFonts w:ascii="Palatino Linotype" w:hAnsi="Palatino Linotype"/>
                <w:bCs/>
                <w:noProof/>
              </w:rPr>
              <w:t>I. Presentación de la solicitud de información</w:t>
            </w:r>
            <w:r w:rsidRPr="00D87A7E">
              <w:rPr>
                <w:noProof/>
                <w:webHidden/>
              </w:rPr>
              <w:tab/>
            </w:r>
            <w:r w:rsidRPr="00D87A7E">
              <w:rPr>
                <w:noProof/>
                <w:webHidden/>
              </w:rPr>
              <w:fldChar w:fldCharType="begin"/>
            </w:r>
            <w:r w:rsidRPr="00D87A7E">
              <w:rPr>
                <w:noProof/>
                <w:webHidden/>
              </w:rPr>
              <w:instrText xml:space="preserve"> PAGEREF _Toc212732965 \h </w:instrText>
            </w:r>
            <w:r w:rsidRPr="00D87A7E">
              <w:rPr>
                <w:noProof/>
                <w:webHidden/>
              </w:rPr>
            </w:r>
            <w:r w:rsidRPr="00D87A7E">
              <w:rPr>
                <w:noProof/>
                <w:webHidden/>
              </w:rPr>
              <w:fldChar w:fldCharType="separate"/>
            </w:r>
            <w:r w:rsidR="00DB52AA">
              <w:rPr>
                <w:noProof/>
                <w:webHidden/>
              </w:rPr>
              <w:t>2</w:t>
            </w:r>
            <w:r w:rsidRPr="00D87A7E">
              <w:rPr>
                <w:noProof/>
                <w:webHidden/>
              </w:rPr>
              <w:fldChar w:fldCharType="end"/>
            </w:r>
          </w:hyperlink>
        </w:p>
        <w:p w14:paraId="0DA3D135" w14:textId="4E96CC24" w:rsidR="00D87A7E" w:rsidRPr="00D87A7E" w:rsidRDefault="00D87A7E">
          <w:pPr>
            <w:pStyle w:val="TDC2"/>
            <w:tabs>
              <w:tab w:val="right" w:leader="dot" w:pos="8828"/>
            </w:tabs>
            <w:rPr>
              <w:rFonts w:cstheme="minorBidi"/>
              <w:noProof/>
            </w:rPr>
          </w:pPr>
          <w:hyperlink w:anchor="_Toc212732966" w:history="1">
            <w:r w:rsidRPr="00D87A7E">
              <w:rPr>
                <w:rStyle w:val="Hipervnculo"/>
                <w:rFonts w:ascii="Palatino Linotype" w:hAnsi="Palatino Linotype"/>
                <w:bCs/>
                <w:noProof/>
              </w:rPr>
              <w:t>III. Interposición del Recurso de Revisión</w:t>
            </w:r>
            <w:r w:rsidRPr="00D87A7E">
              <w:rPr>
                <w:noProof/>
                <w:webHidden/>
              </w:rPr>
              <w:tab/>
            </w:r>
            <w:r w:rsidRPr="00D87A7E">
              <w:rPr>
                <w:noProof/>
                <w:webHidden/>
              </w:rPr>
              <w:fldChar w:fldCharType="begin"/>
            </w:r>
            <w:r w:rsidRPr="00D87A7E">
              <w:rPr>
                <w:noProof/>
                <w:webHidden/>
              </w:rPr>
              <w:instrText xml:space="preserve"> PAGEREF _Toc212732966 \h </w:instrText>
            </w:r>
            <w:r w:rsidRPr="00D87A7E">
              <w:rPr>
                <w:noProof/>
                <w:webHidden/>
              </w:rPr>
            </w:r>
            <w:r w:rsidRPr="00D87A7E">
              <w:rPr>
                <w:noProof/>
                <w:webHidden/>
              </w:rPr>
              <w:fldChar w:fldCharType="separate"/>
            </w:r>
            <w:r w:rsidR="00DB52AA">
              <w:rPr>
                <w:noProof/>
                <w:webHidden/>
              </w:rPr>
              <w:t>4</w:t>
            </w:r>
            <w:r w:rsidRPr="00D87A7E">
              <w:rPr>
                <w:noProof/>
                <w:webHidden/>
              </w:rPr>
              <w:fldChar w:fldCharType="end"/>
            </w:r>
          </w:hyperlink>
        </w:p>
        <w:p w14:paraId="609D9EEA" w14:textId="64BE8741" w:rsidR="00D87A7E" w:rsidRPr="00D87A7E" w:rsidRDefault="00D87A7E">
          <w:pPr>
            <w:pStyle w:val="TDC2"/>
            <w:tabs>
              <w:tab w:val="right" w:leader="dot" w:pos="8828"/>
            </w:tabs>
            <w:rPr>
              <w:rFonts w:cstheme="minorBidi"/>
              <w:noProof/>
            </w:rPr>
          </w:pPr>
          <w:hyperlink w:anchor="_Toc212732967" w:history="1">
            <w:r w:rsidRPr="00D87A7E">
              <w:rPr>
                <w:rStyle w:val="Hipervnculo"/>
                <w:rFonts w:ascii="Palatino Linotype" w:hAnsi="Palatino Linotype"/>
                <w:bCs/>
                <w:noProof/>
              </w:rPr>
              <w:t xml:space="preserve">IV. </w:t>
            </w:r>
            <w:r w:rsidRPr="00D87A7E">
              <w:rPr>
                <w:rStyle w:val="Hipervnculo"/>
                <w:rFonts w:ascii="Palatino Linotype" w:eastAsia="Batang" w:hAnsi="Palatino Linotype"/>
                <w:bCs/>
                <w:noProof/>
              </w:rPr>
              <w:t xml:space="preserve">Trámite del </w:t>
            </w:r>
            <w:r w:rsidRPr="00D87A7E">
              <w:rPr>
                <w:rStyle w:val="Hipervnculo"/>
                <w:rFonts w:ascii="Palatino Linotype" w:hAnsi="Palatino Linotype"/>
                <w:bCs/>
                <w:noProof/>
              </w:rPr>
              <w:t xml:space="preserve">Recurso de Revisión </w:t>
            </w:r>
            <w:r w:rsidRPr="00D87A7E">
              <w:rPr>
                <w:rStyle w:val="Hipervnculo"/>
                <w:rFonts w:ascii="Palatino Linotype" w:eastAsia="Batang" w:hAnsi="Palatino Linotype"/>
                <w:bCs/>
                <w:noProof/>
              </w:rPr>
              <w:t>ante este Instituto</w:t>
            </w:r>
            <w:r w:rsidRPr="00D87A7E">
              <w:rPr>
                <w:noProof/>
                <w:webHidden/>
              </w:rPr>
              <w:tab/>
            </w:r>
            <w:r w:rsidRPr="00D87A7E">
              <w:rPr>
                <w:noProof/>
                <w:webHidden/>
              </w:rPr>
              <w:fldChar w:fldCharType="begin"/>
            </w:r>
            <w:r w:rsidRPr="00D87A7E">
              <w:rPr>
                <w:noProof/>
                <w:webHidden/>
              </w:rPr>
              <w:instrText xml:space="preserve"> PAGEREF _Toc212732967 \h </w:instrText>
            </w:r>
            <w:r w:rsidRPr="00D87A7E">
              <w:rPr>
                <w:noProof/>
                <w:webHidden/>
              </w:rPr>
            </w:r>
            <w:r w:rsidRPr="00D87A7E">
              <w:rPr>
                <w:noProof/>
                <w:webHidden/>
              </w:rPr>
              <w:fldChar w:fldCharType="separate"/>
            </w:r>
            <w:r w:rsidR="00DB52AA">
              <w:rPr>
                <w:noProof/>
                <w:webHidden/>
              </w:rPr>
              <w:t>5</w:t>
            </w:r>
            <w:r w:rsidRPr="00D87A7E">
              <w:rPr>
                <w:noProof/>
                <w:webHidden/>
              </w:rPr>
              <w:fldChar w:fldCharType="end"/>
            </w:r>
          </w:hyperlink>
        </w:p>
        <w:p w14:paraId="19E66DD9" w14:textId="4C2D8936" w:rsidR="00D87A7E" w:rsidRPr="00D87A7E" w:rsidRDefault="00D87A7E">
          <w:pPr>
            <w:pStyle w:val="TDC1"/>
            <w:tabs>
              <w:tab w:val="right" w:leader="dot" w:pos="8828"/>
            </w:tabs>
            <w:rPr>
              <w:rFonts w:cstheme="minorBidi"/>
              <w:noProof/>
            </w:rPr>
          </w:pPr>
          <w:hyperlink w:anchor="_Toc212732968" w:history="1">
            <w:r w:rsidRPr="00D87A7E">
              <w:rPr>
                <w:rStyle w:val="Hipervnculo"/>
                <w:rFonts w:ascii="Palatino Linotype" w:hAnsi="Palatino Linotype"/>
                <w:bCs/>
                <w:noProof/>
              </w:rPr>
              <w:t>C O N S I D E R A N D O S</w:t>
            </w:r>
            <w:r w:rsidRPr="00D87A7E">
              <w:rPr>
                <w:noProof/>
                <w:webHidden/>
              </w:rPr>
              <w:tab/>
            </w:r>
            <w:r w:rsidRPr="00D87A7E">
              <w:rPr>
                <w:noProof/>
                <w:webHidden/>
              </w:rPr>
              <w:fldChar w:fldCharType="begin"/>
            </w:r>
            <w:r w:rsidRPr="00D87A7E">
              <w:rPr>
                <w:noProof/>
                <w:webHidden/>
              </w:rPr>
              <w:instrText xml:space="preserve"> PAGEREF _Toc212732968 \h </w:instrText>
            </w:r>
            <w:r w:rsidRPr="00D87A7E">
              <w:rPr>
                <w:noProof/>
                <w:webHidden/>
              </w:rPr>
            </w:r>
            <w:r w:rsidRPr="00D87A7E">
              <w:rPr>
                <w:noProof/>
                <w:webHidden/>
              </w:rPr>
              <w:fldChar w:fldCharType="separate"/>
            </w:r>
            <w:r w:rsidR="00DB52AA">
              <w:rPr>
                <w:noProof/>
                <w:webHidden/>
              </w:rPr>
              <w:t>7</w:t>
            </w:r>
            <w:r w:rsidRPr="00D87A7E">
              <w:rPr>
                <w:noProof/>
                <w:webHidden/>
              </w:rPr>
              <w:fldChar w:fldCharType="end"/>
            </w:r>
          </w:hyperlink>
        </w:p>
        <w:p w14:paraId="3810D475" w14:textId="35C9911F" w:rsidR="00D87A7E" w:rsidRPr="00D87A7E" w:rsidRDefault="00D87A7E">
          <w:pPr>
            <w:pStyle w:val="TDC2"/>
            <w:tabs>
              <w:tab w:val="right" w:leader="dot" w:pos="8828"/>
            </w:tabs>
            <w:rPr>
              <w:rFonts w:cstheme="minorBidi"/>
              <w:noProof/>
            </w:rPr>
          </w:pPr>
          <w:hyperlink w:anchor="_Toc212732969" w:history="1">
            <w:r w:rsidRPr="00D87A7E">
              <w:rPr>
                <w:rStyle w:val="Hipervnculo"/>
                <w:rFonts w:ascii="Palatino Linotype" w:hAnsi="Palatino Linotype"/>
                <w:bCs/>
                <w:noProof/>
              </w:rPr>
              <w:t>PRIMERO. Competencia</w:t>
            </w:r>
            <w:r w:rsidRPr="00D87A7E">
              <w:rPr>
                <w:noProof/>
                <w:webHidden/>
              </w:rPr>
              <w:tab/>
            </w:r>
            <w:r w:rsidRPr="00D87A7E">
              <w:rPr>
                <w:noProof/>
                <w:webHidden/>
              </w:rPr>
              <w:fldChar w:fldCharType="begin"/>
            </w:r>
            <w:r w:rsidRPr="00D87A7E">
              <w:rPr>
                <w:noProof/>
                <w:webHidden/>
              </w:rPr>
              <w:instrText xml:space="preserve"> PAGEREF _Toc212732969 \h </w:instrText>
            </w:r>
            <w:r w:rsidRPr="00D87A7E">
              <w:rPr>
                <w:noProof/>
                <w:webHidden/>
              </w:rPr>
            </w:r>
            <w:r w:rsidRPr="00D87A7E">
              <w:rPr>
                <w:noProof/>
                <w:webHidden/>
              </w:rPr>
              <w:fldChar w:fldCharType="separate"/>
            </w:r>
            <w:r w:rsidR="00DB52AA">
              <w:rPr>
                <w:noProof/>
                <w:webHidden/>
              </w:rPr>
              <w:t>7</w:t>
            </w:r>
            <w:r w:rsidRPr="00D87A7E">
              <w:rPr>
                <w:noProof/>
                <w:webHidden/>
              </w:rPr>
              <w:fldChar w:fldCharType="end"/>
            </w:r>
          </w:hyperlink>
        </w:p>
        <w:p w14:paraId="78B34FF0" w14:textId="40FAD11F" w:rsidR="00D87A7E" w:rsidRPr="00D87A7E" w:rsidRDefault="00D87A7E">
          <w:pPr>
            <w:pStyle w:val="TDC2"/>
            <w:tabs>
              <w:tab w:val="right" w:leader="dot" w:pos="8828"/>
            </w:tabs>
            <w:rPr>
              <w:rFonts w:cstheme="minorBidi"/>
              <w:noProof/>
            </w:rPr>
          </w:pPr>
          <w:hyperlink w:anchor="_Toc212732970" w:history="1">
            <w:r w:rsidRPr="00D87A7E">
              <w:rPr>
                <w:rStyle w:val="Hipervnculo"/>
                <w:rFonts w:ascii="Palatino Linotype" w:eastAsia="Calibri" w:hAnsi="Palatino Linotype"/>
                <w:bCs/>
                <w:noProof/>
                <w:lang w:val="es-ES"/>
              </w:rPr>
              <w:t xml:space="preserve">SEGUNDO. </w:t>
            </w:r>
            <w:r w:rsidRPr="00D87A7E">
              <w:rPr>
                <w:rStyle w:val="Hipervnculo"/>
                <w:rFonts w:ascii="Palatino Linotype" w:hAnsi="Palatino Linotype"/>
                <w:bCs/>
                <w:noProof/>
                <w:lang w:val="es-ES"/>
              </w:rPr>
              <w:t>Causales de improcedencia y sobreseimiento</w:t>
            </w:r>
            <w:r w:rsidRPr="00D87A7E">
              <w:rPr>
                <w:noProof/>
                <w:webHidden/>
              </w:rPr>
              <w:tab/>
            </w:r>
            <w:r w:rsidRPr="00D87A7E">
              <w:rPr>
                <w:noProof/>
                <w:webHidden/>
              </w:rPr>
              <w:fldChar w:fldCharType="begin"/>
            </w:r>
            <w:r w:rsidRPr="00D87A7E">
              <w:rPr>
                <w:noProof/>
                <w:webHidden/>
              </w:rPr>
              <w:instrText xml:space="preserve"> PAGEREF _Toc212732970 \h </w:instrText>
            </w:r>
            <w:r w:rsidRPr="00D87A7E">
              <w:rPr>
                <w:noProof/>
                <w:webHidden/>
              </w:rPr>
            </w:r>
            <w:r w:rsidRPr="00D87A7E">
              <w:rPr>
                <w:noProof/>
                <w:webHidden/>
              </w:rPr>
              <w:fldChar w:fldCharType="separate"/>
            </w:r>
            <w:r w:rsidR="00DB52AA">
              <w:rPr>
                <w:noProof/>
                <w:webHidden/>
              </w:rPr>
              <w:t>7</w:t>
            </w:r>
            <w:r w:rsidRPr="00D87A7E">
              <w:rPr>
                <w:noProof/>
                <w:webHidden/>
              </w:rPr>
              <w:fldChar w:fldCharType="end"/>
            </w:r>
          </w:hyperlink>
        </w:p>
        <w:p w14:paraId="120E9650" w14:textId="28FCB911" w:rsidR="00D87A7E" w:rsidRPr="00D87A7E" w:rsidRDefault="00D87A7E">
          <w:pPr>
            <w:pStyle w:val="TDC2"/>
            <w:tabs>
              <w:tab w:val="right" w:leader="dot" w:pos="8828"/>
            </w:tabs>
            <w:rPr>
              <w:rFonts w:cstheme="minorBidi"/>
              <w:noProof/>
            </w:rPr>
          </w:pPr>
          <w:hyperlink w:anchor="_Toc212732971" w:history="1">
            <w:r w:rsidRPr="00D87A7E">
              <w:rPr>
                <w:rStyle w:val="Hipervnculo"/>
                <w:rFonts w:ascii="Palatino Linotype" w:eastAsia="Calibri" w:hAnsi="Palatino Linotype"/>
                <w:bCs/>
                <w:noProof/>
                <w:lang w:val="es-ES" w:eastAsia="es-ES_tradnl"/>
              </w:rPr>
              <w:t>TERCERO. Determinación de la Controversia</w:t>
            </w:r>
            <w:r w:rsidRPr="00D87A7E">
              <w:rPr>
                <w:noProof/>
                <w:webHidden/>
              </w:rPr>
              <w:tab/>
            </w:r>
            <w:r w:rsidRPr="00D87A7E">
              <w:rPr>
                <w:noProof/>
                <w:webHidden/>
              </w:rPr>
              <w:fldChar w:fldCharType="begin"/>
            </w:r>
            <w:r w:rsidRPr="00D87A7E">
              <w:rPr>
                <w:noProof/>
                <w:webHidden/>
              </w:rPr>
              <w:instrText xml:space="preserve"> PAGEREF _Toc212732971 \h </w:instrText>
            </w:r>
            <w:r w:rsidRPr="00D87A7E">
              <w:rPr>
                <w:noProof/>
                <w:webHidden/>
              </w:rPr>
            </w:r>
            <w:r w:rsidRPr="00D87A7E">
              <w:rPr>
                <w:noProof/>
                <w:webHidden/>
              </w:rPr>
              <w:fldChar w:fldCharType="separate"/>
            </w:r>
            <w:r w:rsidR="00DB52AA">
              <w:rPr>
                <w:noProof/>
                <w:webHidden/>
              </w:rPr>
              <w:t>8</w:t>
            </w:r>
            <w:r w:rsidRPr="00D87A7E">
              <w:rPr>
                <w:noProof/>
                <w:webHidden/>
              </w:rPr>
              <w:fldChar w:fldCharType="end"/>
            </w:r>
          </w:hyperlink>
        </w:p>
        <w:p w14:paraId="54A932BC" w14:textId="02643EC9" w:rsidR="00D87A7E" w:rsidRPr="00D87A7E" w:rsidRDefault="00D87A7E">
          <w:pPr>
            <w:pStyle w:val="TDC2"/>
            <w:tabs>
              <w:tab w:val="right" w:leader="dot" w:pos="8828"/>
            </w:tabs>
            <w:rPr>
              <w:rFonts w:cstheme="minorBidi"/>
              <w:noProof/>
            </w:rPr>
          </w:pPr>
          <w:hyperlink w:anchor="_Toc212732972" w:history="1">
            <w:r w:rsidRPr="00D87A7E">
              <w:rPr>
                <w:rStyle w:val="Hipervnculo"/>
                <w:rFonts w:ascii="Palatino Linotype" w:hAnsi="Palatino Linotype"/>
                <w:bCs/>
                <w:noProof/>
                <w:lang w:val="es-ES"/>
              </w:rPr>
              <w:t xml:space="preserve">CUARTO. </w:t>
            </w:r>
            <w:r w:rsidRPr="00D87A7E">
              <w:rPr>
                <w:rStyle w:val="Hipervnculo"/>
                <w:rFonts w:ascii="Palatino Linotype" w:hAnsi="Palatino Linotype"/>
                <w:bCs/>
                <w:noProof/>
              </w:rPr>
              <w:t>Marco normativo aplicable en materia de transparencia y acceso a la información pública</w:t>
            </w:r>
            <w:r w:rsidRPr="00D87A7E">
              <w:rPr>
                <w:noProof/>
                <w:webHidden/>
              </w:rPr>
              <w:tab/>
            </w:r>
            <w:r w:rsidRPr="00D87A7E">
              <w:rPr>
                <w:noProof/>
                <w:webHidden/>
              </w:rPr>
              <w:fldChar w:fldCharType="begin"/>
            </w:r>
            <w:r w:rsidRPr="00D87A7E">
              <w:rPr>
                <w:noProof/>
                <w:webHidden/>
              </w:rPr>
              <w:instrText xml:space="preserve"> PAGEREF _Toc212732972 \h </w:instrText>
            </w:r>
            <w:r w:rsidRPr="00D87A7E">
              <w:rPr>
                <w:noProof/>
                <w:webHidden/>
              </w:rPr>
            </w:r>
            <w:r w:rsidRPr="00D87A7E">
              <w:rPr>
                <w:noProof/>
                <w:webHidden/>
              </w:rPr>
              <w:fldChar w:fldCharType="separate"/>
            </w:r>
            <w:r w:rsidR="00DB52AA">
              <w:rPr>
                <w:noProof/>
                <w:webHidden/>
              </w:rPr>
              <w:t>9</w:t>
            </w:r>
            <w:r w:rsidRPr="00D87A7E">
              <w:rPr>
                <w:noProof/>
                <w:webHidden/>
              </w:rPr>
              <w:fldChar w:fldCharType="end"/>
            </w:r>
          </w:hyperlink>
        </w:p>
        <w:p w14:paraId="7A0C2E8F" w14:textId="78803260" w:rsidR="00D87A7E" w:rsidRPr="00D87A7E" w:rsidRDefault="00D87A7E">
          <w:pPr>
            <w:pStyle w:val="TDC2"/>
            <w:tabs>
              <w:tab w:val="right" w:leader="dot" w:pos="8828"/>
            </w:tabs>
            <w:rPr>
              <w:rFonts w:cstheme="minorBidi"/>
              <w:noProof/>
            </w:rPr>
          </w:pPr>
          <w:hyperlink w:anchor="_Toc212732973" w:history="1">
            <w:r w:rsidRPr="00D87A7E">
              <w:rPr>
                <w:rStyle w:val="Hipervnculo"/>
                <w:rFonts w:ascii="Palatino Linotype" w:hAnsi="Palatino Linotype"/>
                <w:bCs/>
                <w:noProof/>
                <w:lang w:val="es-ES"/>
              </w:rPr>
              <w:t>QUINTO. Estudio de Fondo</w:t>
            </w:r>
            <w:r w:rsidRPr="00D87A7E">
              <w:rPr>
                <w:noProof/>
                <w:webHidden/>
              </w:rPr>
              <w:tab/>
            </w:r>
            <w:r w:rsidRPr="00D87A7E">
              <w:rPr>
                <w:noProof/>
                <w:webHidden/>
              </w:rPr>
              <w:fldChar w:fldCharType="begin"/>
            </w:r>
            <w:r w:rsidRPr="00D87A7E">
              <w:rPr>
                <w:noProof/>
                <w:webHidden/>
              </w:rPr>
              <w:instrText xml:space="preserve"> PAGEREF _Toc212732973 \h </w:instrText>
            </w:r>
            <w:r w:rsidRPr="00D87A7E">
              <w:rPr>
                <w:noProof/>
                <w:webHidden/>
              </w:rPr>
            </w:r>
            <w:r w:rsidRPr="00D87A7E">
              <w:rPr>
                <w:noProof/>
                <w:webHidden/>
              </w:rPr>
              <w:fldChar w:fldCharType="separate"/>
            </w:r>
            <w:r w:rsidR="00DB52AA">
              <w:rPr>
                <w:noProof/>
                <w:webHidden/>
              </w:rPr>
              <w:t>11</w:t>
            </w:r>
            <w:r w:rsidRPr="00D87A7E">
              <w:rPr>
                <w:noProof/>
                <w:webHidden/>
              </w:rPr>
              <w:fldChar w:fldCharType="end"/>
            </w:r>
          </w:hyperlink>
        </w:p>
        <w:p w14:paraId="4063231A" w14:textId="11690AEB" w:rsidR="00D87A7E" w:rsidRPr="00D87A7E" w:rsidRDefault="00D87A7E">
          <w:pPr>
            <w:pStyle w:val="TDC2"/>
            <w:tabs>
              <w:tab w:val="right" w:leader="dot" w:pos="8828"/>
            </w:tabs>
            <w:rPr>
              <w:rFonts w:cstheme="minorBidi"/>
              <w:noProof/>
            </w:rPr>
          </w:pPr>
          <w:hyperlink w:anchor="_Toc212732974" w:history="1">
            <w:r w:rsidRPr="00D87A7E">
              <w:rPr>
                <w:rStyle w:val="Hipervnculo"/>
                <w:rFonts w:ascii="Palatino Linotype" w:hAnsi="Palatino Linotype"/>
                <w:bCs/>
                <w:noProof/>
              </w:rPr>
              <w:t>SEXTO. Decisión</w:t>
            </w:r>
            <w:r w:rsidRPr="00D87A7E">
              <w:rPr>
                <w:noProof/>
                <w:webHidden/>
              </w:rPr>
              <w:tab/>
            </w:r>
            <w:r w:rsidRPr="00D87A7E">
              <w:rPr>
                <w:noProof/>
                <w:webHidden/>
              </w:rPr>
              <w:fldChar w:fldCharType="begin"/>
            </w:r>
            <w:r w:rsidRPr="00D87A7E">
              <w:rPr>
                <w:noProof/>
                <w:webHidden/>
              </w:rPr>
              <w:instrText xml:space="preserve"> PAGEREF _Toc212732974 \h </w:instrText>
            </w:r>
            <w:r w:rsidRPr="00D87A7E">
              <w:rPr>
                <w:noProof/>
                <w:webHidden/>
              </w:rPr>
            </w:r>
            <w:r w:rsidRPr="00D87A7E">
              <w:rPr>
                <w:noProof/>
                <w:webHidden/>
              </w:rPr>
              <w:fldChar w:fldCharType="separate"/>
            </w:r>
            <w:r w:rsidR="00DB52AA">
              <w:rPr>
                <w:noProof/>
                <w:webHidden/>
              </w:rPr>
              <w:t>33</w:t>
            </w:r>
            <w:r w:rsidRPr="00D87A7E">
              <w:rPr>
                <w:noProof/>
                <w:webHidden/>
              </w:rPr>
              <w:fldChar w:fldCharType="end"/>
            </w:r>
          </w:hyperlink>
        </w:p>
        <w:p w14:paraId="36467FBA" w14:textId="485CB949" w:rsidR="00D87A7E" w:rsidRPr="00D87A7E" w:rsidRDefault="00D87A7E">
          <w:pPr>
            <w:pStyle w:val="TDC1"/>
            <w:tabs>
              <w:tab w:val="right" w:leader="dot" w:pos="8828"/>
            </w:tabs>
            <w:rPr>
              <w:rFonts w:cstheme="minorBidi"/>
              <w:noProof/>
            </w:rPr>
          </w:pPr>
          <w:hyperlink w:anchor="_Toc212732975" w:history="1">
            <w:r w:rsidRPr="00D87A7E">
              <w:rPr>
                <w:rStyle w:val="Hipervnculo"/>
                <w:rFonts w:ascii="Palatino Linotype" w:eastAsia="Calibri" w:hAnsi="Palatino Linotype"/>
                <w:bCs/>
                <w:noProof/>
              </w:rPr>
              <w:t>R E S U E L V E</w:t>
            </w:r>
            <w:r w:rsidRPr="00D87A7E">
              <w:rPr>
                <w:noProof/>
                <w:webHidden/>
              </w:rPr>
              <w:tab/>
            </w:r>
            <w:r w:rsidRPr="00D87A7E">
              <w:rPr>
                <w:noProof/>
                <w:webHidden/>
              </w:rPr>
              <w:fldChar w:fldCharType="begin"/>
            </w:r>
            <w:r w:rsidRPr="00D87A7E">
              <w:rPr>
                <w:noProof/>
                <w:webHidden/>
              </w:rPr>
              <w:instrText xml:space="preserve"> PAGEREF _Toc212732975 \h </w:instrText>
            </w:r>
            <w:r w:rsidRPr="00D87A7E">
              <w:rPr>
                <w:noProof/>
                <w:webHidden/>
              </w:rPr>
            </w:r>
            <w:r w:rsidRPr="00D87A7E">
              <w:rPr>
                <w:noProof/>
                <w:webHidden/>
              </w:rPr>
              <w:fldChar w:fldCharType="separate"/>
            </w:r>
            <w:r w:rsidR="00DB52AA">
              <w:rPr>
                <w:noProof/>
                <w:webHidden/>
              </w:rPr>
              <w:t>34</w:t>
            </w:r>
            <w:r w:rsidRPr="00D87A7E">
              <w:rPr>
                <w:noProof/>
                <w:webHidden/>
              </w:rPr>
              <w:fldChar w:fldCharType="end"/>
            </w:r>
          </w:hyperlink>
        </w:p>
        <w:p w14:paraId="4195DEF8" w14:textId="77777777" w:rsidR="00624A47" w:rsidRPr="00065B61" w:rsidRDefault="00624A47" w:rsidP="00994027">
          <w:pPr>
            <w:spacing w:line="360" w:lineRule="auto"/>
            <w:contextualSpacing/>
            <w:jc w:val="both"/>
            <w:rPr>
              <w:rFonts w:ascii="Palatino Linotype" w:hAnsi="Palatino Linotype" w:cs="Tahoma"/>
              <w:sz w:val="22"/>
              <w:szCs w:val="22"/>
            </w:rPr>
          </w:pPr>
          <w:r w:rsidRPr="00D87A7E">
            <w:rPr>
              <w:rFonts w:ascii="Palatino Linotype" w:hAnsi="Palatino Linotype"/>
              <w:sz w:val="22"/>
              <w:szCs w:val="22"/>
              <w:lang w:val="es-ES"/>
            </w:rPr>
            <w:fldChar w:fldCharType="end"/>
          </w:r>
        </w:p>
      </w:sdtContent>
    </w:sdt>
    <w:p w14:paraId="2D97A178" w14:textId="77777777" w:rsidR="00624A47" w:rsidRPr="00AC17E4" w:rsidRDefault="00624A47" w:rsidP="00994027">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619AAEE1" w14:textId="48D63982" w:rsidR="00624A47" w:rsidRPr="00AC17E4" w:rsidRDefault="00624A47" w:rsidP="00994027">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EE217F">
        <w:rPr>
          <w:rFonts w:ascii="Palatino Linotype" w:hAnsi="Palatino Linotype" w:cs="Tahoma"/>
          <w:bCs/>
          <w:sz w:val="22"/>
          <w:szCs w:val="22"/>
        </w:rPr>
        <w:t xml:space="preserve">cinco de noviembre </w:t>
      </w:r>
      <w:r w:rsidRPr="00AC17E4">
        <w:rPr>
          <w:rFonts w:ascii="Palatino Linotype" w:hAnsi="Palatino Linotype" w:cs="Tahoma"/>
          <w:bCs/>
          <w:sz w:val="22"/>
          <w:szCs w:val="22"/>
        </w:rPr>
        <w:t>de dos mil veinticinco.</w:t>
      </w:r>
    </w:p>
    <w:p w14:paraId="0633DE5C" w14:textId="77777777" w:rsidR="00624A47" w:rsidRPr="00AC17E4" w:rsidRDefault="00624A47" w:rsidP="00994027">
      <w:pPr>
        <w:spacing w:line="360" w:lineRule="auto"/>
        <w:contextualSpacing/>
        <w:rPr>
          <w:rFonts w:ascii="Palatino Linotype" w:hAnsi="Palatino Linotype" w:cs="Tahoma"/>
          <w:bCs/>
          <w:sz w:val="22"/>
          <w:szCs w:val="22"/>
        </w:rPr>
      </w:pPr>
    </w:p>
    <w:p w14:paraId="0EE62320" w14:textId="7FC60E6B" w:rsidR="00624A47" w:rsidRPr="00AC17E4" w:rsidRDefault="00624A47" w:rsidP="00994027">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53394E">
        <w:rPr>
          <w:rFonts w:ascii="Palatino Linotype" w:eastAsia="Batang" w:hAnsi="Palatino Linotype" w:cs="Tahoma"/>
          <w:b/>
          <w:sz w:val="22"/>
          <w:szCs w:val="22"/>
          <w:lang w:val="es-ES_tradnl"/>
        </w:rPr>
        <w:t>05876/INFOEM/IP/RR/2025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 por</w:t>
      </w:r>
      <w:r>
        <w:rPr>
          <w:rFonts w:ascii="Palatino Linotype" w:hAnsi="Palatino Linotype" w:cs="Tahoma"/>
          <w:bCs/>
          <w:color w:val="0D0D0D" w:themeColor="text1" w:themeTint="F2"/>
          <w:sz w:val="22"/>
          <w:szCs w:val="22"/>
        </w:rPr>
        <w:t xml:space="preserve"> </w:t>
      </w:r>
      <w:r w:rsidR="005F57FE" w:rsidRPr="005F57FE">
        <w:rPr>
          <w:rFonts w:ascii="Palatino Linotype" w:eastAsia="Calibri" w:hAnsi="Palatino Linotype" w:cs="Tahoma"/>
          <w:sz w:val="22"/>
          <w:szCs w:val="22"/>
          <w:highlight w:val="black"/>
          <w:lang w:eastAsia="en-US"/>
        </w:rPr>
        <w:t>XXXXXXXXXXXXXXXX</w:t>
      </w:r>
      <w:r>
        <w:rPr>
          <w:rFonts w:ascii="Palatino Linotype" w:eastAsia="Calibri" w:hAnsi="Palatino Linotype" w:cs="Tahoma"/>
          <w:sz w:val="22"/>
          <w:szCs w:val="22"/>
          <w:lang w:eastAsia="en-US"/>
        </w:rPr>
        <w:t>, en lo sucesivo</w:t>
      </w:r>
      <w:r w:rsidRPr="00BB6B4E">
        <w:rPr>
          <w:rFonts w:ascii="Palatino Linotype" w:hAnsi="Palatino Linotype" w:cs="Tahoma"/>
          <w:bCs/>
          <w:color w:val="0D0D0D" w:themeColor="text1" w:themeTint="F2"/>
          <w:sz w:val="22"/>
          <w:szCs w:val="22"/>
        </w:rPr>
        <w:t xml:space="preserve">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53394E">
        <w:rPr>
          <w:rFonts w:ascii="Palatino Linotype" w:eastAsia="Calibri" w:hAnsi="Palatino Linotype" w:cs="Tahoma"/>
          <w:b/>
          <w:bCs/>
          <w:sz w:val="22"/>
          <w:szCs w:val="22"/>
          <w:lang w:eastAsia="en-US"/>
        </w:rPr>
        <w:t>Universidad Estatal del Valle de Toluca</w:t>
      </w:r>
      <w:r w:rsidRPr="0053394E">
        <w:rPr>
          <w:rFonts w:ascii="Palatino Linotype" w:hAnsi="Palatino Linotype" w:cs="Tahoma"/>
          <w:b/>
          <w:bCs/>
          <w:color w:val="0D0D0D" w:themeColor="text1" w:themeTint="F2"/>
          <w:sz w:val="22"/>
          <w:szCs w:val="22"/>
        </w:rPr>
        <w:t xml:space="preserve">, </w:t>
      </w:r>
      <w:r w:rsidRPr="00BB6B4E">
        <w:rPr>
          <w:rFonts w:ascii="Palatino Linotype" w:hAnsi="Palatino Linotype" w:cs="Tahoma"/>
          <w:bCs/>
          <w:color w:val="0D0D0D" w:themeColor="text1" w:themeTint="F2"/>
          <w:sz w:val="22"/>
          <w:szCs w:val="22"/>
        </w:rPr>
        <w:t xml:space="preserve">a la solicitud de acceso a la información pública </w:t>
      </w:r>
      <w:r w:rsidRPr="00EB64F7">
        <w:rPr>
          <w:rFonts w:ascii="Palatino Linotype" w:hAnsi="Palatino Linotype"/>
          <w:sz w:val="22"/>
          <w:szCs w:val="22"/>
        </w:rPr>
        <w:t>00026/UNEVT/IP/2025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2DDE42D7" w14:textId="77777777" w:rsidR="00624A47" w:rsidRPr="00AC17E4" w:rsidRDefault="00624A47" w:rsidP="00994027">
      <w:pPr>
        <w:spacing w:line="360" w:lineRule="auto"/>
        <w:contextualSpacing/>
        <w:jc w:val="both"/>
        <w:rPr>
          <w:rFonts w:ascii="Palatino Linotype" w:hAnsi="Palatino Linotype" w:cs="Tahoma"/>
          <w:bCs/>
          <w:sz w:val="22"/>
          <w:szCs w:val="22"/>
        </w:rPr>
      </w:pPr>
    </w:p>
    <w:p w14:paraId="42B6FF22" w14:textId="77777777" w:rsidR="00624A47" w:rsidRPr="00AC17E4" w:rsidRDefault="00624A47" w:rsidP="00994027">
      <w:pPr>
        <w:pStyle w:val="Ttulo1"/>
        <w:spacing w:before="0" w:after="0" w:line="360" w:lineRule="auto"/>
        <w:contextualSpacing/>
        <w:jc w:val="center"/>
        <w:rPr>
          <w:rFonts w:ascii="Palatino Linotype" w:hAnsi="Palatino Linotype"/>
          <w:b/>
          <w:bCs/>
          <w:color w:val="auto"/>
          <w:sz w:val="22"/>
          <w:szCs w:val="22"/>
        </w:rPr>
      </w:pPr>
      <w:bookmarkStart w:id="2" w:name="_Toc212732964"/>
      <w:r w:rsidRPr="00AC17E4">
        <w:rPr>
          <w:rFonts w:ascii="Palatino Linotype" w:hAnsi="Palatino Linotype"/>
          <w:b/>
          <w:bCs/>
          <w:color w:val="auto"/>
          <w:sz w:val="22"/>
          <w:szCs w:val="22"/>
        </w:rPr>
        <w:t>A N T E C E D E N T E S</w:t>
      </w:r>
      <w:bookmarkEnd w:id="2"/>
    </w:p>
    <w:p w14:paraId="01668AB4" w14:textId="77777777" w:rsidR="00624A47" w:rsidRPr="00AC17E4" w:rsidRDefault="00624A47" w:rsidP="00994027">
      <w:pPr>
        <w:spacing w:line="360" w:lineRule="auto"/>
        <w:contextualSpacing/>
      </w:pPr>
    </w:p>
    <w:p w14:paraId="55E3DC94" w14:textId="77777777" w:rsidR="00624A47" w:rsidRPr="00AC17E4" w:rsidRDefault="00624A47" w:rsidP="00994027">
      <w:pPr>
        <w:pStyle w:val="Ttulo2"/>
        <w:spacing w:before="0" w:after="0" w:line="360" w:lineRule="auto"/>
        <w:contextualSpacing/>
        <w:rPr>
          <w:rFonts w:ascii="Palatino Linotype" w:hAnsi="Palatino Linotype"/>
          <w:b/>
          <w:bCs/>
          <w:color w:val="auto"/>
          <w:sz w:val="22"/>
          <w:szCs w:val="22"/>
        </w:rPr>
      </w:pPr>
      <w:bookmarkStart w:id="3" w:name="_Toc212732965"/>
      <w:r w:rsidRPr="00AC17E4">
        <w:rPr>
          <w:rFonts w:ascii="Palatino Linotype" w:hAnsi="Palatino Linotype"/>
          <w:b/>
          <w:bCs/>
          <w:color w:val="auto"/>
          <w:sz w:val="22"/>
          <w:szCs w:val="22"/>
        </w:rPr>
        <w:t>I. Presentación de la solicitud de información</w:t>
      </w:r>
      <w:bookmarkEnd w:id="3"/>
    </w:p>
    <w:p w14:paraId="2191F4A8" w14:textId="77777777" w:rsidR="00624A47" w:rsidRPr="00AC17E4" w:rsidRDefault="00624A47" w:rsidP="00994027">
      <w:pPr>
        <w:pStyle w:val="Prrafodelista"/>
        <w:tabs>
          <w:tab w:val="left" w:pos="567"/>
        </w:tabs>
        <w:spacing w:line="360" w:lineRule="auto"/>
        <w:ind w:left="0"/>
        <w:jc w:val="both"/>
        <w:rPr>
          <w:rFonts w:ascii="Palatino Linotype" w:hAnsi="Palatino Linotype" w:cs="Tahoma"/>
          <w:szCs w:val="22"/>
        </w:rPr>
      </w:pPr>
    </w:p>
    <w:p w14:paraId="77639CA1" w14:textId="765E48D0" w:rsidR="00624A47" w:rsidRPr="00EE217F" w:rsidRDefault="00624A47" w:rsidP="00994027">
      <w:pPr>
        <w:pStyle w:val="Prrafodelista"/>
        <w:tabs>
          <w:tab w:val="left" w:pos="567"/>
        </w:tabs>
        <w:spacing w:line="360" w:lineRule="auto"/>
        <w:ind w:left="0"/>
        <w:jc w:val="both"/>
        <w:rPr>
          <w:rFonts w:ascii="Palatino Linotype" w:hAnsi="Palatino Linotype" w:cs="Tahoma"/>
          <w:sz w:val="22"/>
          <w:szCs w:val="22"/>
        </w:rPr>
      </w:pPr>
      <w:r w:rsidRPr="00EE217F">
        <w:rPr>
          <w:rFonts w:ascii="Palatino Linotype" w:hAnsi="Palatino Linotype" w:cs="Tahoma"/>
          <w:sz w:val="22"/>
          <w:szCs w:val="22"/>
        </w:rPr>
        <w:t xml:space="preserve">Con fecha seis de mayo de dos mil veinticinco, el Particular presentó una solicitud de acceso a la información pública, a través del Sistema de Acceso a la Información Mexiquense, en lo sucesivo </w:t>
      </w:r>
      <w:r w:rsidRPr="00EE217F">
        <w:rPr>
          <w:rFonts w:ascii="Palatino Linotype" w:hAnsi="Palatino Linotype" w:cs="Tahoma"/>
          <w:sz w:val="22"/>
          <w:szCs w:val="22"/>
          <w:lang w:val="es-ES"/>
        </w:rPr>
        <w:t>el SAIMEX</w:t>
      </w:r>
      <w:r w:rsidRPr="00EE217F">
        <w:rPr>
          <w:rFonts w:ascii="Palatino Linotype" w:hAnsi="Palatino Linotype" w:cs="Tahoma"/>
          <w:sz w:val="22"/>
          <w:szCs w:val="22"/>
        </w:rPr>
        <w:t xml:space="preserve">, ante el </w:t>
      </w:r>
      <w:r w:rsidRPr="00EE217F">
        <w:rPr>
          <w:rFonts w:ascii="Palatino Linotype" w:eastAsia="Calibri" w:hAnsi="Palatino Linotype" w:cs="Tahoma"/>
          <w:sz w:val="22"/>
          <w:szCs w:val="22"/>
          <w:lang w:eastAsia="en-US"/>
        </w:rPr>
        <w:t>Universidad Estatal del Valle de Toluca</w:t>
      </w:r>
      <w:r w:rsidRPr="00EE217F">
        <w:rPr>
          <w:rFonts w:ascii="Palatino Linotype" w:hAnsi="Palatino Linotype" w:cs="Tahoma"/>
          <w:sz w:val="22"/>
          <w:szCs w:val="22"/>
        </w:rPr>
        <w:t>,</w:t>
      </w:r>
      <w:r w:rsidRPr="00EE217F">
        <w:rPr>
          <w:rFonts w:ascii="Palatino Linotype" w:hAnsi="Palatino Linotype" w:cs="Tahoma"/>
          <w:sz w:val="22"/>
          <w:szCs w:val="22"/>
          <w:lang w:val="es-ES"/>
        </w:rPr>
        <w:t xml:space="preserve"> </w:t>
      </w:r>
      <w:r w:rsidRPr="00EE217F">
        <w:rPr>
          <w:rFonts w:ascii="Palatino Linotype" w:hAnsi="Palatino Linotype" w:cs="Tahoma"/>
          <w:sz w:val="22"/>
          <w:szCs w:val="22"/>
        </w:rPr>
        <w:t>mediante la cual requirió lo siguiente:</w:t>
      </w:r>
    </w:p>
    <w:p w14:paraId="437CD741" w14:textId="77777777" w:rsidR="00624A47" w:rsidRPr="00AC17E4" w:rsidRDefault="00624A47" w:rsidP="00994027">
      <w:pPr>
        <w:pStyle w:val="Prrafodelista"/>
        <w:tabs>
          <w:tab w:val="left" w:pos="567"/>
        </w:tabs>
        <w:spacing w:line="360" w:lineRule="auto"/>
        <w:ind w:left="0"/>
        <w:jc w:val="both"/>
        <w:rPr>
          <w:rFonts w:ascii="Palatino Linotype" w:hAnsi="Palatino Linotype" w:cs="Tahoma"/>
          <w:b/>
          <w:szCs w:val="22"/>
        </w:rPr>
      </w:pPr>
    </w:p>
    <w:p w14:paraId="275AC1BD" w14:textId="77777777" w:rsidR="00624A47" w:rsidRPr="009238BD" w:rsidRDefault="00624A47" w:rsidP="00994027">
      <w:pPr>
        <w:tabs>
          <w:tab w:val="left" w:pos="4667"/>
        </w:tabs>
        <w:spacing w:line="360" w:lineRule="auto"/>
        <w:ind w:left="567" w:right="567"/>
        <w:contextualSpacing/>
        <w:jc w:val="both"/>
        <w:rPr>
          <w:rFonts w:ascii="Palatino Linotype" w:hAnsi="Palatino Linotype" w:cs="Tahoma"/>
          <w:b/>
          <w:bCs/>
          <w:i/>
        </w:rPr>
      </w:pPr>
      <w:r w:rsidRPr="009238BD">
        <w:rPr>
          <w:rFonts w:ascii="Palatino Linotype" w:hAnsi="Palatino Linotype" w:cs="Tahoma"/>
          <w:b/>
          <w:bCs/>
          <w:i/>
        </w:rPr>
        <w:t>“DESCRIPCIÓN CLARA Y PRECISA DE LA INFORMACIÓN SOLICITADA</w:t>
      </w:r>
    </w:p>
    <w:p w14:paraId="7A72AFA5" w14:textId="7DFCF562" w:rsidR="00624A47" w:rsidRDefault="00624A47" w:rsidP="00994027">
      <w:pPr>
        <w:spacing w:line="360" w:lineRule="auto"/>
        <w:ind w:left="567" w:right="567"/>
        <w:contextualSpacing/>
        <w:jc w:val="both"/>
        <w:rPr>
          <w:rFonts w:ascii="Palatino Linotype" w:hAnsi="Palatino Linotype" w:cs="Tahoma"/>
          <w:bCs/>
          <w:i/>
        </w:rPr>
      </w:pPr>
      <w:proofErr w:type="spellStart"/>
      <w:r w:rsidRPr="00624A47">
        <w:rPr>
          <w:rFonts w:ascii="Palatino Linotype" w:hAnsi="Palatino Linotype"/>
          <w:i/>
          <w:lang w:eastAsia="es-MX"/>
        </w:rPr>
        <w:t>Solicto</w:t>
      </w:r>
      <w:proofErr w:type="spellEnd"/>
      <w:r w:rsidRPr="00624A47">
        <w:rPr>
          <w:rFonts w:ascii="Palatino Linotype" w:hAnsi="Palatino Linotype"/>
          <w:i/>
          <w:lang w:eastAsia="es-MX"/>
        </w:rPr>
        <w:t xml:space="preserve"> se me proporcione expediente completo del proceso adquisitivo del servicio para el desarrollo del nuevo sistema que se opera en la universidad SIDEA. </w:t>
      </w:r>
      <w:proofErr w:type="spellStart"/>
      <w:r w:rsidRPr="00624A47">
        <w:rPr>
          <w:rFonts w:ascii="Palatino Linotype" w:hAnsi="Palatino Linotype"/>
          <w:i/>
          <w:lang w:eastAsia="es-MX"/>
        </w:rPr>
        <w:t>Tambien</w:t>
      </w:r>
      <w:proofErr w:type="spellEnd"/>
      <w:r w:rsidRPr="00624A47">
        <w:rPr>
          <w:rFonts w:ascii="Palatino Linotype" w:hAnsi="Palatino Linotype"/>
          <w:i/>
          <w:lang w:eastAsia="es-MX"/>
        </w:rPr>
        <w:t xml:space="preserve"> me gustaría hacer la petición de que se vigile su buen funcionamiento porque persisten muchas fallas que afectan nuestras actividades académicas</w:t>
      </w:r>
      <w:r w:rsidRPr="009238BD">
        <w:rPr>
          <w:rFonts w:ascii="Palatino Linotype" w:hAnsi="Palatino Linotype"/>
          <w:i/>
          <w:lang w:eastAsia="es-MX"/>
        </w:rPr>
        <w:t>.</w:t>
      </w:r>
      <w:r w:rsidRPr="009238BD">
        <w:rPr>
          <w:rFonts w:ascii="Palatino Linotype" w:hAnsi="Palatino Linotype" w:cs="Tahoma"/>
          <w:bCs/>
          <w:i/>
        </w:rPr>
        <w:t>” (Sic).</w:t>
      </w:r>
    </w:p>
    <w:p w14:paraId="1CC9413C" w14:textId="77777777" w:rsidR="00624A47" w:rsidRPr="009238BD" w:rsidRDefault="00624A47" w:rsidP="00994027">
      <w:pPr>
        <w:spacing w:line="360" w:lineRule="auto"/>
        <w:ind w:left="567" w:right="567"/>
        <w:contextualSpacing/>
        <w:jc w:val="both"/>
        <w:rPr>
          <w:rFonts w:ascii="Palatino Linotype" w:hAnsi="Palatino Linotype" w:cs="Tahoma"/>
          <w:bCs/>
          <w:i/>
        </w:rPr>
      </w:pPr>
      <w:r w:rsidRPr="009238BD">
        <w:rPr>
          <w:rFonts w:ascii="Palatino Linotype" w:hAnsi="Palatino Linotype"/>
          <w:b/>
          <w:bCs/>
          <w:i/>
          <w:color w:val="000000" w:themeColor="text1"/>
        </w:rPr>
        <w:tab/>
      </w:r>
    </w:p>
    <w:p w14:paraId="57B5AB4F" w14:textId="300096BD" w:rsidR="00624A47" w:rsidRPr="00624A47" w:rsidRDefault="00624A47" w:rsidP="00994027">
      <w:pPr>
        <w:tabs>
          <w:tab w:val="left" w:pos="4667"/>
        </w:tabs>
        <w:spacing w:line="360" w:lineRule="auto"/>
        <w:ind w:left="567" w:right="567"/>
        <w:contextualSpacing/>
        <w:jc w:val="both"/>
        <w:rPr>
          <w:rFonts w:ascii="Palatino Linotype" w:hAnsi="Palatino Linotype" w:cs="Tahoma"/>
          <w:bCs/>
          <w:i/>
        </w:rPr>
      </w:pPr>
      <w:r w:rsidRPr="009238BD">
        <w:rPr>
          <w:rFonts w:ascii="Palatino Linotype" w:hAnsi="Palatino Linotype" w:cs="Tahoma"/>
          <w:b/>
          <w:bCs/>
          <w:i/>
        </w:rPr>
        <w:t xml:space="preserve">Modalidad de Entrega: </w:t>
      </w:r>
      <w:r w:rsidRPr="009238BD">
        <w:rPr>
          <w:rFonts w:ascii="Palatino Linotype" w:hAnsi="Palatino Linotype" w:cs="Tahoma"/>
          <w:bCs/>
          <w:i/>
        </w:rPr>
        <w:t>A través de SAIMEX.</w:t>
      </w:r>
      <w:bookmarkStart w:id="4" w:name="_Hlk207876558"/>
    </w:p>
    <w:p w14:paraId="6F79D53B" w14:textId="77777777" w:rsidR="00624A47" w:rsidRDefault="00624A47" w:rsidP="00994027">
      <w:pPr>
        <w:tabs>
          <w:tab w:val="left" w:pos="4667"/>
        </w:tabs>
        <w:spacing w:line="360" w:lineRule="auto"/>
        <w:contextualSpacing/>
        <w:jc w:val="both"/>
        <w:rPr>
          <w:rFonts w:ascii="Palatino Linotype" w:eastAsiaTheme="majorEastAsia" w:hAnsi="Palatino Linotype" w:cstheme="majorBidi"/>
          <w:b/>
          <w:bCs/>
          <w:sz w:val="22"/>
          <w:szCs w:val="22"/>
        </w:rPr>
      </w:pPr>
    </w:p>
    <w:p w14:paraId="2FF628FA" w14:textId="77777777" w:rsidR="00624A47" w:rsidRPr="004616B5" w:rsidRDefault="00624A47" w:rsidP="00994027">
      <w:pPr>
        <w:tabs>
          <w:tab w:val="left" w:pos="4667"/>
        </w:tabs>
        <w:spacing w:line="360" w:lineRule="auto"/>
        <w:contextualSpacing/>
        <w:jc w:val="both"/>
        <w:rPr>
          <w:rFonts w:ascii="Palatino Linotype" w:eastAsiaTheme="majorEastAsia" w:hAnsi="Palatino Linotype" w:cstheme="majorBidi"/>
          <w:b/>
          <w:bCs/>
          <w:sz w:val="22"/>
          <w:szCs w:val="22"/>
        </w:rPr>
      </w:pPr>
      <w:r>
        <w:rPr>
          <w:rFonts w:ascii="Palatino Linotype" w:eastAsiaTheme="majorEastAsia" w:hAnsi="Palatino Linotype" w:cstheme="majorBidi"/>
          <w:b/>
          <w:bCs/>
          <w:sz w:val="22"/>
          <w:szCs w:val="22"/>
        </w:rPr>
        <w:lastRenderedPageBreak/>
        <w:t>II</w:t>
      </w:r>
      <w:r w:rsidRPr="004616B5">
        <w:rPr>
          <w:rFonts w:ascii="Palatino Linotype" w:eastAsiaTheme="majorEastAsia" w:hAnsi="Palatino Linotype" w:cstheme="majorBidi"/>
          <w:b/>
          <w:bCs/>
          <w:sz w:val="22"/>
          <w:szCs w:val="22"/>
        </w:rPr>
        <w:t>. Respuesta del Sujeto Obligado</w:t>
      </w:r>
    </w:p>
    <w:p w14:paraId="118ED212" w14:textId="77777777" w:rsidR="00624A47" w:rsidRPr="004616B5" w:rsidRDefault="00624A47" w:rsidP="00994027">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2F1DA873" w14:textId="61B4BC46" w:rsidR="00624A47" w:rsidRDefault="00624A47" w:rsidP="00994027">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veintidós de mayo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a través de la digitalización de los documentos</w:t>
      </w:r>
      <w:bookmarkEnd w:id="4"/>
      <w:r>
        <w:rPr>
          <w:rFonts w:ascii="Palatino Linotype" w:eastAsiaTheme="majorEastAsia" w:hAnsi="Palatino Linotype" w:cstheme="majorBidi"/>
          <w:sz w:val="22"/>
          <w:szCs w:val="22"/>
        </w:rPr>
        <w:t xml:space="preserve"> </w:t>
      </w:r>
      <w:r w:rsidRPr="007318FE">
        <w:rPr>
          <w:rFonts w:ascii="Palatino Linotype" w:eastAsiaTheme="majorEastAsia" w:hAnsi="Palatino Linotype" w:cstheme="majorBidi"/>
          <w:sz w:val="22"/>
          <w:szCs w:val="22"/>
        </w:rPr>
        <w:t>siguientes:</w:t>
      </w:r>
    </w:p>
    <w:p w14:paraId="1FD40830" w14:textId="77777777" w:rsidR="00624A47" w:rsidRDefault="00624A47" w:rsidP="00994027">
      <w:pPr>
        <w:tabs>
          <w:tab w:val="left" w:pos="4667"/>
        </w:tabs>
        <w:spacing w:line="360" w:lineRule="auto"/>
        <w:contextualSpacing/>
        <w:jc w:val="both"/>
        <w:rPr>
          <w:rFonts w:ascii="Palatino Linotype" w:eastAsiaTheme="majorEastAsia" w:hAnsi="Palatino Linotype" w:cstheme="majorBidi"/>
          <w:sz w:val="22"/>
          <w:szCs w:val="22"/>
        </w:rPr>
      </w:pPr>
    </w:p>
    <w:p w14:paraId="720B1DCA" w14:textId="7E096CDC" w:rsidR="00EB64F7" w:rsidRPr="00EB64F7" w:rsidRDefault="00EB64F7" w:rsidP="00994027">
      <w:pPr>
        <w:tabs>
          <w:tab w:val="left" w:pos="4667"/>
        </w:tabs>
        <w:spacing w:line="360" w:lineRule="auto"/>
        <w:contextualSpacing/>
        <w:jc w:val="both"/>
        <w:rPr>
          <w:rFonts w:ascii="Palatino Linotype" w:eastAsiaTheme="majorEastAsia" w:hAnsi="Palatino Linotype" w:cstheme="majorBidi"/>
          <w:sz w:val="22"/>
          <w:szCs w:val="22"/>
        </w:rPr>
      </w:pPr>
      <w:r w:rsidRPr="00EB64F7">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w:t>
      </w:r>
      <w:r w:rsidRPr="00EB64F7">
        <w:rPr>
          <w:rFonts w:ascii="Palatino Linotype" w:eastAsiaTheme="majorEastAsia" w:hAnsi="Palatino Linotype" w:cstheme="majorBidi"/>
          <w:sz w:val="22"/>
          <w:szCs w:val="22"/>
        </w:rPr>
        <w:t>Oficio número 228C3101000200S/234/2025, de fecha de su presentación suscrito por el Titular de la Unidad de Transparencia, dirigido al Solicitante por medio del cual manifiesta que remite la información solicitada mediante los oficios anexos.</w:t>
      </w:r>
    </w:p>
    <w:p w14:paraId="66654E51" w14:textId="77777777" w:rsidR="00EB64F7" w:rsidRDefault="00EB64F7" w:rsidP="00994027">
      <w:pPr>
        <w:spacing w:line="360" w:lineRule="auto"/>
        <w:contextualSpacing/>
        <w:rPr>
          <w:rFonts w:eastAsiaTheme="majorEastAsia"/>
        </w:rPr>
      </w:pPr>
    </w:p>
    <w:p w14:paraId="4C15F941" w14:textId="75831C21" w:rsidR="00EB64F7" w:rsidRPr="00EB64F7" w:rsidRDefault="00EB64F7" w:rsidP="00994027">
      <w:pPr>
        <w:spacing w:line="360" w:lineRule="auto"/>
        <w:contextualSpacing/>
        <w:jc w:val="both"/>
        <w:rPr>
          <w:rFonts w:ascii="Palatino Linotype" w:eastAsiaTheme="majorEastAsia" w:hAnsi="Palatino Linotype"/>
          <w:sz w:val="22"/>
          <w:szCs w:val="22"/>
        </w:rPr>
      </w:pPr>
      <w:proofErr w:type="spellStart"/>
      <w:r w:rsidRPr="00EB64F7">
        <w:rPr>
          <w:rFonts w:ascii="Palatino Linotype" w:eastAsiaTheme="majorEastAsia" w:hAnsi="Palatino Linotype"/>
          <w:sz w:val="22"/>
          <w:szCs w:val="22"/>
        </w:rPr>
        <w:t>ii</w:t>
      </w:r>
      <w:proofErr w:type="spellEnd"/>
      <w:r w:rsidRPr="00EB64F7">
        <w:rPr>
          <w:rFonts w:ascii="Palatino Linotype" w:eastAsiaTheme="majorEastAsia" w:hAnsi="Palatino Linotype"/>
          <w:sz w:val="22"/>
          <w:szCs w:val="22"/>
        </w:rPr>
        <w:t xml:space="preserve">) </w:t>
      </w:r>
      <w:r w:rsidR="00AE13B8">
        <w:rPr>
          <w:rFonts w:ascii="Palatino Linotype" w:eastAsiaTheme="majorEastAsia" w:hAnsi="Palatino Linotype"/>
          <w:sz w:val="22"/>
          <w:szCs w:val="22"/>
        </w:rPr>
        <w:t>Expediente del procedimiento de adjudicación</w:t>
      </w:r>
      <w:r w:rsidR="0019609D">
        <w:rPr>
          <w:rFonts w:ascii="Palatino Linotype" w:eastAsiaTheme="majorEastAsia" w:hAnsi="Palatino Linotype"/>
          <w:sz w:val="22"/>
          <w:szCs w:val="22"/>
        </w:rPr>
        <w:t xml:space="preserve"> número</w:t>
      </w:r>
      <w:r w:rsidR="00AE13B8">
        <w:rPr>
          <w:rFonts w:ascii="Palatino Linotype" w:eastAsiaTheme="majorEastAsia" w:hAnsi="Palatino Linotype"/>
          <w:sz w:val="22"/>
          <w:szCs w:val="22"/>
        </w:rPr>
        <w:t xml:space="preserve"> </w:t>
      </w:r>
      <w:r w:rsidRPr="00EB64F7">
        <w:rPr>
          <w:rFonts w:ascii="Palatino Linotype" w:eastAsiaTheme="majorEastAsia" w:hAnsi="Palatino Linotype"/>
          <w:sz w:val="22"/>
          <w:szCs w:val="22"/>
        </w:rPr>
        <w:t>IA-74-091-915099911-N-9-2024 para el desarrollo e imple</w:t>
      </w:r>
      <w:r>
        <w:rPr>
          <w:rFonts w:ascii="Palatino Linotype" w:eastAsiaTheme="majorEastAsia" w:hAnsi="Palatino Linotype"/>
          <w:sz w:val="22"/>
          <w:szCs w:val="22"/>
        </w:rPr>
        <w:t>men</w:t>
      </w:r>
      <w:r w:rsidRPr="00EB64F7">
        <w:rPr>
          <w:rFonts w:ascii="Palatino Linotype" w:eastAsiaTheme="majorEastAsia" w:hAnsi="Palatino Linotype"/>
          <w:sz w:val="22"/>
          <w:szCs w:val="22"/>
        </w:rPr>
        <w:t>tación</w:t>
      </w:r>
      <w:r>
        <w:rPr>
          <w:rFonts w:ascii="Palatino Linotype" w:eastAsiaTheme="majorEastAsia" w:hAnsi="Palatino Linotype"/>
          <w:sz w:val="22"/>
          <w:szCs w:val="22"/>
        </w:rPr>
        <w:t xml:space="preserve"> </w:t>
      </w:r>
      <w:r w:rsidRPr="00EB64F7">
        <w:rPr>
          <w:rFonts w:ascii="Palatino Linotype" w:eastAsiaTheme="majorEastAsia" w:hAnsi="Palatino Linotype"/>
          <w:sz w:val="22"/>
          <w:szCs w:val="22"/>
        </w:rPr>
        <w:t>del Sistema de Servicios Escolares.</w:t>
      </w:r>
    </w:p>
    <w:p w14:paraId="44FD67B0" w14:textId="77777777" w:rsidR="00EB64F7" w:rsidRDefault="00EB64F7" w:rsidP="00994027">
      <w:pPr>
        <w:tabs>
          <w:tab w:val="left" w:pos="4667"/>
        </w:tabs>
        <w:spacing w:line="360" w:lineRule="auto"/>
        <w:contextualSpacing/>
        <w:jc w:val="both"/>
        <w:rPr>
          <w:rFonts w:ascii="Palatino Linotype" w:eastAsiaTheme="majorEastAsia" w:hAnsi="Palatino Linotype" w:cstheme="majorBidi"/>
          <w:sz w:val="22"/>
          <w:szCs w:val="22"/>
        </w:rPr>
      </w:pPr>
    </w:p>
    <w:p w14:paraId="244AED0F" w14:textId="338D878A" w:rsidR="00624A47" w:rsidRDefault="00EB64F7" w:rsidP="00994027">
      <w:pPr>
        <w:tabs>
          <w:tab w:val="left" w:pos="4667"/>
        </w:tabs>
        <w:spacing w:line="360" w:lineRule="auto"/>
        <w:contextualSpacing/>
        <w:jc w:val="both"/>
        <w:rPr>
          <w:rFonts w:ascii="Palatino Linotype" w:eastAsiaTheme="majorEastAsia" w:hAnsi="Palatino Linotype" w:cstheme="majorBidi"/>
          <w:sz w:val="22"/>
          <w:szCs w:val="22"/>
        </w:rPr>
      </w:pPr>
      <w:proofErr w:type="spellStart"/>
      <w:r>
        <w:rPr>
          <w:rFonts w:ascii="Palatino Linotype" w:eastAsiaTheme="majorEastAsia" w:hAnsi="Palatino Linotype" w:cstheme="majorBidi"/>
          <w:sz w:val="22"/>
          <w:szCs w:val="22"/>
        </w:rPr>
        <w:t>iii</w:t>
      </w:r>
      <w:proofErr w:type="spellEnd"/>
      <w:r>
        <w:rPr>
          <w:rFonts w:ascii="Palatino Linotype" w:eastAsiaTheme="majorEastAsia" w:hAnsi="Palatino Linotype" w:cstheme="majorBidi"/>
          <w:sz w:val="22"/>
          <w:szCs w:val="22"/>
        </w:rPr>
        <w:t xml:space="preserve">) </w:t>
      </w:r>
      <w:r w:rsidR="00624A47">
        <w:rPr>
          <w:rFonts w:ascii="Palatino Linotype" w:eastAsiaTheme="majorEastAsia" w:hAnsi="Palatino Linotype" w:cstheme="majorBidi"/>
          <w:sz w:val="22"/>
          <w:szCs w:val="22"/>
        </w:rPr>
        <w:t xml:space="preserve">Oficio número </w:t>
      </w:r>
      <w:r w:rsidR="00624A47" w:rsidRPr="00624A47">
        <w:rPr>
          <w:rFonts w:ascii="Palatino Linotype" w:eastAsiaTheme="majorEastAsia" w:hAnsi="Palatino Linotype" w:cstheme="majorBidi"/>
          <w:sz w:val="22"/>
          <w:szCs w:val="22"/>
        </w:rPr>
        <w:t>228C3101060001L/86/2025</w:t>
      </w:r>
      <w:r w:rsidR="00624A47">
        <w:rPr>
          <w:rFonts w:ascii="Palatino Linotype" w:eastAsiaTheme="majorEastAsia" w:hAnsi="Palatino Linotype" w:cstheme="majorBidi"/>
          <w:sz w:val="22"/>
          <w:szCs w:val="22"/>
        </w:rPr>
        <w:t>, del trece de</w:t>
      </w:r>
      <w:r w:rsidR="0019609D">
        <w:rPr>
          <w:rFonts w:ascii="Palatino Linotype" w:eastAsiaTheme="majorEastAsia" w:hAnsi="Palatino Linotype" w:cstheme="majorBidi"/>
          <w:sz w:val="22"/>
          <w:szCs w:val="22"/>
        </w:rPr>
        <w:t xml:space="preserve"> mayo de la presente anualidad, </w:t>
      </w:r>
      <w:r w:rsidR="00624A47">
        <w:rPr>
          <w:rFonts w:ascii="Palatino Linotype" w:eastAsiaTheme="majorEastAsia" w:hAnsi="Palatino Linotype" w:cstheme="majorBidi"/>
          <w:sz w:val="22"/>
          <w:szCs w:val="22"/>
        </w:rPr>
        <w:t xml:space="preserve">suscrito por el </w:t>
      </w:r>
      <w:proofErr w:type="gramStart"/>
      <w:r w:rsidR="00624A47">
        <w:rPr>
          <w:rFonts w:ascii="Palatino Linotype" w:eastAsiaTheme="majorEastAsia" w:hAnsi="Palatino Linotype" w:cstheme="majorBidi"/>
          <w:sz w:val="22"/>
          <w:szCs w:val="22"/>
        </w:rPr>
        <w:t>Jefe</w:t>
      </w:r>
      <w:proofErr w:type="gramEnd"/>
      <w:r w:rsidR="00624A47">
        <w:rPr>
          <w:rFonts w:ascii="Palatino Linotype" w:eastAsiaTheme="majorEastAsia" w:hAnsi="Palatino Linotype" w:cstheme="majorBidi"/>
          <w:sz w:val="22"/>
          <w:szCs w:val="22"/>
        </w:rPr>
        <w:t xml:space="preserve"> del Departamento de Recursos Materiales y Financieros, dirigido al Titular de la Unidad de Transparencia, a través del cual manifiesta y expone esencialmente lo siguiente:</w:t>
      </w:r>
    </w:p>
    <w:p w14:paraId="69752732" w14:textId="77777777" w:rsidR="00624A47" w:rsidRDefault="00624A47" w:rsidP="00994027">
      <w:pPr>
        <w:tabs>
          <w:tab w:val="left" w:pos="4667"/>
        </w:tabs>
        <w:spacing w:line="360" w:lineRule="auto"/>
        <w:contextualSpacing/>
        <w:jc w:val="both"/>
        <w:rPr>
          <w:rFonts w:ascii="Palatino Linotype" w:eastAsiaTheme="majorEastAsia" w:hAnsi="Palatino Linotype" w:cstheme="majorBidi"/>
          <w:sz w:val="22"/>
          <w:szCs w:val="22"/>
        </w:rPr>
      </w:pPr>
    </w:p>
    <w:p w14:paraId="27CF7F0A" w14:textId="6D01AF5F" w:rsidR="00624A4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w:t>
      </w:r>
      <w:r>
        <w:rPr>
          <w:rFonts w:ascii="Palatino Linotype" w:eastAsiaTheme="majorEastAsia" w:hAnsi="Palatino Linotype" w:cstheme="majorBidi"/>
          <w:i/>
          <w:iCs/>
        </w:rPr>
        <w:t>…</w:t>
      </w:r>
      <w:r w:rsidRPr="00624A47">
        <w:rPr>
          <w:rFonts w:ascii="Palatino Linotype" w:eastAsiaTheme="majorEastAsia" w:hAnsi="Palatino Linotype" w:cstheme="majorBidi"/>
          <w:i/>
          <w:iCs/>
        </w:rPr>
        <w:t xml:space="preserve">En cumplimiento a lo solicitado después de una búsqueda exhaustiva en los archivos de este departamento se remite expediente con motivo de la contratación de los "Servicios Profesionales para el desarrollo e Implementación del Sistema de Servicios Escolares", derivado del fallo al procedimiento IA-74-091-0915099911-N-9-2024, en el que se declara desierto dicho procedimiento, se adjudicó directamente el contrato al proveedor que mejores condiciones económicas y de servicio propuso, para la UNEVT. </w:t>
      </w:r>
    </w:p>
    <w:p w14:paraId="42983262" w14:textId="77777777" w:rsidR="00624A4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p>
    <w:p w14:paraId="7C5CC48F" w14:textId="05EBEACD" w:rsidR="00624A4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r w:rsidRPr="00624A47">
        <w:rPr>
          <w:rFonts w:ascii="Palatino Linotype" w:eastAsiaTheme="majorEastAsia" w:hAnsi="Palatino Linotype" w:cstheme="majorBidi"/>
          <w:i/>
          <w:iCs/>
        </w:rPr>
        <w:t xml:space="preserve">La información solicitada cuenta con información susceptible de clasificar como confidencial, con fundamento en lo establecido en los artículos 113 de la Ley Federal de Transparencia y Acceso a </w:t>
      </w:r>
      <w:r w:rsidRPr="00624A47">
        <w:rPr>
          <w:rFonts w:ascii="Palatino Linotype" w:eastAsiaTheme="majorEastAsia" w:hAnsi="Palatino Linotype" w:cstheme="majorBidi"/>
          <w:i/>
          <w:iCs/>
        </w:rPr>
        <w:lastRenderedPageBreak/>
        <w:t>la Información Pública, 116 de la Ley General de transparencia y Acceso a la Información Pública, dicha documentación se pondrá a disposición del solicitante en versión pública.</w:t>
      </w:r>
    </w:p>
    <w:p w14:paraId="4E24450B" w14:textId="77777777" w:rsidR="00624A4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p>
    <w:p w14:paraId="35AD1146" w14:textId="44ED3F42" w:rsidR="00624A4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r w:rsidRPr="00624A47">
        <w:rPr>
          <w:rFonts w:ascii="Palatino Linotype" w:eastAsiaTheme="majorEastAsia" w:hAnsi="Palatino Linotype" w:cstheme="majorBidi"/>
          <w:i/>
          <w:iCs/>
        </w:rPr>
        <w:t xml:space="preserve">Por lo anterior en atención al N.P. 5 del cuadro de información sobre los plazos indicados en el oficio citado en el primer párrafo de este escrito, le solicito de la manera más atenta sea el medio para someter ante Comité de Transparencia de la Universidad Estatal del Valle de Toluca, la clasificación de la </w:t>
      </w:r>
      <w:proofErr w:type="spellStart"/>
      <w:r w:rsidRPr="00624A47">
        <w:rPr>
          <w:rFonts w:ascii="Palatino Linotype" w:eastAsiaTheme="majorEastAsia" w:hAnsi="Palatino Linotype" w:cstheme="majorBidi"/>
          <w:i/>
          <w:iCs/>
        </w:rPr>
        <w:t>informacion</w:t>
      </w:r>
      <w:proofErr w:type="spellEnd"/>
      <w:r w:rsidRPr="00624A47">
        <w:rPr>
          <w:rFonts w:ascii="Palatino Linotype" w:eastAsiaTheme="majorEastAsia" w:hAnsi="Palatino Linotype" w:cstheme="majorBidi"/>
          <w:i/>
          <w:iCs/>
        </w:rPr>
        <w:t xml:space="preserve"> como se indica en EL ANEXO 1- CUADRO DE CLASIFICACIÓN y ANEXО.</w:t>
      </w:r>
    </w:p>
    <w:p w14:paraId="4128682D" w14:textId="77777777" w:rsidR="00624A4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p>
    <w:p w14:paraId="6A416E37" w14:textId="77777777" w:rsidR="00EB64F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r w:rsidRPr="00624A47">
        <w:rPr>
          <w:rFonts w:ascii="Palatino Linotype" w:eastAsiaTheme="majorEastAsia" w:hAnsi="Palatino Linotype" w:cstheme="majorBidi"/>
          <w:i/>
          <w:iCs/>
        </w:rPr>
        <w:t xml:space="preserve">Por lo que respecta a su solicitud "me gustaría hacer la petición que se vigile su buen funcionamiento por que persisten muchas fallas que afectan nuestras actividades académicas" (Sic) </w:t>
      </w:r>
    </w:p>
    <w:p w14:paraId="659D8BDE" w14:textId="77777777" w:rsidR="00EB64F7" w:rsidRDefault="00EB64F7" w:rsidP="00994027">
      <w:pPr>
        <w:tabs>
          <w:tab w:val="left" w:pos="4667"/>
        </w:tabs>
        <w:spacing w:line="360" w:lineRule="auto"/>
        <w:ind w:left="567" w:right="567"/>
        <w:contextualSpacing/>
        <w:jc w:val="both"/>
        <w:rPr>
          <w:rFonts w:ascii="Palatino Linotype" w:eastAsiaTheme="majorEastAsia" w:hAnsi="Palatino Linotype" w:cstheme="majorBidi"/>
          <w:i/>
          <w:iCs/>
        </w:rPr>
      </w:pPr>
    </w:p>
    <w:p w14:paraId="4E6DA5B2" w14:textId="6186732A" w:rsidR="00624A47" w:rsidRDefault="00624A47" w:rsidP="00994027">
      <w:pPr>
        <w:tabs>
          <w:tab w:val="left" w:pos="4667"/>
        </w:tabs>
        <w:spacing w:line="360" w:lineRule="auto"/>
        <w:ind w:left="567" w:right="567"/>
        <w:contextualSpacing/>
        <w:jc w:val="both"/>
        <w:rPr>
          <w:rFonts w:ascii="Palatino Linotype" w:eastAsiaTheme="majorEastAsia" w:hAnsi="Palatino Linotype" w:cstheme="majorBidi"/>
          <w:i/>
          <w:iCs/>
        </w:rPr>
      </w:pPr>
      <w:r w:rsidRPr="00624A47">
        <w:rPr>
          <w:rFonts w:ascii="Palatino Linotype" w:eastAsiaTheme="majorEastAsia" w:hAnsi="Palatino Linotype" w:cstheme="majorBidi"/>
          <w:i/>
          <w:iCs/>
        </w:rPr>
        <w:t>Se le hace del conocimiento que puede realizar su petición en el Departamento de Recursos Materiales y Financieros, y Departamento de informática, con las especificaciones detalladas respecto de las fallas que alude, a efecto de que con toda oportunidad se atienda su petición</w:t>
      </w:r>
      <w:r>
        <w:rPr>
          <w:rFonts w:ascii="Palatino Linotype" w:eastAsiaTheme="majorEastAsia" w:hAnsi="Palatino Linotype" w:cstheme="majorBidi"/>
          <w:i/>
          <w:iCs/>
        </w:rPr>
        <w:t>…”</w:t>
      </w:r>
    </w:p>
    <w:p w14:paraId="5F7A7328" w14:textId="77777777" w:rsidR="00624A47" w:rsidRDefault="00624A47" w:rsidP="00994027">
      <w:pPr>
        <w:tabs>
          <w:tab w:val="left" w:pos="4667"/>
        </w:tabs>
        <w:spacing w:line="360" w:lineRule="auto"/>
        <w:ind w:right="567"/>
        <w:contextualSpacing/>
        <w:jc w:val="both"/>
        <w:rPr>
          <w:rFonts w:ascii="Palatino Linotype" w:eastAsiaTheme="majorEastAsia" w:hAnsi="Palatino Linotype" w:cstheme="majorBidi"/>
          <w:i/>
          <w:iCs/>
        </w:rPr>
      </w:pPr>
    </w:p>
    <w:p w14:paraId="77A0A908" w14:textId="112652E0" w:rsidR="00624A47" w:rsidRDefault="00624A47" w:rsidP="00994027">
      <w:pPr>
        <w:tabs>
          <w:tab w:val="left" w:pos="4667"/>
        </w:tabs>
        <w:spacing w:line="360" w:lineRule="auto"/>
        <w:contextualSpacing/>
        <w:jc w:val="both"/>
        <w:rPr>
          <w:rFonts w:ascii="Palatino Linotype" w:eastAsiaTheme="majorEastAsia" w:hAnsi="Palatino Linotype" w:cstheme="majorBidi"/>
          <w:sz w:val="22"/>
          <w:szCs w:val="22"/>
        </w:rPr>
      </w:pPr>
      <w:proofErr w:type="spellStart"/>
      <w:r w:rsidRPr="00641453">
        <w:rPr>
          <w:rFonts w:ascii="Palatino Linotype" w:eastAsiaTheme="majorEastAsia" w:hAnsi="Palatino Linotype" w:cstheme="majorBidi"/>
          <w:sz w:val="22"/>
          <w:szCs w:val="22"/>
        </w:rPr>
        <w:t>i</w:t>
      </w:r>
      <w:r w:rsidR="00EB64F7">
        <w:rPr>
          <w:rFonts w:ascii="Palatino Linotype" w:eastAsiaTheme="majorEastAsia" w:hAnsi="Palatino Linotype" w:cstheme="majorBidi"/>
          <w:sz w:val="22"/>
          <w:szCs w:val="22"/>
        </w:rPr>
        <w:t>v</w:t>
      </w:r>
      <w:proofErr w:type="spellEnd"/>
      <w:r w:rsidRPr="00641453">
        <w:rPr>
          <w:rFonts w:ascii="Palatino Linotype" w:eastAsiaTheme="majorEastAsia" w:hAnsi="Palatino Linotype" w:cstheme="majorBidi"/>
          <w:sz w:val="22"/>
          <w:szCs w:val="22"/>
        </w:rPr>
        <w:t xml:space="preserve">) </w:t>
      </w:r>
      <w:r w:rsidR="00EB64F7">
        <w:rPr>
          <w:rFonts w:ascii="Palatino Linotype" w:eastAsiaTheme="majorEastAsia" w:hAnsi="Palatino Linotype" w:cstheme="majorBidi"/>
          <w:sz w:val="22"/>
          <w:szCs w:val="22"/>
        </w:rPr>
        <w:t xml:space="preserve">Cuadro de clasificación en atención a la solicitud de información </w:t>
      </w:r>
      <w:r w:rsidR="00EB64F7" w:rsidRPr="00EB64F7">
        <w:rPr>
          <w:rFonts w:ascii="Palatino Linotype" w:hAnsi="Palatino Linotype"/>
          <w:sz w:val="22"/>
          <w:szCs w:val="22"/>
        </w:rPr>
        <w:t>00026/UNEVT/IP/2025</w:t>
      </w:r>
      <w:r w:rsidR="00EB64F7">
        <w:rPr>
          <w:rFonts w:ascii="Palatino Linotype" w:eastAsiaTheme="majorEastAsia" w:hAnsi="Palatino Linotype" w:cstheme="majorBidi"/>
          <w:sz w:val="22"/>
          <w:szCs w:val="22"/>
        </w:rPr>
        <w:t>.</w:t>
      </w:r>
    </w:p>
    <w:p w14:paraId="785C6EB0" w14:textId="77777777" w:rsidR="00624A47" w:rsidRDefault="00624A47" w:rsidP="00994027">
      <w:pPr>
        <w:tabs>
          <w:tab w:val="left" w:pos="4667"/>
        </w:tabs>
        <w:spacing w:line="360" w:lineRule="auto"/>
        <w:contextualSpacing/>
        <w:jc w:val="both"/>
        <w:rPr>
          <w:rFonts w:ascii="Palatino Linotype" w:eastAsiaTheme="majorEastAsia" w:hAnsi="Palatino Linotype" w:cstheme="majorBidi"/>
          <w:sz w:val="22"/>
          <w:szCs w:val="22"/>
        </w:rPr>
      </w:pPr>
    </w:p>
    <w:p w14:paraId="10390C63" w14:textId="54D8A9D2" w:rsidR="00EB64F7" w:rsidRDefault="00EB64F7" w:rsidP="00994027">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v) Acuerdo de clasificación de la información como confidencial de la información</w:t>
      </w:r>
      <w:r w:rsidR="0019609D">
        <w:rPr>
          <w:rFonts w:ascii="Palatino Linotype" w:eastAsiaTheme="majorEastAsia" w:hAnsi="Palatino Linotype" w:cstheme="majorBidi"/>
          <w:sz w:val="22"/>
          <w:szCs w:val="22"/>
        </w:rPr>
        <w:t xml:space="preserve"> proporcionada</w:t>
      </w:r>
      <w:r>
        <w:rPr>
          <w:rFonts w:ascii="Palatino Linotype" w:eastAsiaTheme="majorEastAsia" w:hAnsi="Palatino Linotype" w:cstheme="majorBidi"/>
          <w:sz w:val="22"/>
          <w:szCs w:val="22"/>
        </w:rPr>
        <w:t>.</w:t>
      </w:r>
    </w:p>
    <w:p w14:paraId="3518CF5A" w14:textId="77777777" w:rsidR="00EB64F7" w:rsidRPr="0075036B" w:rsidRDefault="00EB64F7" w:rsidP="00994027">
      <w:pPr>
        <w:tabs>
          <w:tab w:val="left" w:pos="4667"/>
        </w:tabs>
        <w:spacing w:line="360" w:lineRule="auto"/>
        <w:contextualSpacing/>
        <w:jc w:val="both"/>
        <w:rPr>
          <w:rFonts w:ascii="Palatino Linotype" w:hAnsi="Palatino Linotype" w:cs="Tahoma"/>
          <w:bCs/>
        </w:rPr>
      </w:pPr>
    </w:p>
    <w:p w14:paraId="0D0F57A4" w14:textId="77777777" w:rsidR="00624A47" w:rsidRPr="00AC17E4" w:rsidRDefault="00624A47" w:rsidP="00994027">
      <w:pPr>
        <w:pStyle w:val="Ttulo2"/>
        <w:spacing w:before="0" w:after="0" w:line="360" w:lineRule="auto"/>
        <w:contextualSpacing/>
        <w:rPr>
          <w:rFonts w:ascii="Palatino Linotype" w:hAnsi="Palatino Linotype"/>
          <w:b/>
          <w:bCs/>
          <w:color w:val="auto"/>
          <w:sz w:val="22"/>
          <w:szCs w:val="22"/>
        </w:rPr>
      </w:pPr>
      <w:bookmarkStart w:id="5" w:name="_Toc212732966"/>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20A1F23E" w14:textId="77777777" w:rsidR="00624A47" w:rsidRPr="00AC17E4" w:rsidRDefault="00624A47" w:rsidP="00994027">
      <w:pPr>
        <w:autoSpaceDE w:val="0"/>
        <w:autoSpaceDN w:val="0"/>
        <w:adjustRightInd w:val="0"/>
        <w:spacing w:line="360" w:lineRule="auto"/>
        <w:contextualSpacing/>
        <w:jc w:val="both"/>
        <w:rPr>
          <w:rFonts w:ascii="Palatino Linotype" w:hAnsi="Palatino Linotype" w:cs="Tahoma"/>
          <w:sz w:val="22"/>
          <w:szCs w:val="22"/>
        </w:rPr>
      </w:pPr>
    </w:p>
    <w:p w14:paraId="7FD6E8D2" w14:textId="68588B0E" w:rsidR="00624A47" w:rsidRDefault="00624A47" w:rsidP="00994027">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AE13B8">
        <w:rPr>
          <w:rFonts w:ascii="Palatino Linotype" w:hAnsi="Palatino Linotype" w:cs="Tahoma"/>
          <w:sz w:val="22"/>
          <w:szCs w:val="22"/>
        </w:rPr>
        <w:t xml:space="preserve">veintitrés </w:t>
      </w:r>
      <w:r>
        <w:rPr>
          <w:rFonts w:ascii="Palatino Linotype" w:hAnsi="Palatino Linotype" w:cs="Tahoma"/>
          <w:sz w:val="22"/>
          <w:szCs w:val="22"/>
        </w:rPr>
        <w:t xml:space="preserve">de mayo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xml:space="preserve">, el Recurso de Revisión interpuesto por la parte Recurrente, en contra de la respuesta del </w:t>
      </w:r>
      <w:r w:rsidRPr="00624A47">
        <w:rPr>
          <w:rFonts w:ascii="Palatino Linotype" w:eastAsia="Calibri" w:hAnsi="Palatino Linotype" w:cs="Tahoma"/>
          <w:sz w:val="22"/>
          <w:szCs w:val="22"/>
          <w:lang w:eastAsia="en-US"/>
        </w:rPr>
        <w:t>Universidad Estatal del Valle de Toluca</w:t>
      </w:r>
      <w:r w:rsidRPr="00AC17E4">
        <w:rPr>
          <w:rFonts w:ascii="Palatino Linotype" w:hAnsi="Palatino Linotype" w:cs="Tahoma"/>
          <w:sz w:val="22"/>
          <w:szCs w:val="22"/>
        </w:rPr>
        <w:t>,</w:t>
      </w:r>
      <w:r>
        <w:rPr>
          <w:rFonts w:ascii="Palatino Linotype" w:hAnsi="Palatino Linotype" w:cs="Tahoma"/>
          <w:sz w:val="22"/>
          <w:szCs w:val="22"/>
        </w:rPr>
        <w:t xml:space="preserve">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72AEB83F" w14:textId="77777777" w:rsidR="00624A47" w:rsidRPr="009C3D5D" w:rsidRDefault="00624A47" w:rsidP="00994027">
      <w:pPr>
        <w:autoSpaceDE w:val="0"/>
        <w:autoSpaceDN w:val="0"/>
        <w:adjustRightInd w:val="0"/>
        <w:spacing w:line="360" w:lineRule="auto"/>
        <w:contextualSpacing/>
        <w:jc w:val="both"/>
        <w:rPr>
          <w:rFonts w:ascii="Palatino Linotype" w:hAnsi="Palatino Linotype" w:cs="Tahoma"/>
          <w:b/>
          <w:bCs/>
          <w:sz w:val="22"/>
          <w:szCs w:val="22"/>
          <w:lang w:val="es-ES"/>
        </w:rPr>
      </w:pPr>
    </w:p>
    <w:p w14:paraId="33DF41BF" w14:textId="77777777" w:rsidR="00624A47" w:rsidRPr="0045111A" w:rsidRDefault="00624A47" w:rsidP="00994027">
      <w:pPr>
        <w:autoSpaceDE w:val="0"/>
        <w:autoSpaceDN w:val="0"/>
        <w:adjustRightInd w:val="0"/>
        <w:spacing w:line="360" w:lineRule="auto"/>
        <w:ind w:left="567" w:right="567"/>
        <w:contextualSpacing/>
        <w:jc w:val="both"/>
        <w:rPr>
          <w:rFonts w:ascii="Palatino Linotype" w:hAnsi="Palatino Linotype" w:cs="Tahoma"/>
          <w:bCs/>
          <w:i/>
          <w:iCs/>
        </w:rPr>
      </w:pPr>
      <w:r w:rsidRPr="0045111A">
        <w:rPr>
          <w:rFonts w:ascii="Palatino Linotype" w:hAnsi="Palatino Linotype" w:cs="Tahoma"/>
          <w:b/>
          <w:bCs/>
          <w:i/>
          <w:iCs/>
        </w:rPr>
        <w:lastRenderedPageBreak/>
        <w:t>ACTO IMPUGNADO</w:t>
      </w:r>
    </w:p>
    <w:p w14:paraId="16EA15C7" w14:textId="4A45E9A4" w:rsidR="00624A47" w:rsidRDefault="00624A47" w:rsidP="00994027">
      <w:pPr>
        <w:spacing w:line="360" w:lineRule="auto"/>
        <w:ind w:left="567" w:right="567"/>
        <w:contextualSpacing/>
        <w:jc w:val="both"/>
        <w:rPr>
          <w:rFonts w:ascii="Palatino Linotype" w:hAnsi="Palatino Linotype" w:cs="Tahoma"/>
          <w:i/>
          <w:iCs/>
        </w:rPr>
      </w:pPr>
      <w:r w:rsidRPr="0045111A">
        <w:rPr>
          <w:rFonts w:ascii="Palatino Linotype" w:hAnsi="Palatino Linotype"/>
          <w:i/>
          <w:iCs/>
          <w:lang w:eastAsia="es-MX"/>
        </w:rPr>
        <w:t>“</w:t>
      </w:r>
      <w:r w:rsidR="00AE13B8" w:rsidRPr="00AE13B8">
        <w:rPr>
          <w:rFonts w:ascii="Palatino Linotype" w:hAnsi="Palatino Linotype"/>
          <w:i/>
          <w:iCs/>
          <w:lang w:eastAsia="es-MX"/>
        </w:rPr>
        <w:t>DOCUMENTACION INCOMPLETA</w:t>
      </w:r>
      <w:r w:rsidRPr="0045111A">
        <w:rPr>
          <w:rFonts w:ascii="Palatino Linotype" w:hAnsi="Palatino Linotype"/>
          <w:i/>
          <w:iCs/>
          <w:color w:val="000000"/>
        </w:rPr>
        <w:t>.</w:t>
      </w:r>
      <w:r w:rsidRPr="0045111A">
        <w:rPr>
          <w:rFonts w:ascii="Palatino Linotype" w:hAnsi="Palatino Linotype" w:cs="Tahoma"/>
          <w:i/>
          <w:iCs/>
        </w:rPr>
        <w:t xml:space="preserve">” </w:t>
      </w:r>
    </w:p>
    <w:p w14:paraId="2D524185" w14:textId="77777777" w:rsidR="00624A47" w:rsidRPr="0045111A" w:rsidRDefault="00624A47" w:rsidP="00994027">
      <w:pPr>
        <w:spacing w:line="360" w:lineRule="auto"/>
        <w:ind w:left="567" w:right="567"/>
        <w:contextualSpacing/>
        <w:jc w:val="both"/>
        <w:rPr>
          <w:rFonts w:ascii="Palatino Linotype" w:hAnsi="Palatino Linotype" w:cs="Tahoma"/>
          <w:i/>
          <w:iCs/>
        </w:rPr>
      </w:pPr>
      <w:r w:rsidRPr="0045111A">
        <w:rPr>
          <w:rFonts w:ascii="Palatino Linotype" w:hAnsi="Palatino Linotype" w:cs="Tahoma"/>
          <w:i/>
          <w:iCs/>
        </w:rPr>
        <w:t>(Sic)</w:t>
      </w:r>
    </w:p>
    <w:p w14:paraId="47A85712" w14:textId="77777777" w:rsidR="00624A47" w:rsidRPr="0045111A" w:rsidRDefault="00624A47" w:rsidP="00994027">
      <w:pPr>
        <w:autoSpaceDE w:val="0"/>
        <w:autoSpaceDN w:val="0"/>
        <w:adjustRightInd w:val="0"/>
        <w:spacing w:line="360" w:lineRule="auto"/>
        <w:ind w:left="567" w:right="567"/>
        <w:contextualSpacing/>
        <w:jc w:val="both"/>
        <w:rPr>
          <w:rFonts w:ascii="Palatino Linotype" w:hAnsi="Palatino Linotype" w:cs="Tahoma"/>
          <w:i/>
          <w:iCs/>
        </w:rPr>
      </w:pPr>
    </w:p>
    <w:p w14:paraId="20211985" w14:textId="77777777" w:rsidR="00624A47" w:rsidRPr="0045111A" w:rsidRDefault="00624A47" w:rsidP="00994027">
      <w:pPr>
        <w:autoSpaceDE w:val="0"/>
        <w:autoSpaceDN w:val="0"/>
        <w:adjustRightInd w:val="0"/>
        <w:spacing w:line="360" w:lineRule="auto"/>
        <w:ind w:left="567" w:right="567"/>
        <w:contextualSpacing/>
        <w:jc w:val="both"/>
        <w:rPr>
          <w:rFonts w:ascii="Palatino Linotype" w:hAnsi="Palatino Linotype" w:cs="Tahoma"/>
          <w:b/>
          <w:i/>
          <w:iCs/>
        </w:rPr>
      </w:pPr>
      <w:r w:rsidRPr="0045111A">
        <w:rPr>
          <w:rFonts w:ascii="Palatino Linotype" w:hAnsi="Palatino Linotype" w:cs="Tahoma"/>
          <w:b/>
          <w:i/>
          <w:iCs/>
        </w:rPr>
        <w:t>RAZONES O MOTIVOS DE LA INCONFORMIDAD</w:t>
      </w:r>
    </w:p>
    <w:p w14:paraId="30DCBDD6" w14:textId="590B28DC" w:rsidR="00624A47" w:rsidRDefault="00624A47" w:rsidP="00994027">
      <w:pPr>
        <w:spacing w:line="360" w:lineRule="auto"/>
        <w:ind w:left="567"/>
        <w:contextualSpacing/>
        <w:jc w:val="both"/>
        <w:rPr>
          <w:rFonts w:ascii="Palatino Linotype" w:hAnsi="Palatino Linotype" w:cs="Tahoma"/>
          <w:i/>
          <w:iCs/>
        </w:rPr>
      </w:pPr>
      <w:r w:rsidRPr="0045111A">
        <w:rPr>
          <w:rFonts w:ascii="Palatino Linotype" w:hAnsi="Palatino Linotype"/>
          <w:i/>
          <w:iCs/>
          <w:color w:val="000000"/>
        </w:rPr>
        <w:t>“</w:t>
      </w:r>
      <w:r w:rsidR="00AE13B8" w:rsidRPr="00AE13B8">
        <w:rPr>
          <w:rFonts w:ascii="Palatino Linotype" w:hAnsi="Palatino Linotype"/>
          <w:i/>
          <w:iCs/>
          <w:lang w:eastAsia="es-MX"/>
        </w:rPr>
        <w:t>NO HACEN ENTREGRA DE EXPEDIENTE COMPLETO, SOLICITO TODO EXPEDIENTE QUE TENGA QUE VER CON LA CONTRATACION DE DICHO SERVICIO PIDO INFORMACIÓN DESDE INICIO: QUE JUSTIFICA LA NECESIDAD DE UN NUEVO SISTEMA, CONVOCATORIA (REQUISITOS) DICTAMEN TECNICO EMITIDO POR LA AGENCIA DIGITAL DEL ESTADO, COTIZACIONES DE LAS 3 PROPUESTAS QUE NO CUMPLIERON. EN EL CONTRATO MENCIONAN QUE EL DESARROLLO ES EN 3 FASES, CUANDO Y QUE SE ENTREGO EN CADA UNA, CUANDO SE DIO POR COMPLIDO EL CONTRATO</w:t>
      </w:r>
      <w:r w:rsidRPr="0045111A">
        <w:rPr>
          <w:rFonts w:ascii="Palatino Linotype" w:hAnsi="Palatino Linotype"/>
          <w:i/>
          <w:iCs/>
          <w:color w:val="000000"/>
        </w:rPr>
        <w:t>.</w:t>
      </w:r>
      <w:r w:rsidRPr="0045111A">
        <w:rPr>
          <w:rFonts w:ascii="Palatino Linotype" w:hAnsi="Palatino Linotype" w:cs="Tahoma"/>
          <w:i/>
          <w:iCs/>
        </w:rPr>
        <w:t xml:space="preserve">” </w:t>
      </w:r>
    </w:p>
    <w:p w14:paraId="1F6B8F43" w14:textId="77777777" w:rsidR="00624A47" w:rsidRPr="00E40DF9" w:rsidRDefault="00624A47" w:rsidP="00994027">
      <w:pPr>
        <w:spacing w:line="360" w:lineRule="auto"/>
        <w:ind w:left="567"/>
        <w:contextualSpacing/>
        <w:jc w:val="both"/>
        <w:rPr>
          <w:rFonts w:ascii="Palatino Linotype" w:hAnsi="Palatino Linotype" w:cs="Tahoma"/>
          <w:i/>
          <w:iCs/>
        </w:rPr>
      </w:pPr>
      <w:r w:rsidRPr="0045111A">
        <w:rPr>
          <w:rFonts w:ascii="Palatino Linotype" w:hAnsi="Palatino Linotype" w:cs="Tahoma"/>
          <w:i/>
          <w:iCs/>
        </w:rPr>
        <w:t>(Sic)</w:t>
      </w:r>
    </w:p>
    <w:p w14:paraId="7C63D2FB" w14:textId="77777777" w:rsidR="00624A47" w:rsidRPr="00AC17E4" w:rsidRDefault="00624A47" w:rsidP="00994027">
      <w:pPr>
        <w:spacing w:line="360" w:lineRule="auto"/>
        <w:ind w:left="567" w:right="567"/>
        <w:contextualSpacing/>
        <w:jc w:val="both"/>
        <w:rPr>
          <w:rFonts w:ascii="Palatino Linotype" w:hAnsi="Palatino Linotype" w:cs="Tahoma"/>
          <w:i/>
          <w:iCs/>
        </w:rPr>
      </w:pPr>
    </w:p>
    <w:p w14:paraId="1CA1D8A1" w14:textId="77777777" w:rsidR="00624A47" w:rsidRPr="00AC17E4" w:rsidRDefault="00624A47" w:rsidP="00994027">
      <w:pPr>
        <w:pStyle w:val="Ttulo2"/>
        <w:spacing w:before="0" w:after="0" w:line="360" w:lineRule="auto"/>
        <w:contextualSpacing/>
        <w:rPr>
          <w:rFonts w:ascii="Palatino Linotype" w:eastAsia="Batang" w:hAnsi="Palatino Linotype"/>
          <w:b/>
          <w:bCs/>
          <w:color w:val="auto"/>
          <w:sz w:val="22"/>
          <w:szCs w:val="22"/>
        </w:rPr>
      </w:pPr>
      <w:bookmarkStart w:id="6" w:name="_Toc212732967"/>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08004C44" w14:textId="77777777" w:rsidR="00624A47" w:rsidRPr="00AC17E4" w:rsidRDefault="00624A47" w:rsidP="00994027">
      <w:pPr>
        <w:spacing w:line="360" w:lineRule="auto"/>
        <w:contextualSpacing/>
        <w:jc w:val="both"/>
        <w:rPr>
          <w:rFonts w:ascii="Palatino Linotype" w:eastAsia="Batang" w:hAnsi="Palatino Linotype" w:cs="Tahoma"/>
          <w:b/>
          <w:bCs/>
          <w:sz w:val="22"/>
          <w:szCs w:val="22"/>
        </w:rPr>
      </w:pPr>
    </w:p>
    <w:p w14:paraId="0E7A93E3" w14:textId="1FB47D14" w:rsidR="00624A47" w:rsidRPr="00AC17E4" w:rsidRDefault="00624A47" w:rsidP="00994027">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AE13B8">
        <w:rPr>
          <w:rFonts w:ascii="Palatino Linotype" w:eastAsia="Batang" w:hAnsi="Palatino Linotype" w:cs="Tahoma"/>
          <w:bCs/>
          <w:sz w:val="22"/>
          <w:szCs w:val="22"/>
          <w:lang w:val="es-ES_tradnl"/>
        </w:rPr>
        <w:t xml:space="preserve">veintitrés </w:t>
      </w:r>
      <w:r>
        <w:rPr>
          <w:rFonts w:ascii="Palatino Linotype" w:eastAsia="Batang" w:hAnsi="Palatino Linotype" w:cs="Tahoma"/>
          <w:bCs/>
          <w:sz w:val="22"/>
          <w:szCs w:val="22"/>
          <w:lang w:val="es-ES_tradnl"/>
        </w:rPr>
        <w:t xml:space="preserve">de mayo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5</w:t>
      </w:r>
      <w:r w:rsidR="00AE13B8">
        <w:rPr>
          <w:rFonts w:ascii="Palatino Linotype" w:eastAsia="Batang" w:hAnsi="Palatino Linotype" w:cs="Tahoma"/>
          <w:b/>
          <w:sz w:val="22"/>
          <w:szCs w:val="22"/>
          <w:lang w:val="es-ES_tradnl"/>
        </w:rPr>
        <w:t>876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0F883460" w14:textId="77777777" w:rsidR="00624A47" w:rsidRPr="00AC17E4" w:rsidRDefault="00624A47" w:rsidP="00994027">
      <w:pPr>
        <w:spacing w:line="360" w:lineRule="auto"/>
        <w:contextualSpacing/>
        <w:jc w:val="both"/>
        <w:rPr>
          <w:rFonts w:ascii="Palatino Linotype" w:eastAsia="Batang" w:hAnsi="Palatino Linotype" w:cs="Tahoma"/>
          <w:b/>
          <w:bCs/>
          <w:sz w:val="22"/>
          <w:szCs w:val="22"/>
        </w:rPr>
      </w:pPr>
    </w:p>
    <w:p w14:paraId="774DF03B" w14:textId="22F98231" w:rsidR="00624A47" w:rsidRPr="00AC17E4" w:rsidRDefault="00624A47" w:rsidP="00994027">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AE13B8">
        <w:rPr>
          <w:rFonts w:ascii="Palatino Linotype" w:eastAsia="Batang" w:hAnsi="Palatino Linotype" w:cs="Tahoma"/>
          <w:bCs/>
          <w:sz w:val="22"/>
          <w:szCs w:val="22"/>
          <w:lang w:val="es-ES_tradnl"/>
        </w:rPr>
        <w:t xml:space="preserve">veintiocho </w:t>
      </w:r>
      <w:r>
        <w:rPr>
          <w:rFonts w:ascii="Palatino Linotype" w:eastAsia="Batang" w:hAnsi="Palatino Linotype" w:cs="Tahoma"/>
          <w:bCs/>
          <w:sz w:val="22"/>
          <w:szCs w:val="22"/>
          <w:lang w:val="es-ES_tradnl"/>
        </w:rPr>
        <w:t xml:space="preserve">de mayo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Pr>
          <w:rFonts w:ascii="Palatino Linotype" w:eastAsia="Batang" w:hAnsi="Palatino Linotype" w:cs="Tahoma"/>
          <w:bCs/>
          <w:sz w:val="22"/>
          <w:szCs w:val="22"/>
          <w:lang w:val="es-ES_tradnl"/>
        </w:rPr>
        <w:t>mismo día</w:t>
      </w:r>
      <w:r w:rsidRPr="00AC17E4">
        <w:rPr>
          <w:rFonts w:ascii="Palatino Linotype" w:eastAsia="Batang" w:hAnsi="Palatino Linotype" w:cs="Tahoma"/>
          <w:bCs/>
          <w:sz w:val="22"/>
          <w:szCs w:val="22"/>
          <w:lang w:val="es-ES_tradnl"/>
        </w:rPr>
        <w:t xml:space="preserve">, a través del SAIMEX, en el que se les otorgó un plazo de siete días </w:t>
      </w:r>
      <w:r w:rsidRPr="00AC17E4">
        <w:rPr>
          <w:rFonts w:ascii="Palatino Linotype" w:eastAsia="Batang" w:hAnsi="Palatino Linotype" w:cs="Tahoma"/>
          <w:bCs/>
          <w:sz w:val="22"/>
          <w:szCs w:val="22"/>
          <w:lang w:val="es-ES_tradnl"/>
        </w:rPr>
        <w:lastRenderedPageBreak/>
        <w:t>hábiles posteriores a la misma, para que manifestaran lo que a su derecho conviniera y formularan alegatos.</w:t>
      </w:r>
    </w:p>
    <w:p w14:paraId="040611D5" w14:textId="77777777" w:rsidR="00624A47" w:rsidRPr="00AC17E4" w:rsidRDefault="00624A47" w:rsidP="00994027">
      <w:pPr>
        <w:spacing w:line="360" w:lineRule="auto"/>
        <w:contextualSpacing/>
        <w:jc w:val="both"/>
        <w:rPr>
          <w:rFonts w:ascii="Palatino Linotype" w:eastAsia="Batang" w:hAnsi="Palatino Linotype" w:cs="Tahoma"/>
          <w:bCs/>
          <w:sz w:val="22"/>
          <w:szCs w:val="22"/>
          <w:lang w:val="es-ES_tradnl"/>
        </w:rPr>
      </w:pPr>
    </w:p>
    <w:p w14:paraId="77E6B85F" w14:textId="2356C7FF" w:rsidR="00624A47" w:rsidRPr="0087094E" w:rsidRDefault="00624A47" w:rsidP="00994027">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AE13B8">
        <w:rPr>
          <w:rFonts w:ascii="Palatino Linotype" w:hAnsi="Palatino Linotype" w:cs="Tahoma"/>
          <w:sz w:val="22"/>
          <w:szCs w:val="22"/>
        </w:rPr>
        <w:t>cinco de junio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del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proofErr w:type="gramStart"/>
      <w:r w:rsidR="00AE13B8">
        <w:rPr>
          <w:rFonts w:ascii="Palatino Linotype" w:hAnsi="Palatino Linotype" w:cs="Tahoma"/>
          <w:sz w:val="22"/>
          <w:szCs w:val="22"/>
        </w:rPr>
        <w:t>Jefe</w:t>
      </w:r>
      <w:proofErr w:type="gramEnd"/>
      <w:r w:rsidR="00AE13B8">
        <w:rPr>
          <w:rFonts w:ascii="Palatino Linotype" w:hAnsi="Palatino Linotype" w:cs="Tahoma"/>
          <w:sz w:val="22"/>
          <w:szCs w:val="22"/>
        </w:rPr>
        <w:t xml:space="preserve"> del Departamento de Recursos Materiales y Financieros</w:t>
      </w:r>
      <w:r w:rsidRPr="00D60AAF">
        <w:rPr>
          <w:rFonts w:ascii="Palatino Linotype" w:hAnsi="Palatino Linotype" w:cs="Tahoma"/>
          <w:sz w:val="22"/>
          <w:szCs w:val="22"/>
        </w:rPr>
        <w:t>,</w:t>
      </w:r>
      <w:r>
        <w:rPr>
          <w:rFonts w:ascii="Palatino Linotype" w:hAnsi="Palatino Linotype" w:cs="Tahoma"/>
          <w:sz w:val="22"/>
          <w:szCs w:val="22"/>
        </w:rPr>
        <w:t xml:space="preserve"> dirigido a</w:t>
      </w:r>
      <w:r w:rsidR="00AE13B8">
        <w:rPr>
          <w:rFonts w:ascii="Palatino Linotype" w:hAnsi="Palatino Linotype" w:cs="Tahoma"/>
          <w:sz w:val="22"/>
          <w:szCs w:val="22"/>
        </w:rPr>
        <w:t xml:space="preserve"> </w:t>
      </w:r>
      <w:r>
        <w:rPr>
          <w:rFonts w:ascii="Palatino Linotype" w:hAnsi="Palatino Linotype" w:cs="Tahoma"/>
          <w:sz w:val="22"/>
          <w:szCs w:val="22"/>
        </w:rPr>
        <w:t>l</w:t>
      </w:r>
      <w:r w:rsidR="00AE13B8">
        <w:rPr>
          <w:rFonts w:ascii="Palatino Linotype" w:hAnsi="Palatino Linotype" w:cs="Tahoma"/>
          <w:sz w:val="22"/>
          <w:szCs w:val="22"/>
        </w:rPr>
        <w:t>os</w:t>
      </w:r>
      <w:r>
        <w:rPr>
          <w:rFonts w:ascii="Palatino Linotype" w:hAnsi="Palatino Linotype" w:cs="Tahoma"/>
          <w:sz w:val="22"/>
          <w:szCs w:val="22"/>
        </w:rPr>
        <w:t xml:space="preserve"> Comisionado</w:t>
      </w:r>
      <w:r w:rsidR="00AE13B8">
        <w:rPr>
          <w:rFonts w:ascii="Palatino Linotype" w:hAnsi="Palatino Linotype" w:cs="Tahoma"/>
          <w:sz w:val="22"/>
          <w:szCs w:val="22"/>
        </w:rPr>
        <w:t>s</w:t>
      </w:r>
      <w:r>
        <w:rPr>
          <w:rFonts w:ascii="Palatino Linotype" w:hAnsi="Palatino Linotype" w:cs="Tahoma"/>
          <w:sz w:val="22"/>
          <w:szCs w:val="22"/>
        </w:rPr>
        <w:t xml:space="preserve"> </w:t>
      </w:r>
      <w:r w:rsidR="00AE13B8">
        <w:rPr>
          <w:rFonts w:ascii="Palatino Linotype" w:hAnsi="Palatino Linotype" w:cs="Tahoma"/>
          <w:sz w:val="22"/>
          <w:szCs w:val="22"/>
        </w:rPr>
        <w:t xml:space="preserve">de este Instituto, </w:t>
      </w:r>
      <w:r w:rsidRPr="00D60AAF">
        <w:rPr>
          <w:rFonts w:ascii="Palatino Linotype" w:hAnsi="Palatino Linotype" w:cs="Tahoma"/>
          <w:sz w:val="22"/>
          <w:szCs w:val="22"/>
        </w:rPr>
        <w:t>a través del cual</w:t>
      </w:r>
      <w:r w:rsidR="00AE13B8">
        <w:rPr>
          <w:rFonts w:ascii="Palatino Linotype" w:hAnsi="Palatino Linotype" w:cs="Tahoma"/>
          <w:sz w:val="22"/>
          <w:szCs w:val="22"/>
        </w:rPr>
        <w:t xml:space="preserve"> esencialmente </w:t>
      </w:r>
      <w:r w:rsidRPr="00D60AAF">
        <w:rPr>
          <w:rFonts w:ascii="Palatino Linotype" w:hAnsi="Palatino Linotype" w:cs="Tahoma"/>
          <w:sz w:val="22"/>
          <w:szCs w:val="22"/>
        </w:rPr>
        <w:t>ratifica su respuesta inicial.</w:t>
      </w:r>
    </w:p>
    <w:p w14:paraId="693C03DA" w14:textId="77777777" w:rsidR="00624A47" w:rsidRPr="00AC17E4" w:rsidRDefault="00624A47" w:rsidP="00994027">
      <w:pPr>
        <w:spacing w:line="360" w:lineRule="auto"/>
        <w:contextualSpacing/>
        <w:jc w:val="both"/>
        <w:rPr>
          <w:rFonts w:ascii="Palatino Linotype" w:hAnsi="Palatino Linotype" w:cs="Tahoma"/>
          <w:b/>
          <w:sz w:val="22"/>
          <w:szCs w:val="22"/>
        </w:rPr>
      </w:pPr>
    </w:p>
    <w:p w14:paraId="3E6CBF67" w14:textId="06437445" w:rsidR="00624A47" w:rsidRPr="00AC17E4" w:rsidRDefault="00624A47" w:rsidP="00994027">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AE13B8">
        <w:rPr>
          <w:rFonts w:ascii="Palatino Linotype" w:hAnsi="Palatino Linotype" w:cs="Tahoma"/>
          <w:sz w:val="22"/>
          <w:szCs w:val="22"/>
        </w:rPr>
        <w:t xml:space="preserve">dieciocho de julio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6CF799E6" w14:textId="77777777" w:rsidR="00624A47" w:rsidRDefault="00624A47" w:rsidP="00994027">
      <w:pPr>
        <w:spacing w:line="360" w:lineRule="auto"/>
        <w:contextualSpacing/>
        <w:jc w:val="both"/>
        <w:rPr>
          <w:rFonts w:ascii="Palatino Linotype" w:hAnsi="Palatino Linotype" w:cs="Tahoma"/>
          <w:b/>
          <w:bCs/>
          <w:sz w:val="22"/>
          <w:szCs w:val="22"/>
        </w:rPr>
      </w:pPr>
      <w:bookmarkStart w:id="7" w:name="_Hlk145410441"/>
    </w:p>
    <w:p w14:paraId="71D7F155" w14:textId="2481A175" w:rsidR="00624A47" w:rsidRPr="00666E36" w:rsidRDefault="00624A47" w:rsidP="00994027">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AE13B8">
        <w:rPr>
          <w:rFonts w:ascii="Palatino Linotype" w:hAnsi="Palatino Linotype" w:cs="Tahoma"/>
          <w:sz w:val="22"/>
          <w:szCs w:val="22"/>
        </w:rPr>
        <w:t xml:space="preserve">dieciocho </w:t>
      </w:r>
      <w:r>
        <w:rPr>
          <w:rFonts w:ascii="Palatino Linotype" w:hAnsi="Palatino Linotype" w:cs="Tahoma"/>
          <w:sz w:val="22"/>
          <w:szCs w:val="22"/>
        </w:rPr>
        <w:t xml:space="preserve">de julio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04522F90" w14:textId="77777777" w:rsidR="00624A47" w:rsidRDefault="00624A47" w:rsidP="00994027">
      <w:pPr>
        <w:spacing w:line="360" w:lineRule="auto"/>
        <w:contextualSpacing/>
        <w:jc w:val="both"/>
        <w:rPr>
          <w:rFonts w:ascii="Palatino Linotype" w:hAnsi="Palatino Linotype" w:cs="Tahoma"/>
          <w:b/>
          <w:bCs/>
          <w:sz w:val="22"/>
          <w:szCs w:val="22"/>
        </w:rPr>
      </w:pPr>
    </w:p>
    <w:p w14:paraId="5FF74728" w14:textId="689F7F09" w:rsidR="00624A47" w:rsidRPr="00967419" w:rsidRDefault="00624A47" w:rsidP="00994027">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Pr>
          <w:rFonts w:ascii="Palatino Linotype" w:hAnsi="Palatino Linotype" w:cs="Tahoma"/>
          <w:bCs/>
          <w:sz w:val="22"/>
          <w:szCs w:val="22"/>
        </w:rPr>
        <w:t xml:space="preserve">veintiocho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sidR="00EE217F">
        <w:rPr>
          <w:rFonts w:ascii="Palatino Linotype" w:hAnsi="Palatino Linotype" w:cs="Tahoma"/>
          <w:bCs/>
          <w:sz w:val="22"/>
          <w:szCs w:val="22"/>
          <w:lang w:val="es-ES"/>
        </w:rPr>
        <w:t>veintinueve de dicho mes y año</w:t>
      </w:r>
      <w:r w:rsidRPr="00AC17E4">
        <w:rPr>
          <w:rFonts w:ascii="Palatino Linotype" w:hAnsi="Palatino Linotype" w:cs="Tahoma"/>
          <w:bCs/>
          <w:sz w:val="22"/>
          <w:szCs w:val="22"/>
          <w:lang w:val="es-ES"/>
        </w:rPr>
        <w:t>.</w:t>
      </w:r>
    </w:p>
    <w:bookmarkEnd w:id="7"/>
    <w:p w14:paraId="2C71AAF1" w14:textId="77777777" w:rsidR="00624A47" w:rsidRPr="00AC17E4" w:rsidRDefault="00624A47" w:rsidP="00994027">
      <w:pPr>
        <w:autoSpaceDE w:val="0"/>
        <w:autoSpaceDN w:val="0"/>
        <w:adjustRightInd w:val="0"/>
        <w:spacing w:line="360" w:lineRule="auto"/>
        <w:contextualSpacing/>
        <w:jc w:val="both"/>
        <w:rPr>
          <w:rFonts w:ascii="Palatino Linotype" w:hAnsi="Palatino Linotype" w:cs="Tahoma"/>
          <w:b/>
          <w:sz w:val="22"/>
          <w:szCs w:val="22"/>
          <w:lang w:val="es-ES"/>
        </w:rPr>
      </w:pPr>
    </w:p>
    <w:p w14:paraId="1FB79820" w14:textId="77777777" w:rsidR="00624A47" w:rsidRPr="00522D06" w:rsidRDefault="00624A47" w:rsidP="00994027">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6153BC6B" w14:textId="77777777" w:rsidR="00624A47" w:rsidRPr="00AC17E4" w:rsidRDefault="00624A47" w:rsidP="00994027">
      <w:pPr>
        <w:spacing w:line="360" w:lineRule="auto"/>
        <w:contextualSpacing/>
      </w:pPr>
    </w:p>
    <w:p w14:paraId="647048EF" w14:textId="77777777" w:rsidR="00624A47" w:rsidRPr="00AC17E4" w:rsidRDefault="00624A47" w:rsidP="00994027">
      <w:pPr>
        <w:pStyle w:val="Ttulo1"/>
        <w:spacing w:before="0" w:after="0" w:line="360" w:lineRule="auto"/>
        <w:contextualSpacing/>
        <w:jc w:val="center"/>
        <w:rPr>
          <w:rFonts w:ascii="Palatino Linotype" w:hAnsi="Palatino Linotype"/>
          <w:b/>
          <w:bCs/>
          <w:color w:val="auto"/>
          <w:sz w:val="22"/>
          <w:szCs w:val="22"/>
        </w:rPr>
      </w:pPr>
      <w:bookmarkStart w:id="8" w:name="_Toc212732968"/>
      <w:r w:rsidRPr="00AC17E4">
        <w:rPr>
          <w:rFonts w:ascii="Palatino Linotype" w:hAnsi="Palatino Linotype"/>
          <w:b/>
          <w:bCs/>
          <w:color w:val="auto"/>
          <w:sz w:val="22"/>
          <w:szCs w:val="22"/>
        </w:rPr>
        <w:t>C O N S I D E R A N D O S</w:t>
      </w:r>
      <w:bookmarkEnd w:id="8"/>
    </w:p>
    <w:p w14:paraId="42AAE086" w14:textId="77777777" w:rsidR="00624A47" w:rsidRPr="00AC17E4" w:rsidRDefault="00624A47" w:rsidP="00994027">
      <w:pPr>
        <w:spacing w:line="360" w:lineRule="auto"/>
        <w:contextualSpacing/>
      </w:pPr>
    </w:p>
    <w:p w14:paraId="30745D81" w14:textId="77777777" w:rsidR="00624A47" w:rsidRDefault="00624A47" w:rsidP="00994027">
      <w:pPr>
        <w:pStyle w:val="Ttulo2"/>
        <w:spacing w:before="0" w:after="0" w:line="360" w:lineRule="auto"/>
        <w:contextualSpacing/>
        <w:rPr>
          <w:rFonts w:ascii="Palatino Linotype" w:hAnsi="Palatino Linotype"/>
          <w:b/>
          <w:bCs/>
          <w:color w:val="auto"/>
          <w:sz w:val="22"/>
          <w:szCs w:val="22"/>
        </w:rPr>
      </w:pPr>
      <w:bookmarkStart w:id="9" w:name="_Toc212732969"/>
      <w:r w:rsidRPr="00AC17E4">
        <w:rPr>
          <w:rFonts w:ascii="Palatino Linotype" w:hAnsi="Palatino Linotype"/>
          <w:b/>
          <w:bCs/>
          <w:color w:val="auto"/>
          <w:sz w:val="22"/>
          <w:szCs w:val="22"/>
        </w:rPr>
        <w:t>PRIMERO. Competencia</w:t>
      </w:r>
      <w:bookmarkEnd w:id="9"/>
    </w:p>
    <w:p w14:paraId="6831D5A3" w14:textId="77777777" w:rsidR="00803D9C" w:rsidRPr="00803D9C" w:rsidRDefault="00803D9C" w:rsidP="00803D9C">
      <w:pPr>
        <w:spacing w:line="360" w:lineRule="auto"/>
        <w:contextualSpacing/>
        <w:jc w:val="both"/>
        <w:rPr>
          <w:rFonts w:ascii="Palatino Linotype" w:hAnsi="Palatino Linotype" w:cs="Tahoma"/>
          <w:color w:val="000000"/>
          <w:sz w:val="22"/>
          <w:szCs w:val="22"/>
        </w:rPr>
      </w:pPr>
    </w:p>
    <w:p w14:paraId="7B33FC1F" w14:textId="229496AA" w:rsidR="00624A47" w:rsidRPr="00803D9C" w:rsidRDefault="00803D9C" w:rsidP="00803D9C">
      <w:pPr>
        <w:spacing w:line="360" w:lineRule="auto"/>
        <w:contextualSpacing/>
        <w:jc w:val="both"/>
        <w:rPr>
          <w:rFonts w:ascii="Palatino Linotype" w:hAnsi="Palatino Linotype" w:cs="Tahoma"/>
          <w:color w:val="000000"/>
          <w:sz w:val="22"/>
          <w:szCs w:val="22"/>
        </w:rPr>
      </w:pPr>
      <w:r w:rsidRPr="00803D9C">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D0854D4" w14:textId="77777777" w:rsidR="00624A47" w:rsidRPr="00AC17E4" w:rsidRDefault="00624A47" w:rsidP="00994027">
      <w:pPr>
        <w:spacing w:line="360" w:lineRule="auto"/>
        <w:contextualSpacing/>
        <w:jc w:val="both"/>
        <w:rPr>
          <w:rFonts w:ascii="Palatino Linotype" w:eastAsia="Calibri" w:hAnsi="Palatino Linotype" w:cs="Tahoma"/>
          <w:bCs/>
          <w:color w:val="000000"/>
          <w:sz w:val="22"/>
          <w:szCs w:val="22"/>
          <w:lang w:eastAsia="es-ES_tradnl"/>
        </w:rPr>
      </w:pPr>
    </w:p>
    <w:p w14:paraId="33AB0DF3" w14:textId="77777777" w:rsidR="00624A47" w:rsidRPr="00AC17E4" w:rsidRDefault="00624A47" w:rsidP="00994027">
      <w:pPr>
        <w:pStyle w:val="Ttulo2"/>
        <w:spacing w:before="0" w:after="0" w:line="360" w:lineRule="auto"/>
        <w:contextualSpacing/>
        <w:rPr>
          <w:rFonts w:ascii="Palatino Linotype" w:hAnsi="Palatino Linotype"/>
          <w:b/>
          <w:bCs/>
          <w:color w:val="auto"/>
          <w:sz w:val="22"/>
          <w:szCs w:val="22"/>
          <w:lang w:val="es-ES"/>
        </w:rPr>
      </w:pPr>
      <w:bookmarkStart w:id="10" w:name="_Toc212732970"/>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44430150" w14:textId="77777777" w:rsidR="00624A47" w:rsidRPr="00AC17E4" w:rsidRDefault="00624A47" w:rsidP="00994027">
      <w:pPr>
        <w:autoSpaceDE w:val="0"/>
        <w:autoSpaceDN w:val="0"/>
        <w:adjustRightInd w:val="0"/>
        <w:spacing w:line="360" w:lineRule="auto"/>
        <w:contextualSpacing/>
        <w:jc w:val="both"/>
        <w:rPr>
          <w:rFonts w:ascii="Palatino Linotype" w:hAnsi="Palatino Linotype" w:cs="Tahoma"/>
          <w:b/>
          <w:sz w:val="22"/>
          <w:szCs w:val="22"/>
          <w:lang w:val="es-ES"/>
        </w:rPr>
      </w:pPr>
    </w:p>
    <w:p w14:paraId="59963254" w14:textId="77777777" w:rsidR="00624A47" w:rsidRPr="00AC17E4" w:rsidRDefault="00624A47" w:rsidP="00994027">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7215994E" w14:textId="77777777" w:rsidR="00624A47" w:rsidRDefault="00624A47" w:rsidP="00994027">
      <w:pPr>
        <w:spacing w:line="360" w:lineRule="auto"/>
        <w:contextualSpacing/>
        <w:jc w:val="both"/>
        <w:rPr>
          <w:rFonts w:ascii="Palatino Linotype" w:eastAsia="Calibri" w:hAnsi="Palatino Linotype" w:cs="Tahoma"/>
          <w:b/>
          <w:color w:val="000000"/>
          <w:sz w:val="22"/>
          <w:szCs w:val="22"/>
          <w:lang w:val="es-ES" w:eastAsia="es-MX"/>
        </w:rPr>
      </w:pPr>
    </w:p>
    <w:p w14:paraId="41A7288B" w14:textId="77777777" w:rsidR="00624A47" w:rsidRDefault="00624A47" w:rsidP="00994027">
      <w:pPr>
        <w:spacing w:line="360" w:lineRule="auto"/>
        <w:contextualSpacing/>
        <w:jc w:val="both"/>
        <w:rPr>
          <w:rFonts w:ascii="Palatino Linotype" w:eastAsia="Calibri" w:hAnsi="Palatino Linotype" w:cs="Tahoma"/>
          <w:b/>
          <w:color w:val="000000"/>
          <w:sz w:val="22"/>
          <w:szCs w:val="22"/>
          <w:lang w:val="es-ES" w:eastAsia="es-MX"/>
        </w:rPr>
      </w:pPr>
    </w:p>
    <w:p w14:paraId="44CB22DB" w14:textId="77777777" w:rsidR="00624A47" w:rsidRPr="00AC17E4" w:rsidRDefault="00624A47" w:rsidP="00994027">
      <w:pPr>
        <w:spacing w:line="360" w:lineRule="auto"/>
        <w:contextualSpacing/>
        <w:jc w:val="both"/>
        <w:rPr>
          <w:rFonts w:ascii="Palatino Linotype" w:eastAsia="Calibri" w:hAnsi="Palatino Linotype" w:cs="Tahoma"/>
          <w:b/>
          <w:color w:val="000000"/>
          <w:sz w:val="22"/>
          <w:szCs w:val="22"/>
          <w:lang w:val="es-ES" w:eastAsia="es-MX"/>
        </w:rPr>
      </w:pPr>
    </w:p>
    <w:p w14:paraId="14CF78C8" w14:textId="25CB6E91" w:rsidR="001B11B2" w:rsidRPr="00295459" w:rsidRDefault="00803D9C" w:rsidP="00994027">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Causales de sobreseimiento</w:t>
      </w:r>
    </w:p>
    <w:p w14:paraId="76595E0E" w14:textId="77777777" w:rsidR="001B11B2" w:rsidRDefault="001B11B2" w:rsidP="00994027">
      <w:pPr>
        <w:spacing w:line="360" w:lineRule="auto"/>
        <w:contextualSpacing/>
        <w:jc w:val="both"/>
        <w:rPr>
          <w:rFonts w:ascii="Palatino Linotype" w:hAnsi="Palatino Linotype" w:cs="Tahoma"/>
          <w:sz w:val="22"/>
          <w:szCs w:val="22"/>
          <w:lang w:eastAsia="es-MX"/>
        </w:rPr>
      </w:pPr>
    </w:p>
    <w:p w14:paraId="5D7A3146" w14:textId="77777777" w:rsidR="001B11B2" w:rsidRPr="003C7C12" w:rsidRDefault="001B11B2" w:rsidP="00994027">
      <w:pPr>
        <w:spacing w:line="360" w:lineRule="auto"/>
        <w:contextualSpacing/>
        <w:jc w:val="both"/>
        <w:rPr>
          <w:rFonts w:ascii="Palatino Linotype" w:hAnsi="Palatino Linotype" w:cs="Tahoma"/>
          <w:sz w:val="22"/>
          <w:szCs w:val="24"/>
        </w:rPr>
      </w:pPr>
      <w:r w:rsidRPr="003C7C12">
        <w:rPr>
          <w:rFonts w:ascii="Palatino Linotype" w:hAnsi="Palatino Linotype" w:cs="Tahoma"/>
          <w:sz w:val="22"/>
          <w:szCs w:val="24"/>
        </w:rPr>
        <w:t>Por ser de previo y especial pronunciamiento, este Instituto analiza si se actualiza alguna causal de sobreseimiento.</w:t>
      </w:r>
    </w:p>
    <w:p w14:paraId="33C143BD" w14:textId="77777777" w:rsidR="001B11B2" w:rsidRPr="003C7C12" w:rsidRDefault="001B11B2" w:rsidP="00994027">
      <w:pPr>
        <w:spacing w:line="360" w:lineRule="auto"/>
        <w:contextualSpacing/>
        <w:jc w:val="both"/>
        <w:rPr>
          <w:rFonts w:ascii="Palatino Linotype" w:hAnsi="Palatino Linotype" w:cs="Tahoma"/>
          <w:sz w:val="22"/>
          <w:szCs w:val="24"/>
        </w:rPr>
      </w:pPr>
    </w:p>
    <w:p w14:paraId="1850866D" w14:textId="77777777" w:rsidR="001B11B2" w:rsidRPr="003C7C12" w:rsidRDefault="001B11B2" w:rsidP="00994027">
      <w:pPr>
        <w:spacing w:line="360" w:lineRule="auto"/>
        <w:contextualSpacing/>
        <w:jc w:val="both"/>
        <w:rPr>
          <w:rFonts w:ascii="Palatino Linotype" w:eastAsia="Palatino Linotype" w:hAnsi="Palatino Linotype" w:cs="Palatino Linotype"/>
          <w:color w:val="000000"/>
          <w:sz w:val="22"/>
          <w:szCs w:val="22"/>
          <w:lang w:eastAsia="es-MX"/>
        </w:rPr>
      </w:pPr>
      <w:r w:rsidRPr="003C7C12">
        <w:rPr>
          <w:rFonts w:ascii="Palatino Linotype" w:eastAsia="Palatino Linotype" w:hAnsi="Palatino Linotype" w:cs="Palatino Linotype"/>
          <w:color w:val="0D0D0D"/>
          <w:sz w:val="22"/>
          <w:szCs w:val="22"/>
          <w:lang w:eastAsia="es-MX"/>
        </w:rPr>
        <w:t>Sobre el tema, e</w:t>
      </w:r>
      <w:r w:rsidRPr="003C7C12">
        <w:rPr>
          <w:rFonts w:ascii="Palatino Linotype" w:eastAsia="Palatino Linotype" w:hAnsi="Palatino Linotype" w:cs="Palatino Linotype"/>
          <w:color w:val="000000"/>
          <w:sz w:val="22"/>
          <w:szCs w:val="22"/>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441B220" w14:textId="77777777" w:rsidR="001B11B2" w:rsidRPr="003C7C12" w:rsidRDefault="001B11B2" w:rsidP="00994027">
      <w:pPr>
        <w:spacing w:line="360" w:lineRule="auto"/>
        <w:contextualSpacing/>
        <w:jc w:val="both"/>
        <w:rPr>
          <w:rFonts w:ascii="Palatino Linotype" w:eastAsia="Calibri" w:hAnsi="Palatino Linotype" w:cs="Tahoma"/>
          <w:color w:val="0D0D0D"/>
          <w:sz w:val="22"/>
          <w:szCs w:val="22"/>
          <w:lang w:eastAsia="es-ES_tradnl"/>
        </w:rPr>
      </w:pPr>
    </w:p>
    <w:p w14:paraId="475B6E1C" w14:textId="77777777" w:rsidR="001B11B2" w:rsidRPr="003C7C12" w:rsidRDefault="001B11B2" w:rsidP="00994027">
      <w:pPr>
        <w:spacing w:line="360" w:lineRule="auto"/>
        <w:contextualSpacing/>
        <w:jc w:val="both"/>
        <w:rPr>
          <w:rFonts w:ascii="Palatino Linotype" w:eastAsia="Calibri" w:hAnsi="Palatino Linotype" w:cs="Tahoma"/>
          <w:color w:val="0D0D0D"/>
          <w:sz w:val="22"/>
          <w:szCs w:val="22"/>
          <w:lang w:eastAsia="es-ES_tradnl"/>
        </w:rPr>
      </w:pPr>
      <w:r w:rsidRPr="003C7C12">
        <w:rPr>
          <w:rFonts w:ascii="Palatino Linotype" w:eastAsia="Calibri" w:hAnsi="Palatino Linotype" w:cs="Tahoma"/>
          <w:color w:val="0D0D0D"/>
          <w:sz w:val="22"/>
          <w:szCs w:val="22"/>
          <w:lang w:eastAsia="es-ES_tradnl"/>
        </w:rPr>
        <w:t>Por tales motivos, se considera procedente entrar al fondo del presente asunto.</w:t>
      </w:r>
    </w:p>
    <w:p w14:paraId="6BA2AB88" w14:textId="77777777" w:rsidR="00624A47" w:rsidRDefault="00624A47" w:rsidP="00994027">
      <w:pPr>
        <w:tabs>
          <w:tab w:val="left" w:pos="4962"/>
        </w:tabs>
        <w:spacing w:line="360" w:lineRule="auto"/>
        <w:contextualSpacing/>
        <w:jc w:val="both"/>
        <w:rPr>
          <w:rFonts w:ascii="Palatino Linotype" w:hAnsi="Palatino Linotype" w:cs="Tahoma"/>
          <w:sz w:val="22"/>
          <w:szCs w:val="22"/>
          <w:lang w:val="es-ES"/>
        </w:rPr>
      </w:pPr>
    </w:p>
    <w:p w14:paraId="5A9B6290" w14:textId="77777777" w:rsidR="00624A47" w:rsidRPr="00591ED8" w:rsidRDefault="00624A47" w:rsidP="00994027">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10308881"/>
      <w:bookmarkStart w:id="13" w:name="_Toc212732971"/>
      <w:r w:rsidRPr="00591ED8">
        <w:rPr>
          <w:rFonts w:ascii="Palatino Linotype" w:eastAsia="Calibri" w:hAnsi="Palatino Linotype"/>
          <w:b/>
          <w:bCs/>
          <w:color w:val="auto"/>
          <w:sz w:val="22"/>
          <w:szCs w:val="22"/>
          <w:lang w:val="es-ES" w:eastAsia="es-ES_tradnl"/>
        </w:rPr>
        <w:t>TERCERO. Determinación de la Controversia</w:t>
      </w:r>
      <w:bookmarkEnd w:id="11"/>
      <w:bookmarkEnd w:id="12"/>
      <w:bookmarkEnd w:id="13"/>
    </w:p>
    <w:p w14:paraId="1621065B" w14:textId="77777777" w:rsidR="00624A47" w:rsidRDefault="00624A47" w:rsidP="00994027">
      <w:pPr>
        <w:spacing w:line="360" w:lineRule="auto"/>
        <w:contextualSpacing/>
        <w:jc w:val="both"/>
        <w:rPr>
          <w:rFonts w:ascii="Palatino Linotype" w:hAnsi="Palatino Linotype" w:cs="Tahoma"/>
          <w:sz w:val="22"/>
          <w:szCs w:val="22"/>
          <w:lang w:val="es-ES"/>
        </w:rPr>
      </w:pPr>
    </w:p>
    <w:p w14:paraId="0BFD94F2" w14:textId="208D9698" w:rsidR="00624A47" w:rsidRPr="00740EAB" w:rsidRDefault="00624A47" w:rsidP="00994027">
      <w:pPr>
        <w:spacing w:line="360" w:lineRule="auto"/>
        <w:contextualSpacing/>
        <w:jc w:val="both"/>
        <w:rPr>
          <w:rFonts w:ascii="Palatino Linotype" w:hAnsi="Palatino Linotype" w:cs="Tahoma"/>
          <w:sz w:val="22"/>
          <w:szCs w:val="22"/>
        </w:rPr>
      </w:pPr>
      <w:r w:rsidRPr="00740EA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740EAB">
        <w:rPr>
          <w:rFonts w:ascii="Palatino Linotype" w:hAnsi="Palatino Linotype" w:cs="Tahoma"/>
          <w:sz w:val="22"/>
          <w:szCs w:val="22"/>
        </w:rPr>
        <w:t xml:space="preserve">que el Particular requirió, </w:t>
      </w:r>
      <w:r>
        <w:rPr>
          <w:rFonts w:ascii="Palatino Linotype" w:hAnsi="Palatino Linotype" w:cs="Tahoma"/>
          <w:sz w:val="22"/>
          <w:szCs w:val="22"/>
        </w:rPr>
        <w:t xml:space="preserve">los documentos que dieran cuenta del </w:t>
      </w:r>
      <w:r w:rsidR="00AE13B8">
        <w:rPr>
          <w:rFonts w:ascii="Palatino Linotype" w:hAnsi="Palatino Linotype" w:cs="Tahoma"/>
          <w:sz w:val="22"/>
          <w:szCs w:val="22"/>
        </w:rPr>
        <w:t xml:space="preserve">expediente completo </w:t>
      </w:r>
      <w:r w:rsidR="0019609D">
        <w:rPr>
          <w:rFonts w:ascii="Palatino Linotype" w:hAnsi="Palatino Linotype" w:cs="Tahoma"/>
          <w:sz w:val="22"/>
          <w:szCs w:val="22"/>
        </w:rPr>
        <w:t>del procedimiento</w:t>
      </w:r>
      <w:r w:rsidR="00AE13B8">
        <w:rPr>
          <w:rFonts w:ascii="Palatino Linotype" w:hAnsi="Palatino Linotype" w:cs="Tahoma"/>
          <w:sz w:val="22"/>
          <w:szCs w:val="22"/>
        </w:rPr>
        <w:t xml:space="preserve"> adquisitivo para la contratación del servicio del nuevo </w:t>
      </w:r>
      <w:r w:rsidR="0057473D" w:rsidRPr="00EB64F7">
        <w:rPr>
          <w:rFonts w:ascii="Palatino Linotype" w:eastAsiaTheme="majorEastAsia" w:hAnsi="Palatino Linotype"/>
          <w:sz w:val="22"/>
          <w:szCs w:val="22"/>
        </w:rPr>
        <w:t>Sistema de Servicios Escolares</w:t>
      </w:r>
      <w:r w:rsidR="00AE13B8">
        <w:rPr>
          <w:rFonts w:ascii="Palatino Linotype" w:hAnsi="Palatino Linotype" w:cs="Tahoma"/>
          <w:sz w:val="22"/>
          <w:szCs w:val="22"/>
        </w:rPr>
        <w:t xml:space="preserve"> </w:t>
      </w:r>
      <w:r w:rsidR="0057473D">
        <w:rPr>
          <w:rFonts w:ascii="Palatino Linotype" w:hAnsi="Palatino Linotype" w:cs="Tahoma"/>
          <w:sz w:val="22"/>
          <w:szCs w:val="22"/>
        </w:rPr>
        <w:t>(</w:t>
      </w:r>
      <w:r w:rsidR="00AE13B8">
        <w:rPr>
          <w:rFonts w:ascii="Palatino Linotype" w:hAnsi="Palatino Linotype" w:cs="Tahoma"/>
          <w:sz w:val="22"/>
          <w:szCs w:val="22"/>
        </w:rPr>
        <w:t>SIDEA</w:t>
      </w:r>
      <w:r w:rsidR="0057473D">
        <w:rPr>
          <w:rFonts w:ascii="Palatino Linotype" w:hAnsi="Palatino Linotype" w:cs="Tahoma"/>
          <w:sz w:val="22"/>
          <w:szCs w:val="22"/>
        </w:rPr>
        <w:t>)</w:t>
      </w:r>
      <w:r>
        <w:rPr>
          <w:rFonts w:ascii="Palatino Linotype" w:hAnsi="Palatino Linotype" w:cs="Tahoma"/>
          <w:sz w:val="22"/>
          <w:szCs w:val="22"/>
        </w:rPr>
        <w:t xml:space="preserve">, al </w:t>
      </w:r>
      <w:r w:rsidR="00AE13B8">
        <w:rPr>
          <w:rFonts w:ascii="Palatino Linotype" w:hAnsi="Palatino Linotype" w:cs="Tahoma"/>
          <w:sz w:val="22"/>
          <w:szCs w:val="22"/>
        </w:rPr>
        <w:t>seis de mayo</w:t>
      </w:r>
      <w:r>
        <w:rPr>
          <w:rFonts w:ascii="Palatino Linotype" w:hAnsi="Palatino Linotype" w:cs="Tahoma"/>
          <w:sz w:val="22"/>
          <w:szCs w:val="22"/>
        </w:rPr>
        <w:t xml:space="preserve"> de dos mil veinticinco.</w:t>
      </w:r>
    </w:p>
    <w:p w14:paraId="1A47D11F" w14:textId="77777777" w:rsidR="00624A47" w:rsidRPr="00740EAB" w:rsidRDefault="00624A47" w:rsidP="00994027">
      <w:pPr>
        <w:spacing w:line="360" w:lineRule="auto"/>
        <w:contextualSpacing/>
        <w:rPr>
          <w:rFonts w:ascii="Palatino Linotype" w:hAnsi="Palatino Linotype" w:cs="Tahoma"/>
          <w:sz w:val="22"/>
          <w:szCs w:val="22"/>
        </w:rPr>
      </w:pPr>
    </w:p>
    <w:p w14:paraId="502E577F" w14:textId="3BEE5B95" w:rsidR="00624A47" w:rsidRDefault="00624A47" w:rsidP="00994027">
      <w:pPr>
        <w:autoSpaceDE w:val="0"/>
        <w:autoSpaceDN w:val="0"/>
        <w:adjustRightInd w:val="0"/>
        <w:spacing w:line="360" w:lineRule="auto"/>
        <w:contextualSpacing/>
        <w:jc w:val="both"/>
        <w:rPr>
          <w:rFonts w:ascii="Palatino Linotype" w:eastAsia="Calibri" w:hAnsi="Palatino Linotype" w:cs="Tahoma"/>
          <w:sz w:val="22"/>
          <w:szCs w:val="22"/>
        </w:rPr>
      </w:pPr>
      <w:r w:rsidRPr="00740EAB">
        <w:rPr>
          <w:rFonts w:ascii="Palatino Linotype" w:hAnsi="Palatino Linotype" w:cs="Tahoma"/>
          <w:sz w:val="22"/>
          <w:szCs w:val="22"/>
          <w:lang w:val="es-ES"/>
        </w:rPr>
        <w:t xml:space="preserve">En respuesta, el Sujeto Obligado a través de la </w:t>
      </w:r>
      <w:r w:rsidR="00AE13B8">
        <w:rPr>
          <w:rFonts w:ascii="Palatino Linotype" w:hAnsi="Palatino Linotype" w:cs="Tahoma"/>
          <w:sz w:val="22"/>
          <w:szCs w:val="22"/>
          <w:lang w:val="es-ES"/>
        </w:rPr>
        <w:t>Jefatura de Recursos Materiales y Financieros</w:t>
      </w:r>
      <w:r w:rsidRPr="00740EAB">
        <w:rPr>
          <w:rFonts w:ascii="Palatino Linotype" w:hAnsi="Palatino Linotype" w:cs="Tahoma"/>
          <w:sz w:val="22"/>
          <w:szCs w:val="22"/>
          <w:lang w:val="es-ES"/>
        </w:rPr>
        <w:t xml:space="preserve">, </w:t>
      </w:r>
      <w:r>
        <w:rPr>
          <w:rFonts w:ascii="Palatino Linotype" w:hAnsi="Palatino Linotype" w:cs="Tahoma"/>
          <w:sz w:val="22"/>
          <w:szCs w:val="22"/>
          <w:lang w:val="es-ES"/>
        </w:rPr>
        <w:t xml:space="preserve">proporcionó </w:t>
      </w:r>
      <w:r w:rsidR="0057473D">
        <w:rPr>
          <w:rFonts w:ascii="Palatino Linotype" w:eastAsiaTheme="majorEastAsia" w:hAnsi="Palatino Linotype"/>
          <w:sz w:val="22"/>
          <w:szCs w:val="22"/>
        </w:rPr>
        <w:t xml:space="preserve">los documentos que integraban el expediente del procedimiento de adjudicación </w:t>
      </w:r>
      <w:r w:rsidR="0034077D">
        <w:rPr>
          <w:rFonts w:ascii="Palatino Linotype" w:eastAsiaTheme="majorEastAsia" w:hAnsi="Palatino Linotype"/>
          <w:sz w:val="22"/>
          <w:szCs w:val="22"/>
        </w:rPr>
        <w:t xml:space="preserve">directa </w:t>
      </w:r>
      <w:r w:rsidR="0057473D" w:rsidRPr="00EB64F7">
        <w:rPr>
          <w:rFonts w:ascii="Palatino Linotype" w:eastAsiaTheme="majorEastAsia" w:hAnsi="Palatino Linotype"/>
          <w:sz w:val="22"/>
          <w:szCs w:val="22"/>
        </w:rPr>
        <w:t>IA-74-091-915099911-N-9-2024 para el desarrollo e imple</w:t>
      </w:r>
      <w:r w:rsidR="0057473D">
        <w:rPr>
          <w:rFonts w:ascii="Palatino Linotype" w:eastAsiaTheme="majorEastAsia" w:hAnsi="Palatino Linotype"/>
          <w:sz w:val="22"/>
          <w:szCs w:val="22"/>
        </w:rPr>
        <w:t>men</w:t>
      </w:r>
      <w:r w:rsidR="0057473D" w:rsidRPr="00EB64F7">
        <w:rPr>
          <w:rFonts w:ascii="Palatino Linotype" w:eastAsiaTheme="majorEastAsia" w:hAnsi="Palatino Linotype"/>
          <w:sz w:val="22"/>
          <w:szCs w:val="22"/>
        </w:rPr>
        <w:t>tación</w:t>
      </w:r>
      <w:r w:rsidR="0057473D">
        <w:rPr>
          <w:rFonts w:ascii="Palatino Linotype" w:eastAsiaTheme="majorEastAsia" w:hAnsi="Palatino Linotype"/>
          <w:sz w:val="22"/>
          <w:szCs w:val="22"/>
        </w:rPr>
        <w:t xml:space="preserve"> </w:t>
      </w:r>
      <w:r w:rsidR="0057473D" w:rsidRPr="00EB64F7">
        <w:rPr>
          <w:rFonts w:ascii="Palatino Linotype" w:eastAsiaTheme="majorEastAsia" w:hAnsi="Palatino Linotype"/>
          <w:sz w:val="22"/>
          <w:szCs w:val="22"/>
        </w:rPr>
        <w:t xml:space="preserve">del </w:t>
      </w:r>
      <w:r w:rsidR="0057473D" w:rsidRPr="00EB64F7">
        <w:rPr>
          <w:rFonts w:ascii="Palatino Linotype" w:eastAsiaTheme="majorEastAsia" w:hAnsi="Palatino Linotype"/>
          <w:sz w:val="22"/>
          <w:szCs w:val="22"/>
        </w:rPr>
        <w:lastRenderedPageBreak/>
        <w:t>Sistema de Servicios Escolares</w:t>
      </w:r>
      <w:r w:rsidRPr="00740EAB">
        <w:rPr>
          <w:rFonts w:ascii="Palatino Linotype" w:eastAsia="Calibri" w:hAnsi="Palatino Linotype" w:cs="Tahoma"/>
          <w:color w:val="000000"/>
          <w:sz w:val="22"/>
          <w:szCs w:val="22"/>
          <w:lang w:val="es-ES"/>
        </w:rPr>
        <w:t>;</w:t>
      </w:r>
      <w:r w:rsidRPr="00740EAB">
        <w:rPr>
          <w:rFonts w:ascii="Palatino Linotype" w:hAnsi="Palatino Linotype" w:cs="Tahoma"/>
          <w:sz w:val="22"/>
          <w:szCs w:val="22"/>
          <w:lang w:val="es-ES"/>
        </w:rPr>
        <w:t xml:space="preserve"> ante dicha circunstancia, el Particular se agravió por la entrega de información</w:t>
      </w:r>
      <w:r>
        <w:rPr>
          <w:rFonts w:ascii="Palatino Linotype" w:hAnsi="Palatino Linotype" w:cs="Tahoma"/>
          <w:sz w:val="22"/>
          <w:szCs w:val="22"/>
          <w:lang w:val="es-ES"/>
        </w:rPr>
        <w:t xml:space="preserve"> incompleta</w:t>
      </w:r>
      <w:r w:rsidRPr="00740EAB">
        <w:rPr>
          <w:rFonts w:ascii="Palatino Linotype" w:hAnsi="Palatino Linotype" w:cs="Tahoma"/>
          <w:sz w:val="22"/>
          <w:szCs w:val="22"/>
        </w:rPr>
        <w:t>, al señalar que</w:t>
      </w:r>
      <w:r>
        <w:rPr>
          <w:rFonts w:ascii="Palatino Linotype" w:hAnsi="Palatino Linotype" w:cs="Tahoma"/>
          <w:sz w:val="22"/>
          <w:szCs w:val="22"/>
        </w:rPr>
        <w:t xml:space="preserve"> no le habían proporcionado </w:t>
      </w:r>
      <w:r w:rsidR="0057473D">
        <w:rPr>
          <w:rFonts w:ascii="Palatino Linotype" w:hAnsi="Palatino Linotype" w:cs="Tahoma"/>
          <w:sz w:val="22"/>
          <w:szCs w:val="22"/>
        </w:rPr>
        <w:t>el expediente completo</w:t>
      </w:r>
      <w:r w:rsidRPr="00740EAB">
        <w:rPr>
          <w:rFonts w:ascii="Palatino Linotype" w:hAnsi="Palatino Linotype" w:cs="Tahoma"/>
          <w:sz w:val="22"/>
          <w:szCs w:val="22"/>
        </w:rPr>
        <w:t xml:space="preserve">; </w:t>
      </w:r>
      <w:r w:rsidRPr="00740EAB">
        <w:rPr>
          <w:rFonts w:ascii="Palatino Linotype" w:hAnsi="Palatino Linotype" w:cs="Tahoma"/>
          <w:sz w:val="22"/>
          <w:szCs w:val="22"/>
          <w:lang w:val="es-ES"/>
        </w:rPr>
        <w:t xml:space="preserve">circunstancia que </w:t>
      </w:r>
      <w:r w:rsidRPr="00740EAB">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740EAB">
        <w:rPr>
          <w:rFonts w:ascii="Palatino Linotype" w:eastAsia="Calibri" w:hAnsi="Palatino Linotype" w:cs="Tahoma"/>
          <w:sz w:val="22"/>
          <w:szCs w:val="22"/>
        </w:rPr>
        <w:t xml:space="preserve">, del artículo 179 de la Ley de Transparencia y Acceso a la Información Pública del Estado de México y Municipios. </w:t>
      </w:r>
    </w:p>
    <w:p w14:paraId="1CDF76AF" w14:textId="77777777" w:rsidR="00624A47" w:rsidRDefault="00624A47" w:rsidP="00994027">
      <w:pPr>
        <w:autoSpaceDE w:val="0"/>
        <w:autoSpaceDN w:val="0"/>
        <w:adjustRightInd w:val="0"/>
        <w:spacing w:line="360" w:lineRule="auto"/>
        <w:contextualSpacing/>
        <w:jc w:val="both"/>
        <w:rPr>
          <w:rFonts w:ascii="Palatino Linotype" w:eastAsia="Calibri" w:hAnsi="Palatino Linotype" w:cs="Tahoma"/>
          <w:sz w:val="22"/>
          <w:szCs w:val="22"/>
        </w:rPr>
      </w:pPr>
    </w:p>
    <w:p w14:paraId="228AE9F7" w14:textId="498EFFBC" w:rsidR="0057473D" w:rsidRPr="003C7C12" w:rsidRDefault="0057473D" w:rsidP="00994027">
      <w:pPr>
        <w:spacing w:line="360" w:lineRule="auto"/>
        <w:contextualSpacing/>
        <w:jc w:val="both"/>
        <w:rPr>
          <w:rFonts w:ascii="Palatino Linotype" w:eastAsia="Calibri" w:hAnsi="Palatino Linotype" w:cs="Tahoma"/>
          <w:bCs/>
          <w:color w:val="0C0C0C"/>
          <w:sz w:val="22"/>
          <w:szCs w:val="22"/>
          <w:lang w:eastAsia="es-MX"/>
        </w:rPr>
      </w:pPr>
      <w:r w:rsidRPr="003C7C12">
        <w:rPr>
          <w:rFonts w:ascii="Palatino Linotype" w:eastAsia="Calibri" w:hAnsi="Palatino Linotype" w:cs="Tahoma"/>
          <w:bCs/>
          <w:color w:val="0C0C0C"/>
          <w:sz w:val="22"/>
          <w:szCs w:val="22"/>
          <w:lang w:eastAsia="es-MX"/>
        </w:rPr>
        <w:t xml:space="preserve">Por otra parte, a través </w:t>
      </w:r>
      <w:r>
        <w:rPr>
          <w:rFonts w:ascii="Palatino Linotype" w:eastAsia="Calibri" w:hAnsi="Palatino Linotype" w:cs="Tahoma"/>
          <w:bCs/>
          <w:color w:val="0C0C0C"/>
          <w:sz w:val="22"/>
          <w:szCs w:val="22"/>
          <w:lang w:eastAsia="es-MX"/>
        </w:rPr>
        <w:t>de la solicitud de información</w:t>
      </w:r>
      <w:r w:rsidRPr="003C7C12">
        <w:rPr>
          <w:rFonts w:ascii="Palatino Linotype" w:eastAsia="Calibri" w:hAnsi="Palatino Linotype" w:cs="Tahoma"/>
          <w:bCs/>
          <w:color w:val="0C0C0C"/>
          <w:sz w:val="22"/>
          <w:szCs w:val="22"/>
          <w:lang w:eastAsia="es-MX"/>
        </w:rPr>
        <w:t>, el Particular realizó las siguientes</w:t>
      </w:r>
      <w:r w:rsidRPr="003C7C12">
        <w:rPr>
          <w:rFonts w:ascii="Palatino Linotype" w:eastAsia="Calibri" w:hAnsi="Palatino Linotype" w:cs="Tahoma"/>
          <w:bCs/>
          <w:color w:val="0C0C0C"/>
          <w:sz w:val="22"/>
          <w:szCs w:val="22"/>
          <w:lang w:eastAsia="es-MX"/>
        </w:rPr>
        <w:br/>
        <w:t>manifestaciones: “…</w:t>
      </w:r>
      <w:proofErr w:type="spellStart"/>
      <w:r w:rsidR="0019609D">
        <w:rPr>
          <w:rFonts w:ascii="Palatino Linotype" w:eastAsia="Calibri" w:hAnsi="Palatino Linotype" w:cs="Tahoma"/>
          <w:bCs/>
          <w:i/>
          <w:color w:val="0C0C0C"/>
          <w:sz w:val="22"/>
          <w:szCs w:val="22"/>
          <w:lang w:eastAsia="es-MX"/>
        </w:rPr>
        <w:t>t</w:t>
      </w:r>
      <w:r w:rsidRPr="0057473D">
        <w:rPr>
          <w:rFonts w:ascii="Palatino Linotype" w:hAnsi="Palatino Linotype"/>
          <w:i/>
          <w:iCs/>
          <w:color w:val="000000"/>
          <w:sz w:val="22"/>
          <w:szCs w:val="22"/>
          <w:lang w:eastAsia="es-MX"/>
        </w:rPr>
        <w:t>ambien</w:t>
      </w:r>
      <w:proofErr w:type="spellEnd"/>
      <w:r w:rsidRPr="0057473D">
        <w:rPr>
          <w:rFonts w:ascii="Palatino Linotype" w:hAnsi="Palatino Linotype"/>
          <w:i/>
          <w:iCs/>
          <w:color w:val="000000"/>
          <w:sz w:val="22"/>
          <w:szCs w:val="22"/>
          <w:lang w:eastAsia="es-MX"/>
        </w:rPr>
        <w:t xml:space="preserve"> me gustaría hacer la petición de que se vigile su buen funcionamiento porque persisten muchas fallas que afectan nuestras actividades académicas</w:t>
      </w:r>
      <w:r w:rsidRPr="00295459">
        <w:rPr>
          <w:rFonts w:ascii="Palatino Linotype" w:hAnsi="Palatino Linotype"/>
          <w:i/>
          <w:iCs/>
          <w:color w:val="000000"/>
          <w:sz w:val="22"/>
          <w:szCs w:val="22"/>
          <w:lang w:eastAsia="es-MX"/>
        </w:rPr>
        <w:t>.</w:t>
      </w:r>
      <w:r w:rsidRPr="003C7C12">
        <w:rPr>
          <w:rFonts w:ascii="Palatino Linotype" w:eastAsia="Calibri" w:hAnsi="Palatino Linotype" w:cs="Tahoma"/>
          <w:bCs/>
          <w:color w:val="0C0C0C"/>
          <w:sz w:val="22"/>
          <w:szCs w:val="22"/>
          <w:lang w:eastAsia="es-MX"/>
        </w:rPr>
        <w:t>”; las cuales únicamente contienen afirmaciones sobre apreciaciones subjetivas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carentes de sustento, al no presentar, ni aportar elementos que apoyen la localización de la</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información requerida, ya que refieren a pronunciamientos a la forma de actuar del Sujeto</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Obligado, mismas que no corresponden a una solicitud de acceso y por lo tanto, las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mismas devienen de IMPROCEDENTES; por lo que deben desestimarse para todos los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efectos a que haya lugar.</w:t>
      </w:r>
    </w:p>
    <w:p w14:paraId="72C75598" w14:textId="77777777" w:rsidR="00624A47" w:rsidRDefault="00624A47" w:rsidP="00994027">
      <w:pPr>
        <w:spacing w:line="360" w:lineRule="auto"/>
        <w:contextualSpacing/>
        <w:jc w:val="both"/>
        <w:rPr>
          <w:rFonts w:ascii="Palatino Linotype" w:eastAsia="Calibri" w:hAnsi="Palatino Linotype" w:cs="Tahoma"/>
          <w:iCs/>
          <w:sz w:val="22"/>
          <w:szCs w:val="22"/>
          <w:lang w:val="es-ES" w:eastAsia="es-ES_tradnl"/>
        </w:rPr>
      </w:pPr>
    </w:p>
    <w:p w14:paraId="642BA8A5" w14:textId="77777777" w:rsidR="00624A47" w:rsidRPr="005979FE" w:rsidRDefault="00624A47" w:rsidP="00994027">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Cs/>
          <w:sz w:val="22"/>
          <w:szCs w:val="22"/>
        </w:rPr>
        <w:t xml:space="preserve"> </w:t>
      </w:r>
      <w:r>
        <w:rPr>
          <w:rFonts w:ascii="Palatino Linotype" w:eastAsia="Calibri" w:hAnsi="Palatino Linotype" w:cs="Tahoma"/>
          <w:b/>
          <w:bCs/>
          <w:sz w:val="22"/>
          <w:szCs w:val="22"/>
        </w:rPr>
        <w:t>Cabe señalar que el Particular fue omiso en realizar manifestaciones o alegatos.</w:t>
      </w:r>
    </w:p>
    <w:p w14:paraId="79F1B6E7" w14:textId="77777777" w:rsidR="00624A47" w:rsidRPr="00B71E3E" w:rsidRDefault="00624A47" w:rsidP="00994027">
      <w:pPr>
        <w:spacing w:line="360" w:lineRule="auto"/>
        <w:contextualSpacing/>
        <w:jc w:val="both"/>
        <w:rPr>
          <w:rFonts w:ascii="Palatino Linotype" w:hAnsi="Palatino Linotype"/>
          <w:color w:val="000000"/>
          <w:sz w:val="22"/>
          <w:szCs w:val="22"/>
          <w:lang w:eastAsia="es-ES_tradnl"/>
        </w:rPr>
      </w:pPr>
    </w:p>
    <w:p w14:paraId="4902AA83" w14:textId="77777777" w:rsidR="00624A47" w:rsidRPr="00903CC5" w:rsidRDefault="00624A47" w:rsidP="00994027">
      <w:pPr>
        <w:pStyle w:val="Ttulo2"/>
        <w:spacing w:before="0" w:after="0" w:line="360" w:lineRule="auto"/>
        <w:contextualSpacing/>
        <w:jc w:val="both"/>
        <w:rPr>
          <w:rFonts w:ascii="Palatino Linotype" w:hAnsi="Palatino Linotype"/>
          <w:b/>
          <w:bCs/>
          <w:color w:val="auto"/>
          <w:sz w:val="22"/>
          <w:szCs w:val="22"/>
        </w:rPr>
      </w:pPr>
      <w:bookmarkStart w:id="14" w:name="_Toc199369391"/>
      <w:bookmarkStart w:id="15" w:name="_Toc203518781"/>
      <w:bookmarkStart w:id="16" w:name="_Toc210308882"/>
      <w:bookmarkStart w:id="17" w:name="_Toc212732972"/>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4"/>
      <w:bookmarkEnd w:id="15"/>
      <w:bookmarkEnd w:id="16"/>
      <w:bookmarkEnd w:id="17"/>
    </w:p>
    <w:p w14:paraId="06544154"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p>
    <w:p w14:paraId="695AEFE8"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6°, Apartado A), fracción I, de la Constitución Política de los Estados Unidos </w:t>
      </w:r>
      <w:r w:rsidRPr="00B71E3E">
        <w:rPr>
          <w:rFonts w:ascii="Palatino Linotype" w:hAnsi="Palatino Linotype" w:cs="Tahoma"/>
          <w:sz w:val="22"/>
          <w:szCs w:val="22"/>
          <w:lang w:eastAsia="es-MX"/>
        </w:rPr>
        <w:lastRenderedPageBreak/>
        <w:t>Mexicanos, establece que toda la información en posesión de cualquier autoridad, es pública y sólo podrá ser reservada temporalmente por razones de interés público.</w:t>
      </w:r>
    </w:p>
    <w:p w14:paraId="60B2808E"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p>
    <w:p w14:paraId="3AFAA94B" w14:textId="77777777" w:rsidR="00624A47" w:rsidRPr="00B71E3E" w:rsidRDefault="00624A47" w:rsidP="00994027">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3D76B1"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p>
    <w:p w14:paraId="79FF32F9"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4E537005"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p>
    <w:p w14:paraId="71FD4981"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1CF9C3F7"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p>
    <w:p w14:paraId="34DF9600"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008A4B7B" w14:textId="77777777" w:rsidR="00624A47" w:rsidRPr="00B71E3E" w:rsidRDefault="00624A47" w:rsidP="00994027">
      <w:pPr>
        <w:widowControl w:val="0"/>
        <w:spacing w:line="360" w:lineRule="auto"/>
        <w:contextualSpacing/>
        <w:jc w:val="both"/>
        <w:rPr>
          <w:rFonts w:ascii="Palatino Linotype" w:hAnsi="Palatino Linotype" w:cs="Tahoma"/>
          <w:sz w:val="22"/>
          <w:szCs w:val="22"/>
          <w:lang w:eastAsia="es-MX"/>
        </w:rPr>
      </w:pPr>
    </w:p>
    <w:p w14:paraId="547E5A1D" w14:textId="77777777" w:rsidR="00624A47" w:rsidRDefault="00624A47" w:rsidP="00994027">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D0FCF5" w14:textId="77777777" w:rsidR="0019609D" w:rsidRDefault="0019609D" w:rsidP="00994027">
      <w:pPr>
        <w:widowControl w:val="0"/>
        <w:spacing w:line="360" w:lineRule="auto"/>
        <w:contextualSpacing/>
        <w:jc w:val="both"/>
        <w:rPr>
          <w:rFonts w:ascii="Palatino Linotype" w:hAnsi="Palatino Linotype" w:cs="Tahoma"/>
          <w:sz w:val="22"/>
          <w:szCs w:val="22"/>
          <w:lang w:eastAsia="es-MX"/>
        </w:rPr>
      </w:pPr>
    </w:p>
    <w:p w14:paraId="4FFAED44" w14:textId="77777777" w:rsidR="0019609D" w:rsidRPr="0019609D" w:rsidRDefault="0019609D" w:rsidP="00994027">
      <w:pPr>
        <w:spacing w:line="360" w:lineRule="auto"/>
        <w:contextualSpacing/>
        <w:jc w:val="both"/>
        <w:rPr>
          <w:rFonts w:ascii="Palatino Linotype" w:hAnsi="Palatino Linotype" w:cs="Tahoma"/>
          <w:sz w:val="22"/>
          <w:szCs w:val="22"/>
        </w:rPr>
      </w:pPr>
      <w:r w:rsidRPr="0019609D">
        <w:rPr>
          <w:rFonts w:ascii="Palatino Linotype" w:hAnsi="Palatino Linotype" w:cs="Tahoma"/>
          <w:sz w:val="22"/>
          <w:szCs w:val="22"/>
        </w:rPr>
        <w:lastRenderedPageBreak/>
        <w:t>El artículo 92, fracción</w:t>
      </w:r>
      <w:r w:rsidRPr="0019609D">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0E53FFBA" w14:textId="77777777" w:rsidR="00624A47" w:rsidRPr="00004DA0" w:rsidRDefault="00624A47" w:rsidP="00994027">
      <w:pPr>
        <w:widowControl w:val="0"/>
        <w:spacing w:line="360" w:lineRule="auto"/>
        <w:contextualSpacing/>
        <w:jc w:val="both"/>
        <w:rPr>
          <w:rFonts w:ascii="Palatino Linotype" w:hAnsi="Palatino Linotype" w:cs="Tahoma"/>
          <w:sz w:val="22"/>
          <w:szCs w:val="22"/>
          <w:lang w:eastAsia="es-MX"/>
        </w:rPr>
      </w:pPr>
    </w:p>
    <w:p w14:paraId="478644CF" w14:textId="77777777" w:rsidR="00624A47" w:rsidRPr="00903CC5" w:rsidRDefault="00624A47" w:rsidP="00994027">
      <w:pPr>
        <w:pStyle w:val="Ttulo2"/>
        <w:spacing w:before="0" w:after="0" w:line="360" w:lineRule="auto"/>
        <w:contextualSpacing/>
        <w:rPr>
          <w:rFonts w:ascii="Palatino Linotype" w:hAnsi="Palatino Linotype"/>
          <w:b/>
          <w:bCs/>
          <w:color w:val="auto"/>
          <w:sz w:val="22"/>
          <w:szCs w:val="22"/>
          <w:lang w:val="es-ES"/>
        </w:rPr>
      </w:pPr>
      <w:bookmarkStart w:id="18" w:name="_Toc199369392"/>
      <w:bookmarkStart w:id="19" w:name="_Toc203518782"/>
      <w:bookmarkStart w:id="20" w:name="_Toc210308883"/>
      <w:bookmarkStart w:id="21" w:name="_Toc212732973"/>
      <w:r w:rsidRPr="00903CC5">
        <w:rPr>
          <w:rFonts w:ascii="Palatino Linotype" w:hAnsi="Palatino Linotype"/>
          <w:b/>
          <w:bCs/>
          <w:color w:val="auto"/>
          <w:sz w:val="22"/>
          <w:szCs w:val="22"/>
          <w:lang w:val="es-ES"/>
        </w:rPr>
        <w:t>QUINTO. Estudio de Fondo</w:t>
      </w:r>
      <w:bookmarkEnd w:id="18"/>
      <w:bookmarkEnd w:id="19"/>
      <w:bookmarkEnd w:id="20"/>
      <w:bookmarkEnd w:id="21"/>
    </w:p>
    <w:p w14:paraId="050A828F" w14:textId="77777777" w:rsidR="00624A47" w:rsidRPr="00B71E3E" w:rsidRDefault="00624A47" w:rsidP="00994027">
      <w:pPr>
        <w:spacing w:line="360" w:lineRule="auto"/>
        <w:contextualSpacing/>
        <w:jc w:val="both"/>
        <w:rPr>
          <w:rFonts w:ascii="Palatino Linotype" w:hAnsi="Palatino Linotype" w:cs="Tahoma"/>
          <w:b/>
          <w:sz w:val="22"/>
          <w:szCs w:val="22"/>
          <w:lang w:val="es-ES"/>
        </w:rPr>
      </w:pPr>
    </w:p>
    <w:p w14:paraId="7F3F54C1" w14:textId="286847A3" w:rsidR="00624A47" w:rsidRDefault="00624A47" w:rsidP="00994027">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r>
        <w:rPr>
          <w:rFonts w:ascii="Palatino Linotype" w:hAnsi="Palatino Linotype" w:cs="Tahoma"/>
          <w:bCs/>
          <w:iCs/>
          <w:sz w:val="22"/>
          <w:szCs w:val="22"/>
        </w:rPr>
        <w:t xml:space="preserve">, relacionado con </w:t>
      </w:r>
      <w:r w:rsidR="0019609D">
        <w:rPr>
          <w:rFonts w:ascii="Palatino Linotype" w:hAnsi="Palatino Linotype" w:cs="Tahoma"/>
          <w:bCs/>
          <w:iCs/>
          <w:sz w:val="22"/>
          <w:szCs w:val="22"/>
        </w:rPr>
        <w:t>expediente de procedimiento adquisitivo</w:t>
      </w:r>
      <w:r>
        <w:rPr>
          <w:rFonts w:ascii="Palatino Linotype" w:hAnsi="Palatino Linotype" w:cs="Tahoma"/>
          <w:bCs/>
          <w:iCs/>
          <w:sz w:val="22"/>
          <w:szCs w:val="22"/>
        </w:rPr>
        <w:t>.</w:t>
      </w:r>
    </w:p>
    <w:p w14:paraId="3BA361C8" w14:textId="77777777" w:rsidR="00624A47" w:rsidRPr="00050F20" w:rsidRDefault="00624A47" w:rsidP="00994027">
      <w:pPr>
        <w:widowControl w:val="0"/>
        <w:spacing w:line="360" w:lineRule="auto"/>
        <w:contextualSpacing/>
        <w:jc w:val="both"/>
        <w:rPr>
          <w:rFonts w:ascii="Palatino Linotype" w:hAnsi="Palatino Linotype" w:cs="Tahoma"/>
          <w:bCs/>
          <w:iCs/>
          <w:sz w:val="22"/>
          <w:szCs w:val="22"/>
        </w:rPr>
      </w:pPr>
    </w:p>
    <w:p w14:paraId="39ED6F0D"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r w:rsidRPr="00050F20">
        <w:rPr>
          <w:rFonts w:ascii="Palatino Linotype" w:eastAsia="Calibri" w:hAnsi="Palatino Linotype"/>
          <w:color w:val="000000"/>
          <w:sz w:val="22"/>
          <w:szCs w:val="22"/>
        </w:rPr>
        <w:t xml:space="preserve">Sobre el tema, López Olvera, Miguel Alejandro </w:t>
      </w:r>
      <w:proofErr w:type="spellStart"/>
      <w:r w:rsidRPr="00050F20">
        <w:rPr>
          <w:rFonts w:ascii="Palatino Linotype" w:eastAsia="Calibri" w:hAnsi="Palatino Linotype"/>
          <w:color w:val="000000"/>
          <w:sz w:val="22"/>
          <w:szCs w:val="22"/>
        </w:rPr>
        <w:t>Cancino</w:t>
      </w:r>
      <w:proofErr w:type="spellEnd"/>
      <w:r w:rsidRPr="00050F20">
        <w:rPr>
          <w:rFonts w:ascii="Palatino Linotype" w:eastAsia="Calibri" w:hAnsi="Palatino Linotype"/>
          <w:color w:val="000000"/>
          <w:sz w:val="22"/>
          <w:szCs w:val="22"/>
        </w:rPr>
        <w:t xml:space="preserve"> Gómez, Rodolfo. (2020). “La Contratación Pública y el Sistema Nacional Anticorrupción”. (p. 4) la </w:t>
      </w:r>
      <w:r w:rsidRPr="00050F20">
        <w:rPr>
          <w:rFonts w:ascii="Palatino Linotype" w:eastAsia="Calibri" w:hAnsi="Palatino Linotype"/>
          <w:b/>
          <w:color w:val="000000"/>
          <w:sz w:val="22"/>
          <w:szCs w:val="22"/>
        </w:rPr>
        <w:t>contratación pública</w:t>
      </w:r>
      <w:r w:rsidRPr="00050F20">
        <w:rPr>
          <w:rFonts w:ascii="Palatino Linotype" w:eastAsia="Calibri" w:hAnsi="Palatino Linotype"/>
          <w:color w:val="000000"/>
          <w:sz w:val="22"/>
          <w:szCs w:val="22"/>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64CA075C"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p>
    <w:p w14:paraId="358932C2"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r w:rsidRPr="00050F20">
        <w:rPr>
          <w:rFonts w:ascii="Palatino Linotype" w:eastAsia="Calibri" w:hAnsi="Palatino Linotype"/>
          <w:color w:val="000000"/>
          <w:sz w:val="22"/>
          <w:szCs w:val="22"/>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6B6D0A40"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p>
    <w:p w14:paraId="512F27EB"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r w:rsidRPr="00050F20">
        <w:rPr>
          <w:rFonts w:ascii="Palatino Linotype" w:eastAsia="Calibri" w:hAnsi="Palatino Linotype"/>
          <w:color w:val="000000"/>
          <w:sz w:val="22"/>
          <w:szCs w:val="22"/>
        </w:rPr>
        <w:lastRenderedPageBreak/>
        <w:t xml:space="preserve">Por otra parte, conforme a los artículos 26 y 27 de la Ley citada, establecen que las adquisiciones, arrendamientos y servicios, se adjudicarán a través de procedimientos de </w:t>
      </w:r>
      <w:r w:rsidRPr="00050F20">
        <w:rPr>
          <w:rFonts w:ascii="Palatino Linotype" w:eastAsia="Calibri" w:hAnsi="Palatino Linotype"/>
          <w:b/>
          <w:bCs/>
          <w:color w:val="000000"/>
          <w:sz w:val="22"/>
          <w:szCs w:val="22"/>
        </w:rPr>
        <w:t>licitación pública, invitación restringida y adjudicación directa.</w:t>
      </w:r>
    </w:p>
    <w:p w14:paraId="191B4727"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p>
    <w:p w14:paraId="6A072996" w14:textId="77777777" w:rsidR="0034077D" w:rsidRDefault="0034077D" w:rsidP="00994027">
      <w:pPr>
        <w:spacing w:line="360" w:lineRule="auto"/>
        <w:contextualSpacing/>
        <w:jc w:val="both"/>
        <w:rPr>
          <w:rFonts w:ascii="Palatino Linotype" w:eastAsia="Calibri" w:hAnsi="Palatino Linotype"/>
          <w:color w:val="000000"/>
          <w:sz w:val="22"/>
          <w:szCs w:val="22"/>
        </w:rPr>
      </w:pPr>
    </w:p>
    <w:p w14:paraId="46856268"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r w:rsidRPr="00050F20">
        <w:rPr>
          <w:rFonts w:ascii="Palatino Linotype" w:eastAsia="Calibri" w:hAnsi="Palatino Linotype"/>
          <w:color w:val="000000"/>
          <w:sz w:val="22"/>
          <w:szCs w:val="22"/>
        </w:rPr>
        <w:t xml:space="preserve">Ahora bien, es importante señalar que de conformidad con los artículos 22, 23, 24 y 25 de la Ley de Contratación, establece que los Comités de Adquisiciones y de Servicios, </w:t>
      </w:r>
      <w:r w:rsidRPr="00050F20">
        <w:rPr>
          <w:rFonts w:ascii="Palatino Linotype" w:eastAsia="Calibri" w:hAnsi="Palatino Linotype"/>
          <w:b/>
          <w:color w:val="000000"/>
          <w:sz w:val="22"/>
          <w:szCs w:val="22"/>
        </w:rPr>
        <w:t>son órganos colegiados que tienen por objeto auxiliar a los Ayuntamientos en la sustanciación de los procedimientos de adquisiciones</w:t>
      </w:r>
      <w:r w:rsidRPr="00050F20">
        <w:rPr>
          <w:rFonts w:ascii="Palatino Linotype" w:eastAsia="Calibri" w:hAnsi="Palatino Linotype"/>
          <w:color w:val="000000"/>
          <w:sz w:val="22"/>
          <w:szCs w:val="22"/>
        </w:rPr>
        <w:t xml:space="preserve"> los cuales tendrán las siguientes funciones: </w:t>
      </w:r>
    </w:p>
    <w:p w14:paraId="061D1550"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p>
    <w:p w14:paraId="0E4504A9" w14:textId="4BF3FD77" w:rsidR="00050F20" w:rsidRDefault="00050F20" w:rsidP="00994027">
      <w:pPr>
        <w:numPr>
          <w:ilvl w:val="0"/>
          <w:numId w:val="10"/>
        </w:numPr>
        <w:spacing w:after="160" w:line="360" w:lineRule="auto"/>
        <w:contextualSpacing/>
        <w:jc w:val="both"/>
        <w:rPr>
          <w:rFonts w:ascii="Palatino Linotype" w:hAnsi="Palatino Linotype"/>
          <w:color w:val="000000"/>
          <w:sz w:val="22"/>
          <w:szCs w:val="22"/>
        </w:rPr>
      </w:pPr>
      <w:r w:rsidRPr="00050F20">
        <w:rPr>
          <w:rFonts w:ascii="Palatino Linotype" w:hAnsi="Palatino Linotype"/>
          <w:b/>
          <w:color w:val="000000"/>
          <w:sz w:val="22"/>
          <w:szCs w:val="22"/>
        </w:rPr>
        <w:t>Dictaminar sobre la procedencia</w:t>
      </w:r>
      <w:r w:rsidRPr="00050F20">
        <w:rPr>
          <w:rFonts w:ascii="Palatino Linotype" w:hAnsi="Palatino Linotype"/>
          <w:color w:val="000000"/>
          <w:sz w:val="22"/>
          <w:szCs w:val="22"/>
        </w:rPr>
        <w:t xml:space="preserve"> de los casos de excepción al procedimiento de licitación pública, tratándose de adquisición de inmuebles y arrendamientos;</w:t>
      </w:r>
    </w:p>
    <w:p w14:paraId="3B569F7E" w14:textId="77777777" w:rsidR="0034077D" w:rsidRPr="00050F20" w:rsidRDefault="0034077D" w:rsidP="00994027">
      <w:pPr>
        <w:spacing w:after="160" w:line="360" w:lineRule="auto"/>
        <w:ind w:left="720"/>
        <w:contextualSpacing/>
        <w:jc w:val="both"/>
        <w:rPr>
          <w:rFonts w:ascii="Palatino Linotype" w:hAnsi="Palatino Linotype"/>
          <w:color w:val="000000"/>
          <w:sz w:val="22"/>
          <w:szCs w:val="22"/>
        </w:rPr>
      </w:pPr>
    </w:p>
    <w:p w14:paraId="424B6012" w14:textId="2E3D3BE4" w:rsidR="00050F20" w:rsidRDefault="00050F20" w:rsidP="00994027">
      <w:pPr>
        <w:numPr>
          <w:ilvl w:val="0"/>
          <w:numId w:val="10"/>
        </w:numPr>
        <w:spacing w:after="160" w:line="360" w:lineRule="auto"/>
        <w:contextualSpacing/>
        <w:jc w:val="both"/>
        <w:rPr>
          <w:rFonts w:ascii="Palatino Linotype" w:hAnsi="Palatino Linotype"/>
          <w:color w:val="000000"/>
          <w:sz w:val="22"/>
          <w:szCs w:val="22"/>
        </w:rPr>
      </w:pPr>
      <w:r w:rsidRPr="00050F20">
        <w:rPr>
          <w:rFonts w:ascii="Palatino Linotype" w:hAnsi="Palatino Linotype"/>
          <w:color w:val="000000"/>
          <w:sz w:val="22"/>
          <w:szCs w:val="22"/>
        </w:rPr>
        <w:t>Participar en los procedimientos de licitación, invitación restringida y adjudicación directa, hasta dejarlos en estado de dictar el fallo correspondiente, tratándose de adquisición de inmuebles y arrendamientos;</w:t>
      </w:r>
    </w:p>
    <w:p w14:paraId="053184D6" w14:textId="77777777" w:rsidR="0034077D" w:rsidRPr="00050F20" w:rsidRDefault="0034077D" w:rsidP="00994027">
      <w:pPr>
        <w:spacing w:after="160" w:line="360" w:lineRule="auto"/>
        <w:contextualSpacing/>
        <w:jc w:val="both"/>
        <w:rPr>
          <w:rFonts w:ascii="Palatino Linotype" w:hAnsi="Palatino Linotype"/>
          <w:color w:val="000000"/>
          <w:sz w:val="22"/>
          <w:szCs w:val="22"/>
        </w:rPr>
      </w:pPr>
    </w:p>
    <w:p w14:paraId="10BA40DF" w14:textId="707A12C8" w:rsidR="00050F20" w:rsidRDefault="00050F20" w:rsidP="00994027">
      <w:pPr>
        <w:numPr>
          <w:ilvl w:val="0"/>
          <w:numId w:val="10"/>
        </w:numPr>
        <w:spacing w:after="160" w:line="360" w:lineRule="auto"/>
        <w:contextualSpacing/>
        <w:jc w:val="both"/>
        <w:rPr>
          <w:rFonts w:ascii="Palatino Linotype" w:hAnsi="Palatino Linotype"/>
          <w:color w:val="000000"/>
          <w:sz w:val="22"/>
          <w:szCs w:val="22"/>
        </w:rPr>
      </w:pPr>
      <w:r w:rsidRPr="00050F20">
        <w:rPr>
          <w:rFonts w:ascii="Palatino Linotype" w:hAnsi="Palatino Linotype"/>
          <w:b/>
          <w:color w:val="000000"/>
          <w:sz w:val="22"/>
          <w:szCs w:val="22"/>
        </w:rPr>
        <w:t>Emitir los dictámenes</w:t>
      </w:r>
      <w:r w:rsidRPr="00050F20">
        <w:rPr>
          <w:rFonts w:ascii="Palatino Linotype" w:hAnsi="Palatino Linotype"/>
          <w:color w:val="000000"/>
          <w:sz w:val="22"/>
          <w:szCs w:val="22"/>
        </w:rPr>
        <w:t xml:space="preserve"> de adjudicación, tratándose de adquisiciones de inmuebles y arrendamientos;</w:t>
      </w:r>
    </w:p>
    <w:p w14:paraId="3D223412" w14:textId="77777777" w:rsidR="0034077D" w:rsidRPr="00050F20" w:rsidRDefault="0034077D" w:rsidP="00994027">
      <w:pPr>
        <w:spacing w:after="160" w:line="360" w:lineRule="auto"/>
        <w:contextualSpacing/>
        <w:jc w:val="both"/>
        <w:rPr>
          <w:rFonts w:ascii="Palatino Linotype" w:hAnsi="Palatino Linotype"/>
          <w:color w:val="000000"/>
          <w:sz w:val="22"/>
          <w:szCs w:val="22"/>
        </w:rPr>
      </w:pPr>
    </w:p>
    <w:p w14:paraId="54576874" w14:textId="77777777" w:rsidR="00050F20" w:rsidRPr="00050F20" w:rsidRDefault="00050F20" w:rsidP="00994027">
      <w:pPr>
        <w:numPr>
          <w:ilvl w:val="0"/>
          <w:numId w:val="10"/>
        </w:numPr>
        <w:spacing w:after="160" w:line="360" w:lineRule="auto"/>
        <w:contextualSpacing/>
        <w:jc w:val="both"/>
        <w:rPr>
          <w:rFonts w:ascii="Palatino Linotype" w:hAnsi="Palatino Linotype"/>
          <w:color w:val="000000"/>
          <w:sz w:val="22"/>
          <w:szCs w:val="22"/>
        </w:rPr>
      </w:pPr>
      <w:r w:rsidRPr="00050F20">
        <w:rPr>
          <w:rFonts w:ascii="Palatino Linotype" w:hAnsi="Palatino Linotype"/>
          <w:color w:val="000000"/>
          <w:sz w:val="22"/>
          <w:szCs w:val="22"/>
        </w:rPr>
        <w:t>Participar en los procedimientos de subasta pública, hasta dejarlos en estado de dictar el fallo de adjudicación.</w:t>
      </w:r>
    </w:p>
    <w:p w14:paraId="384F01E2"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p>
    <w:p w14:paraId="4A08097A"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r w:rsidRPr="00050F20">
        <w:rPr>
          <w:rFonts w:ascii="Palatino Linotype" w:eastAsia="Calibri" w:hAnsi="Palatino Linotype"/>
          <w:color w:val="000000"/>
          <w:sz w:val="22"/>
          <w:szCs w:val="22"/>
        </w:rPr>
        <w:t xml:space="preserve">Lo anterior hace sentido, puesto que dentro de los procedimientos de adquisición que contempla la </w:t>
      </w:r>
      <w:r w:rsidRPr="00050F20">
        <w:rPr>
          <w:rFonts w:ascii="Palatino Linotype" w:eastAsia="Calibri" w:hAnsi="Palatino Linotype" w:cs="Tahoma"/>
          <w:color w:val="000000"/>
          <w:sz w:val="22"/>
          <w:szCs w:val="22"/>
        </w:rPr>
        <w:t xml:space="preserve">Ley de Contratación Pública del Estado de México y Municipios, es decir, a </w:t>
      </w:r>
      <w:r w:rsidRPr="00050F20">
        <w:rPr>
          <w:rFonts w:ascii="Palatino Linotype" w:eastAsia="Calibri" w:hAnsi="Palatino Linotype" w:cs="Tahoma"/>
          <w:color w:val="000000"/>
          <w:sz w:val="22"/>
          <w:szCs w:val="22"/>
        </w:rPr>
        <w:lastRenderedPageBreak/>
        <w:t xml:space="preserve">través de licitación de licitación de licitación pública, invitación restringida y adjudicación directa, se generan diversos documentos como pueden ser los siguientes: </w:t>
      </w:r>
    </w:p>
    <w:p w14:paraId="47F3AB80" w14:textId="77777777" w:rsidR="0034077D" w:rsidRDefault="0034077D" w:rsidP="00994027">
      <w:pPr>
        <w:spacing w:line="360" w:lineRule="auto"/>
        <w:contextualSpacing/>
        <w:jc w:val="both"/>
        <w:rPr>
          <w:rFonts w:ascii="Palatino Linotype" w:eastAsia="Calibri" w:hAnsi="Palatino Linotype" w:cs="Tahoma"/>
          <w:color w:val="000000"/>
          <w:sz w:val="22"/>
          <w:szCs w:val="22"/>
        </w:rPr>
      </w:pPr>
    </w:p>
    <w:p w14:paraId="2FD34266" w14:textId="77777777" w:rsidR="0034077D" w:rsidRPr="00050F20" w:rsidRDefault="0034077D" w:rsidP="00994027">
      <w:pPr>
        <w:spacing w:line="360" w:lineRule="auto"/>
        <w:contextualSpacing/>
        <w:jc w:val="both"/>
        <w:rPr>
          <w:rFonts w:ascii="Palatino Linotype" w:eastAsia="Calibri" w:hAnsi="Palatino Linotype" w:cs="Tahoma"/>
          <w:color w:val="000000"/>
          <w:sz w:val="22"/>
          <w:szCs w:val="22"/>
        </w:rPr>
      </w:pPr>
    </w:p>
    <w:tbl>
      <w:tblPr>
        <w:tblStyle w:val="Tablaconcuadrcula1"/>
        <w:tblW w:w="0" w:type="auto"/>
        <w:tblInd w:w="421" w:type="dxa"/>
        <w:tblLook w:val="04A0" w:firstRow="1" w:lastRow="0" w:firstColumn="1" w:lastColumn="0" w:noHBand="0" w:noVBand="1"/>
      </w:tblPr>
      <w:tblGrid>
        <w:gridCol w:w="1558"/>
        <w:gridCol w:w="1547"/>
        <w:gridCol w:w="5302"/>
      </w:tblGrid>
      <w:tr w:rsidR="00050F20" w:rsidRPr="00050F20" w14:paraId="7DE8576E" w14:textId="77777777" w:rsidTr="000E1656">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5CA1D3" w14:textId="77777777" w:rsidR="00050F20" w:rsidRPr="00050F20" w:rsidRDefault="00050F20" w:rsidP="00994027">
            <w:pPr>
              <w:spacing w:line="360" w:lineRule="auto"/>
              <w:contextualSpacing/>
              <w:jc w:val="both"/>
              <w:rPr>
                <w:rFonts w:ascii="Palatino Linotype" w:hAnsi="Palatino Linotype" w:cs="Tahoma"/>
                <w:b/>
                <w:bCs/>
                <w:color w:val="000000"/>
              </w:rPr>
            </w:pPr>
            <w:r w:rsidRPr="00050F20">
              <w:rPr>
                <w:rFonts w:ascii="Palatino Linotype" w:hAnsi="Palatino Linotype" w:cs="Tahoma"/>
                <w:b/>
                <w:bCs/>
                <w:color w:val="000000"/>
              </w:rPr>
              <w:t>Procedimiento</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B8FD49" w14:textId="77777777" w:rsidR="00050F20" w:rsidRPr="00050F20" w:rsidRDefault="00050F20" w:rsidP="00994027">
            <w:pPr>
              <w:spacing w:line="360" w:lineRule="auto"/>
              <w:contextualSpacing/>
              <w:jc w:val="both"/>
              <w:rPr>
                <w:rFonts w:ascii="Palatino Linotype" w:hAnsi="Palatino Linotype" w:cs="Tahoma"/>
                <w:b/>
                <w:bCs/>
                <w:color w:val="000000"/>
              </w:rPr>
            </w:pPr>
            <w:r w:rsidRPr="00050F20">
              <w:rPr>
                <w:rFonts w:ascii="Palatino Linotype" w:hAnsi="Palatino Linotype" w:cs="Tahoma"/>
                <w:b/>
                <w:bCs/>
                <w:color w:val="000000"/>
              </w:rPr>
              <w:t>Fundamento</w:t>
            </w:r>
          </w:p>
        </w:tc>
        <w:tc>
          <w:tcPr>
            <w:tcW w:w="5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D9A700" w14:textId="77777777" w:rsidR="00050F20" w:rsidRPr="00050F20" w:rsidRDefault="00050F20" w:rsidP="00994027">
            <w:pPr>
              <w:spacing w:line="360" w:lineRule="auto"/>
              <w:contextualSpacing/>
              <w:jc w:val="both"/>
              <w:rPr>
                <w:rFonts w:ascii="Palatino Linotype" w:hAnsi="Palatino Linotype" w:cs="Tahoma"/>
                <w:b/>
                <w:bCs/>
                <w:color w:val="000000"/>
              </w:rPr>
            </w:pPr>
            <w:r w:rsidRPr="00050F20">
              <w:rPr>
                <w:rFonts w:ascii="Palatino Linotype" w:hAnsi="Palatino Linotype" w:cs="Tahoma"/>
                <w:b/>
                <w:bCs/>
                <w:color w:val="000000"/>
              </w:rPr>
              <w:t>Soporte documental</w:t>
            </w:r>
          </w:p>
        </w:tc>
      </w:tr>
      <w:tr w:rsidR="00050F20" w:rsidRPr="00050F20" w14:paraId="600AD3A4" w14:textId="77777777" w:rsidTr="000E1656">
        <w:trPr>
          <w:trHeight w:val="2383"/>
        </w:trPr>
        <w:tc>
          <w:tcPr>
            <w:tcW w:w="1559" w:type="dxa"/>
            <w:tcBorders>
              <w:top w:val="single" w:sz="4" w:space="0" w:color="auto"/>
              <w:left w:val="single" w:sz="4" w:space="0" w:color="auto"/>
              <w:bottom w:val="single" w:sz="4" w:space="0" w:color="auto"/>
              <w:right w:val="single" w:sz="4" w:space="0" w:color="auto"/>
            </w:tcBorders>
            <w:vAlign w:val="center"/>
            <w:hideMark/>
          </w:tcPr>
          <w:p w14:paraId="556F0C26" w14:textId="77777777" w:rsidR="00050F20" w:rsidRPr="00050F20" w:rsidRDefault="00050F20" w:rsidP="00994027">
            <w:pPr>
              <w:spacing w:line="360" w:lineRule="auto"/>
              <w:contextualSpacing/>
              <w:jc w:val="both"/>
              <w:rPr>
                <w:rFonts w:ascii="Palatino Linotype" w:hAnsi="Palatino Linotype" w:cs="Tahoma"/>
                <w:color w:val="000000"/>
              </w:rPr>
            </w:pPr>
            <w:r w:rsidRPr="00050F20">
              <w:rPr>
                <w:rFonts w:ascii="Palatino Linotype" w:hAnsi="Palatino Linotype" w:cs="Tahoma"/>
                <w:color w:val="000000"/>
              </w:rPr>
              <w:t>Adjudicación directa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031EAF1" w14:textId="77777777" w:rsidR="00050F20" w:rsidRPr="00050F20" w:rsidRDefault="00050F20" w:rsidP="00994027">
            <w:pPr>
              <w:spacing w:line="360" w:lineRule="auto"/>
              <w:contextualSpacing/>
              <w:jc w:val="both"/>
              <w:rPr>
                <w:rFonts w:ascii="Palatino Linotype" w:hAnsi="Palatino Linotype" w:cs="Tahoma"/>
                <w:color w:val="000000"/>
              </w:rPr>
            </w:pPr>
            <w:r w:rsidRPr="00050F20">
              <w:rPr>
                <w:rFonts w:ascii="Palatino Linotype" w:hAnsi="Palatino Linotype" w:cs="Tahoma"/>
                <w:color w:val="000000"/>
              </w:rPr>
              <w:t>Ley, Artículos, 24, fracción I, 35, fracciones VII, 36, fracción VI, 37, 38 y 38.</w:t>
            </w:r>
          </w:p>
        </w:tc>
        <w:tc>
          <w:tcPr>
            <w:tcW w:w="5528" w:type="dxa"/>
            <w:vMerge w:val="restart"/>
            <w:tcBorders>
              <w:top w:val="single" w:sz="4" w:space="0" w:color="auto"/>
              <w:left w:val="single" w:sz="4" w:space="0" w:color="auto"/>
              <w:bottom w:val="single" w:sz="4" w:space="0" w:color="auto"/>
              <w:right w:val="single" w:sz="4" w:space="0" w:color="auto"/>
            </w:tcBorders>
            <w:hideMark/>
          </w:tcPr>
          <w:p w14:paraId="360EF0ED" w14:textId="77777777" w:rsidR="00050F20" w:rsidRPr="00050F20" w:rsidRDefault="00050F20" w:rsidP="00994027">
            <w:pPr>
              <w:numPr>
                <w:ilvl w:val="0"/>
                <w:numId w:val="11"/>
              </w:numPr>
              <w:spacing w:line="360" w:lineRule="auto"/>
              <w:ind w:left="459"/>
              <w:contextualSpacing/>
              <w:jc w:val="both"/>
              <w:rPr>
                <w:rFonts w:ascii="Palatino Linotype" w:hAnsi="Palatino Linotype" w:cs="Tahoma"/>
                <w:color w:val="000000"/>
              </w:rPr>
            </w:pPr>
            <w:r w:rsidRPr="00050F20">
              <w:rPr>
                <w:rFonts w:ascii="Palatino Linotype" w:hAnsi="Palatino Linotype" w:cs="Tahoma"/>
                <w:color w:val="000000"/>
              </w:rPr>
              <w:t>Dictamen de excepción al procedimiento de licitación pública.</w:t>
            </w:r>
          </w:p>
          <w:p w14:paraId="763D719C" w14:textId="77777777" w:rsidR="00050F20" w:rsidRPr="00050F20" w:rsidRDefault="00050F20" w:rsidP="00994027">
            <w:pPr>
              <w:numPr>
                <w:ilvl w:val="0"/>
                <w:numId w:val="11"/>
              </w:numPr>
              <w:spacing w:line="360" w:lineRule="auto"/>
              <w:ind w:left="459"/>
              <w:contextualSpacing/>
              <w:jc w:val="both"/>
              <w:rPr>
                <w:rFonts w:ascii="Palatino Linotype" w:hAnsi="Palatino Linotype" w:cs="Tahoma"/>
                <w:color w:val="000000"/>
              </w:rPr>
            </w:pPr>
            <w:r w:rsidRPr="00050F20">
              <w:rPr>
                <w:rFonts w:ascii="Palatino Linotype" w:hAnsi="Palatino Linotype" w:cs="Tahoma"/>
                <w:color w:val="000000"/>
              </w:rPr>
              <w:t>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y;</w:t>
            </w:r>
          </w:p>
          <w:p w14:paraId="2E3C72BF" w14:textId="77777777" w:rsidR="00050F20" w:rsidRPr="00050F20" w:rsidRDefault="00050F20" w:rsidP="00994027">
            <w:pPr>
              <w:numPr>
                <w:ilvl w:val="0"/>
                <w:numId w:val="11"/>
              </w:numPr>
              <w:spacing w:line="360" w:lineRule="auto"/>
              <w:ind w:left="459"/>
              <w:contextualSpacing/>
              <w:jc w:val="both"/>
              <w:rPr>
                <w:rFonts w:ascii="Palatino Linotype" w:hAnsi="Palatino Linotype" w:cs="Tahoma"/>
                <w:color w:val="000000"/>
              </w:rPr>
            </w:pPr>
            <w:r w:rsidRPr="00050F20">
              <w:rPr>
                <w:rFonts w:ascii="Palatino Linotype" w:hAnsi="Palatino Linotype" w:cs="Tahoma"/>
                <w:color w:val="000000"/>
              </w:rPr>
              <w:t>El fallo con base en el dictamen de adjudicación emitido por el comité de adquisiciones y servicios.</w:t>
            </w:r>
          </w:p>
        </w:tc>
      </w:tr>
      <w:tr w:rsidR="00050F20" w:rsidRPr="00050F20" w14:paraId="7C352A4C" w14:textId="77777777" w:rsidTr="000E1656">
        <w:trPr>
          <w:trHeight w:val="616"/>
        </w:trPr>
        <w:tc>
          <w:tcPr>
            <w:tcW w:w="1559" w:type="dxa"/>
            <w:tcBorders>
              <w:top w:val="single" w:sz="4" w:space="0" w:color="auto"/>
              <w:left w:val="single" w:sz="4" w:space="0" w:color="auto"/>
              <w:bottom w:val="single" w:sz="4" w:space="0" w:color="auto"/>
              <w:right w:val="single" w:sz="4" w:space="0" w:color="auto"/>
            </w:tcBorders>
            <w:vAlign w:val="center"/>
            <w:hideMark/>
          </w:tcPr>
          <w:p w14:paraId="1A6614A5" w14:textId="77777777" w:rsidR="00050F20" w:rsidRPr="00050F20" w:rsidRDefault="00050F20" w:rsidP="00994027">
            <w:pPr>
              <w:spacing w:line="360" w:lineRule="auto"/>
              <w:contextualSpacing/>
              <w:jc w:val="both"/>
              <w:rPr>
                <w:rFonts w:ascii="Palatino Linotype" w:hAnsi="Palatino Linotype" w:cs="Tahoma"/>
                <w:color w:val="000000"/>
              </w:rPr>
            </w:pPr>
            <w:r w:rsidRPr="00050F20">
              <w:rPr>
                <w:rFonts w:ascii="Palatino Linotype" w:hAnsi="Palatino Linotype" w:cs="Tahoma"/>
                <w:color w:val="000000"/>
              </w:rPr>
              <w:t xml:space="preserve">Invitación restringida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2BE27" w14:textId="77777777" w:rsidR="00050F20" w:rsidRPr="00050F20" w:rsidRDefault="00050F20" w:rsidP="00994027">
            <w:pPr>
              <w:spacing w:line="360" w:lineRule="auto"/>
              <w:contextualSpacing/>
              <w:jc w:val="both"/>
              <w:rPr>
                <w:rFonts w:ascii="Palatino Linotype" w:hAnsi="Palatino Linotype" w:cs="Tahom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5D190" w14:textId="77777777" w:rsidR="00050F20" w:rsidRPr="00050F20" w:rsidRDefault="00050F20" w:rsidP="00994027">
            <w:pPr>
              <w:spacing w:line="360" w:lineRule="auto"/>
              <w:contextualSpacing/>
              <w:jc w:val="both"/>
              <w:rPr>
                <w:rFonts w:ascii="Palatino Linotype" w:hAnsi="Palatino Linotype" w:cs="Tahoma"/>
                <w:color w:val="000000"/>
              </w:rPr>
            </w:pPr>
          </w:p>
        </w:tc>
      </w:tr>
      <w:tr w:rsidR="00050F20" w:rsidRPr="00050F20" w14:paraId="3B112EC8" w14:textId="77777777" w:rsidTr="000E1656">
        <w:tc>
          <w:tcPr>
            <w:tcW w:w="1559" w:type="dxa"/>
            <w:tcBorders>
              <w:top w:val="single" w:sz="4" w:space="0" w:color="auto"/>
              <w:left w:val="single" w:sz="4" w:space="0" w:color="auto"/>
              <w:bottom w:val="single" w:sz="4" w:space="0" w:color="auto"/>
              <w:right w:val="single" w:sz="4" w:space="0" w:color="auto"/>
            </w:tcBorders>
            <w:vAlign w:val="center"/>
            <w:hideMark/>
          </w:tcPr>
          <w:p w14:paraId="1EA48D2A" w14:textId="77777777" w:rsidR="00050F20" w:rsidRPr="00050F20" w:rsidRDefault="00050F20" w:rsidP="00994027">
            <w:pPr>
              <w:spacing w:line="360" w:lineRule="auto"/>
              <w:contextualSpacing/>
              <w:jc w:val="both"/>
              <w:rPr>
                <w:rFonts w:ascii="Palatino Linotype" w:hAnsi="Palatino Linotype" w:cs="Tahoma"/>
                <w:color w:val="000000"/>
              </w:rPr>
            </w:pPr>
            <w:r w:rsidRPr="00050F20">
              <w:rPr>
                <w:rFonts w:ascii="Palatino Linotype" w:hAnsi="Palatino Linotype" w:cs="Tahoma"/>
                <w:color w:val="000000"/>
              </w:rPr>
              <w:t>Procedimiento de licitación pública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C838EF" w14:textId="77777777" w:rsidR="00050F20" w:rsidRPr="00050F20" w:rsidRDefault="00050F20" w:rsidP="00994027">
            <w:pPr>
              <w:spacing w:line="360" w:lineRule="auto"/>
              <w:contextualSpacing/>
              <w:jc w:val="both"/>
              <w:rPr>
                <w:rFonts w:ascii="Palatino Linotype" w:hAnsi="Palatino Linotype" w:cs="Tahoma"/>
                <w:color w:val="000000"/>
              </w:rPr>
            </w:pPr>
            <w:r w:rsidRPr="00050F20">
              <w:rPr>
                <w:rFonts w:ascii="Palatino Linotype" w:hAnsi="Palatino Linotype" w:cs="Tahoma"/>
                <w:color w:val="000000"/>
              </w:rPr>
              <w:t>Reglamento, artículo 67</w:t>
            </w:r>
          </w:p>
        </w:tc>
        <w:tc>
          <w:tcPr>
            <w:tcW w:w="5528" w:type="dxa"/>
            <w:tcBorders>
              <w:top w:val="single" w:sz="4" w:space="0" w:color="auto"/>
              <w:left w:val="single" w:sz="4" w:space="0" w:color="auto"/>
              <w:bottom w:val="single" w:sz="4" w:space="0" w:color="auto"/>
              <w:right w:val="single" w:sz="4" w:space="0" w:color="auto"/>
            </w:tcBorders>
            <w:hideMark/>
          </w:tcPr>
          <w:p w14:paraId="013CF6E7" w14:textId="77777777" w:rsidR="00050F20" w:rsidRPr="00050F20" w:rsidRDefault="00050F20" w:rsidP="00994027">
            <w:pPr>
              <w:spacing w:line="360" w:lineRule="auto"/>
              <w:contextualSpacing/>
              <w:jc w:val="both"/>
              <w:rPr>
                <w:rFonts w:ascii="Palatino Linotype" w:hAnsi="Palatino Linotype" w:cs="Tahoma"/>
                <w:color w:val="000000"/>
              </w:rPr>
            </w:pPr>
            <w:r w:rsidRPr="00050F20">
              <w:rPr>
                <w:rFonts w:ascii="Palatino Linotype" w:hAnsi="Palatino Linotype" w:cs="Tahoma"/>
                <w:color w:val="000000"/>
              </w:rPr>
              <w:t xml:space="preserve">Fases del procedimiento: </w:t>
            </w:r>
          </w:p>
          <w:p w14:paraId="1AD8B9BD"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Publicación de la convocatoria;</w:t>
            </w:r>
          </w:p>
          <w:p w14:paraId="075A3585"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Venta de las bases de licitación;</w:t>
            </w:r>
          </w:p>
          <w:p w14:paraId="2AC3F497"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Visita, en su caso, al sitio donde se vayan a suministrar los bienes o a prestar los servicios;</w:t>
            </w:r>
          </w:p>
          <w:p w14:paraId="3A8B08B4"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Junta de aclaraciones, en su caso;</w:t>
            </w:r>
          </w:p>
          <w:p w14:paraId="02D9BA4C"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Acto de presentación y apertura de propuestas;</w:t>
            </w:r>
          </w:p>
          <w:p w14:paraId="75CCA9C2"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Análisis y evaluación de propuestas;</w:t>
            </w:r>
          </w:p>
          <w:p w14:paraId="47996181"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Dictamen de adjudicación;</w:t>
            </w:r>
          </w:p>
          <w:p w14:paraId="623E5D2A"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Fallo;</w:t>
            </w:r>
          </w:p>
          <w:p w14:paraId="0D890328"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t>Suscripción del contrato; y</w:t>
            </w:r>
          </w:p>
          <w:p w14:paraId="5C4AC269" w14:textId="77777777" w:rsidR="00050F20" w:rsidRPr="00050F20" w:rsidRDefault="00050F20" w:rsidP="00994027">
            <w:pPr>
              <w:numPr>
                <w:ilvl w:val="0"/>
                <w:numId w:val="12"/>
              </w:numPr>
              <w:spacing w:line="360" w:lineRule="auto"/>
              <w:contextualSpacing/>
              <w:jc w:val="both"/>
              <w:rPr>
                <w:rFonts w:ascii="Palatino Linotype" w:hAnsi="Palatino Linotype"/>
                <w:color w:val="000000"/>
              </w:rPr>
            </w:pPr>
            <w:r w:rsidRPr="00050F20">
              <w:rPr>
                <w:rFonts w:ascii="Palatino Linotype" w:hAnsi="Palatino Linotype"/>
                <w:color w:val="000000"/>
              </w:rPr>
              <w:lastRenderedPageBreak/>
              <w:t>Suministro de los bienes o inicio de la prestación del servicio.</w:t>
            </w:r>
          </w:p>
        </w:tc>
      </w:tr>
    </w:tbl>
    <w:p w14:paraId="1D3C7311" w14:textId="77777777" w:rsidR="00050F20" w:rsidRPr="00050F20" w:rsidRDefault="00050F20" w:rsidP="00994027">
      <w:pPr>
        <w:spacing w:line="360" w:lineRule="auto"/>
        <w:contextualSpacing/>
        <w:jc w:val="both"/>
        <w:rPr>
          <w:rFonts w:ascii="Palatino Linotype" w:eastAsia="Calibri" w:hAnsi="Palatino Linotype"/>
          <w:color w:val="000000"/>
          <w:sz w:val="22"/>
          <w:szCs w:val="22"/>
        </w:rPr>
      </w:pPr>
    </w:p>
    <w:p w14:paraId="1A382EDD" w14:textId="7E7ACB84" w:rsidR="00050F20" w:rsidRPr="00050F20" w:rsidRDefault="00050F20" w:rsidP="00994027">
      <w:pPr>
        <w:spacing w:line="360" w:lineRule="auto"/>
        <w:contextualSpacing/>
        <w:jc w:val="both"/>
        <w:rPr>
          <w:rFonts w:ascii="Palatino Linotype" w:eastAsia="Calibri" w:hAnsi="Palatino Linotype" w:cs="Tahoma"/>
          <w:iCs/>
          <w:color w:val="000000"/>
          <w:sz w:val="22"/>
          <w:szCs w:val="22"/>
        </w:rPr>
      </w:pPr>
      <w:r w:rsidRPr="00050F20">
        <w:rPr>
          <w:rFonts w:ascii="Palatino Linotype" w:eastAsia="Calibri" w:hAnsi="Palatino Linotype" w:cs="Tahoma"/>
          <w:color w:val="000000"/>
          <w:sz w:val="22"/>
          <w:szCs w:val="22"/>
          <w:lang w:val="es-ES"/>
        </w:rPr>
        <w:t xml:space="preserve">Así mismo, el artículo 92, fracción XXIX, de la Ley de Transparencia y Acceso a la Información Pública del Estado de México y Municipios, </w:t>
      </w:r>
      <w:r w:rsidRPr="00050F20">
        <w:rPr>
          <w:rFonts w:ascii="Palatino Linotype" w:eastAsia="Calibri" w:hAnsi="Palatino Linotype" w:cs="Tahoma"/>
          <w:iCs/>
          <w:color w:val="000000"/>
          <w:sz w:val="22"/>
          <w:szCs w:val="22"/>
        </w:rPr>
        <w:t xml:space="preserve">precisa que es </w:t>
      </w:r>
      <w:r w:rsidRPr="00050F20">
        <w:rPr>
          <w:rFonts w:ascii="Palatino Linotype" w:eastAsia="Calibri" w:hAnsi="Palatino Linotype" w:cs="Tahoma"/>
          <w:b/>
          <w:iCs/>
          <w:color w:val="000000"/>
          <w:sz w:val="22"/>
          <w:szCs w:val="22"/>
        </w:rPr>
        <w:t xml:space="preserve">información que es pública de oficio, </w:t>
      </w:r>
      <w:r w:rsidRPr="00050F20">
        <w:rPr>
          <w:rFonts w:ascii="Palatino Linotype" w:eastAsia="Calibri" w:hAnsi="Palatino Linotype" w:cs="Tahoma"/>
          <w:iCs/>
          <w:color w:val="000000"/>
          <w:sz w:val="22"/>
          <w:szCs w:val="22"/>
        </w:rPr>
        <w:t>la</w:t>
      </w:r>
      <w:r w:rsidRPr="00050F20">
        <w:rPr>
          <w:rFonts w:ascii="Palatino Linotype" w:eastAsia="Calibri" w:hAnsi="Palatino Linotype" w:cs="Tahoma"/>
          <w:b/>
          <w:iCs/>
          <w:color w:val="000000"/>
          <w:sz w:val="22"/>
          <w:szCs w:val="22"/>
        </w:rPr>
        <w:t xml:space="preserve"> </w:t>
      </w:r>
      <w:r w:rsidRPr="00050F20">
        <w:rPr>
          <w:rFonts w:ascii="Palatino Linotype" w:eastAsia="Calibri" w:hAnsi="Palatino Linotype" w:cs="Tahoma"/>
          <w:iCs/>
          <w:color w:val="000000"/>
          <w:sz w:val="22"/>
          <w:szCs w:val="22"/>
        </w:rPr>
        <w:t xml:space="preserve">documentación sobre los procesos y resultados sobre procedimientos de adjudicación directa, invitación restringida y licitación de pública, </w:t>
      </w:r>
      <w:r w:rsidRPr="00050F20">
        <w:rPr>
          <w:rFonts w:ascii="Palatino Linotype" w:eastAsia="Calibri" w:hAnsi="Palatino Linotype" w:cs="Tahoma"/>
          <w:b/>
          <w:iCs/>
          <w:color w:val="000000"/>
          <w:sz w:val="22"/>
          <w:szCs w:val="22"/>
        </w:rPr>
        <w:t>que incluye la versión pública del expediente respectivo y de los contratos celebrados,</w:t>
      </w:r>
      <w:r w:rsidRPr="00050F20">
        <w:rPr>
          <w:rFonts w:ascii="Palatino Linotype" w:eastAsia="Calibri" w:hAnsi="Palatino Linotype" w:cs="Tahoma"/>
          <w:iCs/>
          <w:color w:val="000000"/>
          <w:sz w:val="22"/>
          <w:szCs w:val="22"/>
        </w:rPr>
        <w:t xml:space="preserve"> a saber, la siguiente:</w:t>
      </w:r>
    </w:p>
    <w:p w14:paraId="786A8416" w14:textId="77777777" w:rsidR="00050F20" w:rsidRPr="00050F20" w:rsidRDefault="00050F20" w:rsidP="00994027">
      <w:pPr>
        <w:spacing w:line="360" w:lineRule="auto"/>
        <w:ind w:right="-93"/>
        <w:contextualSpacing/>
        <w:jc w:val="both"/>
        <w:rPr>
          <w:rFonts w:ascii="Palatino Linotype" w:eastAsia="Calibri" w:hAnsi="Palatino Linotype" w:cs="Tahoma"/>
          <w:iCs/>
          <w:color w:val="000000"/>
          <w:sz w:val="22"/>
          <w:szCs w:val="22"/>
          <w:lang w:val="es-ES"/>
        </w:rPr>
      </w:pPr>
    </w:p>
    <w:tbl>
      <w:tblPr>
        <w:tblStyle w:val="Tablaconcuadrcula1"/>
        <w:tblW w:w="0" w:type="auto"/>
        <w:tblInd w:w="0" w:type="dxa"/>
        <w:tblLook w:val="04A0" w:firstRow="1" w:lastRow="0" w:firstColumn="1" w:lastColumn="0" w:noHBand="0" w:noVBand="1"/>
      </w:tblPr>
      <w:tblGrid>
        <w:gridCol w:w="2943"/>
        <w:gridCol w:w="2942"/>
        <w:gridCol w:w="2943"/>
      </w:tblGrid>
      <w:tr w:rsidR="00050F20" w:rsidRPr="00050F20" w14:paraId="1749CAB6" w14:textId="77777777" w:rsidTr="000E1656">
        <w:tc>
          <w:tcPr>
            <w:tcW w:w="3011" w:type="dxa"/>
            <w:tcBorders>
              <w:top w:val="single" w:sz="4" w:space="0" w:color="auto"/>
              <w:left w:val="single" w:sz="4" w:space="0" w:color="auto"/>
              <w:bottom w:val="single" w:sz="4" w:space="0" w:color="auto"/>
              <w:right w:val="single" w:sz="4" w:space="0" w:color="auto"/>
            </w:tcBorders>
            <w:shd w:val="clear" w:color="auto" w:fill="D9D9D9"/>
            <w:hideMark/>
          </w:tcPr>
          <w:p w14:paraId="295A3BDA" w14:textId="77777777" w:rsidR="00050F20" w:rsidRPr="00050F20" w:rsidRDefault="00050F20" w:rsidP="00994027">
            <w:pPr>
              <w:spacing w:line="360" w:lineRule="auto"/>
              <w:ind w:right="-93"/>
              <w:contextualSpacing/>
              <w:jc w:val="both"/>
              <w:rPr>
                <w:rFonts w:ascii="Palatino Linotype" w:hAnsi="Palatino Linotype" w:cs="Tahoma"/>
                <w:b/>
                <w:iCs/>
                <w:color w:val="000000"/>
                <w:lang w:eastAsia="es-ES_tradnl"/>
              </w:rPr>
            </w:pPr>
            <w:r w:rsidRPr="00050F20">
              <w:rPr>
                <w:rFonts w:ascii="Palatino Linotype" w:hAnsi="Palatino Linotype" w:cs="Tahoma"/>
                <w:b/>
                <w:iCs/>
                <w:color w:val="000000"/>
                <w:lang w:eastAsia="es-ES_tradnl"/>
              </w:rPr>
              <w:t>Licitación Pública</w:t>
            </w:r>
          </w:p>
        </w:tc>
        <w:tc>
          <w:tcPr>
            <w:tcW w:w="3011" w:type="dxa"/>
            <w:tcBorders>
              <w:top w:val="single" w:sz="4" w:space="0" w:color="auto"/>
              <w:left w:val="single" w:sz="4" w:space="0" w:color="auto"/>
              <w:bottom w:val="single" w:sz="4" w:space="0" w:color="auto"/>
              <w:right w:val="single" w:sz="4" w:space="0" w:color="auto"/>
            </w:tcBorders>
            <w:shd w:val="clear" w:color="auto" w:fill="D9D9D9"/>
            <w:hideMark/>
          </w:tcPr>
          <w:p w14:paraId="05B6D76A" w14:textId="77777777" w:rsidR="00050F20" w:rsidRPr="00050F20" w:rsidRDefault="00050F20" w:rsidP="00994027">
            <w:pPr>
              <w:spacing w:line="360" w:lineRule="auto"/>
              <w:ind w:right="-93"/>
              <w:contextualSpacing/>
              <w:jc w:val="both"/>
              <w:rPr>
                <w:rFonts w:ascii="Palatino Linotype" w:hAnsi="Palatino Linotype" w:cs="Tahoma"/>
                <w:b/>
                <w:iCs/>
                <w:color w:val="000000"/>
                <w:lang w:eastAsia="es-ES_tradnl"/>
              </w:rPr>
            </w:pPr>
            <w:r w:rsidRPr="00050F20">
              <w:rPr>
                <w:rFonts w:ascii="Palatino Linotype" w:hAnsi="Palatino Linotype" w:cs="Tahoma"/>
                <w:b/>
                <w:iCs/>
                <w:color w:val="000000"/>
                <w:lang w:eastAsia="es-ES_tradnl"/>
              </w:rPr>
              <w:t>Invitación Restringida</w:t>
            </w:r>
          </w:p>
        </w:tc>
        <w:tc>
          <w:tcPr>
            <w:tcW w:w="3012" w:type="dxa"/>
            <w:tcBorders>
              <w:top w:val="single" w:sz="4" w:space="0" w:color="auto"/>
              <w:left w:val="single" w:sz="4" w:space="0" w:color="auto"/>
              <w:bottom w:val="single" w:sz="4" w:space="0" w:color="auto"/>
              <w:right w:val="single" w:sz="4" w:space="0" w:color="auto"/>
            </w:tcBorders>
            <w:shd w:val="clear" w:color="auto" w:fill="D9D9D9"/>
            <w:hideMark/>
          </w:tcPr>
          <w:p w14:paraId="5272C058" w14:textId="77777777" w:rsidR="00050F20" w:rsidRPr="00050F20" w:rsidRDefault="00050F20" w:rsidP="00994027">
            <w:pPr>
              <w:spacing w:line="360" w:lineRule="auto"/>
              <w:ind w:right="-93"/>
              <w:contextualSpacing/>
              <w:jc w:val="both"/>
              <w:rPr>
                <w:rFonts w:ascii="Palatino Linotype" w:hAnsi="Palatino Linotype" w:cs="Tahoma"/>
                <w:b/>
                <w:iCs/>
                <w:color w:val="000000"/>
                <w:lang w:eastAsia="es-ES_tradnl"/>
              </w:rPr>
            </w:pPr>
            <w:r w:rsidRPr="00050F20">
              <w:rPr>
                <w:rFonts w:ascii="Palatino Linotype" w:hAnsi="Palatino Linotype" w:cs="Tahoma"/>
                <w:b/>
                <w:iCs/>
                <w:color w:val="000000"/>
                <w:lang w:eastAsia="es-ES_tradnl"/>
              </w:rPr>
              <w:t>Adjudicación Directa</w:t>
            </w:r>
          </w:p>
        </w:tc>
      </w:tr>
      <w:tr w:rsidR="00050F20" w:rsidRPr="00050F20" w14:paraId="2CAE7220"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04F25A53"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Convocatoria y fundamentos legales</w:t>
            </w:r>
          </w:p>
        </w:tc>
        <w:tc>
          <w:tcPr>
            <w:tcW w:w="3011" w:type="dxa"/>
            <w:tcBorders>
              <w:top w:val="single" w:sz="4" w:space="0" w:color="auto"/>
              <w:left w:val="single" w:sz="4" w:space="0" w:color="auto"/>
              <w:bottom w:val="single" w:sz="4" w:space="0" w:color="auto"/>
              <w:right w:val="single" w:sz="4" w:space="0" w:color="auto"/>
            </w:tcBorders>
            <w:hideMark/>
          </w:tcPr>
          <w:p w14:paraId="607FCA16"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Invitación y fundamentos legales</w:t>
            </w:r>
          </w:p>
        </w:tc>
        <w:tc>
          <w:tcPr>
            <w:tcW w:w="3012" w:type="dxa"/>
            <w:tcBorders>
              <w:top w:val="single" w:sz="4" w:space="0" w:color="auto"/>
              <w:left w:val="single" w:sz="4" w:space="0" w:color="auto"/>
              <w:bottom w:val="single" w:sz="4" w:space="0" w:color="auto"/>
              <w:right w:val="single" w:sz="4" w:space="0" w:color="auto"/>
            </w:tcBorders>
            <w:hideMark/>
          </w:tcPr>
          <w:p w14:paraId="2178A714"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Propuesta enviada por el participante</w:t>
            </w:r>
          </w:p>
        </w:tc>
      </w:tr>
      <w:tr w:rsidR="00050F20" w:rsidRPr="00050F20" w14:paraId="340B1D2F"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3B5CF085"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 los participantes</w:t>
            </w:r>
          </w:p>
        </w:tc>
        <w:tc>
          <w:tcPr>
            <w:tcW w:w="3011" w:type="dxa"/>
            <w:tcBorders>
              <w:top w:val="single" w:sz="4" w:space="0" w:color="auto"/>
              <w:left w:val="single" w:sz="4" w:space="0" w:color="auto"/>
              <w:bottom w:val="single" w:sz="4" w:space="0" w:color="auto"/>
              <w:right w:val="single" w:sz="4" w:space="0" w:color="auto"/>
            </w:tcBorders>
            <w:hideMark/>
          </w:tcPr>
          <w:p w14:paraId="7783EF50"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 los invitados</w:t>
            </w:r>
          </w:p>
        </w:tc>
        <w:tc>
          <w:tcPr>
            <w:tcW w:w="3012" w:type="dxa"/>
            <w:tcBorders>
              <w:top w:val="single" w:sz="4" w:space="0" w:color="auto"/>
              <w:left w:val="single" w:sz="4" w:space="0" w:color="auto"/>
              <w:bottom w:val="single" w:sz="4" w:space="0" w:color="auto"/>
              <w:right w:val="single" w:sz="4" w:space="0" w:color="auto"/>
            </w:tcBorders>
            <w:hideMark/>
          </w:tcPr>
          <w:p w14:paraId="1B80B777"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Motivos y fundamentos legales aplicados para llevar a cabo la adjudicación</w:t>
            </w:r>
          </w:p>
        </w:tc>
      </w:tr>
      <w:tr w:rsidR="00050F20" w:rsidRPr="00050F20" w14:paraId="228E31EE"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296B5C75"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del ganador y razones que lo justifican</w:t>
            </w:r>
          </w:p>
        </w:tc>
        <w:tc>
          <w:tcPr>
            <w:tcW w:w="3011" w:type="dxa"/>
            <w:tcBorders>
              <w:top w:val="single" w:sz="4" w:space="0" w:color="auto"/>
              <w:left w:val="single" w:sz="4" w:space="0" w:color="auto"/>
              <w:bottom w:val="single" w:sz="4" w:space="0" w:color="auto"/>
              <w:right w:val="single" w:sz="4" w:space="0" w:color="auto"/>
            </w:tcBorders>
            <w:hideMark/>
          </w:tcPr>
          <w:p w14:paraId="16C6B9D1"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del ganador y razones que lo justifican</w:t>
            </w:r>
          </w:p>
        </w:tc>
        <w:tc>
          <w:tcPr>
            <w:tcW w:w="3012" w:type="dxa"/>
            <w:tcBorders>
              <w:top w:val="single" w:sz="4" w:space="0" w:color="auto"/>
              <w:left w:val="single" w:sz="4" w:space="0" w:color="auto"/>
              <w:bottom w:val="single" w:sz="4" w:space="0" w:color="auto"/>
              <w:right w:val="single" w:sz="4" w:space="0" w:color="auto"/>
            </w:tcBorders>
            <w:hideMark/>
          </w:tcPr>
          <w:p w14:paraId="60D33B13"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Autorización del ejercicio de la opción</w:t>
            </w:r>
          </w:p>
        </w:tc>
      </w:tr>
      <w:tr w:rsidR="00050F20" w:rsidRPr="00050F20" w14:paraId="04670486"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441E2BC3"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unidad administrativa solicitante y responsable de la ejecución</w:t>
            </w:r>
          </w:p>
        </w:tc>
        <w:tc>
          <w:tcPr>
            <w:tcW w:w="3011" w:type="dxa"/>
            <w:tcBorders>
              <w:top w:val="single" w:sz="4" w:space="0" w:color="auto"/>
              <w:left w:val="single" w:sz="4" w:space="0" w:color="auto"/>
              <w:bottom w:val="single" w:sz="4" w:space="0" w:color="auto"/>
              <w:right w:val="single" w:sz="4" w:space="0" w:color="auto"/>
            </w:tcBorders>
            <w:hideMark/>
          </w:tcPr>
          <w:p w14:paraId="5481A970"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unidad administrativa solicitante y responsable de la ejecución</w:t>
            </w:r>
          </w:p>
        </w:tc>
        <w:tc>
          <w:tcPr>
            <w:tcW w:w="3012" w:type="dxa"/>
            <w:tcBorders>
              <w:top w:val="single" w:sz="4" w:space="0" w:color="auto"/>
              <w:left w:val="single" w:sz="4" w:space="0" w:color="auto"/>
              <w:bottom w:val="single" w:sz="4" w:space="0" w:color="auto"/>
              <w:right w:val="single" w:sz="4" w:space="0" w:color="auto"/>
            </w:tcBorders>
            <w:hideMark/>
          </w:tcPr>
          <w:p w14:paraId="0D4E001D"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Cotizaciones consideradas, especificando el nombre de los proveedores y sus montos</w:t>
            </w:r>
          </w:p>
        </w:tc>
      </w:tr>
      <w:tr w:rsidR="00050F20" w:rsidRPr="00050F20" w14:paraId="6159111E"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7F252DB1"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Convocatorias emitidas</w:t>
            </w:r>
          </w:p>
        </w:tc>
        <w:tc>
          <w:tcPr>
            <w:tcW w:w="3011" w:type="dxa"/>
            <w:tcBorders>
              <w:top w:val="single" w:sz="4" w:space="0" w:color="auto"/>
              <w:left w:val="single" w:sz="4" w:space="0" w:color="auto"/>
              <w:bottom w:val="single" w:sz="4" w:space="0" w:color="auto"/>
              <w:right w:val="single" w:sz="4" w:space="0" w:color="auto"/>
            </w:tcBorders>
            <w:hideMark/>
          </w:tcPr>
          <w:p w14:paraId="5056D52A"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Invitaciones emitidas</w:t>
            </w:r>
          </w:p>
        </w:tc>
        <w:tc>
          <w:tcPr>
            <w:tcW w:w="3012" w:type="dxa"/>
            <w:tcBorders>
              <w:top w:val="single" w:sz="4" w:space="0" w:color="auto"/>
              <w:left w:val="single" w:sz="4" w:space="0" w:color="auto"/>
              <w:bottom w:val="single" w:sz="4" w:space="0" w:color="auto"/>
              <w:right w:val="single" w:sz="4" w:space="0" w:color="auto"/>
            </w:tcBorders>
            <w:hideMark/>
          </w:tcPr>
          <w:p w14:paraId="2E3C7B75"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 la persona física o jurídica colectiva adjudicada</w:t>
            </w:r>
          </w:p>
        </w:tc>
      </w:tr>
      <w:tr w:rsidR="00050F20" w:rsidRPr="00050F20" w14:paraId="7323596F"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30F28F08"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Dictámenes y fallos</w:t>
            </w:r>
          </w:p>
        </w:tc>
        <w:tc>
          <w:tcPr>
            <w:tcW w:w="3011" w:type="dxa"/>
            <w:tcBorders>
              <w:top w:val="single" w:sz="4" w:space="0" w:color="auto"/>
              <w:left w:val="single" w:sz="4" w:space="0" w:color="auto"/>
              <w:bottom w:val="single" w:sz="4" w:space="0" w:color="auto"/>
              <w:right w:val="single" w:sz="4" w:space="0" w:color="auto"/>
            </w:tcBorders>
            <w:hideMark/>
          </w:tcPr>
          <w:p w14:paraId="6465E54B"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Dictámenes y fallos</w:t>
            </w:r>
          </w:p>
        </w:tc>
        <w:tc>
          <w:tcPr>
            <w:tcW w:w="3012" w:type="dxa"/>
            <w:tcBorders>
              <w:top w:val="single" w:sz="4" w:space="0" w:color="auto"/>
              <w:left w:val="single" w:sz="4" w:space="0" w:color="auto"/>
              <w:bottom w:val="single" w:sz="4" w:space="0" w:color="auto"/>
              <w:right w:val="single" w:sz="4" w:space="0" w:color="auto"/>
            </w:tcBorders>
            <w:hideMark/>
          </w:tcPr>
          <w:p w14:paraId="341A61B6"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unidad administrativa solicitante y responsable de la ejecución</w:t>
            </w:r>
          </w:p>
        </w:tc>
      </w:tr>
      <w:tr w:rsidR="00050F20" w:rsidRPr="00050F20" w14:paraId="2278A544"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2E2ADAC1"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Contrato y anexos</w:t>
            </w:r>
          </w:p>
        </w:tc>
        <w:tc>
          <w:tcPr>
            <w:tcW w:w="3011" w:type="dxa"/>
            <w:tcBorders>
              <w:top w:val="single" w:sz="4" w:space="0" w:color="auto"/>
              <w:left w:val="single" w:sz="4" w:space="0" w:color="auto"/>
              <w:bottom w:val="single" w:sz="4" w:space="0" w:color="auto"/>
              <w:right w:val="single" w:sz="4" w:space="0" w:color="auto"/>
            </w:tcBorders>
            <w:hideMark/>
          </w:tcPr>
          <w:p w14:paraId="3D16F974"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Contrato y anexos</w:t>
            </w:r>
          </w:p>
        </w:tc>
        <w:tc>
          <w:tcPr>
            <w:tcW w:w="3012" w:type="dxa"/>
            <w:tcBorders>
              <w:top w:val="single" w:sz="4" w:space="0" w:color="auto"/>
              <w:left w:val="single" w:sz="4" w:space="0" w:color="auto"/>
              <w:bottom w:val="single" w:sz="4" w:space="0" w:color="auto"/>
              <w:right w:val="single" w:sz="4" w:space="0" w:color="auto"/>
            </w:tcBorders>
            <w:hideMark/>
          </w:tcPr>
          <w:p w14:paraId="356C9ABA"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 xml:space="preserve">Número, fecha, monto del contrato, el plazo de entrega o </w:t>
            </w:r>
            <w:r w:rsidRPr="00050F20">
              <w:rPr>
                <w:rFonts w:ascii="Palatino Linotype" w:hAnsi="Palatino Linotype" w:cs="Tahoma"/>
                <w:iCs/>
                <w:color w:val="000000"/>
                <w:lang w:eastAsia="es-ES_tradnl"/>
              </w:rPr>
              <w:lastRenderedPageBreak/>
              <w:t>de ejecución de los servicios de obra.</w:t>
            </w:r>
          </w:p>
        </w:tc>
      </w:tr>
      <w:tr w:rsidR="00050F20" w:rsidRPr="00050F20" w14:paraId="2BEA822A"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0968F76D"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lastRenderedPageBreak/>
              <w:t>Los mecanismos de vigilancia y supervisión</w:t>
            </w:r>
          </w:p>
        </w:tc>
        <w:tc>
          <w:tcPr>
            <w:tcW w:w="3011" w:type="dxa"/>
            <w:tcBorders>
              <w:top w:val="single" w:sz="4" w:space="0" w:color="auto"/>
              <w:left w:val="single" w:sz="4" w:space="0" w:color="auto"/>
              <w:bottom w:val="single" w:sz="4" w:space="0" w:color="auto"/>
              <w:right w:val="single" w:sz="4" w:space="0" w:color="auto"/>
            </w:tcBorders>
            <w:hideMark/>
          </w:tcPr>
          <w:p w14:paraId="1AE8BC49"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Los mecanismos de vigilancia y supervisión</w:t>
            </w:r>
          </w:p>
        </w:tc>
        <w:tc>
          <w:tcPr>
            <w:tcW w:w="3012" w:type="dxa"/>
            <w:tcBorders>
              <w:top w:val="single" w:sz="4" w:space="0" w:color="auto"/>
              <w:left w:val="single" w:sz="4" w:space="0" w:color="auto"/>
              <w:bottom w:val="single" w:sz="4" w:space="0" w:color="auto"/>
              <w:right w:val="single" w:sz="4" w:space="0" w:color="auto"/>
            </w:tcBorders>
            <w:hideMark/>
          </w:tcPr>
          <w:p w14:paraId="6D8BEC06"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Los mecanismos de vigilancia y supervisión</w:t>
            </w:r>
          </w:p>
        </w:tc>
      </w:tr>
      <w:tr w:rsidR="00050F20" w:rsidRPr="00050F20" w14:paraId="709ADE3D"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5E9052F5"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partida presupuestal</w:t>
            </w:r>
          </w:p>
        </w:tc>
        <w:tc>
          <w:tcPr>
            <w:tcW w:w="3011" w:type="dxa"/>
            <w:tcBorders>
              <w:top w:val="single" w:sz="4" w:space="0" w:color="auto"/>
              <w:left w:val="single" w:sz="4" w:space="0" w:color="auto"/>
              <w:bottom w:val="single" w:sz="4" w:space="0" w:color="auto"/>
              <w:right w:val="single" w:sz="4" w:space="0" w:color="auto"/>
            </w:tcBorders>
            <w:hideMark/>
          </w:tcPr>
          <w:p w14:paraId="61CB68B4"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partida presupuestal</w:t>
            </w:r>
          </w:p>
        </w:tc>
        <w:tc>
          <w:tcPr>
            <w:tcW w:w="3012" w:type="dxa"/>
            <w:tcBorders>
              <w:top w:val="single" w:sz="4" w:space="0" w:color="auto"/>
              <w:left w:val="single" w:sz="4" w:space="0" w:color="auto"/>
              <w:bottom w:val="single" w:sz="4" w:space="0" w:color="auto"/>
              <w:right w:val="single" w:sz="4" w:space="0" w:color="auto"/>
            </w:tcBorders>
            <w:hideMark/>
          </w:tcPr>
          <w:p w14:paraId="537CAA37"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Informes de avances físicos y financieros</w:t>
            </w:r>
          </w:p>
        </w:tc>
      </w:tr>
      <w:tr w:rsidR="00050F20" w:rsidRPr="00050F20" w14:paraId="24FBBC2D"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004CB756"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Origen de los recursos, así como el tipo de fondo de participación o aportación respectiva</w:t>
            </w:r>
          </w:p>
        </w:tc>
        <w:tc>
          <w:tcPr>
            <w:tcW w:w="3011" w:type="dxa"/>
            <w:tcBorders>
              <w:top w:val="single" w:sz="4" w:space="0" w:color="auto"/>
              <w:left w:val="single" w:sz="4" w:space="0" w:color="auto"/>
              <w:bottom w:val="single" w:sz="4" w:space="0" w:color="auto"/>
              <w:right w:val="single" w:sz="4" w:space="0" w:color="auto"/>
            </w:tcBorders>
            <w:hideMark/>
          </w:tcPr>
          <w:p w14:paraId="1A220462"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Origen de los recursos, así como el tipo de fondo de participación o aportación respectiva</w:t>
            </w:r>
          </w:p>
        </w:tc>
        <w:tc>
          <w:tcPr>
            <w:tcW w:w="3012" w:type="dxa"/>
            <w:tcBorders>
              <w:top w:val="single" w:sz="4" w:space="0" w:color="auto"/>
              <w:left w:val="single" w:sz="4" w:space="0" w:color="auto"/>
              <w:bottom w:val="single" w:sz="4" w:space="0" w:color="auto"/>
              <w:right w:val="single" w:sz="4" w:space="0" w:color="auto"/>
            </w:tcBorders>
            <w:hideMark/>
          </w:tcPr>
          <w:p w14:paraId="260EE88A"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Convenio de terminación</w:t>
            </w:r>
          </w:p>
        </w:tc>
      </w:tr>
      <w:tr w:rsidR="00050F20" w:rsidRPr="00050F20" w14:paraId="7F830CD9"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686EBF52"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Convenios modificatorios</w:t>
            </w:r>
          </w:p>
        </w:tc>
        <w:tc>
          <w:tcPr>
            <w:tcW w:w="3011" w:type="dxa"/>
            <w:tcBorders>
              <w:top w:val="single" w:sz="4" w:space="0" w:color="auto"/>
              <w:left w:val="single" w:sz="4" w:space="0" w:color="auto"/>
              <w:bottom w:val="single" w:sz="4" w:space="0" w:color="auto"/>
              <w:right w:val="single" w:sz="4" w:space="0" w:color="auto"/>
            </w:tcBorders>
            <w:hideMark/>
          </w:tcPr>
          <w:p w14:paraId="7BAE96BC"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Convenios modificatorios</w:t>
            </w:r>
          </w:p>
        </w:tc>
        <w:tc>
          <w:tcPr>
            <w:tcW w:w="3012" w:type="dxa"/>
            <w:tcBorders>
              <w:top w:val="single" w:sz="4" w:space="0" w:color="auto"/>
              <w:left w:val="single" w:sz="4" w:space="0" w:color="auto"/>
              <w:bottom w:val="single" w:sz="4" w:space="0" w:color="auto"/>
              <w:right w:val="single" w:sz="4" w:space="0" w:color="auto"/>
            </w:tcBorders>
            <w:hideMark/>
          </w:tcPr>
          <w:p w14:paraId="73D9A45A"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Finiquito</w:t>
            </w:r>
          </w:p>
        </w:tc>
      </w:tr>
      <w:tr w:rsidR="00050F20" w:rsidRPr="00050F20" w14:paraId="2186F0A4"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6190E049" w14:textId="77777777" w:rsidR="00050F20" w:rsidRPr="00050F20" w:rsidRDefault="00050F20" w:rsidP="00994027">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Informes de avances físicos y financieros</w:t>
            </w:r>
          </w:p>
        </w:tc>
        <w:tc>
          <w:tcPr>
            <w:tcW w:w="3011" w:type="dxa"/>
            <w:tcBorders>
              <w:top w:val="single" w:sz="4" w:space="0" w:color="auto"/>
              <w:left w:val="single" w:sz="4" w:space="0" w:color="auto"/>
              <w:bottom w:val="single" w:sz="4" w:space="0" w:color="auto"/>
              <w:right w:val="single" w:sz="4" w:space="0" w:color="auto"/>
            </w:tcBorders>
            <w:hideMark/>
          </w:tcPr>
          <w:p w14:paraId="0DF92950" w14:textId="77777777" w:rsidR="00050F20" w:rsidRPr="00050F20" w:rsidRDefault="00050F20" w:rsidP="00994027">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Informes de avances físicos y financieros</w:t>
            </w:r>
          </w:p>
        </w:tc>
        <w:tc>
          <w:tcPr>
            <w:tcW w:w="3012" w:type="dxa"/>
            <w:tcBorders>
              <w:top w:val="single" w:sz="4" w:space="0" w:color="auto"/>
              <w:left w:val="single" w:sz="4" w:space="0" w:color="auto"/>
              <w:bottom w:val="single" w:sz="4" w:space="0" w:color="auto"/>
              <w:right w:val="single" w:sz="4" w:space="0" w:color="auto"/>
            </w:tcBorders>
          </w:tcPr>
          <w:p w14:paraId="2AB29EE8"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p>
        </w:tc>
      </w:tr>
      <w:tr w:rsidR="00050F20" w:rsidRPr="00050F20" w14:paraId="123C6912"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50CA8C8F" w14:textId="77777777" w:rsidR="00050F20" w:rsidRPr="00050F20" w:rsidRDefault="00050F20" w:rsidP="00994027">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Convenio de terminación</w:t>
            </w:r>
          </w:p>
        </w:tc>
        <w:tc>
          <w:tcPr>
            <w:tcW w:w="3011" w:type="dxa"/>
            <w:tcBorders>
              <w:top w:val="single" w:sz="4" w:space="0" w:color="auto"/>
              <w:left w:val="single" w:sz="4" w:space="0" w:color="auto"/>
              <w:bottom w:val="single" w:sz="4" w:space="0" w:color="auto"/>
              <w:right w:val="single" w:sz="4" w:space="0" w:color="auto"/>
            </w:tcBorders>
            <w:hideMark/>
          </w:tcPr>
          <w:p w14:paraId="057F20A5" w14:textId="77777777" w:rsidR="00050F20" w:rsidRPr="00050F20" w:rsidRDefault="00050F20" w:rsidP="00994027">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Convenio de terminación</w:t>
            </w:r>
          </w:p>
        </w:tc>
        <w:tc>
          <w:tcPr>
            <w:tcW w:w="3012" w:type="dxa"/>
            <w:tcBorders>
              <w:top w:val="single" w:sz="4" w:space="0" w:color="auto"/>
              <w:left w:val="single" w:sz="4" w:space="0" w:color="auto"/>
              <w:bottom w:val="single" w:sz="4" w:space="0" w:color="auto"/>
              <w:right w:val="single" w:sz="4" w:space="0" w:color="auto"/>
            </w:tcBorders>
          </w:tcPr>
          <w:p w14:paraId="7914137C"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p>
        </w:tc>
      </w:tr>
      <w:tr w:rsidR="00050F20" w:rsidRPr="00050F20" w14:paraId="642870C3" w14:textId="77777777" w:rsidTr="000E1656">
        <w:tc>
          <w:tcPr>
            <w:tcW w:w="3011" w:type="dxa"/>
            <w:tcBorders>
              <w:top w:val="single" w:sz="4" w:space="0" w:color="auto"/>
              <w:left w:val="single" w:sz="4" w:space="0" w:color="auto"/>
              <w:bottom w:val="single" w:sz="4" w:space="0" w:color="auto"/>
              <w:right w:val="single" w:sz="4" w:space="0" w:color="auto"/>
            </w:tcBorders>
            <w:hideMark/>
          </w:tcPr>
          <w:p w14:paraId="3297961B" w14:textId="77777777" w:rsidR="00050F20" w:rsidRPr="00050F20" w:rsidRDefault="00050F20" w:rsidP="00994027">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Finiquito</w:t>
            </w:r>
          </w:p>
        </w:tc>
        <w:tc>
          <w:tcPr>
            <w:tcW w:w="3011" w:type="dxa"/>
            <w:tcBorders>
              <w:top w:val="single" w:sz="4" w:space="0" w:color="auto"/>
              <w:left w:val="single" w:sz="4" w:space="0" w:color="auto"/>
              <w:bottom w:val="single" w:sz="4" w:space="0" w:color="auto"/>
              <w:right w:val="single" w:sz="4" w:space="0" w:color="auto"/>
            </w:tcBorders>
            <w:hideMark/>
          </w:tcPr>
          <w:p w14:paraId="7C6656FB" w14:textId="77777777" w:rsidR="00050F20" w:rsidRPr="00050F20" w:rsidRDefault="00050F20" w:rsidP="00994027">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Finiquito</w:t>
            </w:r>
          </w:p>
        </w:tc>
        <w:tc>
          <w:tcPr>
            <w:tcW w:w="3012" w:type="dxa"/>
            <w:tcBorders>
              <w:top w:val="single" w:sz="4" w:space="0" w:color="auto"/>
              <w:left w:val="single" w:sz="4" w:space="0" w:color="auto"/>
              <w:bottom w:val="single" w:sz="4" w:space="0" w:color="auto"/>
              <w:right w:val="single" w:sz="4" w:space="0" w:color="auto"/>
            </w:tcBorders>
          </w:tcPr>
          <w:p w14:paraId="7D23DED4" w14:textId="77777777" w:rsidR="00050F20" w:rsidRPr="00050F20" w:rsidRDefault="00050F20" w:rsidP="00994027">
            <w:pPr>
              <w:spacing w:line="360" w:lineRule="auto"/>
              <w:ind w:right="-93"/>
              <w:contextualSpacing/>
              <w:jc w:val="both"/>
              <w:rPr>
                <w:rFonts w:ascii="Palatino Linotype" w:hAnsi="Palatino Linotype" w:cs="Tahoma"/>
                <w:iCs/>
                <w:color w:val="000000"/>
                <w:lang w:eastAsia="es-ES_tradnl"/>
              </w:rPr>
            </w:pPr>
          </w:p>
        </w:tc>
      </w:tr>
    </w:tbl>
    <w:p w14:paraId="33E7CFD8" w14:textId="5B3E20F2" w:rsidR="00050F20" w:rsidRDefault="00050F20" w:rsidP="00994027">
      <w:pPr>
        <w:widowControl w:val="0"/>
        <w:spacing w:line="360" w:lineRule="auto"/>
        <w:contextualSpacing/>
        <w:jc w:val="both"/>
        <w:rPr>
          <w:rFonts w:ascii="Palatino Linotype" w:hAnsi="Palatino Linotype" w:cs="Tahoma"/>
          <w:bCs/>
          <w:iCs/>
          <w:sz w:val="22"/>
          <w:szCs w:val="22"/>
        </w:rPr>
      </w:pPr>
    </w:p>
    <w:p w14:paraId="2B795B76" w14:textId="7009B005" w:rsidR="00050F20" w:rsidRPr="00740EAB" w:rsidRDefault="00624A47" w:rsidP="00994027">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 xml:space="preserve">Conforme a lo anterior, se logra colegir que el ahora Recurrente pretende acceder a los documentos que </w:t>
      </w:r>
      <w:r w:rsidR="00050F20">
        <w:rPr>
          <w:rFonts w:ascii="Palatino Linotype" w:hAnsi="Palatino Linotype" w:cs="Tahoma"/>
          <w:bCs/>
          <w:iCs/>
          <w:sz w:val="22"/>
          <w:szCs w:val="22"/>
        </w:rPr>
        <w:t xml:space="preserve">integran el </w:t>
      </w:r>
      <w:r w:rsidR="00050F20">
        <w:rPr>
          <w:rFonts w:ascii="Palatino Linotype" w:hAnsi="Palatino Linotype" w:cs="Tahoma"/>
          <w:sz w:val="22"/>
          <w:szCs w:val="22"/>
        </w:rPr>
        <w:t xml:space="preserve">expediente del procedimiento de adjudicación para la contratación del servicio del nuevo </w:t>
      </w:r>
      <w:r w:rsidR="00050F20" w:rsidRPr="00EB64F7">
        <w:rPr>
          <w:rFonts w:ascii="Palatino Linotype" w:eastAsiaTheme="majorEastAsia" w:hAnsi="Palatino Linotype"/>
          <w:sz w:val="22"/>
          <w:szCs w:val="22"/>
        </w:rPr>
        <w:t>Sistema de Servicios Escolares</w:t>
      </w:r>
      <w:r w:rsidR="00050F20">
        <w:rPr>
          <w:rFonts w:ascii="Palatino Linotype" w:hAnsi="Palatino Linotype" w:cs="Tahoma"/>
          <w:sz w:val="22"/>
          <w:szCs w:val="22"/>
        </w:rPr>
        <w:t xml:space="preserve"> (SIDEA), al seis de mayo de dos mil veinticinco.</w:t>
      </w:r>
    </w:p>
    <w:p w14:paraId="1DF7FDDD" w14:textId="7982D6DA" w:rsidR="00624A47" w:rsidRDefault="00624A47" w:rsidP="00994027">
      <w:pPr>
        <w:widowControl w:val="0"/>
        <w:spacing w:line="360" w:lineRule="auto"/>
        <w:contextualSpacing/>
        <w:jc w:val="both"/>
        <w:rPr>
          <w:rFonts w:ascii="Palatino Linotype" w:eastAsia="Palatino Linotype" w:hAnsi="Palatino Linotype" w:cs="Palatino Linotype"/>
          <w:sz w:val="22"/>
          <w:szCs w:val="22"/>
        </w:rPr>
      </w:pPr>
    </w:p>
    <w:p w14:paraId="4DD2BA9C" w14:textId="63882B57" w:rsidR="00624A47" w:rsidRDefault="00624A47" w:rsidP="00994027">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Así, de las constancias que obran en el expediente, se logra vislumbrar que el Sujeto Obligado turnó l</w:t>
      </w:r>
      <w:r w:rsidR="000E1656">
        <w:rPr>
          <w:rFonts w:ascii="Palatino Linotype" w:eastAsia="Palatino Linotype" w:hAnsi="Palatino Linotype" w:cs="Palatino Linotype"/>
          <w:sz w:val="22"/>
          <w:szCs w:val="22"/>
        </w:rPr>
        <w:t>a solicitud de información al Departamento de</w:t>
      </w:r>
      <w:r w:rsidR="000E1656">
        <w:rPr>
          <w:rFonts w:ascii="Palatino Linotype" w:hAnsi="Palatino Linotype" w:cs="Tahoma"/>
          <w:sz w:val="22"/>
          <w:szCs w:val="22"/>
          <w:lang w:val="es-ES"/>
        </w:rPr>
        <w:t xml:space="preserve"> Recursos Materiales y Financieros dependiente de la Dirección Administrativa</w:t>
      </w:r>
      <w:r>
        <w:rPr>
          <w:rFonts w:ascii="Palatino Linotype" w:eastAsia="Palatino Linotype" w:hAnsi="Palatino Linotype" w:cs="Palatino Linotype"/>
          <w:sz w:val="22"/>
          <w:szCs w:val="22"/>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w:t>
      </w:r>
      <w:r>
        <w:rPr>
          <w:rFonts w:ascii="Palatino Linotype" w:eastAsia="Palatino Linotype" w:hAnsi="Palatino Linotype" w:cs="Palatino Linotype"/>
          <w:sz w:val="22"/>
          <w:szCs w:val="22"/>
        </w:rPr>
        <w:lastRenderedPageBreak/>
        <w:t>tenerla -de acuerdo a las facultades, competencias y funciones-, con el objeto de que dichas áreas realicen una búsqueda exhaustiva y razonable de la información requerida.</w:t>
      </w:r>
    </w:p>
    <w:p w14:paraId="284DDCC6" w14:textId="77777777" w:rsidR="00624A47" w:rsidRDefault="00624A47" w:rsidP="00994027">
      <w:pPr>
        <w:widowControl w:val="0"/>
        <w:spacing w:line="360" w:lineRule="auto"/>
        <w:contextualSpacing/>
        <w:jc w:val="both"/>
        <w:rPr>
          <w:rFonts w:ascii="Palatino Linotype" w:hAnsi="Palatino Linotype" w:cs="Tahoma"/>
          <w:bCs/>
          <w:iCs/>
          <w:sz w:val="22"/>
          <w:szCs w:val="22"/>
          <w:lang w:val="es-ES"/>
        </w:rPr>
      </w:pPr>
    </w:p>
    <w:p w14:paraId="4E1B5333" w14:textId="49291FDC" w:rsidR="00624A47" w:rsidRDefault="00624A47" w:rsidP="00994027">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Así, es necesario traer al estudio </w:t>
      </w:r>
      <w:r w:rsidR="00F20FE8">
        <w:rPr>
          <w:rFonts w:ascii="Palatino Linotype" w:eastAsia="Palatino Linotype" w:hAnsi="Palatino Linotype" w:cs="Palatino Linotype"/>
          <w:sz w:val="22"/>
          <w:szCs w:val="22"/>
        </w:rPr>
        <w:t xml:space="preserve">los numerales </w:t>
      </w:r>
      <w:r w:rsidR="00F20FE8" w:rsidRPr="00F20FE8">
        <w:rPr>
          <w:rFonts w:ascii="Palatino Linotype" w:eastAsia="Palatino Linotype" w:hAnsi="Palatino Linotype" w:cs="Palatino Linotype"/>
          <w:sz w:val="22"/>
          <w:szCs w:val="22"/>
        </w:rPr>
        <w:t>210C3101060000L</w:t>
      </w:r>
      <w:r w:rsidR="00F20FE8">
        <w:rPr>
          <w:rFonts w:ascii="Palatino Linotype" w:eastAsia="Palatino Linotype" w:hAnsi="Palatino Linotype" w:cs="Palatino Linotype"/>
          <w:sz w:val="22"/>
          <w:szCs w:val="22"/>
        </w:rPr>
        <w:t xml:space="preserve"> y </w:t>
      </w:r>
      <w:r w:rsidR="00F20FE8" w:rsidRPr="00F20FE8">
        <w:rPr>
          <w:rFonts w:ascii="Palatino Linotype" w:eastAsia="Palatino Linotype" w:hAnsi="Palatino Linotype" w:cs="Palatino Linotype"/>
          <w:sz w:val="22"/>
          <w:szCs w:val="22"/>
        </w:rPr>
        <w:t>210C3101060001L</w:t>
      </w:r>
      <w:r w:rsidR="00F20FE8">
        <w:rPr>
          <w:rFonts w:ascii="Palatino Linotype" w:eastAsia="Palatino Linotype" w:hAnsi="Palatino Linotype" w:cs="Palatino Linotype"/>
          <w:sz w:val="22"/>
          <w:szCs w:val="22"/>
        </w:rPr>
        <w:t xml:space="preserve">, </w:t>
      </w:r>
      <w:r w:rsidRPr="00F60D88">
        <w:rPr>
          <w:rFonts w:ascii="Palatino Linotype" w:eastAsia="Palatino Linotype" w:hAnsi="Palatino Linotype" w:cs="Palatino Linotype"/>
          <w:sz w:val="22"/>
          <w:szCs w:val="22"/>
        </w:rPr>
        <w:t xml:space="preserve">del </w:t>
      </w:r>
      <w:r w:rsidR="00F20FE8">
        <w:rPr>
          <w:rFonts w:ascii="Palatino Linotype" w:eastAsia="Palatino Linotype" w:hAnsi="Palatino Linotype" w:cs="Palatino Linotype"/>
          <w:sz w:val="22"/>
          <w:szCs w:val="22"/>
        </w:rPr>
        <w:t>Manual General de Organización de la Universidad Estatal del Valle de Toluca</w:t>
      </w:r>
      <w:r w:rsidRPr="00F60D88">
        <w:rPr>
          <w:rFonts w:ascii="Palatino Linotype" w:eastAsia="Palatino Linotype" w:hAnsi="Palatino Linotype" w:cs="Palatino Linotype"/>
          <w:sz w:val="22"/>
          <w:szCs w:val="22"/>
        </w:rPr>
        <w:t xml:space="preserve">, en </w:t>
      </w:r>
      <w:r w:rsidR="00F20FE8">
        <w:rPr>
          <w:rFonts w:ascii="Palatino Linotype" w:eastAsia="Palatino Linotype" w:hAnsi="Palatino Linotype" w:cs="Palatino Linotype"/>
          <w:sz w:val="22"/>
          <w:szCs w:val="22"/>
        </w:rPr>
        <w:t xml:space="preserve">los cuales se </w:t>
      </w:r>
      <w:r w:rsidRPr="00F60D88">
        <w:rPr>
          <w:rFonts w:ascii="Palatino Linotype" w:eastAsia="Palatino Linotype" w:hAnsi="Palatino Linotype" w:cs="Palatino Linotype"/>
          <w:sz w:val="22"/>
          <w:szCs w:val="22"/>
        </w:rPr>
        <w:t>establece que el Sujeto Obligado para el ejercicio de sus funciones contará con diversas unidades administrativa</w:t>
      </w:r>
      <w:r w:rsidR="00F20FE8">
        <w:rPr>
          <w:rFonts w:ascii="Palatino Linotype" w:eastAsia="Palatino Linotype" w:hAnsi="Palatino Linotype" w:cs="Palatino Linotype"/>
          <w:sz w:val="22"/>
          <w:szCs w:val="22"/>
        </w:rPr>
        <w:t>s</w:t>
      </w:r>
      <w:r w:rsidRPr="00F60D88">
        <w:rPr>
          <w:rFonts w:ascii="Palatino Linotype" w:eastAsia="Palatino Linotype" w:hAnsi="Palatino Linotype" w:cs="Palatino Linotype"/>
          <w:sz w:val="22"/>
          <w:szCs w:val="22"/>
        </w:rPr>
        <w:t xml:space="preserve"> entre otras, la </w:t>
      </w:r>
      <w:r w:rsidR="00F20FE8">
        <w:rPr>
          <w:rFonts w:ascii="Palatino Linotype" w:eastAsia="Palatino Linotype" w:hAnsi="Palatino Linotype" w:cs="Palatino Linotype"/>
          <w:sz w:val="22"/>
          <w:szCs w:val="22"/>
        </w:rPr>
        <w:t>Dirección Administrativa</w:t>
      </w:r>
      <w:r w:rsidRPr="00F60D88">
        <w:rPr>
          <w:rFonts w:ascii="Palatino Linotype" w:eastAsia="Palatino Linotype" w:hAnsi="Palatino Linotype" w:cs="Palatino Linotype"/>
          <w:sz w:val="22"/>
          <w:szCs w:val="22"/>
        </w:rPr>
        <w:t>,</w:t>
      </w:r>
      <w:r w:rsidR="00F20FE8">
        <w:rPr>
          <w:rFonts w:ascii="Palatino Linotype" w:eastAsia="Palatino Linotype" w:hAnsi="Palatino Linotype" w:cs="Palatino Linotype"/>
          <w:sz w:val="22"/>
          <w:szCs w:val="22"/>
        </w:rPr>
        <w:t xml:space="preserve"> quien a su vez contará con dos áreas para la realización de sus atribuciones entre otras, el Departamento de Recursos Materiales y Financieros, </w:t>
      </w:r>
      <w:r>
        <w:rPr>
          <w:rFonts w:ascii="Palatino Linotype" w:eastAsia="Palatino Linotype" w:hAnsi="Palatino Linotype" w:cs="Palatino Linotype"/>
          <w:sz w:val="22"/>
          <w:szCs w:val="22"/>
        </w:rPr>
        <w:t>quien</w:t>
      </w:r>
      <w:r w:rsidR="00F20FE8">
        <w:rPr>
          <w:rFonts w:ascii="Palatino Linotype" w:eastAsia="Palatino Linotype" w:hAnsi="Palatino Linotype" w:cs="Palatino Linotype"/>
          <w:sz w:val="22"/>
          <w:szCs w:val="22"/>
        </w:rPr>
        <w:t>es en conjunto</w:t>
      </w:r>
      <w:r>
        <w:rPr>
          <w:rFonts w:ascii="Palatino Linotype" w:eastAsia="Palatino Linotype" w:hAnsi="Palatino Linotype" w:cs="Palatino Linotype"/>
          <w:sz w:val="22"/>
          <w:szCs w:val="22"/>
        </w:rPr>
        <w:t xml:space="preserve"> le</w:t>
      </w:r>
      <w:r w:rsidR="00F20FE8">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corresponderá el despacho de diversos asuntos, entre otros, los siguientes:</w:t>
      </w:r>
    </w:p>
    <w:p w14:paraId="09539902" w14:textId="77777777" w:rsidR="00624A47" w:rsidRDefault="00624A47" w:rsidP="00994027">
      <w:pPr>
        <w:spacing w:line="360" w:lineRule="auto"/>
        <w:ind w:right="-28"/>
        <w:contextualSpacing/>
        <w:jc w:val="both"/>
        <w:rPr>
          <w:rFonts w:ascii="Palatino Linotype" w:eastAsia="Palatino Linotype" w:hAnsi="Palatino Linotype" w:cs="Palatino Linotype"/>
          <w:sz w:val="22"/>
          <w:szCs w:val="22"/>
        </w:rPr>
      </w:pPr>
    </w:p>
    <w:p w14:paraId="2BBE1EF3" w14:textId="696E95C0" w:rsidR="00F20FE8" w:rsidRDefault="00F20FE8" w:rsidP="00994027">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20FE8">
        <w:rPr>
          <w:rFonts w:ascii="Palatino Linotype" w:eastAsia="Palatino Linotype" w:hAnsi="Palatino Linotype" w:cs="Palatino Linotype"/>
          <w:sz w:val="22"/>
          <w:szCs w:val="22"/>
        </w:rPr>
        <w:t>Integrar el Programa Anual de Adquisiciones, Arrendamientos y Servicios conforme a los requerimientos de las unidades administrativas adscritas a la Universidad, con apego a</w:t>
      </w:r>
      <w:r>
        <w:rPr>
          <w:rFonts w:ascii="Palatino Linotype" w:eastAsia="Palatino Linotype" w:hAnsi="Palatino Linotype" w:cs="Palatino Linotype"/>
          <w:sz w:val="22"/>
          <w:szCs w:val="22"/>
        </w:rPr>
        <w:t xml:space="preserve"> la normatividad en la materia;</w:t>
      </w:r>
    </w:p>
    <w:p w14:paraId="5273C7C8" w14:textId="6484D54D" w:rsidR="00F20FE8" w:rsidRDefault="00F20FE8" w:rsidP="00994027">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20FE8">
        <w:rPr>
          <w:rFonts w:ascii="Palatino Linotype" w:eastAsia="Palatino Linotype" w:hAnsi="Palatino Linotype" w:cs="Palatino Linotype"/>
          <w:sz w:val="22"/>
          <w:szCs w:val="22"/>
        </w:rPr>
        <w:t xml:space="preserve">Integrar y ejecutar los procedimientos de adjudicación directa, invitación a cuando menos tres personas, invitación restringida o licitación pública para la adquisición de los insumos, bienes muebles, materiales y equipo que requieran las unidades administrativas de la Universidad para el desarrollo de sus funciones de acuerdo con las disposiciones señaladas </w:t>
      </w:r>
      <w:r>
        <w:rPr>
          <w:rFonts w:ascii="Palatino Linotype" w:eastAsia="Palatino Linotype" w:hAnsi="Palatino Linotype" w:cs="Palatino Linotype"/>
          <w:sz w:val="22"/>
          <w:szCs w:val="22"/>
        </w:rPr>
        <w:t>por la normatividad establecida;</w:t>
      </w:r>
    </w:p>
    <w:p w14:paraId="56F7C82F" w14:textId="6BB6EC54" w:rsidR="00F20FE8" w:rsidRDefault="00F20FE8" w:rsidP="00994027">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20FE8">
        <w:rPr>
          <w:rFonts w:ascii="Palatino Linotype" w:eastAsia="Palatino Linotype" w:hAnsi="Palatino Linotype" w:cs="Palatino Linotype"/>
          <w:sz w:val="22"/>
          <w:szCs w:val="22"/>
        </w:rPr>
        <w:t xml:space="preserve">Cotizar los requerimientos de adquisición de bienes y contratación de servicios, o en su caso de obra pública y servicios relacionados con las mismas; así como ejecutar las adjudicaciones que deriven de la autorización de los cuadros comparativos, de conformidad con las disposiciones señaladas </w:t>
      </w:r>
      <w:r>
        <w:rPr>
          <w:rFonts w:ascii="Palatino Linotype" w:eastAsia="Palatino Linotype" w:hAnsi="Palatino Linotype" w:cs="Palatino Linotype"/>
          <w:sz w:val="22"/>
          <w:szCs w:val="22"/>
        </w:rPr>
        <w:t>por la normatividad establecida; y</w:t>
      </w:r>
    </w:p>
    <w:p w14:paraId="639538CA" w14:textId="026E1973" w:rsidR="00F20FE8" w:rsidRDefault="00F20FE8" w:rsidP="00994027">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20FE8">
        <w:rPr>
          <w:rFonts w:ascii="Palatino Linotype" w:eastAsia="Palatino Linotype" w:hAnsi="Palatino Linotype" w:cs="Palatino Linotype"/>
          <w:sz w:val="22"/>
          <w:szCs w:val="22"/>
        </w:rPr>
        <w:t xml:space="preserve">Gestionar la contratación y, en su caso, supervisar el funcionamiento de los servicios de limpieza, aseguramiento de los bienes patrimoniales, afianzamiento de personal, vigilancia, telefonía fija, energía eléctrica y los demás servicios que requiera la </w:t>
      </w:r>
      <w:r w:rsidRPr="00F20FE8">
        <w:rPr>
          <w:rFonts w:ascii="Palatino Linotype" w:eastAsia="Palatino Linotype" w:hAnsi="Palatino Linotype" w:cs="Palatino Linotype"/>
          <w:sz w:val="22"/>
          <w:szCs w:val="22"/>
        </w:rPr>
        <w:lastRenderedPageBreak/>
        <w:t>Universidad para el logro de los objetivos, metas institucionales y su operatividad en general.</w:t>
      </w:r>
    </w:p>
    <w:p w14:paraId="1193984F" w14:textId="5FD15138" w:rsidR="00624A47" w:rsidRPr="00F60D88" w:rsidRDefault="00624A47" w:rsidP="00994027">
      <w:pPr>
        <w:spacing w:line="360" w:lineRule="auto"/>
        <w:ind w:right="-28"/>
        <w:contextualSpacing/>
        <w:jc w:val="both"/>
        <w:rPr>
          <w:rFonts w:ascii="Palatino Linotype" w:eastAsia="Palatino Linotype" w:hAnsi="Palatino Linotype" w:cs="Palatino Linotype"/>
          <w:sz w:val="22"/>
          <w:szCs w:val="22"/>
        </w:rPr>
      </w:pPr>
    </w:p>
    <w:p w14:paraId="6646C7DE" w14:textId="59A6594D" w:rsidR="00624A47" w:rsidRDefault="00624A47" w:rsidP="00994027">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Así, se advierte que el Sujeto Obligado cumplió con el procedimiento de búsqueda, </w:t>
      </w:r>
      <w:r w:rsidR="00F20FE8">
        <w:rPr>
          <w:rFonts w:ascii="Palatino Linotype" w:eastAsia="Palatino Linotype" w:hAnsi="Palatino Linotype" w:cs="Palatino Linotype"/>
          <w:sz w:val="22"/>
          <w:szCs w:val="22"/>
        </w:rPr>
        <w:t>al turnar</w:t>
      </w:r>
      <w:r w:rsidRPr="00F60D88">
        <w:rPr>
          <w:rFonts w:ascii="Palatino Linotype" w:eastAsia="Palatino Linotype" w:hAnsi="Palatino Linotype" w:cs="Palatino Linotype"/>
          <w:sz w:val="22"/>
          <w:szCs w:val="22"/>
        </w:rPr>
        <w:t xml:space="preserve"> la solicitud de información a la </w:t>
      </w:r>
      <w:r w:rsidR="00F20FE8">
        <w:rPr>
          <w:rFonts w:ascii="Palatino Linotype" w:eastAsia="Palatino Linotype" w:hAnsi="Palatino Linotype" w:cs="Palatino Linotype"/>
          <w:sz w:val="22"/>
          <w:szCs w:val="22"/>
        </w:rPr>
        <w:t xml:space="preserve">Dirección Administrativa </w:t>
      </w:r>
      <w:proofErr w:type="gramStart"/>
      <w:r w:rsidR="00F20FE8">
        <w:rPr>
          <w:rFonts w:ascii="Palatino Linotype" w:eastAsia="Palatino Linotype" w:hAnsi="Palatino Linotype" w:cs="Palatino Linotype"/>
          <w:sz w:val="22"/>
          <w:szCs w:val="22"/>
        </w:rPr>
        <w:t>quien</w:t>
      </w:r>
      <w:proofErr w:type="gramEnd"/>
      <w:r w:rsidR="00F20FE8">
        <w:rPr>
          <w:rFonts w:ascii="Palatino Linotype" w:eastAsia="Palatino Linotype" w:hAnsi="Palatino Linotype" w:cs="Palatino Linotype"/>
          <w:sz w:val="22"/>
          <w:szCs w:val="22"/>
        </w:rPr>
        <w:t xml:space="preserve"> a través del Departamento de Recursos Materiales y Financieros</w:t>
      </w:r>
      <w:r w:rsidRPr="00F60D88">
        <w:rPr>
          <w:rFonts w:ascii="Palatino Linotype" w:eastAsia="Palatino Linotype" w:hAnsi="Palatino Linotype" w:cs="Palatino Linotype"/>
          <w:sz w:val="22"/>
          <w:szCs w:val="22"/>
        </w:rPr>
        <w:t xml:space="preserve">, </w:t>
      </w:r>
      <w:r w:rsidR="00F20FE8">
        <w:rPr>
          <w:rFonts w:ascii="Palatino Linotype" w:eastAsia="Palatino Linotype" w:hAnsi="Palatino Linotype" w:cs="Palatino Linotype"/>
          <w:sz w:val="22"/>
          <w:szCs w:val="22"/>
        </w:rPr>
        <w:t xml:space="preserve">se encargará de efectuar todo lo relacionado con las adjudicaciones para el suministro de bienes y servicios de la universidad.  </w:t>
      </w:r>
    </w:p>
    <w:p w14:paraId="446E8031" w14:textId="77777777" w:rsidR="00624A47" w:rsidRPr="003A6F1F" w:rsidRDefault="00624A47" w:rsidP="00994027">
      <w:pPr>
        <w:pStyle w:val="Prrafodelista"/>
        <w:spacing w:line="360" w:lineRule="auto"/>
        <w:ind w:right="-28"/>
        <w:jc w:val="both"/>
        <w:rPr>
          <w:rFonts w:ascii="Palatino Linotype" w:eastAsia="Palatino Linotype" w:hAnsi="Palatino Linotype" w:cs="Palatino Linotype"/>
          <w:color w:val="000000"/>
          <w:sz w:val="22"/>
          <w:szCs w:val="22"/>
        </w:rPr>
      </w:pPr>
    </w:p>
    <w:p w14:paraId="3471FB89" w14:textId="49D4EEAC" w:rsidR="001B11B2" w:rsidRDefault="00624A47" w:rsidP="0099402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dicha área en respuesta, proporcionó </w:t>
      </w:r>
      <w:r w:rsidR="001B11B2">
        <w:rPr>
          <w:rFonts w:ascii="Palatino Linotype" w:eastAsia="Palatino Linotype" w:hAnsi="Palatino Linotype" w:cs="Palatino Linotype"/>
          <w:sz w:val="22"/>
          <w:szCs w:val="22"/>
        </w:rPr>
        <w:t xml:space="preserve">los documentos que integraban el expediente de </w:t>
      </w:r>
      <w:r w:rsidR="00471405">
        <w:rPr>
          <w:rFonts w:ascii="Palatino Linotype" w:eastAsia="Palatino Linotype" w:hAnsi="Palatino Linotype" w:cs="Palatino Linotype"/>
          <w:sz w:val="22"/>
          <w:szCs w:val="22"/>
        </w:rPr>
        <w:t>adjudicación directa</w:t>
      </w:r>
      <w:r w:rsidR="001B11B2">
        <w:rPr>
          <w:rFonts w:ascii="Palatino Linotype" w:eastAsia="Palatino Linotype" w:hAnsi="Palatino Linotype" w:cs="Palatino Linotype"/>
          <w:sz w:val="22"/>
          <w:szCs w:val="22"/>
        </w:rPr>
        <w:t xml:space="preserve"> en versión pública a saber, los siguientes: </w:t>
      </w:r>
    </w:p>
    <w:p w14:paraId="11D4D00A" w14:textId="77777777" w:rsidR="000723DA" w:rsidRDefault="000723DA" w:rsidP="00994027">
      <w:pPr>
        <w:spacing w:line="360" w:lineRule="auto"/>
        <w:contextualSpacing/>
        <w:jc w:val="both"/>
        <w:rPr>
          <w:rFonts w:ascii="Palatino Linotype" w:eastAsia="Palatino Linotype" w:hAnsi="Palatino Linotype" w:cs="Palatino Linotype"/>
          <w:sz w:val="22"/>
          <w:szCs w:val="22"/>
        </w:rPr>
      </w:pPr>
    </w:p>
    <w:p w14:paraId="24F65271" w14:textId="1154070F" w:rsidR="001B11B2" w:rsidRPr="000723DA" w:rsidRDefault="000723DA" w:rsidP="00994027">
      <w:pPr>
        <w:pStyle w:val="Prrafodelista"/>
        <w:numPr>
          <w:ilvl w:val="0"/>
          <w:numId w:val="3"/>
        </w:numPr>
        <w:spacing w:line="360" w:lineRule="auto"/>
        <w:jc w:val="both"/>
        <w:rPr>
          <w:rFonts w:ascii="Palatino Linotype" w:eastAsia="Palatino Linotype" w:hAnsi="Palatino Linotype" w:cs="Palatino Linotype"/>
          <w:sz w:val="22"/>
          <w:szCs w:val="22"/>
        </w:rPr>
      </w:pPr>
      <w:r w:rsidRPr="000723DA">
        <w:rPr>
          <w:rFonts w:ascii="Palatino Linotype" w:eastAsia="Palatino Linotype" w:hAnsi="Palatino Linotype" w:cs="Palatino Linotype"/>
          <w:sz w:val="22"/>
          <w:szCs w:val="22"/>
        </w:rPr>
        <w:t xml:space="preserve">Acta de fallo a la convocatoria de la invitación a cuando menos tres personas número </w:t>
      </w:r>
      <w:r w:rsidRPr="000723DA">
        <w:rPr>
          <w:rFonts w:ascii="Palatino Linotype" w:eastAsiaTheme="majorEastAsia" w:hAnsi="Palatino Linotype"/>
          <w:sz w:val="22"/>
          <w:szCs w:val="22"/>
        </w:rPr>
        <w:t>IA-74-091-915099911-N-9-2024;</w:t>
      </w:r>
    </w:p>
    <w:p w14:paraId="5F9F795A" w14:textId="4175D7F4" w:rsidR="000723DA" w:rsidRPr="000723DA" w:rsidRDefault="000723DA" w:rsidP="00994027">
      <w:pPr>
        <w:pStyle w:val="Prrafodelista"/>
        <w:numPr>
          <w:ilvl w:val="0"/>
          <w:numId w:val="3"/>
        </w:numPr>
        <w:spacing w:line="360" w:lineRule="auto"/>
        <w:jc w:val="both"/>
        <w:rPr>
          <w:rFonts w:ascii="Palatino Linotype" w:eastAsia="Palatino Linotype" w:hAnsi="Palatino Linotype" w:cs="Palatino Linotype"/>
          <w:sz w:val="22"/>
          <w:szCs w:val="22"/>
        </w:rPr>
      </w:pPr>
      <w:r>
        <w:rPr>
          <w:rFonts w:ascii="Palatino Linotype" w:eastAsiaTheme="majorEastAsia" w:hAnsi="Palatino Linotype"/>
          <w:sz w:val="22"/>
          <w:szCs w:val="22"/>
        </w:rPr>
        <w:t>Solicitud de información/cotización para la contratación de “Servicios Profesionales para el Desarrollo e Implementación del Sistema de Servicios Escolares”;</w:t>
      </w:r>
    </w:p>
    <w:p w14:paraId="60EA8B8C" w14:textId="43252C53" w:rsidR="000723DA" w:rsidRPr="000723DA" w:rsidRDefault="000723DA" w:rsidP="00994027">
      <w:pPr>
        <w:pStyle w:val="Prrafodelista"/>
        <w:numPr>
          <w:ilvl w:val="0"/>
          <w:numId w:val="3"/>
        </w:numPr>
        <w:spacing w:line="360" w:lineRule="auto"/>
        <w:jc w:val="both"/>
        <w:rPr>
          <w:rFonts w:ascii="Palatino Linotype" w:eastAsia="Palatino Linotype" w:hAnsi="Palatino Linotype" w:cs="Palatino Linotype"/>
          <w:sz w:val="22"/>
          <w:szCs w:val="22"/>
        </w:rPr>
      </w:pPr>
      <w:r>
        <w:rPr>
          <w:rFonts w:ascii="Palatino Linotype" w:eastAsiaTheme="majorEastAsia" w:hAnsi="Palatino Linotype"/>
          <w:sz w:val="22"/>
          <w:szCs w:val="22"/>
        </w:rPr>
        <w:t>Cotización;</w:t>
      </w:r>
    </w:p>
    <w:p w14:paraId="04223B6E" w14:textId="5164F48A" w:rsidR="000723DA" w:rsidRPr="000723DA" w:rsidRDefault="000723DA" w:rsidP="00994027">
      <w:pPr>
        <w:pStyle w:val="Prrafodelista"/>
        <w:numPr>
          <w:ilvl w:val="0"/>
          <w:numId w:val="3"/>
        </w:numPr>
        <w:spacing w:line="360" w:lineRule="auto"/>
        <w:jc w:val="both"/>
        <w:rPr>
          <w:rFonts w:ascii="Palatino Linotype" w:eastAsia="Palatino Linotype" w:hAnsi="Palatino Linotype" w:cs="Palatino Linotype"/>
          <w:sz w:val="22"/>
          <w:szCs w:val="22"/>
        </w:rPr>
      </w:pPr>
      <w:r>
        <w:rPr>
          <w:rFonts w:ascii="Palatino Linotype" w:eastAsiaTheme="majorEastAsia" w:hAnsi="Palatino Linotype"/>
          <w:sz w:val="22"/>
          <w:szCs w:val="22"/>
        </w:rPr>
        <w:t>Información presupuestaria/autorización de suficiencia presupuestaria;</w:t>
      </w:r>
    </w:p>
    <w:p w14:paraId="29063E55" w14:textId="666180BA" w:rsidR="000723DA" w:rsidRPr="000723DA" w:rsidRDefault="000723DA" w:rsidP="00994027">
      <w:pPr>
        <w:pStyle w:val="Prrafodelista"/>
        <w:numPr>
          <w:ilvl w:val="0"/>
          <w:numId w:val="3"/>
        </w:numPr>
        <w:spacing w:line="360" w:lineRule="auto"/>
        <w:jc w:val="both"/>
        <w:rPr>
          <w:rFonts w:ascii="Palatino Linotype" w:eastAsia="Palatino Linotype" w:hAnsi="Palatino Linotype" w:cs="Palatino Linotype"/>
          <w:sz w:val="22"/>
          <w:szCs w:val="22"/>
        </w:rPr>
      </w:pPr>
      <w:r>
        <w:rPr>
          <w:rFonts w:ascii="Palatino Linotype" w:eastAsiaTheme="majorEastAsia" w:hAnsi="Palatino Linotype"/>
          <w:sz w:val="22"/>
          <w:szCs w:val="22"/>
        </w:rPr>
        <w:t>Fallo de la adjudicación;</w:t>
      </w:r>
    </w:p>
    <w:p w14:paraId="45944D1E" w14:textId="012DCBC0" w:rsidR="000723DA" w:rsidRDefault="00471405" w:rsidP="00994027">
      <w:pPr>
        <w:pStyle w:val="Prrafodelista"/>
        <w:numPr>
          <w:ilvl w:val="0"/>
          <w:numId w:val="3"/>
        </w:numPr>
        <w:spacing w:line="360" w:lineRule="auto"/>
        <w:jc w:val="both"/>
        <w:rPr>
          <w:rFonts w:ascii="Palatino Linotype" w:eastAsia="Palatino Linotype" w:hAnsi="Palatino Linotype" w:cs="Palatino Linotype"/>
          <w:sz w:val="22"/>
          <w:szCs w:val="22"/>
        </w:rPr>
      </w:pPr>
      <w:r>
        <w:rPr>
          <w:rFonts w:ascii="Palatino Linotype" w:eastAsiaTheme="majorEastAsia" w:hAnsi="Palatino Linotype"/>
          <w:sz w:val="22"/>
          <w:szCs w:val="22"/>
        </w:rPr>
        <w:t>Contrato de prestación de servicios</w:t>
      </w:r>
      <w:r w:rsidR="000723DA">
        <w:rPr>
          <w:rFonts w:ascii="Palatino Linotype" w:eastAsiaTheme="majorEastAsia" w:hAnsi="Palatino Linotype"/>
          <w:sz w:val="22"/>
          <w:szCs w:val="22"/>
        </w:rPr>
        <w:t xml:space="preserve"> número UNEVT/AD-019-2024</w:t>
      </w:r>
      <w:r>
        <w:rPr>
          <w:rFonts w:ascii="Palatino Linotype" w:eastAsiaTheme="majorEastAsia" w:hAnsi="Palatino Linotype"/>
          <w:sz w:val="22"/>
          <w:szCs w:val="22"/>
        </w:rPr>
        <w:t>.</w:t>
      </w:r>
    </w:p>
    <w:p w14:paraId="1655EAEC" w14:textId="77777777" w:rsidR="00471405" w:rsidRDefault="00471405" w:rsidP="00994027">
      <w:pPr>
        <w:spacing w:line="360" w:lineRule="auto"/>
        <w:contextualSpacing/>
        <w:jc w:val="both"/>
        <w:rPr>
          <w:rFonts w:ascii="Palatino Linotype" w:eastAsia="Palatino Linotype" w:hAnsi="Palatino Linotype" w:cs="Palatino Linotype"/>
          <w:sz w:val="22"/>
          <w:szCs w:val="22"/>
        </w:rPr>
      </w:pPr>
    </w:p>
    <w:p w14:paraId="43FE3FF5" w14:textId="77777777" w:rsidR="00471405" w:rsidRDefault="00471405" w:rsidP="0099402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Ante dicha circunstancia, el ahora Recurrente se inconformó porque no le proporcionaron el expediente completo al no proporcionarle la convocatoria, dictamen técnico emitido por la agencia digital del Estado, cotizaciones de las tres propuestas que no cumplieron, además precisó que </w:t>
      </w:r>
      <w:proofErr w:type="gramStart"/>
      <w:r>
        <w:rPr>
          <w:rFonts w:ascii="Palatino Linotype" w:eastAsia="Palatino Linotype" w:hAnsi="Palatino Linotype" w:cs="Palatino Linotype"/>
          <w:sz w:val="22"/>
          <w:szCs w:val="22"/>
        </w:rPr>
        <w:t>en  el</w:t>
      </w:r>
      <w:proofErr w:type="gramEnd"/>
      <w:r>
        <w:rPr>
          <w:rFonts w:ascii="Palatino Linotype" w:eastAsia="Palatino Linotype" w:hAnsi="Palatino Linotype" w:cs="Palatino Linotype"/>
          <w:sz w:val="22"/>
          <w:szCs w:val="22"/>
        </w:rPr>
        <w:t xml:space="preserve"> contrato se estableció que el cumplimiento de dicho contrato se efectuaría en tres fases para dar cumplimiento al contrato sin embargo no se advirtió dicha circunstancia.</w:t>
      </w:r>
    </w:p>
    <w:p w14:paraId="715A63FF" w14:textId="77777777" w:rsidR="00471405" w:rsidRDefault="00471405" w:rsidP="00994027">
      <w:pPr>
        <w:spacing w:line="360" w:lineRule="auto"/>
        <w:contextualSpacing/>
        <w:jc w:val="both"/>
        <w:rPr>
          <w:rFonts w:ascii="Palatino Linotype" w:eastAsia="Palatino Linotype" w:hAnsi="Palatino Linotype" w:cs="Palatino Linotype"/>
          <w:sz w:val="22"/>
          <w:szCs w:val="22"/>
        </w:rPr>
      </w:pPr>
    </w:p>
    <w:p w14:paraId="463DF89A" w14:textId="43F73DB2" w:rsidR="0034077D" w:rsidRDefault="00471405" w:rsidP="0099402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Al respecto, </w:t>
      </w:r>
      <w:r w:rsidR="0034077D">
        <w:rPr>
          <w:rFonts w:ascii="Palatino Linotype" w:eastAsia="Palatino Linotype" w:hAnsi="Palatino Linotype" w:cs="Palatino Linotype"/>
          <w:sz w:val="22"/>
          <w:szCs w:val="22"/>
        </w:rPr>
        <w:t xml:space="preserve">del análisis de los documentos proporcionados se considera que parte de la inconformidad del ahora Recurrente versa sobre documentos que deben integrarse en </w:t>
      </w:r>
      <w:proofErr w:type="gramStart"/>
      <w:r w:rsidR="0034077D">
        <w:rPr>
          <w:rFonts w:ascii="Palatino Linotype" w:eastAsia="Palatino Linotype" w:hAnsi="Palatino Linotype" w:cs="Palatino Linotype"/>
          <w:sz w:val="22"/>
          <w:szCs w:val="22"/>
        </w:rPr>
        <w:t>los procedimiento</w:t>
      </w:r>
      <w:proofErr w:type="gramEnd"/>
      <w:r w:rsidR="0034077D">
        <w:rPr>
          <w:rFonts w:ascii="Palatino Linotype" w:eastAsia="Palatino Linotype" w:hAnsi="Palatino Linotype" w:cs="Palatino Linotype"/>
          <w:sz w:val="22"/>
          <w:szCs w:val="22"/>
        </w:rPr>
        <w:t xml:space="preserve"> de licitación pública, sin embargo, en el caso que nos ocupa corresponden con </w:t>
      </w:r>
      <w:proofErr w:type="gramStart"/>
      <w:r w:rsidR="0034077D">
        <w:rPr>
          <w:rFonts w:ascii="Palatino Linotype" w:eastAsia="Palatino Linotype" w:hAnsi="Palatino Linotype" w:cs="Palatino Linotype"/>
          <w:sz w:val="22"/>
          <w:szCs w:val="22"/>
        </w:rPr>
        <w:t>documentos  relacionados</w:t>
      </w:r>
      <w:proofErr w:type="gramEnd"/>
      <w:r w:rsidR="0034077D">
        <w:rPr>
          <w:rFonts w:ascii="Palatino Linotype" w:eastAsia="Palatino Linotype" w:hAnsi="Palatino Linotype" w:cs="Palatino Linotype"/>
          <w:sz w:val="22"/>
          <w:szCs w:val="22"/>
        </w:rPr>
        <w:t xml:space="preserve"> con el procedimiento de adjudicación directa por lo que se considera que los documentos proporcionados sí dan cuenta del procedimi</w:t>
      </w:r>
      <w:r w:rsidR="00BC6BC4">
        <w:rPr>
          <w:rFonts w:ascii="Palatino Linotype" w:eastAsia="Palatino Linotype" w:hAnsi="Palatino Linotype" w:cs="Palatino Linotype"/>
          <w:sz w:val="22"/>
          <w:szCs w:val="22"/>
        </w:rPr>
        <w:t>ento de adjudicación solicitado.</w:t>
      </w:r>
    </w:p>
    <w:p w14:paraId="7F069B92" w14:textId="77777777" w:rsidR="00BC6BC4" w:rsidRDefault="00BC6BC4" w:rsidP="00994027">
      <w:pPr>
        <w:spacing w:line="360" w:lineRule="auto"/>
        <w:contextualSpacing/>
        <w:jc w:val="both"/>
        <w:rPr>
          <w:rFonts w:ascii="Palatino Linotype" w:eastAsia="Palatino Linotype" w:hAnsi="Palatino Linotype" w:cs="Palatino Linotype"/>
          <w:sz w:val="22"/>
          <w:szCs w:val="22"/>
        </w:rPr>
      </w:pPr>
    </w:p>
    <w:p w14:paraId="3B8B1BF0" w14:textId="48437625" w:rsidR="00BC6BC4" w:rsidRDefault="00BC6BC4" w:rsidP="00994027">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obstante, de la revisión de los documentos proporcionados los remitió en versión pública en el que clasificó el RFC, </w:t>
      </w:r>
      <w:proofErr w:type="gramStart"/>
      <w:r>
        <w:rPr>
          <w:rFonts w:ascii="Palatino Linotype" w:eastAsia="Palatino Linotype" w:hAnsi="Palatino Linotype" w:cs="Palatino Linotype"/>
          <w:sz w:val="22"/>
          <w:szCs w:val="22"/>
        </w:rPr>
        <w:t>CURP,  domicilio</w:t>
      </w:r>
      <w:proofErr w:type="gramEnd"/>
      <w:r>
        <w:rPr>
          <w:rFonts w:ascii="Palatino Linotype" w:eastAsia="Palatino Linotype" w:hAnsi="Palatino Linotype" w:cs="Palatino Linotype"/>
          <w:sz w:val="22"/>
          <w:szCs w:val="22"/>
        </w:rPr>
        <w:t>, y teléfono de proveedores, información que se considera de carácter pública, por lo que se considera necesario analizar dicha información a efecto de esclarecer si actualiza alguna causal de clasificación</w:t>
      </w:r>
      <w:r w:rsidR="00AD19E2">
        <w:rPr>
          <w:rFonts w:ascii="Palatino Linotype" w:eastAsia="Palatino Linotype" w:hAnsi="Palatino Linotype" w:cs="Palatino Linotype"/>
          <w:sz w:val="22"/>
          <w:szCs w:val="22"/>
        </w:rPr>
        <w:t>.</w:t>
      </w:r>
    </w:p>
    <w:p w14:paraId="4471429B" w14:textId="77777777" w:rsidR="00BC6BC4" w:rsidRDefault="00BC6BC4" w:rsidP="00994027">
      <w:pPr>
        <w:spacing w:line="360" w:lineRule="auto"/>
        <w:contextualSpacing/>
        <w:jc w:val="both"/>
        <w:rPr>
          <w:rFonts w:ascii="Palatino Linotype" w:eastAsia="Palatino Linotype" w:hAnsi="Palatino Linotype" w:cs="Palatino Linotype"/>
          <w:sz w:val="22"/>
          <w:szCs w:val="22"/>
        </w:rPr>
      </w:pPr>
    </w:p>
    <w:p w14:paraId="1C5CDFFB" w14:textId="716DDFAF"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Pr>
          <w:rFonts w:ascii="Palatino Linotype" w:hAnsi="Palatino Linotype" w:cs="Tahoma"/>
          <w:bCs/>
          <w:noProof/>
          <w:color w:val="0D0D0D" w:themeColor="text1" w:themeTint="F2"/>
          <w:sz w:val="22"/>
          <w:szCs w:val="22"/>
        </w:rPr>
        <w:t xml:space="preserve">Al respecto, </w:t>
      </w:r>
      <w:r w:rsidRPr="00AD19E2">
        <w:rPr>
          <w:rFonts w:ascii="Palatino Linotype" w:hAnsi="Palatino Linotype" w:cs="Tahoma"/>
          <w:bCs/>
          <w:noProof/>
          <w:color w:val="0D0D0D" w:themeColor="text1" w:themeTint="F2"/>
          <w:sz w:val="22"/>
          <w:szCs w:val="22"/>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209686A"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DF7883F"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carácter.</w:t>
      </w:r>
    </w:p>
    <w:p w14:paraId="0C32954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B95AE12"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843A3E3"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5F2E98C"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2F66E8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72FB4CF7"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En concordancia con lo previo, el artículo 143, fracciones I y III, de la Ley previamente citada, establece que la información privada y los datos personales, concernientes a una persona física o jurídica colectiva identificada o identificables, son confidenciales; así como, aquella presentada por los particulares con dicho carácter.</w:t>
      </w:r>
    </w:p>
    <w:p w14:paraId="2DC49FC9"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B32A5D4"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1109E9E"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5A1DCC1"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En términos de lo expuesto, la documentación y aquellos datos que se consideren confidenciales, serán una limitante del derecho de acceso a la información, siempre y cuando:</w:t>
      </w:r>
    </w:p>
    <w:p w14:paraId="6D9EAB4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7B1DDAD2" w14:textId="77777777" w:rsidR="00AD19E2" w:rsidRPr="00AD19E2" w:rsidRDefault="00AD19E2" w:rsidP="00994027">
      <w:pPr>
        <w:numPr>
          <w:ilvl w:val="0"/>
          <w:numId w:val="13"/>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Se trate de datos personales o información privada; esto es, información concerniente a una persona física o jurídico colectiva y que esta sea identificada o identificable. </w:t>
      </w:r>
    </w:p>
    <w:p w14:paraId="43609942" w14:textId="77777777" w:rsidR="00AD19E2" w:rsidRPr="00AD19E2" w:rsidRDefault="00AD19E2" w:rsidP="00994027">
      <w:pPr>
        <w:numPr>
          <w:ilvl w:val="0"/>
          <w:numId w:val="13"/>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Para la difusión de los datos, se requiera el consentimiento del titular. </w:t>
      </w:r>
    </w:p>
    <w:p w14:paraId="6BE45343"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315B2CD3"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1D35B52"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p>
    <w:p w14:paraId="746302E5" w14:textId="77777777" w:rsidR="00AD19E2" w:rsidRPr="00AD19E2" w:rsidRDefault="00AD19E2" w:rsidP="00994027">
      <w:pPr>
        <w:numPr>
          <w:ilvl w:val="0"/>
          <w:numId w:val="14"/>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Nombre de persona física</w:t>
      </w:r>
    </w:p>
    <w:p w14:paraId="15730E8B"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p>
    <w:p w14:paraId="7A01AE01"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Proveedor</w:t>
      </w:r>
    </w:p>
    <w:p w14:paraId="2D7D4F74"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3B5DEEFB"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D19E2">
        <w:rPr>
          <w:rFonts w:ascii="Palatino Linotype" w:hAnsi="Palatino Linotype" w:cs="Tahoma"/>
          <w:bCs/>
          <w:i/>
          <w:noProof/>
          <w:color w:val="0D0D0D" w:themeColor="text1" w:themeTint="F2"/>
          <w:sz w:val="22"/>
          <w:szCs w:val="22"/>
        </w:rPr>
        <w:t>per se</w:t>
      </w:r>
      <w:r w:rsidRPr="00AD19E2">
        <w:rPr>
          <w:rFonts w:ascii="Palatino Linotype" w:hAnsi="Palatino Linotype" w:cs="Tahoma"/>
          <w:bCs/>
          <w:noProof/>
          <w:color w:val="0D0D0D" w:themeColor="text1" w:themeTint="F2"/>
          <w:sz w:val="22"/>
          <w:szCs w:val="22"/>
        </w:rPr>
        <w:t xml:space="preserve"> es un elemento que hace a una persona física identificada o identificable.</w:t>
      </w:r>
    </w:p>
    <w:p w14:paraId="1DA5E4DC"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 xml:space="preserve"> </w:t>
      </w:r>
    </w:p>
    <w:p w14:paraId="00497EF4"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AD19E2">
        <w:rPr>
          <w:rFonts w:ascii="Palatino Linotype" w:hAnsi="Palatino Linotype" w:cs="Tahoma"/>
          <w:b/>
          <w:bCs/>
          <w:noProof/>
          <w:color w:val="0D0D0D" w:themeColor="text1" w:themeTint="F2"/>
          <w:sz w:val="22"/>
          <w:szCs w:val="22"/>
        </w:rPr>
        <w:t>los nombres de aquellos que reciben recursos públicos (proveedores),</w:t>
      </w:r>
      <w:r w:rsidRPr="00AD19E2">
        <w:rPr>
          <w:rFonts w:ascii="Palatino Linotype" w:hAnsi="Palatino Linotype" w:cs="Tahoma"/>
          <w:bCs/>
          <w:noProof/>
          <w:color w:val="0D0D0D" w:themeColor="text1" w:themeTint="F2"/>
          <w:sz w:val="22"/>
          <w:szCs w:val="22"/>
        </w:rPr>
        <w:t xml:space="preserve"> ya que la difusión de dicho dato constituye una obligación de transparencia por parte de los sujetos obligados.</w:t>
      </w:r>
    </w:p>
    <w:p w14:paraId="1E97FE81"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80B669E"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AD19E2">
        <w:rPr>
          <w:rFonts w:ascii="Palatino Linotype" w:hAnsi="Palatino Linotype" w:cs="Tahoma"/>
          <w:b/>
          <w:bCs/>
          <w:noProof/>
          <w:color w:val="0D0D0D" w:themeColor="text1" w:themeTint="F2"/>
          <w:sz w:val="22"/>
          <w:szCs w:val="22"/>
        </w:rPr>
        <w:t>Padrón de proveedores y contratistas.</w:t>
      </w:r>
    </w:p>
    <w:p w14:paraId="786C95C2"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78BA35EC"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1AB3A815"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7943DF27"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lang w:eastAsia="es-MX"/>
        </w:rPr>
        <w:drawing>
          <wp:inline distT="0" distB="0" distL="0" distR="0" wp14:anchorId="04059C24" wp14:editId="6643BB09">
            <wp:extent cx="5742940" cy="752475"/>
            <wp:effectExtent l="0" t="0" r="0" b="9525"/>
            <wp:docPr id="115694774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40" cy="752475"/>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3BD4DDD8"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lang w:eastAsia="es-MX"/>
        </w:rPr>
        <w:drawing>
          <wp:inline distT="0" distB="0" distL="0" distR="0" wp14:anchorId="4F6B3DAE" wp14:editId="602A2E40">
            <wp:extent cx="5742940" cy="495300"/>
            <wp:effectExtent l="0" t="0" r="0" b="0"/>
            <wp:docPr id="2884811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495300"/>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704F78EA"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lastRenderedPageBreak/>
        <w:t xml:space="preserve"> </w:t>
      </w:r>
    </w:p>
    <w:p w14:paraId="33DE93DB"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Por lo tanto, la Ley de Transparencia y Acceso a la Información Pública del Estado de México y Municipios, considera que </w:t>
      </w:r>
      <w:r w:rsidRPr="00AD19E2">
        <w:rPr>
          <w:rFonts w:ascii="Palatino Linotype" w:hAnsi="Palatino Linotype" w:cs="Tahoma"/>
          <w:b/>
          <w:bCs/>
          <w:noProof/>
          <w:color w:val="0D0D0D" w:themeColor="text1" w:themeTint="F2"/>
          <w:sz w:val="22"/>
          <w:szCs w:val="22"/>
        </w:rPr>
        <w:t xml:space="preserve">los datos de aquellas personas que recibieron recursos públicos, por regla general, </w:t>
      </w:r>
      <w:r w:rsidRPr="00AD19E2">
        <w:rPr>
          <w:rFonts w:ascii="Palatino Linotype" w:hAnsi="Palatino Linotype" w:cs="Tahoma"/>
          <w:bCs/>
          <w:noProof/>
          <w:color w:val="0D0D0D" w:themeColor="text1" w:themeTint="F2"/>
          <w:sz w:val="22"/>
          <w:szCs w:val="22"/>
        </w:rPr>
        <w:t xml:space="preserve">son de naturaleza pública, ya que su publicidad orienta a cumplir los objetivos que persigue la Ley; toda vez, </w:t>
      </w:r>
      <w:r w:rsidRPr="00AD19E2">
        <w:rPr>
          <w:rFonts w:ascii="Palatino Linotype" w:hAnsi="Palatino Linotype" w:cs="Tahoma"/>
          <w:b/>
          <w:bCs/>
          <w:noProof/>
          <w:color w:val="0D0D0D" w:themeColor="text1" w:themeTint="F2"/>
          <w:sz w:val="22"/>
          <w:szCs w:val="22"/>
        </w:rPr>
        <w:t>que ayuda a transparentar a quienes se les han otorgado recursos públicos, así como, porque razones se les otorgaron dichos montos.</w:t>
      </w:r>
    </w:p>
    <w:p w14:paraId="7CDB134B"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7B80232C"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lo que, se considera que no procede la clasificación del nombre de los proveedores, en términos del artículo 143, fracción I de la Ley de Transparencia y Acceso a la Información Pública del Estado de México y Municipios.</w:t>
      </w:r>
    </w:p>
    <w:p w14:paraId="7DD243CB"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067FC9D8"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Representante legal</w:t>
      </w:r>
    </w:p>
    <w:p w14:paraId="6F6F2A20"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p>
    <w:p w14:paraId="16AFF27B"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r w:rsidRPr="00AD19E2">
        <w:rPr>
          <w:rFonts w:ascii="Palatino Linotype" w:eastAsia="Palatino Linotype" w:hAnsi="Palatino Linotype" w:cs="Palatino Linotype"/>
          <w:sz w:val="22"/>
          <w:szCs w:val="22"/>
          <w:lang w:eastAsia="es-MX"/>
        </w:rPr>
        <w:t>Al respecto, resulta necesario señalar que los proveedores pueden ser representadas mediante personas físicas, debidamente acreditadas para realizar determinados actos a nombre de estos, por lo que, el nombre de dichos individuos no puede ser objeto de clasificación, en virtud de que la representación persigue la finalidad de dar certeza jurídica a los actos que realiza, en el presente caso, aceptar y recibir un permiso de uso de vía pública, a nombre de la persona moral.</w:t>
      </w:r>
    </w:p>
    <w:p w14:paraId="76F61F0A" w14:textId="77777777" w:rsidR="00AD19E2" w:rsidRPr="00AD19E2" w:rsidRDefault="00AD19E2" w:rsidP="00994027">
      <w:pPr>
        <w:spacing w:line="360" w:lineRule="auto"/>
        <w:contextualSpacing/>
        <w:jc w:val="both"/>
        <w:rPr>
          <w:rFonts w:ascii="Palatino Linotype" w:eastAsia="Palatino Linotype" w:hAnsi="Palatino Linotype" w:cs="Palatino Linotype"/>
          <w:color w:val="FF0000"/>
          <w:sz w:val="22"/>
          <w:szCs w:val="22"/>
          <w:lang w:eastAsia="es-MX"/>
        </w:rPr>
      </w:pPr>
    </w:p>
    <w:p w14:paraId="5B11B1FA"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r w:rsidRPr="00AD19E2">
        <w:rPr>
          <w:rFonts w:ascii="Palatino Linotype" w:eastAsia="Palatino Linotype" w:hAnsi="Palatino Linotype" w:cs="Palatino Linotype"/>
          <w:sz w:val="22"/>
          <w:szCs w:val="22"/>
          <w:lang w:eastAsia="es-MX"/>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0E59AA9" w14:textId="77777777" w:rsidR="00AD19E2" w:rsidRPr="00AD19E2" w:rsidRDefault="00AD19E2" w:rsidP="00994027">
      <w:pPr>
        <w:spacing w:line="360" w:lineRule="auto"/>
        <w:contextualSpacing/>
        <w:jc w:val="both"/>
        <w:rPr>
          <w:rFonts w:ascii="Palatino Linotype" w:eastAsia="Palatino Linotype" w:hAnsi="Palatino Linotype" w:cs="Palatino Linotype"/>
          <w:color w:val="FF0000"/>
          <w:sz w:val="22"/>
          <w:szCs w:val="22"/>
          <w:lang w:eastAsia="es-MX"/>
        </w:rPr>
      </w:pPr>
    </w:p>
    <w:p w14:paraId="136B333E"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r w:rsidRPr="00AD19E2">
        <w:rPr>
          <w:rFonts w:ascii="Palatino Linotype" w:eastAsia="Palatino Linotype" w:hAnsi="Palatino Linotype" w:cs="Palatino Linotype"/>
          <w:sz w:val="22"/>
          <w:szCs w:val="22"/>
          <w:lang w:eastAsia="es-MX"/>
        </w:rPr>
        <w:lastRenderedPageBreak/>
        <w:t>En esa tesitura, la representación de las personas se realizará por medio de representantes o apoderados, y en el caso específico de las sociedades mercantiles, dicha representación se otorgará mediante instrumento público.</w:t>
      </w:r>
    </w:p>
    <w:p w14:paraId="12998FF1" w14:textId="77777777" w:rsidR="00AD19E2" w:rsidRPr="00AD19E2" w:rsidRDefault="00AD19E2" w:rsidP="00994027">
      <w:pPr>
        <w:spacing w:line="360" w:lineRule="auto"/>
        <w:contextualSpacing/>
        <w:jc w:val="both"/>
        <w:rPr>
          <w:rFonts w:ascii="Palatino Linotype" w:eastAsia="Palatino Linotype" w:hAnsi="Palatino Linotype" w:cs="Palatino Linotype"/>
          <w:color w:val="FF0000"/>
          <w:sz w:val="22"/>
          <w:szCs w:val="22"/>
          <w:lang w:eastAsia="es-MX"/>
        </w:rPr>
      </w:pPr>
    </w:p>
    <w:p w14:paraId="2833CFCB"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r w:rsidRPr="00AD19E2">
        <w:rPr>
          <w:rFonts w:ascii="Palatino Linotype" w:eastAsia="Palatino Linotype" w:hAnsi="Palatino Linotype" w:cs="Palatino Linotype"/>
          <w:sz w:val="22"/>
          <w:szCs w:val="22"/>
          <w:lang w:eastAsia="es-MX"/>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66B75DE9" w14:textId="77777777" w:rsidR="00AD19E2" w:rsidRPr="00AD19E2" w:rsidRDefault="00AD19E2" w:rsidP="00994027">
      <w:pPr>
        <w:spacing w:line="360" w:lineRule="auto"/>
        <w:contextualSpacing/>
        <w:jc w:val="both"/>
        <w:rPr>
          <w:rFonts w:ascii="Palatino Linotype" w:eastAsia="Palatino Linotype" w:hAnsi="Palatino Linotype" w:cs="Palatino Linotype"/>
          <w:color w:val="FF0000"/>
          <w:sz w:val="22"/>
          <w:szCs w:val="22"/>
          <w:lang w:eastAsia="es-MX"/>
        </w:rPr>
      </w:pPr>
    </w:p>
    <w:p w14:paraId="239A9235"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r w:rsidRPr="00AD19E2">
        <w:rPr>
          <w:rFonts w:ascii="Palatino Linotype" w:eastAsia="Palatino Linotype" w:hAnsi="Palatino Linotype" w:cs="Palatino Linotype"/>
          <w:sz w:val="22"/>
          <w:szCs w:val="22"/>
          <w:lang w:eastAsia="es-MX"/>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y firma del apoderado legal de una empresa, </w:t>
      </w:r>
      <w:r w:rsidRPr="00AD19E2">
        <w:rPr>
          <w:rFonts w:ascii="Palatino Linotype" w:eastAsia="Palatino Linotype" w:hAnsi="Palatino Linotype" w:cs="Palatino Linotype"/>
          <w:b/>
          <w:sz w:val="22"/>
          <w:szCs w:val="22"/>
          <w:lang w:eastAsia="es-MX"/>
        </w:rPr>
        <w:t xml:space="preserve">es público, </w:t>
      </w:r>
      <w:r w:rsidRPr="00AD19E2">
        <w:rPr>
          <w:rFonts w:ascii="Palatino Linotype" w:eastAsia="Palatino Linotype" w:hAnsi="Palatino Linotype" w:cs="Palatino Linotype"/>
          <w:sz w:val="22"/>
          <w:szCs w:val="22"/>
          <w:lang w:eastAsia="es-MX"/>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7BE7B791" w14:textId="77777777" w:rsidR="00AD19E2" w:rsidRPr="00AD19E2" w:rsidRDefault="00AD19E2" w:rsidP="00994027">
      <w:pPr>
        <w:spacing w:line="360" w:lineRule="auto"/>
        <w:contextualSpacing/>
        <w:jc w:val="both"/>
        <w:rPr>
          <w:rFonts w:ascii="Palatino Linotype" w:eastAsia="Palatino Linotype" w:hAnsi="Palatino Linotype" w:cs="Palatino Linotype"/>
          <w:color w:val="FF0000"/>
          <w:sz w:val="22"/>
          <w:szCs w:val="22"/>
          <w:lang w:eastAsia="es-MX"/>
        </w:rPr>
      </w:pPr>
    </w:p>
    <w:p w14:paraId="037A3E59"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r w:rsidRPr="00AD19E2">
        <w:rPr>
          <w:rFonts w:ascii="Palatino Linotype" w:eastAsia="Palatino Linotype" w:hAnsi="Palatino Linotype" w:cs="Palatino Linotype"/>
          <w:sz w:val="22"/>
          <w:szCs w:val="22"/>
          <w:lang w:eastAsia="es-MX"/>
        </w:rPr>
        <w:t>Lo anterior, se robustece con el Criterio de Interpretación, de la Segunda Época, con clave de control SO/001/2019, emitido por el Instituto Nacional de Transparencia, Acceso a la Información y Protección de Datos Personales, que establece lo siguiente:</w:t>
      </w:r>
    </w:p>
    <w:p w14:paraId="03B69BCD"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p>
    <w:p w14:paraId="0F83B52F" w14:textId="77777777" w:rsidR="00AD19E2" w:rsidRPr="00AD19E2" w:rsidRDefault="00AD19E2" w:rsidP="00994027">
      <w:pPr>
        <w:spacing w:line="360" w:lineRule="auto"/>
        <w:ind w:left="567" w:right="567"/>
        <w:contextualSpacing/>
        <w:jc w:val="both"/>
        <w:rPr>
          <w:rFonts w:ascii="Palatino Linotype" w:eastAsia="Palatino Linotype" w:hAnsi="Palatino Linotype" w:cs="Palatino Linotype"/>
          <w:i/>
          <w:lang w:eastAsia="es-MX"/>
        </w:rPr>
      </w:pPr>
      <w:r w:rsidRPr="00AD19E2">
        <w:rPr>
          <w:rFonts w:ascii="Palatino Linotype" w:eastAsia="Palatino Linotype" w:hAnsi="Palatino Linotype" w:cs="Palatino Linotype"/>
          <w:b/>
          <w:i/>
          <w:lang w:eastAsia="es-MX"/>
        </w:rPr>
        <w:t>“Datos de identificación del representante o apoderado legal.</w:t>
      </w:r>
      <w:r w:rsidRPr="00AD19E2">
        <w:rPr>
          <w:rFonts w:ascii="Palatino Linotype" w:eastAsia="Palatino Linotype" w:hAnsi="Palatino Linotype" w:cs="Palatino Linotype"/>
          <w:i/>
          <w:lang w:eastAsia="es-MX"/>
        </w:rPr>
        <w:t xml:space="preserve"> </w:t>
      </w:r>
      <w:r w:rsidRPr="00AD19E2">
        <w:rPr>
          <w:rFonts w:ascii="Palatino Linotype" w:eastAsia="Palatino Linotype" w:hAnsi="Palatino Linotype" w:cs="Palatino Linotype"/>
          <w:b/>
          <w:i/>
          <w:lang w:eastAsia="es-MX"/>
        </w:rPr>
        <w:t xml:space="preserve">Naturaleza jurídica. </w:t>
      </w:r>
      <w:r w:rsidRPr="00AD19E2">
        <w:rPr>
          <w:rFonts w:ascii="Palatino Linotype" w:eastAsia="Palatino Linotype" w:hAnsi="Palatino Linotype" w:cs="Palatino Linotype"/>
          <w:i/>
          <w:lang w:eastAsia="es-MX"/>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ACA77E8" w14:textId="77777777" w:rsidR="00AD19E2" w:rsidRPr="00AD19E2" w:rsidRDefault="00AD19E2" w:rsidP="00994027">
      <w:pPr>
        <w:spacing w:line="360" w:lineRule="auto"/>
        <w:contextualSpacing/>
        <w:jc w:val="both"/>
        <w:rPr>
          <w:rFonts w:ascii="Palatino Linotype" w:eastAsia="Palatino Linotype" w:hAnsi="Palatino Linotype" w:cs="Palatino Linotype"/>
          <w:color w:val="FF0000"/>
          <w:sz w:val="22"/>
          <w:szCs w:val="22"/>
          <w:lang w:eastAsia="es-MX"/>
        </w:rPr>
      </w:pPr>
    </w:p>
    <w:p w14:paraId="5466E316" w14:textId="77777777" w:rsidR="00AD19E2" w:rsidRPr="00AD19E2" w:rsidRDefault="00AD19E2" w:rsidP="00994027">
      <w:pPr>
        <w:spacing w:line="360" w:lineRule="auto"/>
        <w:contextualSpacing/>
        <w:jc w:val="both"/>
        <w:rPr>
          <w:rFonts w:ascii="Palatino Linotype" w:eastAsia="Palatino Linotype" w:hAnsi="Palatino Linotype" w:cs="Palatino Linotype"/>
          <w:sz w:val="22"/>
          <w:szCs w:val="22"/>
          <w:lang w:eastAsia="es-MX"/>
        </w:rPr>
      </w:pPr>
      <w:r w:rsidRPr="00AD19E2">
        <w:rPr>
          <w:rFonts w:ascii="Palatino Linotype" w:eastAsia="Palatino Linotype" w:hAnsi="Palatino Linotype" w:cs="Palatino Linotype"/>
          <w:sz w:val="22"/>
          <w:szCs w:val="22"/>
          <w:lang w:eastAsia="es-MX"/>
        </w:rPr>
        <w:t>Ante tales situaciones, el nombre del representante legal, de una persona (física o moral) que celebra un contrato con el Ayuntamiento, no es susceptible de ser clasificado como confidencial, en términos del artículo 143, fracción I, de la Ley Federal de Transparencia y Acceso a la Información Pública.</w:t>
      </w:r>
    </w:p>
    <w:p w14:paraId="0A229ABD"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p>
    <w:p w14:paraId="6C96ECAB" w14:textId="77777777" w:rsidR="00AD19E2" w:rsidRPr="00AD19E2" w:rsidRDefault="00AD19E2" w:rsidP="00994027">
      <w:pPr>
        <w:numPr>
          <w:ilvl w:val="0"/>
          <w:numId w:val="14"/>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Denominación o razón Social de proveedores personas morales.</w:t>
      </w:r>
    </w:p>
    <w:p w14:paraId="75025C2C"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7696EE2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173B5D35"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B738AA7" w14:textId="77777777" w:rsidR="00AD19E2" w:rsidRPr="00AD19E2" w:rsidRDefault="00AD19E2" w:rsidP="00994027">
      <w:pPr>
        <w:spacing w:line="360" w:lineRule="auto"/>
        <w:ind w:left="567" w:right="567"/>
        <w:contextualSpacing/>
        <w:jc w:val="both"/>
        <w:rPr>
          <w:rFonts w:ascii="Palatino Linotype" w:hAnsi="Palatino Linotype" w:cs="Tahoma"/>
          <w:bCs/>
          <w:i/>
          <w:noProof/>
          <w:color w:val="0D0D0D" w:themeColor="text1" w:themeTint="F2"/>
        </w:rPr>
      </w:pPr>
      <w:r w:rsidRPr="00AD19E2">
        <w:rPr>
          <w:rFonts w:ascii="Palatino Linotype" w:hAnsi="Palatino Linotype" w:cs="Tahoma"/>
          <w:b/>
          <w:bCs/>
          <w:i/>
          <w:noProof/>
          <w:color w:val="0D0D0D" w:themeColor="text1" w:themeTint="F2"/>
        </w:rPr>
        <w:t xml:space="preserve">“Razón social y RFC de personas morales. </w:t>
      </w:r>
      <w:r w:rsidRPr="00AD19E2">
        <w:rPr>
          <w:rFonts w:ascii="Palatino Linotype" w:hAnsi="Palatino Linotype" w:cs="Tahoma"/>
          <w:bCs/>
          <w:i/>
          <w:noProof/>
          <w:color w:val="0D0D0D" w:themeColor="text1" w:themeTint="F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A9AFEAF"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27296D7F"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el título quinto y en la fracción IV del artículo 31 de la Ley General de </w:t>
      </w:r>
      <w:r w:rsidRPr="00AD19E2">
        <w:rPr>
          <w:rFonts w:ascii="Palatino Linotype" w:hAnsi="Palatino Linotype" w:cs="Tahoma"/>
          <w:bCs/>
          <w:noProof/>
          <w:color w:val="0D0D0D" w:themeColor="text1" w:themeTint="F2"/>
          <w:sz w:val="22"/>
          <w:szCs w:val="22"/>
        </w:rPr>
        <w:lastRenderedPageBreak/>
        <w:t>Transparencia y Acceso a la Información Pública, que deben de difundir los sujetos obligados en los portales de Internet y en la Plataforma Nacional de Transparencia.</w:t>
      </w:r>
    </w:p>
    <w:p w14:paraId="7B5A669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61EBDAB"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lo tanto, no procede la clasificación de la denominación o razón social de los proveedores personas morales, en términos del artículo 143, fracción I de la Ley de Transparencia y Acceso a la Información Pública del Estado de México y Municipios.</w:t>
      </w:r>
    </w:p>
    <w:p w14:paraId="745F2B0D"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2037B13" w14:textId="77777777" w:rsidR="00AD19E2" w:rsidRPr="00AD19E2" w:rsidRDefault="00AD19E2" w:rsidP="00994027">
      <w:pPr>
        <w:numPr>
          <w:ilvl w:val="0"/>
          <w:numId w:val="15"/>
        </w:num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Registro Federal de Contribuyentes de proveedor</w:t>
      </w:r>
    </w:p>
    <w:p w14:paraId="5A954A5D" w14:textId="77777777" w:rsidR="00AD19E2" w:rsidRPr="00AD19E2" w:rsidRDefault="00AD19E2" w:rsidP="00994027">
      <w:p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iCs/>
          <w:noProof/>
          <w:color w:val="0D0D0D" w:themeColor="text1" w:themeTint="F2"/>
          <w:sz w:val="22"/>
          <w:szCs w:val="22"/>
        </w:rPr>
        <w:t xml:space="preserve"> </w:t>
      </w:r>
    </w:p>
    <w:p w14:paraId="2C52B00C"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Persona física:</w:t>
      </w:r>
    </w:p>
    <w:p w14:paraId="7B389A2B"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457F4D5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AD19E2">
        <w:rPr>
          <w:rFonts w:ascii="Palatino Linotype" w:hAnsi="Palatino Linotype" w:cs="Tahoma"/>
          <w:b/>
          <w:bCs/>
          <w:noProof/>
          <w:color w:val="0D0D0D" w:themeColor="text1" w:themeTint="F2"/>
          <w:sz w:val="22"/>
          <w:szCs w:val="22"/>
        </w:rPr>
        <w:t>la cédula de identificación fiscal (Registro Federal de Contribuyentes);</w:t>
      </w:r>
      <w:r w:rsidRPr="00AD19E2">
        <w:rPr>
          <w:rFonts w:ascii="Palatino Linotype" w:hAnsi="Palatino Linotype" w:cs="Tahoma"/>
          <w:bCs/>
          <w:noProof/>
          <w:color w:val="0D0D0D" w:themeColor="text1" w:themeTint="F2"/>
          <w:sz w:val="22"/>
          <w:szCs w:val="22"/>
        </w:rPr>
        <w:t xml:space="preserve"> por lo que la entrega de dicho dato permite verificar cumplimiento de esta disposición legal.</w:t>
      </w:r>
    </w:p>
    <w:p w14:paraId="3FC70E32"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2787D36"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Por lo tanto, </w:t>
      </w:r>
      <w:r w:rsidRPr="00AD19E2">
        <w:rPr>
          <w:rFonts w:ascii="Palatino Linotype" w:hAnsi="Palatino Linotype" w:cs="Tahoma"/>
          <w:b/>
          <w:bCs/>
          <w:noProof/>
          <w:color w:val="0D0D0D" w:themeColor="text1" w:themeTint="F2"/>
          <w:sz w:val="22"/>
          <w:szCs w:val="22"/>
        </w:rPr>
        <w:t>en el presente caso, si bien el Registro Federal de Contribuyentes de personas físicas es un dato personal, también lo es, que corresponde a un requisito indispensable para ser proveedor y poder llevar a cabo actividades comerciales con la Entidad</w:t>
      </w:r>
      <w:r w:rsidRPr="00AD19E2">
        <w:rPr>
          <w:rFonts w:ascii="Palatino Linotype" w:hAnsi="Palatino Linotype" w:cs="Tahoma"/>
          <w:bCs/>
          <w:noProof/>
          <w:color w:val="0D0D0D" w:themeColor="text1" w:themeTint="F2"/>
          <w:sz w:val="22"/>
          <w:szCs w:val="22"/>
        </w:rPr>
        <w:t xml:space="preserve">, ya que, sin este, no se pueden realizar dichas acciones, </w:t>
      </w:r>
      <w:r w:rsidRPr="00AD19E2">
        <w:rPr>
          <w:rFonts w:ascii="Palatino Linotype" w:hAnsi="Palatino Linotype" w:cs="Tahoma"/>
          <w:b/>
          <w:bCs/>
          <w:noProof/>
          <w:color w:val="0D0D0D" w:themeColor="text1" w:themeTint="F2"/>
          <w:sz w:val="22"/>
          <w:szCs w:val="22"/>
        </w:rPr>
        <w:t>por lo que su entrega es un elemento adicional que respalda la legalidad de los procesos adquisitivos.</w:t>
      </w:r>
    </w:p>
    <w:p w14:paraId="736873C7"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092EA07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 xml:space="preserve">En ese contexto, entregar el Registro Federal de Contribuyentes aún de personas físicas cuando son proveedores de instituciones públicas, </w:t>
      </w:r>
      <w:r w:rsidRPr="00AD19E2">
        <w:rPr>
          <w:rFonts w:ascii="Palatino Linotype" w:hAnsi="Palatino Linotype" w:cs="Tahoma"/>
          <w:b/>
          <w:bCs/>
          <w:noProof/>
          <w:color w:val="0D0D0D" w:themeColor="text1" w:themeTint="F2"/>
          <w:sz w:val="22"/>
          <w:szCs w:val="22"/>
        </w:rPr>
        <w:t>propiciaría la rendición de cuentas</w:t>
      </w:r>
      <w:r w:rsidRPr="00AD19E2">
        <w:rPr>
          <w:rFonts w:ascii="Palatino Linotype" w:hAnsi="Palatino Linotype" w:cs="Tahoma"/>
          <w:bCs/>
          <w:noProof/>
          <w:color w:val="0D0D0D" w:themeColor="text1" w:themeTint="F2"/>
          <w:sz w:val="22"/>
          <w:szCs w:val="22"/>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CCEC2C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3134C6D"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Lo anterior, se robustece con el Criterio de Interpretación, de la Segunda Época, con número de registro SO/004/2021, emitido por el Instituto Nacional de Transparencia, Acceso a la Información y Protección de Datos Personales, en el cual se señala lo siguiente:</w:t>
      </w:r>
    </w:p>
    <w:p w14:paraId="166795F1"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EEFF5B4" w14:textId="77777777" w:rsidR="00AD19E2" w:rsidRPr="00AD19E2" w:rsidRDefault="00AD19E2" w:rsidP="00994027">
      <w:pPr>
        <w:spacing w:line="360" w:lineRule="auto"/>
        <w:ind w:left="567" w:right="567"/>
        <w:contextualSpacing/>
        <w:jc w:val="both"/>
        <w:rPr>
          <w:rFonts w:ascii="Palatino Linotype" w:hAnsi="Palatino Linotype" w:cs="Tahoma"/>
          <w:bCs/>
          <w:i/>
          <w:noProof/>
          <w:color w:val="0D0D0D" w:themeColor="text1" w:themeTint="F2"/>
        </w:rPr>
      </w:pPr>
      <w:r w:rsidRPr="00AD19E2">
        <w:rPr>
          <w:rFonts w:ascii="Palatino Linotype" w:hAnsi="Palatino Linotype" w:cs="Tahoma"/>
          <w:b/>
          <w:bCs/>
          <w:i/>
          <w:noProof/>
          <w:color w:val="0D0D0D" w:themeColor="text1" w:themeTint="F2"/>
        </w:rPr>
        <w:t xml:space="preserve">“Registro Federal de Contribuyentes (RFC) de personas físicas proveedores o contratistas. </w:t>
      </w:r>
      <w:r w:rsidRPr="00AD19E2">
        <w:rPr>
          <w:rFonts w:ascii="Palatino Linotype" w:hAnsi="Palatino Linotype" w:cs="Tahoma"/>
          <w:bCs/>
          <w:i/>
          <w:noProof/>
          <w:color w:val="0D0D0D" w:themeColor="text1" w:themeTint="F2"/>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6B1B8E1"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B0E7C50"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u w:val="single"/>
        </w:rPr>
      </w:pPr>
      <w:r w:rsidRPr="00AD19E2">
        <w:rPr>
          <w:rFonts w:ascii="Palatino Linotype" w:hAnsi="Palatino Linotype" w:cs="Tahoma"/>
          <w:bCs/>
          <w:noProof/>
          <w:color w:val="0D0D0D" w:themeColor="text1" w:themeTint="F2"/>
          <w:sz w:val="22"/>
          <w:szCs w:val="22"/>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15C3C42F"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1249FE9E"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Persona Moral</w:t>
      </w:r>
    </w:p>
    <w:p w14:paraId="3BB9A813"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C71AEFA"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Al respecto, el Registro Federal de Contribuyentes, inicia con un preinscripción por Internet y se concluye en cualquier Administración Desconcentrada de Servicios al Contribuyente, </w:t>
      </w:r>
      <w:r w:rsidRPr="00AD19E2">
        <w:rPr>
          <w:rFonts w:ascii="Palatino Linotype" w:hAnsi="Palatino Linotype" w:cs="Tahoma"/>
          <w:bCs/>
          <w:noProof/>
          <w:color w:val="0D0D0D" w:themeColor="text1" w:themeTint="F2"/>
          <w:sz w:val="22"/>
          <w:szCs w:val="22"/>
        </w:rPr>
        <w:lastRenderedPageBreak/>
        <w:t>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10529101"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A91813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ende, la información correspondiente al Registro Federal de Contribuyentes de una persona moral da cuenta del cumplimiento o no en sus obligaciones fiscales; por tanto, no se actualiza su clasificación como confidencial.</w:t>
      </w:r>
    </w:p>
    <w:p w14:paraId="4B17217A"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16C20E2"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3C36569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BA4CC8E"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4C481410" w14:textId="77777777" w:rsidR="00AD19E2" w:rsidRPr="00AD19E2" w:rsidRDefault="00AD19E2" w:rsidP="00994027">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043697A9" w14:textId="77777777" w:rsidR="00AD19E2" w:rsidRPr="00AD19E2" w:rsidRDefault="00AD19E2" w:rsidP="00994027">
      <w:pPr>
        <w:numPr>
          <w:ilvl w:val="0"/>
          <w:numId w:val="14"/>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Número de teléfono de proveedor.</w:t>
      </w:r>
    </w:p>
    <w:p w14:paraId="3D64ECCF" w14:textId="77777777" w:rsidR="00AD19E2" w:rsidRPr="00AD19E2" w:rsidRDefault="00AD19E2" w:rsidP="00994027">
      <w:p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iCs/>
          <w:noProof/>
          <w:color w:val="0D0D0D" w:themeColor="text1" w:themeTint="F2"/>
          <w:sz w:val="22"/>
          <w:szCs w:val="22"/>
        </w:rPr>
        <w:t xml:space="preserve"> </w:t>
      </w:r>
    </w:p>
    <w:p w14:paraId="63DDA6CD"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El número asignado a un teléfono, permite localizar, en el presente caso, de un proveedor, ya sea a través de un dispositivo móvil o bien, en un lugar como el domicilio; por lo que, se trata de un medio de contacto con el proveedor que tiene el Sujeto Obligado, los cuales, si bien hacen identificable a una persona, en el presente caso, se trata de una persona proveedora que recibe recursos públicos, derivado de los contratos celebrados con el Ayuntamieento y, por lo tanto, dicho dato guarda la naturaleza de público.</w:t>
      </w:r>
    </w:p>
    <w:p w14:paraId="4954EC00"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9EE9A8F"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31AC42A2" w14:textId="77777777" w:rsidR="00AD19E2" w:rsidRPr="00AD19E2" w:rsidRDefault="00AD19E2" w:rsidP="00994027">
      <w:p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iCs/>
          <w:noProof/>
          <w:color w:val="0D0D0D" w:themeColor="text1" w:themeTint="F2"/>
          <w:sz w:val="22"/>
          <w:szCs w:val="22"/>
        </w:rPr>
        <w:t xml:space="preserve"> </w:t>
      </w:r>
    </w:p>
    <w:p w14:paraId="3884FCCC"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lang w:eastAsia="es-MX"/>
        </w:rPr>
        <w:drawing>
          <wp:inline distT="0" distB="0" distL="0" distR="0" wp14:anchorId="4D3D389F" wp14:editId="40B210C4">
            <wp:extent cx="5686425" cy="1457325"/>
            <wp:effectExtent l="0" t="0" r="9525" b="9525"/>
            <wp:docPr id="19050770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1457325"/>
                    </a:xfrm>
                    <a:prstGeom prst="rect">
                      <a:avLst/>
                    </a:prstGeom>
                    <a:noFill/>
                    <a:ln>
                      <a:noFill/>
                    </a:ln>
                  </pic:spPr>
                </pic:pic>
              </a:graphicData>
            </a:graphic>
          </wp:inline>
        </w:drawing>
      </w:r>
    </w:p>
    <w:p w14:paraId="60E2DD92"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7A5B247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Como se logra observar, el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1593082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4ACA40C" w14:textId="77777777" w:rsidR="00AD19E2" w:rsidRPr="00AD19E2" w:rsidRDefault="00AD19E2" w:rsidP="00994027">
      <w:pPr>
        <w:numPr>
          <w:ilvl w:val="0"/>
          <w:numId w:val="14"/>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lastRenderedPageBreak/>
        <w:t>Domicilio Fiscal o legal para recibir y oír notificaciones (proveedor persona física o moral).</w:t>
      </w:r>
    </w:p>
    <w:p w14:paraId="1F2B2D0B" w14:textId="77777777" w:rsid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p>
    <w:p w14:paraId="2E1E3F12"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59665FCB"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7230652" w14:textId="4FA714AE"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De la misma manera, lo establece los diversos 29 y 33 del Código Civil Federal, al precisar que el domicilio de personas físicas</w:t>
      </w:r>
      <w:r w:rsidRPr="00AD19E2">
        <w:rPr>
          <w:rFonts w:ascii="Palatino Linotype" w:hAnsi="Palatino Linotype" w:cs="Tahoma"/>
          <w:b/>
          <w:bCs/>
          <w:noProof/>
          <w:color w:val="0D0D0D" w:themeColor="text1" w:themeTint="F2"/>
          <w:sz w:val="22"/>
          <w:szCs w:val="22"/>
        </w:rPr>
        <w:t xml:space="preserve">, es el lugar donde residen habitualmente, el lugar del centro principal de sus negocios, donde residan o el lugar donde se encuentren; </w:t>
      </w:r>
      <w:r w:rsidRPr="00AD19E2">
        <w:rPr>
          <w:rFonts w:ascii="Palatino Linotype" w:hAnsi="Palatino Linotype" w:cs="Tahoma"/>
          <w:bCs/>
          <w:noProof/>
          <w:color w:val="0D0D0D" w:themeColor="text1" w:themeTint="F2"/>
          <w:sz w:val="22"/>
          <w:szCs w:val="22"/>
        </w:rPr>
        <w:t>mientras que, de las personas morales, aquel donde se halle su administración.</w:t>
      </w:r>
      <w:r>
        <w:rPr>
          <w:rFonts w:ascii="Palatino Linotype" w:hAnsi="Palatino Linotype" w:cs="Tahoma"/>
          <w:bCs/>
          <w:noProof/>
          <w:color w:val="0D0D0D" w:themeColor="text1" w:themeTint="F2"/>
          <w:sz w:val="22"/>
          <w:szCs w:val="22"/>
        </w:rPr>
        <w:t xml:space="preserve"> </w:t>
      </w:r>
      <w:r w:rsidRPr="00AD19E2">
        <w:rPr>
          <w:rFonts w:ascii="Palatino Linotype" w:hAnsi="Palatino Linotype" w:cs="Tahoma"/>
          <w:bCs/>
          <w:noProof/>
          <w:color w:val="0D0D0D" w:themeColor="text1" w:themeTint="F2"/>
          <w:sz w:val="22"/>
          <w:szCs w:val="22"/>
        </w:rPr>
        <w:t>Además, respecto al domicilio fiscal, resulta necesario traer el artículo 10 del Código Fiscal de la Federación, que establece que, tratándose de personas físicas, corresponderá dicho dato:</w:t>
      </w:r>
    </w:p>
    <w:p w14:paraId="25B64724"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9DB9897" w14:textId="53593151" w:rsidR="00AD19E2" w:rsidRDefault="00AD19E2" w:rsidP="00994027">
      <w:pPr>
        <w:numPr>
          <w:ilvl w:val="0"/>
          <w:numId w:val="16"/>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El lugar donde realizan actividades empresariales, el local, en que se encuentre el principal asiente de sus negocios, y</w:t>
      </w:r>
    </w:p>
    <w:p w14:paraId="34BCE829" w14:textId="77777777" w:rsidR="00994027" w:rsidRPr="00AD19E2" w:rsidRDefault="00994027" w:rsidP="00994027">
      <w:pPr>
        <w:spacing w:line="360" w:lineRule="auto"/>
        <w:ind w:left="720"/>
        <w:contextualSpacing/>
        <w:jc w:val="both"/>
        <w:rPr>
          <w:rFonts w:ascii="Palatino Linotype" w:hAnsi="Palatino Linotype" w:cs="Tahoma"/>
          <w:bCs/>
          <w:noProof/>
          <w:color w:val="0D0D0D" w:themeColor="text1" w:themeTint="F2"/>
          <w:sz w:val="22"/>
          <w:szCs w:val="22"/>
        </w:rPr>
      </w:pPr>
    </w:p>
    <w:p w14:paraId="0879BF5C" w14:textId="77777777" w:rsidR="00AD19E2" w:rsidRPr="00AD19E2" w:rsidRDefault="00AD19E2" w:rsidP="00994027">
      <w:pPr>
        <w:numPr>
          <w:ilvl w:val="0"/>
          <w:numId w:val="16"/>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La casa habitación, cuando no cuenta con un local o lugar donde realice las acciones previamente señaladas.</w:t>
      </w:r>
    </w:p>
    <w:p w14:paraId="41AEF27B"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F992C27"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623FBB58"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202FD74"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07C226DB" w14:textId="77777777" w:rsidR="00AD19E2" w:rsidRPr="00AD19E2" w:rsidRDefault="00AD19E2" w:rsidP="00994027">
      <w:pPr>
        <w:spacing w:line="360" w:lineRule="auto"/>
        <w:contextualSpacing/>
        <w:jc w:val="both"/>
        <w:rPr>
          <w:rFonts w:ascii="Palatino Linotype" w:hAnsi="Palatino Linotype" w:cs="Tahoma"/>
          <w:bCs/>
          <w:iCs/>
          <w:noProof/>
          <w:color w:val="0D0D0D" w:themeColor="text1" w:themeTint="F2"/>
          <w:sz w:val="22"/>
          <w:szCs w:val="22"/>
        </w:rPr>
      </w:pPr>
      <w:r w:rsidRPr="00AD19E2">
        <w:rPr>
          <w:rFonts w:ascii="Palatino Linotype" w:hAnsi="Palatino Linotype" w:cs="Tahoma"/>
          <w:bCs/>
          <w:iCs/>
          <w:noProof/>
          <w:color w:val="0D0D0D" w:themeColor="text1" w:themeTint="F2"/>
          <w:sz w:val="22"/>
          <w:szCs w:val="22"/>
        </w:rPr>
        <w:t xml:space="preserve"> </w:t>
      </w:r>
    </w:p>
    <w:p w14:paraId="3E595F9F"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iCs/>
          <w:noProof/>
          <w:color w:val="0D0D0D" w:themeColor="text1" w:themeTint="F2"/>
          <w:sz w:val="22"/>
          <w:szCs w:val="22"/>
        </w:rPr>
        <w:t xml:space="preserve">Ahora bien, en el caso de que el domicilio corresponda al lugar donde realiza sus actividades empresariales, como es el caso de las personas morales, se considera necesario traer a colación, </w:t>
      </w:r>
      <w:r w:rsidRPr="00AD19E2">
        <w:rPr>
          <w:rFonts w:ascii="Palatino Linotype" w:hAnsi="Palatino Linotype" w:cs="Tahoma"/>
          <w:bCs/>
          <w:noProof/>
          <w:color w:val="0D0D0D" w:themeColor="text1" w:themeTint="F2"/>
          <w:sz w:val="22"/>
          <w:szCs w:val="22"/>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05B63C38" w14:textId="57D13326" w:rsidR="00AD19E2" w:rsidRPr="00AD19E2" w:rsidRDefault="00AD19E2" w:rsidP="00994027">
      <w:pPr>
        <w:spacing w:line="360" w:lineRule="auto"/>
        <w:contextualSpacing/>
        <w:jc w:val="center"/>
        <w:rPr>
          <w:rFonts w:ascii="Palatino Linotype" w:hAnsi="Palatino Linotype" w:cs="Tahoma"/>
          <w:bCs/>
          <w:noProof/>
          <w:color w:val="0D0D0D" w:themeColor="text1" w:themeTint="F2"/>
          <w:sz w:val="22"/>
          <w:szCs w:val="22"/>
        </w:rPr>
      </w:pPr>
    </w:p>
    <w:p w14:paraId="3B30E192" w14:textId="77777777" w:rsidR="00AD19E2" w:rsidRPr="00AD19E2" w:rsidRDefault="00AD19E2" w:rsidP="00994027">
      <w:pPr>
        <w:spacing w:line="360" w:lineRule="auto"/>
        <w:contextualSpacing/>
        <w:jc w:val="center"/>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lang w:eastAsia="es-MX"/>
        </w:rPr>
        <w:drawing>
          <wp:inline distT="0" distB="0" distL="0" distR="0" wp14:anchorId="0A3A035A" wp14:editId="6E9F467F">
            <wp:extent cx="4220307" cy="567292"/>
            <wp:effectExtent l="0" t="0" r="0" b="4445"/>
            <wp:docPr id="94511905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0702" cy="571378"/>
                    </a:xfrm>
                    <a:prstGeom prst="rect">
                      <a:avLst/>
                    </a:prstGeom>
                    <a:noFill/>
                    <a:ln>
                      <a:noFill/>
                    </a:ln>
                  </pic:spPr>
                </pic:pic>
              </a:graphicData>
            </a:graphic>
          </wp:inline>
        </w:drawing>
      </w:r>
    </w:p>
    <w:p w14:paraId="5D4A84D7" w14:textId="77777777" w:rsidR="00AD19E2" w:rsidRPr="00AD19E2" w:rsidRDefault="00AD19E2" w:rsidP="00994027">
      <w:pPr>
        <w:spacing w:line="360" w:lineRule="auto"/>
        <w:contextualSpacing/>
        <w:jc w:val="center"/>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lang w:eastAsia="es-MX"/>
        </w:rPr>
        <w:lastRenderedPageBreak/>
        <w:drawing>
          <wp:inline distT="0" distB="0" distL="0" distR="0" wp14:anchorId="6F6055D1" wp14:editId="5DC9317A">
            <wp:extent cx="4190163" cy="2507298"/>
            <wp:effectExtent l="0" t="0" r="1270" b="7620"/>
            <wp:docPr id="18469935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2003" cy="2514383"/>
                    </a:xfrm>
                    <a:prstGeom prst="rect">
                      <a:avLst/>
                    </a:prstGeom>
                    <a:noFill/>
                    <a:ln>
                      <a:noFill/>
                    </a:ln>
                  </pic:spPr>
                </pic:pic>
              </a:graphicData>
            </a:graphic>
          </wp:inline>
        </w:drawing>
      </w:r>
    </w:p>
    <w:p w14:paraId="0ED70E0A" w14:textId="77777777" w:rsidR="00AD19E2" w:rsidRPr="00AD19E2"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6B42589E" w14:textId="77777777" w:rsidR="00AD19E2" w:rsidRPr="00AD19E2" w:rsidRDefault="00AD19E2" w:rsidP="00994027">
      <w:pPr>
        <w:spacing w:line="360" w:lineRule="auto"/>
        <w:contextualSpacing/>
        <w:jc w:val="both"/>
        <w:rPr>
          <w:rFonts w:ascii="Palatino Linotype" w:hAnsi="Palatino Linotype" w:cs="Tahoma"/>
          <w:bCs/>
          <w:iCs/>
          <w:noProof/>
          <w:color w:val="0D0D0D" w:themeColor="text1" w:themeTint="F2"/>
          <w:sz w:val="22"/>
          <w:szCs w:val="22"/>
        </w:rPr>
      </w:pPr>
      <w:r w:rsidRPr="00AD19E2">
        <w:rPr>
          <w:rFonts w:ascii="Palatino Linotype" w:hAnsi="Palatino Linotype" w:cs="Tahoma"/>
          <w:bCs/>
          <w:iCs/>
          <w:noProof/>
          <w:color w:val="0D0D0D" w:themeColor="text1" w:themeTint="F2"/>
          <w:sz w:val="22"/>
          <w:szCs w:val="22"/>
        </w:rPr>
        <w:t xml:space="preserve"> </w:t>
      </w:r>
    </w:p>
    <w:p w14:paraId="481513B1" w14:textId="61EC14B7" w:rsidR="00BC6BC4" w:rsidRDefault="00AD19E2" w:rsidP="00994027">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De tal suerte que, tratándose de proveedores (personas físicas o jurídico-colectivas), el domicilio fiscal, no actualiza la causal de clasificación, establecida en el artículo 143, fracción I de la Ley de Transparencia y Acceso a la Información Pública del</w:t>
      </w:r>
      <w:r w:rsidR="00887FC2">
        <w:rPr>
          <w:rFonts w:ascii="Palatino Linotype" w:hAnsi="Palatino Linotype" w:cs="Tahoma"/>
          <w:bCs/>
          <w:noProof/>
          <w:color w:val="0D0D0D" w:themeColor="text1" w:themeTint="F2"/>
          <w:sz w:val="22"/>
          <w:szCs w:val="22"/>
        </w:rPr>
        <w:t xml:space="preserve"> Estado de México y Municipios.</w:t>
      </w:r>
    </w:p>
    <w:p w14:paraId="38E39A81" w14:textId="77777777" w:rsidR="00887FC2" w:rsidRPr="00887FC2" w:rsidRDefault="00887FC2" w:rsidP="00994027">
      <w:pPr>
        <w:spacing w:line="360" w:lineRule="auto"/>
        <w:contextualSpacing/>
        <w:jc w:val="both"/>
        <w:rPr>
          <w:rFonts w:ascii="Palatino Linotype" w:hAnsi="Palatino Linotype" w:cs="Tahoma"/>
          <w:bCs/>
          <w:noProof/>
          <w:color w:val="0D0D0D" w:themeColor="text1" w:themeTint="F2"/>
          <w:sz w:val="22"/>
          <w:szCs w:val="22"/>
        </w:rPr>
      </w:pPr>
    </w:p>
    <w:p w14:paraId="68F8CDE9" w14:textId="2F23EB19" w:rsidR="00624A47" w:rsidRPr="00AD19E2" w:rsidRDefault="00624A47" w:rsidP="00994027">
      <w:pPr>
        <w:spacing w:line="360" w:lineRule="auto"/>
        <w:contextualSpacing/>
        <w:jc w:val="both"/>
        <w:rPr>
          <w:rFonts w:ascii="Palatino Linotype" w:eastAsiaTheme="majorEastAsia" w:hAnsi="Palatino Linotype" w:cstheme="majorBidi"/>
          <w:bCs/>
          <w:sz w:val="22"/>
          <w:szCs w:val="22"/>
        </w:rPr>
      </w:pPr>
      <w:r>
        <w:rPr>
          <w:rFonts w:ascii="Palatino Linotype" w:eastAsiaTheme="majorEastAsia" w:hAnsi="Palatino Linotype" w:cstheme="majorBidi"/>
          <w:sz w:val="22"/>
          <w:szCs w:val="22"/>
        </w:rPr>
        <w:t xml:space="preserve">Conforme a lo anterior, se logró advertir que si bien, el Sujeto Obligado proporcionó información relacionada con </w:t>
      </w:r>
      <w:r w:rsidR="00AD19E2">
        <w:rPr>
          <w:rFonts w:ascii="Palatino Linotype" w:eastAsiaTheme="majorEastAsia" w:hAnsi="Palatino Linotype" w:cstheme="majorBidi"/>
          <w:sz w:val="22"/>
          <w:szCs w:val="22"/>
        </w:rPr>
        <w:t>el expediente de adjudicación solicitado</w:t>
      </w:r>
      <w:r>
        <w:rPr>
          <w:rFonts w:ascii="Palatino Linotype" w:eastAsiaTheme="majorEastAsia" w:hAnsi="Palatino Linotype" w:cstheme="majorBidi"/>
          <w:sz w:val="22"/>
          <w:szCs w:val="22"/>
        </w:rPr>
        <w:t xml:space="preserve">, lo cierto es que la proporcionó </w:t>
      </w:r>
      <w:r w:rsidR="00AD19E2">
        <w:rPr>
          <w:rFonts w:ascii="Palatino Linotype" w:eastAsiaTheme="majorEastAsia" w:hAnsi="Palatino Linotype" w:cstheme="majorBidi"/>
          <w:sz w:val="22"/>
          <w:szCs w:val="22"/>
        </w:rPr>
        <w:t>en versión pública en la que clasificó información de carácter pública</w:t>
      </w:r>
      <w:r>
        <w:rPr>
          <w:rFonts w:ascii="Palatino Linotype" w:eastAsiaTheme="majorEastAsia" w:hAnsi="Palatino Linotype" w:cstheme="majorBidi"/>
          <w:sz w:val="22"/>
          <w:szCs w:val="22"/>
        </w:rPr>
        <w:t>, por lo que se considera que el agravio es</w:t>
      </w:r>
      <w:r w:rsidR="00AD19E2">
        <w:rPr>
          <w:rFonts w:ascii="Palatino Linotype" w:eastAsiaTheme="majorEastAsia" w:hAnsi="Palatino Linotype" w:cstheme="majorBidi"/>
          <w:sz w:val="22"/>
          <w:szCs w:val="22"/>
        </w:rPr>
        <w:t xml:space="preserve"> parcialmente</w:t>
      </w:r>
      <w:r>
        <w:rPr>
          <w:rFonts w:ascii="Palatino Linotype" w:eastAsiaTheme="majorEastAsia" w:hAnsi="Palatino Linotype" w:cstheme="majorBidi"/>
          <w:sz w:val="22"/>
          <w:szCs w:val="22"/>
        </w:rPr>
        <w:t xml:space="preserve"> </w:t>
      </w:r>
      <w:r w:rsidRPr="00CC23FD">
        <w:rPr>
          <w:rFonts w:ascii="Palatino Linotype" w:eastAsiaTheme="majorEastAsia" w:hAnsi="Palatino Linotype" w:cstheme="majorBidi"/>
          <w:b/>
          <w:bCs/>
          <w:sz w:val="22"/>
          <w:szCs w:val="22"/>
        </w:rPr>
        <w:t>FUNDADO.</w:t>
      </w:r>
      <w:r w:rsidR="00AD19E2">
        <w:rPr>
          <w:rFonts w:ascii="Palatino Linotype" w:eastAsiaTheme="majorEastAsia" w:hAnsi="Palatino Linotype" w:cstheme="majorBidi"/>
          <w:b/>
          <w:bCs/>
          <w:sz w:val="22"/>
          <w:szCs w:val="22"/>
        </w:rPr>
        <w:t xml:space="preserve"> </w:t>
      </w:r>
      <w:r w:rsidR="00AD19E2">
        <w:rPr>
          <w:rFonts w:ascii="Palatino Linotype" w:eastAsiaTheme="majorEastAsia" w:hAnsi="Palatino Linotype" w:cstheme="majorBidi"/>
          <w:sz w:val="22"/>
          <w:szCs w:val="22"/>
        </w:rPr>
        <w:t xml:space="preserve">Por lo que </w:t>
      </w:r>
      <w:r>
        <w:rPr>
          <w:rFonts w:ascii="Palatino Linotype" w:eastAsiaTheme="majorEastAsia" w:hAnsi="Palatino Linotype" w:cstheme="majorBidi"/>
          <w:sz w:val="22"/>
          <w:szCs w:val="22"/>
        </w:rPr>
        <w:t xml:space="preserve">se considera que el Sujeto Obligado deberá </w:t>
      </w:r>
      <w:r w:rsidR="00AD19E2">
        <w:rPr>
          <w:rFonts w:ascii="Palatino Linotype" w:eastAsiaTheme="majorEastAsia" w:hAnsi="Palatino Linotype" w:cstheme="majorBidi"/>
          <w:sz w:val="22"/>
          <w:szCs w:val="22"/>
        </w:rPr>
        <w:t>realizar</w:t>
      </w:r>
      <w:r>
        <w:rPr>
          <w:rFonts w:ascii="Palatino Linotype" w:eastAsiaTheme="majorEastAsia" w:hAnsi="Palatino Linotype" w:cstheme="majorBidi"/>
          <w:sz w:val="22"/>
          <w:szCs w:val="22"/>
        </w:rPr>
        <w:t xml:space="preserve"> la entrega </w:t>
      </w:r>
      <w:r w:rsidR="00AD19E2">
        <w:rPr>
          <w:rFonts w:ascii="Palatino Linotype" w:eastAsiaTheme="majorEastAsia" w:hAnsi="Palatino Linotype" w:cstheme="majorBidi"/>
          <w:bCs/>
          <w:sz w:val="22"/>
          <w:szCs w:val="22"/>
        </w:rPr>
        <w:t>de la información remitida en respuesta en versión pública correcta.</w:t>
      </w:r>
    </w:p>
    <w:p w14:paraId="2C004654" w14:textId="77777777" w:rsidR="00624A47" w:rsidRDefault="00624A47" w:rsidP="00994027">
      <w:pPr>
        <w:spacing w:line="360" w:lineRule="auto"/>
        <w:contextualSpacing/>
        <w:jc w:val="both"/>
        <w:rPr>
          <w:rFonts w:ascii="Palatino Linotype" w:eastAsiaTheme="majorEastAsia" w:hAnsi="Palatino Linotype" w:cstheme="majorBidi"/>
          <w:sz w:val="22"/>
          <w:szCs w:val="22"/>
        </w:rPr>
      </w:pPr>
    </w:p>
    <w:p w14:paraId="2196C076" w14:textId="77777777" w:rsidR="00624A47" w:rsidRPr="00FC742D" w:rsidRDefault="00624A47" w:rsidP="00994027">
      <w:pPr>
        <w:spacing w:line="360" w:lineRule="auto"/>
        <w:contextualSpacing/>
        <w:jc w:val="both"/>
        <w:rPr>
          <w:rFonts w:ascii="Palatino Linotype" w:hAnsi="Palatino Linotype"/>
          <w:bCs/>
          <w:iCs/>
          <w:sz w:val="22"/>
          <w:szCs w:val="22"/>
        </w:rPr>
      </w:pPr>
      <w:r>
        <w:rPr>
          <w:rFonts w:ascii="Palatino Linotype" w:hAnsi="Palatino Linotype" w:cs="Tahoma"/>
          <w:bCs/>
          <w:iCs/>
          <w:sz w:val="22"/>
          <w:szCs w:val="22"/>
        </w:rPr>
        <w:lastRenderedPageBreak/>
        <w:t>D</w:t>
      </w:r>
      <w:r w:rsidRPr="005F63F6">
        <w:rPr>
          <w:rFonts w:ascii="Palatino Linotype" w:hAnsi="Palatino Linotype"/>
          <w:bCs/>
          <w:iCs/>
          <w:sz w:val="22"/>
          <w:szCs w:val="22"/>
        </w:rPr>
        <w:t>icha circunstancia,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F622E55" w14:textId="77777777" w:rsidR="00624A47" w:rsidRPr="005F63F6" w:rsidRDefault="00624A47" w:rsidP="00994027">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649846F2" w14:textId="77777777" w:rsidR="00624A47" w:rsidRPr="005F63F6" w:rsidRDefault="00624A47" w:rsidP="00994027">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F63F6">
        <w:rPr>
          <w:rFonts w:ascii="Palatino Linotype" w:hAnsi="Palatino Linotype"/>
          <w:bCs/>
          <w:i/>
          <w:iCs/>
          <w:sz w:val="22"/>
          <w:szCs w:val="22"/>
        </w:rPr>
        <w:t>ad hoc</w:t>
      </w:r>
      <w:r w:rsidRPr="005F63F6">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0E6AA79" w14:textId="77777777" w:rsidR="00624A47" w:rsidRPr="005F63F6" w:rsidRDefault="00624A47" w:rsidP="00994027">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758136B5" w14:textId="208270EC" w:rsidR="00624A47" w:rsidRDefault="00624A47" w:rsidP="00994027">
      <w:pPr>
        <w:spacing w:line="360" w:lineRule="auto"/>
        <w:contextualSpacing/>
        <w:jc w:val="both"/>
        <w:rPr>
          <w:rFonts w:ascii="Palatino Linotype" w:eastAsiaTheme="majorEastAsia" w:hAnsi="Palatino Linotype"/>
          <w:sz w:val="22"/>
          <w:szCs w:val="22"/>
        </w:rPr>
      </w:pPr>
      <w:r w:rsidRPr="005F63F6">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w:t>
      </w:r>
      <w:r w:rsidR="00AD19E2">
        <w:rPr>
          <w:rFonts w:ascii="Palatino Linotype" w:hAnsi="Palatino Linotype"/>
          <w:bCs/>
          <w:iCs/>
          <w:sz w:val="22"/>
          <w:szCs w:val="22"/>
        </w:rPr>
        <w:t xml:space="preserve"> las necesidades del Recurrente, por lo que en el presente caso deberá proporcionar </w:t>
      </w:r>
      <w:r w:rsidR="00887FC2">
        <w:rPr>
          <w:rFonts w:ascii="Palatino Linotype" w:eastAsiaTheme="majorEastAsia" w:hAnsi="Palatino Linotype"/>
          <w:sz w:val="22"/>
          <w:szCs w:val="22"/>
        </w:rPr>
        <w:t xml:space="preserve">el expediente del procedimiento de adjudicación directa </w:t>
      </w:r>
      <w:r w:rsidR="00887FC2" w:rsidRPr="00EB64F7">
        <w:rPr>
          <w:rFonts w:ascii="Palatino Linotype" w:eastAsiaTheme="majorEastAsia" w:hAnsi="Palatino Linotype"/>
          <w:sz w:val="22"/>
          <w:szCs w:val="22"/>
        </w:rPr>
        <w:t>IA-74-091-915099911-N-9-2024</w:t>
      </w:r>
      <w:r w:rsidR="00887FC2">
        <w:rPr>
          <w:rFonts w:ascii="Palatino Linotype" w:eastAsiaTheme="majorEastAsia" w:hAnsi="Palatino Linotype"/>
          <w:sz w:val="22"/>
          <w:szCs w:val="22"/>
        </w:rPr>
        <w:t xml:space="preserve"> en versión pública correcta.</w:t>
      </w:r>
    </w:p>
    <w:p w14:paraId="04AB0FB4" w14:textId="77777777" w:rsidR="00887FC2" w:rsidRDefault="00887FC2" w:rsidP="00994027">
      <w:pPr>
        <w:spacing w:line="360" w:lineRule="auto"/>
        <w:contextualSpacing/>
        <w:jc w:val="both"/>
        <w:rPr>
          <w:rFonts w:ascii="Palatino Linotype" w:hAnsi="Palatino Linotype"/>
          <w:bCs/>
          <w:iCs/>
          <w:sz w:val="22"/>
          <w:szCs w:val="22"/>
        </w:rPr>
      </w:pPr>
    </w:p>
    <w:p w14:paraId="563209A4" w14:textId="77777777" w:rsidR="00887FC2" w:rsidRPr="00AD19E2" w:rsidRDefault="00887FC2" w:rsidP="00994027">
      <w:pPr>
        <w:spacing w:line="360" w:lineRule="auto"/>
        <w:contextualSpacing/>
        <w:jc w:val="both"/>
        <w:rPr>
          <w:rFonts w:ascii="Palatino Linotype" w:eastAsia="Calibri" w:hAnsi="Palatino Linotype" w:cs="Tahoma"/>
          <w:bCs/>
          <w:sz w:val="22"/>
          <w:szCs w:val="22"/>
          <w:lang w:val="es-ES"/>
        </w:rPr>
      </w:pPr>
      <w:r>
        <w:rPr>
          <w:rFonts w:ascii="Palatino Linotype" w:eastAsia="Calibri" w:hAnsi="Palatino Linotype" w:cs="Tahoma"/>
          <w:bCs/>
          <w:sz w:val="22"/>
          <w:szCs w:val="22"/>
          <w:lang w:val="es-ES_tradnl"/>
        </w:rPr>
        <w:t>Así</w:t>
      </w:r>
      <w:r w:rsidRPr="00AD19E2">
        <w:rPr>
          <w:rFonts w:ascii="Palatino Linotype" w:eastAsia="Calibri" w:hAnsi="Palatino Linotype" w:cs="Tahoma"/>
          <w:bCs/>
          <w:sz w:val="22"/>
          <w:szCs w:val="22"/>
          <w:lang w:val="es-ES_tradnl"/>
        </w:rPr>
        <w:t>,</w:t>
      </w:r>
      <w:r>
        <w:rPr>
          <w:rFonts w:ascii="Palatino Linotype" w:eastAsia="Calibri" w:hAnsi="Palatino Linotype" w:cs="Tahoma"/>
          <w:bCs/>
          <w:sz w:val="22"/>
          <w:szCs w:val="22"/>
          <w:lang w:val="es-ES_tradnl"/>
        </w:rPr>
        <w:t xml:space="preserve"> se considera que, el Sujeto Obligado únicamente podrá clasificar el CURP y </w:t>
      </w:r>
      <w:r w:rsidRPr="009B4D9D">
        <w:rPr>
          <w:rFonts w:ascii="Palatino Linotype" w:eastAsia="Calibri" w:hAnsi="Palatino Linotype" w:cs="Tahoma"/>
          <w:bCs/>
          <w:sz w:val="22"/>
          <w:szCs w:val="22"/>
          <w:lang w:val="es-ES_tradnl"/>
        </w:rPr>
        <w:t xml:space="preserve">el número de cuenta bancaria o institución bancaria del proveedor, por lo que, deberá entregarlo, en su caso, en versión pública; </w:t>
      </w:r>
      <w:r w:rsidRPr="00AD19E2">
        <w:rPr>
          <w:rFonts w:ascii="Palatino Linotype" w:eastAsia="Calibri" w:hAnsi="Palatino Linotype" w:cs="Tahoma"/>
          <w:bCs/>
          <w:sz w:val="22"/>
          <w:szCs w:val="22"/>
          <w:lang w:val="es-ES_tradnl"/>
        </w:rPr>
        <w:t xml:space="preserve">de conformidad con el </w:t>
      </w:r>
      <w:r w:rsidRPr="00AD19E2">
        <w:rPr>
          <w:rFonts w:ascii="Palatino Linotype" w:eastAsia="Calibri" w:hAnsi="Palatino Linotype" w:cs="Tahoma"/>
          <w:bCs/>
          <w:sz w:val="22"/>
          <w:szCs w:val="22"/>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w:t>
      </w:r>
      <w:r w:rsidRPr="00AD19E2">
        <w:rPr>
          <w:rFonts w:ascii="Palatino Linotype" w:eastAsia="Calibri" w:hAnsi="Palatino Linotype" w:cs="Tahoma"/>
          <w:bCs/>
          <w:sz w:val="22"/>
          <w:szCs w:val="22"/>
          <w:lang w:val="es-ES"/>
        </w:rPr>
        <w:lastRenderedPageBreak/>
        <w:t xml:space="preserve">clasificadas, indicando su contenido de manera genérica y fundando y motivando su clasificación. </w:t>
      </w:r>
    </w:p>
    <w:p w14:paraId="58A8AB00" w14:textId="77777777" w:rsidR="00887FC2" w:rsidRPr="00AD19E2" w:rsidRDefault="00887FC2" w:rsidP="00994027">
      <w:pPr>
        <w:spacing w:line="360" w:lineRule="auto"/>
        <w:contextualSpacing/>
        <w:jc w:val="both"/>
        <w:rPr>
          <w:rFonts w:ascii="Palatino Linotype" w:eastAsia="Calibri" w:hAnsi="Palatino Linotype" w:cs="Tahoma"/>
          <w:bCs/>
          <w:sz w:val="22"/>
          <w:szCs w:val="22"/>
          <w:lang w:val="es-ES"/>
        </w:rPr>
      </w:pPr>
    </w:p>
    <w:p w14:paraId="59B4F158" w14:textId="77777777" w:rsidR="00887FC2" w:rsidRPr="00AD19E2" w:rsidRDefault="00887FC2" w:rsidP="00994027">
      <w:pPr>
        <w:spacing w:line="360" w:lineRule="auto"/>
        <w:contextualSpacing/>
        <w:jc w:val="both"/>
        <w:rPr>
          <w:rFonts w:ascii="Palatino Linotype" w:hAnsi="Palatino Linotype" w:cs="Tahoma"/>
          <w:bCs/>
          <w:iCs/>
          <w:sz w:val="22"/>
          <w:szCs w:val="22"/>
          <w:lang w:val="es-ES"/>
        </w:rPr>
      </w:pPr>
      <w:r w:rsidRPr="00AD19E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EAB2188" w14:textId="38A2BFE3" w:rsidR="00887FC2" w:rsidRDefault="00887FC2" w:rsidP="00994027">
      <w:pPr>
        <w:spacing w:line="360" w:lineRule="auto"/>
        <w:contextualSpacing/>
        <w:jc w:val="both"/>
        <w:rPr>
          <w:rFonts w:ascii="Palatino Linotype" w:hAnsi="Palatino Linotype"/>
          <w:bCs/>
          <w:iCs/>
          <w:sz w:val="22"/>
          <w:szCs w:val="22"/>
        </w:rPr>
      </w:pPr>
    </w:p>
    <w:p w14:paraId="56A82F52" w14:textId="77777777" w:rsidR="00994027" w:rsidRPr="00AD19E2" w:rsidRDefault="00994027" w:rsidP="00994027">
      <w:pPr>
        <w:spacing w:line="360" w:lineRule="auto"/>
        <w:contextualSpacing/>
        <w:jc w:val="both"/>
        <w:rPr>
          <w:rFonts w:ascii="Palatino Linotype" w:hAnsi="Palatino Linotype"/>
          <w:bCs/>
          <w:iCs/>
          <w:sz w:val="22"/>
          <w:szCs w:val="22"/>
        </w:rPr>
      </w:pPr>
    </w:p>
    <w:p w14:paraId="791CB530" w14:textId="77777777" w:rsidR="00624A47" w:rsidRPr="00903CC5" w:rsidRDefault="00624A47" w:rsidP="00994027">
      <w:pPr>
        <w:pStyle w:val="Ttulo2"/>
        <w:spacing w:line="360" w:lineRule="auto"/>
        <w:contextualSpacing/>
        <w:rPr>
          <w:rFonts w:ascii="Palatino Linotype" w:hAnsi="Palatino Linotype"/>
          <w:b/>
          <w:bCs/>
          <w:color w:val="auto"/>
          <w:sz w:val="22"/>
          <w:szCs w:val="22"/>
        </w:rPr>
      </w:pPr>
      <w:bookmarkStart w:id="22" w:name="_Toc210052600"/>
      <w:bookmarkStart w:id="23" w:name="_Toc212732974"/>
      <w:r w:rsidRPr="00903CC5">
        <w:rPr>
          <w:rFonts w:ascii="Palatino Linotype" w:hAnsi="Palatino Linotype"/>
          <w:b/>
          <w:bCs/>
          <w:color w:val="auto"/>
          <w:sz w:val="22"/>
          <w:szCs w:val="22"/>
        </w:rPr>
        <w:t>SEXTO. Decisión</w:t>
      </w:r>
      <w:bookmarkEnd w:id="22"/>
      <w:bookmarkEnd w:id="23"/>
    </w:p>
    <w:p w14:paraId="5D5FE0F5" w14:textId="77777777" w:rsidR="00624A47" w:rsidRPr="00B71E3E" w:rsidRDefault="00624A47" w:rsidP="00994027">
      <w:pPr>
        <w:spacing w:line="360" w:lineRule="auto"/>
        <w:contextualSpacing/>
        <w:rPr>
          <w:rFonts w:ascii="Palatino Linotype" w:hAnsi="Palatino Linotype" w:cs="Tahoma"/>
          <w:b/>
        </w:rPr>
      </w:pPr>
    </w:p>
    <w:p w14:paraId="4245EDD9" w14:textId="55703717" w:rsidR="00624A47" w:rsidRDefault="00624A47" w:rsidP="00994027">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71E3E">
        <w:rPr>
          <w:rFonts w:ascii="Palatino Linotype" w:hAnsi="Palatino Linotype" w:cs="Tahoma"/>
          <w:b/>
          <w:sz w:val="22"/>
          <w:szCs w:val="22"/>
        </w:rPr>
        <w:t>MODIFICAR</w:t>
      </w:r>
      <w:r w:rsidRPr="00B71E3E">
        <w:rPr>
          <w:rFonts w:ascii="Palatino Linotype" w:hAnsi="Palatino Linotype" w:cs="Tahoma"/>
          <w:sz w:val="22"/>
          <w:szCs w:val="22"/>
        </w:rPr>
        <w:t xml:space="preserve"> la respuesta otorgada a la solicitud de información</w:t>
      </w:r>
      <w:r>
        <w:rPr>
          <w:rFonts w:ascii="Palatino Linotype" w:hAnsi="Palatino Linotype" w:cs="Tahoma"/>
          <w:sz w:val="22"/>
          <w:szCs w:val="22"/>
        </w:rPr>
        <w:t xml:space="preserve"> </w:t>
      </w:r>
      <w:r w:rsidR="00A61001" w:rsidRPr="00EB64F7">
        <w:rPr>
          <w:rFonts w:ascii="Palatino Linotype" w:hAnsi="Palatino Linotype"/>
          <w:sz w:val="22"/>
          <w:szCs w:val="22"/>
        </w:rPr>
        <w:t>00026/UNEVT/IP/2025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versión</w:t>
      </w:r>
      <w:r>
        <w:rPr>
          <w:rFonts w:ascii="Palatino Linotype" w:hAnsi="Palatino Linotype" w:cs="Tahoma"/>
          <w:sz w:val="22"/>
          <w:szCs w:val="22"/>
        </w:rPr>
        <w:t xml:space="preserve"> pública </w:t>
      </w:r>
      <w:r w:rsidR="00A61001">
        <w:rPr>
          <w:rFonts w:ascii="Palatino Linotype" w:hAnsi="Palatino Linotype" w:cs="Tahoma"/>
          <w:sz w:val="22"/>
          <w:szCs w:val="22"/>
        </w:rPr>
        <w:t xml:space="preserve">correcta </w:t>
      </w:r>
      <w:r>
        <w:rPr>
          <w:rFonts w:ascii="Palatino Linotype" w:hAnsi="Palatino Linotype" w:cs="Tahoma"/>
          <w:sz w:val="22"/>
          <w:szCs w:val="22"/>
        </w:rPr>
        <w:t>la información solicitada</w:t>
      </w:r>
      <w:r w:rsidRPr="00B71E3E">
        <w:rPr>
          <w:rFonts w:ascii="Palatino Linotype" w:hAnsi="Palatino Linotype" w:cs="Tahoma"/>
          <w:sz w:val="22"/>
          <w:szCs w:val="22"/>
        </w:rPr>
        <w:t>.</w:t>
      </w:r>
    </w:p>
    <w:p w14:paraId="0FC26551" w14:textId="77777777" w:rsidR="00624A47" w:rsidRPr="00B71E3E" w:rsidRDefault="00624A47" w:rsidP="0099402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2FB592D8" w14:textId="77777777" w:rsidR="00624A47" w:rsidRPr="00B71E3E" w:rsidRDefault="00624A47" w:rsidP="0099402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71E3E">
        <w:rPr>
          <w:rFonts w:ascii="Palatino Linotype" w:eastAsia="Calibri" w:hAnsi="Palatino Linotype" w:cs="Tahoma"/>
          <w:b/>
          <w:bCs/>
          <w:iCs/>
          <w:sz w:val="22"/>
          <w:szCs w:val="22"/>
          <w:lang w:val="es-ES" w:eastAsia="en-US"/>
        </w:rPr>
        <w:t>Términos de la Resolución para conocimiento del Particular</w:t>
      </w:r>
    </w:p>
    <w:p w14:paraId="63CF27B5" w14:textId="77777777" w:rsidR="00624A47" w:rsidRPr="00B71E3E" w:rsidRDefault="00624A47" w:rsidP="00994027">
      <w:pPr>
        <w:spacing w:line="360" w:lineRule="auto"/>
        <w:contextualSpacing/>
        <w:jc w:val="both"/>
        <w:rPr>
          <w:rFonts w:ascii="Palatino Linotype" w:hAnsi="Palatino Linotype"/>
          <w:b/>
          <w:sz w:val="22"/>
          <w:szCs w:val="22"/>
        </w:rPr>
      </w:pPr>
    </w:p>
    <w:p w14:paraId="0D9BAEB7" w14:textId="77777777" w:rsidR="00887FC2" w:rsidRDefault="00624A47" w:rsidP="00994027">
      <w:pPr>
        <w:spacing w:line="360" w:lineRule="auto"/>
        <w:contextualSpacing/>
        <w:jc w:val="both"/>
        <w:rPr>
          <w:rFonts w:ascii="Palatino Linotype" w:hAnsi="Palatino Linotype"/>
          <w:sz w:val="22"/>
          <w:szCs w:val="22"/>
        </w:rPr>
      </w:pPr>
      <w:bookmarkStart w:id="24" w:name="_heading=h.1fob9te"/>
      <w:bookmarkEnd w:id="24"/>
      <w:r w:rsidRPr="00B71E3E">
        <w:rPr>
          <w:rFonts w:ascii="Palatino Linotype" w:hAnsi="Palatino Linotype"/>
          <w:sz w:val="22"/>
          <w:szCs w:val="22"/>
        </w:rPr>
        <w:t>Se le hace del conocimiento al ahora Recurrente que, en el presente asunto, se le concede</w:t>
      </w:r>
      <w:r w:rsidR="00A61001">
        <w:rPr>
          <w:rFonts w:ascii="Palatino Linotype" w:hAnsi="Palatino Linotype"/>
          <w:sz w:val="22"/>
          <w:szCs w:val="22"/>
        </w:rPr>
        <w:t xml:space="preserve"> parcialmente</w:t>
      </w:r>
      <w:r w:rsidRPr="00B71E3E">
        <w:rPr>
          <w:rFonts w:ascii="Palatino Linotype" w:hAnsi="Palatino Linotype"/>
          <w:sz w:val="22"/>
          <w:szCs w:val="22"/>
        </w:rPr>
        <w:t xml:space="preserve"> la razón, pues si bien el Sujeto Obligado </w:t>
      </w:r>
      <w:r w:rsidRPr="00B71E3E">
        <w:rPr>
          <w:rFonts w:ascii="Palatino Linotype" w:eastAsia="Calibri" w:hAnsi="Palatino Linotype" w:cs="Tahoma"/>
          <w:sz w:val="22"/>
          <w:szCs w:val="22"/>
        </w:rPr>
        <w:t>proporcionó divers</w:t>
      </w:r>
      <w:r>
        <w:rPr>
          <w:rFonts w:ascii="Palatino Linotype" w:eastAsia="Calibri" w:hAnsi="Palatino Linotype" w:cs="Tahoma"/>
          <w:sz w:val="22"/>
          <w:szCs w:val="22"/>
        </w:rPr>
        <w:t>a información relacionada con lo solicitado</w:t>
      </w:r>
      <w:r w:rsidRPr="00B71E3E">
        <w:rPr>
          <w:rFonts w:ascii="Palatino Linotype" w:eastAsia="Calibri" w:hAnsi="Palatino Linotype" w:cs="Tahoma"/>
          <w:sz w:val="22"/>
          <w:szCs w:val="22"/>
        </w:rPr>
        <w:t xml:space="preserve">, lo cierto es que </w:t>
      </w:r>
      <w:r w:rsidR="00A61001">
        <w:rPr>
          <w:rFonts w:ascii="Palatino Linotype" w:eastAsia="Calibri" w:hAnsi="Palatino Linotype" w:cs="Tahoma"/>
          <w:sz w:val="22"/>
          <w:szCs w:val="22"/>
        </w:rPr>
        <w:t>clasificó información de carácter pública</w:t>
      </w:r>
      <w:r w:rsidRPr="00B71E3E">
        <w:rPr>
          <w:rFonts w:ascii="Palatino Linotype" w:eastAsia="Calibri" w:hAnsi="Palatino Linotype" w:cs="Tahoma"/>
          <w:sz w:val="22"/>
          <w:szCs w:val="22"/>
        </w:rPr>
        <w:t>,</w:t>
      </w:r>
      <w:r>
        <w:rPr>
          <w:rFonts w:ascii="Palatino Linotype" w:eastAsia="Calibri" w:hAnsi="Palatino Linotype" w:cs="Tahoma"/>
          <w:sz w:val="22"/>
          <w:szCs w:val="22"/>
        </w:rPr>
        <w:t xml:space="preserve"> </w:t>
      </w:r>
      <w:r w:rsidRPr="00B71E3E">
        <w:rPr>
          <w:rFonts w:ascii="Palatino Linotype" w:eastAsia="Calibri" w:hAnsi="Palatino Linotype" w:cs="Tahoma"/>
          <w:sz w:val="22"/>
          <w:szCs w:val="22"/>
        </w:rPr>
        <w:t>por lo que, deberá proporcionar</w:t>
      </w:r>
      <w:r w:rsidR="00A61001">
        <w:rPr>
          <w:rFonts w:ascii="Palatino Linotype" w:eastAsia="Calibri" w:hAnsi="Palatino Linotype" w:cs="Tahoma"/>
          <w:sz w:val="22"/>
          <w:szCs w:val="22"/>
        </w:rPr>
        <w:t>la en versión pública correcta</w:t>
      </w:r>
      <w:r w:rsidRPr="00B71E3E">
        <w:rPr>
          <w:rFonts w:ascii="Palatino Linotype" w:hAnsi="Palatino Linotype"/>
          <w:sz w:val="22"/>
          <w:szCs w:val="22"/>
        </w:rPr>
        <w:t>.</w:t>
      </w:r>
      <w:r>
        <w:rPr>
          <w:rFonts w:ascii="Palatino Linotype" w:hAnsi="Palatino Linotype"/>
          <w:sz w:val="22"/>
          <w:szCs w:val="22"/>
        </w:rPr>
        <w:t xml:space="preserve"> </w:t>
      </w:r>
    </w:p>
    <w:p w14:paraId="5C83BB85" w14:textId="77777777" w:rsidR="00887FC2" w:rsidRDefault="00887FC2" w:rsidP="00994027">
      <w:pPr>
        <w:spacing w:line="360" w:lineRule="auto"/>
        <w:contextualSpacing/>
        <w:jc w:val="both"/>
        <w:rPr>
          <w:rFonts w:ascii="Palatino Linotype" w:hAnsi="Palatino Linotype"/>
          <w:sz w:val="22"/>
          <w:szCs w:val="22"/>
        </w:rPr>
      </w:pPr>
    </w:p>
    <w:p w14:paraId="1D333049" w14:textId="288A4B9E" w:rsidR="00624A47" w:rsidRDefault="00624A47" w:rsidP="00994027">
      <w:pPr>
        <w:spacing w:line="360" w:lineRule="auto"/>
        <w:contextualSpacing/>
        <w:jc w:val="both"/>
        <w:rPr>
          <w:rFonts w:ascii="Palatino Linotype" w:eastAsia="Calibri" w:hAnsi="Palatino Linotype" w:cs="Tahoma"/>
          <w:bCs/>
          <w:iCs/>
          <w:sz w:val="22"/>
          <w:szCs w:val="22"/>
          <w:lang w:val="es-ES_tradnl" w:eastAsia="en-US"/>
        </w:rPr>
      </w:pPr>
      <w:r>
        <w:rPr>
          <w:rFonts w:ascii="Palatino Linotype" w:hAnsi="Palatino Linotype"/>
          <w:sz w:val="22"/>
          <w:szCs w:val="22"/>
        </w:rPr>
        <w:t>L</w:t>
      </w:r>
      <w:r w:rsidRPr="00B71E3E">
        <w:rPr>
          <w:rFonts w:ascii="Palatino Linotype" w:eastAsia="Calibri" w:hAnsi="Palatino Linotype" w:cs="Tahoma"/>
          <w:bCs/>
          <w:iCs/>
          <w:sz w:val="22"/>
          <w:szCs w:val="22"/>
        </w:rPr>
        <w:t xml:space="preserve">a labor de este </w:t>
      </w:r>
      <w:r w:rsidRPr="00B71E3E">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4FD018B7" w14:textId="77777777" w:rsidR="00624A47" w:rsidRPr="002F3FF4" w:rsidRDefault="00624A47" w:rsidP="00994027">
      <w:pPr>
        <w:spacing w:line="360" w:lineRule="auto"/>
        <w:contextualSpacing/>
        <w:jc w:val="both"/>
        <w:rPr>
          <w:rFonts w:ascii="Palatino Linotype" w:hAnsi="Palatino Linotype"/>
          <w:sz w:val="22"/>
          <w:szCs w:val="22"/>
        </w:rPr>
      </w:pPr>
    </w:p>
    <w:p w14:paraId="7D510728" w14:textId="77777777" w:rsidR="00624A47" w:rsidRPr="00903CC5" w:rsidRDefault="00624A47" w:rsidP="00994027">
      <w:pPr>
        <w:spacing w:line="360" w:lineRule="auto"/>
        <w:contextualSpacing/>
        <w:jc w:val="both"/>
        <w:rPr>
          <w:rFonts w:ascii="Palatino Linotype" w:eastAsia="Calibri" w:hAnsi="Palatino Linotype"/>
          <w:sz w:val="22"/>
          <w:szCs w:val="22"/>
        </w:rPr>
      </w:pPr>
      <w:r w:rsidRPr="00B71E3E">
        <w:rPr>
          <w:rFonts w:ascii="Palatino Linotype" w:eastAsia="Calibri" w:hAnsi="Palatino Linotype"/>
          <w:sz w:val="22"/>
          <w:szCs w:val="22"/>
        </w:rPr>
        <w:lastRenderedPageBreak/>
        <w:t>Por lo expuesto y fundado, este Pleno:</w:t>
      </w:r>
    </w:p>
    <w:p w14:paraId="288C9234" w14:textId="77777777" w:rsidR="00624A47" w:rsidRPr="00903CC5" w:rsidRDefault="00624A47" w:rsidP="00994027">
      <w:pPr>
        <w:pStyle w:val="Ttulo1"/>
        <w:spacing w:line="360" w:lineRule="auto"/>
        <w:contextualSpacing/>
        <w:jc w:val="center"/>
        <w:rPr>
          <w:rFonts w:ascii="Palatino Linotype" w:eastAsia="Calibri" w:hAnsi="Palatino Linotype"/>
          <w:b/>
          <w:bCs/>
          <w:color w:val="auto"/>
          <w:sz w:val="22"/>
          <w:szCs w:val="22"/>
        </w:rPr>
      </w:pPr>
      <w:bookmarkStart w:id="25" w:name="_Toc210052601"/>
      <w:bookmarkStart w:id="26" w:name="_Toc212732975"/>
      <w:r w:rsidRPr="00903CC5">
        <w:rPr>
          <w:rFonts w:ascii="Palatino Linotype" w:eastAsia="Calibri" w:hAnsi="Palatino Linotype"/>
          <w:b/>
          <w:bCs/>
          <w:color w:val="auto"/>
          <w:sz w:val="22"/>
          <w:szCs w:val="22"/>
        </w:rPr>
        <w:t>R E S U E L V E</w:t>
      </w:r>
      <w:bookmarkEnd w:id="25"/>
      <w:bookmarkEnd w:id="26"/>
    </w:p>
    <w:p w14:paraId="33D1945B" w14:textId="77777777" w:rsidR="00624A47" w:rsidRPr="00B71E3E" w:rsidRDefault="00624A47" w:rsidP="00994027">
      <w:pPr>
        <w:spacing w:line="360" w:lineRule="auto"/>
        <w:ind w:right="-28"/>
        <w:contextualSpacing/>
        <w:jc w:val="both"/>
        <w:rPr>
          <w:rFonts w:ascii="Palatino Linotype" w:hAnsi="Palatino Linotype" w:cs="Tahoma"/>
          <w:b/>
          <w:bCs/>
          <w:sz w:val="22"/>
          <w:szCs w:val="22"/>
        </w:rPr>
      </w:pPr>
    </w:p>
    <w:p w14:paraId="0A353B22" w14:textId="3F785E1B" w:rsidR="00624A47" w:rsidRPr="00A61001" w:rsidRDefault="00624A47" w:rsidP="00994027">
      <w:pPr>
        <w:tabs>
          <w:tab w:val="left" w:pos="2834"/>
          <w:tab w:val="right" w:pos="8838"/>
        </w:tabs>
        <w:spacing w:line="360" w:lineRule="auto"/>
        <w:ind w:left="-113"/>
        <w:contextualSpacing/>
        <w:jc w:val="both"/>
        <w:rPr>
          <w:rFonts w:ascii="Palatino Linotype" w:eastAsia="Calibri" w:hAnsi="Palatino Linotype" w:cs="Tahoma"/>
          <w:sz w:val="32"/>
          <w:szCs w:val="32"/>
          <w:lang w:eastAsia="en-US"/>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Pr="00B71E3E">
        <w:rPr>
          <w:rFonts w:ascii="Palatino Linotype" w:eastAsia="Calibri" w:hAnsi="Palatino Linotype"/>
          <w:b/>
          <w:bCs/>
          <w:sz w:val="22"/>
          <w:szCs w:val="22"/>
        </w:rPr>
        <w:t xml:space="preserve">MODIFICA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w:t>
      </w:r>
      <w:r w:rsidR="00A61001" w:rsidRPr="00624A47">
        <w:rPr>
          <w:rFonts w:ascii="Palatino Linotype" w:eastAsia="Calibri" w:hAnsi="Palatino Linotype" w:cs="Tahoma"/>
          <w:sz w:val="22"/>
          <w:szCs w:val="22"/>
          <w:lang w:eastAsia="en-US"/>
        </w:rPr>
        <w:t>Universidad Estatal del Valle de Toluca</w:t>
      </w:r>
      <w:r w:rsidR="00A61001">
        <w:rPr>
          <w:rFonts w:ascii="Palatino Linotype" w:eastAsia="Calibri" w:hAnsi="Palatino Linotype" w:cs="Tahoma"/>
          <w:sz w:val="32"/>
          <w:szCs w:val="32"/>
          <w:lang w:eastAsia="en-US"/>
        </w:rPr>
        <w:t xml:space="preserve"> </w:t>
      </w:r>
      <w:r w:rsidR="00887FC2">
        <w:rPr>
          <w:rFonts w:ascii="Palatino Linotype" w:eastAsia="Calibri" w:hAnsi="Palatino Linotype"/>
          <w:sz w:val="22"/>
          <w:szCs w:val="22"/>
        </w:rPr>
        <w:t>a la solicitud</w:t>
      </w:r>
      <w:r w:rsidRPr="00B71E3E">
        <w:rPr>
          <w:rFonts w:ascii="Palatino Linotype" w:eastAsia="Calibri" w:hAnsi="Palatino Linotype"/>
          <w:sz w:val="22"/>
          <w:szCs w:val="22"/>
        </w:rPr>
        <w:t xml:space="preserve"> de información</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por resultar </w:t>
      </w:r>
      <w:r w:rsidR="00CC1A64">
        <w:rPr>
          <w:rFonts w:ascii="Palatino Linotype" w:eastAsia="Calibri" w:hAnsi="Palatino Linotype"/>
          <w:b/>
          <w:sz w:val="22"/>
          <w:szCs w:val="22"/>
        </w:rPr>
        <w:t xml:space="preserve">PARCIALMENTE </w:t>
      </w:r>
      <w:r w:rsidR="00CC1A64" w:rsidRPr="00B71E3E">
        <w:rPr>
          <w:rFonts w:ascii="Palatino Linotype" w:eastAsia="Calibri" w:hAnsi="Palatino Linotype"/>
          <w:b/>
          <w:bCs/>
          <w:sz w:val="22"/>
          <w:szCs w:val="22"/>
        </w:rPr>
        <w:t>FUNDADAS</w:t>
      </w:r>
      <w:r w:rsidR="00CC1A64" w:rsidRPr="00B71E3E">
        <w:rPr>
          <w:rFonts w:ascii="Palatino Linotype" w:eastAsia="Calibri" w:hAnsi="Palatino Linotype"/>
          <w:sz w:val="22"/>
          <w:szCs w:val="22"/>
        </w:rPr>
        <w:t xml:space="preserve"> </w:t>
      </w:r>
      <w:r w:rsidRPr="00B71E3E">
        <w:rPr>
          <w:rFonts w:ascii="Palatino Linotype" w:eastAsia="Calibri" w:hAnsi="Palatino Linotype"/>
          <w:sz w:val="22"/>
          <w:szCs w:val="22"/>
        </w:rPr>
        <w:t xml:space="preserve">las razones o motivos de inconformidad hechos valer por el Recurrente en la solicitud </w:t>
      </w:r>
      <w:r>
        <w:rPr>
          <w:rFonts w:ascii="Palatino Linotype" w:hAnsi="Palatino Linotype"/>
          <w:bCs/>
          <w:sz w:val="22"/>
          <w:szCs w:val="22"/>
        </w:rPr>
        <w:t xml:space="preserve">de información </w:t>
      </w:r>
      <w:r w:rsidR="00A61001" w:rsidRPr="00EB64F7">
        <w:rPr>
          <w:rFonts w:ascii="Palatino Linotype" w:hAnsi="Palatino Linotype"/>
          <w:sz w:val="22"/>
          <w:szCs w:val="22"/>
        </w:rPr>
        <w:t>00026/UNEVT/IP/2025</w:t>
      </w:r>
      <w:r w:rsidRPr="00B71E3E">
        <w:rPr>
          <w:rFonts w:ascii="Palatino Linotype" w:eastAsia="Calibri" w:hAnsi="Palatino Linotype"/>
          <w:sz w:val="22"/>
          <w:szCs w:val="22"/>
        </w:rPr>
        <w:t>, en términos de los considerandos QUINTO y SEXTO de la presente Resolución.</w:t>
      </w:r>
    </w:p>
    <w:p w14:paraId="372A332F" w14:textId="77777777" w:rsidR="00624A47" w:rsidRPr="00B71E3E" w:rsidRDefault="00624A47" w:rsidP="00994027">
      <w:pPr>
        <w:widowControl w:val="0"/>
        <w:spacing w:line="360" w:lineRule="auto"/>
        <w:contextualSpacing/>
        <w:jc w:val="both"/>
        <w:rPr>
          <w:rFonts w:ascii="Palatino Linotype" w:eastAsia="Calibri" w:hAnsi="Palatino Linotype"/>
          <w:sz w:val="22"/>
          <w:szCs w:val="22"/>
        </w:rPr>
      </w:pPr>
    </w:p>
    <w:p w14:paraId="312B4AFA" w14:textId="58E6302F" w:rsidR="00624A47" w:rsidRDefault="00624A47" w:rsidP="00994027">
      <w:pPr>
        <w:spacing w:line="360" w:lineRule="auto"/>
        <w:contextualSpacing/>
        <w:jc w:val="both"/>
        <w:rPr>
          <w:rFonts w:ascii="Palatino Linotype" w:eastAsia="Calibri" w:hAnsi="Palatino Linotype" w:cs="Tahoma"/>
          <w:sz w:val="22"/>
          <w:szCs w:val="22"/>
        </w:rPr>
      </w:pPr>
      <w:r w:rsidRPr="003743FA">
        <w:rPr>
          <w:rFonts w:ascii="Palatino Linotype" w:hAnsi="Palatino Linotype"/>
          <w:b/>
          <w:sz w:val="22"/>
          <w:szCs w:val="22"/>
        </w:rPr>
        <w:t xml:space="preserve">SEGUNDO. </w:t>
      </w:r>
      <w:r w:rsidRPr="003743FA">
        <w:rPr>
          <w:rFonts w:ascii="Palatino Linotype" w:hAnsi="Palatino Linotype"/>
          <w:sz w:val="22"/>
          <w:szCs w:val="22"/>
        </w:rPr>
        <w:t xml:space="preserve">Se </w:t>
      </w:r>
      <w:r w:rsidRPr="003743FA">
        <w:rPr>
          <w:rFonts w:ascii="Palatino Linotype" w:hAnsi="Palatino Linotype"/>
          <w:b/>
          <w:sz w:val="22"/>
          <w:szCs w:val="22"/>
        </w:rPr>
        <w:t>ORDENA</w:t>
      </w:r>
      <w:r w:rsidRPr="003743FA">
        <w:rPr>
          <w:rFonts w:ascii="Palatino Linotype" w:hAnsi="Palatino Linotype"/>
          <w:sz w:val="22"/>
          <w:szCs w:val="22"/>
        </w:rPr>
        <w:t xml:space="preserve"> al Ente Recurrido</w:t>
      </w:r>
      <w:r w:rsidRPr="003743FA">
        <w:rPr>
          <w:rFonts w:ascii="Palatino Linotype" w:hAnsi="Palatino Linotype"/>
          <w:b/>
          <w:sz w:val="22"/>
          <w:szCs w:val="22"/>
        </w:rPr>
        <w:t xml:space="preserve">, </w:t>
      </w:r>
      <w:r w:rsidRPr="003743FA">
        <w:rPr>
          <w:rFonts w:ascii="Palatino Linotype" w:hAnsi="Palatino Linotype" w:cs="Tahoma"/>
          <w:sz w:val="22"/>
          <w:szCs w:val="22"/>
        </w:rPr>
        <w:t xml:space="preserve">a efecto de que </w:t>
      </w:r>
      <w:r w:rsidRPr="003743FA">
        <w:rPr>
          <w:rFonts w:ascii="Palatino Linotype" w:eastAsia="Calibri" w:hAnsi="Palatino Linotype" w:cs="Tahoma"/>
          <w:sz w:val="22"/>
          <w:szCs w:val="22"/>
          <w:lang w:eastAsia="es-MX"/>
        </w:rPr>
        <w:t>entregue</w:t>
      </w:r>
      <w:r w:rsidRPr="003743FA">
        <w:rPr>
          <w:rFonts w:ascii="Palatino Linotype" w:eastAsia="Calibri" w:hAnsi="Palatino Linotype" w:cs="Tahoma"/>
          <w:sz w:val="22"/>
          <w:szCs w:val="22"/>
        </w:rPr>
        <w:t xml:space="preserve">, a través del SAIMEX, </w:t>
      </w:r>
      <w:r w:rsidR="00CC1A64">
        <w:rPr>
          <w:rFonts w:ascii="Palatino Linotype" w:eastAsia="Calibri" w:hAnsi="Palatino Linotype" w:cs="Tahoma"/>
          <w:sz w:val="22"/>
          <w:szCs w:val="22"/>
        </w:rPr>
        <w:t xml:space="preserve">en versión pública, en términos del Considerando QUINTO, </w:t>
      </w:r>
      <w:r w:rsidRPr="003743FA">
        <w:rPr>
          <w:rFonts w:ascii="Palatino Linotype" w:eastAsia="Calibri" w:hAnsi="Palatino Linotype" w:cs="Tahoma"/>
          <w:sz w:val="22"/>
          <w:szCs w:val="22"/>
        </w:rPr>
        <w:t>los docum</w:t>
      </w:r>
      <w:r w:rsidR="00887FC2">
        <w:rPr>
          <w:rFonts w:ascii="Palatino Linotype" w:eastAsia="Calibri" w:hAnsi="Palatino Linotype" w:cs="Tahoma"/>
          <w:sz w:val="22"/>
          <w:szCs w:val="22"/>
        </w:rPr>
        <w:t xml:space="preserve">entos </w:t>
      </w:r>
      <w:r w:rsidR="00887FC2">
        <w:rPr>
          <w:rFonts w:ascii="Palatino Linotype" w:eastAsiaTheme="majorEastAsia" w:hAnsi="Palatino Linotype"/>
          <w:sz w:val="22"/>
          <w:szCs w:val="22"/>
        </w:rPr>
        <w:t xml:space="preserve">remitidos en respuesta respecto del procedimiento de adjudicación directa </w:t>
      </w:r>
      <w:r w:rsidR="00887FC2" w:rsidRPr="00EB64F7">
        <w:rPr>
          <w:rFonts w:ascii="Palatino Linotype" w:eastAsiaTheme="majorEastAsia" w:hAnsi="Palatino Linotype"/>
          <w:sz w:val="22"/>
          <w:szCs w:val="22"/>
        </w:rPr>
        <w:t>IA-74-091-915099911-N-9-2024</w:t>
      </w:r>
      <w:r w:rsidR="00CC1A64">
        <w:rPr>
          <w:rFonts w:ascii="Palatino Linotype" w:eastAsiaTheme="majorEastAsia" w:hAnsi="Palatino Linotype"/>
          <w:sz w:val="22"/>
          <w:szCs w:val="22"/>
        </w:rPr>
        <w:t>.</w:t>
      </w:r>
    </w:p>
    <w:p w14:paraId="4862E334" w14:textId="77777777" w:rsidR="00887FC2" w:rsidRPr="00887FC2" w:rsidRDefault="00887FC2" w:rsidP="00994027">
      <w:pPr>
        <w:spacing w:line="360" w:lineRule="auto"/>
        <w:contextualSpacing/>
        <w:jc w:val="both"/>
        <w:rPr>
          <w:rFonts w:ascii="Palatino Linotype" w:eastAsia="Calibri" w:hAnsi="Palatino Linotype" w:cs="Tahoma"/>
          <w:sz w:val="22"/>
          <w:szCs w:val="22"/>
        </w:rPr>
      </w:pPr>
    </w:p>
    <w:p w14:paraId="64E8270B" w14:textId="77777777" w:rsidR="00624A47" w:rsidRDefault="00624A47" w:rsidP="00994027">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 xml:space="preserve">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392EC31D" w14:textId="77777777" w:rsidR="00624A47" w:rsidRPr="00381BA1" w:rsidRDefault="00624A47" w:rsidP="00994027">
      <w:pPr>
        <w:spacing w:line="360" w:lineRule="auto"/>
        <w:contextualSpacing/>
        <w:jc w:val="both"/>
        <w:rPr>
          <w:rFonts w:ascii="Palatino Linotype" w:hAnsi="Palatino Linotype" w:cs="Tahoma"/>
          <w:bCs/>
          <w:iCs/>
          <w:sz w:val="22"/>
          <w:szCs w:val="22"/>
        </w:rPr>
      </w:pPr>
    </w:p>
    <w:p w14:paraId="51FFFB83" w14:textId="77777777" w:rsidR="00624A47" w:rsidRPr="00B71E3E" w:rsidRDefault="00624A47" w:rsidP="0099402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w:t>
      </w:r>
      <w:r w:rsidRPr="00B71E3E">
        <w:rPr>
          <w:rFonts w:ascii="Palatino Linotype" w:eastAsia="Calibri" w:hAnsi="Palatino Linotype" w:cs="Tahoma"/>
          <w:iCs/>
          <w:sz w:val="22"/>
          <w:szCs w:val="22"/>
        </w:rPr>
        <w:lastRenderedPageBreak/>
        <w:t>presente resolución o hacerlo de manera parcial, se le impondrá una medida de apremio de conformidad con lo previsto en los artículos 198, 200, fracción III, 214, 215 y 216 de la Ley referida.</w:t>
      </w:r>
    </w:p>
    <w:p w14:paraId="6460B178" w14:textId="77777777" w:rsidR="00624A47" w:rsidRPr="00B71E3E" w:rsidRDefault="00624A47" w:rsidP="0099402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6C854379" w14:textId="77777777" w:rsidR="00624A47" w:rsidRPr="00B71E3E" w:rsidRDefault="00624A47" w:rsidP="0099402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7A74F6" w14:textId="77777777" w:rsidR="00624A47" w:rsidRPr="00B71E3E" w:rsidRDefault="00624A47" w:rsidP="0099402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27E5F2E3" w14:textId="77777777" w:rsidR="00624A47" w:rsidRDefault="00624A47" w:rsidP="0099402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BA3A90F" w14:textId="77777777" w:rsidR="00624A47" w:rsidRPr="00B71E3E" w:rsidRDefault="00624A47" w:rsidP="00994027">
      <w:pPr>
        <w:spacing w:line="360" w:lineRule="auto"/>
        <w:contextualSpacing/>
        <w:jc w:val="both"/>
        <w:rPr>
          <w:rFonts w:ascii="Palatino Linotype" w:eastAsia="Calibri" w:hAnsi="Palatino Linotype" w:cs="Tahoma"/>
          <w:iCs/>
          <w:sz w:val="22"/>
          <w:szCs w:val="22"/>
        </w:rPr>
      </w:pPr>
    </w:p>
    <w:p w14:paraId="10997FF1" w14:textId="33F4667E" w:rsidR="00624A47" w:rsidRPr="001A2CA0" w:rsidRDefault="00624A47" w:rsidP="00994027">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84FC6">
        <w:rPr>
          <w:rFonts w:ascii="Palatino Linotype" w:eastAsia="Calibri" w:hAnsi="Palatino Linotype" w:cs="Tahoma"/>
          <w:iCs/>
          <w:sz w:val="22"/>
          <w:szCs w:val="22"/>
        </w:rPr>
        <w:t xml:space="preserve"> (AUSENCIA JUSTIFICADA)</w:t>
      </w:r>
      <w:r w:rsidRPr="00B71E3E">
        <w:rPr>
          <w:rFonts w:ascii="Palatino Linotype" w:eastAsia="Calibri" w:hAnsi="Palatino Linotype" w:cs="Tahoma"/>
          <w:iCs/>
          <w:sz w:val="22"/>
          <w:szCs w:val="22"/>
        </w:rPr>
        <w:t xml:space="preserve">, SHARON CRISTINA MORALES MARTÍNEZ, LUIS GUSTAVO PARRA NORIEGA Y GUADALUPE RAMÍREZ PEÑA, EN LA </w:t>
      </w:r>
      <w:r>
        <w:rPr>
          <w:rFonts w:ascii="Palatino Linotype" w:eastAsia="Calibri" w:hAnsi="Palatino Linotype" w:cs="Tahoma"/>
          <w:iCs/>
          <w:sz w:val="22"/>
          <w:szCs w:val="22"/>
        </w:rPr>
        <w:t>TRIG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Pr>
          <w:rFonts w:ascii="Palatino Linotype" w:eastAsia="Calibri" w:hAnsi="Palatino Linotype" w:cs="Tahoma"/>
          <w:iCs/>
          <w:sz w:val="22"/>
          <w:szCs w:val="22"/>
        </w:rPr>
        <w:t xml:space="preserve">NOVENA </w:t>
      </w:r>
      <w:r w:rsidRPr="00B71E3E">
        <w:rPr>
          <w:rFonts w:ascii="Palatino Linotype" w:eastAsia="Calibri" w:hAnsi="Palatino Linotype" w:cs="Tahoma"/>
          <w:iCs/>
          <w:sz w:val="22"/>
          <w:szCs w:val="22"/>
        </w:rPr>
        <w:t xml:space="preserve">SESIÓN ORDINARIA, CELEBRADA EL </w:t>
      </w:r>
      <w:r w:rsidR="00EE217F">
        <w:rPr>
          <w:rFonts w:ascii="Palatino Linotype" w:eastAsia="Calibri" w:hAnsi="Palatino Linotype" w:cs="Tahoma"/>
          <w:iCs/>
          <w:sz w:val="22"/>
          <w:szCs w:val="22"/>
        </w:rPr>
        <w:t xml:space="preserve">CINCO DE NOVIEMBRE </w:t>
      </w:r>
      <w:r w:rsidRPr="00B71E3E">
        <w:rPr>
          <w:rFonts w:ascii="Palatino Linotype" w:eastAsia="Calibri" w:hAnsi="Palatino Linotype" w:cs="Tahoma"/>
          <w:iCs/>
          <w:sz w:val="22"/>
          <w:szCs w:val="22"/>
        </w:rPr>
        <w:t>DE DOS MIL VEINTICINCO, ANTE EL SECRETARIO TÉCNICO DEL PLENO, ALEXIS TAPIA RAMÍREZ.</w:t>
      </w:r>
    </w:p>
    <w:p w14:paraId="6BCDEBB5" w14:textId="77777777" w:rsidR="00624A47" w:rsidRDefault="00624A47" w:rsidP="00994027">
      <w:pPr>
        <w:spacing w:line="360" w:lineRule="auto"/>
        <w:contextualSpacing/>
        <w:rPr>
          <w:rFonts w:ascii="Palatino Linotype" w:hAnsi="Palatino Linotype"/>
        </w:rPr>
      </w:pPr>
    </w:p>
    <w:p w14:paraId="55D87092" w14:textId="77777777" w:rsidR="00624A47" w:rsidRDefault="00624A47" w:rsidP="00994027">
      <w:pPr>
        <w:spacing w:line="360" w:lineRule="auto"/>
        <w:contextualSpacing/>
        <w:jc w:val="both"/>
        <w:rPr>
          <w:rFonts w:ascii="Palatino Linotype" w:hAnsi="Palatino Linotype" w:cs="Tahoma"/>
          <w:bCs/>
          <w:iCs/>
          <w:sz w:val="22"/>
          <w:szCs w:val="22"/>
        </w:rPr>
      </w:pPr>
    </w:p>
    <w:p w14:paraId="6B636794" w14:textId="77777777" w:rsidR="00624A47" w:rsidRDefault="00624A47" w:rsidP="00994027">
      <w:pPr>
        <w:spacing w:line="360" w:lineRule="auto"/>
        <w:contextualSpacing/>
        <w:rPr>
          <w:rFonts w:ascii="Palatino Linotype" w:hAnsi="Palatino Linotype"/>
        </w:rPr>
      </w:pPr>
    </w:p>
    <w:p w14:paraId="5F899119" w14:textId="77777777" w:rsidR="00624A47" w:rsidRDefault="00624A47" w:rsidP="00994027">
      <w:pPr>
        <w:spacing w:line="360" w:lineRule="auto"/>
        <w:contextualSpacing/>
        <w:rPr>
          <w:rFonts w:ascii="Palatino Linotype" w:hAnsi="Palatino Linotype"/>
        </w:rPr>
      </w:pPr>
    </w:p>
    <w:p w14:paraId="3B90617F" w14:textId="77777777" w:rsidR="00624A47" w:rsidRDefault="00624A47" w:rsidP="00994027">
      <w:pPr>
        <w:spacing w:line="360" w:lineRule="auto"/>
        <w:contextualSpacing/>
        <w:rPr>
          <w:rFonts w:ascii="Palatino Linotype" w:hAnsi="Palatino Linotype"/>
        </w:rPr>
      </w:pPr>
    </w:p>
    <w:p w14:paraId="2CF910D1" w14:textId="77777777" w:rsidR="00624A47" w:rsidRDefault="00624A47" w:rsidP="00994027">
      <w:pPr>
        <w:spacing w:line="360" w:lineRule="auto"/>
        <w:contextualSpacing/>
        <w:rPr>
          <w:rFonts w:ascii="Palatino Linotype" w:hAnsi="Palatino Linotype"/>
        </w:rPr>
      </w:pPr>
    </w:p>
    <w:p w14:paraId="6A06E6EF" w14:textId="77777777" w:rsidR="00624A47" w:rsidRDefault="00624A47" w:rsidP="00994027">
      <w:pPr>
        <w:spacing w:line="360" w:lineRule="auto"/>
        <w:contextualSpacing/>
        <w:rPr>
          <w:rFonts w:ascii="Palatino Linotype" w:hAnsi="Palatino Linotype"/>
        </w:rPr>
      </w:pPr>
    </w:p>
    <w:p w14:paraId="25D643D4" w14:textId="77777777" w:rsidR="00624A47" w:rsidRDefault="00624A47" w:rsidP="00994027">
      <w:pPr>
        <w:spacing w:line="360" w:lineRule="auto"/>
        <w:contextualSpacing/>
        <w:rPr>
          <w:rFonts w:ascii="Palatino Linotype" w:hAnsi="Palatino Linotype"/>
        </w:rPr>
      </w:pPr>
    </w:p>
    <w:p w14:paraId="27F4F029" w14:textId="77777777" w:rsidR="00624A47" w:rsidRDefault="00624A47" w:rsidP="00994027">
      <w:pPr>
        <w:spacing w:line="360" w:lineRule="auto"/>
        <w:contextualSpacing/>
        <w:rPr>
          <w:rFonts w:ascii="Palatino Linotype" w:hAnsi="Palatino Linotype"/>
        </w:rPr>
      </w:pPr>
    </w:p>
    <w:p w14:paraId="7AAE2E0E" w14:textId="77777777" w:rsidR="00624A47" w:rsidRDefault="00624A47" w:rsidP="00994027">
      <w:pPr>
        <w:spacing w:line="360" w:lineRule="auto"/>
        <w:contextualSpacing/>
        <w:rPr>
          <w:rFonts w:ascii="Palatino Linotype" w:hAnsi="Palatino Linotype"/>
        </w:rPr>
      </w:pPr>
    </w:p>
    <w:p w14:paraId="0729D523" w14:textId="77777777" w:rsidR="00624A47" w:rsidRDefault="00624A47" w:rsidP="00994027">
      <w:pPr>
        <w:spacing w:line="360" w:lineRule="auto"/>
        <w:contextualSpacing/>
        <w:rPr>
          <w:rFonts w:ascii="Palatino Linotype" w:hAnsi="Palatino Linotype"/>
        </w:rPr>
      </w:pPr>
    </w:p>
    <w:p w14:paraId="6AE2518A" w14:textId="77777777" w:rsidR="00624A47" w:rsidRDefault="00624A47" w:rsidP="00994027">
      <w:pPr>
        <w:spacing w:line="360" w:lineRule="auto"/>
        <w:contextualSpacing/>
        <w:rPr>
          <w:rFonts w:ascii="Palatino Linotype" w:hAnsi="Palatino Linotype"/>
        </w:rPr>
      </w:pPr>
    </w:p>
    <w:p w14:paraId="075F1352" w14:textId="77777777" w:rsidR="00624A47" w:rsidRDefault="00624A47" w:rsidP="00994027">
      <w:pPr>
        <w:spacing w:line="360" w:lineRule="auto"/>
        <w:contextualSpacing/>
        <w:rPr>
          <w:rFonts w:ascii="Palatino Linotype" w:hAnsi="Palatino Linotype"/>
        </w:rPr>
      </w:pPr>
    </w:p>
    <w:p w14:paraId="6574F1C0" w14:textId="77777777" w:rsidR="00624A47" w:rsidRDefault="00624A47" w:rsidP="00994027">
      <w:pPr>
        <w:spacing w:line="360" w:lineRule="auto"/>
        <w:contextualSpacing/>
        <w:rPr>
          <w:rFonts w:ascii="Palatino Linotype" w:hAnsi="Palatino Linotype"/>
        </w:rPr>
      </w:pPr>
    </w:p>
    <w:p w14:paraId="526B3F18" w14:textId="77777777" w:rsidR="00624A47" w:rsidRDefault="00624A47" w:rsidP="00994027">
      <w:pPr>
        <w:spacing w:line="360" w:lineRule="auto"/>
        <w:contextualSpacing/>
        <w:rPr>
          <w:rFonts w:ascii="Palatino Linotype" w:hAnsi="Palatino Linotype"/>
        </w:rPr>
      </w:pPr>
    </w:p>
    <w:p w14:paraId="77606E95" w14:textId="77777777" w:rsidR="00624A47" w:rsidRPr="00537F14" w:rsidRDefault="00624A47" w:rsidP="00994027">
      <w:pPr>
        <w:spacing w:line="360" w:lineRule="auto"/>
        <w:contextualSpacing/>
        <w:rPr>
          <w:rFonts w:ascii="Palatino Linotype" w:hAnsi="Palatino Linotype"/>
        </w:rPr>
      </w:pPr>
    </w:p>
    <w:p w14:paraId="497F356D" w14:textId="77777777" w:rsidR="00624A47" w:rsidRDefault="00624A47" w:rsidP="00994027">
      <w:pPr>
        <w:spacing w:line="360" w:lineRule="auto"/>
        <w:contextualSpacing/>
      </w:pPr>
    </w:p>
    <w:p w14:paraId="303174A2" w14:textId="77777777" w:rsidR="00624A47" w:rsidRDefault="00624A47" w:rsidP="00994027">
      <w:pPr>
        <w:spacing w:line="360" w:lineRule="auto"/>
        <w:contextualSpacing/>
      </w:pPr>
    </w:p>
    <w:p w14:paraId="7454431D" w14:textId="77777777" w:rsidR="00624A47" w:rsidRDefault="00624A47" w:rsidP="00994027">
      <w:pPr>
        <w:spacing w:line="360" w:lineRule="auto"/>
        <w:contextualSpacing/>
      </w:pPr>
    </w:p>
    <w:p w14:paraId="5F9FAEB0" w14:textId="77777777" w:rsidR="00624A47" w:rsidRDefault="00624A47" w:rsidP="00994027">
      <w:pPr>
        <w:spacing w:line="360" w:lineRule="auto"/>
        <w:contextualSpacing/>
      </w:pPr>
    </w:p>
    <w:p w14:paraId="0BFD7939" w14:textId="77777777" w:rsidR="00624A47" w:rsidRDefault="00624A47" w:rsidP="00994027">
      <w:pPr>
        <w:spacing w:line="360" w:lineRule="auto"/>
        <w:contextualSpacing/>
      </w:pPr>
    </w:p>
    <w:p w14:paraId="162026AC" w14:textId="77777777" w:rsidR="00624A47" w:rsidRDefault="00624A47" w:rsidP="00994027">
      <w:pPr>
        <w:spacing w:line="360" w:lineRule="auto"/>
        <w:contextualSpacing/>
      </w:pPr>
    </w:p>
    <w:p w14:paraId="6A785957" w14:textId="77777777" w:rsidR="00624A47" w:rsidRDefault="00624A47" w:rsidP="00994027">
      <w:pPr>
        <w:spacing w:line="360" w:lineRule="auto"/>
        <w:contextualSpacing/>
      </w:pPr>
    </w:p>
    <w:p w14:paraId="26085C0A" w14:textId="77777777" w:rsidR="00624A47" w:rsidRDefault="00624A47" w:rsidP="00994027">
      <w:pPr>
        <w:spacing w:line="360" w:lineRule="auto"/>
        <w:contextualSpacing/>
      </w:pPr>
    </w:p>
    <w:p w14:paraId="29BFA1A8" w14:textId="77777777" w:rsidR="00624A47" w:rsidRDefault="00624A47" w:rsidP="00994027">
      <w:pPr>
        <w:spacing w:line="360" w:lineRule="auto"/>
        <w:contextualSpacing/>
      </w:pPr>
    </w:p>
    <w:p w14:paraId="37A98273" w14:textId="77777777" w:rsidR="00624A47" w:rsidRDefault="00624A47" w:rsidP="00994027">
      <w:pPr>
        <w:spacing w:line="360" w:lineRule="auto"/>
        <w:contextualSpacing/>
      </w:pPr>
    </w:p>
    <w:p w14:paraId="7CFE3623" w14:textId="77777777" w:rsidR="00624A47" w:rsidRDefault="00624A47" w:rsidP="00994027">
      <w:pPr>
        <w:spacing w:line="360" w:lineRule="auto"/>
        <w:contextualSpacing/>
      </w:pPr>
    </w:p>
    <w:p w14:paraId="3F6FDE0B" w14:textId="77777777" w:rsidR="00624A47" w:rsidRDefault="00624A47" w:rsidP="00994027">
      <w:pPr>
        <w:spacing w:line="360" w:lineRule="auto"/>
        <w:contextualSpacing/>
      </w:pPr>
    </w:p>
    <w:p w14:paraId="41A61341" w14:textId="77777777" w:rsidR="00624A47" w:rsidRDefault="00624A47" w:rsidP="00994027">
      <w:pPr>
        <w:spacing w:line="360" w:lineRule="auto"/>
        <w:contextualSpacing/>
      </w:pPr>
    </w:p>
    <w:bookmarkEnd w:id="1"/>
    <w:p w14:paraId="1B3D747D" w14:textId="77777777" w:rsidR="00624A47" w:rsidRDefault="00624A47" w:rsidP="00994027">
      <w:pPr>
        <w:spacing w:line="360" w:lineRule="auto"/>
        <w:contextualSpacing/>
      </w:pPr>
    </w:p>
    <w:p w14:paraId="1FAAAB04" w14:textId="77777777" w:rsidR="00624A47" w:rsidRDefault="00624A47" w:rsidP="00994027">
      <w:pPr>
        <w:spacing w:line="360" w:lineRule="auto"/>
        <w:contextualSpacing/>
      </w:pPr>
    </w:p>
    <w:p w14:paraId="716F767E" w14:textId="77777777" w:rsidR="00624A47" w:rsidRDefault="00624A47" w:rsidP="00994027">
      <w:pPr>
        <w:spacing w:line="360" w:lineRule="auto"/>
        <w:contextualSpacing/>
      </w:pPr>
    </w:p>
    <w:p w14:paraId="5C21A8E5" w14:textId="77777777" w:rsidR="00624A47" w:rsidRDefault="00624A47" w:rsidP="00994027">
      <w:pPr>
        <w:spacing w:line="360" w:lineRule="auto"/>
        <w:contextualSpacing/>
      </w:pPr>
    </w:p>
    <w:p w14:paraId="12595367" w14:textId="77777777" w:rsidR="00624A47" w:rsidRDefault="00624A47" w:rsidP="00994027">
      <w:pPr>
        <w:spacing w:line="360" w:lineRule="auto"/>
        <w:contextualSpacing/>
      </w:pPr>
    </w:p>
    <w:p w14:paraId="1BA08488" w14:textId="77777777" w:rsidR="00B01980" w:rsidRDefault="00B01980" w:rsidP="00994027">
      <w:pPr>
        <w:spacing w:line="360" w:lineRule="auto"/>
        <w:contextualSpacing/>
      </w:pPr>
    </w:p>
    <w:sectPr w:rsidR="00B01980" w:rsidSect="00624A47">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3D21" w14:textId="77777777" w:rsidR="00663627" w:rsidRDefault="00663627" w:rsidP="00624A47">
      <w:r>
        <w:separator/>
      </w:r>
    </w:p>
  </w:endnote>
  <w:endnote w:type="continuationSeparator" w:id="0">
    <w:p w14:paraId="1B62EBE4" w14:textId="77777777" w:rsidR="00663627" w:rsidRDefault="00663627" w:rsidP="0062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557B5719" w14:textId="77777777" w:rsidR="00A61001" w:rsidRDefault="00A6100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77C946F3" w14:textId="77777777" w:rsidR="00A61001" w:rsidRDefault="00A610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1149D66" w14:textId="77777777" w:rsidR="00A61001" w:rsidRDefault="00A6100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03D9C">
              <w:rPr>
                <w:rFonts w:ascii="Palatino Linotype" w:hAnsi="Palatino Linotype"/>
                <w:b/>
                <w:bCs/>
                <w:noProof/>
                <w:sz w:val="22"/>
                <w:szCs w:val="22"/>
              </w:rPr>
              <w:t>4</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03D9C">
              <w:rPr>
                <w:rFonts w:ascii="Palatino Linotype" w:hAnsi="Palatino Linotype"/>
                <w:b/>
                <w:bCs/>
                <w:noProof/>
                <w:sz w:val="22"/>
                <w:szCs w:val="22"/>
              </w:rPr>
              <w:t>37</w:t>
            </w:r>
            <w:r w:rsidRPr="00AA25BA">
              <w:rPr>
                <w:rFonts w:ascii="Palatino Linotype" w:hAnsi="Palatino Linotype"/>
                <w:b/>
                <w:bCs/>
                <w:sz w:val="22"/>
                <w:szCs w:val="22"/>
              </w:rPr>
              <w:fldChar w:fldCharType="end"/>
            </w:r>
          </w:p>
        </w:sdtContent>
      </w:sdt>
    </w:sdtContent>
  </w:sdt>
  <w:p w14:paraId="7EE732C9" w14:textId="77777777" w:rsidR="00A61001" w:rsidRDefault="00A610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58CD64E9" w14:textId="77777777" w:rsidR="00A61001" w:rsidRPr="00AA25BA" w:rsidRDefault="00A61001">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02133">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02133">
              <w:rPr>
                <w:rFonts w:ascii="Palatino Linotype" w:hAnsi="Palatino Linotype"/>
                <w:b/>
                <w:bCs/>
                <w:noProof/>
                <w:sz w:val="22"/>
                <w:szCs w:val="22"/>
              </w:rPr>
              <w:t>1</w:t>
            </w:r>
            <w:r w:rsidRPr="00AA25BA">
              <w:rPr>
                <w:rFonts w:ascii="Palatino Linotype" w:hAnsi="Palatino Linotype"/>
                <w:b/>
                <w:bCs/>
                <w:sz w:val="22"/>
                <w:szCs w:val="22"/>
              </w:rPr>
              <w:fldChar w:fldCharType="end"/>
            </w:r>
          </w:p>
        </w:sdtContent>
      </w:sdt>
    </w:sdtContent>
  </w:sdt>
  <w:p w14:paraId="5AA51F13" w14:textId="232941E4" w:rsidR="00A61001" w:rsidRDefault="00A610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C74D" w14:textId="77777777" w:rsidR="00663627" w:rsidRDefault="00663627" w:rsidP="00624A47">
      <w:r>
        <w:separator/>
      </w:r>
    </w:p>
  </w:footnote>
  <w:footnote w:type="continuationSeparator" w:id="0">
    <w:p w14:paraId="60BD62E2" w14:textId="77777777" w:rsidR="00663627" w:rsidRDefault="00663627" w:rsidP="0062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A61001" w14:paraId="2D1A9216" w14:textId="77777777" w:rsidTr="000E1656">
      <w:trPr>
        <w:trHeight w:val="1435"/>
      </w:trPr>
      <w:tc>
        <w:tcPr>
          <w:tcW w:w="2972" w:type="dxa"/>
        </w:tcPr>
        <w:p w14:paraId="6228D25A" w14:textId="77777777" w:rsidR="00A61001" w:rsidRDefault="00A61001" w:rsidP="000E1656">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A61001" w14:paraId="062BC6C2" w14:textId="77777777" w:rsidTr="000E1656">
            <w:trPr>
              <w:trHeight w:val="144"/>
            </w:trPr>
            <w:tc>
              <w:tcPr>
                <w:tcW w:w="2447" w:type="dxa"/>
                <w:hideMark/>
              </w:tcPr>
              <w:p w14:paraId="531A9FA2" w14:textId="77777777" w:rsidR="00A61001" w:rsidRPr="008A245E" w:rsidRDefault="00A61001" w:rsidP="000E1656">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3F6AFAFE" w14:textId="77777777" w:rsidR="00A61001" w:rsidRPr="008A245E" w:rsidRDefault="00A61001" w:rsidP="000E1656">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A61001" w14:paraId="5C3A0CF5" w14:textId="77777777" w:rsidTr="000E1656">
            <w:trPr>
              <w:trHeight w:val="283"/>
            </w:trPr>
            <w:tc>
              <w:tcPr>
                <w:tcW w:w="2447" w:type="dxa"/>
                <w:hideMark/>
              </w:tcPr>
              <w:p w14:paraId="5874A3D7" w14:textId="77777777" w:rsidR="00A61001" w:rsidRPr="008A245E" w:rsidRDefault="00A61001" w:rsidP="000E165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DBE651F" w14:textId="77777777" w:rsidR="00A61001" w:rsidRPr="008A245E" w:rsidRDefault="00A61001" w:rsidP="000E1656">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A61001" w14:paraId="30C579DE" w14:textId="77777777" w:rsidTr="000E1656">
            <w:trPr>
              <w:trHeight w:val="283"/>
            </w:trPr>
            <w:tc>
              <w:tcPr>
                <w:tcW w:w="2447" w:type="dxa"/>
                <w:hideMark/>
              </w:tcPr>
              <w:p w14:paraId="3A1003C6" w14:textId="77777777" w:rsidR="00A61001" w:rsidRPr="008A245E" w:rsidRDefault="00A61001" w:rsidP="000E165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136D8492" w14:textId="77777777" w:rsidR="00A61001" w:rsidRPr="008A245E" w:rsidRDefault="00A61001" w:rsidP="000E1656">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6B838D02" w14:textId="77777777" w:rsidR="00A61001" w:rsidRPr="008A245E" w:rsidRDefault="00A61001" w:rsidP="000E1656">
                <w:pPr>
                  <w:tabs>
                    <w:tab w:val="right" w:pos="8838"/>
                  </w:tabs>
                  <w:ind w:left="-74" w:right="-105"/>
                  <w:jc w:val="both"/>
                  <w:rPr>
                    <w:rFonts w:ascii="Palatino Linotype" w:eastAsia="Calibri" w:hAnsi="Palatino Linotype" w:cs="Tahoma"/>
                    <w:b/>
                    <w:sz w:val="22"/>
                    <w:szCs w:val="22"/>
                    <w:lang w:eastAsia="en-US"/>
                  </w:rPr>
                </w:pPr>
              </w:p>
            </w:tc>
          </w:tr>
        </w:tbl>
        <w:p w14:paraId="22E1021B" w14:textId="77777777" w:rsidR="00A61001" w:rsidRDefault="00A61001" w:rsidP="000E1656">
          <w:pPr>
            <w:tabs>
              <w:tab w:val="right" w:pos="8838"/>
            </w:tabs>
            <w:spacing w:line="256" w:lineRule="auto"/>
            <w:ind w:left="-28"/>
            <w:jc w:val="both"/>
            <w:rPr>
              <w:rFonts w:ascii="Arial" w:eastAsia="Calibri" w:hAnsi="Arial" w:cs="Arial"/>
              <w:b/>
              <w:sz w:val="22"/>
              <w:szCs w:val="22"/>
              <w:lang w:eastAsia="en-US"/>
            </w:rPr>
          </w:pPr>
        </w:p>
      </w:tc>
    </w:tr>
  </w:tbl>
  <w:p w14:paraId="6F632C62" w14:textId="77777777" w:rsidR="00A61001" w:rsidRDefault="00A61001">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D495525" wp14:editId="5154296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A61001" w14:paraId="3C654FBF" w14:textId="77777777" w:rsidTr="000E1656">
      <w:trPr>
        <w:trHeight w:val="1435"/>
      </w:trPr>
      <w:tc>
        <w:tcPr>
          <w:tcW w:w="1985" w:type="dxa"/>
        </w:tcPr>
        <w:p w14:paraId="24C65B9F" w14:textId="77777777" w:rsidR="00A61001" w:rsidRDefault="00A61001" w:rsidP="000E1656">
          <w:pPr>
            <w:tabs>
              <w:tab w:val="right" w:pos="4273"/>
            </w:tabs>
            <w:spacing w:line="256" w:lineRule="auto"/>
            <w:rPr>
              <w:rFonts w:ascii="Garamond" w:eastAsia="Calibri" w:hAnsi="Garamond"/>
              <w:sz w:val="22"/>
              <w:szCs w:val="22"/>
              <w:lang w:eastAsia="en-US"/>
            </w:rPr>
          </w:pPr>
        </w:p>
      </w:tc>
      <w:tc>
        <w:tcPr>
          <w:tcW w:w="7371" w:type="dxa"/>
          <w:hideMark/>
        </w:tcPr>
        <w:p w14:paraId="68B5A37F" w14:textId="77777777" w:rsidR="00A61001" w:rsidRPr="007D2BD0" w:rsidRDefault="00A61001">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A61001" w14:paraId="5F5B69CF" w14:textId="77777777" w:rsidTr="000E1656">
            <w:trPr>
              <w:trHeight w:val="194"/>
            </w:trPr>
            <w:tc>
              <w:tcPr>
                <w:tcW w:w="2841" w:type="dxa"/>
                <w:hideMark/>
              </w:tcPr>
              <w:p w14:paraId="1B4E3CF2" w14:textId="77777777" w:rsidR="00A61001" w:rsidRPr="008A245E" w:rsidRDefault="00A61001" w:rsidP="000E165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2384C26B" w14:textId="0670705D" w:rsidR="00A61001" w:rsidRPr="008A245E" w:rsidRDefault="00A61001" w:rsidP="000E165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05876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372346AF" w14:textId="77777777" w:rsidR="00A61001" w:rsidRDefault="00A61001" w:rsidP="000E1656">
                <w:pPr>
                  <w:tabs>
                    <w:tab w:val="right" w:pos="8838"/>
                  </w:tabs>
                  <w:ind w:left="-114" w:right="-105"/>
                  <w:jc w:val="both"/>
                  <w:rPr>
                    <w:rFonts w:ascii="Palatino Linotype" w:eastAsia="Calibri" w:hAnsi="Palatino Linotype" w:cs="Tahoma"/>
                    <w:bCs/>
                    <w:sz w:val="22"/>
                    <w:szCs w:val="22"/>
                    <w:lang w:eastAsia="en-US"/>
                  </w:rPr>
                </w:pPr>
              </w:p>
            </w:tc>
          </w:tr>
          <w:tr w:rsidR="00A61001" w14:paraId="75719B00" w14:textId="77777777" w:rsidTr="000E1656">
            <w:trPr>
              <w:trHeight w:val="88"/>
            </w:trPr>
            <w:tc>
              <w:tcPr>
                <w:tcW w:w="2841" w:type="dxa"/>
                <w:hideMark/>
              </w:tcPr>
              <w:p w14:paraId="50F719EB" w14:textId="77777777" w:rsidR="00A61001" w:rsidRPr="008A245E" w:rsidRDefault="00A61001" w:rsidP="000E165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32AA1F8B" w14:textId="0959684F" w:rsidR="00A61001" w:rsidRPr="00624A47" w:rsidRDefault="00A61001" w:rsidP="000E1656">
                <w:pPr>
                  <w:tabs>
                    <w:tab w:val="left" w:pos="2834"/>
                    <w:tab w:val="right" w:pos="8838"/>
                  </w:tabs>
                  <w:ind w:left="-114"/>
                  <w:jc w:val="both"/>
                  <w:rPr>
                    <w:rFonts w:ascii="Palatino Linotype" w:eastAsia="Calibri" w:hAnsi="Palatino Linotype" w:cs="Tahoma"/>
                    <w:sz w:val="32"/>
                    <w:szCs w:val="32"/>
                    <w:lang w:eastAsia="en-US"/>
                  </w:rPr>
                </w:pPr>
                <w:r w:rsidRPr="00624A47">
                  <w:rPr>
                    <w:rFonts w:ascii="Palatino Linotype" w:eastAsia="Calibri" w:hAnsi="Palatino Linotype" w:cs="Tahoma"/>
                    <w:sz w:val="22"/>
                    <w:szCs w:val="22"/>
                    <w:lang w:val="es-MX" w:eastAsia="en-US"/>
                  </w:rPr>
                  <w:t>Universidad Estatal del Valle de Toluca</w:t>
                </w:r>
              </w:p>
            </w:tc>
            <w:tc>
              <w:tcPr>
                <w:tcW w:w="2396" w:type="dxa"/>
              </w:tcPr>
              <w:p w14:paraId="4388E2CD" w14:textId="77777777" w:rsidR="00A61001" w:rsidRPr="00326F31" w:rsidRDefault="00A61001" w:rsidP="000E1656">
                <w:pPr>
                  <w:tabs>
                    <w:tab w:val="left" w:pos="2834"/>
                    <w:tab w:val="right" w:pos="8838"/>
                  </w:tabs>
                  <w:ind w:left="-114"/>
                  <w:jc w:val="both"/>
                  <w:rPr>
                    <w:rFonts w:ascii="Palatino Linotype" w:eastAsia="Calibri" w:hAnsi="Palatino Linotype" w:cs="Tahoma"/>
                    <w:sz w:val="22"/>
                    <w:szCs w:val="22"/>
                    <w:lang w:eastAsia="en-US"/>
                  </w:rPr>
                </w:pPr>
              </w:p>
            </w:tc>
          </w:tr>
          <w:tr w:rsidR="00A61001" w14:paraId="639A3FA9" w14:textId="77777777" w:rsidTr="000E1656">
            <w:trPr>
              <w:trHeight w:val="383"/>
            </w:trPr>
            <w:tc>
              <w:tcPr>
                <w:tcW w:w="2841" w:type="dxa"/>
                <w:hideMark/>
              </w:tcPr>
              <w:p w14:paraId="2254489C" w14:textId="77777777" w:rsidR="00A61001" w:rsidRPr="008A245E" w:rsidRDefault="00A61001" w:rsidP="000E165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16725B05" w14:textId="77777777" w:rsidR="00A61001" w:rsidRPr="007D2BD0" w:rsidRDefault="00A61001" w:rsidP="000E1656">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3C1A9A32" w14:textId="77777777" w:rsidR="00A61001" w:rsidRPr="008A245E" w:rsidRDefault="00A61001" w:rsidP="000E1656">
                <w:pPr>
                  <w:tabs>
                    <w:tab w:val="right" w:pos="8838"/>
                  </w:tabs>
                  <w:ind w:left="-114" w:right="-105"/>
                  <w:jc w:val="both"/>
                  <w:rPr>
                    <w:rFonts w:ascii="Palatino Linotype" w:eastAsia="Calibri" w:hAnsi="Palatino Linotype" w:cs="Tahoma"/>
                    <w:sz w:val="22"/>
                    <w:szCs w:val="22"/>
                    <w:lang w:eastAsia="en-US"/>
                  </w:rPr>
                </w:pPr>
              </w:p>
            </w:tc>
          </w:tr>
        </w:tbl>
        <w:p w14:paraId="2F892BE2" w14:textId="77777777" w:rsidR="00A61001" w:rsidRDefault="00A61001" w:rsidP="000E1656">
          <w:pPr>
            <w:tabs>
              <w:tab w:val="right" w:pos="8838"/>
            </w:tabs>
            <w:spacing w:line="256" w:lineRule="auto"/>
            <w:ind w:left="-28"/>
            <w:jc w:val="both"/>
            <w:rPr>
              <w:rFonts w:ascii="Arial" w:eastAsia="Calibri" w:hAnsi="Arial" w:cs="Arial"/>
              <w:b/>
              <w:sz w:val="22"/>
              <w:szCs w:val="22"/>
              <w:lang w:eastAsia="en-US"/>
            </w:rPr>
          </w:pPr>
        </w:p>
      </w:tc>
    </w:tr>
  </w:tbl>
  <w:p w14:paraId="15B139A4" w14:textId="4603570C" w:rsidR="00A61001" w:rsidRDefault="00A61001">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81922D7" wp14:editId="6BC9C0B4">
          <wp:simplePos x="0" y="0"/>
          <wp:positionH relativeFrom="margin">
            <wp:posOffset>-1087482</wp:posOffset>
          </wp:positionH>
          <wp:positionV relativeFrom="margin">
            <wp:posOffset>-1582329</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A61001" w14:paraId="5FAC0459" w14:textId="77777777" w:rsidTr="000E1656">
      <w:trPr>
        <w:trHeight w:val="1435"/>
      </w:trPr>
      <w:tc>
        <w:tcPr>
          <w:tcW w:w="1560" w:type="dxa"/>
        </w:tcPr>
        <w:p w14:paraId="042D9179" w14:textId="77777777" w:rsidR="00A61001" w:rsidRDefault="00A61001" w:rsidP="000E1656">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A61001" w:rsidRPr="0095634C" w14:paraId="534CF256" w14:textId="77777777" w:rsidTr="000E1656">
            <w:trPr>
              <w:gridAfter w:val="1"/>
              <w:wAfter w:w="459" w:type="dxa"/>
              <w:trHeight w:val="132"/>
            </w:trPr>
            <w:tc>
              <w:tcPr>
                <w:tcW w:w="3818" w:type="dxa"/>
                <w:hideMark/>
              </w:tcPr>
              <w:p w14:paraId="63328188" w14:textId="77777777" w:rsidR="00A61001" w:rsidRPr="0095634C" w:rsidRDefault="00A61001" w:rsidP="000E1656">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23A02F8D" w14:textId="4173176C" w:rsidR="00A61001" w:rsidRPr="0095634C" w:rsidRDefault="00A61001" w:rsidP="000E1656">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05876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A61001" w:rsidRPr="0095634C" w14:paraId="3C8F16E4" w14:textId="77777777" w:rsidTr="000E1656">
            <w:trPr>
              <w:gridAfter w:val="1"/>
              <w:wAfter w:w="459" w:type="dxa"/>
              <w:trHeight w:val="132"/>
            </w:trPr>
            <w:tc>
              <w:tcPr>
                <w:tcW w:w="3818" w:type="dxa"/>
                <w:hideMark/>
              </w:tcPr>
              <w:p w14:paraId="49F9BD56" w14:textId="77777777" w:rsidR="00A61001" w:rsidRPr="0095634C" w:rsidRDefault="00A61001" w:rsidP="000E165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0CE15BE5" w14:textId="47C2A8B1" w:rsidR="00A61001" w:rsidRPr="0095634C" w:rsidRDefault="005F57FE" w:rsidP="000E1656">
                <w:pPr>
                  <w:tabs>
                    <w:tab w:val="left" w:pos="3122"/>
                    <w:tab w:val="right" w:pos="8838"/>
                  </w:tabs>
                  <w:ind w:left="-74" w:right="-105"/>
                  <w:jc w:val="both"/>
                  <w:rPr>
                    <w:rFonts w:ascii="Palatino Linotype" w:eastAsia="Calibri" w:hAnsi="Palatino Linotype" w:cs="Tahoma"/>
                    <w:sz w:val="22"/>
                    <w:szCs w:val="22"/>
                    <w:lang w:eastAsia="en-US"/>
                  </w:rPr>
                </w:pPr>
                <w:r w:rsidRPr="005F57FE">
                  <w:rPr>
                    <w:rFonts w:ascii="Palatino Linotype" w:eastAsia="Calibri" w:hAnsi="Palatino Linotype" w:cs="Tahoma"/>
                    <w:sz w:val="22"/>
                    <w:szCs w:val="22"/>
                    <w:highlight w:val="black"/>
                    <w:lang w:eastAsia="en-US"/>
                  </w:rPr>
                  <w:t>XXXXXXXXXXXXXXX</w:t>
                </w:r>
              </w:p>
            </w:tc>
          </w:tr>
          <w:tr w:rsidR="00A61001" w:rsidRPr="0095634C" w14:paraId="1418AEA9" w14:textId="77777777" w:rsidTr="000E1656">
            <w:trPr>
              <w:gridAfter w:val="1"/>
              <w:wAfter w:w="459" w:type="dxa"/>
              <w:trHeight w:val="261"/>
            </w:trPr>
            <w:tc>
              <w:tcPr>
                <w:tcW w:w="3818" w:type="dxa"/>
                <w:hideMark/>
              </w:tcPr>
              <w:p w14:paraId="586DF33B" w14:textId="77777777" w:rsidR="00A61001" w:rsidRPr="0095634C" w:rsidRDefault="00A61001" w:rsidP="000E165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0D190670" w14:textId="276E121B" w:rsidR="00A61001" w:rsidRPr="00624A47" w:rsidRDefault="00A61001" w:rsidP="000E1656">
                <w:pPr>
                  <w:tabs>
                    <w:tab w:val="left" w:pos="2834"/>
                    <w:tab w:val="right" w:pos="8838"/>
                  </w:tabs>
                  <w:ind w:left="-74"/>
                  <w:jc w:val="both"/>
                  <w:rPr>
                    <w:rFonts w:ascii="Palatino Linotype" w:eastAsia="Calibri" w:hAnsi="Palatino Linotype" w:cs="Tahoma"/>
                    <w:sz w:val="22"/>
                    <w:szCs w:val="22"/>
                    <w:lang w:eastAsia="en-US"/>
                  </w:rPr>
                </w:pPr>
                <w:r w:rsidRPr="00624A47">
                  <w:rPr>
                    <w:rFonts w:ascii="Palatino Linotype" w:eastAsia="Calibri" w:hAnsi="Palatino Linotype" w:cs="Tahoma"/>
                    <w:sz w:val="22"/>
                    <w:szCs w:val="22"/>
                    <w:lang w:val="es-MX" w:eastAsia="en-US"/>
                  </w:rPr>
                  <w:t>Universidad Estatal del Valle de Toluca</w:t>
                </w:r>
              </w:p>
            </w:tc>
          </w:tr>
          <w:tr w:rsidR="00A61001" w:rsidRPr="0095634C" w14:paraId="7E1A2A95" w14:textId="77777777" w:rsidTr="000E1656">
            <w:trPr>
              <w:trHeight w:val="261"/>
            </w:trPr>
            <w:tc>
              <w:tcPr>
                <w:tcW w:w="3818" w:type="dxa"/>
                <w:hideMark/>
              </w:tcPr>
              <w:p w14:paraId="11F1572C" w14:textId="77777777" w:rsidR="00A61001" w:rsidRPr="0095634C" w:rsidRDefault="00A61001" w:rsidP="000E165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72A9FB4A" w14:textId="77777777" w:rsidR="00A61001" w:rsidRPr="0057023C" w:rsidRDefault="00A61001" w:rsidP="000E1656">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CE09B20" w14:textId="77777777" w:rsidR="00A61001" w:rsidRDefault="00A61001" w:rsidP="000E1656">
          <w:pPr>
            <w:tabs>
              <w:tab w:val="right" w:pos="8838"/>
            </w:tabs>
            <w:spacing w:line="256" w:lineRule="auto"/>
            <w:ind w:left="-28"/>
            <w:jc w:val="both"/>
            <w:rPr>
              <w:rFonts w:ascii="Arial" w:eastAsia="Calibri" w:hAnsi="Arial" w:cs="Arial"/>
              <w:b/>
              <w:sz w:val="22"/>
              <w:szCs w:val="22"/>
              <w:lang w:eastAsia="en-US"/>
            </w:rPr>
          </w:pPr>
        </w:p>
      </w:tc>
    </w:tr>
  </w:tbl>
  <w:p w14:paraId="652FAF7C" w14:textId="77777777" w:rsidR="00A61001" w:rsidRDefault="00000000" w:rsidP="000E1656">
    <w:pPr>
      <w:pStyle w:val="Encabezado"/>
    </w:pPr>
    <w:r>
      <w:rPr>
        <w:rFonts w:ascii="Garamond" w:eastAsia="Calibri" w:hAnsi="Garamond"/>
        <w:noProof/>
        <w:sz w:val="22"/>
        <w:szCs w:val="22"/>
        <w:lang w:eastAsia="en-US"/>
      </w:rPr>
      <w:pict w14:anchorId="7EE72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A35"/>
    <w:multiLevelType w:val="hybridMultilevel"/>
    <w:tmpl w:val="FE000A34"/>
    <w:lvl w:ilvl="0" w:tplc="080A000F">
      <w:start w:val="1"/>
      <w:numFmt w:val="decimal"/>
      <w:lvlText w:val="%1."/>
      <w:lvlJc w:val="left"/>
      <w:pPr>
        <w:ind w:left="720" w:hanging="360"/>
      </w:pPr>
    </w:lvl>
    <w:lvl w:ilvl="1" w:tplc="0A2CA9F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BBC63BCC">
      <w:start w:val="1"/>
      <w:numFmt w:val="decimal"/>
      <w:lvlText w:val="%4."/>
      <w:lvlJc w:val="left"/>
      <w:pPr>
        <w:ind w:left="2880" w:hanging="360"/>
      </w:pPr>
      <w:rPr>
        <w:rFonts w:ascii="Palatino Linotype" w:eastAsia="Calibri" w:hAnsi="Palatino Linotype" w:cs="Times New Roman"/>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C11B2"/>
    <w:multiLevelType w:val="hybridMultilevel"/>
    <w:tmpl w:val="6F7C6F6C"/>
    <w:lvl w:ilvl="0" w:tplc="8D021D08">
      <w:start w:val="1"/>
      <w:numFmt w:val="bullet"/>
      <w:lvlText w:val="-"/>
      <w:lvlJc w:val="left"/>
      <w:pPr>
        <w:ind w:left="720" w:hanging="360"/>
      </w:pPr>
      <w:rPr>
        <w:rFonts w:ascii="Palatino Linotype" w:eastAsia="Times New Roman" w:hAnsi="Palatino Linotype"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6021C7"/>
    <w:multiLevelType w:val="hybridMultilevel"/>
    <w:tmpl w:val="9E5808B2"/>
    <w:lvl w:ilvl="0" w:tplc="5E4056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B66FCD"/>
    <w:multiLevelType w:val="multilevel"/>
    <w:tmpl w:val="C97E6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4A20B7"/>
    <w:multiLevelType w:val="multilevel"/>
    <w:tmpl w:val="9DC28E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274777D6"/>
    <w:multiLevelType w:val="hybridMultilevel"/>
    <w:tmpl w:val="4A6C9A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3E7C1D"/>
    <w:multiLevelType w:val="hybridMultilevel"/>
    <w:tmpl w:val="85022C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B940B49"/>
    <w:multiLevelType w:val="hybridMultilevel"/>
    <w:tmpl w:val="63D2F348"/>
    <w:lvl w:ilvl="0" w:tplc="73805DB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A63839"/>
    <w:multiLevelType w:val="hybridMultilevel"/>
    <w:tmpl w:val="2C8668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B46C97"/>
    <w:multiLevelType w:val="hybridMultilevel"/>
    <w:tmpl w:val="50789A16"/>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E07A59"/>
    <w:multiLevelType w:val="hybridMultilevel"/>
    <w:tmpl w:val="00344BF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7D3872"/>
    <w:multiLevelType w:val="hybridMultilevel"/>
    <w:tmpl w:val="2B5491A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A963BD"/>
    <w:multiLevelType w:val="hybridMultilevel"/>
    <w:tmpl w:val="B3AA2F5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896904"/>
    <w:multiLevelType w:val="multilevel"/>
    <w:tmpl w:val="F5F2CC9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0E13F3"/>
    <w:multiLevelType w:val="hybridMultilevel"/>
    <w:tmpl w:val="F2DC6AC4"/>
    <w:lvl w:ilvl="0" w:tplc="86E20C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3456667">
    <w:abstractNumId w:val="7"/>
  </w:num>
  <w:num w:numId="2" w16cid:durableId="692610360">
    <w:abstractNumId w:val="10"/>
  </w:num>
  <w:num w:numId="3" w16cid:durableId="1028338695">
    <w:abstractNumId w:val="15"/>
  </w:num>
  <w:num w:numId="4" w16cid:durableId="903680597">
    <w:abstractNumId w:val="13"/>
  </w:num>
  <w:num w:numId="5" w16cid:durableId="214589459">
    <w:abstractNumId w:val="12"/>
  </w:num>
  <w:num w:numId="6" w16cid:durableId="1598098031">
    <w:abstractNumId w:val="1"/>
  </w:num>
  <w:num w:numId="7" w16cid:durableId="1949896525">
    <w:abstractNumId w:val="11"/>
  </w:num>
  <w:num w:numId="8" w16cid:durableId="1873494267">
    <w:abstractNumId w:val="0"/>
  </w:num>
  <w:num w:numId="9" w16cid:durableId="613289359">
    <w:abstractNumId w:val="2"/>
  </w:num>
  <w:num w:numId="10" w16cid:durableId="615335075">
    <w:abstractNumId w:val="8"/>
  </w:num>
  <w:num w:numId="11" w16cid:durableId="1239244766">
    <w:abstractNumId w:val="6"/>
  </w:num>
  <w:num w:numId="12" w16cid:durableId="531116318">
    <w:abstractNumId w:val="5"/>
  </w:num>
  <w:num w:numId="13" w16cid:durableId="434713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4153603">
    <w:abstractNumId w:val="14"/>
  </w:num>
  <w:num w:numId="15" w16cid:durableId="1543637545">
    <w:abstractNumId w:val="3"/>
  </w:num>
  <w:num w:numId="16" w16cid:durableId="1408772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47"/>
    <w:rsid w:val="00050F20"/>
    <w:rsid w:val="000538E5"/>
    <w:rsid w:val="00071D36"/>
    <w:rsid w:val="000723DA"/>
    <w:rsid w:val="00084FC6"/>
    <w:rsid w:val="000D52BE"/>
    <w:rsid w:val="000E1656"/>
    <w:rsid w:val="00183EE3"/>
    <w:rsid w:val="0019609D"/>
    <w:rsid w:val="001B11B2"/>
    <w:rsid w:val="001E2184"/>
    <w:rsid w:val="0034077D"/>
    <w:rsid w:val="003F2B73"/>
    <w:rsid w:val="004654C7"/>
    <w:rsid w:val="00471405"/>
    <w:rsid w:val="004C01F5"/>
    <w:rsid w:val="0053394E"/>
    <w:rsid w:val="00543563"/>
    <w:rsid w:val="0057473D"/>
    <w:rsid w:val="005F57FE"/>
    <w:rsid w:val="00624A47"/>
    <w:rsid w:val="00663627"/>
    <w:rsid w:val="006C4982"/>
    <w:rsid w:val="00803D9C"/>
    <w:rsid w:val="00887FC2"/>
    <w:rsid w:val="00994027"/>
    <w:rsid w:val="00A61001"/>
    <w:rsid w:val="00AD19E2"/>
    <w:rsid w:val="00AE13B8"/>
    <w:rsid w:val="00B01980"/>
    <w:rsid w:val="00B02133"/>
    <w:rsid w:val="00B5063F"/>
    <w:rsid w:val="00BC6BC4"/>
    <w:rsid w:val="00C807D2"/>
    <w:rsid w:val="00CC1A64"/>
    <w:rsid w:val="00D87A7E"/>
    <w:rsid w:val="00DB52AA"/>
    <w:rsid w:val="00EB64F7"/>
    <w:rsid w:val="00EE217F"/>
    <w:rsid w:val="00F20FE8"/>
    <w:rsid w:val="00FB32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6269"/>
  <w15:chartTrackingRefBased/>
  <w15:docId w15:val="{5FA0930B-C953-4E7F-966A-A7EE4DB2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47"/>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624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24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24A4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24A4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24A4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24A4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4A4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4A4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4A4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4A4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24A4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24A4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24A4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24A4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24A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4A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4A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4A47"/>
    <w:rPr>
      <w:rFonts w:eastAsiaTheme="majorEastAsia" w:cstheme="majorBidi"/>
      <w:color w:val="272727" w:themeColor="text1" w:themeTint="D8"/>
    </w:rPr>
  </w:style>
  <w:style w:type="paragraph" w:styleId="Ttulo">
    <w:name w:val="Title"/>
    <w:basedOn w:val="Normal"/>
    <w:next w:val="Normal"/>
    <w:link w:val="TtuloCar"/>
    <w:uiPriority w:val="10"/>
    <w:qFormat/>
    <w:rsid w:val="00624A4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4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4A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4A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4A47"/>
    <w:pPr>
      <w:spacing w:before="160"/>
      <w:jc w:val="center"/>
    </w:pPr>
    <w:rPr>
      <w:i/>
      <w:iCs/>
      <w:color w:val="404040" w:themeColor="text1" w:themeTint="BF"/>
    </w:rPr>
  </w:style>
  <w:style w:type="character" w:customStyle="1" w:styleId="CitaCar">
    <w:name w:val="Cita Car"/>
    <w:basedOn w:val="Fuentedeprrafopredeter"/>
    <w:link w:val="Cita"/>
    <w:uiPriority w:val="29"/>
    <w:rsid w:val="00624A4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4A47"/>
    <w:pPr>
      <w:ind w:left="720"/>
      <w:contextualSpacing/>
    </w:pPr>
  </w:style>
  <w:style w:type="character" w:styleId="nfasisintenso">
    <w:name w:val="Intense Emphasis"/>
    <w:basedOn w:val="Fuentedeprrafopredeter"/>
    <w:uiPriority w:val="21"/>
    <w:qFormat/>
    <w:rsid w:val="00624A47"/>
    <w:rPr>
      <w:i/>
      <w:iCs/>
      <w:color w:val="2F5496" w:themeColor="accent1" w:themeShade="BF"/>
    </w:rPr>
  </w:style>
  <w:style w:type="paragraph" w:styleId="Citadestacada">
    <w:name w:val="Intense Quote"/>
    <w:basedOn w:val="Normal"/>
    <w:next w:val="Normal"/>
    <w:link w:val="CitadestacadaCar"/>
    <w:uiPriority w:val="30"/>
    <w:qFormat/>
    <w:rsid w:val="00624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24A47"/>
    <w:rPr>
      <w:i/>
      <w:iCs/>
      <w:color w:val="2F5496" w:themeColor="accent1" w:themeShade="BF"/>
    </w:rPr>
  </w:style>
  <w:style w:type="character" w:styleId="Referenciaintensa">
    <w:name w:val="Intense Reference"/>
    <w:basedOn w:val="Fuentedeprrafopredeter"/>
    <w:uiPriority w:val="32"/>
    <w:qFormat/>
    <w:rsid w:val="00624A47"/>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24A47"/>
  </w:style>
  <w:style w:type="table" w:styleId="Tablaconcuadrcula">
    <w:name w:val="Table Grid"/>
    <w:basedOn w:val="Tablanormal"/>
    <w:uiPriority w:val="39"/>
    <w:rsid w:val="00624A47"/>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4A47"/>
    <w:pPr>
      <w:tabs>
        <w:tab w:val="center" w:pos="4419"/>
        <w:tab w:val="right" w:pos="8838"/>
      </w:tabs>
    </w:pPr>
  </w:style>
  <w:style w:type="character" w:customStyle="1" w:styleId="EncabezadoCar">
    <w:name w:val="Encabezado Car"/>
    <w:basedOn w:val="Fuentedeprrafopredeter"/>
    <w:link w:val="Encabezado"/>
    <w:uiPriority w:val="99"/>
    <w:rsid w:val="00624A47"/>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24A47"/>
    <w:pPr>
      <w:tabs>
        <w:tab w:val="center" w:pos="4419"/>
        <w:tab w:val="right" w:pos="8838"/>
      </w:tabs>
    </w:pPr>
  </w:style>
  <w:style w:type="character" w:customStyle="1" w:styleId="PiedepginaCar">
    <w:name w:val="Pie de página Car"/>
    <w:basedOn w:val="Fuentedeprrafopredeter"/>
    <w:link w:val="Piedepgina"/>
    <w:uiPriority w:val="99"/>
    <w:rsid w:val="00624A47"/>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624A47"/>
    <w:rPr>
      <w:color w:val="0563C1" w:themeColor="hyperlink"/>
      <w:u w:val="single"/>
    </w:rPr>
  </w:style>
  <w:style w:type="paragraph" w:styleId="TtuloTDC">
    <w:name w:val="TOC Heading"/>
    <w:basedOn w:val="Ttulo1"/>
    <w:next w:val="Normal"/>
    <w:uiPriority w:val="39"/>
    <w:unhideWhenUsed/>
    <w:qFormat/>
    <w:rsid w:val="00624A47"/>
    <w:pPr>
      <w:spacing w:before="240" w:after="0"/>
      <w:outlineLvl w:val="9"/>
    </w:pPr>
    <w:rPr>
      <w:sz w:val="32"/>
      <w:szCs w:val="32"/>
      <w:lang w:eastAsia="es-MX"/>
    </w:rPr>
  </w:style>
  <w:style w:type="paragraph" w:styleId="TDC2">
    <w:name w:val="toc 2"/>
    <w:basedOn w:val="Normal"/>
    <w:next w:val="Normal"/>
    <w:autoRedefine/>
    <w:uiPriority w:val="39"/>
    <w:unhideWhenUsed/>
    <w:rsid w:val="00624A47"/>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624A47"/>
    <w:pPr>
      <w:spacing w:after="100" w:line="259" w:lineRule="auto"/>
    </w:pPr>
    <w:rPr>
      <w:rFonts w:asciiTheme="minorHAnsi" w:eastAsiaTheme="minorEastAsia" w:hAnsiTheme="minorHAnsi"/>
      <w:sz w:val="22"/>
      <w:szCs w:val="22"/>
      <w:lang w:eastAsia="es-MX"/>
    </w:rPr>
  </w:style>
  <w:style w:type="table" w:customStyle="1" w:styleId="Tablaconcuadrcula1">
    <w:name w:val="Tabla con cuadrícula1"/>
    <w:basedOn w:val="Tablanormal"/>
    <w:next w:val="Tablaconcuadrcula"/>
    <w:uiPriority w:val="59"/>
    <w:qFormat/>
    <w:rsid w:val="00050F20"/>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8524</Words>
  <Characters>46883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2025-11-07T06:04:00Z</cp:lastPrinted>
  <dcterms:created xsi:type="dcterms:W3CDTF">2025-11-07T06:03:00Z</dcterms:created>
  <dcterms:modified xsi:type="dcterms:W3CDTF">2025-11-28T18:49:00Z</dcterms:modified>
</cp:coreProperties>
</file>