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E3DE50" w14:textId="77777777" w:rsidR="00A045BE" w:rsidRPr="00A42FE8" w:rsidRDefault="00DD7B69">
      <w:pPr>
        <w:spacing w:line="360" w:lineRule="auto"/>
        <w:jc w:val="both"/>
        <w:rPr>
          <w:rFonts w:ascii="Palatino Linotype" w:eastAsia="Palatino Linotype" w:hAnsi="Palatino Linotype" w:cs="Palatino Linotype"/>
          <w:sz w:val="22"/>
          <w:szCs w:val="22"/>
        </w:rPr>
      </w:pPr>
      <w:r w:rsidRPr="00A42FE8">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dieciocho de septiembre de dos mil veinticinco. </w:t>
      </w:r>
    </w:p>
    <w:p w14:paraId="7BD4A8F5" w14:textId="77777777" w:rsidR="00A045BE" w:rsidRPr="00A42FE8" w:rsidRDefault="00A045BE">
      <w:pPr>
        <w:spacing w:line="360" w:lineRule="auto"/>
        <w:jc w:val="both"/>
        <w:rPr>
          <w:rFonts w:ascii="Palatino Linotype" w:eastAsia="Palatino Linotype" w:hAnsi="Palatino Linotype" w:cs="Palatino Linotype"/>
          <w:sz w:val="22"/>
          <w:szCs w:val="22"/>
        </w:rPr>
      </w:pPr>
    </w:p>
    <w:p w14:paraId="2862AF9F" w14:textId="362754C0" w:rsidR="00A045BE" w:rsidRPr="00A42FE8" w:rsidRDefault="00DD7B69">
      <w:pPr>
        <w:spacing w:line="360" w:lineRule="auto"/>
        <w:jc w:val="both"/>
        <w:rPr>
          <w:rFonts w:ascii="Palatino Linotype" w:eastAsia="Palatino Linotype" w:hAnsi="Palatino Linotype" w:cs="Palatino Linotype"/>
          <w:sz w:val="22"/>
          <w:szCs w:val="22"/>
        </w:rPr>
      </w:pPr>
      <w:r w:rsidRPr="00A42FE8">
        <w:rPr>
          <w:rFonts w:ascii="Palatino Linotype" w:eastAsia="Palatino Linotype" w:hAnsi="Palatino Linotype" w:cs="Palatino Linotype"/>
          <w:b/>
          <w:sz w:val="22"/>
          <w:szCs w:val="22"/>
        </w:rPr>
        <w:t>VISTO</w:t>
      </w:r>
      <w:r w:rsidRPr="00A42FE8">
        <w:rPr>
          <w:rFonts w:ascii="Palatino Linotype" w:eastAsia="Palatino Linotype" w:hAnsi="Palatino Linotype" w:cs="Palatino Linotype"/>
          <w:sz w:val="22"/>
          <w:szCs w:val="22"/>
        </w:rPr>
        <w:t xml:space="preserve"> el expediente formado con motivo del recurso de revisión </w:t>
      </w:r>
      <w:r w:rsidRPr="00A42FE8">
        <w:rPr>
          <w:rFonts w:ascii="Palatino Linotype" w:eastAsia="Palatino Linotype" w:hAnsi="Palatino Linotype" w:cs="Palatino Linotype"/>
          <w:b/>
          <w:sz w:val="22"/>
          <w:szCs w:val="22"/>
        </w:rPr>
        <w:t>05419/INFOEM/IP/RR/2025</w:t>
      </w:r>
      <w:r w:rsidRPr="00A42FE8">
        <w:rPr>
          <w:rFonts w:ascii="Palatino Linotype" w:eastAsia="Palatino Linotype" w:hAnsi="Palatino Linotype" w:cs="Palatino Linotype"/>
          <w:sz w:val="22"/>
          <w:szCs w:val="22"/>
        </w:rPr>
        <w:t xml:space="preserve">, interpuesto por </w:t>
      </w:r>
      <w:r w:rsidR="00BF2219">
        <w:rPr>
          <w:rFonts w:ascii="Palatino Linotype" w:eastAsia="Palatino Linotype" w:hAnsi="Palatino Linotype" w:cs="Palatino Linotype"/>
          <w:b/>
          <w:sz w:val="22"/>
          <w:szCs w:val="22"/>
        </w:rPr>
        <w:t>XXXX</w:t>
      </w:r>
      <w:r w:rsidRPr="00A42FE8">
        <w:rPr>
          <w:rFonts w:ascii="Palatino Linotype" w:eastAsia="Palatino Linotype" w:hAnsi="Palatino Linotype" w:cs="Palatino Linotype"/>
          <w:b/>
          <w:sz w:val="22"/>
          <w:szCs w:val="22"/>
        </w:rPr>
        <w:t>,</w:t>
      </w:r>
      <w:r w:rsidRPr="00A42FE8">
        <w:rPr>
          <w:rFonts w:ascii="Palatino Linotype" w:eastAsia="Palatino Linotype" w:hAnsi="Palatino Linotype" w:cs="Palatino Linotype"/>
          <w:sz w:val="22"/>
          <w:szCs w:val="22"/>
        </w:rPr>
        <w:t xml:space="preserve"> en lo sucesivo la parte </w:t>
      </w:r>
      <w:r w:rsidRPr="00A42FE8">
        <w:rPr>
          <w:rFonts w:ascii="Palatino Linotype" w:eastAsia="Palatino Linotype" w:hAnsi="Palatino Linotype" w:cs="Palatino Linotype"/>
          <w:b/>
          <w:sz w:val="22"/>
          <w:szCs w:val="22"/>
        </w:rPr>
        <w:t>Recurrente,</w:t>
      </w:r>
      <w:r w:rsidRPr="00A42FE8">
        <w:rPr>
          <w:rFonts w:ascii="Palatino Linotype" w:eastAsia="Palatino Linotype" w:hAnsi="Palatino Linotype" w:cs="Palatino Linotype"/>
          <w:sz w:val="22"/>
          <w:szCs w:val="22"/>
        </w:rPr>
        <w:t xml:space="preserve"> en contra de la respuesta a su solicitud de información con número de folio</w:t>
      </w:r>
      <w:r w:rsidRPr="00A42FE8">
        <w:rPr>
          <w:rFonts w:ascii="Palatino Linotype" w:eastAsia="Palatino Linotype" w:hAnsi="Palatino Linotype" w:cs="Palatino Linotype"/>
          <w:b/>
          <w:sz w:val="22"/>
          <w:szCs w:val="22"/>
        </w:rPr>
        <w:t xml:space="preserve"> 00096/CODHEM/IP/2025, </w:t>
      </w:r>
      <w:r w:rsidRPr="00A42FE8">
        <w:rPr>
          <w:rFonts w:ascii="Palatino Linotype" w:eastAsia="Palatino Linotype" w:hAnsi="Palatino Linotype" w:cs="Palatino Linotype"/>
          <w:sz w:val="22"/>
          <w:szCs w:val="22"/>
        </w:rPr>
        <w:t xml:space="preserve">por parte de la </w:t>
      </w:r>
      <w:r w:rsidRPr="00A42FE8">
        <w:rPr>
          <w:rFonts w:ascii="Palatino Linotype" w:eastAsia="Palatino Linotype" w:hAnsi="Palatino Linotype" w:cs="Palatino Linotype"/>
          <w:b/>
          <w:sz w:val="22"/>
          <w:szCs w:val="22"/>
        </w:rPr>
        <w:t xml:space="preserve">Comisión de Derechos Humanos del Estado de México, </w:t>
      </w:r>
      <w:r w:rsidRPr="00A42FE8">
        <w:rPr>
          <w:rFonts w:ascii="Palatino Linotype" w:eastAsia="Palatino Linotype" w:hAnsi="Palatino Linotype" w:cs="Palatino Linotype"/>
          <w:sz w:val="22"/>
          <w:szCs w:val="22"/>
        </w:rPr>
        <w:t xml:space="preserve">en lo sucesivo el </w:t>
      </w:r>
      <w:r w:rsidRPr="00A42FE8">
        <w:rPr>
          <w:rFonts w:ascii="Palatino Linotype" w:eastAsia="Palatino Linotype" w:hAnsi="Palatino Linotype" w:cs="Palatino Linotype"/>
          <w:b/>
          <w:sz w:val="22"/>
          <w:szCs w:val="22"/>
        </w:rPr>
        <w:t xml:space="preserve">Sujeto Obligado, </w:t>
      </w:r>
      <w:r w:rsidRPr="00A42FE8">
        <w:rPr>
          <w:rFonts w:ascii="Palatino Linotype" w:eastAsia="Palatino Linotype" w:hAnsi="Palatino Linotype" w:cs="Palatino Linotype"/>
          <w:sz w:val="22"/>
          <w:szCs w:val="22"/>
        </w:rPr>
        <w:t xml:space="preserve">se procede a dictar la presente resolución con base en los siguientes: </w:t>
      </w:r>
    </w:p>
    <w:p w14:paraId="6CF840E6" w14:textId="77777777" w:rsidR="00A045BE" w:rsidRPr="00A42FE8" w:rsidRDefault="00DD7B69">
      <w:pPr>
        <w:spacing w:line="360" w:lineRule="auto"/>
        <w:jc w:val="center"/>
        <w:rPr>
          <w:rFonts w:ascii="Palatino Linotype" w:eastAsia="Palatino Linotype" w:hAnsi="Palatino Linotype" w:cs="Palatino Linotype"/>
          <w:b/>
          <w:sz w:val="22"/>
          <w:szCs w:val="22"/>
        </w:rPr>
      </w:pPr>
      <w:r w:rsidRPr="00A42FE8">
        <w:rPr>
          <w:rFonts w:ascii="Palatino Linotype" w:eastAsia="Palatino Linotype" w:hAnsi="Palatino Linotype" w:cs="Palatino Linotype"/>
          <w:b/>
          <w:sz w:val="22"/>
          <w:szCs w:val="22"/>
        </w:rPr>
        <w:t>I. A N T E C E D E N T E S</w:t>
      </w:r>
    </w:p>
    <w:p w14:paraId="0ADEA51A" w14:textId="77777777" w:rsidR="00A045BE" w:rsidRPr="00A42FE8" w:rsidRDefault="00DD7B69">
      <w:pPr>
        <w:spacing w:line="360" w:lineRule="auto"/>
        <w:jc w:val="both"/>
        <w:rPr>
          <w:rFonts w:ascii="Palatino Linotype" w:eastAsia="Palatino Linotype" w:hAnsi="Palatino Linotype" w:cs="Palatino Linotype"/>
          <w:sz w:val="22"/>
          <w:szCs w:val="22"/>
        </w:rPr>
      </w:pPr>
      <w:r w:rsidRPr="00A42FE8">
        <w:rPr>
          <w:rFonts w:ascii="Palatino Linotype" w:eastAsia="Palatino Linotype" w:hAnsi="Palatino Linotype" w:cs="Palatino Linotype"/>
          <w:b/>
          <w:sz w:val="22"/>
          <w:szCs w:val="22"/>
        </w:rPr>
        <w:t>1. Solicitud de acceso a la información.</w:t>
      </w:r>
      <w:r w:rsidRPr="00A42FE8">
        <w:rPr>
          <w:rFonts w:ascii="Palatino Linotype" w:eastAsia="Palatino Linotype" w:hAnsi="Palatino Linotype" w:cs="Palatino Linotype"/>
          <w:sz w:val="22"/>
          <w:szCs w:val="22"/>
        </w:rPr>
        <w:t xml:space="preserve"> Con fecha </w:t>
      </w:r>
      <w:r w:rsidRPr="00A42FE8">
        <w:rPr>
          <w:rFonts w:ascii="Palatino Linotype" w:eastAsia="Palatino Linotype" w:hAnsi="Palatino Linotype" w:cs="Palatino Linotype"/>
          <w:b/>
          <w:sz w:val="22"/>
          <w:szCs w:val="22"/>
        </w:rPr>
        <w:t>primero de mayo de dos mil veinticinco,</w:t>
      </w:r>
      <w:r w:rsidRPr="00A42FE8">
        <w:rPr>
          <w:rFonts w:ascii="Palatino Linotype" w:eastAsia="Palatino Linotype" w:hAnsi="Palatino Linotype" w:cs="Palatino Linotype"/>
          <w:sz w:val="22"/>
          <w:szCs w:val="22"/>
        </w:rPr>
        <w:t xml:space="preserve"> la parte </w:t>
      </w:r>
      <w:r w:rsidRPr="00A42FE8">
        <w:rPr>
          <w:rFonts w:ascii="Palatino Linotype" w:eastAsia="Palatino Linotype" w:hAnsi="Palatino Linotype" w:cs="Palatino Linotype"/>
          <w:b/>
          <w:sz w:val="22"/>
          <w:szCs w:val="22"/>
        </w:rPr>
        <w:t xml:space="preserve">Recurrente </w:t>
      </w:r>
      <w:r w:rsidRPr="00A42FE8">
        <w:rPr>
          <w:rFonts w:ascii="Palatino Linotype" w:eastAsia="Palatino Linotype" w:hAnsi="Palatino Linotype" w:cs="Palatino Linotype"/>
          <w:sz w:val="22"/>
          <w:szCs w:val="22"/>
        </w:rPr>
        <w:t xml:space="preserve">presentó, a través del Sistema de Acceso a la Información Mexiquense, en lo subsecuente el </w:t>
      </w:r>
      <w:r w:rsidRPr="00A42FE8">
        <w:rPr>
          <w:rFonts w:ascii="Palatino Linotype" w:eastAsia="Palatino Linotype" w:hAnsi="Palatino Linotype" w:cs="Palatino Linotype"/>
          <w:b/>
          <w:sz w:val="22"/>
          <w:szCs w:val="22"/>
        </w:rPr>
        <w:t>SAIMEX,</w:t>
      </w:r>
      <w:r w:rsidRPr="00A42FE8">
        <w:rPr>
          <w:rFonts w:ascii="Palatino Linotype" w:eastAsia="Palatino Linotype" w:hAnsi="Palatino Linotype" w:cs="Palatino Linotype"/>
          <w:sz w:val="22"/>
          <w:szCs w:val="22"/>
        </w:rPr>
        <w:t xml:space="preserve"> ante el </w:t>
      </w:r>
      <w:r w:rsidRPr="00A42FE8">
        <w:rPr>
          <w:rFonts w:ascii="Palatino Linotype" w:eastAsia="Palatino Linotype" w:hAnsi="Palatino Linotype" w:cs="Palatino Linotype"/>
          <w:b/>
          <w:sz w:val="22"/>
          <w:szCs w:val="22"/>
        </w:rPr>
        <w:t>Sujeto Obligado</w:t>
      </w:r>
      <w:r w:rsidRPr="00A42FE8">
        <w:rPr>
          <w:rFonts w:ascii="Palatino Linotype" w:eastAsia="Palatino Linotype" w:hAnsi="Palatino Linotype" w:cs="Palatino Linotype"/>
          <w:sz w:val="22"/>
          <w:szCs w:val="22"/>
        </w:rPr>
        <w:t>, la solicitud de acceso a la información pública, a la que se le asignó el número</w:t>
      </w:r>
      <w:r w:rsidRPr="00A42FE8">
        <w:rPr>
          <w:rFonts w:ascii="Palatino Linotype" w:eastAsia="Palatino Linotype" w:hAnsi="Palatino Linotype" w:cs="Palatino Linotype"/>
          <w:b/>
          <w:sz w:val="22"/>
          <w:szCs w:val="22"/>
        </w:rPr>
        <w:t xml:space="preserve"> 00096/CODHEM/IP/2025, </w:t>
      </w:r>
      <w:r w:rsidRPr="00A42FE8">
        <w:rPr>
          <w:rFonts w:ascii="Palatino Linotype" w:eastAsia="Palatino Linotype" w:hAnsi="Palatino Linotype" w:cs="Palatino Linotype"/>
          <w:sz w:val="22"/>
          <w:szCs w:val="22"/>
        </w:rPr>
        <w:t xml:space="preserve">mediante la cual requirió la información siguiente: </w:t>
      </w:r>
    </w:p>
    <w:p w14:paraId="1A709F81" w14:textId="77777777" w:rsidR="00A045BE" w:rsidRPr="00A42FE8" w:rsidRDefault="00DD7B69">
      <w:pPr>
        <w:spacing w:line="276" w:lineRule="auto"/>
        <w:ind w:left="851" w:right="616"/>
        <w:jc w:val="both"/>
        <w:rPr>
          <w:rFonts w:ascii="Palatino Linotype" w:eastAsia="Palatino Linotype" w:hAnsi="Palatino Linotype" w:cs="Palatino Linotype"/>
          <w:i/>
          <w:sz w:val="22"/>
          <w:szCs w:val="22"/>
        </w:rPr>
      </w:pPr>
      <w:bookmarkStart w:id="0" w:name="_heading=h.gjdgxs" w:colFirst="0" w:colLast="0"/>
      <w:bookmarkEnd w:id="0"/>
      <w:r w:rsidRPr="00A42FE8">
        <w:rPr>
          <w:rFonts w:ascii="Palatino Linotype" w:eastAsia="Palatino Linotype" w:hAnsi="Palatino Linotype" w:cs="Palatino Linotype"/>
          <w:i/>
          <w:sz w:val="22"/>
          <w:szCs w:val="22"/>
        </w:rPr>
        <w:t xml:space="preserve">“Solicito el convenio de colaboración entre la </w:t>
      </w:r>
      <w:proofErr w:type="spellStart"/>
      <w:r w:rsidRPr="00A42FE8">
        <w:rPr>
          <w:rFonts w:ascii="Palatino Linotype" w:eastAsia="Palatino Linotype" w:hAnsi="Palatino Linotype" w:cs="Palatino Linotype"/>
          <w:i/>
          <w:sz w:val="22"/>
          <w:szCs w:val="22"/>
        </w:rPr>
        <w:t>codhem</w:t>
      </w:r>
      <w:proofErr w:type="spellEnd"/>
      <w:r w:rsidRPr="00A42FE8">
        <w:rPr>
          <w:rFonts w:ascii="Palatino Linotype" w:eastAsia="Palatino Linotype" w:hAnsi="Palatino Linotype" w:cs="Palatino Linotype"/>
          <w:i/>
          <w:sz w:val="22"/>
          <w:szCs w:val="22"/>
        </w:rPr>
        <w:t xml:space="preserve"> y la empresa Certificados Integrales Funcionales, SA de CV (Grupo CIF), el primero firmado entre ambos (2013) y los convenios subsecuentes” (Sic)</w:t>
      </w:r>
    </w:p>
    <w:p w14:paraId="6DA3CF28" w14:textId="77777777" w:rsidR="00A045BE" w:rsidRPr="00A42FE8" w:rsidRDefault="00A045BE">
      <w:pPr>
        <w:ind w:left="851" w:right="902"/>
        <w:jc w:val="both"/>
        <w:rPr>
          <w:rFonts w:ascii="Palatino Linotype" w:eastAsia="Palatino Linotype" w:hAnsi="Palatino Linotype" w:cs="Palatino Linotype"/>
          <w:i/>
          <w:sz w:val="22"/>
          <w:szCs w:val="22"/>
        </w:rPr>
      </w:pPr>
    </w:p>
    <w:p w14:paraId="404F33AF" w14:textId="77777777" w:rsidR="00A045BE" w:rsidRPr="00A42FE8" w:rsidRDefault="00DD7B69">
      <w:pPr>
        <w:spacing w:line="360" w:lineRule="auto"/>
        <w:jc w:val="both"/>
        <w:rPr>
          <w:rFonts w:ascii="Palatino Linotype" w:eastAsia="Palatino Linotype" w:hAnsi="Palatino Linotype" w:cs="Palatino Linotype"/>
          <w:sz w:val="22"/>
          <w:szCs w:val="22"/>
        </w:rPr>
      </w:pPr>
      <w:r w:rsidRPr="00A42FE8">
        <w:rPr>
          <w:rFonts w:ascii="Palatino Linotype" w:eastAsia="Palatino Linotype" w:hAnsi="Palatino Linotype" w:cs="Palatino Linotype"/>
          <w:b/>
          <w:sz w:val="22"/>
          <w:szCs w:val="22"/>
        </w:rPr>
        <w:t>Modalidad de Entrega:</w:t>
      </w:r>
      <w:r w:rsidRPr="00A42FE8">
        <w:rPr>
          <w:rFonts w:ascii="Palatino Linotype" w:eastAsia="Palatino Linotype" w:hAnsi="Palatino Linotype" w:cs="Palatino Linotype"/>
          <w:sz w:val="22"/>
          <w:szCs w:val="22"/>
        </w:rPr>
        <w:t xml:space="preserve"> A través de SAIMEX.</w:t>
      </w:r>
    </w:p>
    <w:p w14:paraId="397E87AF" w14:textId="77777777" w:rsidR="00A045BE" w:rsidRPr="00A42FE8" w:rsidRDefault="00A045BE">
      <w:pPr>
        <w:spacing w:line="360" w:lineRule="auto"/>
        <w:jc w:val="both"/>
        <w:rPr>
          <w:rFonts w:ascii="Palatino Linotype" w:eastAsia="Palatino Linotype" w:hAnsi="Palatino Linotype" w:cs="Palatino Linotype"/>
          <w:sz w:val="22"/>
          <w:szCs w:val="22"/>
        </w:rPr>
      </w:pPr>
    </w:p>
    <w:p w14:paraId="46280683" w14:textId="77777777" w:rsidR="00A045BE" w:rsidRPr="00A42FE8" w:rsidRDefault="00DD7B69">
      <w:pPr>
        <w:spacing w:line="360" w:lineRule="auto"/>
        <w:jc w:val="both"/>
        <w:rPr>
          <w:rFonts w:ascii="Palatino Linotype" w:eastAsia="Palatino Linotype" w:hAnsi="Palatino Linotype" w:cs="Palatino Linotype"/>
          <w:b/>
          <w:sz w:val="22"/>
          <w:szCs w:val="22"/>
        </w:rPr>
      </w:pPr>
      <w:r w:rsidRPr="00A42FE8">
        <w:rPr>
          <w:rFonts w:ascii="Palatino Linotype" w:eastAsia="Palatino Linotype" w:hAnsi="Palatino Linotype" w:cs="Palatino Linotype"/>
          <w:b/>
          <w:sz w:val="22"/>
          <w:szCs w:val="22"/>
        </w:rPr>
        <w:t xml:space="preserve">2. Respuesta. </w:t>
      </w:r>
      <w:r w:rsidRPr="00A42FE8">
        <w:rPr>
          <w:rFonts w:ascii="Palatino Linotype" w:eastAsia="Palatino Linotype" w:hAnsi="Palatino Linotype" w:cs="Palatino Linotype"/>
          <w:sz w:val="22"/>
          <w:szCs w:val="22"/>
        </w:rPr>
        <w:t xml:space="preserve">Con fecha </w:t>
      </w:r>
      <w:r w:rsidRPr="00A42FE8">
        <w:rPr>
          <w:rFonts w:ascii="Palatino Linotype" w:eastAsia="Palatino Linotype" w:hAnsi="Palatino Linotype" w:cs="Palatino Linotype"/>
          <w:b/>
          <w:sz w:val="22"/>
          <w:szCs w:val="22"/>
        </w:rPr>
        <w:t>trece de mayo de dos mil veinticinco</w:t>
      </w:r>
      <w:r w:rsidRPr="00A42FE8">
        <w:rPr>
          <w:rFonts w:ascii="Palatino Linotype" w:eastAsia="Palatino Linotype" w:hAnsi="Palatino Linotype" w:cs="Palatino Linotype"/>
          <w:sz w:val="22"/>
          <w:szCs w:val="22"/>
        </w:rPr>
        <w:t xml:space="preserve">, el </w:t>
      </w:r>
      <w:r w:rsidRPr="00A42FE8">
        <w:rPr>
          <w:rFonts w:ascii="Palatino Linotype" w:eastAsia="Palatino Linotype" w:hAnsi="Palatino Linotype" w:cs="Palatino Linotype"/>
          <w:b/>
          <w:sz w:val="22"/>
          <w:szCs w:val="22"/>
        </w:rPr>
        <w:t xml:space="preserve">Sujeto Obligado </w:t>
      </w:r>
      <w:r w:rsidRPr="00A42FE8">
        <w:rPr>
          <w:rFonts w:ascii="Palatino Linotype" w:eastAsia="Palatino Linotype" w:hAnsi="Palatino Linotype" w:cs="Palatino Linotype"/>
          <w:sz w:val="22"/>
          <w:szCs w:val="22"/>
        </w:rPr>
        <w:t xml:space="preserve">envió su respuesta a la solicitud de acceso a la información a través de SAIMEX, sustancialmente en los términos siguientes:   </w:t>
      </w:r>
    </w:p>
    <w:p w14:paraId="088EA370" w14:textId="77777777" w:rsidR="00A045BE" w:rsidRPr="00A42FE8" w:rsidRDefault="00DD7B69">
      <w:pPr>
        <w:spacing w:line="276" w:lineRule="auto"/>
        <w:ind w:left="851" w:right="616"/>
        <w:jc w:val="both"/>
        <w:rPr>
          <w:rFonts w:ascii="Palatino Linotype" w:eastAsia="Palatino Linotype" w:hAnsi="Palatino Linotype" w:cs="Palatino Linotype"/>
          <w:i/>
          <w:sz w:val="22"/>
          <w:szCs w:val="22"/>
        </w:rPr>
      </w:pPr>
      <w:r w:rsidRPr="00A42FE8">
        <w:rPr>
          <w:rFonts w:ascii="Palatino Linotype" w:eastAsia="Palatino Linotype" w:hAnsi="Palatino Linotype" w:cs="Palatino Linotype"/>
          <w:i/>
          <w:sz w:val="22"/>
          <w:szCs w:val="22"/>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6320BCFA" w14:textId="77777777" w:rsidR="00A045BE" w:rsidRPr="00A42FE8" w:rsidRDefault="00DD7B69">
      <w:pPr>
        <w:spacing w:line="276" w:lineRule="auto"/>
        <w:ind w:left="851" w:right="616"/>
        <w:jc w:val="both"/>
        <w:rPr>
          <w:rFonts w:ascii="Palatino Linotype" w:eastAsia="Palatino Linotype" w:hAnsi="Palatino Linotype" w:cs="Palatino Linotype"/>
          <w:i/>
          <w:sz w:val="22"/>
          <w:szCs w:val="22"/>
        </w:rPr>
      </w:pPr>
      <w:r w:rsidRPr="00A42FE8">
        <w:rPr>
          <w:rFonts w:ascii="Palatino Linotype" w:eastAsia="Palatino Linotype" w:hAnsi="Palatino Linotype" w:cs="Palatino Linotype"/>
          <w:i/>
          <w:sz w:val="22"/>
          <w:szCs w:val="22"/>
        </w:rPr>
        <w:t>En respuesta a la solicitud 00096/CODHEM/IP/2025, nos permitimos hacer de su conocimiento que con fundamento en los artículos 53, Fracciones: II, V y VI, 163 de la Ley de Transparencia y Acceso a la Información Pública del Estado de México y Municipios, se envía respuesta a su solicitud, misma que encontrará en archivo anexo. Atte. L.A.E. Erika Yolanda Funes Velázquez Titular de la Unidad de Transparencia. Comisión de Derechos Humanos del Estado de México...” (Sic)</w:t>
      </w:r>
    </w:p>
    <w:p w14:paraId="79FEB2FC" w14:textId="77777777" w:rsidR="00A045BE" w:rsidRPr="00A42FE8" w:rsidRDefault="00A045BE">
      <w:pPr>
        <w:spacing w:line="360" w:lineRule="auto"/>
        <w:ind w:right="49"/>
        <w:jc w:val="both"/>
        <w:rPr>
          <w:rFonts w:ascii="Palatino Linotype" w:eastAsia="Palatino Linotype" w:hAnsi="Palatino Linotype" w:cs="Palatino Linotype"/>
          <w:sz w:val="22"/>
          <w:szCs w:val="22"/>
        </w:rPr>
      </w:pPr>
    </w:p>
    <w:p w14:paraId="3B256A87" w14:textId="77777777" w:rsidR="00A045BE" w:rsidRPr="00A42FE8" w:rsidRDefault="00DD7B69">
      <w:pPr>
        <w:spacing w:line="360" w:lineRule="auto"/>
        <w:ind w:right="49"/>
        <w:jc w:val="both"/>
        <w:rPr>
          <w:rFonts w:ascii="Palatino Linotype" w:eastAsia="Palatino Linotype" w:hAnsi="Palatino Linotype" w:cs="Palatino Linotype"/>
          <w:sz w:val="22"/>
          <w:szCs w:val="22"/>
        </w:rPr>
      </w:pPr>
      <w:r w:rsidRPr="00A42FE8">
        <w:rPr>
          <w:rFonts w:ascii="Palatino Linotype" w:eastAsia="Palatino Linotype" w:hAnsi="Palatino Linotype" w:cs="Palatino Linotype"/>
          <w:sz w:val="22"/>
          <w:szCs w:val="22"/>
        </w:rPr>
        <w:t>El</w:t>
      </w:r>
      <w:r w:rsidRPr="00A42FE8">
        <w:rPr>
          <w:rFonts w:ascii="Palatino Linotype" w:eastAsia="Palatino Linotype" w:hAnsi="Palatino Linotype" w:cs="Palatino Linotype"/>
          <w:b/>
          <w:sz w:val="22"/>
          <w:szCs w:val="22"/>
        </w:rPr>
        <w:t xml:space="preserve"> Sujeto Obligado </w:t>
      </w:r>
      <w:r w:rsidRPr="00A42FE8">
        <w:rPr>
          <w:rFonts w:ascii="Palatino Linotype" w:eastAsia="Palatino Linotype" w:hAnsi="Palatino Linotype" w:cs="Palatino Linotype"/>
          <w:sz w:val="22"/>
          <w:szCs w:val="22"/>
        </w:rPr>
        <w:t xml:space="preserve">adjuntó a su respuesta los archivos electrónicos denominados </w:t>
      </w:r>
      <w:r w:rsidRPr="00A42FE8">
        <w:rPr>
          <w:rFonts w:ascii="Palatino Linotype" w:eastAsia="Palatino Linotype" w:hAnsi="Palatino Linotype" w:cs="Palatino Linotype"/>
          <w:b/>
          <w:i/>
          <w:sz w:val="22"/>
          <w:szCs w:val="22"/>
        </w:rPr>
        <w:t>“OFICIO DE RESPUESTA SOL. 00096- 2025.pdf”</w:t>
      </w:r>
      <w:r w:rsidRPr="00A42FE8">
        <w:rPr>
          <w:rFonts w:ascii="Palatino Linotype" w:eastAsia="Palatino Linotype" w:hAnsi="Palatino Linotype" w:cs="Palatino Linotype"/>
          <w:sz w:val="22"/>
          <w:szCs w:val="22"/>
        </w:rPr>
        <w:t xml:space="preserve"> y </w:t>
      </w:r>
      <w:r w:rsidRPr="00A42FE8">
        <w:rPr>
          <w:rFonts w:ascii="Palatino Linotype" w:eastAsia="Palatino Linotype" w:hAnsi="Palatino Linotype" w:cs="Palatino Linotype"/>
          <w:b/>
          <w:i/>
          <w:sz w:val="22"/>
          <w:szCs w:val="22"/>
        </w:rPr>
        <w:t>“Respuesta 00096-CODHEM-IP-2025 Unidad Jurídica.pdf”</w:t>
      </w:r>
      <w:r w:rsidRPr="00A42FE8">
        <w:rPr>
          <w:rFonts w:ascii="Palatino Linotype" w:eastAsia="Palatino Linotype" w:hAnsi="Palatino Linotype" w:cs="Palatino Linotype"/>
          <w:sz w:val="22"/>
          <w:szCs w:val="22"/>
        </w:rPr>
        <w:t xml:space="preserve">, mismos que contienen los siguientes documentos: </w:t>
      </w:r>
    </w:p>
    <w:p w14:paraId="257495FC" w14:textId="77777777" w:rsidR="00A045BE" w:rsidRPr="00A42FE8" w:rsidRDefault="00A045BE">
      <w:pPr>
        <w:spacing w:line="360" w:lineRule="auto"/>
        <w:ind w:right="49"/>
        <w:jc w:val="both"/>
        <w:rPr>
          <w:rFonts w:ascii="Palatino Linotype" w:eastAsia="Palatino Linotype" w:hAnsi="Palatino Linotype" w:cs="Palatino Linotype"/>
          <w:sz w:val="22"/>
          <w:szCs w:val="22"/>
        </w:rPr>
      </w:pPr>
    </w:p>
    <w:p w14:paraId="04AAAF54" w14:textId="77777777" w:rsidR="00A045BE" w:rsidRPr="00A42FE8" w:rsidRDefault="00DD7B69">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42FE8">
        <w:rPr>
          <w:rFonts w:ascii="Palatino Linotype" w:eastAsia="Palatino Linotype" w:hAnsi="Palatino Linotype" w:cs="Palatino Linotype"/>
          <w:sz w:val="22"/>
          <w:szCs w:val="22"/>
        </w:rPr>
        <w:t>Oficio número 400C103202/263/2025 de fecha doce de mayo de dos mil veinticinco, signado por la Titu</w:t>
      </w:r>
      <w:r w:rsidRPr="00A42FE8">
        <w:rPr>
          <w:rFonts w:ascii="Palatino Linotype" w:eastAsia="Palatino Linotype" w:hAnsi="Palatino Linotype" w:cs="Palatino Linotype"/>
          <w:b/>
          <w:sz w:val="22"/>
          <w:szCs w:val="22"/>
        </w:rPr>
        <w:t>l</w:t>
      </w:r>
      <w:r w:rsidRPr="00A42FE8">
        <w:rPr>
          <w:rFonts w:ascii="Palatino Linotype" w:eastAsia="Palatino Linotype" w:hAnsi="Palatino Linotype" w:cs="Palatino Linotype"/>
          <w:sz w:val="22"/>
          <w:szCs w:val="22"/>
        </w:rPr>
        <w:t xml:space="preserve">ar de la Unidad de Transparencia, en el que informó la entrega de la respuesta de la Unidad Jurídica y Consultiva de esta Defensoría de Habitantes, quien dio respuesta a la solicitud. </w:t>
      </w:r>
    </w:p>
    <w:p w14:paraId="2314E7A2" w14:textId="77777777" w:rsidR="00A045BE" w:rsidRPr="00A42FE8" w:rsidRDefault="00DD7B69">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A42FE8">
        <w:rPr>
          <w:rFonts w:ascii="Palatino Linotype" w:eastAsia="Palatino Linotype" w:hAnsi="Palatino Linotype" w:cs="Palatino Linotype"/>
          <w:sz w:val="22"/>
          <w:szCs w:val="22"/>
        </w:rPr>
        <w:t>Oficio número 400C160000/146/2025 de fecha nueve de mayo de dos mil veinticinco, signado por el Director General de la Unidad Jurídica y Consultiva, mediante el cual informó que derivado de una búsqueda exhaustiva y razonable en sus archivos de los periodos aludidos, se desprende que no se ha celebrado Convenio alguno entre la Comisión de Derechos Humanos del Estado de México y la empresa Certificados Integrales Funcionales, SA de CV.</w:t>
      </w:r>
    </w:p>
    <w:p w14:paraId="7406FB94" w14:textId="77777777" w:rsidR="00A045BE" w:rsidRPr="00A42FE8" w:rsidRDefault="00A045BE">
      <w:pPr>
        <w:spacing w:line="360" w:lineRule="auto"/>
        <w:ind w:right="49"/>
        <w:jc w:val="both"/>
        <w:rPr>
          <w:rFonts w:ascii="Palatino Linotype" w:eastAsia="Palatino Linotype" w:hAnsi="Palatino Linotype" w:cs="Palatino Linotype"/>
          <w:b/>
          <w:sz w:val="22"/>
          <w:szCs w:val="22"/>
        </w:rPr>
      </w:pPr>
    </w:p>
    <w:p w14:paraId="4AEE52C7" w14:textId="77777777" w:rsidR="00A045BE" w:rsidRPr="00A42FE8" w:rsidRDefault="00DD7B69">
      <w:pPr>
        <w:spacing w:line="360" w:lineRule="auto"/>
        <w:ind w:right="49"/>
        <w:jc w:val="both"/>
        <w:rPr>
          <w:rFonts w:ascii="Palatino Linotype" w:eastAsia="Palatino Linotype" w:hAnsi="Palatino Linotype" w:cs="Palatino Linotype"/>
          <w:sz w:val="22"/>
          <w:szCs w:val="22"/>
        </w:rPr>
      </w:pPr>
      <w:r w:rsidRPr="00A42FE8">
        <w:rPr>
          <w:rFonts w:ascii="Palatino Linotype" w:eastAsia="Palatino Linotype" w:hAnsi="Palatino Linotype" w:cs="Palatino Linotype"/>
          <w:b/>
          <w:sz w:val="22"/>
          <w:szCs w:val="22"/>
        </w:rPr>
        <w:t xml:space="preserve">3. Interposición del recurso de revisión. </w:t>
      </w:r>
      <w:r w:rsidRPr="00A42FE8">
        <w:rPr>
          <w:rFonts w:ascii="Palatino Linotype" w:eastAsia="Palatino Linotype" w:hAnsi="Palatino Linotype" w:cs="Palatino Linotype"/>
          <w:sz w:val="22"/>
          <w:szCs w:val="22"/>
        </w:rPr>
        <w:t xml:space="preserve">Inconforme con los términos de la respuesta emitida por parte del </w:t>
      </w:r>
      <w:r w:rsidRPr="00A42FE8">
        <w:rPr>
          <w:rFonts w:ascii="Palatino Linotype" w:eastAsia="Palatino Linotype" w:hAnsi="Palatino Linotype" w:cs="Palatino Linotype"/>
          <w:b/>
          <w:sz w:val="22"/>
          <w:szCs w:val="22"/>
        </w:rPr>
        <w:t>Sujeto Obligado</w:t>
      </w:r>
      <w:r w:rsidRPr="00A42FE8">
        <w:rPr>
          <w:rFonts w:ascii="Palatino Linotype" w:eastAsia="Palatino Linotype" w:hAnsi="Palatino Linotype" w:cs="Palatino Linotype"/>
          <w:sz w:val="22"/>
          <w:szCs w:val="22"/>
        </w:rPr>
        <w:t xml:space="preserve">, el </w:t>
      </w:r>
      <w:r w:rsidRPr="00A42FE8">
        <w:rPr>
          <w:rFonts w:ascii="Palatino Linotype" w:eastAsia="Palatino Linotype" w:hAnsi="Palatino Linotype" w:cs="Palatino Linotype"/>
          <w:b/>
          <w:sz w:val="22"/>
          <w:szCs w:val="22"/>
        </w:rPr>
        <w:t>trece de mayo de dos mil veinticinco,</w:t>
      </w:r>
      <w:r w:rsidRPr="00A42FE8">
        <w:rPr>
          <w:rFonts w:ascii="Palatino Linotype" w:eastAsia="Palatino Linotype" w:hAnsi="Palatino Linotype" w:cs="Palatino Linotype"/>
          <w:sz w:val="22"/>
          <w:szCs w:val="22"/>
        </w:rPr>
        <w:t xml:space="preserve"> la parte </w:t>
      </w:r>
      <w:r w:rsidRPr="00A42FE8">
        <w:rPr>
          <w:rFonts w:ascii="Palatino Linotype" w:eastAsia="Palatino Linotype" w:hAnsi="Palatino Linotype" w:cs="Palatino Linotype"/>
          <w:b/>
          <w:sz w:val="22"/>
          <w:szCs w:val="22"/>
        </w:rPr>
        <w:lastRenderedPageBreak/>
        <w:t>recurrente</w:t>
      </w:r>
      <w:r w:rsidRPr="00A42FE8">
        <w:rPr>
          <w:rFonts w:ascii="Palatino Linotype" w:eastAsia="Palatino Linotype" w:hAnsi="Palatino Linotype" w:cs="Palatino Linotype"/>
          <w:sz w:val="22"/>
          <w:szCs w:val="22"/>
        </w:rPr>
        <w:t xml:space="preserve"> interpuso el recurso de revisión a través de </w:t>
      </w:r>
      <w:r w:rsidRPr="00A42FE8">
        <w:rPr>
          <w:rFonts w:ascii="Palatino Linotype" w:eastAsia="Palatino Linotype" w:hAnsi="Palatino Linotype" w:cs="Palatino Linotype"/>
          <w:b/>
          <w:sz w:val="22"/>
          <w:szCs w:val="22"/>
        </w:rPr>
        <w:t xml:space="preserve">SAIMEX, </w:t>
      </w:r>
      <w:r w:rsidRPr="00A42FE8">
        <w:rPr>
          <w:rFonts w:ascii="Palatino Linotype" w:eastAsia="Palatino Linotype" w:hAnsi="Palatino Linotype" w:cs="Palatino Linotype"/>
          <w:sz w:val="22"/>
          <w:szCs w:val="22"/>
        </w:rPr>
        <w:t>en donde se manifestó de la siguiente manera:</w:t>
      </w:r>
    </w:p>
    <w:p w14:paraId="33EA796E" w14:textId="77777777" w:rsidR="00A045BE" w:rsidRPr="00A42FE8" w:rsidRDefault="00DD7B69">
      <w:pPr>
        <w:tabs>
          <w:tab w:val="left" w:pos="2745"/>
        </w:tabs>
        <w:spacing w:line="276" w:lineRule="auto"/>
        <w:ind w:left="851" w:right="616"/>
        <w:jc w:val="both"/>
        <w:rPr>
          <w:rFonts w:ascii="Palatino Linotype" w:eastAsia="Palatino Linotype" w:hAnsi="Palatino Linotype" w:cs="Palatino Linotype"/>
          <w:b/>
          <w:sz w:val="22"/>
          <w:szCs w:val="22"/>
        </w:rPr>
      </w:pPr>
      <w:r w:rsidRPr="00A42FE8">
        <w:rPr>
          <w:rFonts w:ascii="Palatino Linotype" w:eastAsia="Palatino Linotype" w:hAnsi="Palatino Linotype" w:cs="Palatino Linotype"/>
          <w:b/>
          <w:sz w:val="22"/>
          <w:szCs w:val="22"/>
        </w:rPr>
        <w:t xml:space="preserve">Acto impugnado: </w:t>
      </w:r>
    </w:p>
    <w:p w14:paraId="45414255" w14:textId="77777777" w:rsidR="00A045BE" w:rsidRPr="00A42FE8" w:rsidRDefault="00A045BE">
      <w:pPr>
        <w:spacing w:line="276" w:lineRule="auto"/>
        <w:ind w:left="851" w:right="616"/>
        <w:jc w:val="both"/>
        <w:rPr>
          <w:rFonts w:ascii="Palatino Linotype" w:eastAsia="Palatino Linotype" w:hAnsi="Palatino Linotype" w:cs="Palatino Linotype"/>
          <w:i/>
          <w:sz w:val="22"/>
          <w:szCs w:val="22"/>
        </w:rPr>
      </w:pPr>
    </w:p>
    <w:p w14:paraId="739A9AC1" w14:textId="77777777" w:rsidR="00A045BE" w:rsidRPr="00A42FE8" w:rsidRDefault="00DD7B69">
      <w:pPr>
        <w:spacing w:line="276" w:lineRule="auto"/>
        <w:ind w:left="851" w:right="616"/>
        <w:jc w:val="both"/>
        <w:rPr>
          <w:rFonts w:ascii="Palatino Linotype" w:eastAsia="Palatino Linotype" w:hAnsi="Palatino Linotype" w:cs="Palatino Linotype"/>
          <w:i/>
          <w:sz w:val="22"/>
          <w:szCs w:val="22"/>
        </w:rPr>
      </w:pPr>
      <w:r w:rsidRPr="00A42FE8">
        <w:rPr>
          <w:rFonts w:ascii="Palatino Linotype" w:eastAsia="Palatino Linotype" w:hAnsi="Palatino Linotype" w:cs="Palatino Linotype"/>
          <w:i/>
          <w:sz w:val="22"/>
          <w:szCs w:val="22"/>
        </w:rPr>
        <w:t>“no entregó la información” (Sic)</w:t>
      </w:r>
    </w:p>
    <w:p w14:paraId="0D2FE330" w14:textId="77777777" w:rsidR="00A045BE" w:rsidRPr="00A42FE8" w:rsidRDefault="00A045BE">
      <w:pPr>
        <w:spacing w:line="276" w:lineRule="auto"/>
        <w:ind w:left="851" w:right="616"/>
        <w:jc w:val="both"/>
        <w:rPr>
          <w:rFonts w:ascii="Palatino Linotype" w:eastAsia="Palatino Linotype" w:hAnsi="Palatino Linotype" w:cs="Palatino Linotype"/>
          <w:b/>
          <w:sz w:val="22"/>
          <w:szCs w:val="22"/>
        </w:rPr>
      </w:pPr>
    </w:p>
    <w:p w14:paraId="012B72B2" w14:textId="77777777" w:rsidR="00A045BE" w:rsidRPr="00A42FE8" w:rsidRDefault="00DD7B69">
      <w:pPr>
        <w:spacing w:line="276" w:lineRule="auto"/>
        <w:ind w:left="851" w:right="616"/>
        <w:jc w:val="both"/>
        <w:rPr>
          <w:rFonts w:ascii="Palatino Linotype" w:eastAsia="Palatino Linotype" w:hAnsi="Palatino Linotype" w:cs="Palatino Linotype"/>
          <w:sz w:val="22"/>
          <w:szCs w:val="22"/>
        </w:rPr>
      </w:pPr>
      <w:r w:rsidRPr="00A42FE8">
        <w:rPr>
          <w:rFonts w:ascii="Palatino Linotype" w:eastAsia="Palatino Linotype" w:hAnsi="Palatino Linotype" w:cs="Palatino Linotype"/>
          <w:b/>
          <w:sz w:val="22"/>
          <w:szCs w:val="22"/>
        </w:rPr>
        <w:t>Y Razones o motivos de inconformidad</w:t>
      </w:r>
      <w:r w:rsidRPr="00A42FE8">
        <w:rPr>
          <w:rFonts w:ascii="Palatino Linotype" w:eastAsia="Palatino Linotype" w:hAnsi="Palatino Linotype" w:cs="Palatino Linotype"/>
          <w:sz w:val="22"/>
          <w:szCs w:val="22"/>
        </w:rPr>
        <w:t>:</w:t>
      </w:r>
    </w:p>
    <w:p w14:paraId="7ADBCA5C" w14:textId="77777777" w:rsidR="00A045BE" w:rsidRPr="00A42FE8" w:rsidRDefault="00A045BE">
      <w:pPr>
        <w:spacing w:line="276" w:lineRule="auto"/>
        <w:ind w:left="851" w:right="616"/>
        <w:jc w:val="both"/>
        <w:rPr>
          <w:rFonts w:ascii="Palatino Linotype" w:eastAsia="Palatino Linotype" w:hAnsi="Palatino Linotype" w:cs="Palatino Linotype"/>
          <w:i/>
          <w:sz w:val="22"/>
          <w:szCs w:val="22"/>
        </w:rPr>
      </w:pPr>
      <w:bookmarkStart w:id="1" w:name="_heading=h.30j0zll" w:colFirst="0" w:colLast="0"/>
      <w:bookmarkEnd w:id="1"/>
    </w:p>
    <w:p w14:paraId="5CEF385D" w14:textId="77777777" w:rsidR="00A045BE" w:rsidRPr="00A42FE8" w:rsidRDefault="00DD7B69">
      <w:pPr>
        <w:spacing w:line="276" w:lineRule="auto"/>
        <w:ind w:left="851" w:right="616"/>
        <w:jc w:val="both"/>
        <w:rPr>
          <w:rFonts w:ascii="Palatino Linotype" w:eastAsia="Palatino Linotype" w:hAnsi="Palatino Linotype" w:cs="Palatino Linotype"/>
          <w:i/>
          <w:sz w:val="22"/>
          <w:szCs w:val="22"/>
        </w:rPr>
      </w:pPr>
      <w:r w:rsidRPr="00A42FE8">
        <w:rPr>
          <w:rFonts w:ascii="Palatino Linotype" w:eastAsia="Palatino Linotype" w:hAnsi="Palatino Linotype" w:cs="Palatino Linotype"/>
          <w:i/>
          <w:sz w:val="22"/>
          <w:szCs w:val="22"/>
        </w:rPr>
        <w:t>“La dependencia negó tener convenios que sí tiene, adjunto una respuesta de la propia CODHEM en el que afirma tener convenio de colaboración con la empresa citada, adjunto imagen de prueba” (Sic)</w:t>
      </w:r>
    </w:p>
    <w:p w14:paraId="6052206C" w14:textId="77777777" w:rsidR="00A045BE" w:rsidRPr="00A42FE8" w:rsidRDefault="00A045BE">
      <w:pPr>
        <w:ind w:right="902"/>
        <w:jc w:val="both"/>
        <w:rPr>
          <w:rFonts w:ascii="Palatino Linotype" w:eastAsia="Palatino Linotype" w:hAnsi="Palatino Linotype" w:cs="Palatino Linotype"/>
          <w:i/>
          <w:sz w:val="22"/>
          <w:szCs w:val="22"/>
        </w:rPr>
      </w:pPr>
    </w:p>
    <w:p w14:paraId="49B2CADE" w14:textId="77777777" w:rsidR="00A045BE" w:rsidRPr="00A42FE8" w:rsidRDefault="00DD7B69">
      <w:pPr>
        <w:spacing w:line="360" w:lineRule="auto"/>
        <w:ind w:right="49"/>
        <w:jc w:val="both"/>
        <w:rPr>
          <w:rFonts w:ascii="Palatino Linotype" w:eastAsia="Palatino Linotype" w:hAnsi="Palatino Linotype" w:cs="Palatino Linotype"/>
          <w:sz w:val="22"/>
          <w:szCs w:val="22"/>
        </w:rPr>
      </w:pPr>
      <w:r w:rsidRPr="00A42FE8">
        <w:rPr>
          <w:rFonts w:ascii="Palatino Linotype" w:eastAsia="Palatino Linotype" w:hAnsi="Palatino Linotype" w:cs="Palatino Linotype"/>
          <w:sz w:val="22"/>
          <w:szCs w:val="22"/>
        </w:rPr>
        <w:t xml:space="preserve">Adjuntando a la interposición del recurso de revisión el archivo electrónico denominado </w:t>
      </w:r>
      <w:r w:rsidRPr="00A42FE8">
        <w:rPr>
          <w:rFonts w:ascii="Palatino Linotype" w:eastAsia="Palatino Linotype" w:hAnsi="Palatino Linotype" w:cs="Palatino Linotype"/>
          <w:b/>
          <w:i/>
          <w:sz w:val="22"/>
          <w:szCs w:val="22"/>
        </w:rPr>
        <w:t>“Captura de pantalla 2025-05-13 a la(s) 11.01.22</w:t>
      </w:r>
      <w:r w:rsidRPr="00A42FE8">
        <w:rPr>
          <w:b/>
          <w:i/>
          <w:sz w:val="22"/>
          <w:szCs w:val="22"/>
        </w:rPr>
        <w:t> </w:t>
      </w:r>
      <w:proofErr w:type="spellStart"/>
      <w:r w:rsidRPr="00A42FE8">
        <w:rPr>
          <w:rFonts w:ascii="Palatino Linotype" w:eastAsia="Palatino Linotype" w:hAnsi="Palatino Linotype" w:cs="Palatino Linotype"/>
          <w:b/>
          <w:i/>
          <w:sz w:val="22"/>
          <w:szCs w:val="22"/>
        </w:rPr>
        <w:t>a.m..png</w:t>
      </w:r>
      <w:proofErr w:type="spellEnd"/>
      <w:r w:rsidRPr="00A42FE8">
        <w:rPr>
          <w:rFonts w:ascii="Palatino Linotype" w:eastAsia="Palatino Linotype" w:hAnsi="Palatino Linotype" w:cs="Palatino Linotype"/>
          <w:b/>
          <w:i/>
          <w:sz w:val="22"/>
          <w:szCs w:val="22"/>
        </w:rPr>
        <w:t>”</w:t>
      </w:r>
      <w:r w:rsidRPr="00A42FE8">
        <w:rPr>
          <w:rFonts w:ascii="Palatino Linotype" w:eastAsia="Palatino Linotype" w:hAnsi="Palatino Linotype" w:cs="Palatino Linotype"/>
          <w:sz w:val="22"/>
          <w:szCs w:val="22"/>
        </w:rPr>
        <w:t xml:space="preserve">, el cual contiene la siguiente imagen: </w:t>
      </w:r>
    </w:p>
    <w:p w14:paraId="6B1D753F" w14:textId="77777777" w:rsidR="00A045BE" w:rsidRPr="00A42FE8" w:rsidRDefault="00DD7B69">
      <w:pPr>
        <w:spacing w:line="360" w:lineRule="auto"/>
        <w:ind w:right="49"/>
        <w:jc w:val="center"/>
        <w:rPr>
          <w:rFonts w:ascii="Palatino Linotype" w:eastAsia="Palatino Linotype" w:hAnsi="Palatino Linotype" w:cs="Palatino Linotype"/>
          <w:sz w:val="22"/>
          <w:szCs w:val="22"/>
        </w:rPr>
      </w:pPr>
      <w:r w:rsidRPr="00A42FE8">
        <w:rPr>
          <w:rFonts w:ascii="Palatino Linotype" w:eastAsia="Palatino Linotype" w:hAnsi="Palatino Linotype" w:cs="Palatino Linotype"/>
          <w:noProof/>
          <w:sz w:val="22"/>
          <w:szCs w:val="22"/>
          <w:lang w:val="es-MX"/>
        </w:rPr>
        <w:drawing>
          <wp:inline distT="0" distB="0" distL="0" distR="0" wp14:anchorId="3D20D120" wp14:editId="2F0393AA">
            <wp:extent cx="4307590" cy="1346145"/>
            <wp:effectExtent l="0" t="0" r="0" b="0"/>
            <wp:docPr id="5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b="32833"/>
                    <a:stretch>
                      <a:fillRect/>
                    </a:stretch>
                  </pic:blipFill>
                  <pic:spPr>
                    <a:xfrm>
                      <a:off x="0" y="0"/>
                      <a:ext cx="4307590" cy="1346145"/>
                    </a:xfrm>
                    <a:prstGeom prst="rect">
                      <a:avLst/>
                    </a:prstGeom>
                    <a:ln/>
                  </pic:spPr>
                </pic:pic>
              </a:graphicData>
            </a:graphic>
          </wp:inline>
        </w:drawing>
      </w:r>
    </w:p>
    <w:p w14:paraId="6427E07B" w14:textId="77777777" w:rsidR="00A045BE" w:rsidRPr="00A42FE8" w:rsidRDefault="00A045BE">
      <w:pPr>
        <w:ind w:right="902"/>
        <w:jc w:val="both"/>
        <w:rPr>
          <w:rFonts w:ascii="Palatino Linotype" w:eastAsia="Palatino Linotype" w:hAnsi="Palatino Linotype" w:cs="Palatino Linotype"/>
          <w:i/>
          <w:sz w:val="22"/>
          <w:szCs w:val="22"/>
        </w:rPr>
      </w:pPr>
    </w:p>
    <w:p w14:paraId="68DBAC6B" w14:textId="77777777" w:rsidR="00A045BE" w:rsidRPr="00A42FE8" w:rsidRDefault="00DD7B69">
      <w:pPr>
        <w:spacing w:line="360" w:lineRule="auto"/>
        <w:ind w:right="51"/>
        <w:jc w:val="both"/>
        <w:rPr>
          <w:rFonts w:ascii="Palatino Linotype" w:eastAsia="Palatino Linotype" w:hAnsi="Palatino Linotype" w:cs="Palatino Linotype"/>
          <w:sz w:val="22"/>
          <w:szCs w:val="22"/>
        </w:rPr>
      </w:pPr>
      <w:r w:rsidRPr="00A42FE8">
        <w:rPr>
          <w:rFonts w:ascii="Palatino Linotype" w:eastAsia="Palatino Linotype" w:hAnsi="Palatino Linotype" w:cs="Palatino Linotype"/>
          <w:b/>
          <w:sz w:val="22"/>
          <w:szCs w:val="22"/>
        </w:rPr>
        <w:t xml:space="preserve">4. Turno. </w:t>
      </w:r>
      <w:r w:rsidRPr="00A42FE8">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A42FE8">
        <w:rPr>
          <w:rFonts w:ascii="Palatino Linotype" w:eastAsia="Palatino Linotype" w:hAnsi="Palatino Linotype" w:cs="Palatino Linotype"/>
          <w:b/>
          <w:sz w:val="22"/>
          <w:szCs w:val="22"/>
        </w:rPr>
        <w:t xml:space="preserve">Guadalupe Ramírez Peña, </w:t>
      </w:r>
      <w:r w:rsidRPr="00A42FE8">
        <w:rPr>
          <w:rFonts w:ascii="Palatino Linotype" w:eastAsia="Palatino Linotype" w:hAnsi="Palatino Linotype" w:cs="Palatino Linotype"/>
          <w:sz w:val="22"/>
          <w:szCs w:val="22"/>
        </w:rPr>
        <w:t xml:space="preserve">a efecto de que analizara sobre su admisión o su </w:t>
      </w:r>
      <w:proofErr w:type="spellStart"/>
      <w:r w:rsidRPr="00A42FE8">
        <w:rPr>
          <w:rFonts w:ascii="Palatino Linotype" w:eastAsia="Palatino Linotype" w:hAnsi="Palatino Linotype" w:cs="Palatino Linotype"/>
          <w:sz w:val="22"/>
          <w:szCs w:val="22"/>
        </w:rPr>
        <w:t>desechamiento</w:t>
      </w:r>
      <w:proofErr w:type="spellEnd"/>
      <w:r w:rsidRPr="00A42FE8">
        <w:rPr>
          <w:rFonts w:ascii="Palatino Linotype" w:eastAsia="Palatino Linotype" w:hAnsi="Palatino Linotype" w:cs="Palatino Linotype"/>
          <w:sz w:val="22"/>
          <w:szCs w:val="22"/>
        </w:rPr>
        <w:t>.</w:t>
      </w:r>
    </w:p>
    <w:p w14:paraId="4E7267A0" w14:textId="77777777" w:rsidR="00A045BE" w:rsidRPr="00A42FE8" w:rsidRDefault="00A045BE">
      <w:pPr>
        <w:spacing w:line="360" w:lineRule="auto"/>
        <w:ind w:right="51"/>
        <w:jc w:val="both"/>
        <w:rPr>
          <w:rFonts w:ascii="Palatino Linotype" w:eastAsia="Palatino Linotype" w:hAnsi="Palatino Linotype" w:cs="Palatino Linotype"/>
          <w:sz w:val="22"/>
          <w:szCs w:val="22"/>
        </w:rPr>
      </w:pPr>
    </w:p>
    <w:p w14:paraId="15FE4E67" w14:textId="77777777" w:rsidR="00A045BE" w:rsidRPr="00A42FE8" w:rsidRDefault="00DD7B69">
      <w:pPr>
        <w:spacing w:line="360" w:lineRule="auto"/>
        <w:jc w:val="both"/>
        <w:rPr>
          <w:rFonts w:ascii="Palatino Linotype" w:eastAsia="Palatino Linotype" w:hAnsi="Palatino Linotype" w:cs="Palatino Linotype"/>
          <w:sz w:val="22"/>
          <w:szCs w:val="22"/>
        </w:rPr>
      </w:pPr>
      <w:r w:rsidRPr="00A42FE8">
        <w:rPr>
          <w:rFonts w:ascii="Palatino Linotype" w:eastAsia="Palatino Linotype" w:hAnsi="Palatino Linotype" w:cs="Palatino Linotype"/>
          <w:b/>
          <w:sz w:val="22"/>
          <w:szCs w:val="22"/>
        </w:rPr>
        <w:lastRenderedPageBreak/>
        <w:t>5. Admisión del Recurso de revisión.</w:t>
      </w:r>
      <w:r w:rsidRPr="00A42FE8">
        <w:rPr>
          <w:rFonts w:ascii="Palatino Linotype" w:eastAsia="Palatino Linotype" w:hAnsi="Palatino Linotype" w:cs="Palatino Linotype"/>
          <w:sz w:val="22"/>
          <w:szCs w:val="22"/>
        </w:rPr>
        <w:t xml:space="preserve"> Con fecha</w:t>
      </w:r>
      <w:r w:rsidRPr="00A42FE8">
        <w:rPr>
          <w:rFonts w:ascii="Palatino Linotype" w:eastAsia="Palatino Linotype" w:hAnsi="Palatino Linotype" w:cs="Palatino Linotype"/>
          <w:b/>
          <w:sz w:val="22"/>
          <w:szCs w:val="22"/>
        </w:rPr>
        <w:t xml:space="preserve"> dieciséis de mayo de dos mil veinticinco, </w:t>
      </w:r>
      <w:r w:rsidRPr="00A42FE8">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A42FE8">
        <w:rPr>
          <w:rFonts w:ascii="Palatino Linotype" w:eastAsia="Palatino Linotype" w:hAnsi="Palatino Linotype" w:cs="Palatino Linotype"/>
          <w:b/>
          <w:sz w:val="22"/>
          <w:szCs w:val="22"/>
        </w:rPr>
        <w:t xml:space="preserve">Sujeto Obligado </w:t>
      </w:r>
      <w:r w:rsidRPr="00A42FE8">
        <w:rPr>
          <w:rFonts w:ascii="Palatino Linotype" w:eastAsia="Palatino Linotype" w:hAnsi="Palatino Linotype" w:cs="Palatino Linotype"/>
          <w:sz w:val="22"/>
          <w:szCs w:val="22"/>
        </w:rPr>
        <w:t>presentara su informe justificado.</w:t>
      </w:r>
    </w:p>
    <w:p w14:paraId="581280C3" w14:textId="77777777" w:rsidR="00A045BE" w:rsidRPr="00A42FE8" w:rsidRDefault="00A045BE">
      <w:pPr>
        <w:spacing w:line="360" w:lineRule="auto"/>
        <w:jc w:val="both"/>
        <w:rPr>
          <w:rFonts w:ascii="Palatino Linotype" w:eastAsia="Palatino Linotype" w:hAnsi="Palatino Linotype" w:cs="Palatino Linotype"/>
          <w:sz w:val="22"/>
          <w:szCs w:val="22"/>
        </w:rPr>
      </w:pPr>
    </w:p>
    <w:p w14:paraId="58E28D48" w14:textId="77777777" w:rsidR="00A045BE" w:rsidRPr="00A42FE8" w:rsidRDefault="00DD7B69">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sz w:val="22"/>
          <w:szCs w:val="22"/>
        </w:rPr>
      </w:pPr>
      <w:r w:rsidRPr="00A42FE8">
        <w:rPr>
          <w:rFonts w:ascii="Palatino Linotype" w:eastAsia="Palatino Linotype" w:hAnsi="Palatino Linotype" w:cs="Palatino Linotype"/>
          <w:b/>
          <w:sz w:val="22"/>
          <w:szCs w:val="22"/>
        </w:rPr>
        <w:t>6. Manifestaciones</w:t>
      </w:r>
      <w:r w:rsidRPr="00A42FE8">
        <w:rPr>
          <w:rFonts w:ascii="Palatino Linotype" w:eastAsia="Palatino Linotype" w:hAnsi="Palatino Linotype" w:cs="Palatino Linotype"/>
          <w:sz w:val="22"/>
          <w:szCs w:val="22"/>
        </w:rPr>
        <w:t xml:space="preserve">. De las constancias que integran el expediente en que se actúa se advierte que la parte </w:t>
      </w:r>
      <w:r w:rsidRPr="00A42FE8">
        <w:rPr>
          <w:rFonts w:ascii="Palatino Linotype" w:eastAsia="Palatino Linotype" w:hAnsi="Palatino Linotype" w:cs="Palatino Linotype"/>
          <w:b/>
          <w:sz w:val="22"/>
          <w:szCs w:val="22"/>
        </w:rPr>
        <w:t>RECURRENTE</w:t>
      </w:r>
      <w:r w:rsidRPr="00A42FE8">
        <w:rPr>
          <w:rFonts w:ascii="Palatino Linotype" w:eastAsia="Palatino Linotype" w:hAnsi="Palatino Linotype" w:cs="Palatino Linotype"/>
          <w:sz w:val="22"/>
          <w:szCs w:val="22"/>
        </w:rPr>
        <w:t>, fue omiso en presentar sus alegatos o manifestación alguna.</w:t>
      </w:r>
    </w:p>
    <w:p w14:paraId="0652F833" w14:textId="77777777" w:rsidR="00A045BE" w:rsidRPr="00A42FE8" w:rsidRDefault="00DD7B69">
      <w:pPr>
        <w:spacing w:line="360" w:lineRule="auto"/>
        <w:jc w:val="both"/>
        <w:rPr>
          <w:rFonts w:ascii="Palatino Linotype" w:eastAsia="Palatino Linotype" w:hAnsi="Palatino Linotype" w:cs="Palatino Linotype"/>
          <w:sz w:val="22"/>
          <w:szCs w:val="22"/>
        </w:rPr>
      </w:pPr>
      <w:r w:rsidRPr="00A42FE8">
        <w:rPr>
          <w:rFonts w:ascii="Palatino Linotype" w:eastAsia="Palatino Linotype" w:hAnsi="Palatino Linotype" w:cs="Palatino Linotype"/>
          <w:sz w:val="22"/>
          <w:szCs w:val="22"/>
        </w:rPr>
        <w:t xml:space="preserve">Por su parte el </w:t>
      </w:r>
      <w:r w:rsidRPr="00A42FE8">
        <w:rPr>
          <w:rFonts w:ascii="Palatino Linotype" w:eastAsia="Palatino Linotype" w:hAnsi="Palatino Linotype" w:cs="Palatino Linotype"/>
          <w:b/>
          <w:sz w:val="22"/>
          <w:szCs w:val="22"/>
        </w:rPr>
        <w:t>SUJETO OBLIGADO</w:t>
      </w:r>
      <w:r w:rsidRPr="00A42FE8">
        <w:rPr>
          <w:rFonts w:ascii="Palatino Linotype" w:eastAsia="Palatino Linotype" w:hAnsi="Palatino Linotype" w:cs="Palatino Linotype"/>
          <w:sz w:val="22"/>
          <w:szCs w:val="22"/>
        </w:rPr>
        <w:t xml:space="preserve"> en fecha veintisiete de mayo de dos mil veinticinco, remitió los archivos electrónicos denominados </w:t>
      </w:r>
      <w:r w:rsidRPr="00A42FE8">
        <w:rPr>
          <w:rFonts w:ascii="Palatino Linotype" w:eastAsia="Palatino Linotype" w:hAnsi="Palatino Linotype" w:cs="Palatino Linotype"/>
          <w:b/>
          <w:i/>
          <w:sz w:val="22"/>
          <w:szCs w:val="22"/>
        </w:rPr>
        <w:t xml:space="preserve">“INFORME JUSTIFICADO 05419-2025.pdf </w:t>
      </w:r>
      <w:proofErr w:type="gramStart"/>
      <w:r w:rsidRPr="00A42FE8">
        <w:rPr>
          <w:rFonts w:ascii="Palatino Linotype" w:eastAsia="Palatino Linotype" w:hAnsi="Palatino Linotype" w:cs="Palatino Linotype"/>
          <w:b/>
          <w:i/>
          <w:sz w:val="22"/>
          <w:szCs w:val="22"/>
        </w:rPr>
        <w:t>“</w:t>
      </w:r>
      <w:r w:rsidRPr="00A42FE8">
        <w:rPr>
          <w:rFonts w:ascii="Palatino Linotype" w:eastAsia="Palatino Linotype" w:hAnsi="Palatino Linotype" w:cs="Palatino Linotype"/>
          <w:sz w:val="22"/>
          <w:szCs w:val="22"/>
        </w:rPr>
        <w:t xml:space="preserve"> y</w:t>
      </w:r>
      <w:proofErr w:type="gramEnd"/>
      <w:r w:rsidRPr="00A42FE8">
        <w:rPr>
          <w:rFonts w:ascii="Palatino Linotype" w:eastAsia="Palatino Linotype" w:hAnsi="Palatino Linotype" w:cs="Palatino Linotype"/>
          <w:sz w:val="22"/>
          <w:szCs w:val="22"/>
        </w:rPr>
        <w:t xml:space="preserve"> “</w:t>
      </w:r>
      <w:r w:rsidRPr="00A42FE8">
        <w:rPr>
          <w:rFonts w:ascii="Palatino Linotype" w:eastAsia="Palatino Linotype" w:hAnsi="Palatino Linotype" w:cs="Palatino Linotype"/>
          <w:b/>
          <w:i/>
          <w:sz w:val="22"/>
          <w:szCs w:val="22"/>
        </w:rPr>
        <w:t xml:space="preserve">Copia Certificada Sol </w:t>
      </w:r>
      <w:proofErr w:type="gramStart"/>
      <w:r w:rsidRPr="00A42FE8">
        <w:rPr>
          <w:rFonts w:ascii="Palatino Linotype" w:eastAsia="Palatino Linotype" w:hAnsi="Palatino Linotype" w:cs="Palatino Linotype"/>
          <w:b/>
          <w:i/>
          <w:sz w:val="22"/>
          <w:szCs w:val="22"/>
        </w:rPr>
        <w:t>96-2025.pdf</w:t>
      </w:r>
      <w:r w:rsidRPr="00A42FE8">
        <w:rPr>
          <w:rFonts w:ascii="Palatino Linotype" w:eastAsia="Palatino Linotype" w:hAnsi="Palatino Linotype" w:cs="Palatino Linotype"/>
          <w:sz w:val="22"/>
          <w:szCs w:val="22"/>
        </w:rPr>
        <w:t>“</w:t>
      </w:r>
      <w:proofErr w:type="gramEnd"/>
      <w:r w:rsidRPr="00A42FE8">
        <w:rPr>
          <w:rFonts w:ascii="Palatino Linotype" w:eastAsia="Palatino Linotype" w:hAnsi="Palatino Linotype" w:cs="Palatino Linotype"/>
          <w:sz w:val="22"/>
          <w:szCs w:val="22"/>
        </w:rPr>
        <w:t>, mismos que contienen lo siguiente:</w:t>
      </w:r>
    </w:p>
    <w:p w14:paraId="3808655D" w14:textId="77777777" w:rsidR="00A045BE" w:rsidRPr="00A42FE8" w:rsidRDefault="00A045BE">
      <w:pPr>
        <w:spacing w:line="360" w:lineRule="auto"/>
        <w:jc w:val="both"/>
        <w:rPr>
          <w:rFonts w:ascii="Palatino Linotype" w:eastAsia="Palatino Linotype" w:hAnsi="Palatino Linotype" w:cs="Palatino Linotype"/>
          <w:sz w:val="22"/>
          <w:szCs w:val="22"/>
        </w:rPr>
      </w:pPr>
    </w:p>
    <w:p w14:paraId="35257A66" w14:textId="77777777" w:rsidR="00A045BE" w:rsidRPr="00A42FE8" w:rsidRDefault="00DD7B69">
      <w:pPr>
        <w:numPr>
          <w:ilvl w:val="0"/>
          <w:numId w:val="5"/>
        </w:num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A42FE8">
        <w:rPr>
          <w:rFonts w:ascii="Palatino Linotype" w:eastAsia="Palatino Linotype" w:hAnsi="Palatino Linotype" w:cs="Palatino Linotype"/>
          <w:sz w:val="22"/>
          <w:szCs w:val="22"/>
        </w:rPr>
        <w:t>Oficio número 400C103202/301/2025 de fecha veintiséis de mayo de dos mil veinticinco, signado por la Titular de la Unidad de Transparencia, en el que informó las consideraciones vertidas por la Unidad Jurídica y Consultiva, siendo las que se transcriben a continuación:</w:t>
      </w:r>
    </w:p>
    <w:p w14:paraId="79D57E2E" w14:textId="77777777" w:rsidR="00A045BE" w:rsidRPr="00A42FE8" w:rsidRDefault="00DD7B69">
      <w:pPr>
        <w:pBdr>
          <w:top w:val="nil"/>
          <w:left w:val="nil"/>
          <w:bottom w:val="nil"/>
          <w:right w:val="nil"/>
          <w:between w:val="nil"/>
        </w:pBdr>
        <w:spacing w:line="276" w:lineRule="auto"/>
        <w:ind w:left="1134" w:right="900"/>
        <w:jc w:val="both"/>
        <w:rPr>
          <w:rFonts w:ascii="Palatino Linotype" w:eastAsia="Palatino Linotype" w:hAnsi="Palatino Linotype" w:cs="Palatino Linotype"/>
          <w:i/>
          <w:sz w:val="22"/>
          <w:szCs w:val="22"/>
        </w:rPr>
      </w:pPr>
      <w:r w:rsidRPr="00A42FE8">
        <w:rPr>
          <w:rFonts w:ascii="Palatino Linotype" w:eastAsia="Palatino Linotype" w:hAnsi="Palatino Linotype" w:cs="Palatino Linotype"/>
          <w:sz w:val="22"/>
          <w:szCs w:val="22"/>
        </w:rPr>
        <w:br/>
        <w:t xml:space="preserve">”… </w:t>
      </w:r>
      <w:r w:rsidRPr="00A42FE8">
        <w:rPr>
          <w:rFonts w:ascii="Palatino Linotype" w:eastAsia="Palatino Linotype" w:hAnsi="Palatino Linotype" w:cs="Palatino Linotype"/>
          <w:i/>
          <w:sz w:val="22"/>
          <w:szCs w:val="22"/>
        </w:rPr>
        <w:t xml:space="preserve">Con base en ello, </w:t>
      </w:r>
      <w:r w:rsidRPr="00A42FE8">
        <w:rPr>
          <w:rFonts w:ascii="Palatino Linotype" w:eastAsia="Palatino Linotype" w:hAnsi="Palatino Linotype" w:cs="Palatino Linotype"/>
          <w:i/>
          <w:sz w:val="22"/>
          <w:szCs w:val="22"/>
          <w:u w:val="single"/>
        </w:rPr>
        <w:t>se realizó una búsqueda exhaustiva en los archivos de esta unidad administrativa del año 2013, sin que se localizara antecedente alguno de que se haya celebrado el convenio aludido, por lo que no se cuenta con la información; por lo tanto tampoco se generaron convenios subsecuentes;</w:t>
      </w:r>
      <w:r w:rsidRPr="00A42FE8">
        <w:rPr>
          <w:rFonts w:ascii="Palatino Linotype" w:eastAsia="Palatino Linotype" w:hAnsi="Palatino Linotype" w:cs="Palatino Linotype"/>
          <w:i/>
          <w:sz w:val="22"/>
          <w:szCs w:val="22"/>
        </w:rPr>
        <w:t xml:space="preserve"> no obstante, privilegiando el principio de máxima publicidad en los términos señalados en el artículo 4 de la Ley de Transparencia y Acceso a la Información Pública del Estado de México y Municipios, </w:t>
      </w:r>
      <w:r w:rsidRPr="00A42FE8">
        <w:rPr>
          <w:rFonts w:ascii="Palatino Linotype" w:eastAsia="Palatino Linotype" w:hAnsi="Palatino Linotype" w:cs="Palatino Linotype"/>
          <w:i/>
          <w:sz w:val="22"/>
          <w:szCs w:val="22"/>
          <w:u w:val="single"/>
        </w:rPr>
        <w:t>del mismo modo se realizó búsqueda exhaustiva en los archivos correspondientes a los años comprendidos del 2014 al 2025, en los que tampoco se localizó convenio alguno firmado con la persona moral en comento; por lo que se brindó la siguiente respuesta</w:t>
      </w:r>
      <w:r w:rsidRPr="00A42FE8">
        <w:rPr>
          <w:rFonts w:ascii="Palatino Linotype" w:eastAsia="Palatino Linotype" w:hAnsi="Palatino Linotype" w:cs="Palatino Linotype"/>
          <w:i/>
          <w:sz w:val="22"/>
          <w:szCs w:val="22"/>
        </w:rPr>
        <w:t>:</w:t>
      </w:r>
    </w:p>
    <w:p w14:paraId="0E56B6D5" w14:textId="77777777" w:rsidR="00A045BE" w:rsidRPr="00A42FE8" w:rsidRDefault="00A045BE">
      <w:pPr>
        <w:spacing w:line="276" w:lineRule="auto"/>
        <w:ind w:left="1134" w:right="900"/>
        <w:jc w:val="both"/>
        <w:rPr>
          <w:rFonts w:ascii="Palatino Linotype" w:eastAsia="Palatino Linotype" w:hAnsi="Palatino Linotype" w:cs="Palatino Linotype"/>
          <w:i/>
          <w:sz w:val="22"/>
          <w:szCs w:val="22"/>
        </w:rPr>
      </w:pPr>
    </w:p>
    <w:p w14:paraId="2FB0B045" w14:textId="77777777" w:rsidR="00A045BE" w:rsidRPr="00A42FE8" w:rsidRDefault="00DD7B69">
      <w:pPr>
        <w:spacing w:line="276" w:lineRule="auto"/>
        <w:ind w:left="1134" w:right="900"/>
        <w:jc w:val="both"/>
        <w:rPr>
          <w:rFonts w:ascii="Palatino Linotype" w:eastAsia="Palatino Linotype" w:hAnsi="Palatino Linotype" w:cs="Palatino Linotype"/>
          <w:sz w:val="22"/>
          <w:szCs w:val="22"/>
        </w:rPr>
      </w:pPr>
      <w:r w:rsidRPr="00A42FE8">
        <w:rPr>
          <w:rFonts w:ascii="Palatino Linotype" w:eastAsia="Palatino Linotype" w:hAnsi="Palatino Linotype" w:cs="Palatino Linotype"/>
          <w:i/>
          <w:sz w:val="22"/>
          <w:szCs w:val="22"/>
        </w:rPr>
        <w:lastRenderedPageBreak/>
        <w:t>“Esta Unidad Jurídica y Consultiva tiene entre otras atribuciones, analizar, elaborar, sancionar y resguardar ordenamientos, acuerdos, circulares, acuerdos, contratos y convenios que celebre o emita la Comisión de Derechos Humanos del Estado de México (CODHEM), de acuerdo con el artículo 26, fracción VII, del Reglamento Interno de la CODHEM</w:t>
      </w:r>
      <w:r w:rsidRPr="00A42FE8">
        <w:rPr>
          <w:rFonts w:ascii="Palatino Linotype" w:eastAsia="Palatino Linotype" w:hAnsi="Palatino Linotype" w:cs="Palatino Linotype"/>
          <w:sz w:val="22"/>
          <w:szCs w:val="22"/>
        </w:rPr>
        <w:t>.</w:t>
      </w:r>
    </w:p>
    <w:p w14:paraId="286704F5" w14:textId="77777777" w:rsidR="00A045BE" w:rsidRPr="00A42FE8" w:rsidRDefault="00A045BE">
      <w:pPr>
        <w:spacing w:line="276" w:lineRule="auto"/>
        <w:ind w:left="1134" w:right="900"/>
        <w:jc w:val="both"/>
        <w:rPr>
          <w:rFonts w:ascii="Palatino Linotype" w:eastAsia="Palatino Linotype" w:hAnsi="Palatino Linotype" w:cs="Palatino Linotype"/>
          <w:i/>
          <w:sz w:val="22"/>
          <w:szCs w:val="22"/>
        </w:rPr>
      </w:pPr>
    </w:p>
    <w:p w14:paraId="13360632" w14:textId="77777777" w:rsidR="00A045BE" w:rsidRPr="00A42FE8" w:rsidRDefault="00DD7B69">
      <w:pPr>
        <w:spacing w:line="276" w:lineRule="auto"/>
        <w:ind w:left="1134" w:right="900"/>
        <w:jc w:val="both"/>
        <w:rPr>
          <w:rFonts w:ascii="Palatino Linotype" w:eastAsia="Palatino Linotype" w:hAnsi="Palatino Linotype" w:cs="Palatino Linotype"/>
          <w:i/>
          <w:sz w:val="22"/>
          <w:szCs w:val="22"/>
        </w:rPr>
      </w:pPr>
      <w:r w:rsidRPr="00A42FE8">
        <w:rPr>
          <w:rFonts w:ascii="Palatino Linotype" w:eastAsia="Palatino Linotype" w:hAnsi="Palatino Linotype" w:cs="Palatino Linotype"/>
          <w:i/>
          <w:sz w:val="22"/>
          <w:szCs w:val="22"/>
        </w:rPr>
        <w:t xml:space="preserve">Realizada la anterior precisión, de conformidad con los artículos 12, 24, último párrafo, 59, fracción III, y 162 de la Ley de Transparencia y Acceso a la Información Pública del Estado de México y Municipios, hago de su conocimiento que, </w:t>
      </w:r>
      <w:r w:rsidRPr="00A42FE8">
        <w:rPr>
          <w:rFonts w:ascii="Palatino Linotype" w:eastAsia="Palatino Linotype" w:hAnsi="Palatino Linotype" w:cs="Palatino Linotype"/>
          <w:i/>
          <w:sz w:val="22"/>
          <w:szCs w:val="22"/>
          <w:u w:val="single"/>
        </w:rPr>
        <w:t xml:space="preserve">derivado de una búsqueda exhaustiva y razonable en los archivos físicos que obran en esta Unidad Administrativa de los periodos aludidos, se desprende que </w:t>
      </w:r>
      <w:r w:rsidRPr="00A42FE8">
        <w:rPr>
          <w:rFonts w:ascii="Palatino Linotype" w:eastAsia="Palatino Linotype" w:hAnsi="Palatino Linotype" w:cs="Palatino Linotype"/>
          <w:b/>
          <w:i/>
          <w:sz w:val="22"/>
          <w:szCs w:val="22"/>
          <w:u w:val="single"/>
        </w:rPr>
        <w:t>no se ha celebrado Convenio</w:t>
      </w:r>
      <w:r w:rsidRPr="00A42FE8">
        <w:rPr>
          <w:rFonts w:ascii="Palatino Linotype" w:eastAsia="Palatino Linotype" w:hAnsi="Palatino Linotype" w:cs="Palatino Linotype"/>
          <w:i/>
          <w:sz w:val="22"/>
          <w:szCs w:val="22"/>
          <w:u w:val="single"/>
        </w:rPr>
        <w:t xml:space="preserve"> alguno entre la Comisión de Derechos Humanos del Estado de México y la empresa Certificados Integrales Funcionales, SA de CV</w:t>
      </w:r>
      <w:r w:rsidRPr="00A42FE8">
        <w:rPr>
          <w:rFonts w:ascii="Palatino Linotype" w:eastAsia="Palatino Linotype" w:hAnsi="Palatino Linotype" w:cs="Palatino Linotype"/>
          <w:i/>
          <w:sz w:val="22"/>
          <w:szCs w:val="22"/>
        </w:rPr>
        <w:t>.”</w:t>
      </w:r>
    </w:p>
    <w:p w14:paraId="1A9861D1" w14:textId="77777777" w:rsidR="00A045BE" w:rsidRPr="00A42FE8" w:rsidRDefault="00DD7B69">
      <w:pPr>
        <w:spacing w:line="276" w:lineRule="auto"/>
        <w:ind w:left="1134" w:right="900"/>
        <w:jc w:val="both"/>
        <w:rPr>
          <w:rFonts w:ascii="Palatino Linotype" w:eastAsia="Palatino Linotype" w:hAnsi="Palatino Linotype" w:cs="Palatino Linotype"/>
          <w:i/>
          <w:sz w:val="22"/>
          <w:szCs w:val="22"/>
        </w:rPr>
      </w:pPr>
      <w:r w:rsidRPr="00A42FE8">
        <w:rPr>
          <w:rFonts w:ascii="Palatino Linotype" w:eastAsia="Palatino Linotype" w:hAnsi="Palatino Linotype" w:cs="Palatino Linotype"/>
          <w:i/>
          <w:sz w:val="22"/>
          <w:szCs w:val="22"/>
        </w:rPr>
        <w:t>Contestación que estuvo ajustada a lo que la persona peticionaria requirió y a la Ley de Transparencia en cita, que en sus artículos 12, segundo párrafo, y 24, último párrafo, dispone:</w:t>
      </w:r>
    </w:p>
    <w:p w14:paraId="62ED447F" w14:textId="77777777" w:rsidR="00A045BE" w:rsidRPr="00A42FE8" w:rsidRDefault="00DD7B69">
      <w:pPr>
        <w:spacing w:line="276" w:lineRule="auto"/>
        <w:ind w:left="1134" w:right="900"/>
        <w:jc w:val="both"/>
        <w:rPr>
          <w:rFonts w:ascii="Palatino Linotype" w:eastAsia="Palatino Linotype" w:hAnsi="Palatino Linotype" w:cs="Palatino Linotype"/>
          <w:i/>
          <w:sz w:val="22"/>
          <w:szCs w:val="22"/>
        </w:rPr>
      </w:pPr>
      <w:r w:rsidRPr="00A42FE8">
        <w:rPr>
          <w:rFonts w:ascii="Palatino Linotype" w:eastAsia="Palatino Linotype" w:hAnsi="Palatino Linotype" w:cs="Palatino Linotype"/>
          <w:i/>
          <w:sz w:val="22"/>
          <w:szCs w:val="22"/>
        </w:rPr>
        <w:t>…</w:t>
      </w:r>
    </w:p>
    <w:p w14:paraId="4369B778" w14:textId="77777777" w:rsidR="00A045BE" w:rsidRPr="00A42FE8" w:rsidRDefault="00DD7B69">
      <w:pPr>
        <w:spacing w:line="276" w:lineRule="auto"/>
        <w:ind w:left="1134" w:right="900"/>
        <w:jc w:val="both"/>
        <w:rPr>
          <w:rFonts w:ascii="Palatino Linotype" w:eastAsia="Palatino Linotype" w:hAnsi="Palatino Linotype" w:cs="Palatino Linotype"/>
          <w:i/>
          <w:sz w:val="22"/>
          <w:szCs w:val="22"/>
        </w:rPr>
      </w:pPr>
      <w:r w:rsidRPr="00A42FE8">
        <w:rPr>
          <w:rFonts w:ascii="Palatino Linotype" w:eastAsia="Palatino Linotype" w:hAnsi="Palatino Linotype" w:cs="Palatino Linotype"/>
          <w:i/>
          <w:sz w:val="22"/>
          <w:szCs w:val="22"/>
        </w:rPr>
        <w:t xml:space="preserve">En este sentido, con relación al acto impugnado referido en el recurso de revisión, relativo a la manifestación de la persona recurrente, consistente en que este sujeto obligado: “No entregó la información”, </w:t>
      </w:r>
      <w:r w:rsidRPr="00A42FE8">
        <w:rPr>
          <w:rFonts w:ascii="Palatino Linotype" w:eastAsia="Palatino Linotype" w:hAnsi="Palatino Linotype" w:cs="Palatino Linotype"/>
          <w:b/>
          <w:i/>
          <w:sz w:val="22"/>
          <w:szCs w:val="22"/>
          <w:u w:val="single"/>
        </w:rPr>
        <w:t>se hace notar que al no haberse celebrado convenio alguno con la empresa Certificados Integrales Funcionales, SA de CV en el año 2013 y posteriores, no se cuenta con la documentación solicitada</w:t>
      </w:r>
      <w:r w:rsidRPr="00A42FE8">
        <w:rPr>
          <w:rFonts w:ascii="Palatino Linotype" w:eastAsia="Palatino Linotype" w:hAnsi="Palatino Linotype" w:cs="Palatino Linotype"/>
          <w:i/>
          <w:sz w:val="22"/>
          <w:szCs w:val="22"/>
        </w:rPr>
        <w:t>.</w:t>
      </w:r>
    </w:p>
    <w:p w14:paraId="49B04FAF" w14:textId="77777777" w:rsidR="00A045BE" w:rsidRPr="00A42FE8" w:rsidRDefault="00A045BE">
      <w:pPr>
        <w:spacing w:line="276" w:lineRule="auto"/>
        <w:ind w:left="1134" w:right="900"/>
        <w:jc w:val="both"/>
        <w:rPr>
          <w:rFonts w:ascii="Palatino Linotype" w:eastAsia="Palatino Linotype" w:hAnsi="Palatino Linotype" w:cs="Palatino Linotype"/>
          <w:i/>
          <w:sz w:val="22"/>
          <w:szCs w:val="22"/>
        </w:rPr>
      </w:pPr>
    </w:p>
    <w:p w14:paraId="0BEDC54B" w14:textId="77777777" w:rsidR="00A045BE" w:rsidRPr="00A42FE8" w:rsidRDefault="00DD7B69">
      <w:pPr>
        <w:spacing w:line="276" w:lineRule="auto"/>
        <w:ind w:left="1134" w:right="900"/>
        <w:jc w:val="both"/>
        <w:rPr>
          <w:rFonts w:ascii="Palatino Linotype" w:eastAsia="Palatino Linotype" w:hAnsi="Palatino Linotype" w:cs="Palatino Linotype"/>
          <w:i/>
          <w:sz w:val="22"/>
          <w:szCs w:val="22"/>
        </w:rPr>
      </w:pPr>
      <w:r w:rsidRPr="00A42FE8">
        <w:rPr>
          <w:rFonts w:ascii="Palatino Linotype" w:eastAsia="Palatino Linotype" w:hAnsi="Palatino Linotype" w:cs="Palatino Linotype"/>
          <w:i/>
          <w:sz w:val="22"/>
          <w:szCs w:val="22"/>
        </w:rPr>
        <w:t xml:space="preserve">Resultando improcedente el medio de impugnación, pues aunado a lo anterior, la respuesta proporcionada a la solicitud 00096/CODHEM/IP/2025, estuvo apegada a los principios de congruencia y exhaustividad con el requerimiento formulado; esto es, con relación a la congruencia, existió concordancia entre lo solicitado y la contestación otorgada, ya que al requerimiento de proporcionar el supuesto convenio celebrado con la persona moral de referencia en el año 2013, y convenios subsecuentes, se manifestó que no se </w:t>
      </w:r>
      <w:r w:rsidRPr="00A42FE8">
        <w:rPr>
          <w:rFonts w:ascii="Palatino Linotype" w:eastAsia="Palatino Linotype" w:hAnsi="Palatino Linotype" w:cs="Palatino Linotype"/>
          <w:i/>
          <w:sz w:val="22"/>
          <w:szCs w:val="22"/>
        </w:rPr>
        <w:lastRenderedPageBreak/>
        <w:t>celebró alguno, considerando la temporalidad y la documentación requerida como únicos elementos de la solicitud.</w:t>
      </w:r>
    </w:p>
    <w:p w14:paraId="3BB6841F" w14:textId="77777777" w:rsidR="00A045BE" w:rsidRPr="00A42FE8" w:rsidRDefault="00A045BE">
      <w:pPr>
        <w:spacing w:line="276" w:lineRule="auto"/>
        <w:ind w:left="1134" w:right="900"/>
        <w:jc w:val="both"/>
        <w:rPr>
          <w:rFonts w:ascii="Palatino Linotype" w:eastAsia="Palatino Linotype" w:hAnsi="Palatino Linotype" w:cs="Palatino Linotype"/>
          <w:i/>
          <w:sz w:val="22"/>
          <w:szCs w:val="22"/>
        </w:rPr>
      </w:pPr>
    </w:p>
    <w:p w14:paraId="63F763BD" w14:textId="77777777" w:rsidR="00A045BE" w:rsidRPr="00A42FE8" w:rsidRDefault="00DD7B69">
      <w:pPr>
        <w:spacing w:line="276" w:lineRule="auto"/>
        <w:ind w:left="1134" w:right="900"/>
        <w:jc w:val="both"/>
        <w:rPr>
          <w:rFonts w:ascii="Palatino Linotype" w:eastAsia="Palatino Linotype" w:hAnsi="Palatino Linotype" w:cs="Palatino Linotype"/>
          <w:i/>
          <w:sz w:val="22"/>
          <w:szCs w:val="22"/>
        </w:rPr>
      </w:pPr>
      <w:r w:rsidRPr="00A42FE8">
        <w:rPr>
          <w:rFonts w:ascii="Palatino Linotype" w:eastAsia="Palatino Linotype" w:hAnsi="Palatino Linotype" w:cs="Palatino Linotype"/>
          <w:i/>
          <w:sz w:val="22"/>
          <w:szCs w:val="22"/>
        </w:rPr>
        <w:t>Relativo a la exhaustividad, se abordó cabalmente el único punto de solicitud, sin omitir algún componente de éste, dando respuesta en el sentido de que después de una búsqueda exhaustiva se desprendió que el Organismo no celebró convenio alguno con la empresa en cita en el año 2013 y, por ende, tampoco convenios subsecuentes; más aún, bajo el principio de máxima publicidad, se realizó búsqueda hasta el actual año 2025, sin que exista documento de esa naturaleza.</w:t>
      </w:r>
    </w:p>
    <w:p w14:paraId="24BA38A2" w14:textId="77777777" w:rsidR="00A045BE" w:rsidRPr="00A42FE8" w:rsidRDefault="00DD7B69">
      <w:pPr>
        <w:spacing w:line="276" w:lineRule="auto"/>
        <w:ind w:left="1134" w:right="900"/>
        <w:jc w:val="both"/>
        <w:rPr>
          <w:rFonts w:ascii="Palatino Linotype" w:eastAsia="Palatino Linotype" w:hAnsi="Palatino Linotype" w:cs="Palatino Linotype"/>
          <w:i/>
          <w:sz w:val="22"/>
          <w:szCs w:val="22"/>
        </w:rPr>
      </w:pPr>
      <w:r w:rsidRPr="00A42FE8">
        <w:rPr>
          <w:rFonts w:ascii="Palatino Linotype" w:eastAsia="Palatino Linotype" w:hAnsi="Palatino Linotype" w:cs="Palatino Linotype"/>
          <w:i/>
          <w:sz w:val="22"/>
          <w:szCs w:val="22"/>
        </w:rPr>
        <w:t>…</w:t>
      </w:r>
    </w:p>
    <w:p w14:paraId="171B52B4" w14:textId="77777777" w:rsidR="00A045BE" w:rsidRPr="00A42FE8" w:rsidRDefault="00DD7B69">
      <w:pPr>
        <w:spacing w:line="276" w:lineRule="auto"/>
        <w:ind w:left="1134" w:right="900"/>
        <w:jc w:val="both"/>
        <w:rPr>
          <w:rFonts w:ascii="Palatino Linotype" w:eastAsia="Palatino Linotype" w:hAnsi="Palatino Linotype" w:cs="Palatino Linotype"/>
          <w:i/>
          <w:sz w:val="22"/>
          <w:szCs w:val="22"/>
        </w:rPr>
      </w:pPr>
      <w:r w:rsidRPr="00A42FE8">
        <w:rPr>
          <w:rFonts w:ascii="Palatino Linotype" w:eastAsia="Palatino Linotype" w:hAnsi="Palatino Linotype" w:cs="Palatino Linotype"/>
          <w:i/>
          <w:sz w:val="22"/>
          <w:szCs w:val="22"/>
        </w:rPr>
        <w:t>Con relación a las razones o motivos de inconformidad que hace valer la persona recurrente, que a la letra dicen:…</w:t>
      </w:r>
    </w:p>
    <w:p w14:paraId="0E40918B" w14:textId="77777777" w:rsidR="00A045BE" w:rsidRPr="00A42FE8" w:rsidRDefault="00A045BE">
      <w:pPr>
        <w:spacing w:line="276" w:lineRule="auto"/>
        <w:ind w:left="1134" w:right="900"/>
        <w:jc w:val="both"/>
        <w:rPr>
          <w:rFonts w:ascii="Palatino Linotype" w:eastAsia="Palatino Linotype" w:hAnsi="Palatino Linotype" w:cs="Palatino Linotype"/>
          <w:i/>
          <w:sz w:val="22"/>
          <w:szCs w:val="22"/>
        </w:rPr>
      </w:pPr>
    </w:p>
    <w:p w14:paraId="5E1C4647" w14:textId="77777777" w:rsidR="00A045BE" w:rsidRPr="00A42FE8" w:rsidRDefault="00DD7B69">
      <w:pPr>
        <w:spacing w:line="276" w:lineRule="auto"/>
        <w:ind w:left="1134" w:right="900"/>
        <w:jc w:val="both"/>
        <w:rPr>
          <w:rFonts w:ascii="Palatino Linotype" w:eastAsia="Palatino Linotype" w:hAnsi="Palatino Linotype" w:cs="Palatino Linotype"/>
          <w:b/>
          <w:i/>
          <w:sz w:val="22"/>
          <w:szCs w:val="22"/>
        </w:rPr>
      </w:pPr>
      <w:r w:rsidRPr="00A42FE8">
        <w:rPr>
          <w:rFonts w:ascii="Palatino Linotype" w:eastAsia="Palatino Linotype" w:hAnsi="Palatino Linotype" w:cs="Palatino Linotype"/>
          <w:i/>
          <w:sz w:val="22"/>
          <w:szCs w:val="22"/>
        </w:rPr>
        <w:t xml:space="preserve">Se puntualiza que </w:t>
      </w:r>
      <w:r w:rsidRPr="00A42FE8">
        <w:rPr>
          <w:rFonts w:ascii="Palatino Linotype" w:eastAsia="Palatino Linotype" w:hAnsi="Palatino Linotype" w:cs="Palatino Linotype"/>
          <w:b/>
          <w:i/>
          <w:sz w:val="22"/>
          <w:szCs w:val="22"/>
        </w:rPr>
        <w:t>la respuesta brindada a la solicitud derivó de la búsqueda exhaustiva realizada con base en el año de solicitud (2013) y, bajo el principio de máxima publicidad, hasta el año 2025, sin que se haya obtenido documento alguno, por lo que se contó con la certeza de que en el año 2013 no se signó con Certificados Integrales Funcionales, SA de CV el convenio alegado</w:t>
      </w:r>
      <w:r w:rsidRPr="00A42FE8">
        <w:rPr>
          <w:rFonts w:ascii="Palatino Linotype" w:eastAsia="Palatino Linotype" w:hAnsi="Palatino Linotype" w:cs="Palatino Linotype"/>
          <w:i/>
          <w:sz w:val="22"/>
          <w:szCs w:val="22"/>
        </w:rPr>
        <w:t xml:space="preserve"> por la persona solicitante</w:t>
      </w:r>
      <w:r w:rsidRPr="00A42FE8">
        <w:rPr>
          <w:rFonts w:ascii="Palatino Linotype" w:eastAsia="Palatino Linotype" w:hAnsi="Palatino Linotype" w:cs="Palatino Linotype"/>
          <w:b/>
          <w:i/>
          <w:sz w:val="22"/>
          <w:szCs w:val="22"/>
        </w:rPr>
        <w:t xml:space="preserve">, ni convenios subsecuentes. </w:t>
      </w:r>
    </w:p>
    <w:p w14:paraId="7DC10840" w14:textId="77777777" w:rsidR="00A045BE" w:rsidRPr="00A42FE8" w:rsidRDefault="00A045BE">
      <w:pPr>
        <w:spacing w:line="276" w:lineRule="auto"/>
        <w:ind w:left="1134" w:right="900"/>
        <w:jc w:val="both"/>
        <w:rPr>
          <w:rFonts w:ascii="Palatino Linotype" w:eastAsia="Palatino Linotype" w:hAnsi="Palatino Linotype" w:cs="Palatino Linotype"/>
          <w:i/>
          <w:sz w:val="22"/>
          <w:szCs w:val="22"/>
        </w:rPr>
      </w:pPr>
    </w:p>
    <w:p w14:paraId="7166861E" w14:textId="77777777" w:rsidR="00A045BE" w:rsidRPr="00A42FE8" w:rsidRDefault="00DD7B69">
      <w:pPr>
        <w:spacing w:line="276" w:lineRule="auto"/>
        <w:ind w:left="1134" w:right="900"/>
        <w:jc w:val="both"/>
        <w:rPr>
          <w:rFonts w:ascii="Palatino Linotype" w:eastAsia="Palatino Linotype" w:hAnsi="Palatino Linotype" w:cs="Palatino Linotype"/>
          <w:i/>
          <w:sz w:val="22"/>
          <w:szCs w:val="22"/>
        </w:rPr>
      </w:pPr>
      <w:r w:rsidRPr="00A42FE8">
        <w:rPr>
          <w:rFonts w:ascii="Palatino Linotype" w:eastAsia="Palatino Linotype" w:hAnsi="Palatino Linotype" w:cs="Palatino Linotype"/>
          <w:i/>
          <w:sz w:val="22"/>
          <w:szCs w:val="22"/>
        </w:rPr>
        <w:t xml:space="preserve">Relativo al documento exhibido de manera adjunta al recurso de revisión, consistente en copia simple de una imagen de supuesta respuesta de la CODHEM, de la misma de ninguna manera se desprende la existencia de convenio alguno del año 2013 o convenios subsecuentes en los años solicitados; lo anterior en razón de que esta documental carece de los elementos necesarios de identificación que permitan tener certeza de su autenticidad y de que corresponda a un documento emitido por la Comisión de Derechos Humanos del Estado de México, pues carece del nombre y firma de quien lo emitió, fecha de emisión, logotipo, sello, </w:t>
      </w:r>
      <w:proofErr w:type="spellStart"/>
      <w:r w:rsidRPr="00A42FE8">
        <w:rPr>
          <w:rFonts w:ascii="Palatino Linotype" w:eastAsia="Palatino Linotype" w:hAnsi="Palatino Linotype" w:cs="Palatino Linotype"/>
          <w:i/>
          <w:sz w:val="22"/>
          <w:szCs w:val="22"/>
        </w:rPr>
        <w:t>etc</w:t>
      </w:r>
      <w:proofErr w:type="spellEnd"/>
      <w:r w:rsidRPr="00A42FE8">
        <w:rPr>
          <w:rFonts w:ascii="Palatino Linotype" w:eastAsia="Palatino Linotype" w:hAnsi="Palatino Linotype" w:cs="Palatino Linotype"/>
          <w:i/>
          <w:sz w:val="22"/>
          <w:szCs w:val="22"/>
        </w:rPr>
        <w:t xml:space="preserve">; aunado a que sólo es una copia simple carente de valor probatorio alguno, de la cual tampoco se desprende fecha de firma del supuesto convenio de colaboración que el recurrente </w:t>
      </w:r>
      <w:r w:rsidRPr="00A42FE8">
        <w:rPr>
          <w:rFonts w:ascii="Palatino Linotype" w:eastAsia="Palatino Linotype" w:hAnsi="Palatino Linotype" w:cs="Palatino Linotype"/>
          <w:i/>
          <w:sz w:val="22"/>
          <w:szCs w:val="22"/>
        </w:rPr>
        <w:lastRenderedPageBreak/>
        <w:t>atribuye a la CODHEM y a la empresa “Certificados Integrales Funcionales S.A. de C.V., por lo que no aporta elemento de convicción alguno que acredite el dicho de la persona recurrente; en ese sentido no debe tomarse en consideración al resolver el medio de impugnación.</w:t>
      </w:r>
    </w:p>
    <w:p w14:paraId="05342B4E" w14:textId="77777777" w:rsidR="00A045BE" w:rsidRPr="00A42FE8" w:rsidRDefault="00DD7B69">
      <w:pPr>
        <w:spacing w:line="276" w:lineRule="auto"/>
        <w:ind w:left="1134" w:right="900"/>
        <w:jc w:val="both"/>
        <w:rPr>
          <w:rFonts w:ascii="Palatino Linotype" w:eastAsia="Palatino Linotype" w:hAnsi="Palatino Linotype" w:cs="Palatino Linotype"/>
          <w:i/>
          <w:sz w:val="22"/>
          <w:szCs w:val="22"/>
        </w:rPr>
      </w:pPr>
      <w:r w:rsidRPr="00A42FE8">
        <w:rPr>
          <w:rFonts w:ascii="Palatino Linotype" w:eastAsia="Palatino Linotype" w:hAnsi="Palatino Linotype" w:cs="Palatino Linotype"/>
          <w:i/>
          <w:sz w:val="22"/>
          <w:szCs w:val="22"/>
        </w:rPr>
        <w:t>…</w:t>
      </w:r>
    </w:p>
    <w:p w14:paraId="3D6E134C" w14:textId="77777777" w:rsidR="00A045BE" w:rsidRPr="00A42FE8" w:rsidRDefault="00DD7B69">
      <w:pPr>
        <w:spacing w:line="276" w:lineRule="auto"/>
        <w:ind w:left="1134" w:right="900"/>
        <w:jc w:val="both"/>
        <w:rPr>
          <w:rFonts w:ascii="Palatino Linotype" w:eastAsia="Palatino Linotype" w:hAnsi="Palatino Linotype" w:cs="Palatino Linotype"/>
          <w:i/>
          <w:sz w:val="22"/>
          <w:szCs w:val="22"/>
        </w:rPr>
      </w:pPr>
      <w:r w:rsidRPr="00A42FE8">
        <w:rPr>
          <w:rFonts w:ascii="Palatino Linotype" w:eastAsia="Palatino Linotype" w:hAnsi="Palatino Linotype" w:cs="Palatino Linotype"/>
          <w:i/>
          <w:sz w:val="22"/>
          <w:szCs w:val="22"/>
        </w:rPr>
        <w:t>En conclusión, las razones o motivos de inconformidad planteados resultan sin sustento, infundados e inoperantes, toda vez que, como quedó asentado y acreditado en párrafos anteriores, la respuesta de esta Unidad se realizó con congruencia y exhaustividad, mientras que la prueba adjuntada por la persona recurrente no es idónea para acreditar la existencia de la información y que no le fue entregada. Circunstancia con la cual, podemos llegar a la conclusión de la inexistencia del acto reclamado…”</w:t>
      </w:r>
    </w:p>
    <w:p w14:paraId="42E71AC8" w14:textId="77777777" w:rsidR="00A045BE" w:rsidRPr="00A42FE8" w:rsidRDefault="00A045BE">
      <w:pPr>
        <w:spacing w:line="276" w:lineRule="auto"/>
        <w:ind w:left="851" w:right="616"/>
        <w:jc w:val="both"/>
        <w:rPr>
          <w:rFonts w:ascii="Palatino Linotype" w:eastAsia="Palatino Linotype" w:hAnsi="Palatino Linotype" w:cs="Palatino Linotype"/>
          <w:i/>
          <w:sz w:val="22"/>
          <w:szCs w:val="22"/>
        </w:rPr>
      </w:pPr>
    </w:p>
    <w:p w14:paraId="36FB5222" w14:textId="77777777" w:rsidR="00A045BE" w:rsidRPr="00A42FE8" w:rsidRDefault="00DD7B69">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42FE8">
        <w:rPr>
          <w:rFonts w:ascii="Palatino Linotype" w:eastAsia="Palatino Linotype" w:hAnsi="Palatino Linotype" w:cs="Palatino Linotype"/>
          <w:sz w:val="22"/>
          <w:szCs w:val="22"/>
        </w:rPr>
        <w:t>Documentales que integran el expediente electrónico de la solicitud de información 00096/CODHEM/IP/2025</w:t>
      </w:r>
    </w:p>
    <w:p w14:paraId="628AB645" w14:textId="77777777" w:rsidR="00A045BE" w:rsidRPr="00A42FE8" w:rsidRDefault="00A045BE">
      <w:pPr>
        <w:spacing w:line="360" w:lineRule="auto"/>
        <w:jc w:val="both"/>
        <w:rPr>
          <w:rFonts w:ascii="Palatino Linotype" w:eastAsia="Palatino Linotype" w:hAnsi="Palatino Linotype" w:cs="Palatino Linotype"/>
          <w:sz w:val="22"/>
          <w:szCs w:val="22"/>
        </w:rPr>
      </w:pPr>
    </w:p>
    <w:p w14:paraId="7E7F5FB0" w14:textId="77777777" w:rsidR="00A045BE" w:rsidRPr="00A42FE8" w:rsidRDefault="00DD7B69">
      <w:pPr>
        <w:spacing w:line="360" w:lineRule="auto"/>
        <w:jc w:val="both"/>
        <w:rPr>
          <w:rFonts w:ascii="Palatino Linotype" w:eastAsia="Palatino Linotype" w:hAnsi="Palatino Linotype" w:cs="Palatino Linotype"/>
          <w:sz w:val="22"/>
          <w:szCs w:val="22"/>
        </w:rPr>
      </w:pPr>
      <w:r w:rsidRPr="00A42FE8">
        <w:rPr>
          <w:rFonts w:ascii="Palatino Linotype" w:eastAsia="Palatino Linotype" w:hAnsi="Palatino Linotype" w:cs="Palatino Linotype"/>
          <w:sz w:val="22"/>
          <w:szCs w:val="22"/>
        </w:rPr>
        <w:t xml:space="preserve">Archivo, que se puso a la vista de la parte </w:t>
      </w:r>
      <w:r w:rsidRPr="00A42FE8">
        <w:rPr>
          <w:rFonts w:ascii="Palatino Linotype" w:eastAsia="Palatino Linotype" w:hAnsi="Palatino Linotype" w:cs="Palatino Linotype"/>
          <w:b/>
          <w:sz w:val="22"/>
          <w:szCs w:val="22"/>
        </w:rPr>
        <w:t xml:space="preserve">Recurrente </w:t>
      </w:r>
      <w:r w:rsidRPr="00A42FE8">
        <w:rPr>
          <w:rFonts w:ascii="Palatino Linotype" w:eastAsia="Palatino Linotype" w:hAnsi="Palatino Linotype" w:cs="Palatino Linotype"/>
          <w:sz w:val="22"/>
          <w:szCs w:val="22"/>
        </w:rPr>
        <w:t xml:space="preserve">en fecha </w:t>
      </w:r>
      <w:r w:rsidRPr="00A42FE8">
        <w:rPr>
          <w:rFonts w:ascii="Palatino Linotype" w:eastAsia="Palatino Linotype" w:hAnsi="Palatino Linotype" w:cs="Palatino Linotype"/>
          <w:b/>
          <w:sz w:val="22"/>
          <w:szCs w:val="22"/>
        </w:rPr>
        <w:t>diez de septiembre de dos mil veinticinco</w:t>
      </w:r>
      <w:r w:rsidRPr="00A42FE8">
        <w:rPr>
          <w:rFonts w:ascii="Palatino Linotype" w:eastAsia="Palatino Linotype" w:hAnsi="Palatino Linotype" w:cs="Palatino Linotype"/>
          <w:sz w:val="22"/>
          <w:szCs w:val="22"/>
        </w:rPr>
        <w:t xml:space="preserve">, en términos de la fracción III del artículo 185 de la Ley de Transparencia y Acceso a la Información Pública del Estado de México y Municipios; para que en el término de tres días manifestara lo que a su derecho convenga, sin que el solicitante hiciera manifestación alguna. </w:t>
      </w:r>
    </w:p>
    <w:p w14:paraId="7786CEFB" w14:textId="77777777" w:rsidR="00A045BE" w:rsidRPr="00A42FE8" w:rsidRDefault="00A045BE">
      <w:pPr>
        <w:spacing w:line="360" w:lineRule="auto"/>
        <w:jc w:val="both"/>
        <w:rPr>
          <w:rFonts w:ascii="Palatino Linotype" w:eastAsia="Palatino Linotype" w:hAnsi="Palatino Linotype" w:cs="Palatino Linotype"/>
          <w:sz w:val="22"/>
          <w:szCs w:val="22"/>
        </w:rPr>
      </w:pPr>
    </w:p>
    <w:p w14:paraId="09BF70B1" w14:textId="77777777" w:rsidR="00A045BE" w:rsidRPr="00A42FE8" w:rsidRDefault="00DD7B69">
      <w:pPr>
        <w:widowControl w:val="0"/>
        <w:spacing w:line="360" w:lineRule="auto"/>
        <w:jc w:val="both"/>
        <w:rPr>
          <w:rFonts w:ascii="Palatino Linotype" w:eastAsia="Palatino Linotype" w:hAnsi="Palatino Linotype" w:cs="Palatino Linotype"/>
          <w:sz w:val="22"/>
          <w:szCs w:val="22"/>
        </w:rPr>
      </w:pPr>
      <w:r w:rsidRPr="00A42FE8">
        <w:rPr>
          <w:rFonts w:ascii="Palatino Linotype" w:eastAsia="Palatino Linotype" w:hAnsi="Palatino Linotype" w:cs="Palatino Linotype"/>
          <w:b/>
          <w:sz w:val="22"/>
          <w:szCs w:val="22"/>
        </w:rPr>
        <w:t>7. Ampliación del plazo.</w:t>
      </w:r>
      <w:r w:rsidRPr="00A42FE8">
        <w:rPr>
          <w:rFonts w:ascii="Palatino Linotype" w:eastAsia="Palatino Linotype" w:hAnsi="Palatino Linotype" w:cs="Palatino Linotype"/>
          <w:sz w:val="22"/>
          <w:szCs w:val="22"/>
        </w:rPr>
        <w:t xml:space="preserve"> En fecha </w:t>
      </w:r>
      <w:r w:rsidRPr="00A42FE8">
        <w:rPr>
          <w:rFonts w:ascii="Palatino Linotype" w:eastAsia="Palatino Linotype" w:hAnsi="Palatino Linotype" w:cs="Palatino Linotype"/>
          <w:b/>
          <w:sz w:val="22"/>
          <w:szCs w:val="22"/>
        </w:rPr>
        <w:t>diez de septiembre de dos mil veinticinco</w:t>
      </w:r>
      <w:r w:rsidRPr="00A42FE8">
        <w:rPr>
          <w:rFonts w:ascii="Palatino Linotype" w:eastAsia="Palatino Linotype" w:hAnsi="Palatino Linotype" w:cs="Palatino Linotype"/>
          <w:sz w:val="22"/>
          <w:szCs w:val="22"/>
        </w:rPr>
        <w:t>, con fundamento en el artículo 181, párrafo tercero de la Ley de Transparencia y Acceso a la Información Pública del Estado de México y Municipios, se acordó la ampliación del plazo para su resolución.</w:t>
      </w:r>
    </w:p>
    <w:p w14:paraId="1052F35F" w14:textId="77777777" w:rsidR="00A045BE" w:rsidRPr="00A42FE8" w:rsidRDefault="00DD7B69">
      <w:pPr>
        <w:widowControl w:val="0"/>
        <w:spacing w:line="360" w:lineRule="auto"/>
        <w:jc w:val="both"/>
        <w:rPr>
          <w:rFonts w:ascii="Palatino Linotype" w:eastAsia="Palatino Linotype" w:hAnsi="Palatino Linotype" w:cs="Palatino Linotype"/>
          <w:sz w:val="22"/>
          <w:szCs w:val="22"/>
        </w:rPr>
      </w:pPr>
      <w:r w:rsidRPr="00A42FE8">
        <w:rPr>
          <w:rFonts w:ascii="Palatino Linotype" w:eastAsia="Palatino Linotype" w:hAnsi="Palatino Linotype" w:cs="Palatino Linotype"/>
          <w:sz w:val="22"/>
          <w:szCs w:val="22"/>
        </w:rPr>
        <w:t xml:space="preserve">Este organismo garante no pasa por alto justificar, que el plazo para emitir la resolución en el presente asunto encuentra justificación en el alto número de recursos de revisión </w:t>
      </w:r>
      <w:r w:rsidRPr="00A42FE8">
        <w:rPr>
          <w:rFonts w:ascii="Palatino Linotype" w:eastAsia="Palatino Linotype" w:hAnsi="Palatino Linotype" w:cs="Palatino Linotype"/>
          <w:sz w:val="22"/>
          <w:szCs w:val="22"/>
        </w:rPr>
        <w:lastRenderedPageBreak/>
        <w:t>recibidos, circunstancia atípica que ha rebasado las capacidades técnicas y humanas del personal encargado de la proyección de las resoluciones a dichos medios de impugnación.</w:t>
      </w:r>
    </w:p>
    <w:p w14:paraId="594F3869" w14:textId="77777777" w:rsidR="00A045BE" w:rsidRPr="00A42FE8" w:rsidRDefault="00A045BE">
      <w:pPr>
        <w:spacing w:line="360" w:lineRule="auto"/>
        <w:jc w:val="both"/>
        <w:rPr>
          <w:rFonts w:ascii="Palatino Linotype" w:eastAsia="Palatino Linotype" w:hAnsi="Palatino Linotype" w:cs="Palatino Linotype"/>
          <w:sz w:val="22"/>
          <w:szCs w:val="22"/>
        </w:rPr>
      </w:pPr>
    </w:p>
    <w:p w14:paraId="4F33F720" w14:textId="77777777" w:rsidR="00A045BE" w:rsidRPr="00A42FE8" w:rsidRDefault="00DD7B69">
      <w:pPr>
        <w:spacing w:line="360" w:lineRule="auto"/>
        <w:jc w:val="both"/>
        <w:rPr>
          <w:rFonts w:ascii="Palatino Linotype" w:eastAsia="Palatino Linotype" w:hAnsi="Palatino Linotype" w:cs="Palatino Linotype"/>
          <w:sz w:val="22"/>
          <w:szCs w:val="22"/>
        </w:rPr>
      </w:pPr>
      <w:r w:rsidRPr="00A42FE8">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79C5E72" w14:textId="77777777" w:rsidR="00A045BE" w:rsidRPr="00A42FE8" w:rsidRDefault="00A045BE">
      <w:pPr>
        <w:spacing w:line="360" w:lineRule="auto"/>
        <w:jc w:val="both"/>
        <w:rPr>
          <w:rFonts w:ascii="Palatino Linotype" w:eastAsia="Palatino Linotype" w:hAnsi="Palatino Linotype" w:cs="Palatino Linotype"/>
          <w:sz w:val="22"/>
          <w:szCs w:val="22"/>
        </w:rPr>
      </w:pPr>
    </w:p>
    <w:p w14:paraId="64DFEA64" w14:textId="77777777" w:rsidR="00A045BE" w:rsidRPr="00A42FE8" w:rsidRDefault="00DD7B69">
      <w:pPr>
        <w:spacing w:line="360" w:lineRule="auto"/>
        <w:jc w:val="both"/>
        <w:rPr>
          <w:rFonts w:ascii="Palatino Linotype" w:eastAsia="Palatino Linotype" w:hAnsi="Palatino Linotype" w:cs="Palatino Linotype"/>
          <w:sz w:val="22"/>
          <w:szCs w:val="22"/>
        </w:rPr>
      </w:pPr>
      <w:r w:rsidRPr="00A42FE8">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D2FFA42" w14:textId="77777777" w:rsidR="00A045BE" w:rsidRPr="00A42FE8" w:rsidRDefault="00A045BE">
      <w:pPr>
        <w:spacing w:line="360" w:lineRule="auto"/>
        <w:jc w:val="both"/>
        <w:rPr>
          <w:rFonts w:ascii="Palatino Linotype" w:eastAsia="Palatino Linotype" w:hAnsi="Palatino Linotype" w:cs="Palatino Linotype"/>
          <w:sz w:val="22"/>
          <w:szCs w:val="22"/>
        </w:rPr>
      </w:pPr>
    </w:p>
    <w:p w14:paraId="34A0A073" w14:textId="77777777" w:rsidR="00A045BE" w:rsidRPr="00A42FE8" w:rsidRDefault="00DD7B69">
      <w:pPr>
        <w:spacing w:line="360" w:lineRule="auto"/>
        <w:jc w:val="both"/>
        <w:rPr>
          <w:rFonts w:ascii="Palatino Linotype" w:eastAsia="Palatino Linotype" w:hAnsi="Palatino Linotype" w:cs="Palatino Linotype"/>
          <w:sz w:val="22"/>
          <w:szCs w:val="22"/>
        </w:rPr>
      </w:pPr>
      <w:r w:rsidRPr="00A42FE8">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13839F7" w14:textId="77777777" w:rsidR="00A045BE" w:rsidRPr="00A42FE8" w:rsidRDefault="00A045BE">
      <w:pPr>
        <w:spacing w:line="360" w:lineRule="auto"/>
        <w:jc w:val="both"/>
        <w:rPr>
          <w:rFonts w:ascii="Palatino Linotype" w:eastAsia="Palatino Linotype" w:hAnsi="Palatino Linotype" w:cs="Palatino Linotype"/>
          <w:sz w:val="22"/>
          <w:szCs w:val="22"/>
        </w:rPr>
      </w:pPr>
    </w:p>
    <w:p w14:paraId="35147892" w14:textId="77777777" w:rsidR="00A045BE" w:rsidRPr="00A42FE8" w:rsidRDefault="00DD7B69">
      <w:pPr>
        <w:spacing w:line="360" w:lineRule="auto"/>
        <w:jc w:val="both"/>
        <w:rPr>
          <w:rFonts w:ascii="Palatino Linotype" w:eastAsia="Palatino Linotype" w:hAnsi="Palatino Linotype" w:cs="Palatino Linotype"/>
          <w:strike/>
          <w:sz w:val="22"/>
          <w:szCs w:val="22"/>
        </w:rPr>
      </w:pPr>
      <w:r w:rsidRPr="00A42FE8">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6D624996" w14:textId="77777777" w:rsidR="00A045BE" w:rsidRPr="00A42FE8" w:rsidRDefault="00A045BE">
      <w:pPr>
        <w:spacing w:line="360" w:lineRule="auto"/>
        <w:jc w:val="both"/>
        <w:rPr>
          <w:rFonts w:ascii="Palatino Linotype" w:eastAsia="Palatino Linotype" w:hAnsi="Palatino Linotype" w:cs="Palatino Linotype"/>
          <w:sz w:val="22"/>
          <w:szCs w:val="22"/>
        </w:rPr>
      </w:pPr>
    </w:p>
    <w:p w14:paraId="6EADE372" w14:textId="77777777" w:rsidR="00A045BE" w:rsidRPr="00A42FE8" w:rsidRDefault="00DD7B69">
      <w:pPr>
        <w:numPr>
          <w:ilvl w:val="0"/>
          <w:numId w:val="1"/>
        </w:numPr>
        <w:ind w:left="851"/>
        <w:jc w:val="both"/>
        <w:rPr>
          <w:rFonts w:ascii="Palatino Linotype" w:eastAsia="Palatino Linotype" w:hAnsi="Palatino Linotype" w:cs="Palatino Linotype"/>
          <w:sz w:val="22"/>
          <w:szCs w:val="22"/>
        </w:rPr>
      </w:pPr>
      <w:r w:rsidRPr="00A42FE8">
        <w:rPr>
          <w:rFonts w:ascii="Palatino Linotype" w:eastAsia="Palatino Linotype" w:hAnsi="Palatino Linotype" w:cs="Palatino Linotype"/>
          <w:sz w:val="22"/>
          <w:szCs w:val="22"/>
        </w:rPr>
        <w:t xml:space="preserve">Complejidad del Asunto: La complejidad de la prueba, la pluralidad de sujetos procesales, el tiempo transcurrido, las características y contexto del recurso. </w:t>
      </w:r>
    </w:p>
    <w:p w14:paraId="1FFB723E" w14:textId="77777777" w:rsidR="00A045BE" w:rsidRPr="00A42FE8" w:rsidRDefault="00A045BE">
      <w:pPr>
        <w:ind w:left="851" w:hanging="360"/>
        <w:jc w:val="both"/>
        <w:rPr>
          <w:rFonts w:ascii="Palatino Linotype" w:eastAsia="Palatino Linotype" w:hAnsi="Palatino Linotype" w:cs="Palatino Linotype"/>
          <w:sz w:val="22"/>
          <w:szCs w:val="22"/>
        </w:rPr>
      </w:pPr>
    </w:p>
    <w:p w14:paraId="0C5A88AC" w14:textId="77777777" w:rsidR="00A045BE" w:rsidRPr="00A42FE8" w:rsidRDefault="00DD7B69">
      <w:pPr>
        <w:numPr>
          <w:ilvl w:val="0"/>
          <w:numId w:val="1"/>
        </w:numPr>
        <w:ind w:left="851"/>
        <w:jc w:val="both"/>
        <w:rPr>
          <w:rFonts w:ascii="Palatino Linotype" w:eastAsia="Palatino Linotype" w:hAnsi="Palatino Linotype" w:cs="Palatino Linotype"/>
          <w:sz w:val="22"/>
          <w:szCs w:val="22"/>
        </w:rPr>
      </w:pPr>
      <w:r w:rsidRPr="00A42FE8">
        <w:rPr>
          <w:rFonts w:ascii="Palatino Linotype" w:eastAsia="Palatino Linotype" w:hAnsi="Palatino Linotype" w:cs="Palatino Linotype"/>
          <w:sz w:val="22"/>
          <w:szCs w:val="22"/>
        </w:rPr>
        <w:lastRenderedPageBreak/>
        <w:t>Actividad Procesal del interesado. Acciones u omisiones del interesado.</w:t>
      </w:r>
    </w:p>
    <w:p w14:paraId="0839E14A" w14:textId="77777777" w:rsidR="00A045BE" w:rsidRPr="00A42FE8" w:rsidRDefault="00A045BE">
      <w:pPr>
        <w:ind w:left="851" w:hanging="360"/>
        <w:jc w:val="both"/>
        <w:rPr>
          <w:rFonts w:ascii="Palatino Linotype" w:eastAsia="Palatino Linotype" w:hAnsi="Palatino Linotype" w:cs="Palatino Linotype"/>
          <w:sz w:val="22"/>
          <w:szCs w:val="22"/>
        </w:rPr>
      </w:pPr>
    </w:p>
    <w:p w14:paraId="2F848D34" w14:textId="77777777" w:rsidR="00A045BE" w:rsidRPr="00A42FE8" w:rsidRDefault="00DD7B69">
      <w:pPr>
        <w:numPr>
          <w:ilvl w:val="0"/>
          <w:numId w:val="1"/>
        </w:numPr>
        <w:ind w:left="851"/>
        <w:jc w:val="both"/>
        <w:rPr>
          <w:rFonts w:ascii="Palatino Linotype" w:eastAsia="Palatino Linotype" w:hAnsi="Palatino Linotype" w:cs="Palatino Linotype"/>
          <w:sz w:val="22"/>
          <w:szCs w:val="22"/>
        </w:rPr>
      </w:pPr>
      <w:r w:rsidRPr="00A42FE8">
        <w:rPr>
          <w:rFonts w:ascii="Palatino Linotype" w:eastAsia="Palatino Linotype" w:hAnsi="Palatino Linotype" w:cs="Palatino Linotype"/>
          <w:sz w:val="22"/>
          <w:szCs w:val="22"/>
        </w:rPr>
        <w:t>Conducta de la Autoridad: Las Acciones u omisiones realizadas en el procedimiento. Así como si la autoridad actuó con la debida diligencia.</w:t>
      </w:r>
    </w:p>
    <w:p w14:paraId="0B29DC03" w14:textId="77777777" w:rsidR="00A045BE" w:rsidRPr="00A42FE8" w:rsidRDefault="00A045BE">
      <w:pPr>
        <w:ind w:left="851" w:hanging="360"/>
        <w:rPr>
          <w:rFonts w:ascii="Palatino Linotype" w:eastAsia="Palatino Linotype" w:hAnsi="Palatino Linotype" w:cs="Palatino Linotype"/>
          <w:sz w:val="22"/>
          <w:szCs w:val="22"/>
        </w:rPr>
      </w:pPr>
    </w:p>
    <w:p w14:paraId="5FEA0394" w14:textId="77777777" w:rsidR="00A045BE" w:rsidRPr="00A42FE8" w:rsidRDefault="00DD7B69">
      <w:pPr>
        <w:ind w:left="851" w:hanging="360"/>
        <w:jc w:val="both"/>
        <w:rPr>
          <w:rFonts w:ascii="Palatino Linotype" w:eastAsia="Palatino Linotype" w:hAnsi="Palatino Linotype" w:cs="Palatino Linotype"/>
          <w:sz w:val="22"/>
          <w:szCs w:val="22"/>
        </w:rPr>
      </w:pPr>
      <w:r w:rsidRPr="00A42FE8">
        <w:rPr>
          <w:rFonts w:ascii="Palatino Linotype" w:eastAsia="Palatino Linotype" w:hAnsi="Palatino Linotype" w:cs="Palatino Linotype"/>
          <w:sz w:val="22"/>
          <w:szCs w:val="22"/>
        </w:rPr>
        <w:t>d) La afectación generada en la situación jurídica de la persona involucrada en el proceso: Violación a sus derechos humanos.</w:t>
      </w:r>
    </w:p>
    <w:p w14:paraId="2F983037" w14:textId="77777777" w:rsidR="00A045BE" w:rsidRPr="00A42FE8" w:rsidRDefault="00A045BE">
      <w:pPr>
        <w:spacing w:line="360" w:lineRule="auto"/>
        <w:jc w:val="both"/>
        <w:rPr>
          <w:rFonts w:ascii="Palatino Linotype" w:eastAsia="Palatino Linotype" w:hAnsi="Palatino Linotype" w:cs="Palatino Linotype"/>
          <w:sz w:val="22"/>
          <w:szCs w:val="22"/>
        </w:rPr>
      </w:pPr>
    </w:p>
    <w:p w14:paraId="7C7E7396" w14:textId="77777777" w:rsidR="00A045BE" w:rsidRPr="00A42FE8" w:rsidRDefault="00DD7B69">
      <w:pPr>
        <w:spacing w:line="360" w:lineRule="auto"/>
        <w:jc w:val="both"/>
        <w:rPr>
          <w:rFonts w:ascii="Palatino Linotype" w:eastAsia="Palatino Linotype" w:hAnsi="Palatino Linotype" w:cs="Palatino Linotype"/>
          <w:sz w:val="22"/>
          <w:szCs w:val="22"/>
        </w:rPr>
      </w:pPr>
      <w:r w:rsidRPr="00A42FE8">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A2537E2" w14:textId="77777777" w:rsidR="00A045BE" w:rsidRPr="00A42FE8" w:rsidRDefault="00A045BE">
      <w:pPr>
        <w:spacing w:line="360" w:lineRule="auto"/>
        <w:jc w:val="both"/>
        <w:rPr>
          <w:rFonts w:ascii="Palatino Linotype" w:eastAsia="Palatino Linotype" w:hAnsi="Palatino Linotype" w:cs="Palatino Linotype"/>
          <w:sz w:val="22"/>
          <w:szCs w:val="22"/>
        </w:rPr>
      </w:pPr>
    </w:p>
    <w:p w14:paraId="20DD8C48" w14:textId="77777777" w:rsidR="00A045BE" w:rsidRPr="00A42FE8" w:rsidRDefault="00DD7B69">
      <w:pPr>
        <w:spacing w:line="360" w:lineRule="auto"/>
        <w:jc w:val="both"/>
        <w:rPr>
          <w:rFonts w:ascii="Palatino Linotype" w:eastAsia="Palatino Linotype" w:hAnsi="Palatino Linotype" w:cs="Palatino Linotype"/>
          <w:b/>
          <w:sz w:val="22"/>
          <w:szCs w:val="22"/>
        </w:rPr>
      </w:pPr>
      <w:r w:rsidRPr="00A42FE8">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A42FE8">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A42FE8">
        <w:rPr>
          <w:rFonts w:ascii="Palatino Linotype" w:eastAsia="Palatino Linotype" w:hAnsi="Palatino Linotype" w:cs="Palatino Linotype"/>
          <w:sz w:val="22"/>
          <w:szCs w:val="22"/>
        </w:rPr>
        <w:t>, visible en la Gaceta del Seminario Judicial de la Federación con el registro digital 205635.</w:t>
      </w:r>
    </w:p>
    <w:p w14:paraId="6E5B5BF4" w14:textId="77777777" w:rsidR="00A045BE" w:rsidRPr="00A42FE8" w:rsidRDefault="00A045BE">
      <w:pPr>
        <w:spacing w:line="360" w:lineRule="auto"/>
        <w:jc w:val="both"/>
        <w:rPr>
          <w:rFonts w:ascii="Palatino Linotype" w:eastAsia="Palatino Linotype" w:hAnsi="Palatino Linotype" w:cs="Palatino Linotype"/>
          <w:sz w:val="22"/>
          <w:szCs w:val="22"/>
        </w:rPr>
      </w:pPr>
    </w:p>
    <w:p w14:paraId="41E38984" w14:textId="77777777" w:rsidR="00A045BE" w:rsidRPr="00A42FE8" w:rsidRDefault="00DD7B69">
      <w:pPr>
        <w:spacing w:line="360" w:lineRule="auto"/>
        <w:jc w:val="both"/>
        <w:rPr>
          <w:rFonts w:ascii="Palatino Linotype" w:eastAsia="Palatino Linotype" w:hAnsi="Palatino Linotype" w:cs="Palatino Linotype"/>
          <w:sz w:val="22"/>
          <w:szCs w:val="22"/>
        </w:rPr>
      </w:pPr>
      <w:r w:rsidRPr="00A42FE8">
        <w:rPr>
          <w:rFonts w:ascii="Palatino Linotype" w:eastAsia="Palatino Linotype" w:hAnsi="Palatino Linotype" w:cs="Palatino Linotype"/>
          <w:sz w:val="22"/>
          <w:szCs w:val="22"/>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w:t>
      </w:r>
      <w:r w:rsidRPr="00A42FE8">
        <w:rPr>
          <w:rFonts w:ascii="Palatino Linotype" w:eastAsia="Palatino Linotype" w:hAnsi="Palatino Linotype" w:cs="Palatino Linotype"/>
          <w:sz w:val="22"/>
          <w:szCs w:val="22"/>
        </w:rPr>
        <w:lastRenderedPageBreak/>
        <w:t>recursos dentro de los términos legales previamente establecidos por la Ley, por tratarse de causas de fuerza mayor.</w:t>
      </w:r>
    </w:p>
    <w:p w14:paraId="511F59C1" w14:textId="77777777" w:rsidR="00A045BE" w:rsidRPr="00A42FE8" w:rsidRDefault="00A045BE">
      <w:pPr>
        <w:spacing w:line="360" w:lineRule="auto"/>
        <w:jc w:val="both"/>
        <w:rPr>
          <w:rFonts w:ascii="Palatino Linotype" w:eastAsia="Palatino Linotype" w:hAnsi="Palatino Linotype" w:cs="Palatino Linotype"/>
          <w:sz w:val="22"/>
          <w:szCs w:val="22"/>
        </w:rPr>
      </w:pPr>
    </w:p>
    <w:p w14:paraId="3AC321EC" w14:textId="77777777" w:rsidR="00A045BE" w:rsidRPr="00A42FE8" w:rsidRDefault="00DD7B69">
      <w:pPr>
        <w:spacing w:line="360" w:lineRule="auto"/>
        <w:jc w:val="both"/>
        <w:rPr>
          <w:rFonts w:ascii="Palatino Linotype" w:eastAsia="Palatino Linotype" w:hAnsi="Palatino Linotype" w:cs="Palatino Linotype"/>
          <w:sz w:val="22"/>
          <w:szCs w:val="22"/>
        </w:rPr>
      </w:pPr>
      <w:r w:rsidRPr="00A42FE8">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6AF92848" w14:textId="77777777" w:rsidR="00A045BE" w:rsidRPr="00A42FE8" w:rsidRDefault="00A045BE">
      <w:pPr>
        <w:spacing w:line="360" w:lineRule="auto"/>
        <w:jc w:val="both"/>
        <w:rPr>
          <w:rFonts w:ascii="Palatino Linotype" w:eastAsia="Palatino Linotype" w:hAnsi="Palatino Linotype" w:cs="Palatino Linotype"/>
          <w:sz w:val="22"/>
          <w:szCs w:val="22"/>
        </w:rPr>
      </w:pPr>
    </w:p>
    <w:p w14:paraId="738B5248" w14:textId="77777777" w:rsidR="00A045BE" w:rsidRPr="00A42FE8" w:rsidRDefault="00DD7B69">
      <w:pPr>
        <w:spacing w:line="276" w:lineRule="auto"/>
        <w:ind w:left="851" w:right="616"/>
        <w:jc w:val="both"/>
        <w:rPr>
          <w:rFonts w:ascii="Palatino Linotype" w:eastAsia="Palatino Linotype" w:hAnsi="Palatino Linotype" w:cs="Palatino Linotype"/>
          <w:sz w:val="22"/>
          <w:szCs w:val="22"/>
        </w:rPr>
      </w:pPr>
      <w:r w:rsidRPr="00A42FE8">
        <w:rPr>
          <w:rFonts w:ascii="Palatino Linotype" w:eastAsia="Palatino Linotype" w:hAnsi="Palatino Linotype" w:cs="Palatino Linotype"/>
          <w:i/>
          <w:sz w:val="22"/>
          <w:szCs w:val="22"/>
        </w:rPr>
        <w:t>“PLAZO RAZONABLE PARA RESOLVER. DIMENSIÓN Y EFECTOS DE ESTE CONCEPTO CUANDO SE ADUCE EXCESIVA CARGA DE TRABAJO.”</w:t>
      </w:r>
      <w:r w:rsidRPr="00A42FE8">
        <w:rPr>
          <w:rFonts w:ascii="Palatino Linotype" w:eastAsia="Palatino Linotype" w:hAnsi="Palatino Linotype" w:cs="Palatino Linotype"/>
          <w:sz w:val="22"/>
          <w:szCs w:val="22"/>
        </w:rPr>
        <w:t xml:space="preserve"> consultable en el Seminario Judicial de la Federación y su gaceta, con el registro digital 2002351.</w:t>
      </w:r>
    </w:p>
    <w:p w14:paraId="42E08560" w14:textId="77777777" w:rsidR="00A045BE" w:rsidRPr="00A42FE8" w:rsidRDefault="00A045BE">
      <w:pPr>
        <w:spacing w:line="276" w:lineRule="auto"/>
        <w:ind w:left="851" w:right="616"/>
        <w:jc w:val="both"/>
        <w:rPr>
          <w:rFonts w:ascii="Palatino Linotype" w:eastAsia="Palatino Linotype" w:hAnsi="Palatino Linotype" w:cs="Palatino Linotype"/>
          <w:b/>
          <w:sz w:val="22"/>
          <w:szCs w:val="22"/>
        </w:rPr>
      </w:pPr>
    </w:p>
    <w:p w14:paraId="3A697909" w14:textId="77777777" w:rsidR="00A045BE" w:rsidRPr="00A42FE8" w:rsidRDefault="00DD7B69">
      <w:pPr>
        <w:spacing w:line="276" w:lineRule="auto"/>
        <w:ind w:left="851" w:right="616"/>
        <w:jc w:val="both"/>
        <w:rPr>
          <w:rFonts w:ascii="Palatino Linotype" w:eastAsia="Palatino Linotype" w:hAnsi="Palatino Linotype" w:cs="Palatino Linotype"/>
          <w:sz w:val="22"/>
          <w:szCs w:val="22"/>
        </w:rPr>
      </w:pPr>
      <w:r w:rsidRPr="00A42FE8">
        <w:rPr>
          <w:rFonts w:ascii="Palatino Linotype" w:eastAsia="Palatino Linotype" w:hAnsi="Palatino Linotype" w:cs="Palatino Linotype"/>
          <w:i/>
          <w:sz w:val="22"/>
          <w:szCs w:val="22"/>
        </w:rPr>
        <w:t>“PLAZO RAZONABLE PARA RESOLVER. CONCEPTO Y ELEMENTOS QUE LO INTEGRAN A LA LUZ DEL DERECHO INTERNACIONAL DE LOS DERECHOS HUMANOS.”</w:t>
      </w:r>
      <w:r w:rsidRPr="00A42FE8">
        <w:rPr>
          <w:rFonts w:ascii="Palatino Linotype" w:eastAsia="Palatino Linotype" w:hAnsi="Palatino Linotype" w:cs="Palatino Linotype"/>
          <w:sz w:val="22"/>
          <w:szCs w:val="22"/>
        </w:rPr>
        <w:t>, visible en el Seminario Judicial de la Federación y su gaceta, con el registro digital 2002350.</w:t>
      </w:r>
    </w:p>
    <w:p w14:paraId="7B551AD8" w14:textId="77777777" w:rsidR="00A045BE" w:rsidRPr="00A42FE8" w:rsidRDefault="00A045BE">
      <w:pPr>
        <w:spacing w:line="360" w:lineRule="auto"/>
        <w:jc w:val="both"/>
        <w:rPr>
          <w:rFonts w:ascii="Palatino Linotype" w:eastAsia="Palatino Linotype" w:hAnsi="Palatino Linotype" w:cs="Palatino Linotype"/>
          <w:sz w:val="22"/>
          <w:szCs w:val="22"/>
        </w:rPr>
      </w:pPr>
    </w:p>
    <w:p w14:paraId="0AF3C2BD" w14:textId="77777777" w:rsidR="00A045BE" w:rsidRPr="00A42FE8" w:rsidRDefault="00DD7B69">
      <w:pPr>
        <w:spacing w:line="360" w:lineRule="auto"/>
        <w:jc w:val="both"/>
        <w:rPr>
          <w:rFonts w:ascii="Palatino Linotype" w:eastAsia="Palatino Linotype" w:hAnsi="Palatino Linotype" w:cs="Palatino Linotype"/>
          <w:sz w:val="22"/>
          <w:szCs w:val="22"/>
        </w:rPr>
      </w:pPr>
      <w:r w:rsidRPr="00A42FE8">
        <w:rPr>
          <w:rFonts w:ascii="Palatino Linotype" w:eastAsia="Palatino Linotype" w:hAnsi="Palatino Linotype" w:cs="Palatino Linotype"/>
          <w:sz w:val="22"/>
          <w:szCs w:val="22"/>
        </w:rPr>
        <w:t>Por ello, este organismo garante comprometido con la tutela de los derechos humanos confiados, señala que este exceso de plazo legal para resolver el presente asunto, resulta de carácter excepcional.</w:t>
      </w:r>
    </w:p>
    <w:p w14:paraId="44828049" w14:textId="77777777" w:rsidR="00A045BE" w:rsidRPr="00A42FE8" w:rsidRDefault="00A045BE">
      <w:pPr>
        <w:spacing w:line="360" w:lineRule="auto"/>
        <w:jc w:val="both"/>
        <w:rPr>
          <w:rFonts w:ascii="Palatino Linotype" w:eastAsia="Palatino Linotype" w:hAnsi="Palatino Linotype" w:cs="Palatino Linotype"/>
          <w:sz w:val="22"/>
          <w:szCs w:val="22"/>
        </w:rPr>
      </w:pPr>
    </w:p>
    <w:p w14:paraId="5D805020" w14:textId="77777777" w:rsidR="00A045BE" w:rsidRPr="00A42FE8" w:rsidRDefault="00DD7B69">
      <w:pPr>
        <w:spacing w:line="360" w:lineRule="auto"/>
        <w:jc w:val="both"/>
        <w:rPr>
          <w:rFonts w:ascii="Palatino Linotype" w:eastAsia="Palatino Linotype" w:hAnsi="Palatino Linotype" w:cs="Palatino Linotype"/>
          <w:sz w:val="22"/>
          <w:szCs w:val="22"/>
        </w:rPr>
      </w:pPr>
      <w:r w:rsidRPr="00A42FE8">
        <w:rPr>
          <w:rFonts w:ascii="Palatino Linotype" w:eastAsia="Palatino Linotype" w:hAnsi="Palatino Linotype" w:cs="Palatino Linotype"/>
          <w:b/>
          <w:sz w:val="22"/>
          <w:szCs w:val="22"/>
        </w:rPr>
        <w:t xml:space="preserve">8. Cierre de instrucción. </w:t>
      </w:r>
      <w:r w:rsidRPr="00A42FE8">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0086410C" w:rsidRPr="00A42FE8">
        <w:rPr>
          <w:rFonts w:ascii="Palatino Linotype" w:eastAsia="Palatino Linotype" w:hAnsi="Palatino Linotype" w:cs="Palatino Linotype"/>
          <w:b/>
          <w:sz w:val="22"/>
          <w:szCs w:val="22"/>
        </w:rPr>
        <w:t>dieciocho</w:t>
      </w:r>
      <w:r w:rsidRPr="00A42FE8">
        <w:rPr>
          <w:rFonts w:ascii="Palatino Linotype" w:eastAsia="Palatino Linotype" w:hAnsi="Palatino Linotype" w:cs="Palatino Linotype"/>
          <w:b/>
          <w:sz w:val="22"/>
          <w:szCs w:val="22"/>
        </w:rPr>
        <w:t xml:space="preserve"> de septiembre de dos mil veinticinco</w:t>
      </w:r>
      <w:r w:rsidRPr="00A42FE8">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1E8ED323" w14:textId="77777777" w:rsidR="00A045BE" w:rsidRPr="00A42FE8" w:rsidRDefault="00A045BE">
      <w:pPr>
        <w:spacing w:line="360" w:lineRule="auto"/>
        <w:jc w:val="both"/>
        <w:rPr>
          <w:rFonts w:ascii="Palatino Linotype" w:eastAsia="Palatino Linotype" w:hAnsi="Palatino Linotype" w:cs="Palatino Linotype"/>
          <w:sz w:val="22"/>
          <w:szCs w:val="22"/>
        </w:rPr>
      </w:pPr>
    </w:p>
    <w:p w14:paraId="6846B4B0" w14:textId="77777777" w:rsidR="00A045BE" w:rsidRPr="00A42FE8" w:rsidRDefault="00DD7B69">
      <w:pPr>
        <w:spacing w:line="360" w:lineRule="auto"/>
        <w:jc w:val="both"/>
        <w:rPr>
          <w:rFonts w:ascii="Palatino Linotype" w:eastAsia="Palatino Linotype" w:hAnsi="Palatino Linotype" w:cs="Palatino Linotype"/>
          <w:sz w:val="22"/>
          <w:szCs w:val="22"/>
        </w:rPr>
      </w:pPr>
      <w:r w:rsidRPr="00A42FE8">
        <w:rPr>
          <w:rFonts w:ascii="Palatino Linotype" w:eastAsia="Palatino Linotype" w:hAnsi="Palatino Linotype" w:cs="Palatino Linotype"/>
          <w:sz w:val="22"/>
          <w:szCs w:val="22"/>
        </w:rPr>
        <w:lastRenderedPageBreak/>
        <w:t xml:space="preserve">En razón de que fue debidamente sustanciado el expediente electrónico y no existe diligencia pendiente de desahogo, se emite la Resolución que conforme a Derecho proceda, de acuerdo con los siguientes: </w:t>
      </w:r>
    </w:p>
    <w:p w14:paraId="7B8EAF02" w14:textId="77777777" w:rsidR="00A045BE" w:rsidRPr="00A42FE8" w:rsidRDefault="00A045BE">
      <w:pPr>
        <w:spacing w:line="360" w:lineRule="auto"/>
        <w:jc w:val="both"/>
        <w:rPr>
          <w:rFonts w:ascii="Palatino Linotype" w:eastAsia="Palatino Linotype" w:hAnsi="Palatino Linotype" w:cs="Palatino Linotype"/>
          <w:sz w:val="22"/>
          <w:szCs w:val="22"/>
        </w:rPr>
      </w:pPr>
    </w:p>
    <w:p w14:paraId="2BDCCF39" w14:textId="77777777" w:rsidR="00A045BE" w:rsidRPr="00A42FE8" w:rsidRDefault="00DD7B69">
      <w:pPr>
        <w:widowControl w:val="0"/>
        <w:spacing w:line="360" w:lineRule="auto"/>
        <w:jc w:val="center"/>
        <w:rPr>
          <w:rFonts w:ascii="Palatino Linotype" w:eastAsia="Palatino Linotype" w:hAnsi="Palatino Linotype" w:cs="Palatino Linotype"/>
          <w:b/>
          <w:sz w:val="22"/>
          <w:szCs w:val="22"/>
        </w:rPr>
      </w:pPr>
      <w:r w:rsidRPr="00A42FE8">
        <w:rPr>
          <w:rFonts w:ascii="Palatino Linotype" w:eastAsia="Palatino Linotype" w:hAnsi="Palatino Linotype" w:cs="Palatino Linotype"/>
          <w:b/>
          <w:sz w:val="22"/>
          <w:szCs w:val="22"/>
        </w:rPr>
        <w:t>II. C O N S I D E R A N D O S</w:t>
      </w:r>
    </w:p>
    <w:p w14:paraId="51067BF9" w14:textId="77777777" w:rsidR="00A045BE" w:rsidRPr="00A42FE8" w:rsidRDefault="00A045BE">
      <w:pPr>
        <w:widowControl w:val="0"/>
        <w:spacing w:line="360" w:lineRule="auto"/>
        <w:jc w:val="center"/>
        <w:rPr>
          <w:rFonts w:ascii="Palatino Linotype" w:eastAsia="Palatino Linotype" w:hAnsi="Palatino Linotype" w:cs="Palatino Linotype"/>
          <w:b/>
          <w:sz w:val="22"/>
          <w:szCs w:val="22"/>
        </w:rPr>
      </w:pPr>
    </w:p>
    <w:p w14:paraId="00CED721" w14:textId="77777777" w:rsidR="00A045BE" w:rsidRPr="00A42FE8" w:rsidRDefault="00DD7B69">
      <w:pPr>
        <w:spacing w:line="360" w:lineRule="auto"/>
        <w:jc w:val="both"/>
        <w:rPr>
          <w:rFonts w:ascii="Palatino Linotype" w:eastAsia="Palatino Linotype" w:hAnsi="Palatino Linotype" w:cs="Palatino Linotype"/>
          <w:sz w:val="22"/>
          <w:szCs w:val="22"/>
        </w:rPr>
      </w:pPr>
      <w:r w:rsidRPr="00A42FE8">
        <w:rPr>
          <w:rFonts w:ascii="Palatino Linotype" w:eastAsia="Palatino Linotype" w:hAnsi="Palatino Linotype" w:cs="Palatino Linotype"/>
          <w:b/>
          <w:sz w:val="22"/>
          <w:szCs w:val="22"/>
        </w:rPr>
        <w:t>Primero. Competencia.</w:t>
      </w:r>
      <w:r w:rsidRPr="00A42FE8">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A1FAE09" w14:textId="77777777" w:rsidR="00A045BE" w:rsidRPr="00A42FE8" w:rsidRDefault="00A045BE">
      <w:pPr>
        <w:spacing w:line="360" w:lineRule="auto"/>
        <w:jc w:val="both"/>
        <w:rPr>
          <w:rFonts w:ascii="Palatino Linotype" w:eastAsia="Palatino Linotype" w:hAnsi="Palatino Linotype" w:cs="Palatino Linotype"/>
          <w:sz w:val="22"/>
          <w:szCs w:val="22"/>
        </w:rPr>
      </w:pPr>
    </w:p>
    <w:p w14:paraId="4C6446B8" w14:textId="77777777" w:rsidR="00A045BE" w:rsidRPr="00A42FE8" w:rsidRDefault="00DD7B69">
      <w:pPr>
        <w:spacing w:line="360" w:lineRule="auto"/>
        <w:ind w:right="49"/>
        <w:jc w:val="both"/>
        <w:rPr>
          <w:rFonts w:ascii="Palatino Linotype" w:eastAsia="Palatino Linotype" w:hAnsi="Palatino Linotype" w:cs="Palatino Linotype"/>
          <w:sz w:val="22"/>
          <w:szCs w:val="22"/>
        </w:rPr>
      </w:pPr>
      <w:bookmarkStart w:id="2" w:name="_heading=h.tyjcwt" w:colFirst="0" w:colLast="0"/>
      <w:bookmarkEnd w:id="2"/>
      <w:r w:rsidRPr="00A42FE8">
        <w:rPr>
          <w:rFonts w:ascii="Palatino Linotype" w:eastAsia="Palatino Linotype" w:hAnsi="Palatino Linotype" w:cs="Palatino Linotype"/>
          <w:b/>
          <w:sz w:val="22"/>
          <w:szCs w:val="22"/>
        </w:rPr>
        <w:t xml:space="preserve">Segundo. Oportunidad y Procedibilidad del Recurso de Revisión. </w:t>
      </w:r>
      <w:r w:rsidRPr="00A42FE8">
        <w:rPr>
          <w:rFonts w:ascii="Palatino Linotype" w:eastAsia="Palatino Linotype" w:hAnsi="Palatino Linotype" w:cs="Palatino Linotype"/>
          <w:sz w:val="22"/>
          <w:szCs w:val="22"/>
        </w:rPr>
        <w:t xml:space="preserve">De conformidad con los requisitos de Oportunidad y Procedibilidad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A42FE8">
        <w:rPr>
          <w:rFonts w:ascii="Palatino Linotype" w:eastAsia="Palatino Linotype" w:hAnsi="Palatino Linotype" w:cs="Palatino Linotype"/>
          <w:b/>
          <w:sz w:val="22"/>
          <w:szCs w:val="22"/>
        </w:rPr>
        <w:t>Sujeto Obligado</w:t>
      </w:r>
      <w:r w:rsidRPr="00A42FE8">
        <w:rPr>
          <w:rFonts w:ascii="Palatino Linotype" w:eastAsia="Palatino Linotype" w:hAnsi="Palatino Linotype" w:cs="Palatino Linotype"/>
          <w:sz w:val="22"/>
          <w:szCs w:val="22"/>
        </w:rPr>
        <w:t xml:space="preserve"> emitió su respuesta a la solicitud planteada por el solicitante el </w:t>
      </w:r>
      <w:r w:rsidRPr="00A42FE8">
        <w:rPr>
          <w:rFonts w:ascii="Palatino Linotype" w:eastAsia="Palatino Linotype" w:hAnsi="Palatino Linotype" w:cs="Palatino Linotype"/>
          <w:b/>
          <w:sz w:val="22"/>
          <w:szCs w:val="22"/>
        </w:rPr>
        <w:t>trece de mayo de dos mil veinticinco</w:t>
      </w:r>
      <w:r w:rsidRPr="00A42FE8">
        <w:rPr>
          <w:rFonts w:ascii="Palatino Linotype" w:eastAsia="Palatino Linotype" w:hAnsi="Palatino Linotype" w:cs="Palatino Linotype"/>
          <w:sz w:val="22"/>
          <w:szCs w:val="22"/>
        </w:rPr>
        <w:t xml:space="preserve"> y la parte </w:t>
      </w:r>
      <w:r w:rsidRPr="00A42FE8">
        <w:rPr>
          <w:rFonts w:ascii="Palatino Linotype" w:eastAsia="Palatino Linotype" w:hAnsi="Palatino Linotype" w:cs="Palatino Linotype"/>
          <w:b/>
          <w:sz w:val="22"/>
          <w:szCs w:val="22"/>
        </w:rPr>
        <w:lastRenderedPageBreak/>
        <w:t>Recurrente</w:t>
      </w:r>
      <w:r w:rsidRPr="00A42FE8">
        <w:rPr>
          <w:rFonts w:ascii="Palatino Linotype" w:eastAsia="Palatino Linotype" w:hAnsi="Palatino Linotype" w:cs="Palatino Linotype"/>
          <w:sz w:val="22"/>
          <w:szCs w:val="22"/>
        </w:rPr>
        <w:t xml:space="preserve"> presentó su recurso de revisión el </w:t>
      </w:r>
      <w:r w:rsidRPr="00A42FE8">
        <w:rPr>
          <w:rFonts w:ascii="Palatino Linotype" w:eastAsia="Palatino Linotype" w:hAnsi="Palatino Linotype" w:cs="Palatino Linotype"/>
          <w:b/>
          <w:sz w:val="22"/>
          <w:szCs w:val="22"/>
        </w:rPr>
        <w:t>trece de mayo de dos mil veinticinco</w:t>
      </w:r>
      <w:r w:rsidRPr="00A42FE8">
        <w:rPr>
          <w:rFonts w:ascii="Palatino Linotype" w:eastAsia="Palatino Linotype" w:hAnsi="Palatino Linotype" w:cs="Palatino Linotype"/>
          <w:sz w:val="22"/>
          <w:szCs w:val="22"/>
        </w:rPr>
        <w:t>, esto es mismo día del conocimiento de la respuesta.</w:t>
      </w:r>
    </w:p>
    <w:p w14:paraId="3DF9CFB5" w14:textId="77777777" w:rsidR="00A045BE" w:rsidRPr="00A42FE8" w:rsidRDefault="00A045BE">
      <w:pPr>
        <w:spacing w:line="360" w:lineRule="auto"/>
        <w:ind w:right="49"/>
        <w:jc w:val="both"/>
        <w:rPr>
          <w:rFonts w:ascii="Palatino Linotype" w:eastAsia="Palatino Linotype" w:hAnsi="Palatino Linotype" w:cs="Palatino Linotype"/>
          <w:sz w:val="22"/>
          <w:szCs w:val="22"/>
        </w:rPr>
      </w:pPr>
    </w:p>
    <w:p w14:paraId="33A2203B" w14:textId="77777777" w:rsidR="00A045BE" w:rsidRPr="00A42FE8" w:rsidRDefault="00DD7B69">
      <w:pPr>
        <w:spacing w:line="360" w:lineRule="auto"/>
        <w:jc w:val="both"/>
        <w:rPr>
          <w:rFonts w:ascii="Palatino Linotype" w:eastAsia="Palatino Linotype" w:hAnsi="Palatino Linotype" w:cs="Palatino Linotype"/>
          <w:sz w:val="22"/>
          <w:szCs w:val="22"/>
        </w:rPr>
      </w:pPr>
      <w:r w:rsidRPr="00A42FE8">
        <w:rPr>
          <w:rFonts w:ascii="Palatino Linotype" w:eastAsia="Palatino Linotype" w:hAnsi="Palatino Linotype" w:cs="Palatino Linotype"/>
          <w:sz w:val="22"/>
          <w:szCs w:val="22"/>
        </w:rPr>
        <w:t xml:space="preserve">En este sentido, al considerar la fecha en que se formuló la solicitud y la fecha en que respondió a esta el </w:t>
      </w:r>
      <w:r w:rsidRPr="00A42FE8">
        <w:rPr>
          <w:rFonts w:ascii="Palatino Linotype" w:eastAsia="Palatino Linotype" w:hAnsi="Palatino Linotype" w:cs="Palatino Linotype"/>
          <w:b/>
          <w:sz w:val="22"/>
          <w:szCs w:val="22"/>
        </w:rPr>
        <w:t>Sujeto Obligado</w:t>
      </w:r>
      <w:r w:rsidRPr="00A42FE8">
        <w:rPr>
          <w:rFonts w:ascii="Palatino Linotype" w:eastAsia="Palatino Linotype" w:hAnsi="Palatino Linotype" w:cs="Palatino Linotype"/>
          <w:sz w:val="22"/>
          <w:szCs w:val="22"/>
        </w:rPr>
        <w:t>; así como la fecha en que se interpuso el recurso de revisión, se concluye que el presente recurso de revisión se encuentra dentro de los márgenes temporales previstos las disposiciones legales referidas.</w:t>
      </w:r>
    </w:p>
    <w:p w14:paraId="6DBB4A3A" w14:textId="77777777" w:rsidR="00A045BE" w:rsidRPr="00A42FE8" w:rsidRDefault="00A045BE">
      <w:pPr>
        <w:spacing w:line="360" w:lineRule="auto"/>
        <w:jc w:val="both"/>
        <w:rPr>
          <w:rFonts w:ascii="Palatino Linotype" w:eastAsia="Palatino Linotype" w:hAnsi="Palatino Linotype" w:cs="Palatino Linotype"/>
          <w:sz w:val="22"/>
          <w:szCs w:val="22"/>
        </w:rPr>
      </w:pPr>
    </w:p>
    <w:p w14:paraId="451B8842" w14:textId="77777777" w:rsidR="00A045BE" w:rsidRPr="00A42FE8" w:rsidRDefault="00DD7B69">
      <w:pPr>
        <w:spacing w:line="360" w:lineRule="auto"/>
        <w:jc w:val="both"/>
        <w:rPr>
          <w:rFonts w:ascii="Palatino Linotype" w:eastAsia="Palatino Linotype" w:hAnsi="Palatino Linotype" w:cs="Palatino Linotype"/>
          <w:sz w:val="22"/>
          <w:szCs w:val="22"/>
        </w:rPr>
      </w:pPr>
      <w:r w:rsidRPr="00A42FE8">
        <w:rPr>
          <w:rFonts w:ascii="Palatino Linotype" w:eastAsia="Palatino Linotype" w:hAnsi="Palatino Linotype" w:cs="Palatino Linotype"/>
          <w:sz w:val="22"/>
          <w:szCs w:val="22"/>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4C47291D" w14:textId="77777777" w:rsidR="00A045BE" w:rsidRPr="00A42FE8" w:rsidRDefault="00DD7B69">
      <w:pPr>
        <w:spacing w:line="276" w:lineRule="auto"/>
        <w:ind w:left="851" w:right="616"/>
        <w:jc w:val="both"/>
        <w:rPr>
          <w:rFonts w:ascii="Palatino Linotype" w:eastAsia="Palatino Linotype" w:hAnsi="Palatino Linotype" w:cs="Palatino Linotype"/>
          <w:i/>
          <w:sz w:val="22"/>
          <w:szCs w:val="22"/>
        </w:rPr>
      </w:pPr>
      <w:r w:rsidRPr="00A42FE8">
        <w:rPr>
          <w:rFonts w:ascii="Palatino Linotype" w:eastAsia="Palatino Linotype" w:hAnsi="Palatino Linotype" w:cs="Palatino Linotype"/>
          <w:b/>
          <w:i/>
          <w:sz w:val="22"/>
          <w:szCs w:val="22"/>
        </w:rPr>
        <w:t>“RECURSO DE RECLAMACIÓN. SU INTERPOSICIÓN NO ES EXTEMPORÁNEA SI SE REALIZA ANTES DE QUE INICIE EL PLAZO PARA HACERLO</w:t>
      </w:r>
      <w:r w:rsidRPr="00A42FE8">
        <w:rPr>
          <w:rFonts w:ascii="Palatino Linotype" w:eastAsia="Palatino Linotype" w:hAnsi="Palatino Linotype" w:cs="Palatino Linotype"/>
          <w:i/>
          <w:sz w:val="22"/>
          <w:szCs w:val="22"/>
        </w:rPr>
        <w:t>.</w:t>
      </w:r>
    </w:p>
    <w:p w14:paraId="61010EE8" w14:textId="77777777" w:rsidR="00A045BE" w:rsidRPr="00A42FE8" w:rsidRDefault="00DD7B69">
      <w:pPr>
        <w:spacing w:line="276" w:lineRule="auto"/>
        <w:ind w:left="851" w:right="616"/>
        <w:jc w:val="both"/>
        <w:rPr>
          <w:rFonts w:ascii="Palatino Linotype" w:eastAsia="Palatino Linotype" w:hAnsi="Palatino Linotype" w:cs="Palatino Linotype"/>
          <w:i/>
          <w:sz w:val="22"/>
          <w:szCs w:val="22"/>
        </w:rPr>
      </w:pPr>
      <w:r w:rsidRPr="00A42FE8">
        <w:rPr>
          <w:rFonts w:ascii="Palatino Linotype" w:eastAsia="Palatino Linotype" w:hAnsi="Palatino Linotype" w:cs="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extemporánea.”(Sic)</w:t>
      </w:r>
    </w:p>
    <w:p w14:paraId="00A5BE2A" w14:textId="77777777" w:rsidR="00A045BE" w:rsidRPr="00A42FE8" w:rsidRDefault="00DD7B69">
      <w:pPr>
        <w:spacing w:line="360" w:lineRule="auto"/>
        <w:jc w:val="both"/>
        <w:rPr>
          <w:rFonts w:ascii="Palatino Linotype" w:eastAsia="Palatino Linotype" w:hAnsi="Palatino Linotype" w:cs="Palatino Linotype"/>
          <w:sz w:val="22"/>
          <w:szCs w:val="22"/>
        </w:rPr>
      </w:pPr>
      <w:r w:rsidRPr="00A42FE8">
        <w:rPr>
          <w:rFonts w:ascii="Palatino Linotype" w:eastAsia="Palatino Linotype" w:hAnsi="Palatino Linotype" w:cs="Palatino Linotype"/>
          <w:sz w:val="22"/>
          <w:szCs w:val="22"/>
        </w:rPr>
        <w:lastRenderedPageBreak/>
        <w:t xml:space="preserve">Al mismo tiempo, tras la revisión del formato de interposición del recurso, es de suma importancia señalar que la parte </w:t>
      </w:r>
      <w:r w:rsidRPr="00A42FE8">
        <w:rPr>
          <w:rFonts w:ascii="Palatino Linotype" w:eastAsia="Palatino Linotype" w:hAnsi="Palatino Linotype" w:cs="Palatino Linotype"/>
          <w:b/>
          <w:sz w:val="22"/>
          <w:szCs w:val="22"/>
        </w:rPr>
        <w:t>Recurrente</w:t>
      </w:r>
      <w:r w:rsidRPr="00A42FE8">
        <w:rPr>
          <w:rFonts w:ascii="Palatino Linotype" w:eastAsia="Palatino Linotype" w:hAnsi="Palatino Linotype" w:cs="Palatino Linotype"/>
          <w:sz w:val="22"/>
          <w:szCs w:val="22"/>
        </w:rPr>
        <w:t xml:space="preserve"> no proporcionó su nombre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17D099A" w14:textId="77777777" w:rsidR="00A045BE" w:rsidRPr="00A42FE8" w:rsidRDefault="00A045BE">
      <w:pPr>
        <w:ind w:left="567" w:right="474"/>
        <w:jc w:val="both"/>
        <w:rPr>
          <w:rFonts w:ascii="Palatino Linotype" w:eastAsia="Palatino Linotype" w:hAnsi="Palatino Linotype" w:cs="Palatino Linotype"/>
          <w:i/>
          <w:sz w:val="22"/>
          <w:szCs w:val="22"/>
        </w:rPr>
      </w:pPr>
    </w:p>
    <w:p w14:paraId="64E64990" w14:textId="77777777" w:rsidR="00A045BE" w:rsidRPr="00A42FE8" w:rsidRDefault="00DD7B69">
      <w:pPr>
        <w:spacing w:line="276" w:lineRule="auto"/>
        <w:ind w:left="851" w:right="616"/>
        <w:jc w:val="both"/>
        <w:rPr>
          <w:rFonts w:ascii="Palatino Linotype" w:eastAsia="Palatino Linotype" w:hAnsi="Palatino Linotype" w:cs="Palatino Linotype"/>
          <w:i/>
          <w:sz w:val="22"/>
          <w:szCs w:val="22"/>
        </w:rPr>
      </w:pPr>
      <w:r w:rsidRPr="00A42FE8">
        <w:rPr>
          <w:rFonts w:ascii="Palatino Linotype" w:eastAsia="Palatino Linotype" w:hAnsi="Palatino Linotype" w:cs="Palatino Linotype"/>
          <w:i/>
          <w:sz w:val="22"/>
          <w:szCs w:val="22"/>
        </w:rPr>
        <w:t>"</w:t>
      </w:r>
      <w:r w:rsidRPr="00A42FE8">
        <w:rPr>
          <w:rFonts w:ascii="Palatino Linotype" w:eastAsia="Palatino Linotype" w:hAnsi="Palatino Linotype" w:cs="Palatino Linotype"/>
          <w:b/>
          <w:i/>
          <w:sz w:val="22"/>
          <w:szCs w:val="22"/>
        </w:rPr>
        <w:t>Las solicitudes anónimas</w:t>
      </w:r>
      <w:r w:rsidRPr="00A42FE8">
        <w:rPr>
          <w:rFonts w:ascii="Palatino Linotype" w:eastAsia="Palatino Linotype" w:hAnsi="Palatino Linotype" w:cs="Palatino Linotype"/>
          <w:i/>
          <w:sz w:val="22"/>
          <w:szCs w:val="22"/>
        </w:rPr>
        <w:t xml:space="preserve">, con nombre incompleto o seudónimo </w:t>
      </w:r>
      <w:r w:rsidRPr="00A42FE8">
        <w:rPr>
          <w:rFonts w:ascii="Palatino Linotype" w:eastAsia="Palatino Linotype" w:hAnsi="Palatino Linotype" w:cs="Palatino Linotype"/>
          <w:b/>
          <w:i/>
          <w:sz w:val="22"/>
          <w:szCs w:val="22"/>
        </w:rPr>
        <w:t>serán procedentes para su trámite por parte del sujeto obligado ante quien se presente</w:t>
      </w:r>
      <w:r w:rsidRPr="00A42FE8">
        <w:rPr>
          <w:rFonts w:ascii="Palatino Linotype" w:eastAsia="Palatino Linotype" w:hAnsi="Palatino Linotype" w:cs="Palatino Linotype"/>
          <w:i/>
          <w:sz w:val="22"/>
          <w:szCs w:val="22"/>
        </w:rPr>
        <w:t>. No podrá requerirse información adicional con motivo del nombre proporcionado por el solicitante."(Sic)</w:t>
      </w:r>
    </w:p>
    <w:p w14:paraId="71A0FEFD" w14:textId="77777777" w:rsidR="00A045BE" w:rsidRPr="00A42FE8" w:rsidRDefault="00A045BE">
      <w:pPr>
        <w:spacing w:line="360" w:lineRule="auto"/>
        <w:jc w:val="both"/>
        <w:rPr>
          <w:rFonts w:ascii="Palatino Linotype" w:eastAsia="Palatino Linotype" w:hAnsi="Palatino Linotype" w:cs="Palatino Linotype"/>
          <w:sz w:val="22"/>
          <w:szCs w:val="22"/>
        </w:rPr>
      </w:pPr>
    </w:p>
    <w:p w14:paraId="48631C68" w14:textId="77777777" w:rsidR="00A045BE" w:rsidRPr="00A42FE8" w:rsidRDefault="00DD7B69">
      <w:pPr>
        <w:spacing w:line="360" w:lineRule="auto"/>
        <w:jc w:val="both"/>
        <w:rPr>
          <w:rFonts w:ascii="Palatino Linotype" w:eastAsia="Palatino Linotype" w:hAnsi="Palatino Linotype" w:cs="Palatino Linotype"/>
          <w:sz w:val="22"/>
          <w:szCs w:val="22"/>
        </w:rPr>
      </w:pPr>
      <w:r w:rsidRPr="00A42FE8">
        <w:rPr>
          <w:rFonts w:ascii="Palatino Linotype" w:eastAsia="Palatino Linotype" w:hAnsi="Palatino Linotype" w:cs="Palatino Linotype"/>
          <w:sz w:val="22"/>
          <w:szCs w:val="22"/>
        </w:rPr>
        <w:t>Asimismo,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1D459C39" w14:textId="77777777" w:rsidR="00A045BE" w:rsidRPr="00A42FE8" w:rsidRDefault="00A045BE">
      <w:pPr>
        <w:spacing w:line="360" w:lineRule="auto"/>
        <w:jc w:val="both"/>
        <w:rPr>
          <w:rFonts w:ascii="Palatino Linotype" w:eastAsia="Palatino Linotype" w:hAnsi="Palatino Linotype" w:cs="Palatino Linotype"/>
          <w:sz w:val="22"/>
          <w:szCs w:val="22"/>
        </w:rPr>
      </w:pPr>
    </w:p>
    <w:p w14:paraId="1286F367" w14:textId="77777777" w:rsidR="00A045BE" w:rsidRPr="00A42FE8" w:rsidRDefault="00DD7B69">
      <w:pPr>
        <w:spacing w:line="360" w:lineRule="auto"/>
        <w:jc w:val="both"/>
        <w:rPr>
          <w:rFonts w:ascii="Palatino Linotype" w:eastAsia="Palatino Linotype" w:hAnsi="Palatino Linotype" w:cs="Palatino Linotype"/>
          <w:sz w:val="22"/>
          <w:szCs w:val="22"/>
        </w:rPr>
      </w:pPr>
      <w:r w:rsidRPr="00A42FE8">
        <w:rPr>
          <w:rFonts w:ascii="Palatino Linotype" w:eastAsia="Palatino Linotype" w:hAnsi="Palatino Linotype" w:cs="Palatino Linotype"/>
          <w:sz w:val="22"/>
          <w:szCs w:val="22"/>
        </w:rPr>
        <w:t>También, resulta procedente la interposición del recurso de revisión al rubro anotado, toda vez que se actualiza las hipótesis previstas en el artículo 179, fracción I de la ley de la materia, que a la letra dice:</w:t>
      </w:r>
    </w:p>
    <w:p w14:paraId="5E346ED6" w14:textId="77777777" w:rsidR="00A045BE" w:rsidRPr="00A42FE8" w:rsidRDefault="00DD7B69">
      <w:pPr>
        <w:spacing w:line="276" w:lineRule="auto"/>
        <w:ind w:left="851" w:right="616"/>
        <w:jc w:val="both"/>
        <w:rPr>
          <w:rFonts w:ascii="Palatino Linotype" w:eastAsia="Palatino Linotype" w:hAnsi="Palatino Linotype" w:cs="Palatino Linotype"/>
          <w:i/>
          <w:sz w:val="22"/>
          <w:szCs w:val="22"/>
        </w:rPr>
      </w:pPr>
      <w:r w:rsidRPr="00A42FE8">
        <w:rPr>
          <w:rFonts w:ascii="Palatino Linotype" w:eastAsia="Palatino Linotype" w:hAnsi="Palatino Linotype" w:cs="Palatino Linotype"/>
          <w:i/>
          <w:sz w:val="22"/>
          <w:szCs w:val="22"/>
        </w:rPr>
        <w:t>“</w:t>
      </w:r>
      <w:r w:rsidRPr="00A42FE8">
        <w:rPr>
          <w:rFonts w:ascii="Palatino Linotype" w:eastAsia="Palatino Linotype" w:hAnsi="Palatino Linotype" w:cs="Palatino Linotype"/>
          <w:b/>
          <w:i/>
          <w:sz w:val="22"/>
          <w:szCs w:val="22"/>
        </w:rPr>
        <w:t xml:space="preserve">Artículo 179. </w:t>
      </w:r>
      <w:r w:rsidRPr="00A42FE8">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1C8CFF55" w14:textId="77777777" w:rsidR="00A045BE" w:rsidRPr="00A42FE8" w:rsidRDefault="00DD7B69">
      <w:pPr>
        <w:spacing w:line="276" w:lineRule="auto"/>
        <w:ind w:left="851" w:right="616"/>
        <w:jc w:val="both"/>
        <w:rPr>
          <w:rFonts w:ascii="Palatino Linotype" w:eastAsia="Palatino Linotype" w:hAnsi="Palatino Linotype" w:cs="Palatino Linotype"/>
          <w:i/>
          <w:sz w:val="22"/>
          <w:szCs w:val="22"/>
        </w:rPr>
      </w:pPr>
      <w:r w:rsidRPr="00A42FE8">
        <w:rPr>
          <w:rFonts w:ascii="Palatino Linotype" w:eastAsia="Palatino Linotype" w:hAnsi="Palatino Linotype" w:cs="Palatino Linotype"/>
          <w:i/>
          <w:sz w:val="22"/>
          <w:szCs w:val="22"/>
        </w:rPr>
        <w:t>…</w:t>
      </w:r>
    </w:p>
    <w:p w14:paraId="682C0F75" w14:textId="77777777" w:rsidR="00A045BE" w:rsidRPr="00A42FE8" w:rsidRDefault="00DD7B69">
      <w:pPr>
        <w:spacing w:line="276" w:lineRule="auto"/>
        <w:ind w:left="851" w:right="616"/>
        <w:jc w:val="both"/>
        <w:rPr>
          <w:rFonts w:ascii="Palatino Linotype" w:eastAsia="Palatino Linotype" w:hAnsi="Palatino Linotype" w:cs="Palatino Linotype"/>
          <w:i/>
          <w:sz w:val="22"/>
          <w:szCs w:val="22"/>
        </w:rPr>
      </w:pPr>
      <w:r w:rsidRPr="00A42FE8">
        <w:rPr>
          <w:rFonts w:ascii="Palatino Linotype" w:eastAsia="Palatino Linotype" w:hAnsi="Palatino Linotype" w:cs="Palatino Linotype"/>
          <w:i/>
          <w:sz w:val="22"/>
          <w:szCs w:val="22"/>
        </w:rPr>
        <w:t xml:space="preserve">I. La negativa de la información solicitada…” (Sic) </w:t>
      </w:r>
    </w:p>
    <w:p w14:paraId="7D59E274" w14:textId="77777777" w:rsidR="00A045BE" w:rsidRPr="00A42FE8" w:rsidRDefault="00A045BE">
      <w:pPr>
        <w:spacing w:line="360" w:lineRule="auto"/>
        <w:jc w:val="both"/>
        <w:rPr>
          <w:rFonts w:ascii="Palatino Linotype" w:eastAsia="Palatino Linotype" w:hAnsi="Palatino Linotype" w:cs="Palatino Linotype"/>
          <w:b/>
          <w:sz w:val="22"/>
          <w:szCs w:val="22"/>
        </w:rPr>
      </w:pPr>
    </w:p>
    <w:p w14:paraId="7C516C01" w14:textId="77777777" w:rsidR="00A045BE" w:rsidRPr="00A42FE8" w:rsidRDefault="00DD7B69">
      <w:pPr>
        <w:spacing w:line="360" w:lineRule="auto"/>
        <w:jc w:val="both"/>
        <w:rPr>
          <w:rFonts w:ascii="Palatino Linotype" w:eastAsia="Palatino Linotype" w:hAnsi="Palatino Linotype" w:cs="Palatino Linotype"/>
          <w:sz w:val="22"/>
          <w:szCs w:val="22"/>
        </w:rPr>
      </w:pPr>
      <w:r w:rsidRPr="00A42FE8">
        <w:rPr>
          <w:rFonts w:ascii="Palatino Linotype" w:eastAsia="Palatino Linotype" w:hAnsi="Palatino Linotype" w:cs="Palatino Linotype"/>
          <w:b/>
          <w:sz w:val="22"/>
          <w:szCs w:val="22"/>
        </w:rPr>
        <w:lastRenderedPageBreak/>
        <w:t>Tercero. Materia de Revisión</w:t>
      </w:r>
      <w:r w:rsidRPr="00A42FE8">
        <w:rPr>
          <w:rFonts w:ascii="Palatino Linotype" w:eastAsia="Palatino Linotype" w:hAnsi="Palatino Linotype" w:cs="Palatino Linotype"/>
          <w:sz w:val="22"/>
          <w:szCs w:val="22"/>
        </w:rPr>
        <w:t xml:space="preserve">: De las constancias que integran el expediente electrónico se advierte que el tema sobre el que este Instituto se pronunciará será: </w:t>
      </w:r>
      <w:r w:rsidRPr="00A42FE8">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A42FE8">
        <w:rPr>
          <w:rFonts w:ascii="Palatino Linotype" w:eastAsia="Palatino Linotype" w:hAnsi="Palatino Linotype" w:cs="Palatino Linotype"/>
          <w:sz w:val="22"/>
          <w:szCs w:val="22"/>
        </w:rPr>
        <w:t xml:space="preserve">de la parte </w:t>
      </w:r>
      <w:r w:rsidRPr="00A42FE8">
        <w:rPr>
          <w:rFonts w:ascii="Palatino Linotype" w:eastAsia="Palatino Linotype" w:hAnsi="Palatino Linotype" w:cs="Palatino Linotype"/>
          <w:b/>
          <w:sz w:val="22"/>
          <w:szCs w:val="22"/>
        </w:rPr>
        <w:t>Recurrente</w:t>
      </w:r>
      <w:r w:rsidRPr="00A42FE8">
        <w:rPr>
          <w:rFonts w:ascii="Palatino Linotype" w:eastAsia="Palatino Linotype" w:hAnsi="Palatino Linotype" w:cs="Palatino Linotype"/>
          <w:sz w:val="22"/>
          <w:szCs w:val="22"/>
        </w:rPr>
        <w:t>, o en su defecto, en caso de ser procedente, ordenar la entrega de información.</w:t>
      </w:r>
    </w:p>
    <w:p w14:paraId="5AA969E8" w14:textId="77777777" w:rsidR="00A045BE" w:rsidRPr="00A42FE8" w:rsidRDefault="00A045BE">
      <w:pPr>
        <w:spacing w:line="360" w:lineRule="auto"/>
        <w:jc w:val="both"/>
        <w:rPr>
          <w:rFonts w:ascii="Palatino Linotype" w:eastAsia="Palatino Linotype" w:hAnsi="Palatino Linotype" w:cs="Palatino Linotype"/>
          <w:sz w:val="22"/>
          <w:szCs w:val="22"/>
        </w:rPr>
      </w:pPr>
    </w:p>
    <w:p w14:paraId="3050D9C0" w14:textId="77777777" w:rsidR="00A045BE" w:rsidRPr="00A42FE8" w:rsidRDefault="00DD7B69">
      <w:pPr>
        <w:spacing w:line="360" w:lineRule="auto"/>
        <w:jc w:val="both"/>
        <w:rPr>
          <w:rFonts w:ascii="Palatino Linotype" w:eastAsia="Palatino Linotype" w:hAnsi="Palatino Linotype" w:cs="Palatino Linotype"/>
          <w:sz w:val="22"/>
          <w:szCs w:val="22"/>
        </w:rPr>
      </w:pPr>
      <w:r w:rsidRPr="00A42FE8">
        <w:rPr>
          <w:rFonts w:ascii="Palatino Linotype" w:eastAsia="Palatino Linotype" w:hAnsi="Palatino Linotype" w:cs="Palatino Linotype"/>
          <w:b/>
          <w:sz w:val="22"/>
          <w:szCs w:val="22"/>
        </w:rPr>
        <w:t xml:space="preserve">Cuarto. Estudio de fondo del asunto. </w:t>
      </w:r>
      <w:r w:rsidRPr="00A42FE8">
        <w:rPr>
          <w:rFonts w:ascii="Palatino Linotype" w:eastAsia="Palatino Linotype" w:hAnsi="Palatino Linotype" w:cs="Palatino Linotype"/>
          <w:sz w:val="22"/>
          <w:szCs w:val="22"/>
        </w:rPr>
        <w:t xml:space="preserve">es conveniente analizar si la respuesta del </w:t>
      </w:r>
      <w:r w:rsidRPr="00A42FE8">
        <w:rPr>
          <w:rFonts w:ascii="Palatino Linotype" w:eastAsia="Palatino Linotype" w:hAnsi="Palatino Linotype" w:cs="Palatino Linotype"/>
          <w:b/>
          <w:sz w:val="22"/>
          <w:szCs w:val="22"/>
        </w:rPr>
        <w:t>Sujeto Obligado</w:t>
      </w:r>
      <w:r w:rsidRPr="00A42FE8">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28BE66E1" w14:textId="77777777" w:rsidR="00A045BE" w:rsidRPr="00A42FE8" w:rsidRDefault="00A045BE">
      <w:pPr>
        <w:ind w:left="709" w:right="760"/>
        <w:jc w:val="both"/>
        <w:rPr>
          <w:rFonts w:ascii="Palatino Linotype" w:eastAsia="Palatino Linotype" w:hAnsi="Palatino Linotype" w:cs="Palatino Linotype"/>
          <w:i/>
          <w:sz w:val="22"/>
          <w:szCs w:val="22"/>
        </w:rPr>
      </w:pPr>
    </w:p>
    <w:p w14:paraId="2B7D8E32" w14:textId="77777777" w:rsidR="00A045BE" w:rsidRPr="00A42FE8" w:rsidRDefault="00DD7B69">
      <w:pPr>
        <w:spacing w:line="276" w:lineRule="auto"/>
        <w:ind w:left="851" w:right="616"/>
        <w:jc w:val="both"/>
        <w:rPr>
          <w:rFonts w:ascii="Palatino Linotype" w:eastAsia="Palatino Linotype" w:hAnsi="Palatino Linotype" w:cs="Palatino Linotype"/>
          <w:i/>
          <w:sz w:val="22"/>
          <w:szCs w:val="22"/>
        </w:rPr>
      </w:pPr>
      <w:r w:rsidRPr="00A42FE8">
        <w:rPr>
          <w:rFonts w:ascii="Palatino Linotype" w:eastAsia="Palatino Linotype" w:hAnsi="Palatino Linotype" w:cs="Palatino Linotype"/>
          <w:i/>
          <w:sz w:val="22"/>
          <w:szCs w:val="22"/>
        </w:rPr>
        <w:t>“</w:t>
      </w:r>
      <w:r w:rsidRPr="00A42FE8">
        <w:rPr>
          <w:rFonts w:ascii="Palatino Linotype" w:eastAsia="Palatino Linotype" w:hAnsi="Palatino Linotype" w:cs="Palatino Linotype"/>
          <w:b/>
          <w:i/>
          <w:sz w:val="22"/>
          <w:szCs w:val="22"/>
        </w:rPr>
        <w:t>Artículo 4.</w:t>
      </w:r>
      <w:r w:rsidRPr="00A42FE8">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AC4E072" w14:textId="77777777" w:rsidR="00A045BE" w:rsidRPr="00A42FE8" w:rsidRDefault="00DD7B69">
      <w:pPr>
        <w:spacing w:line="276" w:lineRule="auto"/>
        <w:ind w:left="851" w:right="616"/>
        <w:jc w:val="both"/>
        <w:rPr>
          <w:rFonts w:ascii="Palatino Linotype" w:eastAsia="Palatino Linotype" w:hAnsi="Palatino Linotype" w:cs="Palatino Linotype"/>
          <w:i/>
          <w:sz w:val="22"/>
          <w:szCs w:val="22"/>
        </w:rPr>
      </w:pPr>
      <w:r w:rsidRPr="00A42FE8">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A42FE8">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DE32572" w14:textId="77777777" w:rsidR="00A045BE" w:rsidRPr="00A42FE8" w:rsidRDefault="00DD7B69">
      <w:pPr>
        <w:spacing w:line="276" w:lineRule="auto"/>
        <w:ind w:left="851" w:right="616"/>
        <w:jc w:val="both"/>
        <w:rPr>
          <w:rFonts w:ascii="Palatino Linotype" w:eastAsia="Palatino Linotype" w:hAnsi="Palatino Linotype" w:cs="Palatino Linotype"/>
          <w:i/>
          <w:sz w:val="22"/>
          <w:szCs w:val="22"/>
        </w:rPr>
      </w:pPr>
      <w:r w:rsidRPr="00A42FE8">
        <w:rPr>
          <w:rFonts w:ascii="Palatino Linotype" w:eastAsia="Palatino Linotype" w:hAnsi="Palatino Linotype" w:cs="Palatino Linotype"/>
          <w:b/>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r w:rsidRPr="00A42FE8">
        <w:rPr>
          <w:rFonts w:ascii="Palatino Linotype" w:eastAsia="Palatino Linotype" w:hAnsi="Palatino Linotype" w:cs="Palatino Linotype"/>
          <w:i/>
          <w:sz w:val="22"/>
          <w:szCs w:val="22"/>
        </w:rPr>
        <w:t>.”(Sic)</w:t>
      </w:r>
    </w:p>
    <w:p w14:paraId="4E204A73" w14:textId="77777777" w:rsidR="00A045BE" w:rsidRPr="00A42FE8" w:rsidRDefault="00A045BE">
      <w:pPr>
        <w:spacing w:line="360" w:lineRule="auto"/>
        <w:jc w:val="both"/>
        <w:rPr>
          <w:rFonts w:ascii="Palatino Linotype" w:eastAsia="Palatino Linotype" w:hAnsi="Palatino Linotype" w:cs="Palatino Linotype"/>
          <w:sz w:val="22"/>
          <w:szCs w:val="22"/>
        </w:rPr>
      </w:pPr>
    </w:p>
    <w:p w14:paraId="47D4F4EB" w14:textId="77777777" w:rsidR="00A045BE" w:rsidRPr="00A42FE8" w:rsidRDefault="00DD7B69">
      <w:pPr>
        <w:spacing w:line="360" w:lineRule="auto"/>
        <w:jc w:val="both"/>
        <w:rPr>
          <w:rFonts w:ascii="Palatino Linotype" w:eastAsia="Palatino Linotype" w:hAnsi="Palatino Linotype" w:cs="Palatino Linotype"/>
          <w:sz w:val="22"/>
          <w:szCs w:val="22"/>
        </w:rPr>
      </w:pPr>
      <w:r w:rsidRPr="00A42FE8">
        <w:rPr>
          <w:rFonts w:ascii="Palatino Linotype" w:eastAsia="Palatino Linotype" w:hAnsi="Palatino Linotype" w:cs="Palatino Linotype"/>
          <w:sz w:val="22"/>
          <w:szCs w:val="22"/>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4FC4BEBA" w14:textId="77777777" w:rsidR="00A045BE" w:rsidRPr="00A42FE8" w:rsidRDefault="00A045BE">
      <w:pPr>
        <w:ind w:left="567" w:right="758"/>
        <w:jc w:val="both"/>
        <w:rPr>
          <w:rFonts w:ascii="Palatino Linotype" w:eastAsia="Palatino Linotype" w:hAnsi="Palatino Linotype" w:cs="Palatino Linotype"/>
          <w:i/>
          <w:sz w:val="22"/>
          <w:szCs w:val="22"/>
        </w:rPr>
      </w:pPr>
    </w:p>
    <w:p w14:paraId="49D5B9DD" w14:textId="77777777" w:rsidR="00A045BE" w:rsidRPr="00A42FE8" w:rsidRDefault="00DD7B69">
      <w:pPr>
        <w:spacing w:line="276" w:lineRule="auto"/>
        <w:ind w:left="851" w:right="616"/>
        <w:jc w:val="both"/>
        <w:rPr>
          <w:rFonts w:ascii="Palatino Linotype" w:eastAsia="Palatino Linotype" w:hAnsi="Palatino Linotype" w:cs="Palatino Linotype"/>
          <w:i/>
          <w:sz w:val="22"/>
          <w:szCs w:val="22"/>
        </w:rPr>
      </w:pPr>
      <w:r w:rsidRPr="00A42FE8">
        <w:rPr>
          <w:rFonts w:ascii="Palatino Linotype" w:eastAsia="Palatino Linotype" w:hAnsi="Palatino Linotype" w:cs="Palatino Linotype"/>
          <w:i/>
          <w:sz w:val="22"/>
          <w:szCs w:val="22"/>
        </w:rPr>
        <w:t>“</w:t>
      </w:r>
      <w:r w:rsidRPr="00A42FE8">
        <w:rPr>
          <w:rFonts w:ascii="Palatino Linotype" w:eastAsia="Palatino Linotype" w:hAnsi="Palatino Linotype" w:cs="Palatino Linotype"/>
          <w:b/>
          <w:i/>
          <w:sz w:val="22"/>
          <w:szCs w:val="22"/>
        </w:rPr>
        <w:t>Artículo12.-</w:t>
      </w:r>
      <w:r w:rsidRPr="00A42FE8">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7483A63" w14:textId="77777777" w:rsidR="00A045BE" w:rsidRPr="00A42FE8" w:rsidRDefault="00DD7B69">
      <w:pPr>
        <w:spacing w:line="276" w:lineRule="auto"/>
        <w:ind w:left="851" w:right="616"/>
        <w:jc w:val="both"/>
        <w:rPr>
          <w:rFonts w:ascii="Palatino Linotype" w:eastAsia="Palatino Linotype" w:hAnsi="Palatino Linotype" w:cs="Palatino Linotype"/>
          <w:i/>
          <w:sz w:val="22"/>
          <w:szCs w:val="22"/>
        </w:rPr>
      </w:pPr>
      <w:r w:rsidRPr="00A42FE8">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A42FE8">
        <w:rPr>
          <w:rFonts w:ascii="Palatino Linotype" w:eastAsia="Palatino Linotype" w:hAnsi="Palatino Linotype" w:cs="Palatino Linotype"/>
          <w:i/>
          <w:sz w:val="22"/>
          <w:szCs w:val="22"/>
        </w:rPr>
        <w:t xml:space="preserve">. </w:t>
      </w:r>
      <w:r w:rsidRPr="00A42FE8">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18F4BF69" w14:textId="77777777" w:rsidR="00A045BE" w:rsidRPr="00A42FE8" w:rsidRDefault="00A045BE">
      <w:pPr>
        <w:spacing w:line="360" w:lineRule="auto"/>
        <w:ind w:right="-93"/>
        <w:jc w:val="both"/>
        <w:rPr>
          <w:rFonts w:ascii="Palatino Linotype" w:eastAsia="Palatino Linotype" w:hAnsi="Palatino Linotype" w:cs="Palatino Linotype"/>
          <w:sz w:val="22"/>
          <w:szCs w:val="22"/>
        </w:rPr>
      </w:pPr>
    </w:p>
    <w:p w14:paraId="005FD1A7" w14:textId="77777777" w:rsidR="00A045BE" w:rsidRPr="00A42FE8" w:rsidRDefault="00DD7B69">
      <w:pPr>
        <w:spacing w:line="360" w:lineRule="auto"/>
        <w:ind w:right="-93"/>
        <w:jc w:val="both"/>
        <w:rPr>
          <w:rFonts w:ascii="Palatino Linotype" w:eastAsia="Palatino Linotype" w:hAnsi="Palatino Linotype" w:cs="Palatino Linotype"/>
          <w:sz w:val="22"/>
          <w:szCs w:val="22"/>
        </w:rPr>
      </w:pPr>
      <w:r w:rsidRPr="00A42FE8">
        <w:rPr>
          <w:rFonts w:ascii="Palatino Linotype" w:eastAsia="Palatino Linotype" w:hAnsi="Palatino Linotype" w:cs="Palatino Linotype"/>
          <w:sz w:val="22"/>
          <w:szCs w:val="22"/>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14:paraId="76FA911D" w14:textId="77777777" w:rsidR="00A045BE" w:rsidRPr="00A42FE8" w:rsidRDefault="00A045BE">
      <w:pPr>
        <w:spacing w:line="360" w:lineRule="auto"/>
        <w:jc w:val="both"/>
        <w:rPr>
          <w:rFonts w:ascii="Palatino Linotype" w:eastAsia="Palatino Linotype" w:hAnsi="Palatino Linotype" w:cs="Palatino Linotype"/>
          <w:sz w:val="22"/>
          <w:szCs w:val="22"/>
        </w:rPr>
      </w:pPr>
    </w:p>
    <w:p w14:paraId="059DEE24" w14:textId="77777777" w:rsidR="00A045BE" w:rsidRPr="00A42FE8" w:rsidRDefault="00DD7B69">
      <w:pPr>
        <w:spacing w:line="360" w:lineRule="auto"/>
        <w:jc w:val="both"/>
        <w:rPr>
          <w:rFonts w:ascii="Palatino Linotype" w:eastAsia="Palatino Linotype" w:hAnsi="Palatino Linotype" w:cs="Palatino Linotype"/>
          <w:sz w:val="22"/>
          <w:szCs w:val="22"/>
        </w:rPr>
      </w:pPr>
      <w:r w:rsidRPr="00A42FE8">
        <w:rPr>
          <w:rFonts w:ascii="Palatino Linotype" w:eastAsia="Palatino Linotype" w:hAnsi="Palatino Linotype" w:cs="Palatino Linotype"/>
          <w:sz w:val="22"/>
          <w:szCs w:val="22"/>
        </w:rPr>
        <w:lastRenderedPageBreak/>
        <w:t>Sirve de apoyo a lo anterior, el criterio 03-17, expuesto por el Instituto Nacional de Transparencia, Acceso a la Información y Protección de Datos Personales, que dice:</w:t>
      </w:r>
    </w:p>
    <w:p w14:paraId="16C58C75" w14:textId="77777777" w:rsidR="00A045BE" w:rsidRPr="00A42FE8" w:rsidRDefault="00A045BE">
      <w:pPr>
        <w:spacing w:line="360" w:lineRule="auto"/>
        <w:jc w:val="both"/>
        <w:rPr>
          <w:rFonts w:ascii="Palatino Linotype" w:eastAsia="Palatino Linotype" w:hAnsi="Palatino Linotype" w:cs="Palatino Linotype"/>
          <w:b/>
          <w:sz w:val="22"/>
          <w:szCs w:val="22"/>
        </w:rPr>
      </w:pPr>
    </w:p>
    <w:p w14:paraId="33AA32E1" w14:textId="77777777" w:rsidR="00A045BE" w:rsidRPr="00A42FE8" w:rsidRDefault="00DD7B69">
      <w:pPr>
        <w:ind w:left="851" w:right="616"/>
        <w:jc w:val="both"/>
        <w:rPr>
          <w:rFonts w:ascii="Palatino Linotype" w:eastAsia="Palatino Linotype" w:hAnsi="Palatino Linotype" w:cs="Palatino Linotype"/>
          <w:i/>
          <w:sz w:val="22"/>
          <w:szCs w:val="22"/>
        </w:rPr>
      </w:pPr>
      <w:r w:rsidRPr="00A42FE8">
        <w:rPr>
          <w:rFonts w:ascii="Palatino Linotype" w:eastAsia="Palatino Linotype" w:hAnsi="Palatino Linotype" w:cs="Palatino Linotype"/>
          <w:i/>
          <w:sz w:val="22"/>
          <w:szCs w:val="22"/>
        </w:rPr>
        <w:t>“</w:t>
      </w:r>
      <w:r w:rsidRPr="00A42FE8">
        <w:rPr>
          <w:rFonts w:ascii="Palatino Linotype" w:eastAsia="Palatino Linotype" w:hAnsi="Palatino Linotype" w:cs="Palatino Linotype"/>
          <w:b/>
          <w:i/>
          <w:sz w:val="22"/>
          <w:szCs w:val="22"/>
        </w:rPr>
        <w:t>No existe obligación de elaborar documentos ad hoc para atender las solicitudes de acceso a la información.</w:t>
      </w:r>
      <w:r w:rsidRPr="00A42FE8">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36EBB6E" w14:textId="77777777" w:rsidR="00A045BE" w:rsidRPr="00A42FE8" w:rsidRDefault="00DD7B69">
      <w:pPr>
        <w:ind w:left="851" w:right="901"/>
        <w:jc w:val="both"/>
        <w:rPr>
          <w:rFonts w:ascii="Palatino Linotype" w:eastAsia="Palatino Linotype" w:hAnsi="Palatino Linotype" w:cs="Palatino Linotype"/>
          <w:i/>
          <w:sz w:val="22"/>
          <w:szCs w:val="22"/>
        </w:rPr>
      </w:pPr>
      <w:r w:rsidRPr="00A42FE8">
        <w:rPr>
          <w:rFonts w:ascii="Palatino Linotype" w:eastAsia="Palatino Linotype" w:hAnsi="Palatino Linotype" w:cs="Palatino Linotype"/>
          <w:i/>
          <w:sz w:val="22"/>
          <w:szCs w:val="22"/>
        </w:rPr>
        <w:t xml:space="preserve">Resoluciones: </w:t>
      </w:r>
    </w:p>
    <w:p w14:paraId="6A192EB2" w14:textId="77777777" w:rsidR="00A045BE" w:rsidRPr="00A42FE8" w:rsidRDefault="00DD7B69">
      <w:pPr>
        <w:ind w:left="851" w:right="901"/>
        <w:jc w:val="both"/>
        <w:rPr>
          <w:rFonts w:ascii="Palatino Linotype" w:eastAsia="Palatino Linotype" w:hAnsi="Palatino Linotype" w:cs="Palatino Linotype"/>
          <w:i/>
          <w:sz w:val="22"/>
          <w:szCs w:val="22"/>
        </w:rPr>
      </w:pPr>
      <w:r w:rsidRPr="00A42FE8">
        <w:rPr>
          <w:rFonts w:ascii="Palatino Linotype" w:eastAsia="Palatino Linotype" w:hAnsi="Palatino Linotype" w:cs="Palatino Linotype"/>
          <w:i/>
          <w:sz w:val="22"/>
          <w:szCs w:val="22"/>
        </w:rPr>
        <w:t>∙ RRA 0050/16. Instituto Nacional para la Evaluación de la Educación. 13 julio de 2016. Por unanimidad. Comisionado Ponente: Francisco Javier Acuña Llamas.</w:t>
      </w:r>
    </w:p>
    <w:p w14:paraId="6321444B" w14:textId="77777777" w:rsidR="00A045BE" w:rsidRPr="00A42FE8" w:rsidRDefault="00DD7B69">
      <w:pPr>
        <w:ind w:left="851" w:right="616"/>
        <w:jc w:val="both"/>
        <w:rPr>
          <w:rFonts w:ascii="Palatino Linotype" w:eastAsia="Palatino Linotype" w:hAnsi="Palatino Linotype" w:cs="Palatino Linotype"/>
          <w:i/>
          <w:sz w:val="22"/>
          <w:szCs w:val="22"/>
        </w:rPr>
      </w:pPr>
      <w:r w:rsidRPr="00A42FE8">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0E45E517" w14:textId="77777777" w:rsidR="00A045BE" w:rsidRPr="00A42FE8" w:rsidRDefault="00DD7B69">
      <w:pPr>
        <w:ind w:left="851" w:right="616"/>
        <w:jc w:val="both"/>
        <w:rPr>
          <w:rFonts w:ascii="Palatino Linotype" w:eastAsia="Palatino Linotype" w:hAnsi="Palatino Linotype" w:cs="Palatino Linotype"/>
          <w:i/>
          <w:sz w:val="22"/>
          <w:szCs w:val="22"/>
        </w:rPr>
      </w:pPr>
      <w:r w:rsidRPr="00A42FE8">
        <w:rPr>
          <w:rFonts w:ascii="Palatino Linotype" w:eastAsia="Palatino Linotype" w:hAnsi="Palatino Linotype" w:cs="Palatino Linotype"/>
          <w:i/>
          <w:sz w:val="22"/>
          <w:szCs w:val="22"/>
        </w:rPr>
        <w:t>∙ RRA 1889/16. Secretaría de Hacienda y Crédito Público. 05 de octubre de 2016. Por unanimidad. Comisionada Ponente. Ximena Puente de la Mora.”(Sic)</w:t>
      </w:r>
    </w:p>
    <w:p w14:paraId="2A724FCA" w14:textId="77777777" w:rsidR="00A045BE" w:rsidRPr="00A42FE8" w:rsidRDefault="00A045BE">
      <w:pPr>
        <w:spacing w:line="360" w:lineRule="auto"/>
        <w:jc w:val="both"/>
        <w:rPr>
          <w:rFonts w:ascii="Palatino Linotype" w:eastAsia="Palatino Linotype" w:hAnsi="Palatino Linotype" w:cs="Palatino Linotype"/>
          <w:sz w:val="22"/>
          <w:szCs w:val="22"/>
        </w:rPr>
      </w:pPr>
    </w:p>
    <w:p w14:paraId="7E6BC734" w14:textId="77777777" w:rsidR="00A045BE" w:rsidRPr="00A42FE8" w:rsidRDefault="00DD7B69">
      <w:pPr>
        <w:spacing w:line="360" w:lineRule="auto"/>
        <w:jc w:val="both"/>
        <w:rPr>
          <w:rFonts w:ascii="Palatino Linotype" w:eastAsia="Palatino Linotype" w:hAnsi="Palatino Linotype" w:cs="Palatino Linotype"/>
          <w:strike/>
          <w:sz w:val="22"/>
          <w:szCs w:val="22"/>
        </w:rPr>
      </w:pPr>
      <w:r w:rsidRPr="00A42FE8">
        <w:rPr>
          <w:rFonts w:ascii="Palatino Linotype" w:eastAsia="Palatino Linotype" w:hAnsi="Palatino Linotype" w:cs="Palatino Linotype"/>
          <w:sz w:val="22"/>
          <w:szCs w:val="22"/>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circunstancia que aconteció en el presente asunto que se analiza.  </w:t>
      </w:r>
    </w:p>
    <w:p w14:paraId="07C61965" w14:textId="77777777" w:rsidR="00A045BE" w:rsidRPr="00A42FE8" w:rsidRDefault="00A045BE">
      <w:pPr>
        <w:spacing w:line="360" w:lineRule="auto"/>
        <w:jc w:val="both"/>
        <w:rPr>
          <w:rFonts w:ascii="Palatino Linotype" w:eastAsia="Palatino Linotype" w:hAnsi="Palatino Linotype" w:cs="Palatino Linotype"/>
          <w:sz w:val="22"/>
          <w:szCs w:val="22"/>
        </w:rPr>
      </w:pPr>
    </w:p>
    <w:p w14:paraId="55C8E2C6" w14:textId="77777777" w:rsidR="00A045BE" w:rsidRPr="00A42FE8" w:rsidRDefault="00DD7B69">
      <w:pPr>
        <w:spacing w:line="360" w:lineRule="auto"/>
        <w:ind w:right="49"/>
        <w:jc w:val="both"/>
        <w:rPr>
          <w:rFonts w:ascii="Palatino Linotype" w:eastAsia="Palatino Linotype" w:hAnsi="Palatino Linotype" w:cs="Palatino Linotype"/>
          <w:sz w:val="22"/>
          <w:szCs w:val="22"/>
        </w:rPr>
      </w:pPr>
      <w:r w:rsidRPr="00A42FE8">
        <w:rPr>
          <w:rFonts w:ascii="Palatino Linotype" w:eastAsia="Palatino Linotype" w:hAnsi="Palatino Linotype" w:cs="Palatino Linotype"/>
          <w:sz w:val="22"/>
          <w:szCs w:val="22"/>
        </w:rPr>
        <w:t xml:space="preserve">Siempre y cuando no se trate de información reservada o clasificada, que difundirla pondría en riesgo la seguridad jurídica y física del titular de la información, debiendo tener audacia </w:t>
      </w:r>
      <w:r w:rsidRPr="00A42FE8">
        <w:rPr>
          <w:rFonts w:ascii="Palatino Linotype" w:eastAsia="Palatino Linotype" w:hAnsi="Palatino Linotype" w:cs="Palatino Linotype"/>
          <w:sz w:val="22"/>
          <w:szCs w:val="22"/>
        </w:rPr>
        <w:lastRenderedPageBreak/>
        <w:t>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6B0B0C8" w14:textId="77777777" w:rsidR="00A045BE" w:rsidRPr="00A42FE8" w:rsidRDefault="00A045BE">
      <w:pPr>
        <w:spacing w:line="360" w:lineRule="auto"/>
        <w:ind w:right="49"/>
        <w:jc w:val="both"/>
        <w:rPr>
          <w:rFonts w:ascii="Palatino Linotype" w:eastAsia="Palatino Linotype" w:hAnsi="Palatino Linotype" w:cs="Palatino Linotype"/>
          <w:sz w:val="22"/>
          <w:szCs w:val="22"/>
        </w:rPr>
      </w:pPr>
    </w:p>
    <w:p w14:paraId="137A9CE2" w14:textId="77777777" w:rsidR="00A045BE" w:rsidRPr="00A42FE8" w:rsidRDefault="00DD7B69">
      <w:pPr>
        <w:spacing w:line="360" w:lineRule="auto"/>
        <w:jc w:val="both"/>
        <w:rPr>
          <w:rFonts w:ascii="Palatino Linotype" w:eastAsia="Palatino Linotype" w:hAnsi="Palatino Linotype" w:cs="Palatino Linotype"/>
          <w:sz w:val="22"/>
          <w:szCs w:val="22"/>
        </w:rPr>
      </w:pPr>
      <w:r w:rsidRPr="00A42FE8">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1E154BA" w14:textId="77777777" w:rsidR="00A045BE" w:rsidRPr="00A42FE8" w:rsidRDefault="00A045BE">
      <w:pPr>
        <w:ind w:left="851" w:right="899"/>
        <w:jc w:val="both"/>
        <w:rPr>
          <w:rFonts w:ascii="Palatino Linotype" w:eastAsia="Palatino Linotype" w:hAnsi="Palatino Linotype" w:cs="Palatino Linotype"/>
          <w:i/>
          <w:sz w:val="22"/>
          <w:szCs w:val="22"/>
        </w:rPr>
      </w:pPr>
    </w:p>
    <w:p w14:paraId="1C7C607A" w14:textId="77777777" w:rsidR="00A045BE" w:rsidRPr="00A42FE8" w:rsidRDefault="00DD7B69">
      <w:pPr>
        <w:spacing w:line="276" w:lineRule="auto"/>
        <w:ind w:left="851" w:right="616"/>
        <w:jc w:val="both"/>
        <w:rPr>
          <w:rFonts w:ascii="Palatino Linotype" w:eastAsia="Palatino Linotype" w:hAnsi="Palatino Linotype" w:cs="Palatino Linotype"/>
          <w:i/>
          <w:sz w:val="22"/>
          <w:szCs w:val="22"/>
        </w:rPr>
      </w:pPr>
      <w:r w:rsidRPr="00A42FE8">
        <w:rPr>
          <w:rFonts w:ascii="Palatino Linotype" w:eastAsia="Palatino Linotype" w:hAnsi="Palatino Linotype" w:cs="Palatino Linotype"/>
          <w:i/>
          <w:sz w:val="22"/>
          <w:szCs w:val="22"/>
        </w:rPr>
        <w:t>“</w:t>
      </w:r>
      <w:r w:rsidRPr="00A42FE8">
        <w:rPr>
          <w:rFonts w:ascii="Palatino Linotype" w:eastAsia="Palatino Linotype" w:hAnsi="Palatino Linotype" w:cs="Palatino Linotype"/>
          <w:b/>
          <w:i/>
          <w:sz w:val="22"/>
          <w:szCs w:val="22"/>
        </w:rPr>
        <w:t xml:space="preserve">Artículo 3. </w:t>
      </w:r>
      <w:r w:rsidRPr="00A42FE8">
        <w:rPr>
          <w:rFonts w:ascii="Palatino Linotype" w:eastAsia="Palatino Linotype" w:hAnsi="Palatino Linotype" w:cs="Palatino Linotype"/>
          <w:i/>
          <w:sz w:val="22"/>
          <w:szCs w:val="22"/>
        </w:rPr>
        <w:t>Para los efectos de la presente Ley se entenderá por:</w:t>
      </w:r>
    </w:p>
    <w:p w14:paraId="6A8DFA4A" w14:textId="77777777" w:rsidR="00A045BE" w:rsidRPr="00A42FE8" w:rsidRDefault="00DD7B69">
      <w:pPr>
        <w:spacing w:line="276" w:lineRule="auto"/>
        <w:ind w:left="851" w:right="616"/>
        <w:jc w:val="both"/>
        <w:rPr>
          <w:rFonts w:ascii="Palatino Linotype" w:eastAsia="Palatino Linotype" w:hAnsi="Palatino Linotype" w:cs="Palatino Linotype"/>
          <w:i/>
          <w:sz w:val="22"/>
          <w:szCs w:val="22"/>
        </w:rPr>
      </w:pPr>
      <w:r w:rsidRPr="00A42FE8">
        <w:rPr>
          <w:rFonts w:ascii="Palatino Linotype" w:eastAsia="Palatino Linotype" w:hAnsi="Palatino Linotype" w:cs="Palatino Linotype"/>
          <w:i/>
          <w:sz w:val="22"/>
          <w:szCs w:val="22"/>
        </w:rPr>
        <w:t>…</w:t>
      </w:r>
    </w:p>
    <w:p w14:paraId="63C7DE25" w14:textId="77777777" w:rsidR="00A045BE" w:rsidRPr="00A42FE8" w:rsidRDefault="00DD7B69">
      <w:pPr>
        <w:spacing w:line="276" w:lineRule="auto"/>
        <w:ind w:left="851" w:right="616"/>
        <w:jc w:val="both"/>
        <w:rPr>
          <w:rFonts w:ascii="Palatino Linotype" w:eastAsia="Palatino Linotype" w:hAnsi="Palatino Linotype" w:cs="Palatino Linotype"/>
          <w:i/>
          <w:sz w:val="22"/>
          <w:szCs w:val="22"/>
        </w:rPr>
      </w:pPr>
      <w:r w:rsidRPr="00A42FE8">
        <w:rPr>
          <w:rFonts w:ascii="Palatino Linotype" w:eastAsia="Palatino Linotype" w:hAnsi="Palatino Linotype" w:cs="Palatino Linotype"/>
          <w:b/>
          <w:i/>
          <w:sz w:val="22"/>
          <w:szCs w:val="22"/>
        </w:rPr>
        <w:t>XI. Documento:</w:t>
      </w:r>
      <w:r w:rsidRPr="00A42FE8">
        <w:rPr>
          <w:rFonts w:ascii="Palatino Linotype" w:eastAsia="Palatino Linotype" w:hAnsi="Palatino Linotype" w:cs="Palatino Linotype"/>
          <w:i/>
          <w:sz w:val="22"/>
          <w:szCs w:val="22"/>
        </w:rPr>
        <w:t xml:space="preserve"> Los expedientes, reportes, estudios, actas</w:t>
      </w:r>
      <w:r w:rsidRPr="00A42FE8">
        <w:rPr>
          <w:rFonts w:ascii="Palatino Linotype" w:eastAsia="Palatino Linotype" w:hAnsi="Palatino Linotype" w:cs="Palatino Linotype"/>
          <w:b/>
          <w:i/>
          <w:sz w:val="22"/>
          <w:szCs w:val="22"/>
        </w:rPr>
        <w:t>,</w:t>
      </w:r>
      <w:r w:rsidRPr="00A42FE8">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05A2158D" w14:textId="77777777" w:rsidR="00A045BE" w:rsidRPr="00A42FE8" w:rsidRDefault="00A045BE">
      <w:pPr>
        <w:ind w:left="851" w:right="899"/>
        <w:jc w:val="both"/>
        <w:rPr>
          <w:rFonts w:ascii="Palatino Linotype" w:eastAsia="Palatino Linotype" w:hAnsi="Palatino Linotype" w:cs="Palatino Linotype"/>
          <w:sz w:val="22"/>
          <w:szCs w:val="22"/>
        </w:rPr>
      </w:pPr>
    </w:p>
    <w:p w14:paraId="3621691D" w14:textId="77777777" w:rsidR="00A045BE" w:rsidRPr="00A42FE8" w:rsidRDefault="00DD7B69">
      <w:pPr>
        <w:spacing w:line="360" w:lineRule="auto"/>
        <w:jc w:val="both"/>
        <w:rPr>
          <w:rFonts w:ascii="Palatino Linotype" w:eastAsia="Palatino Linotype" w:hAnsi="Palatino Linotype" w:cs="Palatino Linotype"/>
          <w:sz w:val="22"/>
          <w:szCs w:val="22"/>
        </w:rPr>
      </w:pPr>
      <w:r w:rsidRPr="00A42FE8">
        <w:rPr>
          <w:rFonts w:ascii="Palatino Linotype" w:eastAsia="Palatino Linotype" w:hAnsi="Palatino Linotype" w:cs="Palatino Linotype"/>
          <w:sz w:val="22"/>
          <w:szCs w:val="22"/>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w:t>
      </w:r>
      <w:r w:rsidRPr="00A42FE8">
        <w:rPr>
          <w:rFonts w:ascii="Palatino Linotype" w:eastAsia="Palatino Linotype" w:hAnsi="Palatino Linotype" w:cs="Palatino Linotype"/>
          <w:sz w:val="22"/>
          <w:szCs w:val="22"/>
        </w:rPr>
        <w:lastRenderedPageBreak/>
        <w:t>del Estado Libre y Soberano de México “Gaceta del Gobierno”, el diecinueve de octubre de dos mil once, cuyo rubro y texto refieren lo siguiente:</w:t>
      </w:r>
    </w:p>
    <w:p w14:paraId="3ACA3B6D" w14:textId="77777777" w:rsidR="00A045BE" w:rsidRPr="00A42FE8" w:rsidRDefault="00A045BE">
      <w:pPr>
        <w:ind w:left="851" w:right="899"/>
        <w:jc w:val="both"/>
        <w:rPr>
          <w:rFonts w:ascii="Palatino Linotype" w:eastAsia="Palatino Linotype" w:hAnsi="Palatino Linotype" w:cs="Palatino Linotype"/>
          <w:sz w:val="22"/>
          <w:szCs w:val="22"/>
        </w:rPr>
      </w:pPr>
    </w:p>
    <w:p w14:paraId="7B569FC8" w14:textId="77777777" w:rsidR="00A045BE" w:rsidRPr="00A42FE8" w:rsidRDefault="00DD7B69">
      <w:pPr>
        <w:spacing w:line="276" w:lineRule="auto"/>
        <w:ind w:left="851" w:right="616"/>
        <w:jc w:val="both"/>
        <w:rPr>
          <w:rFonts w:ascii="Palatino Linotype" w:eastAsia="Palatino Linotype" w:hAnsi="Palatino Linotype" w:cs="Palatino Linotype"/>
          <w:b/>
          <w:i/>
          <w:sz w:val="22"/>
          <w:szCs w:val="22"/>
        </w:rPr>
      </w:pPr>
      <w:r w:rsidRPr="00A42FE8">
        <w:rPr>
          <w:rFonts w:ascii="Palatino Linotype" w:eastAsia="Palatino Linotype" w:hAnsi="Palatino Linotype" w:cs="Palatino Linotype"/>
          <w:b/>
          <w:sz w:val="22"/>
          <w:szCs w:val="22"/>
        </w:rPr>
        <w:t>“</w:t>
      </w:r>
      <w:r w:rsidRPr="00A42FE8">
        <w:rPr>
          <w:rFonts w:ascii="Palatino Linotype" w:eastAsia="Palatino Linotype" w:hAnsi="Palatino Linotype" w:cs="Palatino Linotype"/>
          <w:b/>
          <w:i/>
          <w:sz w:val="22"/>
          <w:szCs w:val="22"/>
        </w:rPr>
        <w:t>CRITERIO 0002-11</w:t>
      </w:r>
    </w:p>
    <w:p w14:paraId="453CBE08" w14:textId="77777777" w:rsidR="00A045BE" w:rsidRPr="00A42FE8" w:rsidRDefault="00DD7B69">
      <w:pPr>
        <w:spacing w:line="276" w:lineRule="auto"/>
        <w:ind w:left="851" w:right="616"/>
        <w:jc w:val="both"/>
        <w:rPr>
          <w:rFonts w:ascii="Palatino Linotype" w:eastAsia="Palatino Linotype" w:hAnsi="Palatino Linotype" w:cs="Palatino Linotype"/>
          <w:i/>
          <w:sz w:val="22"/>
          <w:szCs w:val="22"/>
        </w:rPr>
      </w:pPr>
      <w:r w:rsidRPr="00A42FE8">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A42FE8">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65314D8" w14:textId="77777777" w:rsidR="00A045BE" w:rsidRPr="00A42FE8" w:rsidRDefault="00DD7B69">
      <w:pPr>
        <w:spacing w:line="276" w:lineRule="auto"/>
        <w:ind w:left="851" w:right="616"/>
        <w:jc w:val="both"/>
        <w:rPr>
          <w:rFonts w:ascii="Palatino Linotype" w:eastAsia="Palatino Linotype" w:hAnsi="Palatino Linotype" w:cs="Palatino Linotype"/>
          <w:i/>
          <w:sz w:val="22"/>
          <w:szCs w:val="22"/>
        </w:rPr>
      </w:pPr>
      <w:r w:rsidRPr="00A42FE8">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7C53776F" w14:textId="77777777" w:rsidR="00A045BE" w:rsidRPr="00A42FE8" w:rsidRDefault="00DD7B69">
      <w:pPr>
        <w:spacing w:line="276" w:lineRule="auto"/>
        <w:ind w:left="851" w:right="616"/>
        <w:jc w:val="both"/>
        <w:rPr>
          <w:rFonts w:ascii="Palatino Linotype" w:eastAsia="Palatino Linotype" w:hAnsi="Palatino Linotype" w:cs="Palatino Linotype"/>
          <w:i/>
          <w:sz w:val="22"/>
          <w:szCs w:val="22"/>
        </w:rPr>
      </w:pPr>
      <w:r w:rsidRPr="00A42FE8">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2919DCC7" w14:textId="77777777" w:rsidR="00A045BE" w:rsidRPr="00A42FE8" w:rsidRDefault="00DD7B69">
      <w:pPr>
        <w:spacing w:line="276" w:lineRule="auto"/>
        <w:ind w:left="851" w:right="616"/>
        <w:jc w:val="both"/>
        <w:rPr>
          <w:rFonts w:ascii="Palatino Linotype" w:eastAsia="Palatino Linotype" w:hAnsi="Palatino Linotype" w:cs="Palatino Linotype"/>
          <w:b/>
          <w:i/>
          <w:sz w:val="22"/>
          <w:szCs w:val="22"/>
        </w:rPr>
      </w:pPr>
      <w:r w:rsidRPr="00A42FE8">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60379715" w14:textId="77777777" w:rsidR="00A045BE" w:rsidRPr="00A42FE8" w:rsidRDefault="00DD7B69">
      <w:pPr>
        <w:spacing w:line="276" w:lineRule="auto"/>
        <w:ind w:left="851" w:right="616"/>
        <w:jc w:val="both"/>
        <w:rPr>
          <w:rFonts w:ascii="Palatino Linotype" w:eastAsia="Palatino Linotype" w:hAnsi="Palatino Linotype" w:cs="Palatino Linotype"/>
          <w:b/>
          <w:i/>
          <w:sz w:val="22"/>
          <w:szCs w:val="22"/>
        </w:rPr>
      </w:pPr>
      <w:r w:rsidRPr="00A42FE8">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Obligados.”(Sic)</w:t>
      </w:r>
    </w:p>
    <w:p w14:paraId="4FABE3D5" w14:textId="77777777" w:rsidR="00A045BE" w:rsidRPr="00A42FE8" w:rsidRDefault="00A045BE">
      <w:pPr>
        <w:spacing w:line="360" w:lineRule="auto"/>
        <w:jc w:val="both"/>
        <w:rPr>
          <w:rFonts w:ascii="Palatino Linotype" w:eastAsia="Palatino Linotype" w:hAnsi="Palatino Linotype" w:cs="Palatino Linotype"/>
          <w:sz w:val="22"/>
          <w:szCs w:val="22"/>
        </w:rPr>
      </w:pPr>
    </w:p>
    <w:p w14:paraId="10504F1A" w14:textId="77777777" w:rsidR="00A045BE" w:rsidRPr="00A42FE8" w:rsidRDefault="00DD7B69">
      <w:pPr>
        <w:spacing w:line="360" w:lineRule="auto"/>
        <w:jc w:val="both"/>
        <w:rPr>
          <w:rFonts w:ascii="Palatino Linotype" w:eastAsia="Palatino Linotype" w:hAnsi="Palatino Linotype" w:cs="Palatino Linotype"/>
          <w:sz w:val="22"/>
          <w:szCs w:val="22"/>
        </w:rPr>
      </w:pPr>
      <w:r w:rsidRPr="00A42FE8">
        <w:rPr>
          <w:rFonts w:ascii="Palatino Linotype" w:eastAsia="Palatino Linotype" w:hAnsi="Palatino Linotype" w:cs="Palatino Linotype"/>
          <w:sz w:val="22"/>
          <w:szCs w:val="22"/>
        </w:rPr>
        <w:t xml:space="preserve">Ahora bien, del análisis de la solicitud de información pública que motivó el recurso de revisión que ahora se resuelve, se advierte que el particular requirió a la Comisión de Derechos Humanos del Estado de México, lo siguiente: </w:t>
      </w:r>
    </w:p>
    <w:p w14:paraId="73F7616C" w14:textId="77777777" w:rsidR="00A045BE" w:rsidRPr="00A42FE8" w:rsidRDefault="00A045BE">
      <w:pPr>
        <w:spacing w:line="360" w:lineRule="auto"/>
        <w:jc w:val="both"/>
        <w:rPr>
          <w:rFonts w:ascii="Palatino Linotype" w:eastAsia="Palatino Linotype" w:hAnsi="Palatino Linotype" w:cs="Palatino Linotype"/>
          <w:sz w:val="22"/>
          <w:szCs w:val="22"/>
        </w:rPr>
      </w:pPr>
    </w:p>
    <w:p w14:paraId="74616949" w14:textId="77777777" w:rsidR="00A045BE" w:rsidRPr="00A42FE8" w:rsidRDefault="00DD7B69">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A42FE8">
        <w:rPr>
          <w:rFonts w:ascii="Palatino Linotype" w:eastAsia="Palatino Linotype" w:hAnsi="Palatino Linotype" w:cs="Palatino Linotype"/>
          <w:b/>
          <w:sz w:val="22"/>
          <w:szCs w:val="22"/>
        </w:rPr>
        <w:t xml:space="preserve">Convenio de colaboración entre la CODHEM y la empresa Certificados Integrales Funcionales, S. A de C.V., firmado en el año 2013 y los convenios subsecuentes. </w:t>
      </w:r>
    </w:p>
    <w:p w14:paraId="58111BDD" w14:textId="77777777" w:rsidR="00A045BE" w:rsidRPr="00A42FE8" w:rsidRDefault="00A045BE">
      <w:pPr>
        <w:spacing w:line="360" w:lineRule="auto"/>
        <w:ind w:right="49"/>
        <w:jc w:val="both"/>
        <w:rPr>
          <w:rFonts w:ascii="Palatino Linotype" w:eastAsia="Palatino Linotype" w:hAnsi="Palatino Linotype" w:cs="Palatino Linotype"/>
          <w:sz w:val="22"/>
          <w:szCs w:val="22"/>
        </w:rPr>
      </w:pPr>
    </w:p>
    <w:p w14:paraId="2366E15A" w14:textId="77777777" w:rsidR="00A045BE" w:rsidRPr="00A42FE8" w:rsidRDefault="00DD7B69">
      <w:pPr>
        <w:spacing w:line="360" w:lineRule="auto"/>
        <w:ind w:right="49"/>
        <w:jc w:val="both"/>
        <w:rPr>
          <w:rFonts w:ascii="Palatino Linotype" w:eastAsia="Palatino Linotype" w:hAnsi="Palatino Linotype" w:cs="Palatino Linotype"/>
          <w:sz w:val="22"/>
          <w:szCs w:val="22"/>
        </w:rPr>
      </w:pPr>
      <w:r w:rsidRPr="00A42FE8">
        <w:rPr>
          <w:rFonts w:ascii="Palatino Linotype" w:eastAsia="Palatino Linotype" w:hAnsi="Palatino Linotype" w:cs="Palatino Linotype"/>
          <w:sz w:val="22"/>
          <w:szCs w:val="22"/>
        </w:rPr>
        <w:lastRenderedPageBreak/>
        <w:t xml:space="preserve">En respuesta, el </w:t>
      </w:r>
      <w:r w:rsidRPr="00A42FE8">
        <w:rPr>
          <w:rFonts w:ascii="Palatino Linotype" w:eastAsia="Palatino Linotype" w:hAnsi="Palatino Linotype" w:cs="Palatino Linotype"/>
          <w:b/>
          <w:sz w:val="22"/>
          <w:szCs w:val="22"/>
        </w:rPr>
        <w:t xml:space="preserve">Sujeto Obligado </w:t>
      </w:r>
      <w:r w:rsidRPr="00A42FE8">
        <w:rPr>
          <w:rFonts w:ascii="Palatino Linotype" w:eastAsia="Palatino Linotype" w:hAnsi="Palatino Linotype" w:cs="Palatino Linotype"/>
          <w:sz w:val="22"/>
          <w:szCs w:val="22"/>
        </w:rPr>
        <w:t>a través de la Unidad Jurídica y Consultiva, informó que derivado de una búsqueda exhaustiva y razonable en sus archivos de los periodos aludidos, se desprende que no se ha celebrado Convenio alguno entre la Comisión de Derechos Humanos del Estado de México y la empresa Certificados Integrales Funcionales, SA de CV.</w:t>
      </w:r>
    </w:p>
    <w:p w14:paraId="3CDFFB09" w14:textId="77777777" w:rsidR="00A045BE" w:rsidRPr="00A42FE8" w:rsidRDefault="00A045BE">
      <w:pPr>
        <w:spacing w:line="360" w:lineRule="auto"/>
        <w:ind w:right="49"/>
        <w:jc w:val="both"/>
        <w:rPr>
          <w:rFonts w:ascii="Palatino Linotype" w:eastAsia="Palatino Linotype" w:hAnsi="Palatino Linotype" w:cs="Palatino Linotype"/>
          <w:sz w:val="22"/>
          <w:szCs w:val="22"/>
        </w:rPr>
      </w:pPr>
    </w:p>
    <w:p w14:paraId="77AE4ABA" w14:textId="77777777" w:rsidR="00A045BE" w:rsidRPr="00A42FE8" w:rsidRDefault="00DD7B69">
      <w:pPr>
        <w:spacing w:line="360" w:lineRule="auto"/>
        <w:ind w:right="49"/>
        <w:jc w:val="both"/>
        <w:rPr>
          <w:rFonts w:ascii="Palatino Linotype" w:eastAsia="Palatino Linotype" w:hAnsi="Palatino Linotype" w:cs="Palatino Linotype"/>
          <w:sz w:val="22"/>
          <w:szCs w:val="22"/>
        </w:rPr>
      </w:pPr>
      <w:r w:rsidRPr="00A42FE8">
        <w:rPr>
          <w:rFonts w:ascii="Palatino Linotype" w:eastAsia="Palatino Linotype" w:hAnsi="Palatino Linotype" w:cs="Palatino Linotype"/>
          <w:sz w:val="22"/>
          <w:szCs w:val="22"/>
        </w:rPr>
        <w:t xml:space="preserve">No conforme con la respuesta la parte </w:t>
      </w:r>
      <w:r w:rsidRPr="00A42FE8">
        <w:rPr>
          <w:rFonts w:ascii="Palatino Linotype" w:eastAsia="Palatino Linotype" w:hAnsi="Palatino Linotype" w:cs="Palatino Linotype"/>
          <w:b/>
          <w:sz w:val="22"/>
          <w:szCs w:val="22"/>
        </w:rPr>
        <w:t>Recurrente</w:t>
      </w:r>
      <w:r w:rsidRPr="00A42FE8">
        <w:rPr>
          <w:rFonts w:ascii="Palatino Linotype" w:eastAsia="Palatino Linotype" w:hAnsi="Palatino Linotype" w:cs="Palatino Linotype"/>
          <w:sz w:val="22"/>
          <w:szCs w:val="22"/>
        </w:rPr>
        <w:t xml:space="preserve"> interpuso el recurso de revisión que se analiza en el presente asunto, por medio del cual se inconformó en lo medular por la negativa de la información solicitada.</w:t>
      </w:r>
    </w:p>
    <w:p w14:paraId="7475C631" w14:textId="77777777" w:rsidR="00A045BE" w:rsidRPr="00A42FE8" w:rsidRDefault="00A045BE">
      <w:pPr>
        <w:spacing w:line="360" w:lineRule="auto"/>
        <w:ind w:right="49"/>
        <w:jc w:val="both"/>
        <w:rPr>
          <w:rFonts w:ascii="Palatino Linotype" w:eastAsia="Palatino Linotype" w:hAnsi="Palatino Linotype" w:cs="Palatino Linotype"/>
          <w:sz w:val="22"/>
          <w:szCs w:val="22"/>
        </w:rPr>
      </w:pPr>
    </w:p>
    <w:p w14:paraId="6541331F" w14:textId="77777777" w:rsidR="00A045BE" w:rsidRPr="00A42FE8" w:rsidRDefault="00DD7B69">
      <w:pPr>
        <w:spacing w:line="360" w:lineRule="auto"/>
        <w:jc w:val="both"/>
        <w:rPr>
          <w:rFonts w:ascii="Palatino Linotype" w:eastAsia="Palatino Linotype" w:hAnsi="Palatino Linotype" w:cs="Palatino Linotype"/>
          <w:i/>
          <w:sz w:val="22"/>
          <w:szCs w:val="22"/>
        </w:rPr>
      </w:pPr>
      <w:r w:rsidRPr="00A42FE8">
        <w:rPr>
          <w:rFonts w:ascii="Palatino Linotype" w:eastAsia="Palatino Linotype" w:hAnsi="Palatino Linotype" w:cs="Palatino Linotype"/>
          <w:sz w:val="22"/>
          <w:szCs w:val="22"/>
        </w:rPr>
        <w:t xml:space="preserve">Ante la interposición del recurso de revisión el </w:t>
      </w:r>
      <w:r w:rsidRPr="00A42FE8">
        <w:rPr>
          <w:rFonts w:ascii="Palatino Linotype" w:eastAsia="Palatino Linotype" w:hAnsi="Palatino Linotype" w:cs="Palatino Linotype"/>
          <w:b/>
          <w:sz w:val="22"/>
          <w:szCs w:val="22"/>
        </w:rPr>
        <w:t>Sujeto Obligado</w:t>
      </w:r>
      <w:r w:rsidRPr="00A42FE8">
        <w:rPr>
          <w:rFonts w:ascii="Palatino Linotype" w:eastAsia="Palatino Linotype" w:hAnsi="Palatino Linotype" w:cs="Palatino Linotype"/>
          <w:sz w:val="22"/>
          <w:szCs w:val="22"/>
        </w:rPr>
        <w:t xml:space="preserve">, rindió su informe justificado mediante el cual la Unidad Jurídica y Consultiva ratificó que la respuesta brindada a la solicitud derivó de la búsqueda exhaustiva realizada con base en el año señalado en la solicitud (2013) y, bajo el principio de máxima publicidad, hasta el año 2025, sin que se haya obtenido documento alguno, por lo que se tiene certeza de que en el año 2013, no se signó con Certificados Integrales Funcionales, SA de CV el convenio alegado por la persona solicitante, ni convenios subsecuentes; considerando que los conceptos de impugnación hechos valer por la parte </w:t>
      </w:r>
      <w:r w:rsidRPr="00A42FE8">
        <w:rPr>
          <w:rFonts w:ascii="Palatino Linotype" w:eastAsia="Palatino Linotype" w:hAnsi="Palatino Linotype" w:cs="Palatino Linotype"/>
          <w:b/>
          <w:sz w:val="22"/>
          <w:szCs w:val="22"/>
        </w:rPr>
        <w:t>Recurrente</w:t>
      </w:r>
      <w:r w:rsidRPr="00A42FE8">
        <w:rPr>
          <w:rFonts w:ascii="Palatino Linotype" w:eastAsia="Palatino Linotype" w:hAnsi="Palatino Linotype" w:cs="Palatino Linotype"/>
          <w:sz w:val="22"/>
          <w:szCs w:val="22"/>
        </w:rPr>
        <w:t xml:space="preserve">, son improcedentes solicitando se sobresea el presente asunto. </w:t>
      </w:r>
    </w:p>
    <w:p w14:paraId="115306B4" w14:textId="77777777" w:rsidR="00A045BE" w:rsidRPr="00A42FE8" w:rsidRDefault="00A045BE">
      <w:pPr>
        <w:spacing w:line="360" w:lineRule="auto"/>
        <w:jc w:val="both"/>
        <w:rPr>
          <w:rFonts w:ascii="Palatino Linotype" w:eastAsia="Palatino Linotype" w:hAnsi="Palatino Linotype" w:cs="Palatino Linotype"/>
          <w:sz w:val="22"/>
          <w:szCs w:val="22"/>
        </w:rPr>
      </w:pPr>
    </w:p>
    <w:p w14:paraId="3934E415" w14:textId="77777777" w:rsidR="00A045BE" w:rsidRPr="00A42FE8" w:rsidRDefault="00DD7B69">
      <w:pPr>
        <w:spacing w:line="360" w:lineRule="auto"/>
        <w:jc w:val="both"/>
        <w:rPr>
          <w:rFonts w:ascii="Palatino Linotype" w:eastAsia="Palatino Linotype" w:hAnsi="Palatino Linotype" w:cs="Palatino Linotype"/>
          <w:sz w:val="22"/>
          <w:szCs w:val="22"/>
        </w:rPr>
      </w:pPr>
      <w:r w:rsidRPr="00A42FE8">
        <w:rPr>
          <w:rFonts w:ascii="Palatino Linotype" w:eastAsia="Palatino Linotype" w:hAnsi="Palatino Linotype" w:cs="Palatino Linotype"/>
          <w:sz w:val="22"/>
          <w:szCs w:val="22"/>
        </w:rPr>
        <w:t xml:space="preserve">Con base en lo precedente, se determina que la información proporcionada por el </w:t>
      </w:r>
      <w:r w:rsidRPr="00A42FE8">
        <w:rPr>
          <w:rFonts w:ascii="Palatino Linotype" w:eastAsia="Palatino Linotype" w:hAnsi="Palatino Linotype" w:cs="Palatino Linotype"/>
          <w:b/>
          <w:sz w:val="22"/>
          <w:szCs w:val="22"/>
        </w:rPr>
        <w:t>Sujeto Obligado</w:t>
      </w:r>
      <w:r w:rsidRPr="00A42FE8">
        <w:rPr>
          <w:rFonts w:ascii="Palatino Linotype" w:eastAsia="Palatino Linotype" w:hAnsi="Palatino Linotype" w:cs="Palatino Linotype"/>
          <w:sz w:val="22"/>
          <w:szCs w:val="22"/>
        </w:rPr>
        <w:t xml:space="preserve"> en su respuesta, cumple con lo establecido por los artículos 4, 12 y 24 último párrafo de la Ley de Transparencia y Acceso a la Información Pública del Estado de México y Municipios; por ello, los motivos de inconformidad acontecen infundados para modificar </w:t>
      </w:r>
      <w:r w:rsidRPr="00A42FE8">
        <w:rPr>
          <w:rFonts w:ascii="Palatino Linotype" w:eastAsia="Palatino Linotype" w:hAnsi="Palatino Linotype" w:cs="Palatino Linotype"/>
          <w:sz w:val="22"/>
          <w:szCs w:val="22"/>
        </w:rPr>
        <w:lastRenderedPageBreak/>
        <w:t xml:space="preserve">o revocar la respuesta del </w:t>
      </w:r>
      <w:r w:rsidRPr="00A42FE8">
        <w:rPr>
          <w:rFonts w:ascii="Palatino Linotype" w:eastAsia="Palatino Linotype" w:hAnsi="Palatino Linotype" w:cs="Palatino Linotype"/>
          <w:b/>
          <w:sz w:val="22"/>
          <w:szCs w:val="22"/>
        </w:rPr>
        <w:t>Sujeto Obligado</w:t>
      </w:r>
      <w:r w:rsidRPr="00A42FE8">
        <w:rPr>
          <w:rFonts w:ascii="Palatino Linotype" w:eastAsia="Palatino Linotype" w:hAnsi="Palatino Linotype" w:cs="Palatino Linotype"/>
          <w:sz w:val="22"/>
          <w:szCs w:val="22"/>
        </w:rPr>
        <w:t xml:space="preserve"> en razón de las consideraciones de derecho que a continuación se exponen:</w:t>
      </w:r>
    </w:p>
    <w:p w14:paraId="3D1ED86A" w14:textId="77777777" w:rsidR="00A045BE" w:rsidRPr="00A42FE8" w:rsidRDefault="00A045BE">
      <w:pPr>
        <w:spacing w:line="360" w:lineRule="auto"/>
        <w:jc w:val="both"/>
        <w:rPr>
          <w:rFonts w:ascii="Palatino Linotype" w:eastAsia="Palatino Linotype" w:hAnsi="Palatino Linotype" w:cs="Palatino Linotype"/>
          <w:sz w:val="22"/>
          <w:szCs w:val="22"/>
        </w:rPr>
      </w:pPr>
    </w:p>
    <w:p w14:paraId="63612BBA" w14:textId="77777777" w:rsidR="00A045BE" w:rsidRPr="00A42FE8" w:rsidRDefault="00DD7B69">
      <w:pPr>
        <w:spacing w:line="360" w:lineRule="auto"/>
        <w:jc w:val="both"/>
        <w:rPr>
          <w:rFonts w:ascii="Palatino Linotype" w:eastAsia="Palatino Linotype" w:hAnsi="Palatino Linotype" w:cs="Palatino Linotype"/>
          <w:sz w:val="22"/>
          <w:szCs w:val="22"/>
        </w:rPr>
      </w:pPr>
      <w:bookmarkStart w:id="3" w:name="_heading=h.3znysh7" w:colFirst="0" w:colLast="0"/>
      <w:bookmarkEnd w:id="3"/>
      <w:r w:rsidRPr="00A42FE8">
        <w:rPr>
          <w:rFonts w:ascii="Palatino Linotype" w:eastAsia="Palatino Linotype" w:hAnsi="Palatino Linotype" w:cs="Palatino Linotype"/>
          <w:sz w:val="22"/>
          <w:szCs w:val="22"/>
        </w:rPr>
        <w:t xml:space="preserve">De una revisión a la respuesta se advierte que esta fue proporcionada por la Unidad Jurídica y Consultiva del </w:t>
      </w:r>
      <w:r w:rsidRPr="00A42FE8">
        <w:rPr>
          <w:rFonts w:ascii="Palatino Linotype" w:eastAsia="Palatino Linotype" w:hAnsi="Palatino Linotype" w:cs="Palatino Linotype"/>
          <w:b/>
          <w:sz w:val="22"/>
          <w:szCs w:val="22"/>
        </w:rPr>
        <w:t>Sujeto Obligado</w:t>
      </w:r>
      <w:r w:rsidRPr="00A42FE8">
        <w:rPr>
          <w:rFonts w:ascii="Palatino Linotype" w:eastAsia="Palatino Linotype" w:hAnsi="Palatino Linotype" w:cs="Palatino Linotype"/>
          <w:sz w:val="22"/>
          <w:szCs w:val="22"/>
        </w:rPr>
        <w:t xml:space="preserve">, siendo el área competente para conocer de la información solicitada en términos de lo señalado por el artículo 96 </w:t>
      </w:r>
      <w:proofErr w:type="spellStart"/>
      <w:r w:rsidRPr="00A42FE8">
        <w:rPr>
          <w:rFonts w:ascii="Palatino Linotype" w:eastAsia="Palatino Linotype" w:hAnsi="Palatino Linotype" w:cs="Palatino Linotype"/>
          <w:sz w:val="22"/>
          <w:szCs w:val="22"/>
        </w:rPr>
        <w:t>Quáter</w:t>
      </w:r>
      <w:proofErr w:type="spellEnd"/>
      <w:r w:rsidRPr="00A42FE8">
        <w:rPr>
          <w:rFonts w:ascii="Palatino Linotype" w:eastAsia="Palatino Linotype" w:hAnsi="Palatino Linotype" w:cs="Palatino Linotype"/>
          <w:sz w:val="22"/>
          <w:szCs w:val="22"/>
        </w:rPr>
        <w:t xml:space="preserve"> de la Ley Orgánica Municipal del Estado de México, que señala:</w:t>
      </w:r>
    </w:p>
    <w:p w14:paraId="21D77AE1" w14:textId="77777777" w:rsidR="00A045BE" w:rsidRPr="00A42FE8" w:rsidRDefault="00A045BE">
      <w:pPr>
        <w:spacing w:line="360" w:lineRule="auto"/>
        <w:jc w:val="both"/>
        <w:rPr>
          <w:rFonts w:ascii="Palatino Linotype" w:eastAsia="Palatino Linotype" w:hAnsi="Palatino Linotype" w:cs="Palatino Linotype"/>
          <w:sz w:val="22"/>
          <w:szCs w:val="22"/>
        </w:rPr>
      </w:pPr>
    </w:p>
    <w:p w14:paraId="6291CA53" w14:textId="77777777" w:rsidR="00A045BE" w:rsidRPr="00A42FE8" w:rsidRDefault="00DD7B69">
      <w:pPr>
        <w:spacing w:line="276" w:lineRule="auto"/>
        <w:ind w:left="851" w:right="616"/>
        <w:jc w:val="both"/>
        <w:rPr>
          <w:rFonts w:ascii="Palatino Linotype" w:eastAsia="Palatino Linotype" w:hAnsi="Palatino Linotype" w:cs="Palatino Linotype"/>
          <w:b/>
          <w:i/>
          <w:sz w:val="22"/>
          <w:szCs w:val="22"/>
        </w:rPr>
      </w:pPr>
      <w:r w:rsidRPr="00A42FE8">
        <w:rPr>
          <w:rFonts w:ascii="Palatino Linotype" w:eastAsia="Palatino Linotype" w:hAnsi="Palatino Linotype" w:cs="Palatino Linotype"/>
          <w:i/>
          <w:sz w:val="22"/>
          <w:szCs w:val="22"/>
        </w:rPr>
        <w:t>“</w:t>
      </w:r>
      <w:r w:rsidRPr="00A42FE8">
        <w:rPr>
          <w:rFonts w:ascii="Palatino Linotype" w:eastAsia="Palatino Linotype" w:hAnsi="Palatino Linotype" w:cs="Palatino Linotype"/>
          <w:b/>
          <w:i/>
          <w:sz w:val="22"/>
          <w:szCs w:val="22"/>
        </w:rPr>
        <w:t>Atribuciones de la Unidad Jurídica y Consultiva</w:t>
      </w:r>
    </w:p>
    <w:p w14:paraId="0E0BC206" w14:textId="77777777" w:rsidR="00A045BE" w:rsidRPr="00A42FE8" w:rsidRDefault="00DD7B69">
      <w:pPr>
        <w:spacing w:line="276" w:lineRule="auto"/>
        <w:ind w:left="851" w:right="616"/>
        <w:jc w:val="both"/>
        <w:rPr>
          <w:rFonts w:ascii="Palatino Linotype" w:eastAsia="Palatino Linotype" w:hAnsi="Palatino Linotype" w:cs="Palatino Linotype"/>
          <w:i/>
          <w:sz w:val="22"/>
          <w:szCs w:val="22"/>
        </w:rPr>
      </w:pPr>
      <w:r w:rsidRPr="00A42FE8">
        <w:rPr>
          <w:rFonts w:ascii="Palatino Linotype" w:eastAsia="Palatino Linotype" w:hAnsi="Palatino Linotype" w:cs="Palatino Linotype"/>
          <w:b/>
          <w:i/>
          <w:sz w:val="22"/>
          <w:szCs w:val="22"/>
        </w:rPr>
        <w:t>Artículo 26.-</w:t>
      </w:r>
      <w:r w:rsidRPr="00A42FE8">
        <w:rPr>
          <w:rFonts w:ascii="Palatino Linotype" w:eastAsia="Palatino Linotype" w:hAnsi="Palatino Linotype" w:cs="Palatino Linotype"/>
          <w:i/>
          <w:sz w:val="22"/>
          <w:szCs w:val="22"/>
        </w:rPr>
        <w:t xml:space="preserve"> Corresponde a la </w:t>
      </w:r>
      <w:r w:rsidRPr="00A42FE8">
        <w:rPr>
          <w:rFonts w:ascii="Palatino Linotype" w:eastAsia="Palatino Linotype" w:hAnsi="Palatino Linotype" w:cs="Palatino Linotype"/>
          <w:b/>
          <w:i/>
          <w:sz w:val="22"/>
          <w:szCs w:val="22"/>
        </w:rPr>
        <w:t>Unidad Jurídica y Consultiva</w:t>
      </w:r>
      <w:r w:rsidRPr="00A42FE8">
        <w:rPr>
          <w:rFonts w:ascii="Palatino Linotype" w:eastAsia="Palatino Linotype" w:hAnsi="Palatino Linotype" w:cs="Palatino Linotype"/>
          <w:i/>
          <w:sz w:val="22"/>
          <w:szCs w:val="22"/>
        </w:rPr>
        <w:t>:</w:t>
      </w:r>
    </w:p>
    <w:p w14:paraId="741F1AEC" w14:textId="77777777" w:rsidR="00A045BE" w:rsidRPr="00A42FE8" w:rsidRDefault="00DD7B69">
      <w:pPr>
        <w:spacing w:line="276" w:lineRule="auto"/>
        <w:ind w:left="851" w:right="616"/>
        <w:jc w:val="both"/>
        <w:rPr>
          <w:rFonts w:ascii="Palatino Linotype" w:eastAsia="Palatino Linotype" w:hAnsi="Palatino Linotype" w:cs="Palatino Linotype"/>
          <w:i/>
          <w:sz w:val="22"/>
          <w:szCs w:val="22"/>
        </w:rPr>
      </w:pPr>
      <w:r w:rsidRPr="00A42FE8">
        <w:rPr>
          <w:rFonts w:ascii="Palatino Linotype" w:eastAsia="Palatino Linotype" w:hAnsi="Palatino Linotype" w:cs="Palatino Linotype"/>
          <w:b/>
          <w:i/>
          <w:sz w:val="22"/>
          <w:szCs w:val="22"/>
          <w:u w:val="single"/>
        </w:rPr>
        <w:t>I. Representar jurídicamente al Organismo</w:t>
      </w:r>
      <w:r w:rsidRPr="00A42FE8">
        <w:rPr>
          <w:rFonts w:ascii="Palatino Linotype" w:eastAsia="Palatino Linotype" w:hAnsi="Palatino Linotype" w:cs="Palatino Linotype"/>
          <w:b/>
          <w:i/>
          <w:sz w:val="22"/>
          <w:szCs w:val="22"/>
        </w:rPr>
        <w:t xml:space="preserve"> y a la Presidencia ante las autoridades administrativas, judiciales y del trabajo</w:t>
      </w:r>
      <w:r w:rsidRPr="00A42FE8">
        <w:rPr>
          <w:rFonts w:ascii="Palatino Linotype" w:eastAsia="Palatino Linotype" w:hAnsi="Palatino Linotype" w:cs="Palatino Linotype"/>
          <w:i/>
          <w:sz w:val="22"/>
          <w:szCs w:val="22"/>
        </w:rPr>
        <w:t>, así como en los juicios en que sean parte haciendo valer toda clase de derechos, excepciones y defensas en cualquier procedimiento;</w:t>
      </w:r>
    </w:p>
    <w:p w14:paraId="6858B928" w14:textId="77777777" w:rsidR="00A045BE" w:rsidRPr="00A42FE8" w:rsidRDefault="00DD7B69">
      <w:pPr>
        <w:spacing w:line="276" w:lineRule="auto"/>
        <w:ind w:left="851" w:right="616"/>
        <w:jc w:val="both"/>
        <w:rPr>
          <w:rFonts w:ascii="Palatino Linotype" w:eastAsia="Palatino Linotype" w:hAnsi="Palatino Linotype" w:cs="Palatino Linotype"/>
          <w:i/>
          <w:sz w:val="22"/>
          <w:szCs w:val="22"/>
        </w:rPr>
      </w:pPr>
      <w:r w:rsidRPr="00A42FE8">
        <w:rPr>
          <w:rFonts w:ascii="Palatino Linotype" w:eastAsia="Palatino Linotype" w:hAnsi="Palatino Linotype" w:cs="Palatino Linotype"/>
          <w:i/>
          <w:sz w:val="22"/>
          <w:szCs w:val="22"/>
        </w:rPr>
        <w:t>II. Asesorar y opinar sobre las consultas que en materia jurídica le formulen la Presidencia o las unidades administrativas de la Comisión;</w:t>
      </w:r>
    </w:p>
    <w:p w14:paraId="2EC42340" w14:textId="77777777" w:rsidR="00A045BE" w:rsidRPr="00A42FE8" w:rsidRDefault="00DD7B69">
      <w:pPr>
        <w:spacing w:line="276" w:lineRule="auto"/>
        <w:ind w:left="851" w:right="616"/>
        <w:jc w:val="both"/>
        <w:rPr>
          <w:rFonts w:ascii="Palatino Linotype" w:eastAsia="Palatino Linotype" w:hAnsi="Palatino Linotype" w:cs="Palatino Linotype"/>
          <w:i/>
          <w:sz w:val="22"/>
          <w:szCs w:val="22"/>
        </w:rPr>
      </w:pPr>
      <w:r w:rsidRPr="00A42FE8">
        <w:rPr>
          <w:rFonts w:ascii="Palatino Linotype" w:eastAsia="Palatino Linotype" w:hAnsi="Palatino Linotype" w:cs="Palatino Linotype"/>
          <w:i/>
          <w:sz w:val="22"/>
          <w:szCs w:val="22"/>
        </w:rPr>
        <w:t>III. Realizar, a solicitud de la Presidencia o de las áreas administrativas, el análisis jurídico de la normatividad vigente, para garantizar que en su contenido se respeten los derechos humanos;</w:t>
      </w:r>
    </w:p>
    <w:p w14:paraId="3589216C" w14:textId="77777777" w:rsidR="00A045BE" w:rsidRPr="00A42FE8" w:rsidRDefault="00DD7B69">
      <w:pPr>
        <w:spacing w:line="276" w:lineRule="auto"/>
        <w:ind w:left="851" w:right="616"/>
        <w:jc w:val="both"/>
        <w:rPr>
          <w:rFonts w:ascii="Palatino Linotype" w:eastAsia="Palatino Linotype" w:hAnsi="Palatino Linotype" w:cs="Palatino Linotype"/>
          <w:i/>
          <w:sz w:val="22"/>
          <w:szCs w:val="22"/>
        </w:rPr>
      </w:pPr>
      <w:r w:rsidRPr="00A42FE8">
        <w:rPr>
          <w:rFonts w:ascii="Palatino Linotype" w:eastAsia="Palatino Linotype" w:hAnsi="Palatino Linotype" w:cs="Palatino Linotype"/>
          <w:i/>
          <w:sz w:val="22"/>
          <w:szCs w:val="22"/>
        </w:rPr>
        <w:t>IV. Elaborar y presentar a la Presidencia proyectos e iniciativas para la abrogación, derogación o reforma de leyes, reglamentos y demás ordenamientos legales en materia de derechos humanos;</w:t>
      </w:r>
    </w:p>
    <w:p w14:paraId="68D3F789" w14:textId="77777777" w:rsidR="00A045BE" w:rsidRPr="00A42FE8" w:rsidRDefault="00DD7B69">
      <w:pPr>
        <w:spacing w:line="276" w:lineRule="auto"/>
        <w:ind w:left="851" w:right="616"/>
        <w:jc w:val="both"/>
        <w:rPr>
          <w:rFonts w:ascii="Palatino Linotype" w:eastAsia="Palatino Linotype" w:hAnsi="Palatino Linotype" w:cs="Palatino Linotype"/>
          <w:i/>
          <w:sz w:val="22"/>
          <w:szCs w:val="22"/>
        </w:rPr>
      </w:pPr>
      <w:r w:rsidRPr="00A42FE8">
        <w:rPr>
          <w:rFonts w:ascii="Palatino Linotype" w:eastAsia="Palatino Linotype" w:hAnsi="Palatino Linotype" w:cs="Palatino Linotype"/>
          <w:i/>
          <w:sz w:val="22"/>
          <w:szCs w:val="22"/>
        </w:rPr>
        <w:t>V. Elaborar, a solicitud de la Presidencia, los proyectos de acciones de inconstitucionalidad, observando lo dispuesto por la Constitución Política de los Estados Unidos Mexicanos y la Constitución Política del Estado Libre y Soberano de México;</w:t>
      </w:r>
    </w:p>
    <w:p w14:paraId="26CC31AA" w14:textId="77777777" w:rsidR="00A045BE" w:rsidRPr="00A42FE8" w:rsidRDefault="00DD7B69">
      <w:pPr>
        <w:spacing w:line="276" w:lineRule="auto"/>
        <w:ind w:left="851" w:right="616"/>
        <w:jc w:val="both"/>
        <w:rPr>
          <w:rFonts w:ascii="Palatino Linotype" w:eastAsia="Palatino Linotype" w:hAnsi="Palatino Linotype" w:cs="Palatino Linotype"/>
          <w:i/>
          <w:sz w:val="22"/>
          <w:szCs w:val="22"/>
        </w:rPr>
      </w:pPr>
      <w:r w:rsidRPr="00A42FE8">
        <w:rPr>
          <w:rFonts w:ascii="Palatino Linotype" w:eastAsia="Palatino Linotype" w:hAnsi="Palatino Linotype" w:cs="Palatino Linotype"/>
          <w:b/>
          <w:i/>
          <w:sz w:val="22"/>
          <w:szCs w:val="22"/>
          <w:u w:val="single"/>
        </w:rPr>
        <w:t>VI. Analizar, elaborar, sancionar y resguardar</w:t>
      </w:r>
      <w:r w:rsidRPr="00A42FE8">
        <w:rPr>
          <w:rFonts w:ascii="Palatino Linotype" w:eastAsia="Palatino Linotype" w:hAnsi="Palatino Linotype" w:cs="Palatino Linotype"/>
          <w:b/>
          <w:i/>
          <w:sz w:val="22"/>
          <w:szCs w:val="22"/>
        </w:rPr>
        <w:t xml:space="preserve"> </w:t>
      </w:r>
      <w:r w:rsidRPr="00A42FE8">
        <w:rPr>
          <w:rFonts w:ascii="Palatino Linotype" w:eastAsia="Palatino Linotype" w:hAnsi="Palatino Linotype" w:cs="Palatino Linotype"/>
          <w:i/>
          <w:sz w:val="22"/>
          <w:szCs w:val="22"/>
        </w:rPr>
        <w:t>ordenamientos, acuerdos, circulares, contratos</w:t>
      </w:r>
      <w:r w:rsidRPr="00A42FE8">
        <w:rPr>
          <w:rFonts w:ascii="Palatino Linotype" w:eastAsia="Palatino Linotype" w:hAnsi="Palatino Linotype" w:cs="Palatino Linotype"/>
          <w:b/>
          <w:i/>
          <w:sz w:val="22"/>
          <w:szCs w:val="22"/>
        </w:rPr>
        <w:t xml:space="preserve"> </w:t>
      </w:r>
      <w:r w:rsidRPr="00A42FE8">
        <w:rPr>
          <w:rFonts w:ascii="Palatino Linotype" w:eastAsia="Palatino Linotype" w:hAnsi="Palatino Linotype" w:cs="Palatino Linotype"/>
          <w:i/>
          <w:sz w:val="22"/>
          <w:szCs w:val="22"/>
        </w:rPr>
        <w:t>y</w:t>
      </w:r>
      <w:r w:rsidRPr="00A42FE8">
        <w:rPr>
          <w:rFonts w:ascii="Palatino Linotype" w:eastAsia="Palatino Linotype" w:hAnsi="Palatino Linotype" w:cs="Palatino Linotype"/>
          <w:b/>
          <w:i/>
          <w:sz w:val="22"/>
          <w:szCs w:val="22"/>
          <w:u w:val="single"/>
        </w:rPr>
        <w:t xml:space="preserve"> convenios que celebre o emita la Comisión</w:t>
      </w:r>
      <w:r w:rsidRPr="00A42FE8">
        <w:rPr>
          <w:rFonts w:ascii="Palatino Linotype" w:eastAsia="Palatino Linotype" w:hAnsi="Palatino Linotype" w:cs="Palatino Linotype"/>
          <w:i/>
          <w:sz w:val="22"/>
          <w:szCs w:val="22"/>
        </w:rPr>
        <w:t xml:space="preserve">; </w:t>
      </w:r>
    </w:p>
    <w:p w14:paraId="029A1A02" w14:textId="77777777" w:rsidR="00A045BE" w:rsidRPr="00A42FE8" w:rsidRDefault="00DD7B69">
      <w:pPr>
        <w:spacing w:line="276" w:lineRule="auto"/>
        <w:ind w:left="851" w:right="616"/>
        <w:jc w:val="both"/>
        <w:rPr>
          <w:rFonts w:ascii="Palatino Linotype" w:eastAsia="Palatino Linotype" w:hAnsi="Palatino Linotype" w:cs="Palatino Linotype"/>
          <w:i/>
          <w:sz w:val="22"/>
          <w:szCs w:val="22"/>
        </w:rPr>
      </w:pPr>
      <w:r w:rsidRPr="00A42FE8">
        <w:rPr>
          <w:rFonts w:ascii="Palatino Linotype" w:eastAsia="Palatino Linotype" w:hAnsi="Palatino Linotype" w:cs="Palatino Linotype"/>
          <w:i/>
          <w:sz w:val="22"/>
          <w:szCs w:val="22"/>
        </w:rPr>
        <w:t>VII. Efectuar la interlocución gubernamental y legislativa necesaria para el cumplimiento de sus atribuciones;…”</w:t>
      </w:r>
    </w:p>
    <w:p w14:paraId="6CE46AA2" w14:textId="77777777" w:rsidR="00A045BE" w:rsidRPr="00A42FE8" w:rsidRDefault="00DD7B69">
      <w:pPr>
        <w:spacing w:line="276" w:lineRule="auto"/>
        <w:ind w:left="851" w:right="616"/>
        <w:jc w:val="both"/>
        <w:rPr>
          <w:rFonts w:ascii="Palatino Linotype" w:eastAsia="Palatino Linotype" w:hAnsi="Palatino Linotype" w:cs="Palatino Linotype"/>
          <w:i/>
          <w:sz w:val="22"/>
          <w:szCs w:val="22"/>
        </w:rPr>
      </w:pPr>
      <w:r w:rsidRPr="00A42FE8">
        <w:rPr>
          <w:rFonts w:ascii="Palatino Linotype" w:eastAsia="Palatino Linotype" w:hAnsi="Palatino Linotype" w:cs="Palatino Linotype"/>
          <w:i/>
          <w:sz w:val="22"/>
          <w:szCs w:val="22"/>
        </w:rPr>
        <w:lastRenderedPageBreak/>
        <w:t>(Énfasis Añadido)</w:t>
      </w:r>
    </w:p>
    <w:p w14:paraId="11DBB3A1" w14:textId="77777777" w:rsidR="00A045BE" w:rsidRPr="00A42FE8" w:rsidRDefault="00A045BE">
      <w:pPr>
        <w:spacing w:line="360" w:lineRule="auto"/>
        <w:jc w:val="both"/>
        <w:rPr>
          <w:rFonts w:ascii="Palatino Linotype" w:eastAsia="Palatino Linotype" w:hAnsi="Palatino Linotype" w:cs="Palatino Linotype"/>
          <w:sz w:val="22"/>
          <w:szCs w:val="22"/>
        </w:rPr>
      </w:pPr>
    </w:p>
    <w:p w14:paraId="3486EBC0" w14:textId="77777777" w:rsidR="00A045BE" w:rsidRPr="00A42FE8" w:rsidRDefault="00DD7B69">
      <w:pPr>
        <w:spacing w:line="360" w:lineRule="auto"/>
        <w:jc w:val="both"/>
        <w:rPr>
          <w:rFonts w:ascii="Palatino Linotype" w:eastAsia="Palatino Linotype" w:hAnsi="Palatino Linotype" w:cs="Palatino Linotype"/>
          <w:sz w:val="22"/>
          <w:szCs w:val="22"/>
        </w:rPr>
      </w:pPr>
      <w:r w:rsidRPr="00A42FE8">
        <w:rPr>
          <w:rFonts w:ascii="Palatino Linotype" w:eastAsia="Palatino Linotype" w:hAnsi="Palatino Linotype" w:cs="Palatino Linotype"/>
          <w:sz w:val="22"/>
          <w:szCs w:val="22"/>
        </w:rPr>
        <w:t xml:space="preserve">Lo que se robustece con lo señalado por el Manual General de Organización de la Comisión de Derechos Humanos del Estado de México, señala: </w:t>
      </w:r>
    </w:p>
    <w:p w14:paraId="370EEA6F" w14:textId="77777777" w:rsidR="00A045BE" w:rsidRPr="00A42FE8" w:rsidRDefault="00A045BE">
      <w:pPr>
        <w:ind w:left="851" w:right="899"/>
        <w:jc w:val="both"/>
        <w:rPr>
          <w:rFonts w:ascii="Palatino Linotype" w:eastAsia="Palatino Linotype" w:hAnsi="Palatino Linotype" w:cs="Palatino Linotype"/>
          <w:i/>
          <w:sz w:val="22"/>
          <w:szCs w:val="22"/>
        </w:rPr>
      </w:pPr>
    </w:p>
    <w:p w14:paraId="52447B51" w14:textId="77777777" w:rsidR="00A045BE" w:rsidRPr="00A42FE8" w:rsidRDefault="00DD7B69">
      <w:pPr>
        <w:spacing w:line="276" w:lineRule="auto"/>
        <w:ind w:left="851" w:right="616"/>
        <w:jc w:val="both"/>
        <w:rPr>
          <w:rFonts w:ascii="Palatino Linotype" w:eastAsia="Palatino Linotype" w:hAnsi="Palatino Linotype" w:cs="Palatino Linotype"/>
          <w:i/>
          <w:sz w:val="22"/>
          <w:szCs w:val="22"/>
        </w:rPr>
      </w:pPr>
      <w:r w:rsidRPr="00A42FE8">
        <w:rPr>
          <w:rFonts w:ascii="Palatino Linotype" w:eastAsia="Palatino Linotype" w:hAnsi="Palatino Linotype" w:cs="Palatino Linotype"/>
          <w:i/>
          <w:sz w:val="22"/>
          <w:szCs w:val="22"/>
        </w:rPr>
        <w:t>“</w:t>
      </w:r>
      <w:r w:rsidRPr="00A42FE8">
        <w:rPr>
          <w:rFonts w:ascii="Palatino Linotype" w:eastAsia="Palatino Linotype" w:hAnsi="Palatino Linotype" w:cs="Palatino Linotype"/>
          <w:b/>
          <w:i/>
          <w:sz w:val="22"/>
          <w:szCs w:val="22"/>
        </w:rPr>
        <w:t>400C102000 UNIDAD JURÍDICA Y CONSULTIVA</w:t>
      </w:r>
    </w:p>
    <w:p w14:paraId="283BA7D9" w14:textId="77777777" w:rsidR="00A045BE" w:rsidRPr="00A42FE8" w:rsidRDefault="00A045BE">
      <w:pPr>
        <w:spacing w:line="276" w:lineRule="auto"/>
        <w:ind w:left="851" w:right="616"/>
        <w:jc w:val="both"/>
        <w:rPr>
          <w:rFonts w:ascii="Palatino Linotype" w:eastAsia="Palatino Linotype" w:hAnsi="Palatino Linotype" w:cs="Palatino Linotype"/>
          <w:b/>
          <w:i/>
          <w:sz w:val="22"/>
          <w:szCs w:val="22"/>
        </w:rPr>
      </w:pPr>
    </w:p>
    <w:p w14:paraId="13A2E602" w14:textId="77777777" w:rsidR="00A045BE" w:rsidRPr="00A42FE8" w:rsidRDefault="00DD7B69">
      <w:pPr>
        <w:spacing w:line="276" w:lineRule="auto"/>
        <w:ind w:left="851" w:right="616"/>
        <w:jc w:val="both"/>
        <w:rPr>
          <w:rFonts w:ascii="Palatino Linotype" w:eastAsia="Palatino Linotype" w:hAnsi="Palatino Linotype" w:cs="Palatino Linotype"/>
          <w:b/>
          <w:i/>
          <w:sz w:val="22"/>
          <w:szCs w:val="22"/>
        </w:rPr>
      </w:pPr>
      <w:r w:rsidRPr="00A42FE8">
        <w:rPr>
          <w:rFonts w:ascii="Palatino Linotype" w:eastAsia="Palatino Linotype" w:hAnsi="Palatino Linotype" w:cs="Palatino Linotype"/>
          <w:b/>
          <w:i/>
          <w:sz w:val="22"/>
          <w:szCs w:val="22"/>
        </w:rPr>
        <w:t>OBJETIVO:</w:t>
      </w:r>
    </w:p>
    <w:p w14:paraId="6B5E9AB7" w14:textId="77777777" w:rsidR="00A045BE" w:rsidRPr="00A42FE8" w:rsidRDefault="00DD7B69">
      <w:pPr>
        <w:spacing w:line="276" w:lineRule="auto"/>
        <w:ind w:left="851" w:right="616"/>
        <w:jc w:val="both"/>
        <w:rPr>
          <w:rFonts w:ascii="Palatino Linotype" w:eastAsia="Palatino Linotype" w:hAnsi="Palatino Linotype" w:cs="Palatino Linotype"/>
          <w:i/>
          <w:sz w:val="22"/>
          <w:szCs w:val="22"/>
        </w:rPr>
      </w:pPr>
      <w:r w:rsidRPr="00A42FE8">
        <w:rPr>
          <w:rFonts w:ascii="Palatino Linotype" w:eastAsia="Palatino Linotype" w:hAnsi="Palatino Linotype" w:cs="Palatino Linotype"/>
          <w:b/>
          <w:i/>
          <w:sz w:val="22"/>
          <w:szCs w:val="22"/>
        </w:rPr>
        <w:t>Representar legalmente a la Comisión</w:t>
      </w:r>
      <w:r w:rsidRPr="00A42FE8">
        <w:rPr>
          <w:rFonts w:ascii="Palatino Linotype" w:eastAsia="Palatino Linotype" w:hAnsi="Palatino Linotype" w:cs="Palatino Linotype"/>
          <w:i/>
          <w:sz w:val="22"/>
          <w:szCs w:val="22"/>
        </w:rPr>
        <w:t xml:space="preserve"> y a su titular en los juicios y procedimientos en que tenga interés y participación, validar y actualizar la normatividad de esta Comisión de Derechos Humanos, vigilando que su actuación sea apegada a Derecho, así como establecer comunicación con instituciones y poderes públicos a efecto de promover la creación, abrogación, derogación, reforma o adición de ordenamientos legales en materia de derechos humanos.</w:t>
      </w:r>
    </w:p>
    <w:p w14:paraId="27623CF8" w14:textId="77777777" w:rsidR="00A045BE" w:rsidRPr="00A42FE8" w:rsidRDefault="00A045BE">
      <w:pPr>
        <w:spacing w:line="276" w:lineRule="auto"/>
        <w:ind w:left="851" w:right="616"/>
        <w:jc w:val="both"/>
        <w:rPr>
          <w:rFonts w:ascii="Palatino Linotype" w:eastAsia="Palatino Linotype" w:hAnsi="Palatino Linotype" w:cs="Palatino Linotype"/>
          <w:i/>
          <w:sz w:val="22"/>
          <w:szCs w:val="22"/>
        </w:rPr>
      </w:pPr>
    </w:p>
    <w:p w14:paraId="7EC9AB84" w14:textId="77777777" w:rsidR="00A045BE" w:rsidRPr="00A42FE8" w:rsidRDefault="00DD7B69">
      <w:pPr>
        <w:spacing w:line="276" w:lineRule="auto"/>
        <w:ind w:left="851" w:right="616"/>
        <w:jc w:val="both"/>
        <w:rPr>
          <w:rFonts w:ascii="Palatino Linotype" w:eastAsia="Palatino Linotype" w:hAnsi="Palatino Linotype" w:cs="Palatino Linotype"/>
          <w:b/>
          <w:i/>
          <w:sz w:val="22"/>
          <w:szCs w:val="22"/>
        </w:rPr>
      </w:pPr>
      <w:r w:rsidRPr="00A42FE8">
        <w:rPr>
          <w:rFonts w:ascii="Palatino Linotype" w:eastAsia="Palatino Linotype" w:hAnsi="Palatino Linotype" w:cs="Palatino Linotype"/>
          <w:b/>
          <w:i/>
          <w:sz w:val="22"/>
          <w:szCs w:val="22"/>
        </w:rPr>
        <w:t>FUNCIONES:</w:t>
      </w:r>
    </w:p>
    <w:p w14:paraId="19C5D45A" w14:textId="77777777" w:rsidR="00A045BE" w:rsidRPr="00A42FE8" w:rsidRDefault="00DD7B69">
      <w:pPr>
        <w:spacing w:line="276" w:lineRule="auto"/>
        <w:ind w:left="851" w:right="616"/>
        <w:jc w:val="both"/>
        <w:rPr>
          <w:rFonts w:ascii="Palatino Linotype" w:eastAsia="Palatino Linotype" w:hAnsi="Palatino Linotype" w:cs="Palatino Linotype"/>
          <w:i/>
          <w:sz w:val="22"/>
          <w:szCs w:val="22"/>
        </w:rPr>
      </w:pPr>
      <w:r w:rsidRPr="00A42FE8">
        <w:rPr>
          <w:rFonts w:ascii="Palatino Linotype" w:eastAsia="Palatino Linotype" w:hAnsi="Palatino Linotype" w:cs="Palatino Linotype"/>
          <w:i/>
          <w:sz w:val="22"/>
          <w:szCs w:val="22"/>
        </w:rPr>
        <w:t>…</w:t>
      </w:r>
    </w:p>
    <w:p w14:paraId="55703BAA" w14:textId="77777777" w:rsidR="00A045BE" w:rsidRPr="00A42FE8" w:rsidRDefault="00DD7B69">
      <w:pPr>
        <w:spacing w:line="276" w:lineRule="auto"/>
        <w:ind w:left="851" w:right="616"/>
        <w:jc w:val="both"/>
        <w:rPr>
          <w:rFonts w:ascii="Palatino Linotype" w:eastAsia="Palatino Linotype" w:hAnsi="Palatino Linotype" w:cs="Palatino Linotype"/>
          <w:i/>
          <w:sz w:val="22"/>
          <w:szCs w:val="22"/>
        </w:rPr>
      </w:pPr>
      <w:r w:rsidRPr="00A42FE8">
        <w:rPr>
          <w:rFonts w:ascii="Palatino Linotype" w:eastAsia="Palatino Linotype" w:hAnsi="Palatino Linotype" w:cs="Palatino Linotype"/>
          <w:b/>
          <w:i/>
          <w:sz w:val="22"/>
          <w:szCs w:val="22"/>
        </w:rPr>
        <w:t>Dirigir y supervisar el análisis, elaboración, sanción y resguardo de los</w:t>
      </w:r>
      <w:r w:rsidRPr="00A42FE8">
        <w:rPr>
          <w:rFonts w:ascii="Palatino Linotype" w:eastAsia="Palatino Linotype" w:hAnsi="Palatino Linotype" w:cs="Palatino Linotype"/>
          <w:i/>
          <w:sz w:val="22"/>
          <w:szCs w:val="22"/>
        </w:rPr>
        <w:t xml:space="preserve"> ordenamientos, acuerdos, circulares, contratos y </w:t>
      </w:r>
      <w:r w:rsidRPr="00A42FE8">
        <w:rPr>
          <w:rFonts w:ascii="Palatino Linotype" w:eastAsia="Palatino Linotype" w:hAnsi="Palatino Linotype" w:cs="Palatino Linotype"/>
          <w:b/>
          <w:i/>
          <w:sz w:val="22"/>
          <w:szCs w:val="22"/>
          <w:u w:val="single"/>
        </w:rPr>
        <w:t>convenios que celebre o emita esta Comisión de Derechos Humanos</w:t>
      </w:r>
      <w:r w:rsidRPr="00A42FE8">
        <w:rPr>
          <w:rFonts w:ascii="Palatino Linotype" w:eastAsia="Palatino Linotype" w:hAnsi="Palatino Linotype" w:cs="Palatino Linotype"/>
          <w:i/>
          <w:sz w:val="22"/>
          <w:szCs w:val="22"/>
        </w:rPr>
        <w:t>;…”</w:t>
      </w:r>
    </w:p>
    <w:p w14:paraId="4DADC0B9" w14:textId="77777777" w:rsidR="00A045BE" w:rsidRPr="00A42FE8" w:rsidRDefault="00DD7B69">
      <w:pPr>
        <w:spacing w:line="276" w:lineRule="auto"/>
        <w:ind w:left="851" w:right="616"/>
        <w:jc w:val="both"/>
        <w:rPr>
          <w:rFonts w:ascii="Palatino Linotype" w:eastAsia="Palatino Linotype" w:hAnsi="Palatino Linotype" w:cs="Palatino Linotype"/>
          <w:i/>
          <w:sz w:val="22"/>
          <w:szCs w:val="22"/>
        </w:rPr>
      </w:pPr>
      <w:r w:rsidRPr="00A42FE8">
        <w:rPr>
          <w:rFonts w:ascii="Palatino Linotype" w:eastAsia="Palatino Linotype" w:hAnsi="Palatino Linotype" w:cs="Palatino Linotype"/>
          <w:i/>
          <w:sz w:val="22"/>
          <w:szCs w:val="22"/>
        </w:rPr>
        <w:t>(Énfasis Añadido)</w:t>
      </w:r>
    </w:p>
    <w:p w14:paraId="1DC75C7D" w14:textId="77777777" w:rsidR="00A045BE" w:rsidRPr="00A42FE8" w:rsidRDefault="00A045BE">
      <w:pPr>
        <w:ind w:left="851" w:right="899"/>
        <w:jc w:val="both"/>
        <w:rPr>
          <w:rFonts w:ascii="Palatino Linotype" w:eastAsia="Palatino Linotype" w:hAnsi="Palatino Linotype" w:cs="Palatino Linotype"/>
          <w:i/>
          <w:sz w:val="22"/>
          <w:szCs w:val="22"/>
        </w:rPr>
      </w:pPr>
    </w:p>
    <w:p w14:paraId="0433F4BD" w14:textId="77777777" w:rsidR="00A045BE" w:rsidRPr="00A42FE8" w:rsidRDefault="00DD7B69">
      <w:pPr>
        <w:spacing w:line="360" w:lineRule="auto"/>
        <w:jc w:val="both"/>
        <w:rPr>
          <w:rFonts w:ascii="Palatino Linotype" w:eastAsia="Palatino Linotype" w:hAnsi="Palatino Linotype" w:cs="Palatino Linotype"/>
          <w:sz w:val="22"/>
          <w:szCs w:val="22"/>
        </w:rPr>
      </w:pPr>
      <w:r w:rsidRPr="00A42FE8">
        <w:rPr>
          <w:rFonts w:ascii="Palatino Linotype" w:eastAsia="Palatino Linotype" w:hAnsi="Palatino Linotype" w:cs="Palatino Linotype"/>
          <w:sz w:val="22"/>
          <w:szCs w:val="22"/>
        </w:rPr>
        <w:t xml:space="preserve">De las anteriores atribuciones se establece que la Unidad Jurídica y Consultiva de la Comisión de Derechos Humanos del Estado de México, es el área encargada de representar legalmente a la Comisión, estableciendo como una de sus funciones en analizar, elaborar, sancionar y resguardar los convenios que celebre o emita la Comisión de Derechos Humanos. </w:t>
      </w:r>
    </w:p>
    <w:p w14:paraId="5840BB85" w14:textId="77777777" w:rsidR="00A045BE" w:rsidRPr="00A42FE8" w:rsidRDefault="00A045BE">
      <w:pPr>
        <w:spacing w:line="360" w:lineRule="auto"/>
        <w:jc w:val="both"/>
        <w:rPr>
          <w:rFonts w:ascii="Palatino Linotype" w:eastAsia="Palatino Linotype" w:hAnsi="Palatino Linotype" w:cs="Palatino Linotype"/>
          <w:sz w:val="22"/>
          <w:szCs w:val="22"/>
        </w:rPr>
      </w:pPr>
    </w:p>
    <w:p w14:paraId="4666B462" w14:textId="77777777" w:rsidR="00A045BE" w:rsidRPr="00A42FE8" w:rsidRDefault="00DD7B69">
      <w:pPr>
        <w:spacing w:line="360" w:lineRule="auto"/>
        <w:jc w:val="both"/>
        <w:rPr>
          <w:rFonts w:ascii="Palatino Linotype" w:eastAsia="Palatino Linotype" w:hAnsi="Palatino Linotype" w:cs="Palatino Linotype"/>
          <w:sz w:val="22"/>
          <w:szCs w:val="22"/>
        </w:rPr>
      </w:pPr>
      <w:r w:rsidRPr="00A42FE8">
        <w:rPr>
          <w:rFonts w:ascii="Palatino Linotype" w:eastAsia="Palatino Linotype" w:hAnsi="Palatino Linotype" w:cs="Palatino Linotype"/>
          <w:sz w:val="22"/>
          <w:szCs w:val="22"/>
        </w:rPr>
        <w:t xml:space="preserve">Ahora bien, de una revisión a la respuesta del Director General de la Unidad Jurídica y Consultiva, se advierte que después de realizar una búsqueda exhaustiva y razonable en </w:t>
      </w:r>
      <w:r w:rsidRPr="00A42FE8">
        <w:rPr>
          <w:rFonts w:ascii="Palatino Linotype" w:eastAsia="Palatino Linotype" w:hAnsi="Palatino Linotype" w:cs="Palatino Linotype"/>
          <w:sz w:val="22"/>
          <w:szCs w:val="22"/>
        </w:rPr>
        <w:lastRenderedPageBreak/>
        <w:t xml:space="preserve">sus archivos de los periodos aludidos, no celebro Convenio alguno con la empresa Certificados Integrales Funcionales, S. A de C. V., durante el periodo solicitado; motivo por el que la parte </w:t>
      </w:r>
      <w:r w:rsidRPr="00A42FE8">
        <w:rPr>
          <w:rFonts w:ascii="Palatino Linotype" w:eastAsia="Palatino Linotype" w:hAnsi="Palatino Linotype" w:cs="Palatino Linotype"/>
          <w:b/>
          <w:sz w:val="22"/>
          <w:szCs w:val="22"/>
        </w:rPr>
        <w:t>Recurrente</w:t>
      </w:r>
      <w:r w:rsidRPr="00A42FE8">
        <w:rPr>
          <w:rFonts w:ascii="Palatino Linotype" w:eastAsia="Palatino Linotype" w:hAnsi="Palatino Linotype" w:cs="Palatino Linotype"/>
          <w:sz w:val="22"/>
          <w:szCs w:val="22"/>
        </w:rPr>
        <w:t xml:space="preserve"> se inconformó, afirmando que la CODHEM celebro convenio de colaboración con la referida empresa, adjuntando la siguiente imagen: </w:t>
      </w:r>
    </w:p>
    <w:p w14:paraId="6D22EFFC" w14:textId="77777777" w:rsidR="00A045BE" w:rsidRPr="00A42FE8" w:rsidRDefault="00DD7B69">
      <w:pPr>
        <w:spacing w:line="360" w:lineRule="auto"/>
        <w:jc w:val="center"/>
        <w:rPr>
          <w:rFonts w:ascii="Palatino Linotype" w:eastAsia="Palatino Linotype" w:hAnsi="Palatino Linotype" w:cs="Palatino Linotype"/>
          <w:sz w:val="22"/>
          <w:szCs w:val="22"/>
        </w:rPr>
      </w:pPr>
      <w:r w:rsidRPr="00A42FE8">
        <w:rPr>
          <w:rFonts w:ascii="Palatino Linotype" w:eastAsia="Palatino Linotype" w:hAnsi="Palatino Linotype" w:cs="Palatino Linotype"/>
          <w:noProof/>
          <w:sz w:val="22"/>
          <w:szCs w:val="22"/>
          <w:lang w:val="es-MX"/>
        </w:rPr>
        <w:drawing>
          <wp:inline distT="0" distB="0" distL="0" distR="0" wp14:anchorId="3744AED5" wp14:editId="60F4058E">
            <wp:extent cx="4554777" cy="1813835"/>
            <wp:effectExtent l="0" t="0" r="0" b="0"/>
            <wp:docPr id="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b="32743"/>
                    <a:stretch>
                      <a:fillRect/>
                    </a:stretch>
                  </pic:blipFill>
                  <pic:spPr>
                    <a:xfrm>
                      <a:off x="0" y="0"/>
                      <a:ext cx="4554777" cy="1813835"/>
                    </a:xfrm>
                    <a:prstGeom prst="rect">
                      <a:avLst/>
                    </a:prstGeom>
                    <a:ln/>
                  </pic:spPr>
                </pic:pic>
              </a:graphicData>
            </a:graphic>
          </wp:inline>
        </w:drawing>
      </w:r>
    </w:p>
    <w:p w14:paraId="705D9553" w14:textId="77777777" w:rsidR="00A045BE" w:rsidRPr="00A42FE8" w:rsidRDefault="00DD7B69">
      <w:pPr>
        <w:spacing w:line="360" w:lineRule="auto"/>
        <w:jc w:val="both"/>
        <w:rPr>
          <w:rFonts w:ascii="Palatino Linotype" w:eastAsia="Palatino Linotype" w:hAnsi="Palatino Linotype" w:cs="Palatino Linotype"/>
          <w:b/>
          <w:sz w:val="22"/>
          <w:szCs w:val="22"/>
        </w:rPr>
      </w:pPr>
      <w:r w:rsidRPr="00A42FE8">
        <w:rPr>
          <w:rFonts w:ascii="Palatino Linotype" w:eastAsia="Palatino Linotype" w:hAnsi="Palatino Linotype" w:cs="Palatino Linotype"/>
          <w:sz w:val="22"/>
          <w:szCs w:val="22"/>
        </w:rPr>
        <w:t xml:space="preserve">De la imagen proporcionada por la parte </w:t>
      </w:r>
      <w:r w:rsidRPr="00A42FE8">
        <w:rPr>
          <w:rFonts w:ascii="Palatino Linotype" w:eastAsia="Palatino Linotype" w:hAnsi="Palatino Linotype" w:cs="Palatino Linotype"/>
          <w:b/>
          <w:sz w:val="22"/>
          <w:szCs w:val="22"/>
        </w:rPr>
        <w:t>Recurrente</w:t>
      </w:r>
      <w:r w:rsidRPr="00A42FE8">
        <w:rPr>
          <w:rFonts w:ascii="Palatino Linotype" w:eastAsia="Palatino Linotype" w:hAnsi="Palatino Linotype" w:cs="Palatino Linotype"/>
          <w:sz w:val="22"/>
          <w:szCs w:val="22"/>
        </w:rPr>
        <w:t xml:space="preserve"> se advierte la existencia de un Convenio de promoción y adquisición celebrado por la CODHEM y la empresa referida en la solicitud de información; de este modo, este Organismo Garante localizó que la imagen que proporcionó la parte </w:t>
      </w:r>
      <w:r w:rsidRPr="00A42FE8">
        <w:rPr>
          <w:rFonts w:ascii="Palatino Linotype" w:eastAsia="Palatino Linotype" w:hAnsi="Palatino Linotype" w:cs="Palatino Linotype"/>
          <w:b/>
          <w:sz w:val="22"/>
          <w:szCs w:val="22"/>
        </w:rPr>
        <w:t>Recurrente</w:t>
      </w:r>
      <w:r w:rsidRPr="00A42FE8">
        <w:rPr>
          <w:rFonts w:ascii="Palatino Linotype" w:eastAsia="Palatino Linotype" w:hAnsi="Palatino Linotype" w:cs="Palatino Linotype"/>
          <w:sz w:val="22"/>
          <w:szCs w:val="22"/>
        </w:rPr>
        <w:t xml:space="preserve"> forma parte de la respuesta del recurso de revisión </w:t>
      </w:r>
      <w:r w:rsidRPr="00A42FE8">
        <w:rPr>
          <w:rFonts w:ascii="Palatino Linotype" w:eastAsia="Palatino Linotype" w:hAnsi="Palatino Linotype" w:cs="Palatino Linotype"/>
          <w:b/>
          <w:sz w:val="22"/>
          <w:szCs w:val="22"/>
        </w:rPr>
        <w:t>02107/INFOEM/IP/RR/2013</w:t>
      </w:r>
      <w:r w:rsidRPr="00A42FE8">
        <w:rPr>
          <w:rFonts w:ascii="Palatino Linotype" w:eastAsia="Palatino Linotype" w:hAnsi="Palatino Linotype" w:cs="Palatino Linotype"/>
          <w:sz w:val="22"/>
          <w:szCs w:val="22"/>
        </w:rPr>
        <w:t xml:space="preserve">, del que se advierte que el </w:t>
      </w:r>
      <w:r w:rsidRPr="00A42FE8">
        <w:rPr>
          <w:rFonts w:ascii="Palatino Linotype" w:eastAsia="Palatino Linotype" w:hAnsi="Palatino Linotype" w:cs="Palatino Linotype"/>
          <w:b/>
          <w:sz w:val="22"/>
          <w:szCs w:val="22"/>
        </w:rPr>
        <w:t>Sujeto Obligado</w:t>
      </w:r>
      <w:r w:rsidRPr="00A42FE8">
        <w:rPr>
          <w:rFonts w:ascii="Palatino Linotype" w:eastAsia="Palatino Linotype" w:hAnsi="Palatino Linotype" w:cs="Palatino Linotype"/>
          <w:sz w:val="22"/>
          <w:szCs w:val="22"/>
        </w:rPr>
        <w:t xml:space="preserve"> hizo entrega del Convenio celebrado con la empresa denominada </w:t>
      </w:r>
      <w:r w:rsidRPr="00A42FE8">
        <w:rPr>
          <w:rFonts w:ascii="Palatino Linotype" w:eastAsia="Palatino Linotype" w:hAnsi="Palatino Linotype" w:cs="Palatino Linotype"/>
          <w:b/>
          <w:sz w:val="22"/>
          <w:szCs w:val="22"/>
        </w:rPr>
        <w:t>Certificados Integrales Funcionales S. A. DE C. V.</w:t>
      </w:r>
      <w:r w:rsidRPr="00A42FE8">
        <w:rPr>
          <w:rFonts w:ascii="Palatino Linotype" w:eastAsia="Palatino Linotype" w:hAnsi="Palatino Linotype" w:cs="Palatino Linotype"/>
          <w:sz w:val="22"/>
          <w:szCs w:val="22"/>
        </w:rPr>
        <w:t xml:space="preserve">; sin embargo, de la revisión a dicho convenio se advierte que este no fue firmado en el periodo referido por la parte </w:t>
      </w:r>
      <w:r w:rsidRPr="00A42FE8">
        <w:rPr>
          <w:rFonts w:ascii="Palatino Linotype" w:eastAsia="Palatino Linotype" w:hAnsi="Palatino Linotype" w:cs="Palatino Linotype"/>
          <w:b/>
          <w:sz w:val="22"/>
          <w:szCs w:val="22"/>
        </w:rPr>
        <w:t>Recurrente</w:t>
      </w:r>
      <w:r w:rsidRPr="00A42FE8">
        <w:rPr>
          <w:rFonts w:ascii="Palatino Linotype" w:eastAsia="Palatino Linotype" w:hAnsi="Palatino Linotype" w:cs="Palatino Linotype"/>
          <w:sz w:val="22"/>
          <w:szCs w:val="22"/>
        </w:rPr>
        <w:t>, si no en el ejercicio fiscal dos mil siete, tal y como se muestra a continuación:</w:t>
      </w:r>
      <w:r w:rsidRPr="00A42FE8">
        <w:rPr>
          <w:rFonts w:ascii="Palatino Linotype" w:eastAsia="Palatino Linotype" w:hAnsi="Palatino Linotype" w:cs="Palatino Linotype"/>
          <w:b/>
          <w:sz w:val="22"/>
          <w:szCs w:val="22"/>
        </w:rPr>
        <w:t xml:space="preserve"> </w:t>
      </w:r>
    </w:p>
    <w:p w14:paraId="513677E1" w14:textId="77777777" w:rsidR="00A045BE" w:rsidRPr="00A42FE8" w:rsidRDefault="00DD7B69">
      <w:pPr>
        <w:spacing w:line="360" w:lineRule="auto"/>
        <w:jc w:val="both"/>
        <w:rPr>
          <w:rFonts w:ascii="Palatino Linotype" w:eastAsia="Palatino Linotype" w:hAnsi="Palatino Linotype" w:cs="Palatino Linotype"/>
          <w:b/>
          <w:sz w:val="22"/>
          <w:szCs w:val="22"/>
        </w:rPr>
      </w:pPr>
      <w:r w:rsidRPr="00A42FE8">
        <w:rPr>
          <w:rFonts w:ascii="Palatino Linotype" w:eastAsia="Palatino Linotype" w:hAnsi="Palatino Linotype" w:cs="Palatino Linotype"/>
          <w:b/>
          <w:noProof/>
          <w:sz w:val="22"/>
          <w:szCs w:val="22"/>
          <w:lang w:val="es-MX"/>
        </w:rPr>
        <w:lastRenderedPageBreak/>
        <w:drawing>
          <wp:inline distT="0" distB="0" distL="0" distR="0" wp14:anchorId="0C86132C" wp14:editId="0E9A38C2">
            <wp:extent cx="5612130" cy="1771015"/>
            <wp:effectExtent l="0" t="0" r="0" b="0"/>
            <wp:docPr id="5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612130" cy="1771015"/>
                    </a:xfrm>
                    <a:prstGeom prst="rect">
                      <a:avLst/>
                    </a:prstGeom>
                    <a:ln/>
                  </pic:spPr>
                </pic:pic>
              </a:graphicData>
            </a:graphic>
          </wp:inline>
        </w:drawing>
      </w:r>
    </w:p>
    <w:p w14:paraId="31A1CDC7" w14:textId="77777777" w:rsidR="00A045BE" w:rsidRPr="00A42FE8" w:rsidRDefault="00DD7B69">
      <w:pPr>
        <w:spacing w:line="360" w:lineRule="auto"/>
        <w:jc w:val="center"/>
        <w:rPr>
          <w:rFonts w:ascii="Palatino Linotype" w:eastAsia="Palatino Linotype" w:hAnsi="Palatino Linotype" w:cs="Palatino Linotype"/>
          <w:b/>
          <w:sz w:val="22"/>
          <w:szCs w:val="22"/>
        </w:rPr>
      </w:pPr>
      <w:r w:rsidRPr="00A42FE8">
        <w:rPr>
          <w:rFonts w:ascii="Palatino Linotype" w:eastAsia="Palatino Linotype" w:hAnsi="Palatino Linotype" w:cs="Palatino Linotype"/>
          <w:b/>
          <w:sz w:val="22"/>
          <w:szCs w:val="22"/>
        </w:rPr>
        <w:t>…</w:t>
      </w:r>
    </w:p>
    <w:p w14:paraId="2760195F" w14:textId="77777777" w:rsidR="00A045BE" w:rsidRPr="00A42FE8" w:rsidRDefault="00DD7B69">
      <w:pPr>
        <w:spacing w:line="360" w:lineRule="auto"/>
        <w:jc w:val="both"/>
        <w:rPr>
          <w:rFonts w:ascii="Palatino Linotype" w:eastAsia="Palatino Linotype" w:hAnsi="Palatino Linotype" w:cs="Palatino Linotype"/>
          <w:b/>
          <w:sz w:val="22"/>
          <w:szCs w:val="22"/>
        </w:rPr>
      </w:pPr>
      <w:r w:rsidRPr="00A42FE8">
        <w:rPr>
          <w:rFonts w:ascii="Palatino Linotype" w:eastAsia="Palatino Linotype" w:hAnsi="Palatino Linotype" w:cs="Palatino Linotype"/>
          <w:b/>
          <w:noProof/>
          <w:sz w:val="22"/>
          <w:szCs w:val="22"/>
          <w:lang w:val="es-MX"/>
        </w:rPr>
        <w:drawing>
          <wp:inline distT="0" distB="0" distL="0" distR="0" wp14:anchorId="4D801FAD" wp14:editId="474C0856">
            <wp:extent cx="5612130" cy="1088390"/>
            <wp:effectExtent l="0" t="0" r="0" b="0"/>
            <wp:docPr id="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612130" cy="1088390"/>
                    </a:xfrm>
                    <a:prstGeom prst="rect">
                      <a:avLst/>
                    </a:prstGeom>
                    <a:ln/>
                  </pic:spPr>
                </pic:pic>
              </a:graphicData>
            </a:graphic>
          </wp:inline>
        </w:drawing>
      </w:r>
    </w:p>
    <w:p w14:paraId="2CBA0F54" w14:textId="77777777" w:rsidR="00A045BE" w:rsidRPr="00A42FE8" w:rsidRDefault="00DD7B69">
      <w:pPr>
        <w:spacing w:line="360" w:lineRule="auto"/>
        <w:jc w:val="center"/>
        <w:rPr>
          <w:rFonts w:ascii="Palatino Linotype" w:eastAsia="Palatino Linotype" w:hAnsi="Palatino Linotype" w:cs="Palatino Linotype"/>
          <w:sz w:val="22"/>
          <w:szCs w:val="22"/>
        </w:rPr>
      </w:pPr>
      <w:r w:rsidRPr="00A42FE8">
        <w:rPr>
          <w:rFonts w:ascii="Palatino Linotype" w:eastAsia="Palatino Linotype" w:hAnsi="Palatino Linotype" w:cs="Palatino Linotype"/>
          <w:sz w:val="22"/>
          <w:szCs w:val="22"/>
        </w:rPr>
        <w:t>…</w:t>
      </w:r>
    </w:p>
    <w:p w14:paraId="78EADDBB" w14:textId="77777777" w:rsidR="00A045BE" w:rsidRPr="00A42FE8" w:rsidRDefault="00DD7B69">
      <w:pPr>
        <w:spacing w:line="360" w:lineRule="auto"/>
        <w:jc w:val="center"/>
        <w:rPr>
          <w:rFonts w:ascii="Palatino Linotype" w:eastAsia="Palatino Linotype" w:hAnsi="Palatino Linotype" w:cs="Palatino Linotype"/>
          <w:b/>
          <w:sz w:val="22"/>
          <w:szCs w:val="22"/>
        </w:rPr>
      </w:pPr>
      <w:r w:rsidRPr="00A42FE8">
        <w:rPr>
          <w:rFonts w:ascii="Palatino Linotype" w:eastAsia="Palatino Linotype" w:hAnsi="Palatino Linotype" w:cs="Palatino Linotype"/>
          <w:b/>
          <w:noProof/>
          <w:sz w:val="22"/>
          <w:szCs w:val="22"/>
          <w:lang w:val="es-MX"/>
        </w:rPr>
        <w:drawing>
          <wp:inline distT="0" distB="0" distL="0" distR="0" wp14:anchorId="4AE8B8F0" wp14:editId="5D0BA607">
            <wp:extent cx="4234775" cy="2164824"/>
            <wp:effectExtent l="0" t="0" r="0" b="0"/>
            <wp:docPr id="6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4234775" cy="2164824"/>
                    </a:xfrm>
                    <a:prstGeom prst="rect">
                      <a:avLst/>
                    </a:prstGeom>
                    <a:ln/>
                  </pic:spPr>
                </pic:pic>
              </a:graphicData>
            </a:graphic>
          </wp:inline>
        </w:drawing>
      </w:r>
    </w:p>
    <w:p w14:paraId="6549556E" w14:textId="77777777" w:rsidR="00A045BE" w:rsidRPr="00A42FE8" w:rsidRDefault="00DD7B69">
      <w:pPr>
        <w:spacing w:line="360" w:lineRule="auto"/>
        <w:jc w:val="center"/>
        <w:rPr>
          <w:rFonts w:ascii="Palatino Linotype" w:eastAsia="Palatino Linotype" w:hAnsi="Palatino Linotype" w:cs="Palatino Linotype"/>
          <w:b/>
          <w:sz w:val="22"/>
          <w:szCs w:val="22"/>
        </w:rPr>
      </w:pPr>
      <w:r w:rsidRPr="00A42FE8">
        <w:rPr>
          <w:rFonts w:ascii="Palatino Linotype" w:eastAsia="Palatino Linotype" w:hAnsi="Palatino Linotype" w:cs="Palatino Linotype"/>
          <w:b/>
          <w:sz w:val="22"/>
          <w:szCs w:val="22"/>
        </w:rPr>
        <w:t>…</w:t>
      </w:r>
    </w:p>
    <w:p w14:paraId="495F3899" w14:textId="77777777" w:rsidR="00A045BE" w:rsidRPr="00A42FE8" w:rsidRDefault="00DD7B69">
      <w:pPr>
        <w:spacing w:line="360" w:lineRule="auto"/>
        <w:jc w:val="center"/>
        <w:rPr>
          <w:rFonts w:ascii="Palatino Linotype" w:eastAsia="Palatino Linotype" w:hAnsi="Palatino Linotype" w:cs="Palatino Linotype"/>
          <w:b/>
          <w:sz w:val="22"/>
          <w:szCs w:val="22"/>
        </w:rPr>
      </w:pPr>
      <w:r w:rsidRPr="00A42FE8">
        <w:rPr>
          <w:rFonts w:ascii="Palatino Linotype" w:eastAsia="Palatino Linotype" w:hAnsi="Palatino Linotype" w:cs="Palatino Linotype"/>
          <w:b/>
          <w:noProof/>
          <w:sz w:val="22"/>
          <w:szCs w:val="22"/>
          <w:lang w:val="es-MX"/>
        </w:rPr>
        <w:drawing>
          <wp:inline distT="0" distB="0" distL="0" distR="0" wp14:anchorId="22ED4864" wp14:editId="03FEE2BF">
            <wp:extent cx="4658429" cy="1008325"/>
            <wp:effectExtent l="0" t="0" r="0" b="0"/>
            <wp:docPr id="6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4658429" cy="1008325"/>
                    </a:xfrm>
                    <a:prstGeom prst="rect">
                      <a:avLst/>
                    </a:prstGeom>
                    <a:ln/>
                  </pic:spPr>
                </pic:pic>
              </a:graphicData>
            </a:graphic>
          </wp:inline>
        </w:drawing>
      </w:r>
      <w:r w:rsidRPr="00A42FE8">
        <w:rPr>
          <w:noProof/>
          <w:lang w:val="es-MX"/>
        </w:rPr>
        <mc:AlternateContent>
          <mc:Choice Requires="wps">
            <w:drawing>
              <wp:anchor distT="0" distB="0" distL="114300" distR="114300" simplePos="0" relativeHeight="251658240" behindDoc="0" locked="0" layoutInCell="1" hidden="0" allowOverlap="1" wp14:anchorId="644D78A0" wp14:editId="0B1977A8">
                <wp:simplePos x="0" y="0"/>
                <wp:positionH relativeFrom="column">
                  <wp:posOffset>471985</wp:posOffset>
                </wp:positionH>
                <wp:positionV relativeFrom="paragraph">
                  <wp:posOffset>315361</wp:posOffset>
                </wp:positionV>
                <wp:extent cx="4512945" cy="300935"/>
                <wp:effectExtent l="0" t="0" r="0" b="0"/>
                <wp:wrapNone/>
                <wp:docPr id="55" name="Rectángulo 55"/>
                <wp:cNvGraphicFramePr/>
                <a:graphic xmlns:a="http://schemas.openxmlformats.org/drawingml/2006/main">
                  <a:graphicData uri="http://schemas.microsoft.com/office/word/2010/wordprocessingShape">
                    <wps:wsp>
                      <wps:cNvSpPr/>
                      <wps:spPr>
                        <a:xfrm>
                          <a:off x="3103815" y="3643820"/>
                          <a:ext cx="4484370" cy="272360"/>
                        </a:xfrm>
                        <a:prstGeom prst="rect">
                          <a:avLst/>
                        </a:prstGeom>
                        <a:noFill/>
                        <a:ln w="28575" cap="flat" cmpd="sng">
                          <a:solidFill>
                            <a:srgbClr val="FF0000"/>
                          </a:solidFill>
                          <a:prstDash val="solid"/>
                          <a:miter lim="800000"/>
                          <a:headEnd type="none" w="sm" len="sm"/>
                          <a:tailEnd type="none" w="sm" len="sm"/>
                        </a:ln>
                      </wps:spPr>
                      <wps:txbx>
                        <w:txbxContent>
                          <w:p w14:paraId="38738E83" w14:textId="77777777" w:rsidR="00A045BE" w:rsidRDefault="00A045BE">
                            <w:pPr>
                              <w:textDirection w:val="btLr"/>
                            </w:pPr>
                          </w:p>
                        </w:txbxContent>
                      </wps:txbx>
                      <wps:bodyPr spcFirstLastPara="1" wrap="square" lIns="91425" tIns="91425" rIns="91425" bIns="91425" anchor="ctr" anchorCtr="0">
                        <a:noAutofit/>
                      </wps:bodyPr>
                    </wps:wsp>
                  </a:graphicData>
                </a:graphic>
              </wp:anchor>
            </w:drawing>
          </mc:Choice>
          <mc:Fallback>
            <w:pict>
              <v:rect w14:anchorId="644D78A0" id="Rectángulo 55" o:spid="_x0000_s1026" style="position:absolute;left:0;text-align:left;margin-left:37.15pt;margin-top:24.85pt;width:355.35pt;height:23.7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" filled="f" strokecolor="red" strokeweight="2.25pt">
                <v:stroke startarrowwidth="narrow" startarrowlength="short" endarrowwidth="narrow" endarrowlength="short"/>
                <v:textbox inset="2.53958mm,2.53958mm,2.53958mm,2.53958mm">
                  <w:txbxContent>
                    <w:p w14:paraId="38738E83" w14:textId="77777777" w:rsidR="00A045BE" w:rsidRDefault="00A045BE">
                      <w:pPr>
                        <w:textDirection w:val="btLr"/>
                      </w:pPr>
                    </w:p>
                  </w:txbxContent>
                </v:textbox>
              </v:rect>
            </w:pict>
          </mc:Fallback>
        </mc:AlternateContent>
      </w:r>
    </w:p>
    <w:p w14:paraId="650B250A" w14:textId="77777777" w:rsidR="00A045BE" w:rsidRPr="00A42FE8" w:rsidRDefault="00A045BE">
      <w:pPr>
        <w:spacing w:line="360" w:lineRule="auto"/>
        <w:jc w:val="both"/>
        <w:rPr>
          <w:rFonts w:ascii="Palatino Linotype" w:eastAsia="Palatino Linotype" w:hAnsi="Palatino Linotype" w:cs="Palatino Linotype"/>
          <w:sz w:val="22"/>
          <w:szCs w:val="22"/>
        </w:rPr>
      </w:pPr>
    </w:p>
    <w:p w14:paraId="7798DA34" w14:textId="77777777" w:rsidR="00A045BE" w:rsidRPr="00A42FE8" w:rsidRDefault="00DD7B69">
      <w:pPr>
        <w:spacing w:line="360" w:lineRule="auto"/>
        <w:jc w:val="both"/>
        <w:rPr>
          <w:rFonts w:ascii="Palatino Linotype" w:eastAsia="Palatino Linotype" w:hAnsi="Palatino Linotype" w:cs="Palatino Linotype"/>
          <w:sz w:val="22"/>
          <w:szCs w:val="22"/>
        </w:rPr>
      </w:pPr>
      <w:r w:rsidRPr="00A42FE8">
        <w:rPr>
          <w:rFonts w:ascii="Palatino Linotype" w:eastAsia="Palatino Linotype" w:hAnsi="Palatino Linotype" w:cs="Palatino Linotype"/>
          <w:sz w:val="22"/>
          <w:szCs w:val="22"/>
        </w:rPr>
        <w:t>De lo insertado con anterioridad se advierte la existencia de un convenio celebrado con la empresa denominada Certificados Integrales Funcionales, S.A. de C.V., no obstante este no fue firmado en el ejercicio fiscal dos mil trece, lo que guarda relación con la respuesta proporcionada por el área competente de la Comisión de Derechos Humanos, al referir que después de realizar una búsqueda exhaustiva y razonable en los archivos del periodo aludido, se desprendió que no se ha celebrado Convenio alguno entre la Comisión de Derechos Humanos del Estado de México y la empresa Certificados Integrales Funcionales, S.A. de C.V., lo cual robustece con su informe justificado al informar que realizó la búsqueda exhaustiva en los archivos correspondientes a los años comprendidos del dos mil trece al presente ejercicio fiscal, en los que tampoco se localizó convenio alguno firmado con la persona moral en comento; lo que se traduce como un hecho negativo y ante un hecho negativo debe decirse que el Pleno de este Organismo Garante ha sostenido que resulta innecesaria una declaratoria de inexistencia en términos de los artículos 19, 169 y 170 de la Ley de Transparencia y Acceso a la Información Pública del Estado de México y Municipios, resultando aplicable la siguiente tesis:</w:t>
      </w:r>
    </w:p>
    <w:p w14:paraId="3DF7FA79" w14:textId="77777777" w:rsidR="00A045BE" w:rsidRPr="00A42FE8" w:rsidRDefault="00A045BE">
      <w:pPr>
        <w:spacing w:line="360" w:lineRule="auto"/>
        <w:jc w:val="both"/>
        <w:rPr>
          <w:rFonts w:ascii="Palatino Linotype" w:eastAsia="Palatino Linotype" w:hAnsi="Palatino Linotype" w:cs="Palatino Linotype"/>
          <w:sz w:val="22"/>
          <w:szCs w:val="22"/>
        </w:rPr>
      </w:pPr>
    </w:p>
    <w:p w14:paraId="6D50B7EA" w14:textId="77777777" w:rsidR="00A045BE" w:rsidRPr="00A42FE8" w:rsidRDefault="00DD7B69">
      <w:pPr>
        <w:spacing w:line="276" w:lineRule="auto"/>
        <w:ind w:left="851" w:right="616"/>
        <w:jc w:val="both"/>
        <w:rPr>
          <w:rFonts w:ascii="Palatino Linotype" w:eastAsia="Palatino Linotype" w:hAnsi="Palatino Linotype" w:cs="Palatino Linotype"/>
          <w:i/>
          <w:sz w:val="22"/>
          <w:szCs w:val="22"/>
        </w:rPr>
      </w:pPr>
      <w:r w:rsidRPr="00A42FE8">
        <w:rPr>
          <w:rFonts w:ascii="Palatino Linotype" w:eastAsia="Palatino Linotype" w:hAnsi="Palatino Linotype" w:cs="Palatino Linotype"/>
          <w:sz w:val="22"/>
          <w:szCs w:val="22"/>
        </w:rPr>
        <w:t>“</w:t>
      </w:r>
      <w:r w:rsidRPr="00A42FE8">
        <w:rPr>
          <w:rFonts w:ascii="Palatino Linotype" w:eastAsia="Palatino Linotype" w:hAnsi="Palatino Linotype" w:cs="Palatino Linotype"/>
          <w:b/>
          <w:i/>
          <w:sz w:val="22"/>
          <w:szCs w:val="22"/>
        </w:rPr>
        <w:t>HECHOS NEGATIVOS, NO SON SUSCEPTIBLES DE DEMOSTRACIÓN</w:t>
      </w:r>
      <w:r w:rsidRPr="00A42FE8">
        <w:rPr>
          <w:rFonts w:ascii="Palatino Linotype" w:eastAsia="Palatino Linotype" w:hAnsi="Palatino Linotype" w:cs="Palatino Linotype"/>
          <w:i/>
          <w:sz w:val="22"/>
          <w:szCs w:val="22"/>
        </w:rPr>
        <w:t xml:space="preserve">. Tratándose de un hecho negativo, el Juez no tiene por qué invocar prueba alguna de la que se desprenda, ya que es bien sabido que esta clase de hechos no son susceptibles de demostración. </w:t>
      </w:r>
    </w:p>
    <w:p w14:paraId="4CAC828B" w14:textId="77777777" w:rsidR="00A045BE" w:rsidRPr="00A42FE8" w:rsidRDefault="00DD7B69">
      <w:pPr>
        <w:spacing w:line="276" w:lineRule="auto"/>
        <w:ind w:left="851" w:right="616"/>
        <w:jc w:val="both"/>
        <w:rPr>
          <w:rFonts w:ascii="Palatino Linotype" w:eastAsia="Palatino Linotype" w:hAnsi="Palatino Linotype" w:cs="Palatino Linotype"/>
          <w:i/>
          <w:sz w:val="22"/>
          <w:szCs w:val="22"/>
        </w:rPr>
      </w:pPr>
      <w:r w:rsidRPr="00A42FE8">
        <w:rPr>
          <w:rFonts w:ascii="Palatino Linotype" w:eastAsia="Palatino Linotype" w:hAnsi="Palatino Linotype" w:cs="Palatino Linotype"/>
          <w:i/>
          <w:sz w:val="22"/>
          <w:szCs w:val="22"/>
        </w:rPr>
        <w:t>Amparo en revisión 2022/61. José García Florín (Menor). 9 de octubre de 1961. Cinco votos. Ponente: José Rivera Pérez Campos.” (Sic)</w:t>
      </w:r>
    </w:p>
    <w:p w14:paraId="1118F620" w14:textId="77777777" w:rsidR="00A045BE" w:rsidRPr="00A42FE8" w:rsidRDefault="00A045BE">
      <w:pPr>
        <w:spacing w:line="360" w:lineRule="auto"/>
        <w:jc w:val="both"/>
        <w:rPr>
          <w:rFonts w:ascii="Palatino Linotype" w:eastAsia="Palatino Linotype" w:hAnsi="Palatino Linotype" w:cs="Palatino Linotype"/>
          <w:sz w:val="22"/>
          <w:szCs w:val="22"/>
        </w:rPr>
      </w:pPr>
    </w:p>
    <w:p w14:paraId="05A6E51F" w14:textId="77777777" w:rsidR="00A045BE" w:rsidRPr="00A42FE8" w:rsidRDefault="00DD7B69">
      <w:pPr>
        <w:spacing w:line="360" w:lineRule="auto"/>
        <w:jc w:val="both"/>
        <w:rPr>
          <w:rFonts w:ascii="Palatino Linotype" w:eastAsia="Palatino Linotype" w:hAnsi="Palatino Linotype" w:cs="Palatino Linotype"/>
          <w:sz w:val="22"/>
          <w:szCs w:val="22"/>
        </w:rPr>
      </w:pPr>
      <w:r w:rsidRPr="00A42FE8">
        <w:rPr>
          <w:rFonts w:ascii="Palatino Linotype" w:eastAsia="Palatino Linotype" w:hAnsi="Palatino Linotype" w:cs="Palatino Linotype"/>
          <w:sz w:val="22"/>
          <w:szCs w:val="22"/>
        </w:rPr>
        <w:t xml:space="preserve">Colmando con ello el derecho de acceso a la información pública de la parte </w:t>
      </w:r>
      <w:r w:rsidRPr="00A42FE8">
        <w:rPr>
          <w:rFonts w:ascii="Palatino Linotype" w:eastAsia="Palatino Linotype" w:hAnsi="Palatino Linotype" w:cs="Palatino Linotype"/>
          <w:b/>
          <w:sz w:val="22"/>
          <w:szCs w:val="22"/>
        </w:rPr>
        <w:t>Recurrente</w:t>
      </w:r>
      <w:r w:rsidRPr="00A42FE8">
        <w:rPr>
          <w:rFonts w:ascii="Palatino Linotype" w:eastAsia="Palatino Linotype" w:hAnsi="Palatino Linotype" w:cs="Palatino Linotype"/>
          <w:sz w:val="22"/>
          <w:szCs w:val="22"/>
        </w:rPr>
        <w:t xml:space="preserve">, máxime, que este Organismo Garante estima conveniente señalar que en su conjunto, no está facultado para manifestarse sobre la veracidad de la información proporcionada, ya </w:t>
      </w:r>
      <w:r w:rsidRPr="00A42FE8">
        <w:rPr>
          <w:rFonts w:ascii="Palatino Linotype" w:eastAsia="Palatino Linotype" w:hAnsi="Palatino Linotype" w:cs="Palatino Linotype"/>
          <w:sz w:val="22"/>
          <w:szCs w:val="22"/>
        </w:rPr>
        <w:lastRenderedPageBreak/>
        <w:t>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14:paraId="6EB09247" w14:textId="77777777" w:rsidR="00A045BE" w:rsidRPr="00A42FE8" w:rsidRDefault="00DD7B69">
      <w:pPr>
        <w:spacing w:line="276" w:lineRule="auto"/>
        <w:ind w:left="851" w:right="616"/>
        <w:jc w:val="both"/>
        <w:rPr>
          <w:rFonts w:ascii="Palatino Linotype" w:eastAsia="Palatino Linotype" w:hAnsi="Palatino Linotype" w:cs="Palatino Linotype"/>
          <w:i/>
          <w:sz w:val="22"/>
          <w:szCs w:val="22"/>
        </w:rPr>
      </w:pPr>
      <w:r w:rsidRPr="00A42FE8">
        <w:rPr>
          <w:rFonts w:ascii="Palatino Linotype" w:eastAsia="Palatino Linotype" w:hAnsi="Palatino Linotype" w:cs="Palatino Linotype"/>
          <w:i/>
          <w:sz w:val="22"/>
          <w:szCs w:val="22"/>
        </w:rPr>
        <w:t>“</w:t>
      </w:r>
      <w:r w:rsidRPr="00A42FE8">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A42FE8">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respecto.”(Sic)</w:t>
      </w:r>
    </w:p>
    <w:p w14:paraId="06E89A98" w14:textId="77777777" w:rsidR="00A045BE" w:rsidRPr="00A42FE8" w:rsidRDefault="00A045BE">
      <w:pPr>
        <w:spacing w:line="360" w:lineRule="auto"/>
        <w:jc w:val="both"/>
        <w:rPr>
          <w:rFonts w:ascii="Palatino Linotype" w:eastAsia="Palatino Linotype" w:hAnsi="Palatino Linotype" w:cs="Palatino Linotype"/>
          <w:sz w:val="22"/>
          <w:szCs w:val="22"/>
        </w:rPr>
      </w:pPr>
    </w:p>
    <w:p w14:paraId="247F62CE" w14:textId="77777777" w:rsidR="00A045BE" w:rsidRPr="00A42FE8" w:rsidRDefault="00DD7B69">
      <w:pPr>
        <w:spacing w:line="360" w:lineRule="auto"/>
        <w:jc w:val="both"/>
        <w:rPr>
          <w:rFonts w:ascii="Palatino Linotype" w:eastAsia="Palatino Linotype" w:hAnsi="Palatino Linotype" w:cs="Palatino Linotype"/>
          <w:sz w:val="22"/>
          <w:szCs w:val="22"/>
        </w:rPr>
      </w:pPr>
      <w:r w:rsidRPr="00A42FE8">
        <w:rPr>
          <w:rFonts w:ascii="Palatino Linotype" w:eastAsia="Palatino Linotype" w:hAnsi="Palatino Linotype" w:cs="Palatino Linotype"/>
          <w:sz w:val="22"/>
          <w:szCs w:val="22"/>
        </w:rPr>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14:paraId="45FE4B68" w14:textId="77777777" w:rsidR="00A045BE" w:rsidRPr="00A42FE8" w:rsidRDefault="00A045BE">
      <w:pPr>
        <w:spacing w:line="360" w:lineRule="auto"/>
        <w:jc w:val="both"/>
        <w:rPr>
          <w:rFonts w:ascii="Palatino Linotype" w:eastAsia="Palatino Linotype" w:hAnsi="Palatino Linotype" w:cs="Palatino Linotype"/>
          <w:sz w:val="22"/>
          <w:szCs w:val="22"/>
        </w:rPr>
      </w:pPr>
    </w:p>
    <w:p w14:paraId="479FB510" w14:textId="77777777" w:rsidR="00A045BE" w:rsidRPr="00A42FE8" w:rsidRDefault="00DD7B69">
      <w:pPr>
        <w:spacing w:line="360" w:lineRule="auto"/>
        <w:ind w:right="51"/>
        <w:jc w:val="both"/>
        <w:rPr>
          <w:rFonts w:ascii="Palatino Linotype" w:eastAsia="Palatino Linotype" w:hAnsi="Palatino Linotype" w:cs="Palatino Linotype"/>
          <w:sz w:val="22"/>
          <w:szCs w:val="22"/>
        </w:rPr>
      </w:pPr>
      <w:bookmarkStart w:id="4" w:name="_heading=h.bthx9osptspj" w:colFirst="0" w:colLast="0"/>
      <w:bookmarkEnd w:id="4"/>
      <w:r w:rsidRPr="00A42FE8">
        <w:rPr>
          <w:rFonts w:ascii="Palatino Linotype" w:eastAsia="Palatino Linotype" w:hAnsi="Palatino Linotype" w:cs="Palatino Linotype"/>
          <w:sz w:val="22"/>
          <w:szCs w:val="22"/>
        </w:rPr>
        <w:t xml:space="preserve">En consecuencia de todo lo anterior, y una vez analizada las constancias que integran el expediente en que se actúa, lo </w:t>
      </w:r>
      <w:r w:rsidRPr="00A42FE8">
        <w:rPr>
          <w:rFonts w:ascii="Palatino Linotype" w:eastAsia="Palatino Linotype" w:hAnsi="Palatino Linotype" w:cs="Palatino Linotype"/>
          <w:b/>
          <w:sz w:val="22"/>
          <w:szCs w:val="22"/>
        </w:rPr>
        <w:t>procedente</w:t>
      </w:r>
      <w:r w:rsidRPr="00A42FE8">
        <w:rPr>
          <w:rFonts w:ascii="Palatino Linotype" w:eastAsia="Palatino Linotype" w:hAnsi="Palatino Linotype" w:cs="Palatino Linotype"/>
          <w:sz w:val="22"/>
          <w:szCs w:val="22"/>
        </w:rPr>
        <w:t xml:space="preserve"> es </w:t>
      </w:r>
      <w:r w:rsidRPr="00A42FE8">
        <w:rPr>
          <w:rFonts w:ascii="Palatino Linotype" w:eastAsia="Palatino Linotype" w:hAnsi="Palatino Linotype" w:cs="Palatino Linotype"/>
          <w:b/>
          <w:sz w:val="22"/>
          <w:szCs w:val="22"/>
        </w:rPr>
        <w:t>confirmar</w:t>
      </w:r>
      <w:r w:rsidRPr="00A42FE8">
        <w:rPr>
          <w:rFonts w:ascii="Palatino Linotype" w:eastAsia="Palatino Linotype" w:hAnsi="Palatino Linotype" w:cs="Palatino Linotype"/>
          <w:sz w:val="22"/>
          <w:szCs w:val="22"/>
        </w:rPr>
        <w:t xml:space="preserve"> la respuesta del </w:t>
      </w:r>
      <w:r w:rsidRPr="00A42FE8">
        <w:rPr>
          <w:rFonts w:ascii="Palatino Linotype" w:eastAsia="Palatino Linotype" w:hAnsi="Palatino Linotype" w:cs="Palatino Linotype"/>
          <w:b/>
          <w:sz w:val="22"/>
          <w:szCs w:val="22"/>
        </w:rPr>
        <w:t xml:space="preserve">Sujeto Obligado. </w:t>
      </w:r>
      <w:r w:rsidRPr="00A42FE8">
        <w:rPr>
          <w:rFonts w:ascii="Palatino Linotype" w:eastAsia="Palatino Linotype" w:hAnsi="Palatino Linotype" w:cs="Palatino Linotype"/>
          <w:sz w:val="22"/>
          <w:szCs w:val="22"/>
        </w:rPr>
        <w:t xml:space="preserve">No obstante, se dejan a salvo los derechos del particular para que presente las solicitudes </w:t>
      </w:r>
      <w:r w:rsidRPr="00A42FE8">
        <w:rPr>
          <w:rFonts w:ascii="Palatino Linotype" w:eastAsia="Palatino Linotype" w:hAnsi="Palatino Linotype" w:cs="Palatino Linotype"/>
          <w:sz w:val="22"/>
          <w:szCs w:val="22"/>
        </w:rPr>
        <w:lastRenderedPageBreak/>
        <w:t xml:space="preserve">de información que estime convenientes para el caso de que requiera tener acceso al convenio firmado en 2007. </w:t>
      </w:r>
    </w:p>
    <w:p w14:paraId="54F21050" w14:textId="77777777" w:rsidR="00A045BE" w:rsidRPr="00A42FE8" w:rsidRDefault="00A045BE">
      <w:pPr>
        <w:spacing w:line="360" w:lineRule="auto"/>
        <w:ind w:right="51"/>
        <w:jc w:val="both"/>
        <w:rPr>
          <w:rFonts w:ascii="Palatino Linotype" w:eastAsia="Palatino Linotype" w:hAnsi="Palatino Linotype" w:cs="Palatino Linotype"/>
          <w:sz w:val="22"/>
          <w:szCs w:val="22"/>
        </w:rPr>
      </w:pPr>
      <w:bookmarkStart w:id="5" w:name="_heading=h.ji4bclg6fhs9" w:colFirst="0" w:colLast="0"/>
      <w:bookmarkEnd w:id="5"/>
    </w:p>
    <w:p w14:paraId="65689D4F" w14:textId="77777777" w:rsidR="00A045BE" w:rsidRPr="00A42FE8" w:rsidRDefault="00DD7B6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A42FE8">
        <w:rPr>
          <w:rFonts w:ascii="Palatino Linotype" w:eastAsia="Palatino Linotype" w:hAnsi="Palatino Linotype" w:cs="Palatino Linotype"/>
          <w:sz w:val="22"/>
          <w:szCs w:val="22"/>
        </w:rPr>
        <w:t>Así, con fundamento en lo prescrito en los artículos 5 párrafos trigésimo noveno, cuadragésimo y cuadragésimo primero de la Constitución Política del Estado Libre y Soberano de México; 2, fracción II; 29, 36 fracciones I y II; 176, 178, 181, 185 y 186 fracción II de la Ley de Transparencia y Acceso a la Información Pública del Estado de México y Municipios, este Pleno:</w:t>
      </w:r>
    </w:p>
    <w:p w14:paraId="7967CE24" w14:textId="77777777" w:rsidR="00A045BE" w:rsidRPr="00A42FE8" w:rsidRDefault="00DD7B69">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r w:rsidRPr="00A42FE8">
        <w:rPr>
          <w:rFonts w:ascii="Palatino Linotype" w:eastAsia="Palatino Linotype" w:hAnsi="Palatino Linotype" w:cs="Palatino Linotype"/>
          <w:b/>
          <w:sz w:val="22"/>
          <w:szCs w:val="22"/>
        </w:rPr>
        <w:t>III. R E S U E L V E:</w:t>
      </w:r>
    </w:p>
    <w:p w14:paraId="1E5C313E" w14:textId="77777777" w:rsidR="00A045BE" w:rsidRPr="00A42FE8" w:rsidRDefault="00DD7B69">
      <w:pPr>
        <w:pBdr>
          <w:top w:val="nil"/>
          <w:left w:val="nil"/>
          <w:bottom w:val="nil"/>
          <w:right w:val="nil"/>
          <w:between w:val="nil"/>
        </w:pBdr>
        <w:spacing w:line="405" w:lineRule="auto"/>
        <w:jc w:val="both"/>
        <w:rPr>
          <w:rFonts w:ascii="Palatino Linotype" w:eastAsia="Palatino Linotype" w:hAnsi="Palatino Linotype" w:cs="Palatino Linotype"/>
          <w:sz w:val="22"/>
          <w:szCs w:val="22"/>
        </w:rPr>
      </w:pPr>
      <w:bookmarkStart w:id="6" w:name="_heading=h.3dy6vkm" w:colFirst="0" w:colLast="0"/>
      <w:bookmarkEnd w:id="6"/>
      <w:r w:rsidRPr="00A42FE8">
        <w:rPr>
          <w:rFonts w:ascii="Palatino Linotype" w:eastAsia="Palatino Linotype" w:hAnsi="Palatino Linotype" w:cs="Palatino Linotype"/>
          <w:b/>
          <w:sz w:val="22"/>
          <w:szCs w:val="22"/>
        </w:rPr>
        <w:t>Primero.</w:t>
      </w:r>
      <w:r w:rsidRPr="00A42FE8">
        <w:rPr>
          <w:rFonts w:ascii="Palatino Linotype" w:eastAsia="Palatino Linotype" w:hAnsi="Palatino Linotype" w:cs="Palatino Linotype"/>
          <w:sz w:val="22"/>
          <w:szCs w:val="22"/>
        </w:rPr>
        <w:t xml:space="preserve"> Resulta infundado el motivo de inconformidad aducido por la parte </w:t>
      </w:r>
      <w:r w:rsidRPr="00A42FE8">
        <w:rPr>
          <w:rFonts w:ascii="Palatino Linotype" w:eastAsia="Palatino Linotype" w:hAnsi="Palatino Linotype" w:cs="Palatino Linotype"/>
          <w:b/>
          <w:sz w:val="22"/>
          <w:szCs w:val="22"/>
        </w:rPr>
        <w:t>Recurrente</w:t>
      </w:r>
      <w:r w:rsidRPr="00A42FE8">
        <w:rPr>
          <w:rFonts w:ascii="Palatino Linotype" w:eastAsia="Palatino Linotype" w:hAnsi="Palatino Linotype" w:cs="Palatino Linotype"/>
          <w:sz w:val="22"/>
          <w:szCs w:val="22"/>
        </w:rPr>
        <w:t xml:space="preserve"> en el recurso de revisión </w:t>
      </w:r>
      <w:r w:rsidRPr="00A42FE8">
        <w:rPr>
          <w:rFonts w:ascii="Palatino Linotype" w:eastAsia="Palatino Linotype" w:hAnsi="Palatino Linotype" w:cs="Palatino Linotype"/>
          <w:b/>
          <w:sz w:val="22"/>
          <w:szCs w:val="22"/>
        </w:rPr>
        <w:t>05419/INFOEM/IP/RR/2025</w:t>
      </w:r>
      <w:r w:rsidRPr="00A42FE8">
        <w:rPr>
          <w:rFonts w:ascii="Palatino Linotype" w:eastAsia="Palatino Linotype" w:hAnsi="Palatino Linotype" w:cs="Palatino Linotype"/>
          <w:sz w:val="22"/>
          <w:szCs w:val="22"/>
        </w:rPr>
        <w:t xml:space="preserve">; por lo que, en términos de los argumentos señalados en el Considerando Cuarto se </w:t>
      </w:r>
      <w:r w:rsidRPr="00A42FE8">
        <w:rPr>
          <w:rFonts w:ascii="Palatino Linotype" w:eastAsia="Palatino Linotype" w:hAnsi="Palatino Linotype" w:cs="Palatino Linotype"/>
          <w:b/>
          <w:sz w:val="22"/>
          <w:szCs w:val="22"/>
        </w:rPr>
        <w:t>Confirma</w:t>
      </w:r>
      <w:r w:rsidRPr="00A42FE8">
        <w:rPr>
          <w:rFonts w:ascii="Palatino Linotype" w:eastAsia="Palatino Linotype" w:hAnsi="Palatino Linotype" w:cs="Palatino Linotype"/>
          <w:sz w:val="22"/>
          <w:szCs w:val="22"/>
        </w:rPr>
        <w:t xml:space="preserve"> la respuesta emitida por el </w:t>
      </w:r>
      <w:r w:rsidRPr="00A42FE8">
        <w:rPr>
          <w:rFonts w:ascii="Palatino Linotype" w:eastAsia="Palatino Linotype" w:hAnsi="Palatino Linotype" w:cs="Palatino Linotype"/>
          <w:b/>
          <w:sz w:val="22"/>
          <w:szCs w:val="22"/>
        </w:rPr>
        <w:t>Sujeto Obligado</w:t>
      </w:r>
      <w:r w:rsidRPr="00A42FE8">
        <w:rPr>
          <w:rFonts w:ascii="Palatino Linotype" w:eastAsia="Palatino Linotype" w:hAnsi="Palatino Linotype" w:cs="Palatino Linotype"/>
          <w:sz w:val="22"/>
          <w:szCs w:val="22"/>
        </w:rPr>
        <w:t>.</w:t>
      </w:r>
    </w:p>
    <w:p w14:paraId="51D9DC3B" w14:textId="77777777" w:rsidR="00A045BE" w:rsidRPr="00A42FE8" w:rsidRDefault="00A045BE">
      <w:pPr>
        <w:pBdr>
          <w:top w:val="nil"/>
          <w:left w:val="nil"/>
          <w:bottom w:val="nil"/>
          <w:right w:val="nil"/>
          <w:between w:val="nil"/>
        </w:pBdr>
        <w:spacing w:line="405" w:lineRule="auto"/>
        <w:jc w:val="both"/>
        <w:rPr>
          <w:rFonts w:ascii="Palatino Linotype" w:eastAsia="Palatino Linotype" w:hAnsi="Palatino Linotype" w:cs="Palatino Linotype"/>
          <w:sz w:val="22"/>
          <w:szCs w:val="22"/>
        </w:rPr>
      </w:pPr>
    </w:p>
    <w:p w14:paraId="2DE2B2EE" w14:textId="77777777" w:rsidR="00A045BE" w:rsidRPr="00A42FE8" w:rsidRDefault="00DD7B69">
      <w:pPr>
        <w:spacing w:line="360" w:lineRule="auto"/>
        <w:jc w:val="both"/>
        <w:rPr>
          <w:rFonts w:ascii="Palatino Linotype" w:eastAsia="Palatino Linotype" w:hAnsi="Palatino Linotype" w:cs="Palatino Linotype"/>
          <w:sz w:val="22"/>
          <w:szCs w:val="22"/>
        </w:rPr>
      </w:pPr>
      <w:r w:rsidRPr="00A42FE8">
        <w:rPr>
          <w:rFonts w:ascii="Palatino Linotype" w:eastAsia="Palatino Linotype" w:hAnsi="Palatino Linotype" w:cs="Palatino Linotype"/>
          <w:b/>
          <w:sz w:val="22"/>
          <w:szCs w:val="22"/>
        </w:rPr>
        <w:t>Segundo. Notifíquese</w:t>
      </w:r>
      <w:r w:rsidRPr="00A42FE8">
        <w:rPr>
          <w:rFonts w:ascii="Palatino Linotype" w:eastAsia="Palatino Linotype" w:hAnsi="Palatino Linotype" w:cs="Palatino Linotype"/>
          <w:sz w:val="22"/>
          <w:szCs w:val="22"/>
        </w:rPr>
        <w:t xml:space="preserve"> vía </w:t>
      </w:r>
      <w:r w:rsidRPr="00A42FE8">
        <w:rPr>
          <w:rFonts w:ascii="Palatino Linotype" w:eastAsia="Palatino Linotype" w:hAnsi="Palatino Linotype" w:cs="Palatino Linotype"/>
          <w:b/>
          <w:sz w:val="22"/>
          <w:szCs w:val="22"/>
        </w:rPr>
        <w:t xml:space="preserve">SAIMEX </w:t>
      </w:r>
      <w:r w:rsidRPr="00A42FE8">
        <w:rPr>
          <w:rFonts w:ascii="Palatino Linotype" w:eastAsia="Palatino Linotype" w:hAnsi="Palatino Linotype" w:cs="Palatino Linotype"/>
          <w:sz w:val="22"/>
          <w:szCs w:val="22"/>
        </w:rPr>
        <w:t xml:space="preserve">la presente resolución a la Titular de la Unidad de Transparencia del </w:t>
      </w:r>
      <w:r w:rsidRPr="00A42FE8">
        <w:rPr>
          <w:rFonts w:ascii="Palatino Linotype" w:eastAsia="Palatino Linotype" w:hAnsi="Palatino Linotype" w:cs="Palatino Linotype"/>
          <w:b/>
          <w:sz w:val="22"/>
          <w:szCs w:val="22"/>
        </w:rPr>
        <w:t>Sujeto Obligado</w:t>
      </w:r>
      <w:r w:rsidRPr="00A42FE8">
        <w:rPr>
          <w:rFonts w:ascii="Palatino Linotype" w:eastAsia="Palatino Linotype" w:hAnsi="Palatino Linotype" w:cs="Palatino Linotype"/>
          <w:sz w:val="22"/>
          <w:szCs w:val="22"/>
        </w:rPr>
        <w:t>, para su conocimiento, lo anterior en términos del artículo 189 de la Ley de Transparencia y Acceso a la Información Pública del Estado de México y Municipios.</w:t>
      </w:r>
    </w:p>
    <w:p w14:paraId="6CF712B9" w14:textId="77777777" w:rsidR="00A045BE" w:rsidRPr="00A42FE8" w:rsidRDefault="00A045BE">
      <w:pPr>
        <w:spacing w:line="360" w:lineRule="auto"/>
        <w:jc w:val="both"/>
        <w:rPr>
          <w:rFonts w:ascii="Palatino Linotype" w:eastAsia="Palatino Linotype" w:hAnsi="Palatino Linotype" w:cs="Palatino Linotype"/>
          <w:sz w:val="22"/>
          <w:szCs w:val="22"/>
        </w:rPr>
      </w:pPr>
    </w:p>
    <w:p w14:paraId="5D96413C" w14:textId="77777777" w:rsidR="00A045BE" w:rsidRPr="00A42FE8" w:rsidRDefault="00DD7B69">
      <w:pPr>
        <w:tabs>
          <w:tab w:val="left" w:pos="8647"/>
        </w:tabs>
        <w:spacing w:line="360" w:lineRule="auto"/>
        <w:ind w:right="51"/>
        <w:jc w:val="both"/>
        <w:rPr>
          <w:rFonts w:ascii="Palatino Linotype" w:eastAsia="Palatino Linotype" w:hAnsi="Palatino Linotype" w:cs="Palatino Linotype"/>
          <w:sz w:val="22"/>
          <w:szCs w:val="22"/>
        </w:rPr>
      </w:pPr>
      <w:r w:rsidRPr="00A42FE8">
        <w:rPr>
          <w:rFonts w:ascii="Palatino Linotype" w:eastAsia="Palatino Linotype" w:hAnsi="Palatino Linotype" w:cs="Palatino Linotype"/>
          <w:b/>
          <w:sz w:val="22"/>
          <w:szCs w:val="22"/>
        </w:rPr>
        <w:t xml:space="preserve">Tercero. Notifíquese, vía SAIMEX </w:t>
      </w:r>
      <w:r w:rsidRPr="00A42FE8">
        <w:rPr>
          <w:rFonts w:ascii="Palatino Linotype" w:eastAsia="Palatino Linotype" w:hAnsi="Palatino Linotype" w:cs="Palatino Linotype"/>
          <w:sz w:val="22"/>
          <w:szCs w:val="22"/>
        </w:rPr>
        <w:t>a</w:t>
      </w:r>
      <w:r w:rsidRPr="00A42FE8">
        <w:rPr>
          <w:rFonts w:ascii="Palatino Linotype" w:eastAsia="Palatino Linotype" w:hAnsi="Palatino Linotype" w:cs="Palatino Linotype"/>
          <w:b/>
          <w:sz w:val="22"/>
          <w:szCs w:val="22"/>
        </w:rPr>
        <w:t xml:space="preserve"> </w:t>
      </w:r>
      <w:r w:rsidRPr="00A42FE8">
        <w:rPr>
          <w:rFonts w:ascii="Palatino Linotype" w:eastAsia="Palatino Linotype" w:hAnsi="Palatino Linotype" w:cs="Palatino Linotype"/>
          <w:sz w:val="22"/>
          <w:szCs w:val="22"/>
        </w:rPr>
        <w:t>la parte</w:t>
      </w:r>
      <w:r w:rsidRPr="00A42FE8">
        <w:rPr>
          <w:rFonts w:ascii="Palatino Linotype" w:eastAsia="Palatino Linotype" w:hAnsi="Palatino Linotype" w:cs="Palatino Linotype"/>
          <w:b/>
          <w:sz w:val="22"/>
          <w:szCs w:val="22"/>
        </w:rPr>
        <w:t xml:space="preserve"> Recurrente</w:t>
      </w:r>
      <w:r w:rsidRPr="00A42FE8">
        <w:rPr>
          <w:rFonts w:ascii="Palatino Linotype" w:eastAsia="Palatino Linotype" w:hAnsi="Palatino Linotype" w:cs="Palatino Linotype"/>
          <w:sz w:val="22"/>
          <w:szCs w:val="22"/>
        </w:rPr>
        <w:t xml:space="preserve"> la presente resolución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685188B7" w14:textId="77777777" w:rsidR="00A045BE" w:rsidRPr="00A42FE8" w:rsidRDefault="00A045BE">
      <w:pPr>
        <w:tabs>
          <w:tab w:val="left" w:pos="8647"/>
        </w:tabs>
        <w:spacing w:line="360" w:lineRule="auto"/>
        <w:ind w:right="51"/>
        <w:jc w:val="both"/>
        <w:rPr>
          <w:rFonts w:ascii="Palatino Linotype" w:eastAsia="Palatino Linotype" w:hAnsi="Palatino Linotype" w:cs="Palatino Linotype"/>
          <w:sz w:val="22"/>
          <w:szCs w:val="22"/>
        </w:rPr>
      </w:pPr>
    </w:p>
    <w:p w14:paraId="1AF6C03B" w14:textId="77777777" w:rsidR="00A045BE" w:rsidRPr="00DD7B69" w:rsidRDefault="00DD7B69">
      <w:pPr>
        <w:spacing w:line="360" w:lineRule="auto"/>
        <w:jc w:val="both"/>
        <w:rPr>
          <w:rFonts w:ascii="Palatino Linotype" w:eastAsia="Palatino Linotype" w:hAnsi="Palatino Linotype" w:cs="Palatino Linotype"/>
          <w:sz w:val="22"/>
          <w:szCs w:val="22"/>
        </w:rPr>
        <w:sectPr w:rsidR="00A045BE" w:rsidRPr="00DD7B69">
          <w:headerReference w:type="default" r:id="rId13"/>
          <w:footerReference w:type="default" r:id="rId14"/>
          <w:headerReference w:type="first" r:id="rId15"/>
          <w:footerReference w:type="first" r:id="rId16"/>
          <w:pgSz w:w="12240" w:h="15840"/>
          <w:pgMar w:top="2041" w:right="1701" w:bottom="1701" w:left="1701" w:header="709" w:footer="709" w:gutter="0"/>
          <w:pgNumType w:start="1"/>
          <w:cols w:space="720"/>
          <w:titlePg/>
        </w:sectPr>
      </w:pPr>
      <w:bookmarkStart w:id="7" w:name="_heading=h.1fob9te" w:colFirst="0" w:colLast="0"/>
      <w:bookmarkEnd w:id="7"/>
      <w:r w:rsidRPr="00A42FE8">
        <w:rPr>
          <w:rFonts w:ascii="Palatino Linotype" w:eastAsia="Palatino Linotype" w:hAnsi="Palatino Linotype" w:cs="Palatino Linotype"/>
          <w:sz w:val="22"/>
          <w:szCs w:val="22"/>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5D29A5" w:rsidRPr="00A42FE8">
        <w:rPr>
          <w:rFonts w:ascii="Palatino Linotype" w:eastAsia="Palatino Linotype" w:hAnsi="Palatino Linotype" w:cs="Palatino Linotype"/>
          <w:sz w:val="22"/>
          <w:szCs w:val="22"/>
        </w:rPr>
        <w:t xml:space="preserve"> (AUSENCIA JUSTIFICADA)</w:t>
      </w:r>
      <w:r w:rsidRPr="00A42FE8">
        <w:rPr>
          <w:rFonts w:ascii="Palatino Linotype" w:eastAsia="Palatino Linotype" w:hAnsi="Palatino Linotype" w:cs="Palatino Linotype"/>
          <w:sz w:val="22"/>
          <w:szCs w:val="22"/>
        </w:rPr>
        <w:t>, LUIS GUSTAVO PARRA NORIEGA Y GUADALUPE RAMÍREZ PEÑA; EN LA TRIGÉSIMA TERCERA SESIÓN ORDINARIA CELEBRADA EL DIECIOCHO DE SEPTIEMBRE DE DOS MIL VEINTICINCO, ANTE EL SECRETARIO TÉCNICO DEL PLENO ALEXIS TAPIA RAMÍREZ.</w:t>
      </w:r>
      <w:r w:rsidRPr="00DD7B69">
        <w:rPr>
          <w:rFonts w:ascii="Palatino Linotype" w:eastAsia="Palatino Linotype" w:hAnsi="Palatino Linotype" w:cs="Palatino Linotype"/>
          <w:sz w:val="22"/>
          <w:szCs w:val="22"/>
        </w:rPr>
        <w:t xml:space="preserve">                              </w:t>
      </w:r>
    </w:p>
    <w:p w14:paraId="0739528E" w14:textId="77777777" w:rsidR="00A045BE" w:rsidRPr="00DD7B69" w:rsidRDefault="00A045BE">
      <w:pPr>
        <w:spacing w:line="360" w:lineRule="auto"/>
        <w:jc w:val="both"/>
        <w:rPr>
          <w:rFonts w:ascii="Palatino Linotype" w:eastAsia="Palatino Linotype" w:hAnsi="Palatino Linotype" w:cs="Palatino Linotype"/>
          <w:sz w:val="22"/>
          <w:szCs w:val="22"/>
        </w:rPr>
      </w:pPr>
    </w:p>
    <w:sectPr w:rsidR="00A045BE" w:rsidRPr="00DD7B69">
      <w:headerReference w:type="first" r:id="rId17"/>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4BABAA" w14:textId="77777777" w:rsidR="001D028F" w:rsidRDefault="001D028F">
      <w:r>
        <w:separator/>
      </w:r>
    </w:p>
  </w:endnote>
  <w:endnote w:type="continuationSeparator" w:id="0">
    <w:p w14:paraId="6F071DDF" w14:textId="77777777" w:rsidR="001D028F" w:rsidRDefault="001D02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E1C3E" w14:textId="77777777" w:rsidR="00A045BE" w:rsidRDefault="00DD7B69">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A42FE8">
      <w:rPr>
        <w:rFonts w:ascii="Arial" w:eastAsia="Arial" w:hAnsi="Arial" w:cs="Arial"/>
        <w:b/>
        <w:noProof/>
        <w:color w:val="000000"/>
        <w:sz w:val="20"/>
        <w:szCs w:val="20"/>
      </w:rPr>
      <w:t>26</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A42FE8">
      <w:rPr>
        <w:rFonts w:ascii="Arial" w:eastAsia="Arial" w:hAnsi="Arial" w:cs="Arial"/>
        <w:b/>
        <w:noProof/>
        <w:color w:val="000000"/>
        <w:sz w:val="20"/>
        <w:szCs w:val="20"/>
      </w:rPr>
      <w:t>28</w:t>
    </w:r>
    <w:r>
      <w:rPr>
        <w:rFonts w:ascii="Arial" w:eastAsia="Arial" w:hAnsi="Arial" w:cs="Arial"/>
        <w:b/>
        <w:color w:val="000000"/>
        <w:sz w:val="20"/>
        <w:szCs w:val="20"/>
      </w:rPr>
      <w:fldChar w:fldCharType="end"/>
    </w:r>
  </w:p>
  <w:p w14:paraId="7CBE6258" w14:textId="77777777" w:rsidR="00A045BE" w:rsidRDefault="00A045BE">
    <w:pPr>
      <w:pBdr>
        <w:top w:val="nil"/>
        <w:left w:val="nil"/>
        <w:bottom w:val="nil"/>
        <w:right w:val="nil"/>
        <w:between w:val="nil"/>
      </w:pBdr>
      <w:tabs>
        <w:tab w:val="center" w:pos="4252"/>
        <w:tab w:val="right" w:pos="8504"/>
      </w:tabs>
      <w:rPr>
        <w:color w:val="000000"/>
      </w:rPr>
    </w:pPr>
  </w:p>
  <w:p w14:paraId="2ECFB26C" w14:textId="77777777" w:rsidR="00A045BE" w:rsidRDefault="00A045BE">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2EE5D" w14:textId="77777777" w:rsidR="00A045BE" w:rsidRDefault="00DD7B69">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A42FE8">
      <w:rPr>
        <w:rFonts w:ascii="Arial" w:eastAsia="Arial" w:hAnsi="Arial" w:cs="Arial"/>
        <w:b/>
        <w:noProof/>
        <w:color w:val="000000"/>
        <w:sz w:val="20"/>
        <w:szCs w:val="20"/>
      </w:rPr>
      <w:t>28</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A42FE8">
      <w:rPr>
        <w:rFonts w:ascii="Arial" w:eastAsia="Arial" w:hAnsi="Arial" w:cs="Arial"/>
        <w:b/>
        <w:noProof/>
        <w:color w:val="000000"/>
        <w:sz w:val="20"/>
        <w:szCs w:val="20"/>
      </w:rPr>
      <w:t>28</w:t>
    </w:r>
    <w:r>
      <w:rPr>
        <w:rFonts w:ascii="Arial" w:eastAsia="Arial" w:hAnsi="Arial" w:cs="Arial"/>
        <w:b/>
        <w:color w:val="000000"/>
        <w:sz w:val="20"/>
        <w:szCs w:val="20"/>
      </w:rPr>
      <w:fldChar w:fldCharType="end"/>
    </w:r>
  </w:p>
  <w:p w14:paraId="78BF49F6" w14:textId="77777777" w:rsidR="00A045BE" w:rsidRDefault="00A045BE">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B133C0" w14:textId="77777777" w:rsidR="001D028F" w:rsidRDefault="001D028F">
      <w:r>
        <w:separator/>
      </w:r>
    </w:p>
  </w:footnote>
  <w:footnote w:type="continuationSeparator" w:id="0">
    <w:p w14:paraId="16EBF1C9" w14:textId="77777777" w:rsidR="001D028F" w:rsidRDefault="001D02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69281" w14:textId="77777777" w:rsidR="00A045BE" w:rsidRDefault="00DD7B69">
    <w:pPr>
      <w:widowControl w:val="0"/>
      <w:pBdr>
        <w:top w:val="nil"/>
        <w:left w:val="nil"/>
        <w:bottom w:val="nil"/>
        <w:right w:val="nil"/>
        <w:between w:val="nil"/>
      </w:pBdr>
      <w:spacing w:line="276" w:lineRule="auto"/>
      <w:rPr>
        <w:rFonts w:ascii="Calibri" w:eastAsia="Calibri" w:hAnsi="Calibri" w:cs="Calibri"/>
        <w:color w:val="000000"/>
      </w:rPr>
    </w:pPr>
    <w:r>
      <w:rPr>
        <w:noProof/>
        <w:lang w:val="es-MX"/>
      </w:rPr>
      <w:drawing>
        <wp:anchor distT="0" distB="0" distL="0" distR="0" simplePos="0" relativeHeight="251658240" behindDoc="1" locked="0" layoutInCell="1" hidden="0" allowOverlap="1" wp14:anchorId="4181D430" wp14:editId="2CB5FCFF">
          <wp:simplePos x="0" y="0"/>
          <wp:positionH relativeFrom="column">
            <wp:posOffset>-638171</wp:posOffset>
          </wp:positionH>
          <wp:positionV relativeFrom="paragraph">
            <wp:posOffset>-450210</wp:posOffset>
          </wp:positionV>
          <wp:extent cx="7809876" cy="10165823"/>
          <wp:effectExtent l="0" t="0" r="0" b="0"/>
          <wp:wrapNone/>
          <wp:docPr id="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7"/>
      <w:tblW w:w="5528" w:type="dxa"/>
      <w:tblInd w:w="3261" w:type="dxa"/>
      <w:tblLayout w:type="fixed"/>
      <w:tblLook w:val="0400" w:firstRow="0" w:lastRow="0" w:firstColumn="0" w:lastColumn="0" w:noHBand="0" w:noVBand="1"/>
    </w:tblPr>
    <w:tblGrid>
      <w:gridCol w:w="2551"/>
      <w:gridCol w:w="2977"/>
    </w:tblGrid>
    <w:tr w:rsidR="00A045BE" w14:paraId="29AC30BF" w14:textId="77777777">
      <w:tc>
        <w:tcPr>
          <w:tcW w:w="2551" w:type="dxa"/>
          <w:vAlign w:val="center"/>
        </w:tcPr>
        <w:p w14:paraId="1ECF5507" w14:textId="77777777" w:rsidR="00A045BE" w:rsidRDefault="00DD7B6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12FDB241" w14:textId="77777777" w:rsidR="00A045BE" w:rsidRDefault="00DD7B6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05419/INFOEM/IP/RR/2025</w:t>
          </w:r>
        </w:p>
      </w:tc>
    </w:tr>
    <w:tr w:rsidR="00A045BE" w14:paraId="3CCF45A6" w14:textId="77777777">
      <w:trPr>
        <w:trHeight w:val="228"/>
      </w:trPr>
      <w:tc>
        <w:tcPr>
          <w:tcW w:w="2551" w:type="dxa"/>
          <w:vAlign w:val="center"/>
        </w:tcPr>
        <w:p w14:paraId="4DD6CDA7" w14:textId="77777777" w:rsidR="00A045BE" w:rsidRDefault="00DD7B6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449C5756" w14:textId="77777777" w:rsidR="00A045BE" w:rsidRDefault="00DD7B6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Comisión de Derechos Humanos del Estado de México</w:t>
          </w:r>
        </w:p>
      </w:tc>
    </w:tr>
    <w:tr w:rsidR="00A045BE" w14:paraId="6D044A34" w14:textId="77777777">
      <w:tc>
        <w:tcPr>
          <w:tcW w:w="2551" w:type="dxa"/>
          <w:vAlign w:val="center"/>
        </w:tcPr>
        <w:p w14:paraId="76AFCF1D" w14:textId="77777777" w:rsidR="00A045BE" w:rsidRDefault="00DD7B6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51A97542" w14:textId="77777777" w:rsidR="00A045BE" w:rsidRDefault="00DD7B69">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89F95F0" w14:textId="77777777" w:rsidR="00A045BE" w:rsidRDefault="00DD7B69">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565D3" w14:textId="77777777" w:rsidR="00A045BE" w:rsidRDefault="00DD7B69">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rPr>
      <w:drawing>
        <wp:anchor distT="0" distB="0" distL="0" distR="0" simplePos="0" relativeHeight="251659264" behindDoc="1" locked="0" layoutInCell="1" hidden="0" allowOverlap="1" wp14:anchorId="5CB78805" wp14:editId="07EA094D">
          <wp:simplePos x="0" y="0"/>
          <wp:positionH relativeFrom="column">
            <wp:posOffset>-798188</wp:posOffset>
          </wp:positionH>
          <wp:positionV relativeFrom="paragraph">
            <wp:posOffset>-399409</wp:posOffset>
          </wp:positionV>
          <wp:extent cx="7809876" cy="10165823"/>
          <wp:effectExtent l="0" t="0" r="0" b="0"/>
          <wp:wrapNone/>
          <wp:docPr id="5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8"/>
      <w:tblW w:w="5670" w:type="dxa"/>
      <w:tblInd w:w="3119" w:type="dxa"/>
      <w:tblLayout w:type="fixed"/>
      <w:tblLook w:val="0400" w:firstRow="0" w:lastRow="0" w:firstColumn="0" w:lastColumn="0" w:noHBand="0" w:noVBand="1"/>
    </w:tblPr>
    <w:tblGrid>
      <w:gridCol w:w="2551"/>
      <w:gridCol w:w="3119"/>
    </w:tblGrid>
    <w:tr w:rsidR="00A045BE" w14:paraId="254818EB" w14:textId="77777777">
      <w:tc>
        <w:tcPr>
          <w:tcW w:w="2551" w:type="dxa"/>
          <w:vAlign w:val="center"/>
        </w:tcPr>
        <w:p w14:paraId="0F80121E" w14:textId="77777777" w:rsidR="00A045BE" w:rsidRDefault="00DD7B6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3F43C0CC" w14:textId="77777777" w:rsidR="00A045BE" w:rsidRDefault="00DD7B69">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05419/INFOEM/IP/RR/2025 </w:t>
          </w:r>
        </w:p>
      </w:tc>
    </w:tr>
    <w:tr w:rsidR="00A045BE" w14:paraId="4A7D5BD8" w14:textId="77777777">
      <w:tc>
        <w:tcPr>
          <w:tcW w:w="2551" w:type="dxa"/>
          <w:vAlign w:val="center"/>
        </w:tcPr>
        <w:p w14:paraId="59F0BBCC" w14:textId="77777777" w:rsidR="00A045BE" w:rsidRDefault="00DD7B69">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03616571" w14:textId="1C24D45D" w:rsidR="00A045BE" w:rsidRDefault="00BF2219">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w:t>
          </w:r>
        </w:p>
      </w:tc>
    </w:tr>
    <w:tr w:rsidR="00A045BE" w14:paraId="4E3D1BBE" w14:textId="77777777">
      <w:trPr>
        <w:trHeight w:val="228"/>
      </w:trPr>
      <w:tc>
        <w:tcPr>
          <w:tcW w:w="2551" w:type="dxa"/>
          <w:vAlign w:val="center"/>
        </w:tcPr>
        <w:p w14:paraId="4639455C" w14:textId="77777777" w:rsidR="00A045BE" w:rsidRDefault="00DD7B6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1E26B6BC" w14:textId="77777777" w:rsidR="00A045BE" w:rsidRDefault="00DD7B69">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Comisión de Derechos Humanos del Estado de México</w:t>
          </w:r>
        </w:p>
      </w:tc>
    </w:tr>
    <w:tr w:rsidR="00A045BE" w14:paraId="1D103194" w14:textId="77777777">
      <w:tc>
        <w:tcPr>
          <w:tcW w:w="2551" w:type="dxa"/>
          <w:vAlign w:val="center"/>
        </w:tcPr>
        <w:p w14:paraId="195E32E0" w14:textId="77777777" w:rsidR="00A045BE" w:rsidRDefault="00DD7B6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4DD26F99" w14:textId="77777777" w:rsidR="00A045BE" w:rsidRDefault="00DD7B69">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14AAAF3" w14:textId="77777777" w:rsidR="00A045BE" w:rsidRDefault="00A045BE">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BB669" w14:textId="77777777" w:rsidR="00A045BE" w:rsidRDefault="00A045BE">
    <w:pPr>
      <w:pBdr>
        <w:top w:val="nil"/>
        <w:left w:val="nil"/>
        <w:bottom w:val="nil"/>
        <w:right w:val="nil"/>
        <w:between w:val="nil"/>
      </w:pBdr>
      <w:tabs>
        <w:tab w:val="center" w:pos="4252"/>
        <w:tab w:val="right" w:pos="8504"/>
      </w:tabs>
      <w:jc w:val="both"/>
      <w:rPr>
        <w:rFonts w:ascii="Calibri" w:eastAsia="Calibri" w:hAnsi="Calibri" w:cs="Calibri"/>
        <w:color w:val="000000"/>
      </w:rPr>
    </w:pPr>
  </w:p>
  <w:p w14:paraId="53A1B5B5" w14:textId="77777777" w:rsidR="00A045BE" w:rsidRDefault="00A045BE">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B6B4F"/>
    <w:multiLevelType w:val="multilevel"/>
    <w:tmpl w:val="04709584"/>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6AF617E"/>
    <w:multiLevelType w:val="multilevel"/>
    <w:tmpl w:val="E75A10A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1E612E9D"/>
    <w:multiLevelType w:val="multilevel"/>
    <w:tmpl w:val="D3FCE5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3413DE8"/>
    <w:multiLevelType w:val="multilevel"/>
    <w:tmpl w:val="669E32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AAD161B"/>
    <w:multiLevelType w:val="multilevel"/>
    <w:tmpl w:val="754441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21878199">
    <w:abstractNumId w:val="1"/>
  </w:num>
  <w:num w:numId="2" w16cid:durableId="1911308187">
    <w:abstractNumId w:val="2"/>
  </w:num>
  <w:num w:numId="3" w16cid:durableId="1155298035">
    <w:abstractNumId w:val="3"/>
  </w:num>
  <w:num w:numId="4" w16cid:durableId="1039621344">
    <w:abstractNumId w:val="0"/>
  </w:num>
  <w:num w:numId="5" w16cid:durableId="7307352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5BE"/>
    <w:rsid w:val="001D028F"/>
    <w:rsid w:val="00431DDD"/>
    <w:rsid w:val="005D29A5"/>
    <w:rsid w:val="0086410C"/>
    <w:rsid w:val="00A0401D"/>
    <w:rsid w:val="00A045BE"/>
    <w:rsid w:val="00A42FE8"/>
    <w:rsid w:val="00BF2219"/>
    <w:rsid w:val="00DD7B69"/>
    <w:rsid w:val="00DE4C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585FF"/>
  <w15:docId w15:val="{334A61C9-BC2D-42D3-9539-E4A3632B4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outlineLvl w:val="2"/>
    </w:pPr>
    <w:rPr>
      <w:b/>
      <w:sz w:val="27"/>
      <w:szCs w:val="27"/>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rPr>
  </w:style>
  <w:style w:type="character" w:customStyle="1" w:styleId="Ttulo3Car">
    <w:name w:val="Título 3 Car"/>
    <w:basedOn w:val="Fuentedeprrafopredeter"/>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a">
    <w:basedOn w:val="TableNormal6"/>
    <w:tblPr>
      <w:tblStyleRowBandSize w:val="1"/>
      <w:tblStyleColBandSize w:val="1"/>
      <w:tblCellMar>
        <w:left w:w="108" w:type="dxa"/>
        <w:right w:w="108" w:type="dxa"/>
      </w:tblCellMar>
    </w:tblPr>
  </w:style>
  <w:style w:type="table" w:customStyle="1" w:styleId="a0">
    <w:basedOn w:val="TableNormal6"/>
    <w:tblPr>
      <w:tblStyleRowBandSize w:val="1"/>
      <w:tblStyleColBandSize w:val="1"/>
      <w:tblCellMar>
        <w:left w:w="115" w:type="dxa"/>
        <w:right w:w="115" w:type="dxa"/>
      </w:tblCellMar>
    </w:tblPr>
  </w:style>
  <w:style w:type="table" w:customStyle="1" w:styleId="a1">
    <w:basedOn w:val="TableNormal6"/>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6"/>
    <w:tblPr>
      <w:tblStyleRowBandSize w:val="1"/>
      <w:tblStyleColBandSize w:val="1"/>
      <w:tblCellMar>
        <w:left w:w="108" w:type="dxa"/>
        <w:right w:w="108" w:type="dxa"/>
      </w:tblCellMar>
    </w:tblPr>
  </w:style>
  <w:style w:type="table" w:customStyle="1" w:styleId="a3">
    <w:basedOn w:val="TableNormal6"/>
    <w:tblPr>
      <w:tblStyleRowBandSize w:val="1"/>
      <w:tblStyleColBandSize w:val="1"/>
      <w:tblCellMar>
        <w:left w:w="108" w:type="dxa"/>
        <w:right w:w="108" w:type="dxa"/>
      </w:tblCellMar>
    </w:tblPr>
  </w:style>
  <w:style w:type="table" w:customStyle="1" w:styleId="a4">
    <w:basedOn w:val="TableNormal6"/>
    <w:tblPr>
      <w:tblStyleRowBandSize w:val="1"/>
      <w:tblStyleColBandSize w:val="1"/>
      <w:tblCellMar>
        <w:left w:w="108" w:type="dxa"/>
        <w:right w:w="108" w:type="dxa"/>
      </w:tblCellMar>
    </w:tblPr>
  </w:style>
  <w:style w:type="table" w:customStyle="1" w:styleId="a5">
    <w:basedOn w:val="TableNormal6"/>
    <w:tblPr>
      <w:tblStyleRowBandSize w:val="1"/>
      <w:tblStyleColBandSize w:val="1"/>
      <w:tblCellMar>
        <w:left w:w="108" w:type="dxa"/>
        <w:right w:w="108" w:type="dxa"/>
      </w:tblCellMar>
    </w:tblPr>
  </w:style>
  <w:style w:type="table" w:customStyle="1" w:styleId="a6">
    <w:basedOn w:val="TableNormal6"/>
    <w:tblPr>
      <w:tblStyleRowBandSize w:val="1"/>
      <w:tblStyleColBandSize w:val="1"/>
      <w:tblCellMar>
        <w:left w:w="108" w:type="dxa"/>
        <w:right w:w="108" w:type="dxa"/>
      </w:tblCellMar>
    </w:tblPr>
  </w:style>
  <w:style w:type="table" w:customStyle="1" w:styleId="a7">
    <w:basedOn w:val="TableNormal6"/>
    <w:tblPr>
      <w:tblStyleRowBandSize w:val="1"/>
      <w:tblStyleColBandSize w:val="1"/>
      <w:tblCellMar>
        <w:left w:w="108" w:type="dxa"/>
        <w:right w:w="108" w:type="dxa"/>
      </w:tblCellMar>
    </w:tblPr>
  </w:style>
  <w:style w:type="table" w:customStyle="1" w:styleId="a8">
    <w:basedOn w:val="TableNormal6"/>
    <w:tblPr>
      <w:tblStyleRowBandSize w:val="1"/>
      <w:tblStyleColBandSize w:val="1"/>
      <w:tblCellMar>
        <w:left w:w="108" w:type="dxa"/>
        <w:right w:w="108" w:type="dxa"/>
      </w:tblCellMar>
    </w:tblPr>
  </w:style>
  <w:style w:type="table" w:customStyle="1" w:styleId="a9">
    <w:basedOn w:val="TableNormal6"/>
    <w:tblPr>
      <w:tblStyleRowBandSize w:val="1"/>
      <w:tblStyleColBandSize w:val="1"/>
      <w:tblCellMar>
        <w:left w:w="115" w:type="dxa"/>
        <w:right w:w="115" w:type="dxa"/>
      </w:tblCellMar>
    </w:tblPr>
  </w:style>
  <w:style w:type="table" w:customStyle="1" w:styleId="aa">
    <w:basedOn w:val="TableNormal6"/>
    <w:tblPr>
      <w:tblStyleRowBandSize w:val="1"/>
      <w:tblStyleColBandSize w:val="1"/>
      <w:tblCellMar>
        <w:left w:w="115" w:type="dxa"/>
        <w:right w:w="115" w:type="dxa"/>
      </w:tblCellMar>
    </w:tblPr>
  </w:style>
  <w:style w:type="table" w:customStyle="1" w:styleId="ab">
    <w:basedOn w:val="TableNormal6"/>
    <w:tblPr>
      <w:tblStyleRowBandSize w:val="1"/>
      <w:tblStyleColBandSize w:val="1"/>
      <w:tblCellMar>
        <w:left w:w="115" w:type="dxa"/>
        <w:right w:w="115" w:type="dxa"/>
      </w:tblCellMar>
    </w:tblPr>
  </w:style>
  <w:style w:type="table" w:customStyle="1" w:styleId="ac">
    <w:basedOn w:val="TableNormal5"/>
    <w:tblPr>
      <w:tblStyleRowBandSize w:val="1"/>
      <w:tblStyleColBandSize w:val="1"/>
      <w:tblCellMar>
        <w:left w:w="115" w:type="dxa"/>
        <w:right w:w="115" w:type="dxa"/>
      </w:tblCellMar>
    </w:tblPr>
  </w:style>
  <w:style w:type="table" w:customStyle="1" w:styleId="ad">
    <w:basedOn w:val="TableNormal5"/>
    <w:tblPr>
      <w:tblStyleRowBandSize w:val="1"/>
      <w:tblStyleColBandSize w:val="1"/>
      <w:tblCellMar>
        <w:left w:w="115" w:type="dxa"/>
        <w:right w:w="115" w:type="dxa"/>
      </w:tblCellMar>
    </w:tblPr>
  </w:style>
  <w:style w:type="table" w:customStyle="1" w:styleId="ae">
    <w:basedOn w:val="TableNormal5"/>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qFormat/>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numPr>
        <w:numId w:val="4"/>
      </w:numPr>
      <w:contextualSpacing/>
    </w:pPr>
    <w:rPr>
      <w:lang w:val="es-MX"/>
    </w:rPr>
  </w:style>
  <w:style w:type="paragraph" w:styleId="Listaconvietas">
    <w:name w:val="List Bullet"/>
    <w:basedOn w:val="Normal"/>
    <w:uiPriority w:val="99"/>
    <w:unhideWhenUsed/>
    <w:rsid w:val="00E6231A"/>
    <w:pPr>
      <w:tabs>
        <w:tab w:val="num" w:pos="720"/>
      </w:tabs>
      <w:ind w:left="720" w:hanging="720"/>
      <w:contextualSpacing/>
    </w:pPr>
    <w:rPr>
      <w:lang w:val="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af">
    <w:basedOn w:val="TableNormal4"/>
    <w:tblPr>
      <w:tblStyleRowBandSize w:val="1"/>
      <w:tblStyleColBandSize w:val="1"/>
      <w:tblCellMar>
        <w:left w:w="115" w:type="dxa"/>
        <w:right w:w="115" w:type="dxa"/>
      </w:tblCellMar>
    </w:tblPr>
  </w:style>
  <w:style w:type="table" w:customStyle="1" w:styleId="af0">
    <w:basedOn w:val="TableNormal4"/>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836A8D"/>
    <w:rPr>
      <w:color w:val="605E5C"/>
      <w:shd w:val="clear" w:color="auto" w:fill="E1DFDD"/>
    </w:rPr>
  </w:style>
  <w:style w:type="table" w:customStyle="1" w:styleId="af1">
    <w:basedOn w:val="TableNormal3"/>
    <w:tblPr>
      <w:tblStyleRowBandSize w:val="1"/>
      <w:tblStyleColBandSize w:val="1"/>
      <w:tblCellMar>
        <w:left w:w="115" w:type="dxa"/>
        <w:right w:w="115" w:type="dxa"/>
      </w:tblCellMar>
    </w:tblPr>
  </w:style>
  <w:style w:type="table" w:customStyle="1" w:styleId="af2">
    <w:basedOn w:val="TableNormal3"/>
    <w:tblPr>
      <w:tblStyleRowBandSize w:val="1"/>
      <w:tblStyleColBandSize w:val="1"/>
      <w:tblCellMar>
        <w:left w:w="115" w:type="dxa"/>
        <w:right w:w="115" w:type="dxa"/>
      </w:tblCellMar>
    </w:tbl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2"/>
    <w:tblPr>
      <w:tblStyleRowBandSize w:val="1"/>
      <w:tblStyleColBandSize w:val="1"/>
      <w:tblCellMar>
        <w:left w:w="115" w:type="dxa"/>
        <w:right w:w="115" w:type="dxa"/>
      </w:tblCellMar>
    </w:tbl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tblPr>
      <w:tblStyleRowBandSize w:val="1"/>
      <w:tblStyleColBandSize w:val="1"/>
      <w:tblCellMar>
        <w:left w:w="115"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K1JM2dboZrynpfrJ+iPlsNvI4Q==">CgMxLjAyCGguZ2pkZ3hzMgloLjMwajB6bGwyCGgudHlqY3d0MgloLjN6bnlzaDcyDmguYnRoeDlvc3B0c3BqMg5oLmppNGJjbGc2ZmhzOTIJaC4zZHk2dmttMgloLjFmb2I5dGU4AHIhMVluUVJFMkxsUm9OUFUtWFF1WGdOdnJZZjdhdFhNS0Uy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6774</Words>
  <Characters>37258</Characters>
  <Application>Microsoft Office Word</Application>
  <DocSecurity>0</DocSecurity>
  <Lines>310</Lines>
  <Paragraphs>87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43945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Villagómez Martínez</cp:lastModifiedBy>
  <cp:revision>2</cp:revision>
  <cp:lastPrinted>2025-09-19T17:50:00Z</cp:lastPrinted>
  <dcterms:created xsi:type="dcterms:W3CDTF">2025-10-06T20:49:00Z</dcterms:created>
  <dcterms:modified xsi:type="dcterms:W3CDTF">2025-10-06T20:49:00Z</dcterms:modified>
</cp:coreProperties>
</file>