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diez de septiembre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bookmarkStart w:colFirst="0" w:colLast="0" w:name="_heading=h.1ahz513op82s" w:id="1"/>
      <w:bookmarkEnd w:id="1"/>
      <w:r w:rsidDel="00000000" w:rsidR="00000000" w:rsidRPr="00000000">
        <w:rPr>
          <w:rFonts w:ascii="Palatino Linotype" w:cs="Palatino Linotype" w:eastAsia="Palatino Linotype" w:hAnsi="Palatino Linotype"/>
          <w:b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 los recursos de revisión </w:t>
      </w:r>
      <w:r w:rsidDel="00000000" w:rsidR="00000000" w:rsidRPr="00000000">
        <w:rPr>
          <w:rFonts w:ascii="Palatino Linotype" w:cs="Palatino Linotype" w:eastAsia="Palatino Linotype" w:hAnsi="Palatino Linotype"/>
          <w:b w:val="1"/>
          <w:sz w:val="22"/>
          <w:szCs w:val="22"/>
          <w:rtl w:val="0"/>
        </w:rPr>
        <w:t xml:space="preserve">09804/INFOEM/IP/RR/2025, 09805/INFOEM/IP/RR/2025, 09806/INFOEM/IP/RR/2025, 09807/INFOEM/IP/RR/2025</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09808/INFOEM/IP/RR/2025, 09809/INFOEM/IP/RR/2025, 09810/INFOEM/IP/RR/2025, 09811/INFOEM/IP/RR/2025 y 09812/INFOEM/IP/RR/2025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una persona usuaria del Sistema de Acceso a la Información Mexiquense, la cual no proporcionó nombre</w:t>
      </w:r>
      <w:r w:rsidDel="00000000" w:rsidR="00000000" w:rsidRPr="00000000">
        <w:rPr>
          <w:rFonts w:ascii="Palatino Linotype" w:cs="Palatino Linotype" w:eastAsia="Palatino Linotype" w:hAnsi="Palatino Linotype"/>
          <w:b w:val="1"/>
          <w:sz w:val="21"/>
          <w:szCs w:val="21"/>
          <w:rtl w:val="0"/>
        </w:rPr>
        <w:t xml:space="preserve">, </w:t>
      </w:r>
      <w:r w:rsidDel="00000000" w:rsidR="00000000" w:rsidRPr="00000000">
        <w:rPr>
          <w:rFonts w:ascii="Palatino Linotype" w:cs="Palatino Linotype" w:eastAsia="Palatino Linotype" w:hAnsi="Palatino Linotype"/>
          <w:sz w:val="22"/>
          <w:szCs w:val="22"/>
          <w:rtl w:val="0"/>
        </w:rPr>
        <w:t xml:space="preserve">en lo sucesivo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contra de la falta de respuesta a las solicitudes de acceso a la información con números de folio</w:t>
      </w:r>
      <w:r w:rsidDel="00000000" w:rsidR="00000000" w:rsidRPr="00000000">
        <w:rPr>
          <w:rFonts w:ascii="Verdana" w:cs="Verdana" w:eastAsia="Verdana" w:hAnsi="Verdana"/>
          <w:b w:val="1"/>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00926/TEOLOYU/IP/2025, 00925/TEOLOYU/IP/2025, 00924/TEOLOYU/IP/2025, 00923/TEOLOYU/IP/2025, 00922/TEOLOYU/IP/2025</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00921/TEOLOYU/IP/2025, 00920/TEOLOYU/IP/2025, 00919/TEOLOYU/IP/2025 y 00918/TEOLOYU/IP/2025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sz w:val="22"/>
          <w:szCs w:val="22"/>
          <w:rtl w:val="0"/>
        </w:rPr>
        <w:t xml:space="preserve">Ayuntamiento de Teoloyucan,</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 </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6"/>
        </w:numPr>
        <w:pBdr>
          <w:top w:space="0" w:sz="0" w:val="nil"/>
          <w:left w:space="0" w:sz="0" w:val="nil"/>
          <w:bottom w:space="0" w:sz="0" w:val="nil"/>
          <w:right w:space="0" w:sz="0" w:val="nil"/>
          <w:between w:space="0" w:sz="0" w:val="nil"/>
        </w:pBdr>
        <w:spacing w:line="360" w:lineRule="auto"/>
        <w:ind w:left="1077" w:hanging="72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Solicitudes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nueve de julio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formuló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solicitudes de información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requiriéndole lo siguiente:</w:t>
      </w:r>
    </w:p>
    <w:p w:rsidR="00000000" w:rsidDel="00000000" w:rsidP="00000000" w:rsidRDefault="00000000" w:rsidRPr="00000000" w14:paraId="000000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spacing w:line="276" w:lineRule="auto"/>
        <w:ind w:left="567" w:firstLine="0"/>
        <w:jc w:val="both"/>
        <w:rPr>
          <w:rFonts w:ascii="Palatino Linotype" w:cs="Palatino Linotype" w:eastAsia="Palatino Linotype" w:hAnsi="Palatino Linotype"/>
          <w:i w:val="1"/>
          <w:sz w:val="22"/>
          <w:szCs w:val="22"/>
        </w:rPr>
      </w:pPr>
      <w:bookmarkStart w:colFirst="0" w:colLast="0" w:name="_heading=h.uqquq3fwy0kd" w:id="2"/>
      <w:bookmarkEnd w:id="2"/>
      <w:r w:rsidDel="00000000" w:rsidR="00000000" w:rsidRPr="00000000">
        <w:rPr>
          <w:rFonts w:ascii="Palatino Linotype" w:cs="Palatino Linotype" w:eastAsia="Palatino Linotype" w:hAnsi="Palatino Linotype"/>
          <w:b w:val="1"/>
          <w:i w:val="1"/>
          <w:sz w:val="22"/>
          <w:szCs w:val="22"/>
          <w:rtl w:val="0"/>
        </w:rPr>
        <w:t xml:space="preserve">00926/TEOLOYU/IP/2025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DICIEMBRE de 2020</w:t>
      </w:r>
    </w:p>
    <w:p w:rsidR="00000000" w:rsidDel="00000000" w:rsidP="00000000" w:rsidRDefault="00000000" w:rsidRPr="00000000" w14:paraId="0000000A">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00925/TEOLOYU/IP/2025. </w:t>
      </w:r>
      <w:r w:rsidDel="00000000" w:rsidR="00000000" w:rsidRPr="00000000">
        <w:rPr>
          <w:rFonts w:ascii="Palatino Linotype" w:cs="Palatino Linotype" w:eastAsia="Palatino Linotype" w:hAnsi="Palatino Linotype"/>
          <w:i w:val="1"/>
          <w:sz w:val="22"/>
          <w:szCs w:val="22"/>
          <w:rtl w:val="0"/>
        </w:rPr>
        <w:t xml:space="preserve">Solicito todos los oficios recibidos por el área de tesorería del mes de NOVIEMBRE de 2020</w:t>
      </w:r>
    </w:p>
    <w:p w:rsidR="00000000" w:rsidDel="00000000" w:rsidP="00000000" w:rsidRDefault="00000000" w:rsidRPr="00000000" w14:paraId="0000000C">
      <w:pPr>
        <w:ind w:left="567" w:firstLine="0"/>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D">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00924/TEOLOYU/IP/2025.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OCTUBRE de 2020</w:t>
      </w:r>
    </w:p>
    <w:p w:rsidR="00000000" w:rsidDel="00000000" w:rsidP="00000000" w:rsidRDefault="00000000" w:rsidRPr="00000000" w14:paraId="0000000E">
      <w:pPr>
        <w:spacing w:line="276" w:lineRule="auto"/>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F">
      <w:pPr>
        <w:spacing w:line="276" w:lineRule="auto"/>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00923/TEOLOYU/IP/2025.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OCTUBRE de 2020</w:t>
      </w:r>
    </w:p>
    <w:p w:rsidR="00000000" w:rsidDel="00000000" w:rsidP="00000000" w:rsidRDefault="00000000" w:rsidRPr="00000000" w14:paraId="00000010">
      <w:pPr>
        <w:spacing w:line="276" w:lineRule="auto"/>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1">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00922/TEOLOYU/IP/2025.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SEPTIEMBRE de 2020</w:t>
      </w:r>
    </w:p>
    <w:p w:rsidR="00000000" w:rsidDel="00000000" w:rsidP="00000000" w:rsidRDefault="00000000" w:rsidRPr="00000000" w14:paraId="00000012">
      <w:pPr>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3">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00921/TEOLOYU/IP/2025.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AGOSTO de 2020</w:t>
      </w:r>
    </w:p>
    <w:p w:rsidR="00000000" w:rsidDel="00000000" w:rsidP="00000000" w:rsidRDefault="00000000" w:rsidRPr="00000000" w14:paraId="00000014">
      <w:pPr>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5">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00920/TEOLOYU/IP/2025.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JULIO de 2020</w:t>
      </w:r>
    </w:p>
    <w:p w:rsidR="00000000" w:rsidDel="00000000" w:rsidP="00000000" w:rsidRDefault="00000000" w:rsidRPr="00000000" w14:paraId="00000016">
      <w:pPr>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7">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00919/TEOLOYU/IP/2025.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JUNIO de 2020</w:t>
      </w:r>
    </w:p>
    <w:p w:rsidR="00000000" w:rsidDel="00000000" w:rsidP="00000000" w:rsidRDefault="00000000" w:rsidRPr="00000000" w14:paraId="00000018">
      <w:pPr>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9">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00918/TEOLOYU/IP/2025.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MAYO de 2020</w:t>
      </w:r>
    </w:p>
    <w:p w:rsidR="00000000" w:rsidDel="00000000" w:rsidP="00000000" w:rsidRDefault="00000000" w:rsidRPr="00000000" w14:paraId="0000001A">
      <w:pPr>
        <w:spacing w:line="276" w:lineRule="auto"/>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SAIMEX.</w:t>
      </w:r>
    </w:p>
    <w:p w:rsidR="00000000" w:rsidDel="00000000" w:rsidP="00000000" w:rsidRDefault="00000000" w:rsidRPr="00000000" w14:paraId="0000001C">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proporcionar respuestas. </w:t>
      </w:r>
      <w:r w:rsidDel="00000000" w:rsidR="00000000" w:rsidRPr="00000000">
        <w:rPr>
          <w:rtl w:val="0"/>
        </w:rPr>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la parte solicitante con la falta de respuestas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interpuso recursos de revisión a través del SAIMEX en fecha </w:t>
      </w:r>
      <w:r w:rsidDel="00000000" w:rsidR="00000000" w:rsidRPr="00000000">
        <w:rPr>
          <w:rFonts w:ascii="Palatino Linotype" w:cs="Palatino Linotype" w:eastAsia="Palatino Linotype" w:hAnsi="Palatino Linotype"/>
          <w:b w:val="1"/>
          <w:sz w:val="22"/>
          <w:szCs w:val="22"/>
          <w:rtl w:val="0"/>
        </w:rPr>
        <w:t xml:space="preserve">veinte de agosto de dos mil veinticinco</w:t>
      </w:r>
      <w:r w:rsidDel="00000000" w:rsidR="00000000" w:rsidRPr="00000000">
        <w:rPr>
          <w:rFonts w:ascii="Palatino Linotype" w:cs="Palatino Linotype" w:eastAsia="Palatino Linotype" w:hAnsi="Palatino Linotype"/>
          <w:sz w:val="22"/>
          <w:szCs w:val="22"/>
          <w:rtl w:val="0"/>
        </w:rPr>
        <w:t xml:space="preserve">, expresando, en todos los recursos, lo siguiente:</w:t>
      </w:r>
    </w:p>
    <w:p w:rsidR="00000000" w:rsidDel="00000000" w:rsidP="00000000" w:rsidRDefault="00000000" w:rsidRPr="00000000" w14:paraId="00000020">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927" w:right="616"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Acto impugnado.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“FALTA DE RESPUESTA”</w:t>
      </w:r>
    </w:p>
    <w:p w:rsidR="00000000" w:rsidDel="00000000" w:rsidP="00000000" w:rsidRDefault="00000000" w:rsidRPr="00000000" w14:paraId="00000022">
      <w:pPr>
        <w:spacing w:line="360" w:lineRule="auto"/>
        <w:ind w:left="567"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23">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Motivos de inconformidad. </w:t>
      </w:r>
      <w:r w:rsidDel="00000000" w:rsidR="00000000" w:rsidRPr="00000000">
        <w:rPr>
          <w:rFonts w:ascii="Palatino Linotype" w:cs="Palatino Linotype" w:eastAsia="Palatino Linotype" w:hAnsi="Palatino Linotype"/>
          <w:i w:val="1"/>
          <w:sz w:val="22"/>
          <w:szCs w:val="22"/>
          <w:rtl w:val="0"/>
        </w:rPr>
        <w:t xml:space="preserve">“La unidad de transparencia del municipio de Teoloyucan me niega una vez más mi derecho humano a la información Publica ya han pasado más de 15 días hábiles y no me dan ninguna respuesta, solicito que me den la información que solicito ya que es publica y tienen la obligación de dármela.”</w:t>
      </w:r>
      <w:r w:rsidDel="00000000" w:rsidR="00000000" w:rsidRPr="00000000">
        <w:rPr>
          <w:rtl w:val="0"/>
        </w:rPr>
      </w:r>
    </w:p>
    <w:p w:rsidR="00000000" w:rsidDel="00000000" w:rsidP="00000000" w:rsidRDefault="00000000" w:rsidRPr="00000000" w14:paraId="00000024">
      <w:pPr>
        <w:spacing w:line="360" w:lineRule="auto"/>
        <w:ind w:right="616"/>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Transparencia y Acceso a la Información Pública, los recursos de revisión fueron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turnados de la siguiente manera a efecto de presentar al Pleno los proyectos de resolución correspondientes: </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1"/>
        <w:tblW w:w="89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0"/>
        <w:gridCol w:w="4461"/>
        <w:tblGridChange w:id="0">
          <w:tblGrid>
            <w:gridCol w:w="4460"/>
            <w:gridCol w:w="4461"/>
          </w:tblGrid>
        </w:tblGridChange>
      </w:tblGrid>
      <w:tr>
        <w:trPr>
          <w:cantSplit w:val="0"/>
          <w:tblHeader w:val="0"/>
        </w:trPr>
        <w:tc>
          <w:tcPr>
            <w:shd w:fill="e7e6e6" w:val="clear"/>
          </w:tcPr>
          <w:p w:rsidR="00000000" w:rsidDel="00000000" w:rsidP="00000000" w:rsidRDefault="00000000" w:rsidRPr="00000000" w14:paraId="00000027">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e7e6e6" w:val="clear"/>
          </w:tcPr>
          <w:p w:rsidR="00000000" w:rsidDel="00000000" w:rsidP="00000000" w:rsidRDefault="00000000" w:rsidRPr="00000000" w14:paraId="00000028">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w:t>
            </w:r>
          </w:p>
        </w:tc>
      </w:tr>
      <w:tr>
        <w:trPr>
          <w:cantSplit w:val="0"/>
          <w:tblHeader w:val="0"/>
        </w:trPr>
        <w:tc>
          <w:tcPr/>
          <w:p w:rsidR="00000000" w:rsidDel="00000000" w:rsidP="00000000" w:rsidRDefault="00000000" w:rsidRPr="00000000" w14:paraId="00000029">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09804/INFOEM/IP/RR/2025</w:t>
            </w:r>
          </w:p>
        </w:tc>
        <w:tc>
          <w:tcPr/>
          <w:p w:rsidR="00000000" w:rsidDel="00000000" w:rsidP="00000000" w:rsidRDefault="00000000" w:rsidRPr="00000000" w14:paraId="0000002A">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Guadalupe Ramírez Peña.</w:t>
            </w:r>
          </w:p>
        </w:tc>
      </w:tr>
      <w:tr>
        <w:trPr>
          <w:cantSplit w:val="0"/>
          <w:tblHeader w:val="0"/>
        </w:trPr>
        <w:tc>
          <w:tcPr/>
          <w:p w:rsidR="00000000" w:rsidDel="00000000" w:rsidP="00000000" w:rsidRDefault="00000000" w:rsidRPr="00000000" w14:paraId="0000002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09805/INFOEM/IP/RR/2025</w:t>
            </w:r>
          </w:p>
        </w:tc>
        <w:tc>
          <w:tcPr/>
          <w:p w:rsidR="00000000" w:rsidDel="00000000" w:rsidP="00000000" w:rsidRDefault="00000000" w:rsidRPr="00000000" w14:paraId="0000002C">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José Martínez Vilchis.</w:t>
            </w:r>
          </w:p>
        </w:tc>
      </w:tr>
      <w:tr>
        <w:trPr>
          <w:cantSplit w:val="0"/>
          <w:tblHeader w:val="0"/>
        </w:trPr>
        <w:tc>
          <w:tcPr/>
          <w:p w:rsidR="00000000" w:rsidDel="00000000" w:rsidP="00000000" w:rsidRDefault="00000000" w:rsidRPr="00000000" w14:paraId="0000002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09806/INFOEM/IP/RR/2025</w:t>
            </w:r>
          </w:p>
        </w:tc>
        <w:tc>
          <w:tcPr/>
          <w:p w:rsidR="00000000" w:rsidDel="00000000" w:rsidP="00000000" w:rsidRDefault="00000000" w:rsidRPr="00000000" w14:paraId="0000002E">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Luis Gustavo Parra Noriega.</w:t>
            </w:r>
          </w:p>
        </w:tc>
      </w:tr>
      <w:tr>
        <w:trPr>
          <w:cantSplit w:val="0"/>
          <w:tblHeader w:val="0"/>
        </w:trPr>
        <w:tc>
          <w:tcPr/>
          <w:p w:rsidR="00000000" w:rsidDel="00000000" w:rsidP="00000000" w:rsidRDefault="00000000" w:rsidRPr="00000000" w14:paraId="0000002F">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09807/INFOEM/IP/RR/2025</w:t>
            </w:r>
          </w:p>
        </w:tc>
        <w:tc>
          <w:tcPr/>
          <w:p w:rsidR="00000000" w:rsidDel="00000000" w:rsidP="00000000" w:rsidRDefault="00000000" w:rsidRPr="00000000" w14:paraId="00000030">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Sharon Cristina Morales Martínez.</w:t>
            </w:r>
          </w:p>
        </w:tc>
      </w:tr>
      <w:tr>
        <w:trPr>
          <w:cantSplit w:val="0"/>
          <w:tblHeader w:val="0"/>
        </w:trPr>
        <w:tc>
          <w:tcPr/>
          <w:p w:rsidR="00000000" w:rsidDel="00000000" w:rsidP="00000000" w:rsidRDefault="00000000" w:rsidRPr="00000000" w14:paraId="00000031">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09808/INFOEM/IP/RR/2025</w:t>
            </w:r>
          </w:p>
        </w:tc>
        <w:tc>
          <w:tcPr/>
          <w:p w:rsidR="00000000" w:rsidDel="00000000" w:rsidP="00000000" w:rsidRDefault="00000000" w:rsidRPr="00000000" w14:paraId="00000032">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María Del Rosario Mejía Ayala.</w:t>
            </w:r>
          </w:p>
        </w:tc>
      </w:tr>
      <w:tr>
        <w:trPr>
          <w:cantSplit w:val="0"/>
          <w:tblHeader w:val="0"/>
        </w:trPr>
        <w:tc>
          <w:tcPr/>
          <w:p w:rsidR="00000000" w:rsidDel="00000000" w:rsidP="00000000" w:rsidRDefault="00000000" w:rsidRPr="00000000" w14:paraId="0000003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09809/INFOEM/IP/RR/2025</w:t>
            </w:r>
          </w:p>
        </w:tc>
        <w:tc>
          <w:tcPr/>
          <w:p w:rsidR="00000000" w:rsidDel="00000000" w:rsidP="00000000" w:rsidRDefault="00000000" w:rsidRPr="00000000" w14:paraId="00000034">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Guadalupe Ramírez Peña.</w:t>
            </w:r>
          </w:p>
        </w:tc>
      </w:tr>
      <w:tr>
        <w:trPr>
          <w:cantSplit w:val="0"/>
          <w:tblHeader w:val="0"/>
        </w:trPr>
        <w:tc>
          <w:tcPr/>
          <w:p w:rsidR="00000000" w:rsidDel="00000000" w:rsidP="00000000" w:rsidRDefault="00000000" w:rsidRPr="00000000" w14:paraId="00000035">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09810/INFOEM/IP/RR/2025</w:t>
            </w:r>
          </w:p>
        </w:tc>
        <w:tc>
          <w:tcPr/>
          <w:p w:rsidR="00000000" w:rsidDel="00000000" w:rsidP="00000000" w:rsidRDefault="00000000" w:rsidRPr="00000000" w14:paraId="00000036">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José Martínez Vilchis.</w:t>
            </w:r>
          </w:p>
        </w:tc>
      </w:tr>
      <w:tr>
        <w:trPr>
          <w:cantSplit w:val="0"/>
          <w:tblHeader w:val="0"/>
        </w:trPr>
        <w:tc>
          <w:tcPr/>
          <w:p w:rsidR="00000000" w:rsidDel="00000000" w:rsidP="00000000" w:rsidRDefault="00000000" w:rsidRPr="00000000" w14:paraId="00000037">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09811/INFOEM/IP/RR/2025</w:t>
            </w:r>
          </w:p>
        </w:tc>
        <w:tc>
          <w:tcPr/>
          <w:p w:rsidR="00000000" w:rsidDel="00000000" w:rsidP="00000000" w:rsidRDefault="00000000" w:rsidRPr="00000000" w14:paraId="00000038">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Luis Gustavo Parra Noriega.</w:t>
            </w:r>
          </w:p>
        </w:tc>
      </w:tr>
      <w:tr>
        <w:trPr>
          <w:cantSplit w:val="0"/>
          <w:tblHeader w:val="0"/>
        </w:trPr>
        <w:tc>
          <w:tcPr/>
          <w:p w:rsidR="00000000" w:rsidDel="00000000" w:rsidP="00000000" w:rsidRDefault="00000000" w:rsidRPr="00000000" w14:paraId="00000039">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09812/INFOEM/IP/RR/2025</w:t>
            </w:r>
          </w:p>
        </w:tc>
        <w:tc>
          <w:tcPr/>
          <w:p w:rsidR="00000000" w:rsidDel="00000000" w:rsidP="00000000" w:rsidRDefault="00000000" w:rsidRPr="00000000" w14:paraId="0000003A">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Sharon Cristina Morales Martínez.</w:t>
            </w:r>
          </w:p>
        </w:tc>
      </w:tr>
    </w:tbl>
    <w:p w:rsidR="00000000" w:rsidDel="00000000" w:rsidP="00000000" w:rsidRDefault="00000000" w:rsidRPr="00000000" w14:paraId="0000003B">
      <w:pPr>
        <w:tabs>
          <w:tab w:val="left" w:leader="none" w:pos="284"/>
        </w:tabs>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En fechas </w:t>
      </w:r>
      <w:r w:rsidDel="00000000" w:rsidR="00000000" w:rsidRPr="00000000">
        <w:rPr>
          <w:rFonts w:ascii="Palatino Linotype" w:cs="Palatino Linotype" w:eastAsia="Palatino Linotype" w:hAnsi="Palatino Linotype"/>
          <w:b w:val="1"/>
          <w:sz w:val="22"/>
          <w:szCs w:val="22"/>
          <w:rtl w:val="0"/>
        </w:rPr>
        <w:t xml:space="preserve">veintiuno, veintidós y veinticinco de agosto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 como se observa a continuación en las siguientes imágenes: </w:t>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98625"/>
            <wp:effectExtent b="0" l="0" r="0" t="0"/>
            <wp:docPr id="2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12130" cy="16986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57985"/>
            <wp:effectExtent b="0" l="0" r="0" t="0"/>
            <wp:docPr id="2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12130" cy="165798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96720"/>
            <wp:effectExtent b="0" l="0" r="0" t="0"/>
            <wp:docPr id="2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12130" cy="169672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80210"/>
            <wp:effectExtent b="0" l="0" r="0" t="0"/>
            <wp:docPr id="2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12130" cy="168021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99895"/>
            <wp:effectExtent b="0" l="0" r="0" t="0"/>
            <wp:docPr id="2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612130" cy="169989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78940"/>
            <wp:effectExtent b="0" l="0" r="0" t="0"/>
            <wp:docPr id="2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612130" cy="167894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80210"/>
            <wp:effectExtent b="0" l="0" r="0" t="0"/>
            <wp:docPr id="2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612130" cy="168021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74495"/>
            <wp:effectExtent b="0" l="0" r="0" t="0"/>
            <wp:docPr id="2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612130" cy="167449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700530"/>
            <wp:effectExtent b="0" l="0" r="0" t="0"/>
            <wp:docPr id="2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612130" cy="170053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7</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2"/>
          <w:szCs w:val="22"/>
          <w:rtl w:val="0"/>
        </w:rPr>
        <w:t xml:space="preserve">Acumulación. </w:t>
      </w:r>
      <w:r w:rsidDel="00000000" w:rsidR="00000000" w:rsidRPr="00000000">
        <w:rPr>
          <w:rFonts w:ascii="Palatino Linotype" w:cs="Palatino Linotype" w:eastAsia="Palatino Linotype" w:hAnsi="Palatino Linotype"/>
          <w:sz w:val="22"/>
          <w:szCs w:val="22"/>
          <w:rtl w:val="0"/>
        </w:rPr>
        <w:t xml:space="preserve">Mediante acuerdo de fecha </w:t>
      </w:r>
      <w:r w:rsidDel="00000000" w:rsidR="00000000" w:rsidRPr="00000000">
        <w:rPr>
          <w:rFonts w:ascii="Palatino Linotype" w:cs="Palatino Linotype" w:eastAsia="Palatino Linotype" w:hAnsi="Palatino Linotype"/>
          <w:b w:val="1"/>
          <w:sz w:val="22"/>
          <w:szCs w:val="22"/>
          <w:rtl w:val="0"/>
        </w:rPr>
        <w:t xml:space="preserve">veintisiete de agosto de dos mil veinticinco</w:t>
      </w:r>
      <w:r w:rsidDel="00000000" w:rsidR="00000000" w:rsidRPr="00000000">
        <w:rPr>
          <w:rFonts w:ascii="Palatino Linotype" w:cs="Palatino Linotype" w:eastAsia="Palatino Linotype" w:hAnsi="Palatino Linotype"/>
          <w:sz w:val="22"/>
          <w:szCs w:val="22"/>
          <w:rtl w:val="0"/>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902"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Código de Procedimientos Administrativos del Estado de México</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 a petición de parte,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cuando las partes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misma regla se aplicará, en lo conducente, para la separación de los expedientes.”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Ley de Transparencia y Acceso a la Información Pública del Estado de México y Municipios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195.-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la tramitación del recurso de revisión se aplicará supletoriamente las disposiciones contenidas en el Código de Procedimientos Administrativos del Estado de México.”</w:t>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widowControl w:val="0"/>
        <w:spacing w:line="360"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sz w:val="22"/>
          <w:szCs w:val="22"/>
          <w:rtl w:val="0"/>
        </w:rPr>
        <w:t xml:space="preserve">cuatro de septiembre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5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 5 párrafos trigésimo noveno, cuadragésimo y cuadragésimo primero fracciones IV y V de la Constitución Política del Estado Libre y Soberano de México;</w:t>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Por cuanto hace a la oportunidad de los recursos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constituye la figura jurídica de la </w:t>
      </w:r>
      <w:r w:rsidDel="00000000" w:rsidR="00000000" w:rsidRPr="00000000">
        <w:rPr>
          <w:rFonts w:ascii="Palatino Linotype" w:cs="Palatino Linotype" w:eastAsia="Palatino Linotype" w:hAnsi="Palatino Linotype"/>
          <w:b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cuya esencia consiste en atribuir un efecto negativo al silencio de la autoridad administrativa frente a las instancias y solicitudes que hagan los particulares.</w:t>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en los presentes recursos de revisión se actualizó la negativa ficta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al no haber respondido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a ello se le suma lo previsto en el párrafo segundo del artículo 178, párrafo segundo de la Ley de Transparencia y Acceso a la Información Pública vigente en la entidad.</w:t>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000000" w:rsidDel="00000000" w:rsidP="00000000" w:rsidRDefault="00000000" w:rsidRPr="00000000" w14:paraId="00000065">
      <w:pPr>
        <w:spacing w:line="360" w:lineRule="auto"/>
        <w:jc w:val="both"/>
        <w:rPr>
          <w:i w:val="1"/>
          <w:sz w:val="22"/>
          <w:szCs w:val="22"/>
        </w:rPr>
      </w:pPr>
      <w:r w:rsidDel="00000000" w:rsidR="00000000" w:rsidRPr="00000000">
        <w:rPr>
          <w:rtl w:val="0"/>
        </w:rPr>
      </w:r>
    </w:p>
    <w:p w:rsidR="00000000" w:rsidDel="00000000" w:rsidP="00000000" w:rsidRDefault="00000000" w:rsidRPr="00000000" w14:paraId="00000066">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tl w:val="0"/>
        </w:rPr>
      </w:r>
    </w:p>
    <w:p w:rsidR="00000000" w:rsidDel="00000000" w:rsidP="00000000" w:rsidRDefault="00000000" w:rsidRPr="00000000" w14:paraId="00000067">
      <w:pPr>
        <w:spacing w:line="360" w:lineRule="auto"/>
        <w:ind w:left="567"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sz w:val="22"/>
          <w:szCs w:val="22"/>
          <w:rtl w:val="0"/>
        </w:rPr>
        <w:t xml:space="preserve">EL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de suma importancia mencionar que si bien la persona solicitante no proporcionó nombre completo,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procedente la interposición de los recursos de revisión, según lo aducido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artículo 179, fracción VII del ordenamiento legal de la materia, que a la letra dice:</w:t>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71">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72">
      <w:pPr>
        <w:numPr>
          <w:ilvl w:val="0"/>
          <w:numId w:val="5"/>
        </w:num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w:t>
      </w:r>
    </w:p>
    <w:p w:rsidR="00000000" w:rsidDel="00000000" w:rsidP="00000000" w:rsidRDefault="00000000" w:rsidRPr="00000000" w14:paraId="0000007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4">
      <w:pPr>
        <w:spacing w:line="360" w:lineRule="auto"/>
        <w:ind w:right="104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5">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Este Organismo Garante procede del análisis de los agravios hechos valer por la parte Recurrente, a fin de determinar si se violenta en perjuicio de este, el derecho de acceso a la información previsto en la Constitución Política de los Estados Unidos Mexicanos y en la Constitución Política del Estado Libre y Soberano de México. </w:t>
      </w:r>
    </w:p>
    <w:p w:rsidR="00000000" w:rsidDel="00000000" w:rsidP="00000000" w:rsidRDefault="00000000" w:rsidRPr="00000000" w14:paraId="00000076">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Una vez determinada la vía sobre la que versarán los presentes recursos, y previa revisión de los expedientes de los recursos de revisión materia de la presente resolución, se advierte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dio respuesta a las solicitudes de información planteadas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 que se traduce como la configuración de la </w:t>
      </w:r>
      <w:r w:rsidDel="00000000" w:rsidR="00000000" w:rsidRPr="00000000">
        <w:rPr>
          <w:rFonts w:ascii="Palatino Linotype" w:cs="Palatino Linotype" w:eastAsia="Palatino Linotype" w:hAnsi="Palatino Linotype"/>
          <w:b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emitió respuestas a las solicitudes de información, dentro del plazo legal previsto para ello.</w:t>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Previo a exponer los argumentos que justifiquen la afirmación que antecede, es necesario precisar que, del análisis realizado a las solicitudes formuladas por la parte Recurrente, se advierte que requirió al Sujeto Obligado le proporcionara, información consistente en lo siguiente:</w:t>
      </w:r>
    </w:p>
    <w:p w:rsidR="00000000" w:rsidDel="00000000" w:rsidP="00000000" w:rsidRDefault="00000000" w:rsidRPr="00000000" w14:paraId="0000007A">
      <w:pPr>
        <w:spacing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B">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00926/TEOLOYU/IP/2025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DICIEMBRE de 2020</w:t>
      </w:r>
    </w:p>
    <w:p w:rsidR="00000000" w:rsidDel="00000000" w:rsidP="00000000" w:rsidRDefault="00000000" w:rsidRPr="00000000" w14:paraId="0000007C">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D">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00925/TEOLOYU/IP/2025. </w:t>
      </w:r>
      <w:r w:rsidDel="00000000" w:rsidR="00000000" w:rsidRPr="00000000">
        <w:rPr>
          <w:rFonts w:ascii="Palatino Linotype" w:cs="Palatino Linotype" w:eastAsia="Palatino Linotype" w:hAnsi="Palatino Linotype"/>
          <w:i w:val="1"/>
          <w:sz w:val="22"/>
          <w:szCs w:val="22"/>
          <w:rtl w:val="0"/>
        </w:rPr>
        <w:t xml:space="preserve">Solicito todos los oficios recibidos por el área de tesorería del mes de NOVIEMBRE de 2020</w:t>
      </w:r>
    </w:p>
    <w:p w:rsidR="00000000" w:rsidDel="00000000" w:rsidP="00000000" w:rsidRDefault="00000000" w:rsidRPr="00000000" w14:paraId="0000007E">
      <w:pPr>
        <w:ind w:left="567" w:firstLine="0"/>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F">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00924/TEOLOYU/IP/2025.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OCTUBRE de 2020</w:t>
      </w:r>
    </w:p>
    <w:p w:rsidR="00000000" w:rsidDel="00000000" w:rsidP="00000000" w:rsidRDefault="00000000" w:rsidRPr="00000000" w14:paraId="00000080">
      <w:pPr>
        <w:spacing w:line="276" w:lineRule="auto"/>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1">
      <w:pPr>
        <w:spacing w:line="276" w:lineRule="auto"/>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00923/TEOLOYU/IP/2025.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OCTUBRE de 2020</w:t>
      </w:r>
    </w:p>
    <w:p w:rsidR="00000000" w:rsidDel="00000000" w:rsidP="00000000" w:rsidRDefault="00000000" w:rsidRPr="00000000" w14:paraId="00000082">
      <w:pPr>
        <w:spacing w:line="276" w:lineRule="auto"/>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3">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00922/TEOLOYU/IP/2025.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SEPTIEMBRE de 2020</w:t>
      </w:r>
    </w:p>
    <w:p w:rsidR="00000000" w:rsidDel="00000000" w:rsidP="00000000" w:rsidRDefault="00000000" w:rsidRPr="00000000" w14:paraId="00000084">
      <w:pPr>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5">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00921/TEOLOYU/IP/2025.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AGOSTO de 2020</w:t>
      </w:r>
    </w:p>
    <w:p w:rsidR="00000000" w:rsidDel="00000000" w:rsidP="00000000" w:rsidRDefault="00000000" w:rsidRPr="00000000" w14:paraId="00000086">
      <w:pPr>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7">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00920/TEOLOYU/IP/2025.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JULIO de 2020</w:t>
      </w:r>
    </w:p>
    <w:p w:rsidR="00000000" w:rsidDel="00000000" w:rsidP="00000000" w:rsidRDefault="00000000" w:rsidRPr="00000000" w14:paraId="00000088">
      <w:pPr>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9">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00919/TEOLOYU/IP/2025.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JUNIO de 2020</w:t>
      </w:r>
    </w:p>
    <w:p w:rsidR="00000000" w:rsidDel="00000000" w:rsidP="00000000" w:rsidRDefault="00000000" w:rsidRPr="00000000" w14:paraId="0000008A">
      <w:pPr>
        <w:ind w:lef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B">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00918/TEOLOYU/IP/2025.</w:t>
      </w:r>
      <w:r w:rsidDel="00000000" w:rsidR="00000000" w:rsidRPr="00000000">
        <w:rPr>
          <w:rFonts w:ascii="Palatino Linotype" w:cs="Palatino Linotype" w:eastAsia="Palatino Linotype" w:hAnsi="Palatino Linotype"/>
          <w:i w:val="1"/>
          <w:sz w:val="22"/>
          <w:szCs w:val="22"/>
          <w:rtl w:val="0"/>
        </w:rPr>
        <w:t xml:space="preserve"> Solicito todos los oficios recibidos por el área de tesorería del mes de MAYO de 2020</w:t>
      </w:r>
    </w:p>
    <w:p w:rsidR="00000000" w:rsidDel="00000000" w:rsidP="00000000" w:rsidRDefault="00000000" w:rsidRPr="00000000" w14:paraId="0000008C">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se procede al análisis de los recursos de revisión,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91">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93">
      <w:pPr>
        <w:tabs>
          <w:tab w:val="left" w:leader="none" w:pos="709"/>
        </w:tabs>
        <w:spacing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94">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95">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6">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97">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8">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99">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9A">
      <w:pPr>
        <w:spacing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9B">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9C">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9D">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9E">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9F">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w:t>
      </w:r>
    </w:p>
    <w:p w:rsidR="00000000" w:rsidDel="00000000" w:rsidP="00000000" w:rsidRDefault="00000000" w:rsidRPr="00000000" w14:paraId="000000A0">
      <w:pPr>
        <w:spacing w:line="360"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1">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A2">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la Ley de Transparencia y Acceso a la Información Pública del Estado de México y Municipios, prevé en su artículo 23, lo siguiente:</w:t>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 Son sujetos obligados a transparentar y permitir el acceso a su información y proteger los datos personales que obren en su poder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6">
      <w:pPr>
        <w:tabs>
          <w:tab w:val="left" w:leader="none" w:pos="7655"/>
        </w:tabs>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Poder Ejecutivo del Estado de México, las dependencias, organismos auxiliares,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 entidades, fideicomisos y fondos públicos, así como la Procuraduría General de Justicia;</w:t>
      </w:r>
      <w:r w:rsidDel="00000000" w:rsidR="00000000" w:rsidRPr="00000000">
        <w:rPr>
          <w:rtl w:val="0"/>
        </w:rPr>
      </w:r>
    </w:p>
    <w:p w:rsidR="00000000" w:rsidDel="00000000" w:rsidP="00000000" w:rsidRDefault="00000000" w:rsidRPr="00000000" w14:paraId="000000A7">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Poder Legislativo del Estado, los organismos, órganos y entidades de la Legislatura y sus dependencias;</w:t>
      </w:r>
    </w:p>
    <w:p w:rsidR="00000000" w:rsidDel="00000000" w:rsidP="00000000" w:rsidRDefault="00000000" w:rsidRPr="00000000" w14:paraId="000000A8">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Poder Judicial, sus organismos, órganos y entidades, así como el Consejo de la Judicatura del Estado;</w:t>
      </w:r>
    </w:p>
    <w:p w:rsidR="00000000" w:rsidDel="00000000" w:rsidP="00000000" w:rsidRDefault="00000000" w:rsidRPr="00000000" w14:paraId="000000A9">
      <w:pPr>
        <w:tabs>
          <w:tab w:val="left" w:leader="none" w:pos="7655"/>
        </w:tabs>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0AA">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Los órganos autónomos;</w:t>
      </w:r>
    </w:p>
    <w:p w:rsidR="00000000" w:rsidDel="00000000" w:rsidP="00000000" w:rsidRDefault="00000000" w:rsidRPr="00000000" w14:paraId="000000AB">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Los tribunales administrativos y autoridades jurisdiccionales en materia laboral;</w:t>
      </w:r>
    </w:p>
    <w:p w:rsidR="00000000" w:rsidDel="00000000" w:rsidP="00000000" w:rsidRDefault="00000000" w:rsidRPr="00000000" w14:paraId="000000AC">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Los partidos políticos y agrupaciones políticas, en los términos de las disposiciones aplicables;</w:t>
      </w:r>
    </w:p>
    <w:p w:rsidR="00000000" w:rsidDel="00000000" w:rsidP="00000000" w:rsidRDefault="00000000" w:rsidRPr="00000000" w14:paraId="000000AD">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Los fideicomisos y fondos públicos que cuenten con financiamiento público, parcial o total, o con participación de entidades de gobierno;</w:t>
      </w:r>
    </w:p>
    <w:p w:rsidR="00000000" w:rsidDel="00000000" w:rsidP="00000000" w:rsidRDefault="00000000" w:rsidRPr="00000000" w14:paraId="000000AE">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Los sindicatos que reciban y/o ejerzan recursos públicos en el ámbito estatal y municipal;</w:t>
      </w:r>
    </w:p>
    <w:p w:rsidR="00000000" w:rsidDel="00000000" w:rsidP="00000000" w:rsidRDefault="00000000" w:rsidRPr="00000000" w14:paraId="000000AF">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Cualquier persona física o jurídico colectiva que reciba y ejerza recursos públicos en el ámbito estatal o municipal; y</w:t>
      </w:r>
    </w:p>
    <w:p w:rsidR="00000000" w:rsidDel="00000000" w:rsidP="00000000" w:rsidRDefault="00000000" w:rsidRPr="00000000" w14:paraId="000000B0">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Cualquier otra autoridad, entidad, órgano u organismo de los poderes estatal o municipal, que reciba recursos públicos.</w:t>
      </w:r>
    </w:p>
    <w:p w:rsidR="00000000" w:rsidDel="00000000" w:rsidP="00000000" w:rsidRDefault="00000000" w:rsidRPr="00000000" w14:paraId="000000B1">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B2">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8">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B9">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BD">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BE">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el precepto legal en cita:</w:t>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sz w:val="22"/>
          <w:szCs w:val="22"/>
          <w:rtl w:val="0"/>
        </w:rPr>
        <w:t xml:space="preserve">, contados a partir del día siguiente a la presentación de aquélla. </w:t>
      </w:r>
    </w:p>
    <w:p w:rsidR="00000000" w:rsidDel="00000000" w:rsidP="00000000" w:rsidRDefault="00000000" w:rsidRPr="00000000" w14:paraId="000000C4">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C5">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lo expuesto, es claro que en este caso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incumplió la normativa en la materia, puesto que no dio trámite ni respuesta a la solicitud de acceso a la información, limitando el derecho de acceso a la información, accionado por la persona solicitante.</w:t>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por lo que, en caso de no atender de manera positiva, el requerimiento de información deberá manifestarse al respecto.</w:t>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de la información.</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CF">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D1">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D5">
      <w:pPr>
        <w:tabs>
          <w:tab w:val="left" w:leader="none" w:pos="567"/>
        </w:tabs>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D7">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Comprometa la seguridad pública y cuente con un propósito genuino y un efecto demostrable;</w:t>
      </w:r>
    </w:p>
    <w:p w:rsidR="00000000" w:rsidDel="00000000" w:rsidP="00000000" w:rsidRDefault="00000000" w:rsidRPr="00000000" w14:paraId="000000D8">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Pueda menoscabar la conducción de las negociaciones y relaciones internacionales;</w:t>
      </w:r>
    </w:p>
    <w:p w:rsidR="00000000" w:rsidDel="00000000" w:rsidP="00000000" w:rsidRDefault="00000000" w:rsidRPr="00000000" w14:paraId="000000D9">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DA">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Ponga en riesgo la vida, la seguridad o la salud de una persona física;</w:t>
      </w:r>
    </w:p>
    <w:p w:rsidR="00000000" w:rsidDel="00000000" w:rsidP="00000000" w:rsidRDefault="00000000" w:rsidRPr="00000000" w14:paraId="000000DB">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Aquella cuya divulgación obstruya o pueda causar un serio perjuicio a:</w:t>
      </w:r>
    </w:p>
    <w:p w:rsidR="00000000" w:rsidDel="00000000" w:rsidP="00000000" w:rsidRDefault="00000000" w:rsidRPr="00000000" w14:paraId="000000DC">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w:t>
      </w:r>
      <w:r w:rsidDel="00000000" w:rsidR="00000000" w:rsidRPr="00000000">
        <w:rPr>
          <w:rFonts w:ascii="Palatino Linotype" w:cs="Palatino Linotype" w:eastAsia="Palatino Linotype" w:hAnsi="Palatino Linotype"/>
          <w:i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DD">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La recaudación de las contribuciones.</w:t>
      </w:r>
    </w:p>
    <w:p w:rsidR="00000000" w:rsidDel="00000000" w:rsidP="00000000" w:rsidRDefault="00000000" w:rsidRPr="00000000" w14:paraId="000000DE">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DF">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E0">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E1">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w:t>
      </w:r>
      <w:r w:rsidDel="00000000" w:rsidR="00000000" w:rsidRPr="00000000">
        <w:rPr>
          <w:rFonts w:ascii="Palatino Linotype" w:cs="Palatino Linotype" w:eastAsia="Palatino Linotype" w:hAnsi="Palatino Linotype"/>
          <w:i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E2">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w:t>
      </w:r>
      <w:r w:rsidDel="00000000" w:rsidR="00000000" w:rsidRPr="00000000">
        <w:rPr>
          <w:rFonts w:ascii="Palatino Linotype" w:cs="Palatino Linotype" w:eastAsia="Palatino Linotype" w:hAnsi="Palatino Linotype"/>
          <w:i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E3">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E4">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E5">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6">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 </w:t>
      </w:r>
      <w:r w:rsidDel="00000000" w:rsidR="00000000" w:rsidRPr="00000000">
        <w:rPr>
          <w:rFonts w:ascii="Palatino Linotype" w:cs="Palatino Linotype" w:eastAsia="Palatino Linotype" w:hAnsi="Palatino Linotype"/>
          <w:i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E7">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E8">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E9">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EA">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EB">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EC">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reciba una solicitud de acceso a la información;</w:t>
      </w:r>
    </w:p>
    <w:p w:rsidR="00000000" w:rsidDel="00000000" w:rsidP="00000000" w:rsidRDefault="00000000" w:rsidRPr="00000000" w14:paraId="000000F0">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determine mediante resolución de autoridad competente; y/o</w:t>
      </w:r>
    </w:p>
    <w:p w:rsidR="00000000" w:rsidDel="00000000" w:rsidP="00000000" w:rsidRDefault="00000000" w:rsidRPr="00000000" w14:paraId="000000F1">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generen versiones públicas para dar cumplimiento a las obligaciones de transparencia previstas en la Ley.</w:t>
      </w:r>
    </w:p>
    <w:p w:rsidR="00000000" w:rsidDel="00000000" w:rsidP="00000000" w:rsidRDefault="00000000" w:rsidRPr="00000000" w14:paraId="000000F2">
      <w:p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53 fracción X</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y 49 fracciones II y VIII</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w:t>
      </w:r>
    </w:p>
    <w:p w:rsidR="00000000" w:rsidDel="00000000" w:rsidP="00000000" w:rsidRDefault="00000000" w:rsidRPr="00000000" w14:paraId="000000F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advierte que la información solicitada contiene </w:t>
      </w:r>
      <w:r w:rsidDel="00000000" w:rsidR="00000000" w:rsidRPr="00000000">
        <w:rPr>
          <w:rFonts w:ascii="Palatino Linotype" w:cs="Palatino Linotype" w:eastAsia="Palatino Linotype" w:hAnsi="Palatino Linotype"/>
          <w:b w:val="1"/>
          <w:sz w:val="22"/>
          <w:szCs w:val="22"/>
          <w:rtl w:val="0"/>
        </w:rPr>
        <w:t xml:space="preserve">datos personales</w:t>
      </w:r>
      <w:r w:rsidDel="00000000" w:rsidR="00000000" w:rsidRPr="00000000">
        <w:rPr>
          <w:rFonts w:ascii="Palatino Linotype" w:cs="Palatino Linotype" w:eastAsia="Palatino Linotype" w:hAnsi="Palatino Linotype"/>
          <w:sz w:val="22"/>
          <w:szCs w:val="22"/>
          <w:rtl w:val="0"/>
        </w:rPr>
        <w:t xml:space="preserve"> que sean susceptibles de ser </w:t>
      </w:r>
      <w:r w:rsidDel="00000000" w:rsidR="00000000" w:rsidRPr="00000000">
        <w:rPr>
          <w:rFonts w:ascii="Palatino Linotype" w:cs="Palatino Linotype" w:eastAsia="Palatino Linotype" w:hAnsi="Palatino Linotype"/>
          <w:b w:val="1"/>
          <w:sz w:val="22"/>
          <w:szCs w:val="22"/>
          <w:rtl w:val="0"/>
        </w:rPr>
        <w:t xml:space="preserve">clasificados como confidenciales, </w:t>
      </w:r>
      <w:r w:rsidDel="00000000" w:rsidR="00000000" w:rsidRPr="00000000">
        <w:rPr>
          <w:rFonts w:ascii="Palatino Linotype" w:cs="Palatino Linotype" w:eastAsia="Palatino Linotype" w:hAnsi="Palatino Linotype"/>
          <w:sz w:val="22"/>
          <w:szCs w:val="22"/>
          <w:rtl w:val="0"/>
        </w:rPr>
        <w:t xml:space="preserve">o, si por otro lado</w:t>
      </w:r>
      <w:r w:rsidDel="00000000" w:rsidR="00000000" w:rsidRPr="00000000">
        <w:rPr>
          <w:rFonts w:ascii="Palatino Linotype" w:cs="Palatino Linotype" w:eastAsia="Palatino Linotype" w:hAnsi="Palatino Linotype"/>
          <w:b w:val="1"/>
          <w:sz w:val="22"/>
          <w:szCs w:val="22"/>
          <w:rtl w:val="0"/>
        </w:rPr>
        <w:t xml:space="preserve">, por su propia y especial naturaleza,</w:t>
      </w:r>
      <w:r w:rsidDel="00000000" w:rsidR="00000000" w:rsidRPr="00000000">
        <w:rPr>
          <w:rFonts w:ascii="Palatino Linotype" w:cs="Palatino Linotype" w:eastAsia="Palatino Linotype" w:hAnsi="Palatino Linotype"/>
          <w:sz w:val="22"/>
          <w:szCs w:val="22"/>
          <w:rtl w:val="0"/>
        </w:rPr>
        <w:t xml:space="preserve"> encuadra en alguno de los </w:t>
      </w:r>
      <w:r w:rsidDel="00000000" w:rsidR="00000000" w:rsidRPr="00000000">
        <w:rPr>
          <w:rFonts w:ascii="Palatino Linotype" w:cs="Palatino Linotype" w:eastAsia="Palatino Linotype" w:hAnsi="Palatino Linotype"/>
          <w:b w:val="1"/>
          <w:sz w:val="22"/>
          <w:szCs w:val="22"/>
          <w:rtl w:val="0"/>
        </w:rPr>
        <w:t xml:space="preserve">supuestos de reserva o de confidencialidad en su totalidad</w:t>
      </w:r>
      <w:r w:rsidDel="00000000" w:rsidR="00000000" w:rsidRPr="00000000">
        <w:rPr>
          <w:rFonts w:ascii="Palatino Linotype" w:cs="Palatino Linotype" w:eastAsia="Palatino Linotype" w:hAnsi="Palatino Linotype"/>
          <w:sz w:val="22"/>
          <w:szCs w:val="22"/>
          <w:rtl w:val="0"/>
        </w:rPr>
        <w:t xml:space="preserve">, deberá emitir, un</w:t>
      </w:r>
      <w:r w:rsidDel="00000000" w:rsidR="00000000" w:rsidRPr="00000000">
        <w:rPr>
          <w:rFonts w:ascii="Palatino Linotype" w:cs="Palatino Linotype" w:eastAsia="Palatino Linotype" w:hAnsi="Palatino Linotype"/>
          <w:b w:val="1"/>
          <w:sz w:val="22"/>
          <w:szCs w:val="22"/>
          <w:rtl w:val="0"/>
        </w:rPr>
        <w:t xml:space="preserve"> Acuerdo de Clasificación </w:t>
      </w:r>
      <w:r w:rsidDel="00000000" w:rsidR="00000000" w:rsidRPr="00000000">
        <w:rPr>
          <w:rFonts w:ascii="Palatino Linotype" w:cs="Palatino Linotype" w:eastAsia="Palatino Linotype" w:hAnsi="Palatino Linotype"/>
          <w:sz w:val="22"/>
          <w:szCs w:val="22"/>
          <w:rtl w:val="0"/>
        </w:rPr>
        <w:t xml:space="preserve">debidamente fundado y motivado que</w:t>
      </w:r>
      <w:r w:rsidDel="00000000" w:rsidR="00000000" w:rsidRPr="00000000">
        <w:rPr>
          <w:rFonts w:ascii="Palatino Linotype" w:cs="Palatino Linotype" w:eastAsia="Palatino Linotype" w:hAnsi="Palatino Linotype"/>
          <w:b w:val="1"/>
          <w:sz w:val="22"/>
          <w:szCs w:val="22"/>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sz w:val="22"/>
          <w:szCs w:val="22"/>
          <w:rtl w:val="0"/>
        </w:rPr>
        <w:t xml:space="preserve"> o bien, la restricción total del derecho de acceso a la información.  </w:t>
      </w:r>
    </w:p>
    <w:p w:rsidR="00000000" w:rsidDel="00000000" w:rsidP="00000000" w:rsidRDefault="00000000" w:rsidRPr="00000000" w14:paraId="000000F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parcial de la información.</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de información como reservada.</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360" w:lineRule="auto"/>
        <w:ind w:left="720" w:right="51"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F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F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rsidR="00000000" w:rsidDel="00000000" w:rsidP="00000000" w:rsidRDefault="00000000" w:rsidRPr="00000000" w14:paraId="0000010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divulgación de la información representa un </w:t>
      </w:r>
      <w:r w:rsidDel="00000000" w:rsidR="00000000" w:rsidRPr="00000000">
        <w:rPr>
          <w:rFonts w:ascii="Palatino Linotype" w:cs="Palatino Linotype" w:eastAsia="Palatino Linotype" w:hAnsi="Palatino Linotype"/>
          <w:b w:val="1"/>
          <w:sz w:val="22"/>
          <w:szCs w:val="22"/>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02">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riesgo de perjuicio que supondría la divulgación supera el interés público general de que se difunda; y,</w:t>
      </w:r>
    </w:p>
    <w:p w:rsidR="00000000" w:rsidDel="00000000" w:rsidP="00000000" w:rsidRDefault="00000000" w:rsidRPr="00000000" w14:paraId="00000103">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104">
      <w:pPr>
        <w:tabs>
          <w:tab w:val="left" w:leader="none" w:pos="851"/>
        </w:tabs>
        <w:spacing w:line="360" w:lineRule="auto"/>
        <w:ind w:left="568"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sz w:val="22"/>
          <w:szCs w:val="22"/>
          <w:rtl w:val="0"/>
        </w:rPr>
        <w:t xml:space="preserve">no pierde el carácter de pública</w:t>
      </w:r>
      <w:r w:rsidDel="00000000" w:rsidR="00000000" w:rsidRPr="00000000">
        <w:rPr>
          <w:rFonts w:ascii="Palatino Linotype" w:cs="Palatino Linotype" w:eastAsia="Palatino Linotype" w:hAnsi="Palatino Linotype"/>
          <w:sz w:val="22"/>
          <w:szCs w:val="22"/>
          <w:rtl w:val="0"/>
        </w:rPr>
        <w:t xml:space="preserve">, sino que </w:t>
      </w:r>
      <w:r w:rsidDel="00000000" w:rsidR="00000000" w:rsidRPr="00000000">
        <w:rPr>
          <w:rFonts w:ascii="Palatino Linotype" w:cs="Palatino Linotype" w:eastAsia="Palatino Linotype" w:hAnsi="Palatino Linotype"/>
          <w:b w:val="1"/>
          <w:sz w:val="22"/>
          <w:szCs w:val="22"/>
          <w:rtl w:val="0"/>
        </w:rPr>
        <w:t xml:space="preserve">se reserva temporalmente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del conocimiento público</w:t>
      </w:r>
      <w:r w:rsidDel="00000000" w:rsidR="00000000" w:rsidRPr="00000000">
        <w:rPr>
          <w:rFonts w:ascii="Palatino Linotype" w:cs="Palatino Linotype" w:eastAsia="Palatino Linotype" w:hAnsi="Palatino Linotype"/>
          <w:sz w:val="22"/>
          <w:szCs w:val="22"/>
          <w:rtl w:val="0"/>
        </w:rPr>
        <w:t xml:space="preserve">, es decir, que, </w:t>
      </w:r>
      <w:r w:rsidDel="00000000" w:rsidR="00000000" w:rsidRPr="00000000">
        <w:rPr>
          <w:rFonts w:ascii="Palatino Linotype" w:cs="Palatino Linotype" w:eastAsia="Palatino Linotype" w:hAnsi="Palatino Linotype"/>
          <w:b w:val="1"/>
          <w:sz w:val="22"/>
          <w:szCs w:val="22"/>
          <w:rtl w:val="0"/>
        </w:rPr>
        <w:t xml:space="preserve">por un tiempo determinado</w:t>
      </w:r>
      <w:r w:rsidDel="00000000" w:rsidR="00000000" w:rsidRPr="00000000">
        <w:rPr>
          <w:rFonts w:ascii="Palatino Linotype" w:cs="Palatino Linotype" w:eastAsia="Palatino Linotype" w:hAnsi="Palatino Linotype"/>
          <w:sz w:val="22"/>
          <w:szCs w:val="22"/>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10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1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de la información como totalmente confidencial.</w:t>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left" w:leader="none" w:pos="709"/>
        </w:tabs>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B">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10C">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vertAlign w:val="superscript"/>
        </w:rPr>
        <w:footnoteReference w:customMarkFollows="0" w:id="3"/>
      </w:r>
      <w:r w:rsidDel="00000000" w:rsidR="00000000" w:rsidRPr="00000000">
        <w:rPr>
          <w:rFonts w:ascii="Palatino Linotype" w:cs="Palatino Linotype" w:eastAsia="Palatino Linotype" w:hAnsi="Palatino Linotype"/>
          <w:sz w:val="22"/>
          <w:szCs w:val="22"/>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10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declaratoria de inexistencia de la información</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estima prudente señalar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11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11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1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11A">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todo lo expuesto, ante lo </w:t>
      </w:r>
      <w:r w:rsidDel="00000000" w:rsidR="00000000" w:rsidRPr="00000000">
        <w:rPr>
          <w:rFonts w:ascii="Palatino Linotype" w:cs="Palatino Linotype" w:eastAsia="Palatino Linotype" w:hAnsi="Palatino Linotype"/>
          <w:b w:val="1"/>
          <w:sz w:val="22"/>
          <w:szCs w:val="22"/>
          <w:rtl w:val="0"/>
        </w:rPr>
        <w:t xml:space="preserve">FUNDADO</w:t>
      </w:r>
      <w:r w:rsidDel="00000000" w:rsidR="00000000" w:rsidRPr="00000000">
        <w:rPr>
          <w:rFonts w:ascii="Palatino Linotype" w:cs="Palatino Linotype" w:eastAsia="Palatino Linotype" w:hAnsi="Palatino Linotype"/>
          <w:sz w:val="22"/>
          <w:szCs w:val="22"/>
          <w:rtl w:val="0"/>
        </w:rPr>
        <w:t xml:space="preserve"> de las razones o motivos de inconformidad hechos valer por la parte Recurrente, este Instituto estima que lo dable es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al Sujeto Obligado dé respuestas a las solicitudes de acceso a la información, atendiendo lo señalado en el presente Considerando.</w:t>
      </w:r>
    </w:p>
    <w:p w:rsidR="00000000" w:rsidDel="00000000" w:rsidP="00000000" w:rsidRDefault="00000000" w:rsidRPr="00000000" w14:paraId="000001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es de señalar que, como ya se mencionó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omitió proporcionar respuestas a las solicitudes de acceso a la información pública, en el término contemplado en el ya citado artículo 163 de la Ley de la materia, razón por la que se ordena dar vista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rsidR="00000000" w:rsidDel="00000000" w:rsidP="00000000" w:rsidRDefault="00000000" w:rsidRPr="00000000" w14:paraId="0000011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F">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2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12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sz w:val="22"/>
          <w:szCs w:val="22"/>
        </w:rPr>
      </w:pPr>
      <w:bookmarkStart w:colFirst="0" w:colLast="0" w:name="_heading=h.3dy6vkm" w:id="3"/>
      <w:bookmarkEnd w:id="3"/>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w:t>
      </w:r>
      <w:r w:rsidDel="00000000" w:rsidR="00000000" w:rsidRPr="00000000">
        <w:rPr>
          <w:rFonts w:ascii="Palatino Linotype" w:cs="Palatino Linotype" w:eastAsia="Palatino Linotype" w:hAnsi="Palatino Linotype"/>
          <w:b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dé atención, vía </w:t>
      </w:r>
      <w:r w:rsidDel="00000000" w:rsidR="00000000" w:rsidRPr="00000000">
        <w:rPr>
          <w:rFonts w:ascii="Palatino Linotype" w:cs="Palatino Linotype" w:eastAsia="Palatino Linotype" w:hAnsi="Palatino Linotype"/>
          <w:b w:val="1"/>
          <w:sz w:val="22"/>
          <w:szCs w:val="22"/>
          <w:rtl w:val="0"/>
        </w:rPr>
        <w:t xml:space="preserve">Sistema de Acceso a la Información Mexiquense </w:t>
      </w:r>
      <w:r w:rsidDel="00000000" w:rsidR="00000000" w:rsidRPr="00000000">
        <w:rPr>
          <w:rFonts w:ascii="Palatino Linotype" w:cs="Palatino Linotype" w:eastAsia="Palatino Linotype" w:hAnsi="Palatino Linotype"/>
          <w:sz w:val="22"/>
          <w:szCs w:val="22"/>
          <w:rtl w:val="0"/>
        </w:rPr>
        <w:t xml:space="preserve">a las solicitudes de acceso a la información pública </w:t>
      </w:r>
      <w:r w:rsidDel="00000000" w:rsidR="00000000" w:rsidRPr="00000000">
        <w:rPr>
          <w:rFonts w:ascii="Palatino Linotype" w:cs="Palatino Linotype" w:eastAsia="Palatino Linotype" w:hAnsi="Palatino Linotype"/>
          <w:b w:val="1"/>
          <w:sz w:val="22"/>
          <w:szCs w:val="22"/>
          <w:rtl w:val="0"/>
        </w:rPr>
        <w:t xml:space="preserve">00926/TEOLOYU/IP/2025, 00925/TEOLOYU/IP/2025, 00924/TEOLOYU/IP/2025, 00923/TEOLOYU/IP/2025, 00922/TEOLOYU/IP/2025, 00921/TEOLOYU/IP/2025, 00920/TEOLOYU/IP/2025, 00919/TEOLOYU/IP/2025 y 00918/TEOLOYU/IP/2025 </w:t>
      </w:r>
      <w:r w:rsidDel="00000000" w:rsidR="00000000" w:rsidRPr="00000000">
        <w:rPr>
          <w:rFonts w:ascii="Palatino Linotype" w:cs="Palatino Linotype" w:eastAsia="Palatino Linotype" w:hAnsi="Palatino Linotype"/>
          <w:sz w:val="22"/>
          <w:szCs w:val="22"/>
          <w:rtl w:val="0"/>
        </w:rPr>
        <w:t xml:space="preserve">que dieron origen a los recursos de revisión </w:t>
      </w:r>
      <w:r w:rsidDel="00000000" w:rsidR="00000000" w:rsidRPr="00000000">
        <w:rPr>
          <w:rFonts w:ascii="Palatino Linotype" w:cs="Palatino Linotype" w:eastAsia="Palatino Linotype" w:hAnsi="Palatino Linotype"/>
          <w:b w:val="1"/>
          <w:sz w:val="22"/>
          <w:szCs w:val="22"/>
          <w:rtl w:val="0"/>
        </w:rPr>
        <w:t xml:space="preserve">09804/INFOEM/IP/RR/2025, 09805/INFOEM/IP/RR/2025, 09806/INFOEM/IP/RR/2025, 09807/INFOEM/IP/RR/2025, 09808/INFOEM/IP/RR/2025, 09809/INFOEM/IP/RR/2025, 09810/INFOEM/IP/RR/2025, 09811/INFOEM/IP/RR/2025 y 09812/INFOEM/IP/RR/2025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1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spacing w:line="360" w:lineRule="auto"/>
        <w:ind w:right="49"/>
        <w:jc w:val="both"/>
        <w:rPr>
          <w:rFonts w:ascii="Palatino Linotype" w:cs="Palatino Linotype" w:eastAsia="Palatino Linotype" w:hAnsi="Palatino Linotype"/>
          <w:sz w:val="22"/>
          <w:szCs w:val="22"/>
        </w:rPr>
      </w:pPr>
      <w:bookmarkStart w:colFirst="0" w:colLast="0" w:name="_heading=h.3znysh7" w:id="4"/>
      <w:bookmarkEnd w:id="4"/>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Sistema de Acceso a la Información Mexiquense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2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Notifíquese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Sistema de Acceso a la Información Mexiquense</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Sistema de Acceso a la Información Mexiquense</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que la respuesta que dé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12B">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2C">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Sexto. Gírese vista</w:t>
      </w:r>
      <w:r w:rsidDel="00000000" w:rsidR="00000000" w:rsidRPr="00000000">
        <w:rPr>
          <w:rFonts w:ascii="Palatino Linotype" w:cs="Palatino Linotype" w:eastAsia="Palatino Linotype" w:hAnsi="Palatino Linotype"/>
          <w:sz w:val="22"/>
          <w:szCs w:val="22"/>
          <w:rtl w:val="0"/>
        </w:rPr>
        <w:t xml:space="preserve"> a la </w:t>
      </w:r>
      <w:r w:rsidDel="00000000" w:rsidR="00000000" w:rsidRPr="00000000">
        <w:rPr>
          <w:rFonts w:ascii="Palatino Linotype" w:cs="Palatino Linotype" w:eastAsia="Palatino Linotype" w:hAnsi="Palatino Linotype"/>
          <w:b w:val="1"/>
          <w:sz w:val="22"/>
          <w:szCs w:val="22"/>
          <w:rtl w:val="0"/>
        </w:rPr>
        <w:t xml:space="preserve">Secretaría Técnica del Pleno</w:t>
      </w:r>
      <w:r w:rsidDel="00000000" w:rsidR="00000000" w:rsidRPr="00000000">
        <w:rPr>
          <w:rFonts w:ascii="Palatino Linotype" w:cs="Palatino Linotype" w:eastAsia="Palatino Linotype" w:hAnsi="Palatino Linotype"/>
          <w:sz w:val="22"/>
          <w:szCs w:val="22"/>
          <w:rtl w:val="0"/>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1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E">
      <w:pPr>
        <w:spacing w:line="360" w:lineRule="auto"/>
        <w:ind w:right="49"/>
        <w:jc w:val="both"/>
        <w:rPr>
          <w:rFonts w:ascii="Palatino Linotype" w:cs="Palatino Linotype" w:eastAsia="Palatino Linotype" w:hAnsi="Palatino Linotype"/>
          <w:sz w:val="22"/>
          <w:szCs w:val="22"/>
        </w:rPr>
        <w:sectPr>
          <w:headerReference r:id="rId17" w:type="default"/>
          <w:headerReference r:id="rId18" w:type="first"/>
          <w:footerReference r:id="rId19" w:type="default"/>
          <w:footerReference r:id="rId20" w:type="first"/>
          <w:pgSz w:h="15840" w:w="12240" w:orient="portrait"/>
          <w:pgMar w:bottom="1701" w:top="1985" w:left="1701" w:right="1701" w:header="709" w:footer="709"/>
          <w:pgNumType w:start="1"/>
          <w:titlePg w:val="1"/>
        </w:sectPr>
      </w:pPr>
      <w:bookmarkStart w:colFirst="0" w:colLast="0" w:name="_heading=h.1fob9te" w:id="5"/>
      <w:bookmarkEnd w:id="5"/>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DE SEPTIEMBRE DE DOS MIL VEINTICINCO, ANTE EL SECRETARIO TÉCNICO DEL PLENO ALEXIS TAPIA RAMÍREZ.</w:t>
      </w:r>
    </w:p>
    <w:p w:rsidR="00000000" w:rsidDel="00000000" w:rsidP="00000000" w:rsidRDefault="00000000" w:rsidRPr="00000000" w14:paraId="0000012F">
      <w:pPr>
        <w:rPr>
          <w:sz w:val="22"/>
          <w:szCs w:val="22"/>
        </w:rPr>
      </w:pPr>
      <w:r w:rsidDel="00000000" w:rsidR="00000000" w:rsidRPr="00000000">
        <w:rPr>
          <w:rtl w:val="0"/>
        </w:rPr>
      </w:r>
    </w:p>
    <w:sectPr>
      <w:headerReference r:id="rId21"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13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1">
    <w:p w:rsidR="00000000" w:rsidDel="00000000" w:rsidP="00000000" w:rsidRDefault="00000000" w:rsidRPr="00000000" w14:paraId="0000013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13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2">
    <w:p w:rsidR="00000000" w:rsidDel="00000000" w:rsidP="00000000" w:rsidRDefault="00000000" w:rsidRPr="00000000" w14:paraId="0000013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13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13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3">
    <w:p w:rsidR="00000000" w:rsidDel="00000000" w:rsidP="00000000" w:rsidRDefault="00000000" w:rsidRPr="00000000" w14:paraId="0000013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2"/>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139">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3A">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09804/INFOEM/IP/RR/2025 y acumulados</w:t>
          </w:r>
        </w:p>
      </w:tc>
    </w:tr>
    <w:tr>
      <w:trPr>
        <w:cantSplit w:val="0"/>
        <w:trHeight w:val="228" w:hRule="atLeast"/>
        <w:tblHeader w:val="0"/>
      </w:trPr>
      <w:tc>
        <w:tcPr>
          <w:vAlign w:val="center"/>
        </w:tcPr>
        <w:p w:rsidR="00000000" w:rsidDel="00000000" w:rsidP="00000000" w:rsidRDefault="00000000" w:rsidRPr="00000000" w14:paraId="0000013B">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p w:rsidR="00000000" w:rsidDel="00000000" w:rsidP="00000000" w:rsidRDefault="00000000" w:rsidRPr="00000000" w14:paraId="0000013C">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13D">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Teoloyucan</w:t>
          </w:r>
        </w:p>
      </w:tc>
    </w:tr>
    <w:tr>
      <w:trPr>
        <w:cantSplit w:val="0"/>
        <w:tblHeader w:val="0"/>
      </w:trPr>
      <w:tc>
        <w:tcPr>
          <w:vAlign w:val="center"/>
        </w:tcPr>
        <w:p w:rsidR="00000000" w:rsidDel="00000000" w:rsidP="00000000" w:rsidRDefault="00000000" w:rsidRPr="00000000" w14:paraId="0000013E">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3F">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-689274</wp:posOffset>
          </wp:positionH>
          <wp:positionV relativeFrom="paragraph">
            <wp:posOffset>-1171012</wp:posOffset>
          </wp:positionV>
          <wp:extent cx="7635875" cy="9943465"/>
          <wp:effectExtent b="0" l="0" r="0" t="0"/>
          <wp:wrapNone/>
          <wp:docPr id="17"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-675561</wp:posOffset>
          </wp:positionH>
          <wp:positionV relativeFrom="paragraph">
            <wp:posOffset>-341825</wp:posOffset>
          </wp:positionV>
          <wp:extent cx="7635875" cy="9943465"/>
          <wp:effectExtent b="0" l="0" r="0" t="0"/>
          <wp:wrapNone/>
          <wp:docPr id="19"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bl>
    <w:tblPr>
      <w:tblStyle w:val="Table3"/>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142">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p w:rsidR="00000000" w:rsidDel="00000000" w:rsidP="00000000" w:rsidRDefault="00000000" w:rsidRPr="00000000" w14:paraId="00000143">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144">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09804/INFOEM/IP/RR/2025 y acumulados</w:t>
          </w:r>
        </w:p>
      </w:tc>
    </w:tr>
    <w:tr>
      <w:trPr>
        <w:cantSplit w:val="0"/>
        <w:tblHeader w:val="0"/>
      </w:trPr>
      <w:tc>
        <w:tcPr>
          <w:vAlign w:val="center"/>
        </w:tcPr>
        <w:p w:rsidR="00000000" w:rsidDel="00000000" w:rsidP="00000000" w:rsidRDefault="00000000" w:rsidRPr="00000000" w14:paraId="00000145">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146">
          <w:pPr>
            <w:ind w:right="452"/>
            <w:jc w:val="both"/>
            <w:rPr>
              <w:rFonts w:ascii="Palatino Linotype" w:cs="Palatino Linotype" w:eastAsia="Palatino Linotype" w:hAnsi="Palatino Linotype"/>
              <w:b w:val="1"/>
              <w:sz w:val="21"/>
              <w:szCs w:val="21"/>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47">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p w:rsidR="00000000" w:rsidDel="00000000" w:rsidP="00000000" w:rsidRDefault="00000000" w:rsidRPr="00000000" w14:paraId="00000148">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149">
          <w:pPr>
            <w:ind w:right="452"/>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Teoloyucan </w:t>
          </w:r>
        </w:p>
      </w:tc>
    </w:tr>
    <w:tr>
      <w:trPr>
        <w:cantSplit w:val="0"/>
        <w:tblHeader w:val="0"/>
      </w:trPr>
      <w:tc>
        <w:tcPr>
          <w:vAlign w:val="center"/>
        </w:tcPr>
        <w:p w:rsidR="00000000" w:rsidDel="00000000" w:rsidP="00000000" w:rsidRDefault="00000000" w:rsidRPr="00000000" w14:paraId="0000014A">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4B">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bl>
    <w:tblPr>
      <w:tblStyle w:val="Table4"/>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14E">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4F">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09804/INFOEM/IP/RR/2025 y acumulados</w:t>
          </w:r>
        </w:p>
      </w:tc>
    </w:tr>
    <w:tr>
      <w:trPr>
        <w:cantSplit w:val="0"/>
        <w:trHeight w:val="228" w:hRule="atLeast"/>
        <w:tblHeader w:val="0"/>
      </w:trPr>
      <w:tc>
        <w:tcPr>
          <w:vAlign w:val="center"/>
        </w:tcPr>
        <w:p w:rsidR="00000000" w:rsidDel="00000000" w:rsidP="00000000" w:rsidRDefault="00000000" w:rsidRPr="00000000" w14:paraId="00000150">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p w:rsidR="00000000" w:rsidDel="00000000" w:rsidP="00000000" w:rsidRDefault="00000000" w:rsidRPr="00000000" w14:paraId="00000151">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152">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Teoloyucan</w:t>
          </w:r>
        </w:p>
      </w:tc>
    </w:tr>
    <w:tr>
      <w:trPr>
        <w:cantSplit w:val="0"/>
        <w:tblHeader w:val="0"/>
      </w:trPr>
      <w:tc>
        <w:tcPr>
          <w:vAlign w:val="center"/>
        </w:tcPr>
        <w:p w:rsidR="00000000" w:rsidDel="00000000" w:rsidP="00000000" w:rsidRDefault="00000000" w:rsidRPr="00000000" w14:paraId="00000153">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54">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-1062354</wp:posOffset>
          </wp:positionV>
          <wp:extent cx="7635875" cy="9943465"/>
          <wp:effectExtent b="0" l="0" r="0" t="0"/>
          <wp:wrapNone/>
          <wp:docPr id="18"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7"/>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eastAsia="es-MX"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eastAsia="es-MX" w:val="es-MX"/>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paragraph" w:styleId="Textoindependiente">
    <w:name w:val="Body Text"/>
    <w:basedOn w:val="Normal"/>
    <w:link w:val="TextoindependienteCar"/>
    <w:uiPriority w:val="99"/>
    <w:unhideWhenUsed w:val="1"/>
    <w:rsid w:val="00AA0915"/>
    <w:pPr>
      <w:spacing w:after="120"/>
    </w:pPr>
    <w:rPr>
      <w:lang w:eastAsia="es-MX"/>
    </w:rPr>
  </w:style>
  <w:style w:type="character" w:styleId="TextoindependienteCar" w:customStyle="1">
    <w:name w:val="Texto independiente Car"/>
    <w:basedOn w:val="Fuentedeprrafopredeter"/>
    <w:link w:val="Textoindependiente"/>
    <w:uiPriority w:val="99"/>
    <w:rsid w:val="00AA0915"/>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paragraph" w:styleId="Sinespaciado">
    <w:name w:val="No Spacing"/>
    <w:aliases w:val="Francesa,INAI"/>
    <w:link w:val="SinespaciadoCar"/>
    <w:uiPriority w:val="1"/>
    <w:qFormat w:val="1"/>
    <w:rsid w:val="0085765F"/>
    <w:rPr>
      <w:lang w:eastAsia="es-ES" w:val="es-MX"/>
    </w:rPr>
  </w:style>
  <w:style w:type="character" w:styleId="SinespaciadoCar" w:customStyle="1">
    <w:name w:val="Sin espaciado Car"/>
    <w:aliases w:val="Francesa Car,INAI Car"/>
    <w:link w:val="Sinespaciado"/>
    <w:uiPriority w:val="1"/>
    <w:locked w:val="1"/>
    <w:rsid w:val="0085765F"/>
    <w:rPr>
      <w:lang w:eastAsia="es-ES" w:val="es-MX"/>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4.png"/><Relationship Id="rId10" Type="http://schemas.openxmlformats.org/officeDocument/2006/relationships/image" Target="media/image2.png"/><Relationship Id="rId21" Type="http://schemas.openxmlformats.org/officeDocument/2006/relationships/header" Target="header3.xml"/><Relationship Id="rId13" Type="http://schemas.openxmlformats.org/officeDocument/2006/relationships/image" Target="media/image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header" Target="header1.xml"/><Relationship Id="rId16" Type="http://schemas.openxmlformats.org/officeDocument/2006/relationships/image" Target="media/image9.pn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lmC2pPyHVEU4OnMDoSC/2ncOtQ==">CgMxLjAyCGguZ2pkZ3hzMg5oLjFhaHo1MTNvcDgyczIOaC51cXF1cTNmd3kwa2QyCWguM2R5NnZrbTIJaC4zem55c2g3MgloLjFmb2I5dGU4AHIhMVFJQ2dzdUJfbWNtbnZfcjNVYTZDdDRkVE1MS3B4NVls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2025-10-06T19:33:00Z</dcterms:created>
  <dc:creator>Usuario de Windows</dc:creator>
</cp:coreProperties>
</file>