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CFF" w:rsidRPr="008721F3" w:rsidRDefault="002A18F9">
      <w:pPr>
        <w:pBdr>
          <w:top w:val="nil"/>
          <w:left w:val="nil"/>
          <w:bottom w:val="nil"/>
          <w:right w:val="nil"/>
          <w:between w:val="nil"/>
        </w:pBdr>
        <w:spacing w:line="360" w:lineRule="auto"/>
        <w:ind w:left="-566" w:right="-1417"/>
        <w:jc w:val="both"/>
        <w:rPr>
          <w:rFonts w:ascii="Palatino Linotype" w:eastAsia="Palatino Linotype" w:hAnsi="Palatino Linotype" w:cs="Palatino Linotype"/>
          <w:color w:val="000000"/>
        </w:rPr>
      </w:pPr>
      <w:r w:rsidRPr="008721F3">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 de México; de fecha veintiséis (26) de febrero de dos mil veinticinco.</w:t>
      </w:r>
    </w:p>
    <w:p w:rsidR="00925CFF" w:rsidRPr="008721F3" w:rsidRDefault="00925CFF">
      <w:pPr>
        <w:pBdr>
          <w:top w:val="nil"/>
          <w:left w:val="nil"/>
          <w:bottom w:val="nil"/>
          <w:right w:val="nil"/>
          <w:between w:val="nil"/>
        </w:pBdr>
        <w:spacing w:line="360" w:lineRule="auto"/>
        <w:ind w:left="-566" w:right="-1417"/>
        <w:jc w:val="both"/>
        <w:rPr>
          <w:rFonts w:ascii="Palatino Linotype" w:eastAsia="Palatino Linotype" w:hAnsi="Palatino Linotype" w:cs="Palatino Linotype"/>
          <w:color w:val="000000"/>
        </w:rPr>
      </w:pPr>
    </w:p>
    <w:p w:rsidR="00925CFF" w:rsidRPr="008721F3" w:rsidRDefault="002A18F9">
      <w:pPr>
        <w:pBdr>
          <w:top w:val="nil"/>
          <w:left w:val="nil"/>
          <w:bottom w:val="nil"/>
          <w:right w:val="nil"/>
          <w:between w:val="nil"/>
        </w:pBdr>
        <w:spacing w:line="360" w:lineRule="auto"/>
        <w:ind w:left="-566" w:right="-1417"/>
        <w:jc w:val="both"/>
        <w:rPr>
          <w:rFonts w:ascii="Palatino Linotype" w:eastAsia="Palatino Linotype" w:hAnsi="Palatino Linotype" w:cs="Palatino Linotype"/>
          <w:color w:val="000000"/>
        </w:rPr>
      </w:pPr>
      <w:r w:rsidRPr="008721F3">
        <w:rPr>
          <w:rFonts w:ascii="Palatino Linotype" w:eastAsia="Palatino Linotype" w:hAnsi="Palatino Linotype" w:cs="Palatino Linotype"/>
          <w:b/>
          <w:color w:val="000000"/>
        </w:rPr>
        <w:t>VISTO</w:t>
      </w:r>
      <w:r w:rsidRPr="008721F3">
        <w:rPr>
          <w:rFonts w:ascii="Palatino Linotype" w:eastAsia="Palatino Linotype" w:hAnsi="Palatino Linotype" w:cs="Palatino Linotype"/>
          <w:color w:val="000000"/>
        </w:rPr>
        <w:t xml:space="preserve"> el expediente electrónico formado con motivo del Recursos de Revisión </w:t>
      </w:r>
      <w:r w:rsidRPr="008721F3">
        <w:rPr>
          <w:rFonts w:ascii="Palatino Linotype" w:eastAsia="Palatino Linotype" w:hAnsi="Palatino Linotype" w:cs="Palatino Linotype"/>
          <w:b/>
          <w:color w:val="000000"/>
        </w:rPr>
        <w:t xml:space="preserve">02418/INFOEM/IP/RR/2024 </w:t>
      </w:r>
      <w:r w:rsidRPr="008721F3">
        <w:rPr>
          <w:rFonts w:ascii="Palatino Linotype" w:eastAsia="Palatino Linotype" w:hAnsi="Palatino Linotype" w:cs="Palatino Linotype"/>
          <w:color w:val="000000"/>
        </w:rPr>
        <w:t xml:space="preserve">promovido por </w:t>
      </w:r>
      <w:r w:rsidRPr="008721F3">
        <w:rPr>
          <w:rFonts w:ascii="Palatino Linotype" w:eastAsia="Palatino Linotype" w:hAnsi="Palatino Linotype" w:cs="Palatino Linotype"/>
          <w:b/>
        </w:rPr>
        <w:t>un usuario que no registró nombre alguno</w:t>
      </w:r>
      <w:r w:rsidRPr="008721F3">
        <w:rPr>
          <w:rFonts w:ascii="Palatino Linotype" w:eastAsia="Palatino Linotype" w:hAnsi="Palatino Linotype" w:cs="Palatino Linotype"/>
          <w:color w:val="000000"/>
        </w:rPr>
        <w:t xml:space="preserve">, a través del Sistema de Acceso a la Información Mexiquense </w:t>
      </w:r>
      <w:r w:rsidRPr="008721F3">
        <w:rPr>
          <w:rFonts w:ascii="Palatino Linotype" w:eastAsia="Palatino Linotype" w:hAnsi="Palatino Linotype" w:cs="Palatino Linotype"/>
          <w:b/>
          <w:color w:val="000000"/>
        </w:rPr>
        <w:t>(SAIMEX),</w:t>
      </w:r>
      <w:r w:rsidRPr="008721F3">
        <w:rPr>
          <w:rFonts w:ascii="Palatino Linotype" w:eastAsia="Palatino Linotype" w:hAnsi="Palatino Linotype" w:cs="Palatino Linotype"/>
          <w:color w:val="000000"/>
        </w:rPr>
        <w:t xml:space="preserve"> a quien en lo sucesivo se le identificará como </w:t>
      </w:r>
      <w:r w:rsidRPr="008721F3">
        <w:rPr>
          <w:rFonts w:ascii="Palatino Linotype" w:eastAsia="Palatino Linotype" w:hAnsi="Palatino Linotype" w:cs="Palatino Linotype"/>
          <w:b/>
          <w:color w:val="000000"/>
        </w:rPr>
        <w:t>EL RECURRENTE</w:t>
      </w:r>
      <w:r w:rsidRPr="008721F3">
        <w:rPr>
          <w:rFonts w:ascii="Palatino Linotype" w:eastAsia="Palatino Linotype" w:hAnsi="Palatino Linotype" w:cs="Palatino Linotype"/>
          <w:color w:val="000000"/>
        </w:rPr>
        <w:t xml:space="preserve">, en contra de la respuesta del </w:t>
      </w:r>
      <w:r w:rsidRPr="008721F3">
        <w:rPr>
          <w:rFonts w:ascii="Palatino Linotype" w:eastAsia="Palatino Linotype" w:hAnsi="Palatino Linotype" w:cs="Palatino Linotype"/>
          <w:b/>
          <w:color w:val="000000"/>
        </w:rPr>
        <w:t>Ayuntamiento de Tlalnepantla de Baz</w:t>
      </w:r>
      <w:r w:rsidRPr="008721F3">
        <w:rPr>
          <w:rFonts w:ascii="Palatino Linotype" w:eastAsia="Palatino Linotype" w:hAnsi="Palatino Linotype" w:cs="Palatino Linotype"/>
          <w:color w:val="000000"/>
        </w:rPr>
        <w:t xml:space="preserve">, en </w:t>
      </w:r>
      <w:r w:rsidRPr="008721F3">
        <w:rPr>
          <w:rFonts w:ascii="Palatino Linotype" w:eastAsia="Palatino Linotype" w:hAnsi="Palatino Linotype" w:cs="Palatino Linotype"/>
        </w:rPr>
        <w:t>adelante</w:t>
      </w:r>
      <w:r w:rsidRPr="008721F3">
        <w:rPr>
          <w:rFonts w:ascii="Palatino Linotype" w:eastAsia="Palatino Linotype" w:hAnsi="Palatino Linotype" w:cs="Palatino Linotype"/>
          <w:color w:val="000000"/>
        </w:rPr>
        <w:t xml:space="preserve"> </w:t>
      </w:r>
      <w:r w:rsidRPr="008721F3">
        <w:rPr>
          <w:rFonts w:ascii="Palatino Linotype" w:eastAsia="Palatino Linotype" w:hAnsi="Palatino Linotype" w:cs="Palatino Linotype"/>
          <w:b/>
          <w:color w:val="000000"/>
        </w:rPr>
        <w:t>EL SUJETO OBLIGADO</w:t>
      </w:r>
      <w:r w:rsidRPr="008721F3">
        <w:rPr>
          <w:rFonts w:ascii="Palatino Linotype" w:eastAsia="Palatino Linotype" w:hAnsi="Palatino Linotype" w:cs="Palatino Linotype"/>
          <w:color w:val="000000"/>
        </w:rPr>
        <w:t>, se procede a dictar la presente resolución, con base en los siguientes:</w:t>
      </w:r>
    </w:p>
    <w:p w:rsidR="00925CFF" w:rsidRPr="008721F3" w:rsidRDefault="00925CFF">
      <w:pPr>
        <w:pBdr>
          <w:top w:val="nil"/>
          <w:left w:val="nil"/>
          <w:bottom w:val="nil"/>
          <w:right w:val="nil"/>
          <w:between w:val="nil"/>
        </w:pBdr>
        <w:spacing w:line="360" w:lineRule="auto"/>
        <w:ind w:left="-566" w:right="-1417"/>
        <w:jc w:val="both"/>
        <w:rPr>
          <w:rFonts w:ascii="Palatino Linotype" w:eastAsia="Palatino Linotype" w:hAnsi="Palatino Linotype" w:cs="Palatino Linotype"/>
          <w:color w:val="000000"/>
        </w:rPr>
      </w:pPr>
    </w:p>
    <w:p w:rsidR="00925CFF" w:rsidRPr="008721F3" w:rsidRDefault="002A18F9">
      <w:pPr>
        <w:pBdr>
          <w:top w:val="nil"/>
          <w:left w:val="nil"/>
          <w:bottom w:val="nil"/>
          <w:right w:val="nil"/>
          <w:between w:val="nil"/>
        </w:pBdr>
        <w:spacing w:line="360" w:lineRule="auto"/>
        <w:ind w:left="-566" w:right="-1417"/>
        <w:jc w:val="center"/>
        <w:rPr>
          <w:rFonts w:ascii="Palatino Linotype" w:eastAsia="Palatino Linotype" w:hAnsi="Palatino Linotype" w:cs="Palatino Linotype"/>
          <w:b/>
          <w:color w:val="000000"/>
        </w:rPr>
      </w:pPr>
      <w:r w:rsidRPr="008721F3">
        <w:rPr>
          <w:rFonts w:ascii="Palatino Linotype" w:eastAsia="Palatino Linotype" w:hAnsi="Palatino Linotype" w:cs="Palatino Linotype"/>
          <w:b/>
          <w:color w:val="000000"/>
        </w:rPr>
        <w:t>A N T E C E D E N T E S</w:t>
      </w:r>
    </w:p>
    <w:p w:rsidR="00925CFF" w:rsidRPr="008721F3" w:rsidRDefault="00925CFF">
      <w:pPr>
        <w:spacing w:line="360" w:lineRule="auto"/>
        <w:ind w:left="-566" w:right="-1417"/>
        <w:rPr>
          <w:rFonts w:ascii="Palatino Linotype" w:eastAsia="Palatino Linotype" w:hAnsi="Palatino Linotype" w:cs="Palatino Linotype"/>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El </w:t>
      </w:r>
      <w:r w:rsidRPr="008721F3">
        <w:rPr>
          <w:rFonts w:ascii="Palatino Linotype" w:eastAsia="Palatino Linotype" w:hAnsi="Palatino Linotype" w:cs="Palatino Linotype"/>
          <w:b/>
          <w:color w:val="000000"/>
        </w:rPr>
        <w:t xml:space="preserve">diecinueve de marzo de dos mil veinticuatro, </w:t>
      </w:r>
      <w:r w:rsidRPr="008721F3">
        <w:rPr>
          <w:rFonts w:ascii="Palatino Linotype" w:eastAsia="Palatino Linotype" w:hAnsi="Palatino Linotype" w:cs="Palatino Linotype"/>
          <w:color w:val="000000"/>
        </w:rPr>
        <w:t xml:space="preserve">se presentó ante el </w:t>
      </w:r>
      <w:r w:rsidRPr="008721F3">
        <w:rPr>
          <w:rFonts w:ascii="Palatino Linotype" w:eastAsia="Palatino Linotype" w:hAnsi="Palatino Linotype" w:cs="Palatino Linotype"/>
          <w:b/>
          <w:color w:val="000000"/>
        </w:rPr>
        <w:t>SUJETO OBLIGADO</w:t>
      </w:r>
      <w:r w:rsidRPr="008721F3">
        <w:rPr>
          <w:rFonts w:ascii="Palatino Linotype" w:eastAsia="Palatino Linotype" w:hAnsi="Palatino Linotype" w:cs="Palatino Linotype"/>
          <w:color w:val="000000"/>
        </w:rPr>
        <w:t xml:space="preserve"> vía </w:t>
      </w:r>
      <w:r w:rsidRPr="008721F3">
        <w:rPr>
          <w:rFonts w:ascii="Palatino Linotype" w:eastAsia="Palatino Linotype" w:hAnsi="Palatino Linotype" w:cs="Palatino Linotype"/>
          <w:b/>
          <w:color w:val="000000"/>
        </w:rPr>
        <w:t>SAIMEX</w:t>
      </w:r>
      <w:r w:rsidRPr="008721F3">
        <w:rPr>
          <w:rFonts w:ascii="Palatino Linotype" w:eastAsia="Palatino Linotype" w:hAnsi="Palatino Linotype" w:cs="Palatino Linotype"/>
          <w:color w:val="000000"/>
        </w:rPr>
        <w:t xml:space="preserve">, la solicitud de información pública registrada con el número </w:t>
      </w:r>
      <w:r w:rsidRPr="008721F3">
        <w:rPr>
          <w:rFonts w:ascii="Palatino Linotype" w:eastAsia="Palatino Linotype" w:hAnsi="Palatino Linotype" w:cs="Palatino Linotype"/>
          <w:b/>
          <w:color w:val="000000"/>
        </w:rPr>
        <w:t xml:space="preserve">00271/TLALNEPA/IP/2024, </w:t>
      </w:r>
      <w:r w:rsidRPr="008721F3">
        <w:rPr>
          <w:rFonts w:ascii="Palatino Linotype" w:eastAsia="Palatino Linotype" w:hAnsi="Palatino Linotype" w:cs="Palatino Linotype"/>
        </w:rPr>
        <w:t xml:space="preserve">en la que </w:t>
      </w:r>
      <w:r w:rsidRPr="008721F3">
        <w:rPr>
          <w:rFonts w:ascii="Palatino Linotype" w:eastAsia="Palatino Linotype" w:hAnsi="Palatino Linotype" w:cs="Palatino Linotype"/>
          <w:color w:val="000000"/>
        </w:rPr>
        <w:t>se solicitó la siguiente información:</w:t>
      </w:r>
    </w:p>
    <w:p w:rsidR="00925CFF" w:rsidRPr="008721F3" w:rsidRDefault="00925CFF">
      <w:pPr>
        <w:ind w:left="-566" w:right="-1417"/>
        <w:jc w:val="both"/>
        <w:rPr>
          <w:rFonts w:ascii="Palatino Linotype" w:eastAsia="Palatino Linotype" w:hAnsi="Palatino Linotype" w:cs="Palatino Linotype"/>
          <w:i/>
        </w:rPr>
      </w:pPr>
    </w:p>
    <w:p w:rsidR="00925CFF" w:rsidRPr="008721F3" w:rsidRDefault="002A18F9">
      <w:pPr>
        <w:pBdr>
          <w:top w:val="nil"/>
          <w:left w:val="nil"/>
          <w:bottom w:val="nil"/>
          <w:right w:val="nil"/>
          <w:between w:val="nil"/>
        </w:pBdr>
        <w:ind w:left="-566" w:right="-1417"/>
        <w:jc w:val="both"/>
        <w:rPr>
          <w:rFonts w:ascii="Palatino Linotype" w:eastAsia="Palatino Linotype" w:hAnsi="Palatino Linotype" w:cs="Palatino Linotype"/>
          <w:i/>
          <w:color w:val="000000"/>
        </w:rPr>
      </w:pPr>
      <w:r w:rsidRPr="008721F3">
        <w:rPr>
          <w:rFonts w:ascii="Palatino Linotype" w:eastAsia="Palatino Linotype" w:hAnsi="Palatino Linotype" w:cs="Palatino Linotype"/>
          <w:i/>
          <w:color w:val="000000"/>
        </w:rPr>
        <w:t>“BUENAS TARDES, LE PIDO AMABLEMENTE ME PROPORCIONES TODOS LOS DOCUMENTOS RELATIVOS AL INFORME DE GOBIERNE DE NUESTRO PRESIDENTE TONY, REQUISICIONES, SUFICIENCIA PRESUPUESTAL, NOMBRE DEL PROVEEDOR DE LAS PANTALLAS, NOMBRE DEL PROVEEDOR DE LAS SILLAS Y MESAS, NOMBRE DEL PROVEEDOR DE LA COMIDA QUE DIERON Y NOMBRE DEL PROVEEDOR DE QUIEN ELABORÓ TODO LO RELATIVO AL INFORME DE GOBIERNO DEL PRESIFENTE QUE SE HIZO EN DICIEMBRE.”</w:t>
      </w:r>
    </w:p>
    <w:p w:rsidR="00925CFF" w:rsidRPr="008721F3" w:rsidRDefault="00925CFF">
      <w:pPr>
        <w:pBdr>
          <w:top w:val="nil"/>
          <w:left w:val="nil"/>
          <w:bottom w:val="nil"/>
          <w:right w:val="nil"/>
          <w:between w:val="nil"/>
        </w:pBdr>
        <w:spacing w:line="360" w:lineRule="auto"/>
        <w:ind w:left="-566" w:right="-1417"/>
        <w:jc w:val="both"/>
        <w:rPr>
          <w:rFonts w:ascii="Palatino Linotype" w:eastAsia="Palatino Linotype" w:hAnsi="Palatino Linotype" w:cs="Palatino Linotype"/>
          <w:i/>
        </w:rPr>
      </w:pPr>
    </w:p>
    <w:p w:rsidR="00925CFF" w:rsidRPr="008721F3" w:rsidRDefault="002A18F9">
      <w:pPr>
        <w:numPr>
          <w:ilvl w:val="0"/>
          <w:numId w:val="1"/>
        </w:numPr>
        <w:pBdr>
          <w:top w:val="nil"/>
          <w:left w:val="nil"/>
          <w:bottom w:val="nil"/>
          <w:right w:val="nil"/>
          <w:between w:val="nil"/>
        </w:pBdr>
        <w:spacing w:line="360" w:lineRule="auto"/>
        <w:ind w:left="-566" w:right="-1417" w:firstLine="0"/>
        <w:jc w:val="both"/>
        <w:rPr>
          <w:rFonts w:ascii="Palatino Linotype" w:eastAsia="Palatino Linotype" w:hAnsi="Palatino Linotype" w:cs="Palatino Linotype"/>
          <w:color w:val="000000"/>
        </w:rPr>
      </w:pPr>
      <w:r w:rsidRPr="008721F3">
        <w:rPr>
          <w:rFonts w:ascii="Palatino Linotype" w:eastAsia="Palatino Linotype" w:hAnsi="Palatino Linotype" w:cs="Palatino Linotype"/>
          <w:b/>
          <w:color w:val="000000"/>
        </w:rPr>
        <w:lastRenderedPageBreak/>
        <w:t>Modalidad de entrega</w:t>
      </w:r>
      <w:r w:rsidRPr="008721F3">
        <w:rPr>
          <w:rFonts w:ascii="Palatino Linotype" w:eastAsia="Palatino Linotype" w:hAnsi="Palatino Linotype" w:cs="Palatino Linotype"/>
          <w:color w:val="000000"/>
        </w:rPr>
        <w:t>: Sistema de Acceso a la Información</w:t>
      </w:r>
    </w:p>
    <w:p w:rsidR="00925CFF" w:rsidRPr="008721F3" w:rsidRDefault="00925CFF">
      <w:pPr>
        <w:pBdr>
          <w:top w:val="nil"/>
          <w:left w:val="nil"/>
          <w:bottom w:val="nil"/>
          <w:right w:val="nil"/>
          <w:between w:val="nil"/>
        </w:pBdr>
        <w:spacing w:line="360" w:lineRule="auto"/>
        <w:ind w:left="-566" w:right="-1417"/>
        <w:jc w:val="both"/>
        <w:rPr>
          <w:rFonts w:ascii="Palatino Linotype" w:eastAsia="Palatino Linotype" w:hAnsi="Palatino Linotype" w:cs="Palatino Linotype"/>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Posteriormente, el </w:t>
      </w:r>
      <w:r w:rsidRPr="008721F3">
        <w:rPr>
          <w:rFonts w:ascii="Palatino Linotype" w:eastAsia="Palatino Linotype" w:hAnsi="Palatino Linotype" w:cs="Palatino Linotype"/>
          <w:b/>
          <w:color w:val="000000"/>
        </w:rPr>
        <w:t xml:space="preserve">doce de abril de dos mil veinticuatro </w:t>
      </w:r>
      <w:r w:rsidRPr="008721F3">
        <w:rPr>
          <w:rFonts w:ascii="Palatino Linotype" w:eastAsia="Palatino Linotype" w:hAnsi="Palatino Linotype" w:cs="Palatino Linotype"/>
          <w:color w:val="000000"/>
        </w:rPr>
        <w:t xml:space="preserve">el Titular de la Unidad de Transparencia </w:t>
      </w:r>
      <w:r w:rsidRPr="008721F3">
        <w:rPr>
          <w:rFonts w:ascii="Palatino Linotype" w:eastAsia="Palatino Linotype" w:hAnsi="Palatino Linotype" w:cs="Palatino Linotype"/>
        </w:rPr>
        <w:t>giró</w:t>
      </w:r>
      <w:r w:rsidRPr="008721F3">
        <w:rPr>
          <w:rFonts w:ascii="Palatino Linotype" w:eastAsia="Palatino Linotype" w:hAnsi="Palatino Linotype" w:cs="Palatino Linotype"/>
          <w:color w:val="000000"/>
        </w:rPr>
        <w:t xml:space="preserve"> los requerimientos de información, para que fuera atendida la solicitud de información </w:t>
      </w:r>
      <w:r w:rsidRPr="008721F3">
        <w:rPr>
          <w:rFonts w:ascii="Palatino Linotype" w:eastAsia="Palatino Linotype" w:hAnsi="Palatino Linotype" w:cs="Palatino Linotype"/>
          <w:b/>
          <w:color w:val="000000"/>
        </w:rPr>
        <w:t>00271/TLALNEPA/IP/2024</w:t>
      </w:r>
      <w:r w:rsidRPr="008721F3">
        <w:rPr>
          <w:rFonts w:ascii="Palatino Linotype" w:eastAsia="Palatino Linotype" w:hAnsi="Palatino Linotype" w:cs="Palatino Linotype"/>
          <w:color w:val="000000"/>
        </w:rPr>
        <w:t xml:space="preserve">. </w:t>
      </w:r>
    </w:p>
    <w:p w:rsidR="00925CFF" w:rsidRPr="008721F3" w:rsidRDefault="00925CFF">
      <w:pPr>
        <w:pBdr>
          <w:top w:val="nil"/>
          <w:left w:val="nil"/>
          <w:bottom w:val="nil"/>
          <w:right w:val="nil"/>
          <w:between w:val="nil"/>
        </w:pBdr>
        <w:spacing w:line="360" w:lineRule="auto"/>
        <w:ind w:left="-566" w:right="-1417"/>
        <w:jc w:val="both"/>
        <w:rPr>
          <w:rFonts w:ascii="Palatino Linotype" w:eastAsia="Palatino Linotype" w:hAnsi="Palatino Linotype" w:cs="Palatino Linotype"/>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En fecha </w:t>
      </w:r>
      <w:r w:rsidRPr="008721F3">
        <w:rPr>
          <w:rFonts w:ascii="Palatino Linotype" w:eastAsia="Palatino Linotype" w:hAnsi="Palatino Linotype" w:cs="Palatino Linotype"/>
          <w:b/>
          <w:color w:val="000000"/>
        </w:rPr>
        <w:t>doce de abril de dos mil veinticuatro,</w:t>
      </w:r>
      <w:r w:rsidRPr="008721F3">
        <w:rPr>
          <w:rFonts w:ascii="Palatino Linotype" w:eastAsia="Palatino Linotype" w:hAnsi="Palatino Linotype" w:cs="Palatino Linotype"/>
          <w:color w:val="000000"/>
        </w:rPr>
        <w:t xml:space="preserve"> el </w:t>
      </w:r>
      <w:r w:rsidRPr="008721F3">
        <w:rPr>
          <w:rFonts w:ascii="Palatino Linotype" w:eastAsia="Palatino Linotype" w:hAnsi="Palatino Linotype" w:cs="Palatino Linotype"/>
          <w:b/>
          <w:color w:val="000000"/>
        </w:rPr>
        <w:t xml:space="preserve">SUJETO OBLIGADO </w:t>
      </w:r>
      <w:r w:rsidRPr="008721F3">
        <w:rPr>
          <w:rFonts w:ascii="Palatino Linotype" w:eastAsia="Palatino Linotype" w:hAnsi="Palatino Linotype" w:cs="Palatino Linotype"/>
          <w:color w:val="000000"/>
        </w:rPr>
        <w:t xml:space="preserve">dio respuesta a la solicitud de información mediante un archivo zip, cuyo contenido grosso modo es el siguiente. </w:t>
      </w:r>
    </w:p>
    <w:p w:rsidR="00925CFF" w:rsidRPr="008721F3" w:rsidRDefault="00925CFF">
      <w:pPr>
        <w:pBdr>
          <w:top w:val="nil"/>
          <w:left w:val="nil"/>
          <w:bottom w:val="nil"/>
          <w:right w:val="nil"/>
          <w:between w:val="nil"/>
        </w:pBdr>
        <w:spacing w:line="360" w:lineRule="auto"/>
        <w:ind w:left="-566" w:right="-1417"/>
        <w:jc w:val="both"/>
        <w:rPr>
          <w:color w:val="000000"/>
        </w:rPr>
      </w:pPr>
    </w:p>
    <w:p w:rsidR="00925CFF" w:rsidRPr="008721F3" w:rsidRDefault="002A18F9">
      <w:pPr>
        <w:ind w:left="141" w:right="-85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RESPUESTA SAIMEX 00271.zip: </w:t>
      </w:r>
    </w:p>
    <w:p w:rsidR="00925CFF" w:rsidRPr="008721F3" w:rsidRDefault="002A18F9">
      <w:pPr>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b/>
          <w:i/>
          <w:sz w:val="22"/>
          <w:szCs w:val="22"/>
        </w:rPr>
        <w:t xml:space="preserve">RESPUESTA SAIMEX 00271\ACUERDO 11 DA 01 EXT 2024.pdf: </w:t>
      </w:r>
      <w:r w:rsidRPr="008721F3">
        <w:rPr>
          <w:rFonts w:ascii="Palatino Linotype" w:eastAsia="Palatino Linotype" w:hAnsi="Palatino Linotype" w:cs="Palatino Linotype"/>
          <w:i/>
          <w:sz w:val="22"/>
          <w:szCs w:val="22"/>
        </w:rPr>
        <w:t xml:space="preserve">Acuerdo de reserva de información de la Primera Sesión Extraordinaria, mediante la cual en el punto número tres, se clasifica la información como reservada correspondiente al Acta de Apertura, dictamen, y contrato correspondiente a los procedimientos de adquisiciones, prestación de servicios y arrendamientos correspondientes al año 2023 por el periodo de un año o hasta que dejen de subsistir la causas que dieron a a la clasificación, las cuales son por la información del ejercicio fiscal dos mil veintitrés está siendo fiscalizada por el Órgano Superior de Fiscalización del Estado de México, por lo que refieren que proporcionar la información puede obstruir las actividades de fiscalización, verificación, inspección y auditoría en curso. </w:t>
      </w:r>
    </w:p>
    <w:p w:rsidR="00925CFF" w:rsidRPr="008721F3" w:rsidRDefault="002A18F9">
      <w:pPr>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b/>
          <w:i/>
          <w:sz w:val="22"/>
          <w:szCs w:val="22"/>
        </w:rPr>
        <w:t xml:space="preserve">DA_1164_2024 00271_TLALNEPA_IP_2024_001.pdf: </w:t>
      </w:r>
      <w:r w:rsidRPr="008721F3">
        <w:rPr>
          <w:rFonts w:ascii="Palatino Linotype" w:eastAsia="Palatino Linotype" w:hAnsi="Palatino Linotype" w:cs="Palatino Linotype"/>
          <w:i/>
          <w:sz w:val="22"/>
          <w:szCs w:val="22"/>
        </w:rPr>
        <w:t xml:space="preserve">oficio del Director de Administración, mediante el cual informa que todos los documentos relativos al informe de gobierno forman parte integral de los procedimientos de adquisiciones y todo tipo de inversión física realizada, mismos que se encuentran en proceso de auditoría número AIF-058, ante el Órgano Superior de Fiscalización del Estado de México </w:t>
      </w:r>
    </w:p>
    <w:p w:rsidR="00925CFF" w:rsidRPr="008721F3" w:rsidRDefault="00925CFF">
      <w:pPr>
        <w:pBdr>
          <w:top w:val="nil"/>
          <w:left w:val="nil"/>
          <w:bottom w:val="nil"/>
          <w:right w:val="nil"/>
          <w:between w:val="nil"/>
        </w:pBdr>
        <w:ind w:left="-566" w:right="-1417"/>
        <w:jc w:val="both"/>
        <w:rPr>
          <w:rFonts w:ascii="Palatino Linotype" w:eastAsia="Palatino Linotype" w:hAnsi="Palatino Linotype" w:cs="Palatino Linotype"/>
          <w:i/>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El </w:t>
      </w:r>
      <w:r w:rsidRPr="008721F3">
        <w:rPr>
          <w:rFonts w:ascii="Palatino Linotype" w:eastAsia="Palatino Linotype" w:hAnsi="Palatino Linotype" w:cs="Palatino Linotype"/>
          <w:b/>
          <w:color w:val="000000"/>
        </w:rPr>
        <w:t>uno de mayo de dos mil veinticuatro</w:t>
      </w:r>
      <w:r w:rsidRPr="008721F3">
        <w:rPr>
          <w:rFonts w:ascii="Palatino Linotype" w:eastAsia="Palatino Linotype" w:hAnsi="Palatino Linotype" w:cs="Palatino Linotype"/>
          <w:color w:val="000000"/>
        </w:rPr>
        <w:t xml:space="preserve">, el solicitante interpuso recurso de revisión en contra de la respuestas emitida por el </w:t>
      </w:r>
      <w:r w:rsidRPr="008721F3">
        <w:rPr>
          <w:rFonts w:ascii="Palatino Linotype" w:eastAsia="Palatino Linotype" w:hAnsi="Palatino Linotype" w:cs="Palatino Linotype"/>
          <w:b/>
          <w:color w:val="000000"/>
        </w:rPr>
        <w:t>SUJETO OBLIGADO</w:t>
      </w:r>
      <w:r w:rsidRPr="008721F3">
        <w:rPr>
          <w:rFonts w:ascii="Palatino Linotype" w:eastAsia="Palatino Linotype" w:hAnsi="Palatino Linotype" w:cs="Palatino Linotype"/>
          <w:color w:val="000000"/>
        </w:rPr>
        <w:t>, señalando las siguientes razones o motivos de inconformidad:</w:t>
      </w:r>
    </w:p>
    <w:p w:rsidR="00925CFF" w:rsidRPr="008721F3" w:rsidRDefault="00925CFF">
      <w:pPr>
        <w:pBdr>
          <w:top w:val="nil"/>
          <w:left w:val="nil"/>
          <w:bottom w:val="nil"/>
          <w:right w:val="nil"/>
          <w:between w:val="nil"/>
        </w:pBdr>
        <w:spacing w:line="360" w:lineRule="auto"/>
        <w:ind w:left="-566" w:right="-1417"/>
        <w:jc w:val="both"/>
        <w:rPr>
          <w:color w:val="000000"/>
        </w:rPr>
      </w:pPr>
    </w:p>
    <w:p w:rsidR="00925CFF" w:rsidRPr="008721F3" w:rsidRDefault="002A18F9">
      <w:pPr>
        <w:numPr>
          <w:ilvl w:val="0"/>
          <w:numId w:val="6"/>
        </w:numPr>
        <w:pBdr>
          <w:top w:val="nil"/>
          <w:left w:val="nil"/>
          <w:bottom w:val="nil"/>
          <w:right w:val="nil"/>
          <w:between w:val="nil"/>
        </w:pBdr>
        <w:ind w:left="283" w:right="-850" w:firstLine="0"/>
        <w:jc w:val="both"/>
        <w:rPr>
          <w:rFonts w:ascii="Palatino Linotype" w:eastAsia="Palatino Linotype" w:hAnsi="Palatino Linotype" w:cs="Palatino Linotype"/>
          <w:color w:val="000000"/>
          <w:sz w:val="22"/>
          <w:szCs w:val="22"/>
        </w:rPr>
      </w:pPr>
      <w:bookmarkStart w:id="0" w:name="_heading=h.1fob9te" w:colFirst="0" w:colLast="0"/>
      <w:bookmarkEnd w:id="0"/>
      <w:r w:rsidRPr="008721F3">
        <w:rPr>
          <w:rFonts w:ascii="Palatino Linotype" w:eastAsia="Palatino Linotype" w:hAnsi="Palatino Linotype" w:cs="Palatino Linotype"/>
          <w:b/>
          <w:color w:val="000000"/>
          <w:sz w:val="22"/>
          <w:szCs w:val="22"/>
        </w:rPr>
        <w:lastRenderedPageBreak/>
        <w:t xml:space="preserve">Acto impugnado: </w:t>
      </w:r>
      <w:r w:rsidRPr="008721F3">
        <w:rPr>
          <w:rFonts w:ascii="Palatino Linotype" w:eastAsia="Palatino Linotype" w:hAnsi="Palatino Linotype" w:cs="Palatino Linotype"/>
          <w:i/>
          <w:color w:val="000000"/>
          <w:sz w:val="22"/>
          <w:szCs w:val="22"/>
        </w:rPr>
        <w:t>“que no me quieren dar la información, que les pasa ? Como el Instituto de Trasparencia permite respuestas absurdaS”</w:t>
      </w:r>
    </w:p>
    <w:p w:rsidR="00925CFF" w:rsidRPr="008721F3" w:rsidRDefault="00925CFF">
      <w:pPr>
        <w:pBdr>
          <w:top w:val="nil"/>
          <w:left w:val="nil"/>
          <w:bottom w:val="nil"/>
          <w:right w:val="nil"/>
          <w:between w:val="nil"/>
        </w:pBdr>
        <w:ind w:left="283" w:right="-850"/>
        <w:jc w:val="both"/>
        <w:rPr>
          <w:rFonts w:ascii="Palatino Linotype" w:eastAsia="Palatino Linotype" w:hAnsi="Palatino Linotype" w:cs="Palatino Linotype"/>
          <w:color w:val="000000"/>
          <w:sz w:val="22"/>
          <w:szCs w:val="22"/>
        </w:rPr>
      </w:pPr>
    </w:p>
    <w:p w:rsidR="00925CFF" w:rsidRPr="008721F3" w:rsidRDefault="002A18F9">
      <w:pPr>
        <w:numPr>
          <w:ilvl w:val="0"/>
          <w:numId w:val="6"/>
        </w:numPr>
        <w:pBdr>
          <w:top w:val="nil"/>
          <w:left w:val="nil"/>
          <w:bottom w:val="nil"/>
          <w:right w:val="nil"/>
          <w:between w:val="nil"/>
        </w:pBdr>
        <w:ind w:left="283" w:right="-850" w:firstLine="0"/>
        <w:jc w:val="both"/>
        <w:rPr>
          <w:rFonts w:ascii="Palatino Linotype" w:eastAsia="Palatino Linotype" w:hAnsi="Palatino Linotype" w:cs="Palatino Linotype"/>
          <w:color w:val="000000"/>
          <w:sz w:val="22"/>
          <w:szCs w:val="22"/>
        </w:rPr>
      </w:pPr>
      <w:bookmarkStart w:id="1" w:name="_heading=h.3znysh7" w:colFirst="0" w:colLast="0"/>
      <w:bookmarkEnd w:id="1"/>
      <w:r w:rsidRPr="008721F3">
        <w:rPr>
          <w:rFonts w:ascii="Palatino Linotype" w:eastAsia="Palatino Linotype" w:hAnsi="Palatino Linotype" w:cs="Palatino Linotype"/>
          <w:b/>
          <w:color w:val="000000"/>
          <w:sz w:val="22"/>
          <w:szCs w:val="22"/>
        </w:rPr>
        <w:t xml:space="preserve">Razones o Motivos de inconformidad: </w:t>
      </w:r>
      <w:r w:rsidRPr="008721F3">
        <w:rPr>
          <w:rFonts w:ascii="Palatino Linotype" w:eastAsia="Palatino Linotype" w:hAnsi="Palatino Linotype" w:cs="Palatino Linotype"/>
          <w:i/>
          <w:color w:val="000000"/>
          <w:sz w:val="22"/>
          <w:szCs w:val="22"/>
        </w:rPr>
        <w:t>“El Instituto de Transparencia no esta haciendo en lo absoluto su trabajo, como puede ser suficiente que digan que esta en una auditoria que es por supuesto inventada por su propia contraloría, todo por no dar la información. PERO SOBRE TODO ANEXAN A MI RESPUESTA QUE CORRESPONDE A UN ASUNTO DIFERENTE DE NUMERO DIFERENTE, UN ACUERDO QUE DICE QUE EL NÚMERO ES 262 Y MI SOLICITUD NO ES ESA.”</w:t>
      </w:r>
    </w:p>
    <w:p w:rsidR="00925CFF" w:rsidRPr="008721F3" w:rsidRDefault="00925CFF">
      <w:pPr>
        <w:ind w:left="-566" w:right="-1417"/>
        <w:jc w:val="both"/>
        <w:rPr>
          <w:rFonts w:ascii="Palatino Linotype" w:eastAsia="Palatino Linotype" w:hAnsi="Palatino Linotype" w:cs="Palatino Linotype"/>
          <w:b/>
          <w:i/>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Consecutivamente</w:t>
      </w:r>
      <w:r w:rsidRPr="008721F3">
        <w:rPr>
          <w:rFonts w:ascii="Palatino Linotype" w:eastAsia="Palatino Linotype" w:hAnsi="Palatino Linotype" w:cs="Palatino Linotype"/>
          <w:i/>
          <w:color w:val="000000"/>
        </w:rPr>
        <w:t xml:space="preserve">, </w:t>
      </w:r>
      <w:r w:rsidRPr="008721F3">
        <w:rPr>
          <w:rFonts w:ascii="Palatino Linotype" w:eastAsia="Palatino Linotype" w:hAnsi="Palatino Linotype" w:cs="Palatino Linotype"/>
          <w:color w:val="000000"/>
        </w:rPr>
        <w:t xml:space="preserve">con fundamento en lo dispuesto por el artículo 185 fracción I de la Ley de Transparencia y Acceso a la Información Pública del Estado de México y Municipios, el recurso fue turnado a la ponencia de la </w:t>
      </w:r>
      <w:r w:rsidRPr="008721F3">
        <w:rPr>
          <w:rFonts w:ascii="Palatino Linotype" w:eastAsia="Palatino Linotype" w:hAnsi="Palatino Linotype" w:cs="Palatino Linotype"/>
          <w:b/>
          <w:color w:val="000000"/>
        </w:rPr>
        <w:t>Comisionada</w:t>
      </w:r>
      <w:r w:rsidRPr="008721F3">
        <w:rPr>
          <w:rFonts w:ascii="Palatino Linotype" w:eastAsia="Palatino Linotype" w:hAnsi="Palatino Linotype" w:cs="Palatino Linotype"/>
          <w:color w:val="000000"/>
        </w:rPr>
        <w:t xml:space="preserve"> </w:t>
      </w:r>
      <w:r w:rsidRPr="008721F3">
        <w:rPr>
          <w:rFonts w:ascii="Palatino Linotype" w:eastAsia="Palatino Linotype" w:hAnsi="Palatino Linotype" w:cs="Palatino Linotype"/>
          <w:b/>
          <w:color w:val="000000"/>
        </w:rPr>
        <w:t>María del Rosario Mejía Ayala</w:t>
      </w:r>
      <w:r w:rsidRPr="008721F3">
        <w:rPr>
          <w:rFonts w:ascii="Palatino Linotype" w:eastAsia="Palatino Linotype" w:hAnsi="Palatino Linotype" w:cs="Palatino Linotype"/>
          <w:color w:val="000000"/>
        </w:rPr>
        <w:t>,</w:t>
      </w:r>
      <w:r w:rsidRPr="008721F3">
        <w:rPr>
          <w:rFonts w:ascii="Palatino Linotype" w:eastAsia="Palatino Linotype" w:hAnsi="Palatino Linotype" w:cs="Palatino Linotype"/>
          <w:b/>
          <w:color w:val="000000"/>
        </w:rPr>
        <w:t xml:space="preserve"> </w:t>
      </w:r>
      <w:r w:rsidRPr="008721F3">
        <w:rPr>
          <w:rFonts w:ascii="Palatino Linotype" w:eastAsia="Palatino Linotype" w:hAnsi="Palatino Linotype" w:cs="Palatino Linotype"/>
        </w:rPr>
        <w:t>para</w:t>
      </w:r>
      <w:r w:rsidRPr="008721F3">
        <w:rPr>
          <w:rFonts w:ascii="Palatino Linotype" w:eastAsia="Palatino Linotype" w:hAnsi="Palatino Linotype" w:cs="Palatino Linotype"/>
          <w:color w:val="000000"/>
        </w:rPr>
        <w:t xml:space="preserve"> su análisis.</w:t>
      </w:r>
    </w:p>
    <w:p w:rsidR="00925CFF" w:rsidRPr="008721F3" w:rsidRDefault="00925CFF">
      <w:pPr>
        <w:pBdr>
          <w:top w:val="nil"/>
          <w:left w:val="nil"/>
          <w:bottom w:val="nil"/>
          <w:right w:val="nil"/>
          <w:between w:val="nil"/>
        </w:pBdr>
        <w:spacing w:line="360" w:lineRule="auto"/>
        <w:ind w:left="-566" w:right="-1417"/>
        <w:jc w:val="both"/>
        <w:rPr>
          <w:rFonts w:ascii="Palatino Linotype" w:eastAsia="Palatino Linotype" w:hAnsi="Palatino Linotype" w:cs="Palatino Linotype"/>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sidRPr="008721F3">
        <w:rPr>
          <w:rFonts w:ascii="Palatino Linotype" w:eastAsia="Palatino Linotype" w:hAnsi="Palatino Linotype" w:cs="Palatino Linotype"/>
          <w:b/>
          <w:color w:val="000000"/>
        </w:rPr>
        <w:t xml:space="preserve">acuerdo de admisión </w:t>
      </w:r>
      <w:r w:rsidRPr="008721F3">
        <w:rPr>
          <w:rFonts w:ascii="Palatino Linotype" w:eastAsia="Palatino Linotype" w:hAnsi="Palatino Linotype" w:cs="Palatino Linotype"/>
          <w:color w:val="000000"/>
        </w:rPr>
        <w:t xml:space="preserve">del </w:t>
      </w:r>
      <w:r w:rsidRPr="008721F3">
        <w:rPr>
          <w:rFonts w:ascii="Palatino Linotype" w:eastAsia="Palatino Linotype" w:hAnsi="Palatino Linotype" w:cs="Palatino Linotype"/>
          <w:b/>
          <w:color w:val="000000"/>
        </w:rPr>
        <w:t xml:space="preserve">diez de mayo   de dos mil veinticuatro, </w:t>
      </w:r>
      <w:r w:rsidRPr="008721F3">
        <w:rPr>
          <w:rFonts w:ascii="Palatino Linotype" w:eastAsia="Palatino Linotype" w:hAnsi="Palatino Linotype" w:cs="Palatino Linotype"/>
          <w:color w:val="000000"/>
        </w:rPr>
        <w:t xml:space="preserve">puso a disposición de las partes el expediente electrónico vía SAIMEX a efecto de que en un plazo máximo de siete días </w:t>
      </w:r>
      <w:r w:rsidRPr="008721F3">
        <w:rPr>
          <w:rFonts w:ascii="Palatino Linotype" w:eastAsia="Palatino Linotype" w:hAnsi="Palatino Linotype" w:cs="Palatino Linotype"/>
        </w:rPr>
        <w:t>manifestara</w:t>
      </w:r>
      <w:r w:rsidRPr="008721F3">
        <w:rPr>
          <w:rFonts w:ascii="Palatino Linotype" w:eastAsia="Palatino Linotype" w:hAnsi="Palatino Linotype" w:cs="Palatino Linotype"/>
          <w:color w:val="000000"/>
        </w:rPr>
        <w:t xml:space="preserve"> lo que a su derecho conviniera, </w:t>
      </w:r>
      <w:r w:rsidRPr="008721F3">
        <w:rPr>
          <w:rFonts w:ascii="Palatino Linotype" w:eastAsia="Palatino Linotype" w:hAnsi="Palatino Linotype" w:cs="Palatino Linotype"/>
        </w:rPr>
        <w:t>ofreciera</w:t>
      </w:r>
      <w:r w:rsidRPr="008721F3">
        <w:rPr>
          <w:rFonts w:ascii="Palatino Linotype" w:eastAsia="Palatino Linotype" w:hAnsi="Palatino Linotype" w:cs="Palatino Linotype"/>
          <w:color w:val="000000"/>
        </w:rPr>
        <w:t xml:space="preserve"> pruebas y alegatos según corresponda al caso concreto, de esta forma para que el </w:t>
      </w:r>
      <w:r w:rsidRPr="008721F3">
        <w:rPr>
          <w:rFonts w:ascii="Palatino Linotype" w:eastAsia="Palatino Linotype" w:hAnsi="Palatino Linotype" w:cs="Palatino Linotype"/>
          <w:b/>
          <w:color w:val="000000"/>
        </w:rPr>
        <w:t xml:space="preserve">SUJETO OBLIGADO </w:t>
      </w:r>
      <w:r w:rsidRPr="008721F3">
        <w:rPr>
          <w:rFonts w:ascii="Palatino Linotype" w:eastAsia="Palatino Linotype" w:hAnsi="Palatino Linotype" w:cs="Palatino Linotype"/>
        </w:rPr>
        <w:t>presentará</w:t>
      </w:r>
      <w:r w:rsidRPr="008721F3">
        <w:rPr>
          <w:rFonts w:ascii="Palatino Linotype" w:eastAsia="Palatino Linotype" w:hAnsi="Palatino Linotype" w:cs="Palatino Linotype"/>
          <w:color w:val="000000"/>
        </w:rPr>
        <w:t xml:space="preserve"> el Informe Justificado procedente.</w:t>
      </w:r>
    </w:p>
    <w:p w:rsidR="00925CFF" w:rsidRPr="008721F3" w:rsidRDefault="00925CFF">
      <w:pPr>
        <w:pBdr>
          <w:top w:val="nil"/>
          <w:left w:val="nil"/>
          <w:bottom w:val="nil"/>
          <w:right w:val="nil"/>
          <w:between w:val="nil"/>
        </w:pBdr>
        <w:ind w:left="-566" w:right="-1417"/>
        <w:rPr>
          <w:rFonts w:ascii="Palatino Linotype" w:eastAsia="Palatino Linotype" w:hAnsi="Palatino Linotype" w:cs="Palatino Linotype"/>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En esa línea, el </w:t>
      </w:r>
      <w:r w:rsidRPr="008721F3">
        <w:rPr>
          <w:rFonts w:ascii="Palatino Linotype" w:eastAsia="Palatino Linotype" w:hAnsi="Palatino Linotype" w:cs="Palatino Linotype"/>
          <w:b/>
          <w:color w:val="000000"/>
        </w:rPr>
        <w:t xml:space="preserve">catorce de mayo de dos mil veinticuatro, </w:t>
      </w:r>
      <w:r w:rsidRPr="008721F3">
        <w:rPr>
          <w:rFonts w:ascii="Palatino Linotype" w:eastAsia="Palatino Linotype" w:hAnsi="Palatino Linotype" w:cs="Palatino Linotype"/>
          <w:color w:val="000000"/>
        </w:rPr>
        <w:t xml:space="preserve"> tal y como se observa en el expediente electrónico el </w:t>
      </w:r>
      <w:r w:rsidRPr="008721F3">
        <w:rPr>
          <w:rFonts w:ascii="Palatino Linotype" w:eastAsia="Palatino Linotype" w:hAnsi="Palatino Linotype" w:cs="Palatino Linotype"/>
          <w:b/>
          <w:color w:val="000000"/>
        </w:rPr>
        <w:t xml:space="preserve">SUJETO OBLIGADO </w:t>
      </w:r>
      <w:r w:rsidRPr="008721F3">
        <w:rPr>
          <w:rFonts w:ascii="Palatino Linotype" w:eastAsia="Palatino Linotype" w:hAnsi="Palatino Linotype" w:cs="Palatino Linotype"/>
        </w:rPr>
        <w:t>agregó</w:t>
      </w:r>
      <w:r w:rsidRPr="008721F3">
        <w:rPr>
          <w:rFonts w:ascii="Palatino Linotype" w:eastAsia="Palatino Linotype" w:hAnsi="Palatino Linotype" w:cs="Palatino Linotype"/>
          <w:color w:val="000000"/>
        </w:rPr>
        <w:t xml:space="preserve"> un archivo zip, cuyo contenido grosso modo es el siguiente. </w:t>
      </w: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MANIFESTACIONES.zip: </w:t>
      </w: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b/>
          <w:i/>
          <w:color w:val="000000"/>
          <w:sz w:val="22"/>
          <w:szCs w:val="22"/>
        </w:rPr>
        <w:t xml:space="preserve">MANIFESTACIONES\ACUERDO 12 SAIMEX 00271.pdf: </w:t>
      </w:r>
      <w:r w:rsidRPr="008721F3">
        <w:rPr>
          <w:rFonts w:ascii="Palatino Linotype" w:eastAsia="Palatino Linotype" w:hAnsi="Palatino Linotype" w:cs="Palatino Linotype"/>
          <w:i/>
          <w:color w:val="000000"/>
          <w:sz w:val="22"/>
          <w:szCs w:val="22"/>
        </w:rPr>
        <w:t xml:space="preserve">Acuerdo de la Primera Sesión Extraordinaria del Comité de Transparencia, mediante el cual refiere el número de la solicitud de información del presente recurso, del cual informa la clasificación de la información como reservada en cuanto a Acta de Apertura, dictamen, y contrato correspondiente a los procedimientos de adquisiciones, prestación de servicios y arrendamientos correspondientes al año 2023 por encontrarse </w:t>
      </w:r>
      <w:r w:rsidRPr="008721F3">
        <w:rPr>
          <w:rFonts w:ascii="Palatino Linotype" w:eastAsia="Palatino Linotype" w:hAnsi="Palatino Linotype" w:cs="Palatino Linotype"/>
          <w:i/>
          <w:color w:val="000000"/>
          <w:sz w:val="22"/>
          <w:szCs w:val="22"/>
        </w:rPr>
        <w:lastRenderedPageBreak/>
        <w:t xml:space="preserve">en proceso de auditoría ante el Órgano Superior de Fiscalización del Estado de México, en el mismo documento se adjunta la prueba de daño en la cual se da a conocer que la información se reserva por un año  o hasta que dejen de subsistir las causas que dieron inicio a la reserva de información. </w:t>
      </w: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b/>
          <w:i/>
          <w:color w:val="000000"/>
          <w:sz w:val="22"/>
          <w:szCs w:val="22"/>
        </w:rPr>
        <w:t xml:space="preserve">MANIFESTACIONES\MANIFESTACION 271.pdf: </w:t>
      </w:r>
      <w:r w:rsidRPr="008721F3">
        <w:rPr>
          <w:rFonts w:ascii="Palatino Linotype" w:eastAsia="Palatino Linotype" w:hAnsi="Palatino Linotype" w:cs="Palatino Linotype"/>
          <w:i/>
          <w:color w:val="000000"/>
          <w:sz w:val="22"/>
          <w:szCs w:val="22"/>
        </w:rPr>
        <w:t xml:space="preserve">Informe Justificado que presenta la Dirección de Administración y el Despacho de Subdirección de Recursos Materiales, mediante el cual informan que la información es clasificada como reservada por encontrarse ante un proceso de auditoría ante el Órgano Superior de Fiscalización del Estado de México. </w:t>
      </w:r>
    </w:p>
    <w:p w:rsidR="00925CFF" w:rsidRPr="008721F3" w:rsidRDefault="00925CFF">
      <w:pPr>
        <w:pBdr>
          <w:top w:val="nil"/>
          <w:left w:val="nil"/>
          <w:bottom w:val="nil"/>
          <w:right w:val="nil"/>
          <w:between w:val="nil"/>
        </w:pBdr>
        <w:ind w:left="-566" w:right="-1417"/>
        <w:rPr>
          <w:rFonts w:ascii="Palatino Linotype" w:eastAsia="Palatino Linotype" w:hAnsi="Palatino Linotype" w:cs="Palatino Linotype"/>
          <w:i/>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rFonts w:ascii="Palatino Linotype" w:eastAsia="Palatino Linotype" w:hAnsi="Palatino Linotype" w:cs="Palatino Linotype"/>
          <w:b/>
          <w:color w:val="000000"/>
        </w:rPr>
      </w:pPr>
      <w:r w:rsidRPr="008721F3">
        <w:rPr>
          <w:rFonts w:ascii="Palatino Linotype" w:eastAsia="Palatino Linotype" w:hAnsi="Palatino Linotype" w:cs="Palatino Linotype"/>
          <w:color w:val="000000"/>
        </w:rPr>
        <w:t xml:space="preserve">Por su parte el </w:t>
      </w:r>
      <w:r w:rsidRPr="008721F3">
        <w:rPr>
          <w:rFonts w:ascii="Palatino Linotype" w:eastAsia="Palatino Linotype" w:hAnsi="Palatino Linotype" w:cs="Palatino Linotype"/>
          <w:b/>
          <w:color w:val="000000"/>
        </w:rPr>
        <w:t xml:space="preserve">RECURRENTE </w:t>
      </w:r>
      <w:r w:rsidRPr="008721F3">
        <w:rPr>
          <w:rFonts w:ascii="Palatino Linotype" w:eastAsia="Palatino Linotype" w:hAnsi="Palatino Linotype" w:cs="Palatino Linotype"/>
        </w:rPr>
        <w:t>dejó</w:t>
      </w:r>
      <w:r w:rsidRPr="008721F3">
        <w:rPr>
          <w:rFonts w:ascii="Palatino Linotype" w:eastAsia="Palatino Linotype" w:hAnsi="Palatino Linotype" w:cs="Palatino Linotype"/>
          <w:color w:val="000000"/>
        </w:rPr>
        <w:t xml:space="preserve"> de realizar manifestaciones que a su derecho conviniera y asistiera. </w:t>
      </w:r>
    </w:p>
    <w:p w:rsidR="00925CFF" w:rsidRPr="008721F3" w:rsidRDefault="00925CFF">
      <w:pPr>
        <w:pBdr>
          <w:top w:val="nil"/>
          <w:left w:val="nil"/>
          <w:bottom w:val="nil"/>
          <w:right w:val="nil"/>
          <w:between w:val="nil"/>
        </w:pBdr>
        <w:spacing w:line="360" w:lineRule="auto"/>
        <w:ind w:left="-566" w:right="-1417"/>
        <w:jc w:val="both"/>
        <w:rPr>
          <w:rFonts w:ascii="Palatino Linotype" w:eastAsia="Palatino Linotype" w:hAnsi="Palatino Linotype" w:cs="Palatino Linotype"/>
          <w:b/>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El </w:t>
      </w:r>
      <w:r w:rsidRPr="008721F3">
        <w:rPr>
          <w:rFonts w:ascii="Palatino Linotype" w:eastAsia="Palatino Linotype" w:hAnsi="Palatino Linotype" w:cs="Palatino Linotype"/>
          <w:b/>
          <w:color w:val="000000"/>
        </w:rPr>
        <w:t>once de junio de dos mil veinticuatro</w:t>
      </w:r>
      <w:r w:rsidRPr="008721F3">
        <w:rPr>
          <w:rFonts w:ascii="Palatino Linotype" w:eastAsia="Palatino Linotype" w:hAnsi="Palatino Linotype" w:cs="Palatino Linotype"/>
          <w:color w:val="000000"/>
        </w:rPr>
        <w:t xml:space="preserve">, la Comisionada Ponente notificó el </w:t>
      </w:r>
      <w:r w:rsidRPr="008721F3">
        <w:rPr>
          <w:rFonts w:ascii="Palatino Linotype" w:eastAsia="Palatino Linotype" w:hAnsi="Palatino Linotype" w:cs="Palatino Linotype"/>
          <w:b/>
          <w:color w:val="000000"/>
        </w:rPr>
        <w:t>acuerdo de ampliación</w:t>
      </w:r>
      <w:r w:rsidRPr="008721F3">
        <w:rPr>
          <w:rFonts w:ascii="Palatino Linotype" w:eastAsia="Palatino Linotype" w:hAnsi="Palatino Linotype" w:cs="Palatino Linotype"/>
          <w:color w:val="000000"/>
        </w:rPr>
        <w:t xml:space="preserve"> de plazo para emitir resolución.</w:t>
      </w:r>
    </w:p>
    <w:p w:rsidR="00925CFF" w:rsidRPr="008721F3" w:rsidRDefault="00925CFF">
      <w:pPr>
        <w:pBdr>
          <w:top w:val="nil"/>
          <w:left w:val="nil"/>
          <w:bottom w:val="nil"/>
          <w:right w:val="nil"/>
          <w:between w:val="nil"/>
        </w:pBdr>
        <w:spacing w:line="360" w:lineRule="auto"/>
        <w:ind w:left="-566" w:right="-1417"/>
        <w:jc w:val="both"/>
        <w:rPr>
          <w:rFonts w:ascii="Palatino Linotype" w:eastAsia="Palatino Linotype" w:hAnsi="Palatino Linotype" w:cs="Palatino Linotype"/>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rsidR="00925CFF" w:rsidRPr="008721F3" w:rsidRDefault="00925CFF">
      <w:pPr>
        <w:pBdr>
          <w:top w:val="nil"/>
          <w:left w:val="nil"/>
          <w:bottom w:val="nil"/>
          <w:right w:val="nil"/>
          <w:between w:val="nil"/>
        </w:pBdr>
        <w:ind w:left="-566" w:right="-1417"/>
        <w:rPr>
          <w:color w:val="000000"/>
        </w:rPr>
      </w:pPr>
    </w:p>
    <w:p w:rsidR="00925CFF" w:rsidRPr="008721F3" w:rsidRDefault="00925CFF">
      <w:pPr>
        <w:pBdr>
          <w:top w:val="nil"/>
          <w:left w:val="nil"/>
          <w:bottom w:val="nil"/>
          <w:right w:val="nil"/>
          <w:between w:val="nil"/>
        </w:pBdr>
        <w:spacing w:line="360" w:lineRule="auto"/>
        <w:ind w:left="-566" w:right="-1417"/>
        <w:jc w:val="both"/>
        <w:rPr>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925CFF" w:rsidRPr="008721F3" w:rsidRDefault="00925CFF">
      <w:pPr>
        <w:pBdr>
          <w:top w:val="nil"/>
          <w:left w:val="nil"/>
          <w:bottom w:val="nil"/>
          <w:right w:val="nil"/>
          <w:between w:val="nil"/>
        </w:pBdr>
        <w:ind w:left="-566" w:right="-1417"/>
        <w:rPr>
          <w:rFonts w:ascii="Palatino Linotype" w:eastAsia="Palatino Linotype" w:hAnsi="Palatino Linotype" w:cs="Palatino Linotype"/>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925CFF" w:rsidRPr="008721F3" w:rsidRDefault="00925CFF">
      <w:pPr>
        <w:pBdr>
          <w:top w:val="nil"/>
          <w:left w:val="nil"/>
          <w:bottom w:val="nil"/>
          <w:right w:val="nil"/>
          <w:between w:val="nil"/>
        </w:pBdr>
        <w:spacing w:line="360" w:lineRule="auto"/>
        <w:ind w:left="-566" w:right="-1417"/>
        <w:jc w:val="both"/>
        <w:rPr>
          <w:rFonts w:ascii="Palatino Linotype" w:eastAsia="Palatino Linotype" w:hAnsi="Palatino Linotype" w:cs="Palatino Linotype"/>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rsidR="00925CFF" w:rsidRPr="008721F3" w:rsidRDefault="002A18F9">
      <w:pPr>
        <w:pBdr>
          <w:top w:val="nil"/>
          <w:left w:val="nil"/>
          <w:bottom w:val="nil"/>
          <w:right w:val="nil"/>
          <w:between w:val="nil"/>
        </w:pBdr>
        <w:spacing w:line="360" w:lineRule="auto"/>
        <w:ind w:right="-850"/>
        <w:jc w:val="both"/>
        <w:rPr>
          <w:rFonts w:ascii="Palatino Linotype" w:eastAsia="Palatino Linotype" w:hAnsi="Palatino Linotype" w:cs="Palatino Linotype"/>
          <w:color w:val="000000"/>
          <w:sz w:val="22"/>
          <w:szCs w:val="22"/>
        </w:rPr>
      </w:pPr>
      <w:r w:rsidRPr="008721F3">
        <w:rPr>
          <w:rFonts w:ascii="Palatino Linotype" w:eastAsia="Palatino Linotype" w:hAnsi="Palatino Linotype" w:cs="Palatino Linotype"/>
          <w:color w:val="000000"/>
        </w:rPr>
        <w:t xml:space="preserve">a)  </w:t>
      </w:r>
      <w:r w:rsidRPr="008721F3">
        <w:rPr>
          <w:rFonts w:ascii="Palatino Linotype" w:eastAsia="Palatino Linotype" w:hAnsi="Palatino Linotype" w:cs="Palatino Linotype"/>
          <w:color w:val="000000"/>
          <w:sz w:val="22"/>
          <w:szCs w:val="22"/>
        </w:rPr>
        <w:t>Complejidad del asunto: La complejidad de la prueba, la pluralidad de sujetos procesales, el tiempo transcurrido, las características y contexto del recurso.</w:t>
      </w:r>
    </w:p>
    <w:p w:rsidR="00925CFF" w:rsidRPr="008721F3" w:rsidRDefault="002A18F9">
      <w:pPr>
        <w:pBdr>
          <w:top w:val="nil"/>
          <w:left w:val="nil"/>
          <w:bottom w:val="nil"/>
          <w:right w:val="nil"/>
          <w:between w:val="nil"/>
        </w:pBdr>
        <w:spacing w:line="360" w:lineRule="auto"/>
        <w:ind w:right="-850"/>
        <w:jc w:val="both"/>
        <w:rPr>
          <w:rFonts w:ascii="Palatino Linotype" w:eastAsia="Palatino Linotype" w:hAnsi="Palatino Linotype" w:cs="Palatino Linotype"/>
          <w:color w:val="000000"/>
          <w:sz w:val="22"/>
          <w:szCs w:val="22"/>
        </w:rPr>
      </w:pPr>
      <w:r w:rsidRPr="008721F3">
        <w:rPr>
          <w:rFonts w:ascii="Palatino Linotype" w:eastAsia="Palatino Linotype" w:hAnsi="Palatino Linotype" w:cs="Palatino Linotype"/>
          <w:color w:val="000000"/>
          <w:sz w:val="22"/>
          <w:szCs w:val="22"/>
        </w:rPr>
        <w:t>b)     Actividad Procesal del interesado: Acciones u omisiones del interesado.</w:t>
      </w:r>
    </w:p>
    <w:p w:rsidR="00925CFF" w:rsidRPr="008721F3" w:rsidRDefault="002A18F9">
      <w:pPr>
        <w:pBdr>
          <w:top w:val="nil"/>
          <w:left w:val="nil"/>
          <w:bottom w:val="nil"/>
          <w:right w:val="nil"/>
          <w:between w:val="nil"/>
        </w:pBdr>
        <w:spacing w:line="360" w:lineRule="auto"/>
        <w:ind w:right="-850"/>
        <w:jc w:val="both"/>
        <w:rPr>
          <w:rFonts w:ascii="Palatino Linotype" w:eastAsia="Palatino Linotype" w:hAnsi="Palatino Linotype" w:cs="Palatino Linotype"/>
          <w:color w:val="000000"/>
          <w:sz w:val="22"/>
          <w:szCs w:val="22"/>
        </w:rPr>
      </w:pPr>
      <w:r w:rsidRPr="008721F3">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rsidR="00925CFF" w:rsidRPr="008721F3" w:rsidRDefault="002A18F9">
      <w:pPr>
        <w:pBdr>
          <w:top w:val="nil"/>
          <w:left w:val="nil"/>
          <w:bottom w:val="nil"/>
          <w:right w:val="nil"/>
          <w:between w:val="nil"/>
        </w:pBdr>
        <w:spacing w:line="360" w:lineRule="auto"/>
        <w:ind w:right="-850"/>
        <w:jc w:val="both"/>
        <w:rPr>
          <w:rFonts w:ascii="Palatino Linotype" w:eastAsia="Palatino Linotype" w:hAnsi="Palatino Linotype" w:cs="Palatino Linotype"/>
          <w:color w:val="000000"/>
          <w:sz w:val="22"/>
          <w:szCs w:val="22"/>
        </w:rPr>
      </w:pPr>
      <w:r w:rsidRPr="008721F3">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rsidR="00925CFF" w:rsidRPr="008721F3" w:rsidRDefault="00925CFF">
      <w:pPr>
        <w:pBdr>
          <w:top w:val="nil"/>
          <w:left w:val="nil"/>
          <w:bottom w:val="nil"/>
          <w:right w:val="nil"/>
          <w:between w:val="nil"/>
        </w:pBdr>
        <w:spacing w:line="360" w:lineRule="auto"/>
        <w:ind w:left="-566" w:right="-1417"/>
        <w:jc w:val="both"/>
        <w:rPr>
          <w:rFonts w:ascii="Palatino Linotype" w:eastAsia="Palatino Linotype" w:hAnsi="Palatino Linotype" w:cs="Palatino Linotype"/>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w:t>
      </w:r>
      <w:r w:rsidRPr="008721F3">
        <w:rPr>
          <w:rFonts w:ascii="Palatino Linotype" w:eastAsia="Palatino Linotype" w:hAnsi="Palatino Linotype" w:cs="Palatino Linotype"/>
          <w:color w:val="000000"/>
        </w:rPr>
        <w:lastRenderedPageBreak/>
        <w:t>que es una excluyente de responsabilidad en relación con la actuación del funcionario, como ha acontecido en el caso que nos ocupa.</w:t>
      </w:r>
    </w:p>
    <w:p w:rsidR="00925CFF" w:rsidRPr="008721F3" w:rsidRDefault="00925CFF">
      <w:pPr>
        <w:pBdr>
          <w:top w:val="nil"/>
          <w:left w:val="nil"/>
          <w:bottom w:val="nil"/>
          <w:right w:val="nil"/>
          <w:between w:val="nil"/>
        </w:pBdr>
        <w:spacing w:line="360" w:lineRule="auto"/>
        <w:ind w:left="-566" w:right="-1417"/>
        <w:jc w:val="both"/>
        <w:rPr>
          <w:rFonts w:ascii="Palatino Linotype" w:eastAsia="Palatino Linotype" w:hAnsi="Palatino Linotype" w:cs="Palatino Linotype"/>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Argumento que encuentra sustento en la jurisprudencia P./J. 32/92 emitida por el Pleno de la Suprema Corte de Justicia de la Nación del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rsidR="00925CFF" w:rsidRPr="008721F3" w:rsidRDefault="00925CFF">
      <w:pPr>
        <w:pBdr>
          <w:top w:val="nil"/>
          <w:left w:val="nil"/>
          <w:bottom w:val="nil"/>
          <w:right w:val="nil"/>
          <w:between w:val="nil"/>
        </w:pBdr>
        <w:ind w:left="-566" w:right="-1417"/>
        <w:rPr>
          <w:rFonts w:ascii="Palatino Linotype" w:eastAsia="Palatino Linotype" w:hAnsi="Palatino Linotype" w:cs="Palatino Linotype"/>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925CFF" w:rsidRPr="008721F3" w:rsidRDefault="00925CFF">
      <w:pPr>
        <w:pBdr>
          <w:top w:val="nil"/>
          <w:left w:val="nil"/>
          <w:bottom w:val="nil"/>
          <w:right w:val="nil"/>
          <w:between w:val="nil"/>
        </w:pBdr>
        <w:spacing w:line="360" w:lineRule="auto"/>
        <w:ind w:left="-566" w:right="-1417"/>
        <w:jc w:val="both"/>
        <w:rPr>
          <w:rFonts w:ascii="Palatino Linotype" w:eastAsia="Palatino Linotype" w:hAnsi="Palatino Linotype" w:cs="Palatino Linotype"/>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925CFF" w:rsidRPr="008721F3" w:rsidRDefault="00925CFF">
      <w:pPr>
        <w:pBdr>
          <w:top w:val="nil"/>
          <w:left w:val="nil"/>
          <w:bottom w:val="nil"/>
          <w:right w:val="nil"/>
          <w:between w:val="nil"/>
        </w:pBdr>
        <w:ind w:left="-566" w:right="-1417"/>
        <w:rPr>
          <w:color w:val="000000"/>
        </w:rPr>
      </w:pPr>
    </w:p>
    <w:p w:rsidR="00925CFF" w:rsidRPr="008721F3" w:rsidRDefault="002A18F9">
      <w:pPr>
        <w:pBdr>
          <w:top w:val="nil"/>
          <w:left w:val="nil"/>
          <w:bottom w:val="nil"/>
          <w:right w:val="nil"/>
          <w:between w:val="nil"/>
        </w:pBdr>
        <w:spacing w:line="360" w:lineRule="auto"/>
        <w:ind w:left="141" w:right="-709"/>
        <w:jc w:val="both"/>
        <w:rPr>
          <w:rFonts w:ascii="Palatino Linotype" w:eastAsia="Palatino Linotype" w:hAnsi="Palatino Linotype" w:cs="Palatino Linotype"/>
          <w:color w:val="000000"/>
          <w:sz w:val="22"/>
          <w:szCs w:val="22"/>
        </w:rPr>
      </w:pPr>
      <w:r w:rsidRPr="008721F3">
        <w:rPr>
          <w:rFonts w:ascii="Palatino Linotype" w:eastAsia="Palatino Linotype" w:hAnsi="Palatino Linotype" w:cs="Palatino Linotype"/>
          <w:color w:val="000000"/>
          <w:sz w:val="22"/>
          <w:szCs w:val="22"/>
        </w:rPr>
        <w:lastRenderedPageBreak/>
        <w:t>“PLAZO RAZONABLE PARA RESOLVER. DIMENSIÓN Y EFECTOS DE ESTE CONCEPTO CUANDO SE ADUCE EXCESIVA CARGA DE TRABAJO.” consultable en el Sem</w:t>
      </w:r>
      <w:r w:rsidRPr="008721F3">
        <w:rPr>
          <w:rFonts w:ascii="Palatino Linotype" w:eastAsia="Palatino Linotype" w:hAnsi="Palatino Linotype" w:cs="Palatino Linotype"/>
          <w:sz w:val="22"/>
          <w:szCs w:val="22"/>
        </w:rPr>
        <w:t>a</w:t>
      </w:r>
      <w:r w:rsidRPr="008721F3">
        <w:rPr>
          <w:rFonts w:ascii="Palatino Linotype" w:eastAsia="Palatino Linotype" w:hAnsi="Palatino Linotype" w:cs="Palatino Linotype"/>
          <w:color w:val="000000"/>
          <w:sz w:val="22"/>
          <w:szCs w:val="22"/>
        </w:rPr>
        <w:t>nario Judicial de la Federación y su gaceta, con el registro digital 2002351.</w:t>
      </w:r>
    </w:p>
    <w:p w:rsidR="00925CFF" w:rsidRPr="008721F3" w:rsidRDefault="00925CFF">
      <w:pPr>
        <w:pBdr>
          <w:top w:val="nil"/>
          <w:left w:val="nil"/>
          <w:bottom w:val="nil"/>
          <w:right w:val="nil"/>
          <w:between w:val="nil"/>
        </w:pBdr>
        <w:spacing w:line="360" w:lineRule="auto"/>
        <w:ind w:left="141" w:right="-709"/>
        <w:jc w:val="both"/>
        <w:rPr>
          <w:rFonts w:ascii="Palatino Linotype" w:eastAsia="Palatino Linotype" w:hAnsi="Palatino Linotype" w:cs="Palatino Linotype"/>
          <w:sz w:val="22"/>
          <w:szCs w:val="22"/>
        </w:rPr>
      </w:pPr>
    </w:p>
    <w:p w:rsidR="00925CFF" w:rsidRPr="008721F3" w:rsidRDefault="002A18F9">
      <w:pPr>
        <w:pBdr>
          <w:top w:val="nil"/>
          <w:left w:val="nil"/>
          <w:bottom w:val="nil"/>
          <w:right w:val="nil"/>
          <w:between w:val="nil"/>
        </w:pBdr>
        <w:spacing w:line="360" w:lineRule="auto"/>
        <w:ind w:left="141" w:right="-709"/>
        <w:jc w:val="both"/>
        <w:rPr>
          <w:rFonts w:ascii="Palatino Linotype" w:eastAsia="Palatino Linotype" w:hAnsi="Palatino Linotype" w:cs="Palatino Linotype"/>
          <w:color w:val="000000"/>
          <w:sz w:val="22"/>
          <w:szCs w:val="22"/>
        </w:rPr>
      </w:pPr>
      <w:r w:rsidRPr="008721F3">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w:t>
      </w:r>
      <w:r w:rsidRPr="008721F3">
        <w:rPr>
          <w:rFonts w:ascii="Palatino Linotype" w:eastAsia="Palatino Linotype" w:hAnsi="Palatino Linotype" w:cs="Palatino Linotype"/>
          <w:sz w:val="22"/>
          <w:szCs w:val="22"/>
        </w:rPr>
        <w:t>a</w:t>
      </w:r>
      <w:r w:rsidRPr="008721F3">
        <w:rPr>
          <w:rFonts w:ascii="Palatino Linotype" w:eastAsia="Palatino Linotype" w:hAnsi="Palatino Linotype" w:cs="Palatino Linotype"/>
          <w:color w:val="000000"/>
          <w:sz w:val="22"/>
          <w:szCs w:val="22"/>
        </w:rPr>
        <w:t>nario Judicial de la Federación y su gaceta, con el registro digital 2002350.</w:t>
      </w:r>
    </w:p>
    <w:p w:rsidR="00925CFF" w:rsidRPr="008721F3" w:rsidRDefault="00925CFF">
      <w:pPr>
        <w:pBdr>
          <w:top w:val="nil"/>
          <w:left w:val="nil"/>
          <w:bottom w:val="nil"/>
          <w:right w:val="nil"/>
          <w:between w:val="nil"/>
        </w:pBdr>
        <w:spacing w:line="360" w:lineRule="auto"/>
        <w:ind w:left="-566" w:right="-1417"/>
        <w:jc w:val="both"/>
        <w:rPr>
          <w:rFonts w:ascii="Palatino Linotype" w:eastAsia="Palatino Linotype" w:hAnsi="Palatino Linotype" w:cs="Palatino Linotype"/>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925CFF" w:rsidRPr="008721F3" w:rsidRDefault="00925CFF">
      <w:pPr>
        <w:pBdr>
          <w:top w:val="nil"/>
          <w:left w:val="nil"/>
          <w:bottom w:val="nil"/>
          <w:right w:val="nil"/>
          <w:between w:val="nil"/>
        </w:pBdr>
        <w:spacing w:line="360" w:lineRule="auto"/>
        <w:ind w:left="-566" w:right="-1417"/>
        <w:jc w:val="both"/>
        <w:rPr>
          <w:rFonts w:ascii="Palatino Linotype" w:eastAsia="Palatino Linotype" w:hAnsi="Palatino Linotype" w:cs="Palatino Linotype"/>
          <w:b/>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rFonts w:ascii="Palatino Linotype" w:eastAsia="Palatino Linotype" w:hAnsi="Palatino Linotype" w:cs="Palatino Linotype"/>
          <w:b/>
          <w:color w:val="000000"/>
        </w:rPr>
      </w:pPr>
      <w:bookmarkStart w:id="2" w:name="_heading=h.2et92p0" w:colFirst="0" w:colLast="0"/>
      <w:bookmarkEnd w:id="2"/>
      <w:r w:rsidRPr="008721F3">
        <w:rPr>
          <w:rFonts w:ascii="Palatino Linotype" w:eastAsia="Palatino Linotype" w:hAnsi="Palatino Linotype" w:cs="Palatino Linotype"/>
          <w:color w:val="000000"/>
        </w:rPr>
        <w:t>Finalmente, la Comisionada Ponente mediante acuerdo de fecha</w:t>
      </w:r>
      <w:r w:rsidRPr="008721F3">
        <w:rPr>
          <w:rFonts w:ascii="Palatino Linotype" w:eastAsia="Palatino Linotype" w:hAnsi="Palatino Linotype" w:cs="Palatino Linotype"/>
          <w:b/>
          <w:color w:val="000000"/>
        </w:rPr>
        <w:t xml:space="preserve">  veinticuatro de febrero de dos mil veinticinco</w:t>
      </w:r>
      <w:r w:rsidRPr="008721F3">
        <w:rPr>
          <w:rFonts w:ascii="Palatino Linotype" w:eastAsia="Palatino Linotype" w:hAnsi="Palatino Linotype" w:cs="Palatino Linotype"/>
          <w:color w:val="000000"/>
        </w:rPr>
        <w:t>, decretó el cierre de instrucción de los expedientes, por lo que no habiendo más que hacer constar, y ---------------------------------------------------------------------------------</w:t>
      </w:r>
    </w:p>
    <w:p w:rsidR="00925CFF" w:rsidRPr="008721F3" w:rsidRDefault="00925CFF">
      <w:pPr>
        <w:pBdr>
          <w:top w:val="nil"/>
          <w:left w:val="nil"/>
          <w:bottom w:val="nil"/>
          <w:right w:val="nil"/>
          <w:between w:val="nil"/>
        </w:pBdr>
        <w:spacing w:line="360" w:lineRule="auto"/>
        <w:ind w:left="-566" w:right="-1417"/>
        <w:jc w:val="both"/>
        <w:rPr>
          <w:rFonts w:ascii="Palatino Linotype" w:eastAsia="Palatino Linotype" w:hAnsi="Palatino Linotype" w:cs="Palatino Linotype"/>
        </w:rPr>
      </w:pPr>
      <w:bookmarkStart w:id="3" w:name="_heading=h.162m1m3fkzl6" w:colFirst="0" w:colLast="0"/>
      <w:bookmarkEnd w:id="3"/>
    </w:p>
    <w:p w:rsidR="00925CFF" w:rsidRPr="008721F3" w:rsidRDefault="00925CFF">
      <w:pPr>
        <w:spacing w:line="360" w:lineRule="auto"/>
        <w:ind w:left="-566" w:right="-1417"/>
        <w:rPr>
          <w:rFonts w:ascii="Palatino Linotype" w:eastAsia="Palatino Linotype" w:hAnsi="Palatino Linotype" w:cs="Palatino Linotype"/>
          <w:b/>
          <w:color w:val="000000"/>
        </w:rPr>
      </w:pPr>
    </w:p>
    <w:p w:rsidR="00925CFF" w:rsidRPr="008721F3" w:rsidRDefault="002A18F9">
      <w:pPr>
        <w:pBdr>
          <w:top w:val="nil"/>
          <w:left w:val="nil"/>
          <w:bottom w:val="nil"/>
          <w:right w:val="nil"/>
          <w:between w:val="nil"/>
        </w:pBdr>
        <w:spacing w:line="360" w:lineRule="auto"/>
        <w:ind w:left="-566" w:right="-1417"/>
        <w:jc w:val="center"/>
        <w:rPr>
          <w:rFonts w:ascii="Palatino Linotype" w:eastAsia="Palatino Linotype" w:hAnsi="Palatino Linotype" w:cs="Palatino Linotype"/>
          <w:b/>
          <w:color w:val="000000"/>
        </w:rPr>
      </w:pPr>
      <w:r w:rsidRPr="008721F3">
        <w:rPr>
          <w:rFonts w:ascii="Palatino Linotype" w:eastAsia="Palatino Linotype" w:hAnsi="Palatino Linotype" w:cs="Palatino Linotype"/>
          <w:b/>
          <w:color w:val="000000"/>
        </w:rPr>
        <w:t xml:space="preserve">C O N S I D E R A N D O </w:t>
      </w:r>
    </w:p>
    <w:p w:rsidR="00925CFF" w:rsidRPr="008721F3" w:rsidRDefault="00925CFF">
      <w:pPr>
        <w:pBdr>
          <w:top w:val="nil"/>
          <w:left w:val="nil"/>
          <w:bottom w:val="nil"/>
          <w:right w:val="nil"/>
          <w:between w:val="nil"/>
        </w:pBdr>
        <w:spacing w:line="360" w:lineRule="auto"/>
        <w:ind w:left="-566" w:right="-1417"/>
        <w:jc w:val="center"/>
        <w:rPr>
          <w:rFonts w:ascii="Palatino Linotype" w:eastAsia="Palatino Linotype" w:hAnsi="Palatino Linotype" w:cs="Palatino Linotype"/>
          <w:b/>
        </w:rPr>
      </w:pPr>
    </w:p>
    <w:p w:rsidR="00925CFF" w:rsidRPr="008721F3" w:rsidRDefault="002A18F9">
      <w:pPr>
        <w:pStyle w:val="Ttulo2"/>
        <w:spacing w:before="0" w:line="360" w:lineRule="auto"/>
        <w:ind w:left="-566" w:right="-1417"/>
        <w:rPr>
          <w:rFonts w:ascii="Palatino Linotype" w:eastAsia="Palatino Linotype" w:hAnsi="Palatino Linotype" w:cs="Palatino Linotype"/>
          <w:b/>
          <w:color w:val="000000"/>
          <w:sz w:val="24"/>
          <w:szCs w:val="24"/>
        </w:rPr>
      </w:pPr>
      <w:bookmarkStart w:id="4" w:name="_heading=h.tyjcwt" w:colFirst="0" w:colLast="0"/>
      <w:bookmarkEnd w:id="4"/>
      <w:r w:rsidRPr="008721F3">
        <w:rPr>
          <w:rFonts w:ascii="Palatino Linotype" w:eastAsia="Palatino Linotype" w:hAnsi="Palatino Linotype" w:cs="Palatino Linotype"/>
          <w:b/>
          <w:color w:val="000000"/>
          <w:sz w:val="24"/>
          <w:szCs w:val="24"/>
        </w:rPr>
        <w:t>PRIMERO. De la competencia</w:t>
      </w: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w:t>
      </w:r>
      <w:r w:rsidRPr="008721F3">
        <w:rPr>
          <w:rFonts w:ascii="Palatino Linotype" w:eastAsia="Palatino Linotype" w:hAnsi="Palatino Linotype" w:cs="Palatino Linotype"/>
          <w:color w:val="000000"/>
        </w:rPr>
        <w:lastRenderedPageBreak/>
        <w:t>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925CFF" w:rsidRPr="008721F3" w:rsidRDefault="00925CFF">
      <w:pPr>
        <w:pBdr>
          <w:top w:val="nil"/>
          <w:left w:val="nil"/>
          <w:bottom w:val="nil"/>
          <w:right w:val="nil"/>
          <w:between w:val="nil"/>
        </w:pBdr>
        <w:tabs>
          <w:tab w:val="left" w:pos="426"/>
        </w:tabs>
        <w:spacing w:line="360" w:lineRule="auto"/>
        <w:ind w:left="-566" w:right="-1417"/>
        <w:jc w:val="both"/>
        <w:rPr>
          <w:rFonts w:ascii="Palatino Linotype" w:eastAsia="Palatino Linotype" w:hAnsi="Palatino Linotype" w:cs="Palatino Linotype"/>
          <w:b/>
          <w:color w:val="000000"/>
        </w:rPr>
      </w:pPr>
      <w:bookmarkStart w:id="5" w:name="_heading=h.3dy6vkm" w:colFirst="0" w:colLast="0"/>
      <w:bookmarkEnd w:id="5"/>
    </w:p>
    <w:p w:rsidR="00925CFF" w:rsidRPr="008721F3" w:rsidRDefault="002A18F9">
      <w:pPr>
        <w:pBdr>
          <w:top w:val="nil"/>
          <w:left w:val="nil"/>
          <w:bottom w:val="nil"/>
          <w:right w:val="nil"/>
          <w:between w:val="nil"/>
        </w:pBdr>
        <w:tabs>
          <w:tab w:val="left" w:pos="426"/>
        </w:tabs>
        <w:spacing w:line="360" w:lineRule="auto"/>
        <w:ind w:left="-566" w:right="-1417"/>
        <w:jc w:val="both"/>
        <w:rPr>
          <w:rFonts w:ascii="Palatino Linotype" w:eastAsia="Palatino Linotype" w:hAnsi="Palatino Linotype" w:cs="Palatino Linotype"/>
          <w:b/>
          <w:color w:val="000000"/>
        </w:rPr>
      </w:pPr>
      <w:bookmarkStart w:id="6" w:name="_heading=h.1t3h5sf" w:colFirst="0" w:colLast="0"/>
      <w:bookmarkEnd w:id="6"/>
      <w:r w:rsidRPr="008721F3">
        <w:rPr>
          <w:rFonts w:ascii="Palatino Linotype" w:eastAsia="Palatino Linotype" w:hAnsi="Palatino Linotype" w:cs="Palatino Linotype"/>
          <w:b/>
          <w:color w:val="000000"/>
        </w:rPr>
        <w:t>SEGUNDO. De la oportunidad y procedencia.</w:t>
      </w: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bookmarkStart w:id="7" w:name="_heading=h.4d34og8" w:colFirst="0" w:colLast="0"/>
      <w:bookmarkEnd w:id="7"/>
      <w:r w:rsidRPr="008721F3">
        <w:rPr>
          <w:rFonts w:ascii="Palatino Linotype" w:eastAsia="Palatino Linotype" w:hAnsi="Palatino Linotype" w:cs="Palatino Linotype"/>
          <w:color w:val="000000"/>
        </w:rPr>
        <w:t xml:space="preserve">Los medios de impugnación fueron presentados a través del </w:t>
      </w:r>
      <w:r w:rsidRPr="008721F3">
        <w:rPr>
          <w:rFonts w:ascii="Palatino Linotype" w:eastAsia="Palatino Linotype" w:hAnsi="Palatino Linotype" w:cs="Palatino Linotype"/>
          <w:b/>
          <w:color w:val="000000"/>
        </w:rPr>
        <w:t>SAIMEX,</w:t>
      </w:r>
      <w:r w:rsidRPr="008721F3">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8721F3">
        <w:rPr>
          <w:rFonts w:ascii="Palatino Linotype" w:eastAsia="Palatino Linotype" w:hAnsi="Palatino Linotype" w:cs="Palatino Linotype"/>
          <w:b/>
          <w:color w:val="000000"/>
        </w:rPr>
        <w:t>SUJETO OBLIGADO</w:t>
      </w:r>
      <w:r w:rsidRPr="008721F3">
        <w:rPr>
          <w:rFonts w:ascii="Palatino Linotype" w:eastAsia="Palatino Linotype" w:hAnsi="Palatino Linotype" w:cs="Palatino Linotype"/>
          <w:color w:val="000000"/>
        </w:rPr>
        <w:t xml:space="preserve"> entregó su respuesta el </w:t>
      </w:r>
      <w:r w:rsidRPr="008721F3">
        <w:rPr>
          <w:rFonts w:ascii="Palatino Linotype" w:eastAsia="Palatino Linotype" w:hAnsi="Palatino Linotype" w:cs="Palatino Linotype"/>
          <w:b/>
          <w:color w:val="000000"/>
        </w:rPr>
        <w:t>doce de abril de dos mil veinticuatro</w:t>
      </w:r>
      <w:r w:rsidRPr="008721F3">
        <w:rPr>
          <w:rFonts w:ascii="Palatino Linotype" w:eastAsia="Palatino Linotype" w:hAnsi="Palatino Linotype" w:cs="Palatino Linotype"/>
          <w:color w:val="000000"/>
        </w:rPr>
        <w:t xml:space="preserve">, de tal forma que el plazo para interponer el recurso de revisión transcurrió del día </w:t>
      </w:r>
      <w:r w:rsidRPr="008721F3">
        <w:rPr>
          <w:rFonts w:ascii="Palatino Linotype" w:eastAsia="Palatino Linotype" w:hAnsi="Palatino Linotype" w:cs="Palatino Linotype"/>
          <w:b/>
          <w:color w:val="000000"/>
        </w:rPr>
        <w:t>quinde abril al siete de mayo de dos mil veinticuatro</w:t>
      </w:r>
      <w:r w:rsidRPr="008721F3">
        <w:rPr>
          <w:rFonts w:ascii="Palatino Linotype" w:eastAsia="Palatino Linotype" w:hAnsi="Palatino Linotype" w:cs="Palatino Linotype"/>
          <w:color w:val="000000"/>
        </w:rPr>
        <w:t xml:space="preserve">; en consecuencia, el ahora </w:t>
      </w:r>
      <w:r w:rsidRPr="008721F3">
        <w:rPr>
          <w:rFonts w:ascii="Palatino Linotype" w:eastAsia="Palatino Linotype" w:hAnsi="Palatino Linotype" w:cs="Palatino Linotype"/>
          <w:b/>
          <w:color w:val="000000"/>
        </w:rPr>
        <w:t>RECURRENTE</w:t>
      </w:r>
      <w:r w:rsidRPr="008721F3">
        <w:rPr>
          <w:rFonts w:ascii="Palatino Linotype" w:eastAsia="Palatino Linotype" w:hAnsi="Palatino Linotype" w:cs="Palatino Linotype"/>
          <w:color w:val="000000"/>
        </w:rPr>
        <w:t xml:space="preserve"> presentó sus inconformidades el día </w:t>
      </w:r>
      <w:r w:rsidRPr="008721F3">
        <w:rPr>
          <w:rFonts w:ascii="Palatino Linotype" w:eastAsia="Palatino Linotype" w:hAnsi="Palatino Linotype" w:cs="Palatino Linotype"/>
          <w:b/>
          <w:color w:val="000000"/>
        </w:rPr>
        <w:t>dos de mayo de dos mil veinticuatro</w:t>
      </w:r>
      <w:r w:rsidRPr="008721F3">
        <w:rPr>
          <w:rFonts w:ascii="Palatino Linotype" w:eastAsia="Palatino Linotype" w:hAnsi="Palatino Linotype" w:cs="Palatino Linotype"/>
          <w:color w:val="000000"/>
        </w:rPr>
        <w:t>; es decir dentro del lapso legalmente establecido para tal efecto.</w:t>
      </w:r>
    </w:p>
    <w:p w:rsidR="00925CFF" w:rsidRPr="008721F3" w:rsidRDefault="00925CFF">
      <w:pPr>
        <w:pBdr>
          <w:top w:val="nil"/>
          <w:left w:val="nil"/>
          <w:bottom w:val="nil"/>
          <w:right w:val="nil"/>
          <w:between w:val="nil"/>
        </w:pBdr>
        <w:spacing w:line="360" w:lineRule="auto"/>
        <w:ind w:left="-566" w:right="-1417"/>
        <w:jc w:val="both"/>
        <w:rPr>
          <w:rFonts w:ascii="Palatino Linotype" w:eastAsia="Palatino Linotype" w:hAnsi="Palatino Linotype" w:cs="Palatino Linotype"/>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555555"/>
        </w:rPr>
      </w:pPr>
      <w:r w:rsidRPr="008721F3">
        <w:rPr>
          <w:rFonts w:ascii="Palatino Linotype" w:eastAsia="Palatino Linotype" w:hAnsi="Palatino Linotype" w:cs="Palatino Linotype"/>
          <w:color w:val="000000"/>
        </w:rPr>
        <w:t xml:space="preserve">Al respecto resulta necesario precisar que cuando el medio de impugnación, se haya interpuesto antes que inicie el término para tal efecto,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w:t>
      </w:r>
      <w:r w:rsidRPr="008721F3">
        <w:rPr>
          <w:rFonts w:ascii="Palatino Linotype" w:eastAsia="Palatino Linotype" w:hAnsi="Palatino Linotype" w:cs="Palatino Linotype"/>
        </w:rPr>
        <w:t>ésta</w:t>
      </w:r>
      <w:r w:rsidRPr="008721F3">
        <w:rPr>
          <w:rFonts w:ascii="Palatino Linotype" w:eastAsia="Palatino Linotype" w:hAnsi="Palatino Linotype" w:cs="Palatino Linotype"/>
          <w:color w:val="000000"/>
        </w:rPr>
        <w:t xml:space="preserve"> fue notificada. Por lo que es de señalar </w:t>
      </w:r>
      <w:r w:rsidRPr="008721F3">
        <w:rPr>
          <w:rFonts w:ascii="Palatino Linotype" w:eastAsia="Palatino Linotype" w:hAnsi="Palatino Linotype" w:cs="Palatino Linotype"/>
          <w:color w:val="000000"/>
        </w:rPr>
        <w:lastRenderedPageBreak/>
        <w:t>que en aras de privilegiar el derecho de acceso a la información se entra al estudio del presente recurso de revisión sin que la fecha en que se presentó afecte la resolución.</w:t>
      </w:r>
    </w:p>
    <w:p w:rsidR="00925CFF" w:rsidRPr="008721F3" w:rsidRDefault="00925CFF">
      <w:pPr>
        <w:spacing w:line="360" w:lineRule="auto"/>
        <w:ind w:left="-566" w:right="-1417"/>
        <w:rPr>
          <w:rFonts w:ascii="Palatino Linotype" w:eastAsia="Palatino Linotype" w:hAnsi="Palatino Linotype" w:cs="Palatino Linotype"/>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555555"/>
        </w:rPr>
      </w:pPr>
      <w:r w:rsidRPr="008721F3">
        <w:rPr>
          <w:rFonts w:ascii="Palatino Linotype" w:eastAsia="Palatino Linotype" w:hAnsi="Palatino Linotype" w:cs="Palatino Linotype"/>
          <w:color w:val="000000"/>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rsidR="00925CFF" w:rsidRPr="008721F3" w:rsidRDefault="002A18F9">
      <w:pPr>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8721F3">
        <w:rPr>
          <w:rFonts w:ascii="Palatino Linotype" w:eastAsia="Palatino Linotype" w:hAnsi="Palatino Linotype" w:cs="Palatino Linotype"/>
          <w:i/>
          <w:sz w:val="22"/>
          <w:szCs w:val="22"/>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rsidR="00925CFF" w:rsidRPr="008721F3" w:rsidRDefault="00925CFF">
      <w:pPr>
        <w:spacing w:line="360" w:lineRule="auto"/>
        <w:ind w:left="-566" w:right="-1417"/>
        <w:jc w:val="both"/>
        <w:rPr>
          <w:rFonts w:ascii="Palatino Linotype" w:eastAsia="Palatino Linotype" w:hAnsi="Palatino Linotype" w:cs="Palatino Linotype"/>
          <w:i/>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Esto es así porque en primer lugar es necesario que </w:t>
      </w:r>
      <w:r w:rsidRPr="008721F3">
        <w:rPr>
          <w:rFonts w:ascii="Palatino Linotype" w:eastAsia="Palatino Linotype" w:hAnsi="Palatino Linotype" w:cs="Palatino Linotype"/>
          <w:b/>
          <w:color w:val="000000"/>
        </w:rPr>
        <w:t>EL RECURRENTE</w:t>
      </w:r>
      <w:r w:rsidRPr="008721F3">
        <w:rPr>
          <w:rFonts w:ascii="Palatino Linotype" w:eastAsia="Palatino Linotype" w:hAnsi="Palatino Linotype" w:cs="Palatino Linotype"/>
          <w:color w:val="000000"/>
        </w:rPr>
        <w:t xml:space="preserve"> conozca el acto que le provoca agravio y a partir de ahí formular su recurso de revisión señalando tanto el acto impugnado como el motivo de inconformidad. Y si bien la ley señala que el plazo corre un día después de haber sido notificada la respuesta, en nada se afecta al proceso que el mismo día de </w:t>
      </w:r>
      <w:r w:rsidRPr="008721F3">
        <w:rPr>
          <w:rFonts w:ascii="Palatino Linotype" w:eastAsia="Palatino Linotype" w:hAnsi="Palatino Linotype" w:cs="Palatino Linotype"/>
          <w:b/>
          <w:color w:val="000000"/>
        </w:rPr>
        <w:t>notificada EL RECURRENTE</w:t>
      </w:r>
      <w:r w:rsidRPr="008721F3">
        <w:rPr>
          <w:rFonts w:ascii="Palatino Linotype" w:eastAsia="Palatino Linotype" w:hAnsi="Palatino Linotype" w:cs="Palatino Linotype"/>
          <w:color w:val="000000"/>
        </w:rPr>
        <w:t xml:space="preserve"> actúe, ya que al contrario lo que demuestra es el interés del mismo para ejercer su derecho bajo el principio constitucional de justicia expedita.</w:t>
      </w:r>
    </w:p>
    <w:p w:rsidR="00925CFF" w:rsidRPr="008721F3" w:rsidRDefault="00925CFF">
      <w:pPr>
        <w:tabs>
          <w:tab w:val="left" w:pos="0"/>
        </w:tabs>
        <w:spacing w:line="360" w:lineRule="auto"/>
        <w:ind w:left="-566" w:right="-1417"/>
        <w:jc w:val="both"/>
        <w:rPr>
          <w:rFonts w:ascii="Palatino Linotype" w:eastAsia="Palatino Linotype" w:hAnsi="Palatino Linotype" w:cs="Palatino Linotype"/>
          <w:i/>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lastRenderedPageBreak/>
        <w:t xml:space="preserve">Por lo tanto, la interposición del recurso de revisión antes de que inicie el plazo para su presentación no es determinante para declararlo extemporáneo, siempre y cuando ello ocurra de manera posterior a que se ha notificado la respuesta del </w:t>
      </w:r>
      <w:r w:rsidRPr="008721F3">
        <w:rPr>
          <w:rFonts w:ascii="Palatino Linotype" w:eastAsia="Palatino Linotype" w:hAnsi="Palatino Linotype" w:cs="Palatino Linotype"/>
          <w:b/>
          <w:color w:val="000000"/>
        </w:rPr>
        <w:t>SUJETO OBLIGADO.</w:t>
      </w:r>
    </w:p>
    <w:p w:rsidR="00925CFF" w:rsidRPr="008721F3" w:rsidRDefault="00925CFF">
      <w:pPr>
        <w:pBdr>
          <w:top w:val="nil"/>
          <w:left w:val="nil"/>
          <w:bottom w:val="nil"/>
          <w:right w:val="nil"/>
          <w:between w:val="nil"/>
        </w:pBdr>
        <w:ind w:left="-566" w:right="-1417"/>
        <w:rPr>
          <w:rFonts w:ascii="Palatino Linotype" w:eastAsia="Palatino Linotype" w:hAnsi="Palatino Linotype" w:cs="Palatino Linotype"/>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Por otro lado, es de suma importancia señalar que la parte recurrente no proporciona un nombre completo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w:t>
      </w:r>
      <w:r w:rsidRPr="008721F3">
        <w:rPr>
          <w:rFonts w:ascii="Palatino Linotype" w:eastAsia="Palatino Linotype" w:hAnsi="Palatino Linotype" w:cs="Palatino Linotype"/>
          <w:b/>
          <w:i/>
          <w:color w:val="000000"/>
          <w:sz w:val="22"/>
          <w:szCs w:val="22"/>
        </w:rPr>
        <w:t>Las solicitudes anónimas</w:t>
      </w:r>
      <w:r w:rsidRPr="008721F3">
        <w:rPr>
          <w:rFonts w:ascii="Palatino Linotype" w:eastAsia="Palatino Linotype" w:hAnsi="Palatino Linotype" w:cs="Palatino Linotype"/>
          <w:i/>
          <w:color w:val="000000"/>
          <w:sz w:val="22"/>
          <w:szCs w:val="22"/>
        </w:rPr>
        <w:t xml:space="preserve">, con nombre incompleto o seudónimo </w:t>
      </w:r>
      <w:r w:rsidRPr="008721F3">
        <w:rPr>
          <w:rFonts w:ascii="Palatino Linotype" w:eastAsia="Palatino Linotype" w:hAnsi="Palatino Linotype" w:cs="Palatino Linotype"/>
          <w:b/>
          <w:i/>
          <w:color w:val="000000"/>
          <w:sz w:val="22"/>
          <w:szCs w:val="22"/>
        </w:rPr>
        <w:t>serán procedentes para su trámite por parte del sujeto obligado ante quien se presente</w:t>
      </w:r>
      <w:r w:rsidRPr="008721F3">
        <w:rPr>
          <w:rFonts w:ascii="Palatino Linotype" w:eastAsia="Palatino Linotype" w:hAnsi="Palatino Linotype" w:cs="Palatino Linotype"/>
          <w:i/>
          <w:color w:val="000000"/>
          <w:sz w:val="22"/>
          <w:szCs w:val="22"/>
        </w:rPr>
        <w:t>. No podrá requerirse información adicional con motivo del nombre proporcionado por el solicitante.”</w:t>
      </w:r>
    </w:p>
    <w:p w:rsidR="00925CFF" w:rsidRPr="008721F3" w:rsidRDefault="00925CFF">
      <w:pPr>
        <w:pBdr>
          <w:top w:val="nil"/>
          <w:left w:val="nil"/>
          <w:bottom w:val="nil"/>
          <w:right w:val="nil"/>
          <w:between w:val="nil"/>
        </w:pBdr>
        <w:ind w:left="-566" w:right="-1417"/>
        <w:rPr>
          <w:rFonts w:ascii="Palatino Linotype" w:eastAsia="Palatino Linotype" w:hAnsi="Palatino Linotype" w:cs="Palatino Linotype"/>
          <w:i/>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w:t>
      </w:r>
      <w:r w:rsidRPr="008721F3">
        <w:rPr>
          <w:rFonts w:ascii="Palatino Linotype" w:eastAsia="Palatino Linotype" w:hAnsi="Palatino Linotype" w:cs="Palatino Linotype"/>
          <w:b/>
          <w:i/>
          <w:color w:val="000000"/>
          <w:sz w:val="22"/>
          <w:szCs w:val="22"/>
        </w:rPr>
        <w:t>Artículo 6.-</w:t>
      </w:r>
      <w:r w:rsidRPr="008721F3">
        <w:rPr>
          <w:rFonts w:ascii="Palatino Linotype" w:eastAsia="Palatino Linotype" w:hAnsi="Palatino Linotype" w:cs="Palatino Linotype"/>
          <w:i/>
          <w:color w:val="000000"/>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925CFF" w:rsidRPr="008721F3" w:rsidRDefault="002A18F9">
      <w:pPr>
        <w:pBdr>
          <w:top w:val="nil"/>
          <w:left w:val="nil"/>
          <w:bottom w:val="nil"/>
          <w:right w:val="nil"/>
          <w:between w:val="nil"/>
        </w:pBdr>
        <w:spacing w:after="120"/>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Para efectos de lo dispuesto en el presente artículo se observará lo siguiente:</w:t>
      </w: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A. Para el ejercicio del derecho de acceso a la información, la Federación, los Estados y el Distrito Federal, en el ámbito de sus respectivas competencias, se regirán por los siguientes principios y bases:</w:t>
      </w: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éstos.”(Sic)</w:t>
      </w:r>
    </w:p>
    <w:p w:rsidR="00925CFF" w:rsidRPr="008721F3" w:rsidRDefault="00925CFF">
      <w:pPr>
        <w:pBdr>
          <w:top w:val="nil"/>
          <w:left w:val="nil"/>
          <w:bottom w:val="nil"/>
          <w:right w:val="nil"/>
          <w:between w:val="nil"/>
        </w:pBdr>
        <w:ind w:left="141" w:right="-850"/>
        <w:rPr>
          <w:rFonts w:ascii="Palatino Linotype" w:eastAsia="Palatino Linotype" w:hAnsi="Palatino Linotype" w:cs="Palatino Linotype"/>
          <w:i/>
          <w:color w:val="000000"/>
          <w:sz w:val="22"/>
          <w:szCs w:val="22"/>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lastRenderedPageBreak/>
        <w:t>“</w:t>
      </w:r>
      <w:r w:rsidRPr="008721F3">
        <w:rPr>
          <w:rFonts w:ascii="Palatino Linotype" w:eastAsia="Palatino Linotype" w:hAnsi="Palatino Linotype" w:cs="Palatino Linotype"/>
          <w:b/>
          <w:i/>
          <w:color w:val="000000"/>
          <w:sz w:val="22"/>
          <w:szCs w:val="22"/>
        </w:rPr>
        <w:t>Artículo 5.-</w:t>
      </w:r>
      <w:r w:rsidRPr="008721F3">
        <w:rPr>
          <w:rFonts w:ascii="Palatino Linotype" w:eastAsia="Palatino Linotype" w:hAnsi="Palatino Linotype" w:cs="Palatino Linotype"/>
          <w:i/>
          <w:color w:val="000000"/>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925CFF" w:rsidRPr="008721F3" w:rsidRDefault="002A18F9">
      <w:pPr>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w:t>
      </w: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Toda persona en el Estado de México, tiene derecho al libre acceso a la información plural y oportuna, así como a buscar recibir y difundir información e ideas de toda índole por cualquier medio de expresión.</w:t>
      </w:r>
    </w:p>
    <w:p w:rsidR="00925CFF" w:rsidRPr="008721F3" w:rsidRDefault="002A18F9">
      <w:pPr>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w:t>
      </w: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El derecho a la información será garantizado por el Estado. La ley establecerá las previsiones que permitan asegurar la protección, el respeto y la difusión de este derecho.</w:t>
      </w:r>
    </w:p>
    <w:p w:rsidR="00925CFF" w:rsidRPr="008721F3" w:rsidRDefault="00925CFF">
      <w:pPr>
        <w:pBdr>
          <w:top w:val="nil"/>
          <w:left w:val="nil"/>
          <w:bottom w:val="nil"/>
          <w:right w:val="nil"/>
          <w:between w:val="nil"/>
        </w:pBdr>
        <w:ind w:left="141" w:right="-850"/>
        <w:jc w:val="both"/>
        <w:rPr>
          <w:rFonts w:ascii="Palatino Linotype" w:eastAsia="Palatino Linotype" w:hAnsi="Palatino Linotype" w:cs="Palatino Linotype"/>
          <w:i/>
          <w:color w:val="000000"/>
          <w:sz w:val="22"/>
          <w:szCs w:val="22"/>
        </w:rPr>
      </w:pP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w:t>
      </w:r>
    </w:p>
    <w:p w:rsidR="00925CFF" w:rsidRPr="008721F3" w:rsidRDefault="002A18F9">
      <w:pPr>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w:t>
      </w: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925CFF" w:rsidRPr="008721F3" w:rsidRDefault="00925CFF">
      <w:pPr>
        <w:pBdr>
          <w:top w:val="nil"/>
          <w:left w:val="nil"/>
          <w:bottom w:val="nil"/>
          <w:right w:val="nil"/>
          <w:between w:val="nil"/>
        </w:pBdr>
        <w:ind w:left="-566" w:right="-1417"/>
        <w:rPr>
          <w:rFonts w:ascii="Palatino Linotype" w:eastAsia="Palatino Linotype" w:hAnsi="Palatino Linotype" w:cs="Palatino Linotype"/>
          <w:i/>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Por otra parte, del contenido del artículo 1 de la Constitución Política de los Estados Unidos mexicanos, se destaca lo siguiente:</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w:t>
      </w:r>
      <w:r w:rsidRPr="008721F3">
        <w:rPr>
          <w:rFonts w:ascii="Palatino Linotype" w:eastAsia="Palatino Linotype" w:hAnsi="Palatino Linotype" w:cs="Palatino Linotype"/>
          <w:b/>
          <w:i/>
          <w:color w:val="000000"/>
          <w:sz w:val="22"/>
          <w:szCs w:val="22"/>
        </w:rPr>
        <w:t>Artículo 1</w:t>
      </w:r>
      <w:r w:rsidRPr="008721F3">
        <w:rPr>
          <w:rFonts w:ascii="Palatino Linotype" w:eastAsia="Palatino Linotype" w:hAnsi="Palatino Linotype" w:cs="Palatino Linotype"/>
          <w:i/>
          <w:color w:val="000000"/>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lastRenderedPageBreak/>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925CFF" w:rsidRPr="008721F3" w:rsidRDefault="00925CFF">
      <w:pPr>
        <w:pBdr>
          <w:top w:val="nil"/>
          <w:left w:val="nil"/>
          <w:bottom w:val="nil"/>
          <w:right w:val="nil"/>
          <w:between w:val="nil"/>
        </w:pBdr>
        <w:ind w:left="141" w:right="-709"/>
        <w:rPr>
          <w:rFonts w:ascii="Palatino Linotype" w:eastAsia="Palatino Linotype" w:hAnsi="Palatino Linotype" w:cs="Palatino Linotype"/>
          <w:i/>
          <w:color w:val="000000"/>
          <w:sz w:val="22"/>
          <w:szCs w:val="22"/>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Esto es, que el derecho humano de acceso a la información pública, se aprecia que toda persona, sin necesidad de acreditar interés alguno o justificar su interposición, deberá tener acceso a la información pública, es decir, dicho </w:t>
      </w:r>
      <w:r w:rsidRPr="008721F3">
        <w:rPr>
          <w:rFonts w:ascii="Palatino Linotype" w:eastAsia="Palatino Linotype" w:hAnsi="Palatino Linotype" w:cs="Palatino Linotype"/>
          <w:i/>
          <w:color w:val="000000"/>
        </w:rPr>
        <w:t>derecho fundamental exime a quien lo ejerce</w:t>
      </w:r>
      <w:r w:rsidRPr="008721F3">
        <w:rPr>
          <w:rFonts w:ascii="Palatino Linotype" w:eastAsia="Palatino Linotype" w:hAnsi="Palatino Linotype" w:cs="Palatino Linotype"/>
          <w:color w:val="000000"/>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925CFF" w:rsidRPr="008721F3" w:rsidRDefault="00925CFF">
      <w:pPr>
        <w:pBdr>
          <w:top w:val="nil"/>
          <w:left w:val="nil"/>
          <w:bottom w:val="nil"/>
          <w:right w:val="nil"/>
          <w:between w:val="nil"/>
        </w:pBdr>
        <w:spacing w:line="360" w:lineRule="auto"/>
        <w:ind w:left="-566" w:right="-1417"/>
        <w:jc w:val="both"/>
        <w:rPr>
          <w:rFonts w:ascii="Palatino Linotype" w:eastAsia="Palatino Linotype" w:hAnsi="Palatino Linotype" w:cs="Palatino Linotype"/>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rsidR="00925CFF" w:rsidRPr="008721F3" w:rsidRDefault="00925CFF">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Asimismo, los escritos contienen las formalidades previstas por el artículo 180 último párrafo de la Ley de la materia actual, por lo que es procedente que este Instituto de </w:t>
      </w:r>
      <w:r w:rsidRPr="008721F3">
        <w:rPr>
          <w:rFonts w:ascii="Palatino Linotype" w:eastAsia="Palatino Linotype" w:hAnsi="Palatino Linotype" w:cs="Palatino Linotype"/>
          <w:color w:val="000000"/>
        </w:rPr>
        <w:lastRenderedPageBreak/>
        <w:t>Transparencia, Acceso a la Información Pública y Protección de Datos Personales del Estado de México y Municipios, conozca y resuelva el presente recurso.</w:t>
      </w:r>
    </w:p>
    <w:p w:rsidR="00925CFF" w:rsidRPr="008721F3" w:rsidRDefault="00925CFF">
      <w:pPr>
        <w:pBdr>
          <w:top w:val="nil"/>
          <w:left w:val="nil"/>
          <w:bottom w:val="nil"/>
          <w:right w:val="nil"/>
          <w:between w:val="nil"/>
        </w:pBdr>
        <w:spacing w:line="360" w:lineRule="auto"/>
        <w:ind w:left="-566" w:right="-1417"/>
        <w:jc w:val="both"/>
        <w:rPr>
          <w:color w:val="000000"/>
        </w:rPr>
      </w:pPr>
    </w:p>
    <w:p w:rsidR="00925CFF" w:rsidRPr="008721F3" w:rsidRDefault="002A18F9">
      <w:pPr>
        <w:pStyle w:val="Ttulo1"/>
        <w:spacing w:before="0" w:line="360" w:lineRule="auto"/>
        <w:ind w:left="-566" w:right="-1417"/>
        <w:rPr>
          <w:rFonts w:ascii="Palatino Linotype" w:eastAsia="Palatino Linotype" w:hAnsi="Palatino Linotype" w:cs="Palatino Linotype"/>
          <w:b/>
          <w:color w:val="000000"/>
          <w:sz w:val="24"/>
          <w:szCs w:val="24"/>
        </w:rPr>
      </w:pPr>
      <w:bookmarkStart w:id="8" w:name="_heading=h.2s8eyo1" w:colFirst="0" w:colLast="0"/>
      <w:bookmarkEnd w:id="8"/>
      <w:r w:rsidRPr="008721F3">
        <w:rPr>
          <w:rFonts w:ascii="Palatino Linotype" w:eastAsia="Palatino Linotype" w:hAnsi="Palatino Linotype" w:cs="Palatino Linotype"/>
          <w:b/>
          <w:color w:val="000000"/>
          <w:sz w:val="24"/>
          <w:szCs w:val="24"/>
        </w:rPr>
        <w:t xml:space="preserve">TERCERO. Del planteamiento de la </w:t>
      </w:r>
      <w:r w:rsidRPr="008721F3">
        <w:rPr>
          <w:rFonts w:ascii="Palatino Linotype" w:eastAsia="Palatino Linotype" w:hAnsi="Palatino Linotype" w:cs="Palatino Linotype"/>
          <w:b/>
          <w:i/>
          <w:color w:val="000000"/>
          <w:sz w:val="24"/>
          <w:szCs w:val="24"/>
        </w:rPr>
        <w:t>Litis</w:t>
      </w:r>
      <w:r w:rsidRPr="008721F3">
        <w:rPr>
          <w:rFonts w:ascii="Palatino Linotype" w:eastAsia="Palatino Linotype" w:hAnsi="Palatino Linotype" w:cs="Palatino Linotype"/>
          <w:b/>
          <w:color w:val="000000"/>
          <w:sz w:val="24"/>
          <w:szCs w:val="24"/>
        </w:rPr>
        <w:t>.</w:t>
      </w: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rFonts w:ascii="Palatino Linotype" w:eastAsia="Palatino Linotype" w:hAnsi="Palatino Linotype" w:cs="Palatino Linotype"/>
          <w:b/>
          <w:color w:val="000000"/>
        </w:rPr>
      </w:pPr>
      <w:r w:rsidRPr="008721F3">
        <w:rPr>
          <w:rFonts w:ascii="Palatino Linotype" w:eastAsia="Palatino Linotype" w:hAnsi="Palatino Linotype" w:cs="Palatino Linotype"/>
          <w:color w:val="000000"/>
        </w:rPr>
        <w:t>De las constancias en el expediente al rubro indicado, se desprende que la particular solicitó la información que a continuación se desagrega:</w:t>
      </w:r>
    </w:p>
    <w:p w:rsidR="00925CFF" w:rsidRPr="008721F3" w:rsidRDefault="002A18F9">
      <w:pPr>
        <w:pBdr>
          <w:top w:val="nil"/>
          <w:left w:val="nil"/>
          <w:bottom w:val="nil"/>
          <w:right w:val="nil"/>
          <w:between w:val="nil"/>
        </w:pBdr>
        <w:spacing w:line="360" w:lineRule="auto"/>
        <w:ind w:left="141" w:right="-709"/>
        <w:jc w:val="both"/>
        <w:rPr>
          <w:rFonts w:ascii="Palatino Linotype" w:eastAsia="Palatino Linotype" w:hAnsi="Palatino Linotype" w:cs="Palatino Linotype"/>
          <w:b/>
          <w:i/>
          <w:sz w:val="22"/>
          <w:szCs w:val="22"/>
        </w:rPr>
      </w:pPr>
      <w:r w:rsidRPr="008721F3">
        <w:rPr>
          <w:rFonts w:ascii="Palatino Linotype" w:eastAsia="Palatino Linotype" w:hAnsi="Palatino Linotype" w:cs="Palatino Linotype"/>
          <w:b/>
          <w:i/>
          <w:sz w:val="22"/>
          <w:szCs w:val="22"/>
        </w:rPr>
        <w:t>Todos los documentos relativos al informe de gobierne del  Presidente Municipal por su último informe de gobierno:</w:t>
      </w:r>
    </w:p>
    <w:p w:rsidR="00925CFF" w:rsidRPr="008721F3" w:rsidRDefault="002A18F9">
      <w:pPr>
        <w:numPr>
          <w:ilvl w:val="0"/>
          <w:numId w:val="7"/>
        </w:numPr>
        <w:pBdr>
          <w:top w:val="nil"/>
          <w:left w:val="nil"/>
          <w:bottom w:val="nil"/>
          <w:right w:val="nil"/>
          <w:between w:val="nil"/>
        </w:pBdr>
        <w:spacing w:line="360" w:lineRule="auto"/>
        <w:ind w:left="141" w:right="-709" w:firstLine="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Requisiciones</w:t>
      </w:r>
    </w:p>
    <w:p w:rsidR="00925CFF" w:rsidRPr="008721F3" w:rsidRDefault="002A18F9">
      <w:pPr>
        <w:numPr>
          <w:ilvl w:val="0"/>
          <w:numId w:val="7"/>
        </w:numPr>
        <w:pBdr>
          <w:top w:val="nil"/>
          <w:left w:val="nil"/>
          <w:bottom w:val="nil"/>
          <w:right w:val="nil"/>
          <w:between w:val="nil"/>
        </w:pBdr>
        <w:spacing w:line="360" w:lineRule="auto"/>
        <w:ind w:left="141" w:right="-709" w:firstLine="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suficiencia presupuestal</w:t>
      </w:r>
    </w:p>
    <w:p w:rsidR="00925CFF" w:rsidRPr="008721F3" w:rsidRDefault="002A18F9">
      <w:pPr>
        <w:numPr>
          <w:ilvl w:val="0"/>
          <w:numId w:val="7"/>
        </w:numPr>
        <w:pBdr>
          <w:top w:val="nil"/>
          <w:left w:val="nil"/>
          <w:bottom w:val="nil"/>
          <w:right w:val="nil"/>
          <w:between w:val="nil"/>
        </w:pBdr>
        <w:spacing w:line="360" w:lineRule="auto"/>
        <w:ind w:left="141" w:right="-709" w:firstLine="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nombre del proveedor de las pantallas</w:t>
      </w:r>
    </w:p>
    <w:p w:rsidR="00925CFF" w:rsidRPr="008721F3" w:rsidRDefault="002A18F9">
      <w:pPr>
        <w:numPr>
          <w:ilvl w:val="0"/>
          <w:numId w:val="7"/>
        </w:numPr>
        <w:pBdr>
          <w:top w:val="nil"/>
          <w:left w:val="nil"/>
          <w:bottom w:val="nil"/>
          <w:right w:val="nil"/>
          <w:between w:val="nil"/>
        </w:pBdr>
        <w:spacing w:line="360" w:lineRule="auto"/>
        <w:ind w:left="141" w:right="-709" w:firstLine="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nombre del proveedor de las sillas y mesas</w:t>
      </w:r>
    </w:p>
    <w:p w:rsidR="00925CFF" w:rsidRPr="008721F3" w:rsidRDefault="002A18F9">
      <w:pPr>
        <w:numPr>
          <w:ilvl w:val="0"/>
          <w:numId w:val="7"/>
        </w:numPr>
        <w:pBdr>
          <w:top w:val="nil"/>
          <w:left w:val="nil"/>
          <w:bottom w:val="nil"/>
          <w:right w:val="nil"/>
          <w:between w:val="nil"/>
        </w:pBdr>
        <w:spacing w:line="360" w:lineRule="auto"/>
        <w:ind w:left="141" w:right="-709" w:firstLine="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nombre del proveedor de la comida que dieron </w:t>
      </w:r>
    </w:p>
    <w:p w:rsidR="00925CFF" w:rsidRPr="008721F3" w:rsidRDefault="002A18F9">
      <w:pPr>
        <w:numPr>
          <w:ilvl w:val="0"/>
          <w:numId w:val="7"/>
        </w:numPr>
        <w:pBdr>
          <w:top w:val="nil"/>
          <w:left w:val="nil"/>
          <w:bottom w:val="nil"/>
          <w:right w:val="nil"/>
          <w:between w:val="nil"/>
        </w:pBdr>
        <w:spacing w:line="360" w:lineRule="auto"/>
        <w:ind w:left="141" w:right="-709" w:firstLine="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nombre del proveedor que elaboró todo lo relativo al informe de gobierno </w:t>
      </w:r>
    </w:p>
    <w:p w:rsidR="00925CFF" w:rsidRPr="008721F3" w:rsidRDefault="00925CFF">
      <w:pPr>
        <w:pBdr>
          <w:top w:val="nil"/>
          <w:left w:val="nil"/>
          <w:bottom w:val="nil"/>
          <w:right w:val="nil"/>
          <w:between w:val="nil"/>
        </w:pBdr>
        <w:spacing w:line="360" w:lineRule="auto"/>
        <w:ind w:left="1854" w:right="-709"/>
        <w:jc w:val="both"/>
        <w:rPr>
          <w:rFonts w:ascii="Palatino Linotype" w:eastAsia="Palatino Linotype" w:hAnsi="Palatino Linotype" w:cs="Palatino Linotype"/>
          <w:b/>
          <w:i/>
          <w:sz w:val="22"/>
          <w:szCs w:val="22"/>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En respuesta, el </w:t>
      </w:r>
      <w:r w:rsidRPr="008721F3">
        <w:rPr>
          <w:rFonts w:ascii="Palatino Linotype" w:eastAsia="Palatino Linotype" w:hAnsi="Palatino Linotype" w:cs="Palatino Linotype"/>
          <w:b/>
          <w:color w:val="000000"/>
        </w:rPr>
        <w:t xml:space="preserve">SUJETO OBLIGADO </w:t>
      </w:r>
      <w:r w:rsidRPr="008721F3">
        <w:rPr>
          <w:rFonts w:ascii="Palatino Linotype" w:eastAsia="Palatino Linotype" w:hAnsi="Palatino Linotype" w:cs="Palatino Linotype"/>
          <w:color w:val="000000"/>
        </w:rPr>
        <w:t xml:space="preserve">por medio de la Dirección de Administración realiza la reserva de la información por el periodo de un año o hasta </w:t>
      </w:r>
      <w:r w:rsidRPr="008721F3">
        <w:rPr>
          <w:rFonts w:ascii="Palatino Linotype" w:eastAsia="Palatino Linotype" w:hAnsi="Palatino Linotype" w:cs="Palatino Linotype"/>
        </w:rPr>
        <w:t>terminar</w:t>
      </w:r>
      <w:r w:rsidRPr="008721F3">
        <w:rPr>
          <w:rFonts w:ascii="Palatino Linotype" w:eastAsia="Palatino Linotype" w:hAnsi="Palatino Linotype" w:cs="Palatino Linotype"/>
          <w:color w:val="000000"/>
        </w:rPr>
        <w:t xml:space="preserve"> la auditoría que realiza el Órgano Superior de Fiscalización del Estado de México. </w:t>
      </w:r>
    </w:p>
    <w:p w:rsidR="00925CFF" w:rsidRPr="008721F3" w:rsidRDefault="00925CFF">
      <w:pPr>
        <w:pBdr>
          <w:top w:val="nil"/>
          <w:left w:val="nil"/>
          <w:bottom w:val="nil"/>
          <w:right w:val="nil"/>
          <w:between w:val="nil"/>
        </w:pBdr>
        <w:spacing w:line="360" w:lineRule="auto"/>
        <w:ind w:left="-566" w:right="-1417"/>
        <w:jc w:val="both"/>
        <w:rPr>
          <w:rFonts w:ascii="Palatino Linotype" w:eastAsia="Palatino Linotype" w:hAnsi="Palatino Linotype" w:cs="Palatino Linotype"/>
          <w:i/>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En dichas condiciones, la </w:t>
      </w:r>
      <w:r w:rsidRPr="008721F3">
        <w:rPr>
          <w:rFonts w:ascii="Palatino Linotype" w:eastAsia="Palatino Linotype" w:hAnsi="Palatino Linotype" w:cs="Palatino Linotype"/>
          <w:i/>
          <w:color w:val="000000"/>
        </w:rPr>
        <w:t>Litis</w:t>
      </w:r>
      <w:r w:rsidRPr="008721F3">
        <w:rPr>
          <w:rFonts w:ascii="Palatino Linotype" w:eastAsia="Palatino Linotype" w:hAnsi="Palatino Linotype" w:cs="Palatino Linotype"/>
          <w:color w:val="000000"/>
        </w:rPr>
        <w:t xml:space="preserve"> a resolver en estos recursos se circunscribe a determinar si se actualizan las causales de procedencia previstas en el artículo 179, </w:t>
      </w:r>
      <w:r w:rsidRPr="008721F3">
        <w:rPr>
          <w:rFonts w:ascii="Palatino Linotype" w:eastAsia="Palatino Linotype" w:hAnsi="Palatino Linotype" w:cs="Palatino Linotype"/>
          <w:b/>
          <w:color w:val="000000"/>
        </w:rPr>
        <w:t xml:space="preserve">fracción I </w:t>
      </w:r>
      <w:r w:rsidRPr="008721F3">
        <w:rPr>
          <w:rFonts w:ascii="Palatino Linotype" w:eastAsia="Palatino Linotype" w:hAnsi="Palatino Linotype" w:cs="Palatino Linotype"/>
          <w:color w:val="000000"/>
        </w:rPr>
        <w:t>de la Ley</w:t>
      </w:r>
      <w:r w:rsidRPr="008721F3">
        <w:rPr>
          <w:rFonts w:ascii="Palatino Linotype" w:eastAsia="Palatino Linotype" w:hAnsi="Palatino Linotype" w:cs="Palatino Linotype"/>
          <w:b/>
          <w:color w:val="000000"/>
        </w:rPr>
        <w:t xml:space="preserve"> de Transparencia y Acceso a la Información Pública del Estado de </w:t>
      </w:r>
      <w:r w:rsidRPr="008721F3">
        <w:rPr>
          <w:rFonts w:ascii="Palatino Linotype" w:eastAsia="Palatino Linotype" w:hAnsi="Palatino Linotype" w:cs="Palatino Linotype"/>
          <w:color w:val="000000"/>
        </w:rPr>
        <w:t>México</w:t>
      </w:r>
      <w:r w:rsidRPr="008721F3">
        <w:rPr>
          <w:rFonts w:ascii="Palatino Linotype" w:eastAsia="Palatino Linotype" w:hAnsi="Palatino Linotype" w:cs="Palatino Linotype"/>
          <w:b/>
          <w:color w:val="000000"/>
        </w:rPr>
        <w:t xml:space="preserve"> y Municipios</w:t>
      </w:r>
      <w:r w:rsidRPr="008721F3">
        <w:rPr>
          <w:rFonts w:ascii="Palatino Linotype" w:eastAsia="Palatino Linotype" w:hAnsi="Palatino Linotype" w:cs="Palatino Linotype"/>
          <w:color w:val="000000"/>
        </w:rPr>
        <w:t xml:space="preserve">; fracción que determina la hipótesis jurídica relativa a la negativa de información por parte del </w:t>
      </w:r>
      <w:r w:rsidRPr="008721F3">
        <w:rPr>
          <w:rFonts w:ascii="Palatino Linotype" w:eastAsia="Palatino Linotype" w:hAnsi="Palatino Linotype" w:cs="Palatino Linotype"/>
          <w:b/>
          <w:color w:val="000000"/>
        </w:rPr>
        <w:t xml:space="preserve">SUJETO </w:t>
      </w:r>
      <w:r w:rsidRPr="008721F3">
        <w:rPr>
          <w:rFonts w:ascii="Palatino Linotype" w:eastAsia="Palatino Linotype" w:hAnsi="Palatino Linotype" w:cs="Palatino Linotype"/>
          <w:b/>
          <w:color w:val="000000"/>
        </w:rPr>
        <w:lastRenderedPageBreak/>
        <w:t>OBLIGADO</w:t>
      </w:r>
      <w:r w:rsidRPr="008721F3">
        <w:rPr>
          <w:rFonts w:ascii="Palatino Linotype" w:eastAsia="Palatino Linotype" w:hAnsi="Palatino Linotype" w:cs="Palatino Linotype"/>
          <w:color w:val="000000"/>
        </w:rPr>
        <w:t xml:space="preserve">; contexto del cual se dolió </w:t>
      </w:r>
      <w:r w:rsidRPr="008721F3">
        <w:rPr>
          <w:rFonts w:ascii="Palatino Linotype" w:eastAsia="Palatino Linotype" w:hAnsi="Palatino Linotype" w:cs="Palatino Linotype"/>
          <w:b/>
          <w:color w:val="000000"/>
        </w:rPr>
        <w:t xml:space="preserve">EL RECURRENTE </w:t>
      </w:r>
      <w:r w:rsidRPr="008721F3">
        <w:rPr>
          <w:rFonts w:ascii="Palatino Linotype" w:eastAsia="Palatino Linotype" w:hAnsi="Palatino Linotype" w:cs="Palatino Linotype"/>
          <w:color w:val="000000"/>
        </w:rPr>
        <w:t>al momento de interponer su inconformidad.</w:t>
      </w:r>
    </w:p>
    <w:p w:rsidR="00925CFF" w:rsidRPr="008721F3" w:rsidRDefault="00925CFF">
      <w:pPr>
        <w:pBdr>
          <w:top w:val="nil"/>
          <w:left w:val="nil"/>
          <w:bottom w:val="nil"/>
          <w:right w:val="nil"/>
          <w:between w:val="nil"/>
        </w:pBdr>
        <w:spacing w:line="360" w:lineRule="auto"/>
        <w:ind w:left="-566" w:right="-1417"/>
        <w:jc w:val="both"/>
        <w:rPr>
          <w:rFonts w:ascii="Palatino Linotype" w:eastAsia="Palatino Linotype" w:hAnsi="Palatino Linotype" w:cs="Palatino Linotype"/>
          <w:color w:val="000000"/>
        </w:rPr>
      </w:pP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De modo tal que el presente recurso de revisión se </w:t>
      </w:r>
      <w:r w:rsidRPr="008721F3">
        <w:rPr>
          <w:rFonts w:ascii="Palatino Linotype" w:eastAsia="Palatino Linotype" w:hAnsi="Palatino Linotype" w:cs="Palatino Linotype"/>
        </w:rPr>
        <w:t xml:space="preserve">abocara </w:t>
      </w:r>
      <w:r w:rsidRPr="008721F3">
        <w:rPr>
          <w:rFonts w:ascii="Palatino Linotype" w:eastAsia="Palatino Linotype" w:hAnsi="Palatino Linotype" w:cs="Palatino Linotype"/>
          <w:color w:val="000000"/>
        </w:rPr>
        <w:t xml:space="preserve">en determinar si el </w:t>
      </w:r>
      <w:r w:rsidRPr="008721F3">
        <w:rPr>
          <w:rFonts w:ascii="Palatino Linotype" w:eastAsia="Palatino Linotype" w:hAnsi="Palatino Linotype" w:cs="Palatino Linotype"/>
          <w:b/>
          <w:color w:val="000000"/>
        </w:rPr>
        <w:t>SUJETO OBLIGADO</w:t>
      </w:r>
      <w:r w:rsidRPr="008721F3">
        <w:rPr>
          <w:rFonts w:ascii="Palatino Linotype" w:eastAsia="Palatino Linotype" w:hAnsi="Palatino Linotype" w:cs="Palatino Linotype"/>
          <w:color w:val="000000"/>
        </w:rPr>
        <w:t xml:space="preserve"> con su respuesta ciertamente actualiza la causal de procedencia</w:t>
      </w:r>
      <w:r w:rsidRPr="008721F3">
        <w:rPr>
          <w:rFonts w:ascii="Palatino Linotype" w:eastAsia="Palatino Linotype" w:hAnsi="Palatino Linotype" w:cs="Palatino Linotype"/>
          <w:b/>
          <w:color w:val="000000"/>
        </w:rPr>
        <w:t xml:space="preserve"> </w:t>
      </w:r>
      <w:r w:rsidRPr="008721F3">
        <w:rPr>
          <w:rFonts w:ascii="Palatino Linotype" w:eastAsia="Palatino Linotype" w:hAnsi="Palatino Linotype" w:cs="Palatino Linotype"/>
          <w:color w:val="000000"/>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925CFF" w:rsidRPr="008721F3" w:rsidRDefault="00925CFF">
      <w:pPr>
        <w:pBdr>
          <w:top w:val="nil"/>
          <w:left w:val="nil"/>
          <w:bottom w:val="nil"/>
          <w:right w:val="nil"/>
          <w:between w:val="nil"/>
        </w:pBdr>
        <w:spacing w:line="360" w:lineRule="auto"/>
        <w:ind w:left="-566" w:right="-1417"/>
        <w:rPr>
          <w:rFonts w:ascii="Palatino Linotype" w:eastAsia="Palatino Linotype" w:hAnsi="Palatino Linotype" w:cs="Palatino Linotype"/>
          <w:color w:val="000000"/>
        </w:rPr>
      </w:pPr>
    </w:p>
    <w:p w:rsidR="00925CFF" w:rsidRPr="008721F3" w:rsidRDefault="002A18F9">
      <w:pPr>
        <w:keepNext/>
        <w:keepLines/>
        <w:spacing w:line="360" w:lineRule="auto"/>
        <w:ind w:left="-566" w:right="-1417"/>
        <w:rPr>
          <w:rFonts w:ascii="Palatino Linotype" w:eastAsia="Palatino Linotype" w:hAnsi="Palatino Linotype" w:cs="Palatino Linotype"/>
          <w:b/>
          <w:color w:val="000000"/>
        </w:rPr>
      </w:pPr>
      <w:r w:rsidRPr="008721F3">
        <w:rPr>
          <w:rFonts w:ascii="Palatino Linotype" w:eastAsia="Palatino Linotype" w:hAnsi="Palatino Linotype" w:cs="Palatino Linotype"/>
          <w:b/>
          <w:color w:val="000000"/>
        </w:rPr>
        <w:t>CUARTO. Del estudio y resolución del estudio.</w:t>
      </w:r>
    </w:p>
    <w:p w:rsidR="00925CFF" w:rsidRPr="008721F3" w:rsidRDefault="002A18F9">
      <w:pPr>
        <w:keepNext/>
        <w:keepLines/>
        <w:numPr>
          <w:ilvl w:val="0"/>
          <w:numId w:val="13"/>
        </w:numPr>
        <w:spacing w:after="240" w:line="360" w:lineRule="auto"/>
        <w:ind w:left="-566" w:right="-1417" w:firstLine="0"/>
        <w:rPr>
          <w:rFonts w:ascii="Palatino Linotype" w:eastAsia="Palatino Linotype" w:hAnsi="Palatino Linotype" w:cs="Palatino Linotype"/>
          <w:b/>
          <w:color w:val="000000"/>
        </w:rPr>
      </w:pPr>
      <w:bookmarkStart w:id="9" w:name="_heading=h.17dp8vu" w:colFirst="0" w:colLast="0"/>
      <w:bookmarkEnd w:id="9"/>
      <w:r w:rsidRPr="008721F3">
        <w:rPr>
          <w:rFonts w:ascii="Palatino Linotype" w:eastAsia="Palatino Linotype" w:hAnsi="Palatino Linotype" w:cs="Palatino Linotype"/>
          <w:b/>
          <w:color w:val="000000"/>
        </w:rPr>
        <w:t>Del derecho de acceso a la información.</w:t>
      </w:r>
    </w:p>
    <w:p w:rsidR="00925CFF" w:rsidRPr="008721F3" w:rsidRDefault="002A18F9">
      <w:pPr>
        <w:numPr>
          <w:ilvl w:val="0"/>
          <w:numId w:val="12"/>
        </w:numPr>
        <w:pBdr>
          <w:top w:val="nil"/>
          <w:left w:val="nil"/>
          <w:bottom w:val="nil"/>
          <w:right w:val="nil"/>
          <w:between w:val="nil"/>
        </w:pBd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925CFF" w:rsidRPr="008721F3" w:rsidRDefault="002A18F9">
      <w:pPr>
        <w:numPr>
          <w:ilvl w:val="0"/>
          <w:numId w:val="12"/>
        </w:numPr>
        <w:spacing w:before="240" w:line="360" w:lineRule="auto"/>
        <w:ind w:left="-566" w:right="-1417" w:firstLine="0"/>
        <w:jc w:val="both"/>
      </w:pPr>
      <w:r w:rsidRPr="008721F3">
        <w:rPr>
          <w:rFonts w:ascii="Palatino Linotype" w:eastAsia="Palatino Linotype" w:hAnsi="Palatino Linotype" w:cs="Palatino Linotype"/>
        </w:rPr>
        <w:t xml:space="preserve">Definiendo el Derecho de Acceso a la Información Pública como: </w:t>
      </w:r>
      <w:r w:rsidRPr="008721F3">
        <w:rPr>
          <w:rFonts w:ascii="Palatino Linotype" w:eastAsia="Palatino Linotype" w:hAnsi="Palatino Linotype" w:cs="Palatino Linotype"/>
          <w:i/>
          <w:color w:val="000000"/>
        </w:rPr>
        <w:t>La igualdad de oportunidades para recibir, buscar e impartir información</w:t>
      </w:r>
      <w:r w:rsidRPr="008721F3">
        <w:rPr>
          <w:rFonts w:ascii="Palatino Linotype" w:eastAsia="Palatino Linotype" w:hAnsi="Palatino Linotype" w:cs="Palatino Linotype"/>
          <w:i/>
          <w:vertAlign w:val="superscript"/>
        </w:rPr>
        <w:footnoteReference w:id="1"/>
      </w:r>
      <w:r w:rsidRPr="008721F3">
        <w:rPr>
          <w:rFonts w:ascii="Palatino Linotype" w:eastAsia="Palatino Linotype" w:hAnsi="Palatino Linotype" w:cs="Palatino Linotype"/>
          <w:i/>
          <w:color w:val="000000"/>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w:t>
      </w:r>
      <w:r w:rsidRPr="008721F3">
        <w:rPr>
          <w:rFonts w:ascii="Palatino Linotype" w:eastAsia="Palatino Linotype" w:hAnsi="Palatino Linotype" w:cs="Palatino Linotype"/>
          <w:i/>
          <w:color w:val="000000"/>
        </w:rPr>
        <w:lastRenderedPageBreak/>
        <w:t>recursos públicos o realice actos de autoridad en el ámbito federal, estatal y municipal,</w:t>
      </w:r>
      <w:r w:rsidRPr="008721F3">
        <w:rPr>
          <w:rFonts w:ascii="Palatino Linotype" w:eastAsia="Palatino Linotype" w:hAnsi="Palatino Linotype" w:cs="Palatino Linotype"/>
          <w:i/>
          <w:vertAlign w:val="superscript"/>
        </w:rPr>
        <w:footnoteReference w:id="2"/>
      </w:r>
      <w:r w:rsidRPr="008721F3">
        <w:rPr>
          <w:rFonts w:ascii="Palatino Linotype" w:eastAsia="Palatino Linotype" w:hAnsi="Palatino Linotype" w:cs="Palatino Linotype"/>
          <w:color w:val="000000"/>
        </w:rPr>
        <w:t>que se constituye como una herramienta fundamental para ejercer</w:t>
      </w:r>
      <w:r w:rsidRPr="008721F3">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8721F3">
        <w:rPr>
          <w:rFonts w:ascii="Palatino Linotype" w:eastAsia="Palatino Linotype" w:hAnsi="Palatino Linotype" w:cs="Palatino Linotype"/>
          <w:i/>
          <w:vertAlign w:val="superscript"/>
        </w:rPr>
        <w:footnoteReference w:id="3"/>
      </w:r>
      <w:r w:rsidRPr="008721F3">
        <w:rPr>
          <w:rFonts w:ascii="Palatino Linotype" w:eastAsia="Palatino Linotype" w:hAnsi="Palatino Linotype" w:cs="Palatino Linotype"/>
          <w:color w:val="000000"/>
        </w:rPr>
        <w:t>fomentando</w:t>
      </w:r>
      <w:r w:rsidRPr="008721F3">
        <w:rPr>
          <w:rFonts w:ascii="Palatino Linotype" w:eastAsia="Palatino Linotype" w:hAnsi="Palatino Linotype" w:cs="Palatino Linotype"/>
          <w:i/>
          <w:color w:val="000000"/>
        </w:rPr>
        <w:t xml:space="preserve"> la transparencia de las actividades estatales y </w:t>
      </w:r>
      <w:r w:rsidRPr="008721F3">
        <w:rPr>
          <w:rFonts w:ascii="Palatino Linotype" w:eastAsia="Palatino Linotype" w:hAnsi="Palatino Linotype" w:cs="Palatino Linotype"/>
          <w:color w:val="000000"/>
        </w:rPr>
        <w:t>promoviendo</w:t>
      </w:r>
      <w:r w:rsidRPr="008721F3">
        <w:rPr>
          <w:rFonts w:ascii="Palatino Linotype" w:eastAsia="Palatino Linotype" w:hAnsi="Palatino Linotype" w:cs="Palatino Linotype"/>
          <w:i/>
          <w:color w:val="000000"/>
        </w:rPr>
        <w:t xml:space="preserve"> la responsabilidad de los funcionarios sobre su gestión pública,</w:t>
      </w:r>
      <w:r w:rsidRPr="008721F3">
        <w:rPr>
          <w:rFonts w:ascii="Palatino Linotype" w:eastAsia="Palatino Linotype" w:hAnsi="Palatino Linotype" w:cs="Palatino Linotype"/>
          <w:i/>
          <w:vertAlign w:val="superscript"/>
        </w:rPr>
        <w:footnoteReference w:id="4"/>
      </w:r>
      <w:r w:rsidRPr="008721F3">
        <w:rPr>
          <w:rFonts w:ascii="Palatino Linotype" w:eastAsia="Palatino Linotype" w:hAnsi="Palatino Linotype" w:cs="Palatino Linotype"/>
          <w:color w:val="000000"/>
        </w:rPr>
        <w:t>que permite</w:t>
      </w:r>
      <w:r w:rsidRPr="008721F3">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925CFF" w:rsidRPr="008721F3" w:rsidRDefault="00925CFF">
      <w:pPr>
        <w:spacing w:line="360" w:lineRule="auto"/>
        <w:ind w:left="-566" w:right="-1417"/>
        <w:jc w:val="both"/>
        <w:rPr>
          <w:rFonts w:ascii="Palatino Linotype" w:eastAsia="Palatino Linotype" w:hAnsi="Palatino Linotype" w:cs="Palatino Linotype"/>
        </w:rPr>
      </w:pPr>
    </w:p>
    <w:p w:rsidR="00925CFF" w:rsidRPr="008721F3" w:rsidRDefault="002A18F9">
      <w:pPr>
        <w:numPr>
          <w:ilvl w:val="0"/>
          <w:numId w:val="12"/>
        </w:numPr>
        <w:spacing w:line="360" w:lineRule="auto"/>
        <w:ind w:left="-566" w:right="-1417" w:firstLine="0"/>
        <w:jc w:val="both"/>
      </w:pPr>
      <w:r w:rsidRPr="008721F3">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925CFF" w:rsidRPr="008721F3" w:rsidRDefault="002A18F9">
      <w:pPr>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w:t>
      </w:r>
      <w:r w:rsidRPr="008721F3">
        <w:rPr>
          <w:rFonts w:ascii="Palatino Linotype" w:eastAsia="Palatino Linotype" w:hAnsi="Palatino Linotype" w:cs="Palatino Linotype"/>
          <w:b/>
          <w:i/>
          <w:sz w:val="22"/>
          <w:szCs w:val="22"/>
        </w:rPr>
        <w:t>Artículo 1.-</w:t>
      </w:r>
      <w:r w:rsidRPr="008721F3">
        <w:rPr>
          <w:rFonts w:ascii="Palatino Linotype" w:eastAsia="Palatino Linotype" w:hAnsi="Palatino Linotype" w:cs="Palatino Linotype"/>
          <w:i/>
          <w:sz w:val="22"/>
          <w:szCs w:val="22"/>
        </w:rPr>
        <w:t xml:space="preserve"> </w:t>
      </w:r>
    </w:p>
    <w:p w:rsidR="00925CFF" w:rsidRPr="008721F3" w:rsidRDefault="002A18F9">
      <w:pPr>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w:t>
      </w:r>
    </w:p>
    <w:p w:rsidR="00925CFF" w:rsidRPr="008721F3" w:rsidRDefault="002A18F9">
      <w:pPr>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Todas las</w:t>
      </w:r>
      <w:r w:rsidRPr="008721F3">
        <w:rPr>
          <w:rFonts w:ascii="Palatino Linotype" w:eastAsia="Palatino Linotype" w:hAnsi="Palatino Linotype" w:cs="Palatino Linotype"/>
          <w:sz w:val="22"/>
          <w:szCs w:val="22"/>
        </w:rPr>
        <w:t xml:space="preserve"> </w:t>
      </w:r>
      <w:r w:rsidRPr="008721F3">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925CFF" w:rsidRPr="008721F3" w:rsidRDefault="002A18F9">
      <w:pPr>
        <w:ind w:left="141" w:right="-850"/>
        <w:jc w:val="both"/>
        <w:rPr>
          <w:rFonts w:ascii="Palatino Linotype" w:eastAsia="Palatino Linotype" w:hAnsi="Palatino Linotype" w:cs="Palatino Linotype"/>
          <w:sz w:val="22"/>
          <w:szCs w:val="22"/>
        </w:rPr>
      </w:pPr>
      <w:r w:rsidRPr="008721F3">
        <w:rPr>
          <w:rFonts w:ascii="Palatino Linotype" w:eastAsia="Palatino Linotype" w:hAnsi="Palatino Linotype" w:cs="Palatino Linotype"/>
          <w:i/>
          <w:sz w:val="22"/>
          <w:szCs w:val="22"/>
        </w:rPr>
        <w:t>(…)</w:t>
      </w:r>
      <w:r w:rsidRPr="008721F3">
        <w:rPr>
          <w:rFonts w:ascii="Palatino Linotype" w:eastAsia="Palatino Linotype" w:hAnsi="Palatino Linotype" w:cs="Palatino Linotype"/>
          <w:sz w:val="22"/>
          <w:szCs w:val="22"/>
        </w:rPr>
        <w:t>”.</w:t>
      </w:r>
    </w:p>
    <w:p w:rsidR="00925CFF" w:rsidRPr="008721F3" w:rsidRDefault="00925CFF">
      <w:pPr>
        <w:ind w:left="-566" w:right="-1417"/>
        <w:jc w:val="both"/>
        <w:rPr>
          <w:rFonts w:ascii="Palatino Linotype" w:eastAsia="Palatino Linotype" w:hAnsi="Palatino Linotype" w:cs="Palatino Linotype"/>
          <w:b/>
        </w:rPr>
      </w:pPr>
    </w:p>
    <w:p w:rsidR="00925CFF" w:rsidRPr="008721F3" w:rsidRDefault="002A18F9">
      <w:pPr>
        <w:numPr>
          <w:ilvl w:val="0"/>
          <w:numId w:val="12"/>
        </w:numPr>
        <w:spacing w:line="360" w:lineRule="auto"/>
        <w:ind w:left="-566" w:right="-1417" w:firstLine="0"/>
        <w:jc w:val="both"/>
      </w:pPr>
      <w:r w:rsidRPr="008721F3">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925CFF" w:rsidRPr="008721F3" w:rsidRDefault="00925CFF">
      <w:pPr>
        <w:spacing w:line="360" w:lineRule="auto"/>
        <w:ind w:left="-566" w:right="-1417"/>
        <w:jc w:val="both"/>
        <w:rPr>
          <w:rFonts w:ascii="Palatino Linotype" w:eastAsia="Palatino Linotype" w:hAnsi="Palatino Linotype" w:cs="Palatino Linotype"/>
        </w:rPr>
      </w:pPr>
    </w:p>
    <w:p w:rsidR="00925CFF" w:rsidRPr="008721F3" w:rsidRDefault="002A18F9">
      <w:pPr>
        <w:numPr>
          <w:ilvl w:val="0"/>
          <w:numId w:val="12"/>
        </w:numPr>
        <w:spacing w:line="360" w:lineRule="auto"/>
        <w:ind w:left="-566" w:right="-1417" w:firstLine="0"/>
        <w:jc w:val="both"/>
      </w:pPr>
      <w:r w:rsidRPr="008721F3">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925CFF" w:rsidRPr="008721F3" w:rsidRDefault="002A18F9">
      <w:pPr>
        <w:spacing w:after="240"/>
        <w:ind w:left="141" w:right="-850"/>
        <w:jc w:val="both"/>
        <w:rPr>
          <w:rFonts w:ascii="Palatino Linotype" w:eastAsia="Palatino Linotype" w:hAnsi="Palatino Linotype" w:cs="Palatino Linotype"/>
          <w:b/>
          <w:i/>
          <w:sz w:val="22"/>
          <w:szCs w:val="22"/>
        </w:rPr>
      </w:pPr>
      <w:r w:rsidRPr="008721F3">
        <w:rPr>
          <w:rFonts w:ascii="Palatino Linotype" w:eastAsia="Palatino Linotype" w:hAnsi="Palatino Linotype" w:cs="Palatino Linotype"/>
          <w:b/>
          <w:i/>
          <w:sz w:val="22"/>
          <w:szCs w:val="22"/>
        </w:rPr>
        <w:t>Constitución Política de los Estados Unidos Mexicanos</w:t>
      </w:r>
    </w:p>
    <w:p w:rsidR="00925CFF" w:rsidRPr="008721F3" w:rsidRDefault="002A18F9">
      <w:pPr>
        <w:spacing w:before="240" w:after="240"/>
        <w:ind w:left="141" w:right="-850"/>
        <w:jc w:val="both"/>
        <w:rPr>
          <w:rFonts w:ascii="Palatino Linotype" w:eastAsia="Palatino Linotype" w:hAnsi="Palatino Linotype" w:cs="Palatino Linotype"/>
          <w:b/>
          <w:i/>
          <w:sz w:val="22"/>
          <w:szCs w:val="22"/>
        </w:rPr>
      </w:pPr>
      <w:r w:rsidRPr="008721F3">
        <w:rPr>
          <w:rFonts w:ascii="Palatino Linotype" w:eastAsia="Palatino Linotype" w:hAnsi="Palatino Linotype" w:cs="Palatino Linotype"/>
          <w:b/>
          <w:i/>
          <w:sz w:val="22"/>
          <w:szCs w:val="22"/>
        </w:rPr>
        <w:t>“Artículo 6.</w:t>
      </w:r>
    </w:p>
    <w:p w:rsidR="00925CFF" w:rsidRPr="008721F3" w:rsidRDefault="002A18F9">
      <w:pPr>
        <w:spacing w:before="240" w:after="240"/>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w:t>
      </w:r>
    </w:p>
    <w:p w:rsidR="00925CFF" w:rsidRPr="008721F3" w:rsidRDefault="002A18F9">
      <w:pPr>
        <w:spacing w:before="240" w:after="240"/>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Para efectos de lo dispuesto en el presente artículo se observará lo siguiente:</w:t>
      </w:r>
    </w:p>
    <w:p w:rsidR="00925CFF" w:rsidRPr="008721F3" w:rsidRDefault="002A18F9">
      <w:pPr>
        <w:spacing w:before="240" w:after="240"/>
        <w:ind w:left="141" w:right="-850"/>
        <w:jc w:val="both"/>
        <w:rPr>
          <w:rFonts w:ascii="Palatino Linotype" w:eastAsia="Palatino Linotype" w:hAnsi="Palatino Linotype" w:cs="Palatino Linotype"/>
          <w:b/>
          <w:i/>
          <w:sz w:val="22"/>
          <w:szCs w:val="22"/>
        </w:rPr>
      </w:pPr>
      <w:r w:rsidRPr="008721F3">
        <w:rPr>
          <w:rFonts w:ascii="Palatino Linotype" w:eastAsia="Palatino Linotype" w:hAnsi="Palatino Linotype" w:cs="Palatino Linotype"/>
          <w:b/>
          <w:i/>
          <w:sz w:val="22"/>
          <w:szCs w:val="22"/>
        </w:rPr>
        <w:t>A</w:t>
      </w:r>
      <w:r w:rsidRPr="008721F3">
        <w:rPr>
          <w:rFonts w:ascii="Palatino Linotype" w:eastAsia="Palatino Linotype" w:hAnsi="Palatino Linotype" w:cs="Palatino Linotype"/>
          <w:i/>
          <w:sz w:val="22"/>
          <w:szCs w:val="22"/>
        </w:rPr>
        <w:t xml:space="preserve">. </w:t>
      </w:r>
      <w:r w:rsidRPr="008721F3">
        <w:rPr>
          <w:rFonts w:ascii="Palatino Linotype" w:eastAsia="Palatino Linotype" w:hAnsi="Palatino Linotype" w:cs="Palatino Linotype"/>
          <w:b/>
          <w:i/>
          <w:sz w:val="22"/>
          <w:szCs w:val="22"/>
        </w:rPr>
        <w:t>Para el ejercicio del derecho de acceso a la información</w:t>
      </w:r>
      <w:r w:rsidRPr="008721F3">
        <w:rPr>
          <w:rFonts w:ascii="Palatino Linotype" w:eastAsia="Palatino Linotype" w:hAnsi="Palatino Linotype" w:cs="Palatino Linotype"/>
          <w:i/>
          <w:sz w:val="22"/>
          <w:szCs w:val="22"/>
        </w:rPr>
        <w:t xml:space="preserve">, la Federación y </w:t>
      </w:r>
      <w:r w:rsidRPr="008721F3">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925CFF" w:rsidRPr="008721F3" w:rsidRDefault="002A18F9">
      <w:pPr>
        <w:spacing w:before="240" w:after="240"/>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b/>
          <w:i/>
          <w:sz w:val="22"/>
          <w:szCs w:val="22"/>
        </w:rPr>
        <w:t xml:space="preserve">I. </w:t>
      </w:r>
      <w:r w:rsidRPr="008721F3">
        <w:rPr>
          <w:rFonts w:ascii="Palatino Linotype" w:eastAsia="Palatino Linotype" w:hAnsi="Palatino Linotype" w:cs="Palatino Linotype"/>
          <w:b/>
          <w:i/>
          <w:sz w:val="22"/>
          <w:szCs w:val="22"/>
        </w:rPr>
        <w:tab/>
        <w:t>Toda la información en posesión de cualquier</w:t>
      </w:r>
      <w:r w:rsidRPr="008721F3">
        <w:rPr>
          <w:rFonts w:ascii="Palatino Linotype" w:eastAsia="Palatino Linotype" w:hAnsi="Palatino Linotype" w:cs="Palatino Linotype"/>
          <w:i/>
          <w:sz w:val="22"/>
          <w:szCs w:val="22"/>
        </w:rPr>
        <w:t xml:space="preserve"> </w:t>
      </w:r>
      <w:r w:rsidRPr="008721F3">
        <w:rPr>
          <w:rFonts w:ascii="Palatino Linotype" w:eastAsia="Palatino Linotype" w:hAnsi="Palatino Linotype" w:cs="Palatino Linotype"/>
          <w:b/>
          <w:i/>
          <w:sz w:val="22"/>
          <w:szCs w:val="22"/>
        </w:rPr>
        <w:t>autoridad</w:t>
      </w:r>
      <w:r w:rsidRPr="008721F3">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721F3">
        <w:rPr>
          <w:rFonts w:ascii="Palatino Linotype" w:eastAsia="Palatino Linotype" w:hAnsi="Palatino Linotype" w:cs="Palatino Linotype"/>
          <w:b/>
          <w:i/>
          <w:sz w:val="22"/>
          <w:szCs w:val="22"/>
        </w:rPr>
        <w:t>municipal</w:t>
      </w:r>
      <w:r w:rsidRPr="008721F3">
        <w:rPr>
          <w:rFonts w:ascii="Palatino Linotype" w:eastAsia="Palatino Linotype" w:hAnsi="Palatino Linotype" w:cs="Palatino Linotype"/>
          <w:i/>
          <w:sz w:val="22"/>
          <w:szCs w:val="22"/>
        </w:rPr>
        <w:t xml:space="preserve">, </w:t>
      </w:r>
      <w:r w:rsidRPr="008721F3">
        <w:rPr>
          <w:rFonts w:ascii="Palatino Linotype" w:eastAsia="Palatino Linotype" w:hAnsi="Palatino Linotype" w:cs="Palatino Linotype"/>
          <w:b/>
          <w:i/>
          <w:sz w:val="22"/>
          <w:szCs w:val="22"/>
        </w:rPr>
        <w:t>es pública</w:t>
      </w:r>
      <w:r w:rsidRPr="008721F3">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8721F3">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8721F3">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925CFF" w:rsidRPr="008721F3" w:rsidRDefault="00925CFF">
      <w:pPr>
        <w:pBdr>
          <w:top w:val="nil"/>
          <w:left w:val="nil"/>
          <w:bottom w:val="nil"/>
          <w:right w:val="nil"/>
          <w:between w:val="nil"/>
        </w:pBdr>
        <w:tabs>
          <w:tab w:val="left" w:pos="567"/>
        </w:tabs>
        <w:spacing w:before="240" w:after="240"/>
        <w:ind w:left="141" w:right="-850"/>
        <w:jc w:val="both"/>
        <w:rPr>
          <w:rFonts w:ascii="Palatino Linotype" w:eastAsia="Palatino Linotype" w:hAnsi="Palatino Linotype" w:cs="Palatino Linotype"/>
          <w:b/>
          <w:i/>
          <w:color w:val="000000"/>
          <w:sz w:val="22"/>
          <w:szCs w:val="22"/>
        </w:rPr>
      </w:pPr>
    </w:p>
    <w:p w:rsidR="00925CFF" w:rsidRPr="008721F3" w:rsidRDefault="002A18F9">
      <w:pPr>
        <w:spacing w:before="240" w:after="240"/>
        <w:ind w:left="141" w:right="-850"/>
        <w:jc w:val="both"/>
        <w:rPr>
          <w:rFonts w:ascii="Palatino Linotype" w:eastAsia="Palatino Linotype" w:hAnsi="Palatino Linotype" w:cs="Palatino Linotype"/>
          <w:b/>
          <w:i/>
          <w:sz w:val="22"/>
          <w:szCs w:val="22"/>
        </w:rPr>
      </w:pPr>
      <w:r w:rsidRPr="008721F3">
        <w:rPr>
          <w:rFonts w:ascii="Palatino Linotype" w:eastAsia="Palatino Linotype" w:hAnsi="Palatino Linotype" w:cs="Palatino Linotype"/>
          <w:b/>
          <w:i/>
          <w:sz w:val="22"/>
          <w:szCs w:val="22"/>
        </w:rPr>
        <w:t>Constitución Política del Estado Libre y Soberano de México</w:t>
      </w:r>
    </w:p>
    <w:p w:rsidR="00925CFF" w:rsidRPr="008721F3" w:rsidRDefault="002A18F9">
      <w:pPr>
        <w:spacing w:before="240" w:after="240"/>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b/>
          <w:i/>
          <w:sz w:val="22"/>
          <w:szCs w:val="22"/>
        </w:rPr>
        <w:t>“Artículo 5</w:t>
      </w:r>
      <w:r w:rsidRPr="008721F3">
        <w:rPr>
          <w:rFonts w:ascii="Palatino Linotype" w:eastAsia="Palatino Linotype" w:hAnsi="Palatino Linotype" w:cs="Palatino Linotype"/>
          <w:i/>
          <w:sz w:val="22"/>
          <w:szCs w:val="22"/>
        </w:rPr>
        <w:t xml:space="preserve">.- </w:t>
      </w:r>
    </w:p>
    <w:p w:rsidR="00925CFF" w:rsidRPr="008721F3" w:rsidRDefault="002A18F9">
      <w:pPr>
        <w:spacing w:before="240" w:after="240"/>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w:t>
      </w:r>
    </w:p>
    <w:p w:rsidR="00925CFF" w:rsidRPr="008721F3" w:rsidRDefault="002A18F9">
      <w:pPr>
        <w:spacing w:before="240" w:after="240"/>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b/>
          <w:i/>
          <w:sz w:val="22"/>
          <w:szCs w:val="22"/>
        </w:rPr>
        <w:lastRenderedPageBreak/>
        <w:t>El derecho a la información será garantizado por el Estado. La ley establecerá las previsiones que permitan asegurar la protección, el respeto y la difusión de este derecho</w:t>
      </w:r>
      <w:r w:rsidRPr="008721F3">
        <w:rPr>
          <w:rFonts w:ascii="Palatino Linotype" w:eastAsia="Palatino Linotype" w:hAnsi="Palatino Linotype" w:cs="Palatino Linotype"/>
          <w:i/>
          <w:sz w:val="22"/>
          <w:szCs w:val="22"/>
        </w:rPr>
        <w:t>.</w:t>
      </w:r>
    </w:p>
    <w:p w:rsidR="00925CFF" w:rsidRPr="008721F3" w:rsidRDefault="002A18F9">
      <w:pPr>
        <w:spacing w:before="240" w:after="240"/>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925CFF" w:rsidRPr="008721F3" w:rsidRDefault="002A18F9">
      <w:pPr>
        <w:spacing w:before="240" w:after="240"/>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b/>
          <w:i/>
          <w:sz w:val="22"/>
          <w:szCs w:val="22"/>
        </w:rPr>
        <w:t>Este derecho se regirá por los principios y bases siguientes</w:t>
      </w:r>
      <w:r w:rsidRPr="008721F3">
        <w:rPr>
          <w:rFonts w:ascii="Palatino Linotype" w:eastAsia="Palatino Linotype" w:hAnsi="Palatino Linotype" w:cs="Palatino Linotype"/>
          <w:i/>
          <w:sz w:val="22"/>
          <w:szCs w:val="22"/>
        </w:rPr>
        <w:t>:</w:t>
      </w:r>
    </w:p>
    <w:p w:rsidR="00925CFF" w:rsidRPr="008721F3" w:rsidRDefault="002A18F9">
      <w:pPr>
        <w:spacing w:before="240" w:after="240"/>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b/>
          <w:i/>
          <w:sz w:val="22"/>
          <w:szCs w:val="22"/>
        </w:rPr>
        <w:t>I. Toda la información en posesión de cualquier autoridad, entidad, órgano y organismos de los</w:t>
      </w:r>
      <w:r w:rsidRPr="008721F3">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8721F3">
        <w:rPr>
          <w:rFonts w:ascii="Palatino Linotype" w:eastAsia="Palatino Linotype" w:hAnsi="Palatino Linotype" w:cs="Palatino Linotype"/>
          <w:b/>
          <w:i/>
          <w:sz w:val="22"/>
          <w:szCs w:val="22"/>
        </w:rPr>
        <w:t>municipales</w:t>
      </w:r>
      <w:r w:rsidRPr="008721F3">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721F3">
        <w:rPr>
          <w:rFonts w:ascii="Palatino Linotype" w:eastAsia="Palatino Linotype" w:hAnsi="Palatino Linotype" w:cs="Palatino Linotype"/>
          <w:b/>
          <w:i/>
          <w:sz w:val="22"/>
          <w:szCs w:val="22"/>
        </w:rPr>
        <w:t>es pública</w:t>
      </w:r>
      <w:r w:rsidRPr="008721F3">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8721F3">
        <w:rPr>
          <w:rFonts w:ascii="Palatino Linotype" w:eastAsia="Palatino Linotype" w:hAnsi="Palatino Linotype" w:cs="Palatino Linotype"/>
          <w:b/>
          <w:i/>
          <w:sz w:val="22"/>
          <w:szCs w:val="22"/>
        </w:rPr>
        <w:t>En la interpretación de este derecho deberá prevalecer el principio de máxima publicidad</w:t>
      </w:r>
      <w:r w:rsidRPr="008721F3">
        <w:rPr>
          <w:rFonts w:ascii="Palatino Linotype" w:eastAsia="Palatino Linotype" w:hAnsi="Palatino Linotype" w:cs="Palatino Linotype"/>
          <w:i/>
          <w:sz w:val="22"/>
          <w:szCs w:val="22"/>
        </w:rPr>
        <w:t xml:space="preserve">. </w:t>
      </w:r>
      <w:r w:rsidRPr="008721F3">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8721F3">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925CFF" w:rsidRPr="008721F3" w:rsidRDefault="00925CFF">
      <w:pPr>
        <w:tabs>
          <w:tab w:val="left" w:pos="567"/>
        </w:tabs>
        <w:spacing w:before="240" w:after="240"/>
        <w:ind w:left="-566" w:right="-1417"/>
        <w:jc w:val="both"/>
        <w:rPr>
          <w:rFonts w:ascii="Palatino Linotype" w:eastAsia="Palatino Linotype" w:hAnsi="Palatino Linotype" w:cs="Palatino Linotype"/>
          <w:b/>
          <w:i/>
        </w:rPr>
      </w:pPr>
    </w:p>
    <w:p w:rsidR="00925CFF" w:rsidRPr="008721F3" w:rsidRDefault="002A18F9">
      <w:pPr>
        <w:numPr>
          <w:ilvl w:val="0"/>
          <w:numId w:val="12"/>
        </w:numPr>
        <w:spacing w:before="240" w:line="360" w:lineRule="auto"/>
        <w:ind w:left="-566" w:right="-1417" w:firstLine="0"/>
        <w:jc w:val="both"/>
      </w:pPr>
      <w:r w:rsidRPr="008721F3">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8721F3">
        <w:rPr>
          <w:rFonts w:ascii="Palatino Linotype" w:eastAsia="Palatino Linotype" w:hAnsi="Palatino Linotype" w:cs="Palatino Linotype"/>
          <w:i/>
        </w:rPr>
        <w:t>por los principios de simplicidad, rapidez gratuidad del procedimiento, auxilio y orientación a los particulares</w:t>
      </w:r>
      <w:r w:rsidRPr="008721F3">
        <w:rPr>
          <w:rFonts w:ascii="Palatino Linotype" w:eastAsia="Palatino Linotype" w:hAnsi="Palatino Linotype" w:cs="Palatino Linotype"/>
        </w:rPr>
        <w:t>, contemplando el derecho de las personas con discapacidad y hablantes de lengua indígena.</w:t>
      </w:r>
    </w:p>
    <w:p w:rsidR="00925CFF" w:rsidRPr="008721F3" w:rsidRDefault="00925CFF">
      <w:pPr>
        <w:spacing w:line="360" w:lineRule="auto"/>
        <w:ind w:left="-566" w:right="-1417"/>
        <w:jc w:val="both"/>
        <w:rPr>
          <w:rFonts w:ascii="Palatino Linotype" w:eastAsia="Palatino Linotype" w:hAnsi="Palatino Linotype" w:cs="Palatino Linotype"/>
        </w:rPr>
      </w:pPr>
    </w:p>
    <w:p w:rsidR="00925CFF" w:rsidRPr="008721F3" w:rsidRDefault="002A18F9">
      <w:pPr>
        <w:numPr>
          <w:ilvl w:val="0"/>
          <w:numId w:val="12"/>
        </w:numPr>
        <w:spacing w:line="360" w:lineRule="auto"/>
        <w:ind w:left="-566" w:right="-1417" w:firstLine="0"/>
        <w:jc w:val="both"/>
      </w:pPr>
      <w:r w:rsidRPr="008721F3">
        <w:rPr>
          <w:rFonts w:ascii="Palatino Linotype" w:eastAsia="Palatino Linotype" w:hAnsi="Palatino Linotype" w:cs="Palatino Linotype"/>
        </w:rPr>
        <w:t xml:space="preserve">El Derecho de Acceso a la Información se garantiza y respeta oportunamente, y según lo que dispone la Ley, las </w:t>
      </w:r>
      <w:r w:rsidRPr="008721F3">
        <w:rPr>
          <w:rFonts w:ascii="Palatino Linotype" w:eastAsia="Palatino Linotype" w:hAnsi="Palatino Linotype" w:cs="Palatino Linotype"/>
          <w:i/>
        </w:rPr>
        <w:t>solicitudes de acceso a la información</w:t>
      </w:r>
      <w:r w:rsidRPr="008721F3">
        <w:rPr>
          <w:rFonts w:ascii="Palatino Linotype" w:eastAsia="Palatino Linotype" w:hAnsi="Palatino Linotype" w:cs="Palatino Linotype"/>
        </w:rPr>
        <w:t>.</w:t>
      </w:r>
    </w:p>
    <w:p w:rsidR="00925CFF" w:rsidRPr="008721F3" w:rsidRDefault="00925CFF">
      <w:pPr>
        <w:spacing w:line="360" w:lineRule="auto"/>
        <w:ind w:left="-566" w:right="-1417"/>
        <w:jc w:val="both"/>
        <w:rPr>
          <w:rFonts w:ascii="Palatino Linotype" w:eastAsia="Palatino Linotype" w:hAnsi="Palatino Linotype" w:cs="Palatino Linotype"/>
        </w:rPr>
      </w:pPr>
    </w:p>
    <w:p w:rsidR="00925CFF" w:rsidRPr="008721F3" w:rsidRDefault="002A18F9">
      <w:pPr>
        <w:numPr>
          <w:ilvl w:val="0"/>
          <w:numId w:val="12"/>
        </w:numPr>
        <w:spacing w:line="360" w:lineRule="auto"/>
        <w:ind w:left="-566" w:right="-1417" w:firstLine="0"/>
        <w:jc w:val="both"/>
      </w:pPr>
      <w:bookmarkStart w:id="10" w:name="_heading=h.3rdcrjn" w:colFirst="0" w:colLast="0"/>
      <w:bookmarkEnd w:id="10"/>
      <w:r w:rsidRPr="008721F3">
        <w:rPr>
          <w:rFonts w:ascii="Palatino Linotype" w:eastAsia="Palatino Linotype" w:hAnsi="Palatino Linotype" w:cs="Palatino Linotype"/>
        </w:rPr>
        <w:t xml:space="preserve">Así entonces, se procede analizar, en primer lugar, si el </w:t>
      </w:r>
      <w:r w:rsidRPr="008721F3">
        <w:rPr>
          <w:rFonts w:ascii="Palatino Linotype" w:eastAsia="Palatino Linotype" w:hAnsi="Palatino Linotype" w:cs="Palatino Linotype"/>
          <w:b/>
        </w:rPr>
        <w:t>SUJETO OBLIGADO</w:t>
      </w:r>
      <w:r w:rsidRPr="008721F3">
        <w:rPr>
          <w:rFonts w:ascii="Palatino Linotype" w:eastAsia="Palatino Linotype" w:hAnsi="Palatino Linotype" w:cs="Palatino Linotype"/>
        </w:rPr>
        <w:t xml:space="preserve"> al atender la solicitud de acceso a la información, satisfizo la garantía primaria del derecho según lo dispuesto </w:t>
      </w:r>
      <w:r w:rsidRPr="008721F3">
        <w:rPr>
          <w:rFonts w:ascii="Palatino Linotype" w:eastAsia="Palatino Linotype" w:hAnsi="Palatino Linotype" w:cs="Palatino Linotype"/>
        </w:rPr>
        <w:lastRenderedPageBreak/>
        <w:t>por el artículo 150 de la Ley de Transparencia y Acceso a la Información Pública del Estado de México y Municipios y en segundo término si cumplió con su deber de respetar y garantizar el derecho, entregando la información solicitada.</w:t>
      </w:r>
    </w:p>
    <w:p w:rsidR="00925CFF" w:rsidRPr="008721F3" w:rsidRDefault="00925CFF">
      <w:pPr>
        <w:spacing w:line="360" w:lineRule="auto"/>
        <w:ind w:left="-566" w:right="-1417"/>
        <w:jc w:val="both"/>
        <w:rPr>
          <w:rFonts w:ascii="Palatino Linotype" w:eastAsia="Palatino Linotype" w:hAnsi="Palatino Linotype" w:cs="Palatino Linotype"/>
        </w:rPr>
      </w:pPr>
    </w:p>
    <w:p w:rsidR="00925CFF" w:rsidRPr="008721F3" w:rsidRDefault="002A18F9">
      <w:pPr>
        <w:pStyle w:val="Ttulo1"/>
        <w:spacing w:before="0" w:after="240" w:line="360" w:lineRule="auto"/>
        <w:ind w:left="-566" w:right="-1417"/>
        <w:rPr>
          <w:rFonts w:ascii="Palatino Linotype" w:eastAsia="Palatino Linotype" w:hAnsi="Palatino Linotype" w:cs="Palatino Linotype"/>
          <w:b/>
          <w:color w:val="000000"/>
          <w:sz w:val="24"/>
          <w:szCs w:val="24"/>
        </w:rPr>
      </w:pPr>
      <w:bookmarkStart w:id="11" w:name="_heading=h.26in1rg" w:colFirst="0" w:colLast="0"/>
      <w:bookmarkEnd w:id="11"/>
      <w:r w:rsidRPr="008721F3">
        <w:rPr>
          <w:rFonts w:ascii="Palatino Linotype" w:eastAsia="Palatino Linotype" w:hAnsi="Palatino Linotype" w:cs="Palatino Linotype"/>
          <w:b/>
          <w:color w:val="000000"/>
          <w:sz w:val="24"/>
          <w:szCs w:val="24"/>
        </w:rPr>
        <w:t>II. II. De la información solicitada y la respuesta del SUJETO OBLIGADO</w:t>
      </w:r>
    </w:p>
    <w:p w:rsidR="00925CFF" w:rsidRPr="008721F3" w:rsidRDefault="002A18F9">
      <w:pPr>
        <w:numPr>
          <w:ilvl w:val="0"/>
          <w:numId w:val="12"/>
        </w:numPr>
        <w:spacing w:line="360" w:lineRule="auto"/>
        <w:ind w:left="-566" w:right="-1417" w:firstLine="0"/>
        <w:jc w:val="both"/>
      </w:pPr>
      <w:r w:rsidRPr="008721F3">
        <w:rPr>
          <w:rFonts w:ascii="Palatino Linotype" w:eastAsia="Palatino Linotype" w:hAnsi="Palatino Linotype" w:cs="Palatino Linotype"/>
          <w:color w:val="000000"/>
        </w:rPr>
        <w:t xml:space="preserve">Acotada la </w:t>
      </w:r>
      <w:r w:rsidRPr="008721F3">
        <w:rPr>
          <w:rFonts w:ascii="Palatino Linotype" w:eastAsia="Palatino Linotype" w:hAnsi="Palatino Linotype" w:cs="Palatino Linotype"/>
          <w:i/>
          <w:color w:val="000000"/>
        </w:rPr>
        <w:t>Litis</w:t>
      </w:r>
      <w:r w:rsidRPr="008721F3">
        <w:rPr>
          <w:rFonts w:ascii="Palatino Linotype" w:eastAsia="Palatino Linotype" w:hAnsi="Palatino Linotype" w:cs="Palatino Linotype"/>
          <w:color w:val="000000"/>
        </w:rPr>
        <w:t xml:space="preserve"> del presente asunto, primeramente es menester precisar que del escrito de inconformidad, se observa que el particular se duele porque no se entrega la información solicitada por parte del </w:t>
      </w:r>
      <w:r w:rsidRPr="008721F3">
        <w:rPr>
          <w:rFonts w:ascii="Palatino Linotype" w:eastAsia="Palatino Linotype" w:hAnsi="Palatino Linotype" w:cs="Palatino Linotype"/>
          <w:b/>
          <w:color w:val="000000"/>
        </w:rPr>
        <w:t xml:space="preserve">SUJETO OBLIGADO, </w:t>
      </w:r>
      <w:r w:rsidRPr="008721F3">
        <w:rPr>
          <w:rFonts w:ascii="Palatino Linotype" w:eastAsia="Palatino Linotype" w:hAnsi="Palatino Linotype" w:cs="Palatino Linotype"/>
          <w:color w:val="000000"/>
        </w:rPr>
        <w:t>situación que será el motivo de análisis del presente recurso de revisión</w:t>
      </w:r>
    </w:p>
    <w:p w:rsidR="00925CFF" w:rsidRPr="008721F3" w:rsidRDefault="00925CFF">
      <w:pPr>
        <w:spacing w:line="360" w:lineRule="auto"/>
        <w:ind w:left="-566" w:right="-1417"/>
        <w:jc w:val="both"/>
        <w:rPr>
          <w:rFonts w:ascii="Palatino Linotype" w:eastAsia="Palatino Linotype" w:hAnsi="Palatino Linotype" w:cs="Palatino Linotype"/>
        </w:rPr>
      </w:pPr>
    </w:p>
    <w:p w:rsidR="00925CFF" w:rsidRPr="008721F3" w:rsidRDefault="002A18F9">
      <w:pPr>
        <w:numPr>
          <w:ilvl w:val="0"/>
          <w:numId w:val="12"/>
        </w:numPr>
        <w:spacing w:line="360" w:lineRule="auto"/>
        <w:ind w:left="-566" w:right="-1417" w:firstLine="0"/>
        <w:jc w:val="both"/>
      </w:pPr>
      <w:r w:rsidRPr="008721F3">
        <w:rPr>
          <w:rFonts w:ascii="Palatino Linotype" w:eastAsia="Palatino Linotype" w:hAnsi="Palatino Linotype" w:cs="Palatino Linotype"/>
        </w:rPr>
        <w:t xml:space="preserve">En ese sentido, es importante recordar la información que fue solicitada por el </w:t>
      </w:r>
      <w:r w:rsidRPr="008721F3">
        <w:rPr>
          <w:rFonts w:ascii="Palatino Linotype" w:eastAsia="Palatino Linotype" w:hAnsi="Palatino Linotype" w:cs="Palatino Linotype"/>
          <w:b/>
        </w:rPr>
        <w:t xml:space="preserve">RECURRENTE </w:t>
      </w:r>
      <w:r w:rsidRPr="008721F3">
        <w:rPr>
          <w:rFonts w:ascii="Palatino Linotype" w:eastAsia="Palatino Linotype" w:hAnsi="Palatino Linotype" w:cs="Palatino Linotype"/>
        </w:rPr>
        <w:t xml:space="preserve">consiste en lo siguiente: </w:t>
      </w:r>
    </w:p>
    <w:p w:rsidR="00925CFF" w:rsidRPr="008721F3" w:rsidRDefault="002A18F9">
      <w:pPr>
        <w:pBdr>
          <w:top w:val="nil"/>
          <w:left w:val="nil"/>
          <w:bottom w:val="nil"/>
          <w:right w:val="nil"/>
          <w:between w:val="nil"/>
        </w:pBdr>
        <w:spacing w:line="360" w:lineRule="auto"/>
        <w:ind w:left="141" w:right="-850"/>
        <w:jc w:val="both"/>
        <w:rPr>
          <w:rFonts w:ascii="Palatino Linotype" w:eastAsia="Palatino Linotype" w:hAnsi="Palatino Linotype" w:cs="Palatino Linotype"/>
          <w:b/>
          <w:i/>
          <w:sz w:val="22"/>
          <w:szCs w:val="22"/>
        </w:rPr>
      </w:pPr>
      <w:r w:rsidRPr="008721F3">
        <w:rPr>
          <w:rFonts w:ascii="Palatino Linotype" w:eastAsia="Palatino Linotype" w:hAnsi="Palatino Linotype" w:cs="Palatino Linotype"/>
          <w:b/>
          <w:i/>
          <w:sz w:val="22"/>
          <w:szCs w:val="22"/>
        </w:rPr>
        <w:t>Todos los documentos relativos al informe de gobierne del  Presidente Municipal por su último informe de gobierno:</w:t>
      </w:r>
    </w:p>
    <w:p w:rsidR="00925CFF" w:rsidRPr="008721F3" w:rsidRDefault="002A18F9">
      <w:pPr>
        <w:numPr>
          <w:ilvl w:val="0"/>
          <w:numId w:val="7"/>
        </w:numPr>
        <w:pBdr>
          <w:top w:val="nil"/>
          <w:left w:val="nil"/>
          <w:bottom w:val="nil"/>
          <w:right w:val="nil"/>
          <w:between w:val="nil"/>
        </w:pBdr>
        <w:spacing w:line="360" w:lineRule="auto"/>
        <w:ind w:left="141" w:right="-850" w:firstLine="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Requisiciones</w:t>
      </w:r>
    </w:p>
    <w:p w:rsidR="00925CFF" w:rsidRPr="008721F3" w:rsidRDefault="002A18F9">
      <w:pPr>
        <w:numPr>
          <w:ilvl w:val="0"/>
          <w:numId w:val="7"/>
        </w:numPr>
        <w:pBdr>
          <w:top w:val="nil"/>
          <w:left w:val="nil"/>
          <w:bottom w:val="nil"/>
          <w:right w:val="nil"/>
          <w:between w:val="nil"/>
        </w:pBdr>
        <w:spacing w:line="360" w:lineRule="auto"/>
        <w:ind w:left="141" w:right="-850" w:firstLine="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suficiencia presupuestal</w:t>
      </w:r>
    </w:p>
    <w:p w:rsidR="00925CFF" w:rsidRPr="008721F3" w:rsidRDefault="002A18F9">
      <w:pPr>
        <w:numPr>
          <w:ilvl w:val="0"/>
          <w:numId w:val="7"/>
        </w:numPr>
        <w:pBdr>
          <w:top w:val="nil"/>
          <w:left w:val="nil"/>
          <w:bottom w:val="nil"/>
          <w:right w:val="nil"/>
          <w:between w:val="nil"/>
        </w:pBdr>
        <w:spacing w:line="360" w:lineRule="auto"/>
        <w:ind w:left="141" w:right="-850" w:firstLine="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nombre del proveedor de las pantallas</w:t>
      </w:r>
    </w:p>
    <w:p w:rsidR="00925CFF" w:rsidRPr="008721F3" w:rsidRDefault="002A18F9">
      <w:pPr>
        <w:numPr>
          <w:ilvl w:val="0"/>
          <w:numId w:val="7"/>
        </w:numPr>
        <w:pBdr>
          <w:top w:val="nil"/>
          <w:left w:val="nil"/>
          <w:bottom w:val="nil"/>
          <w:right w:val="nil"/>
          <w:between w:val="nil"/>
        </w:pBdr>
        <w:spacing w:line="360" w:lineRule="auto"/>
        <w:ind w:left="141" w:right="-850" w:firstLine="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nombre del proveedor de las sillas y mesas</w:t>
      </w:r>
    </w:p>
    <w:p w:rsidR="00925CFF" w:rsidRPr="008721F3" w:rsidRDefault="002A18F9">
      <w:pPr>
        <w:numPr>
          <w:ilvl w:val="0"/>
          <w:numId w:val="7"/>
        </w:numPr>
        <w:pBdr>
          <w:top w:val="nil"/>
          <w:left w:val="nil"/>
          <w:bottom w:val="nil"/>
          <w:right w:val="nil"/>
          <w:between w:val="nil"/>
        </w:pBdr>
        <w:spacing w:line="360" w:lineRule="auto"/>
        <w:ind w:left="141" w:right="-850" w:firstLine="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nombre del proveedor de la comida que dieron </w:t>
      </w:r>
    </w:p>
    <w:p w:rsidR="00925CFF" w:rsidRPr="008721F3" w:rsidRDefault="002A18F9">
      <w:pPr>
        <w:numPr>
          <w:ilvl w:val="0"/>
          <w:numId w:val="7"/>
        </w:numPr>
        <w:pBdr>
          <w:top w:val="nil"/>
          <w:left w:val="nil"/>
          <w:bottom w:val="nil"/>
          <w:right w:val="nil"/>
          <w:between w:val="nil"/>
        </w:pBdr>
        <w:spacing w:line="360" w:lineRule="auto"/>
        <w:ind w:left="141" w:right="-850" w:firstLine="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nombre del proveedor que elaboró todo lo relativo al informe de gobierno </w:t>
      </w:r>
    </w:p>
    <w:p w:rsidR="00925CFF" w:rsidRPr="008721F3" w:rsidRDefault="00925CFF">
      <w:pPr>
        <w:ind w:left="-566" w:right="-1417"/>
      </w:pPr>
    </w:p>
    <w:p w:rsidR="00925CFF" w:rsidRPr="008721F3" w:rsidRDefault="002A18F9">
      <w:pPr>
        <w:numPr>
          <w:ilvl w:val="0"/>
          <w:numId w:val="12"/>
        </w:numP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En respuesta, el </w:t>
      </w:r>
      <w:r w:rsidRPr="008721F3">
        <w:rPr>
          <w:rFonts w:ascii="Palatino Linotype" w:eastAsia="Palatino Linotype" w:hAnsi="Palatino Linotype" w:cs="Palatino Linotype"/>
          <w:b/>
          <w:color w:val="000000"/>
        </w:rPr>
        <w:t xml:space="preserve">SUJETO OBLIGADO </w:t>
      </w:r>
      <w:r w:rsidRPr="008721F3">
        <w:rPr>
          <w:rFonts w:ascii="Palatino Linotype" w:eastAsia="Palatino Linotype" w:hAnsi="Palatino Linotype" w:cs="Palatino Linotype"/>
          <w:color w:val="000000"/>
        </w:rPr>
        <w:t xml:space="preserve">por medio de la Dirección de Administración realiza la reserva de la información por el periodo de un año o hasta </w:t>
      </w:r>
      <w:r w:rsidRPr="008721F3">
        <w:rPr>
          <w:rFonts w:ascii="Palatino Linotype" w:eastAsia="Palatino Linotype" w:hAnsi="Palatino Linotype" w:cs="Palatino Linotype"/>
        </w:rPr>
        <w:t>terminar</w:t>
      </w:r>
      <w:r w:rsidRPr="008721F3">
        <w:rPr>
          <w:rFonts w:ascii="Palatino Linotype" w:eastAsia="Palatino Linotype" w:hAnsi="Palatino Linotype" w:cs="Palatino Linotype"/>
          <w:color w:val="000000"/>
        </w:rPr>
        <w:t xml:space="preserve"> la auditoría que realiza el Órgano Superior de Fiscalización del Estado de México. </w:t>
      </w:r>
    </w:p>
    <w:p w:rsidR="00925CFF" w:rsidRPr="008721F3" w:rsidRDefault="00925CFF">
      <w:pPr>
        <w:spacing w:line="360" w:lineRule="auto"/>
        <w:ind w:left="-566" w:right="-1417"/>
        <w:jc w:val="both"/>
        <w:rPr>
          <w:color w:val="000000"/>
        </w:rPr>
      </w:pPr>
    </w:p>
    <w:p w:rsidR="00925CFF" w:rsidRPr="008721F3" w:rsidRDefault="002A18F9">
      <w:pPr>
        <w:numPr>
          <w:ilvl w:val="0"/>
          <w:numId w:val="12"/>
        </w:numPr>
        <w:spacing w:line="360" w:lineRule="auto"/>
        <w:ind w:left="-566" w:right="-1417" w:firstLine="0"/>
        <w:jc w:val="both"/>
      </w:pPr>
      <w:r w:rsidRPr="008721F3">
        <w:rPr>
          <w:rFonts w:ascii="Palatino Linotype" w:eastAsia="Palatino Linotype" w:hAnsi="Palatino Linotype" w:cs="Palatino Linotype"/>
        </w:rPr>
        <w:t xml:space="preserve">En esa línea, una vez que fueron precisados los puntos sobre los que versará se debe de precisar si la solicitud de información fue turnada al área habilitada para que se pronunciara de la misma. </w:t>
      </w:r>
    </w:p>
    <w:p w:rsidR="00925CFF" w:rsidRPr="008721F3" w:rsidRDefault="00925CFF">
      <w:pPr>
        <w:pBdr>
          <w:top w:val="nil"/>
          <w:left w:val="nil"/>
          <w:bottom w:val="nil"/>
          <w:right w:val="nil"/>
          <w:between w:val="nil"/>
        </w:pBdr>
        <w:ind w:left="-566" w:right="-1417"/>
        <w:rPr>
          <w:rFonts w:ascii="Palatino Linotype" w:eastAsia="Palatino Linotype" w:hAnsi="Palatino Linotype" w:cs="Palatino Linotype"/>
          <w:color w:val="000000"/>
        </w:rPr>
      </w:pPr>
    </w:p>
    <w:p w:rsidR="00925CFF" w:rsidRPr="008721F3" w:rsidRDefault="002A18F9">
      <w:pPr>
        <w:numPr>
          <w:ilvl w:val="0"/>
          <w:numId w:val="12"/>
        </w:numPr>
        <w:spacing w:line="360" w:lineRule="auto"/>
        <w:ind w:left="-566" w:right="-1417" w:firstLine="0"/>
        <w:jc w:val="both"/>
      </w:pPr>
      <w:r w:rsidRPr="008721F3">
        <w:rPr>
          <w:rFonts w:ascii="Palatino Linotype" w:eastAsia="Palatino Linotype" w:hAnsi="Palatino Linotype" w:cs="Palatino Linotype"/>
        </w:rPr>
        <w:t xml:space="preserve">De lo anterior, se debe de referir que de acuerdo con el artículo 33 del  Bando Municipal del Ayuntamiento de Tlalnepantla de Baz, el </w:t>
      </w:r>
      <w:r w:rsidRPr="008721F3">
        <w:rPr>
          <w:rFonts w:ascii="Palatino Linotype" w:eastAsia="Palatino Linotype" w:hAnsi="Palatino Linotype" w:cs="Palatino Linotype"/>
          <w:b/>
        </w:rPr>
        <w:t>SUJETO de la siguiente manera</w:t>
      </w:r>
      <w:r w:rsidRPr="008721F3">
        <w:rPr>
          <w:rFonts w:ascii="Palatino Linotype" w:eastAsia="Palatino Linotype" w:hAnsi="Palatino Linotype" w:cs="Palatino Linotype"/>
        </w:rPr>
        <w:t xml:space="preserve">. </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b/>
          <w:i/>
          <w:sz w:val="22"/>
          <w:szCs w:val="22"/>
        </w:rPr>
        <w:t xml:space="preserve">Artículo 33. </w:t>
      </w:r>
      <w:r w:rsidRPr="008721F3">
        <w:rPr>
          <w:rFonts w:ascii="Palatino Linotype" w:eastAsia="Palatino Linotype" w:hAnsi="Palatino Linotype" w:cs="Palatino Linotype"/>
          <w:i/>
          <w:sz w:val="22"/>
          <w:szCs w:val="22"/>
        </w:rPr>
        <w:t xml:space="preserve">La Administración Pública Municipal Centralizada estará integrada por las siguientes dependencias administrativas: </w:t>
      </w:r>
    </w:p>
    <w:p w:rsidR="00925CFF" w:rsidRPr="008721F3" w:rsidRDefault="002A18F9">
      <w:pPr>
        <w:numPr>
          <w:ilvl w:val="0"/>
          <w:numId w:val="8"/>
        </w:numPr>
        <w:pBdr>
          <w:top w:val="nil"/>
          <w:left w:val="nil"/>
          <w:bottom w:val="nil"/>
          <w:right w:val="nil"/>
          <w:between w:val="nil"/>
        </w:pBdr>
        <w:ind w:left="283" w:right="-850" w:firstLine="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Presidencia Municipal;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II. Secretaría del Ayuntamiento;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III. Tesorería Municipal;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IV. Secretaría Técnica;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V. Contraloría Interna Municipal;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b/>
          <w:i/>
          <w:color w:val="000000"/>
          <w:sz w:val="22"/>
          <w:szCs w:val="22"/>
        </w:rPr>
        <w:t>VI. Dirección de Administración</w:t>
      </w:r>
      <w:r w:rsidRPr="008721F3">
        <w:rPr>
          <w:rFonts w:ascii="Palatino Linotype" w:eastAsia="Palatino Linotype" w:hAnsi="Palatino Linotype" w:cs="Palatino Linotype"/>
          <w:i/>
          <w:color w:val="000000"/>
          <w:sz w:val="22"/>
          <w:szCs w:val="22"/>
        </w:rPr>
        <w:t xml:space="preserve">;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VII. Dirección Jurídica;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VIII. Dirección de Promoción Económica;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IX. Dirección de Desarrollo Social;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X. Dirección de Desarrollo Urbano;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XI. Dirección de Servicios Públicos;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XII. Dirección de Obras Públicas;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XIII. Dirección de Sustentabilidad Ambiental;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XIV. Dirección de la Mujer;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XV. Dirección de Movilidad;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XVI. Instituto Municipal de la Cultura y las Artes;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XVII. Instituto Municipal de Educación;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XVIII. Instituto Municipal de Cultura Física y Deporte;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XIX. Instituto Municipal de la Juventud;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XX. Dirección de Protección Civil; y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XXI. Comisaría General de Seguridad Pública y Tránsito Municipal.</w:t>
      </w:r>
    </w:p>
    <w:p w:rsidR="00925CFF" w:rsidRPr="008721F3" w:rsidRDefault="00925CFF">
      <w:pPr>
        <w:ind w:left="-566" w:right="-1417"/>
        <w:jc w:val="both"/>
      </w:pPr>
    </w:p>
    <w:p w:rsidR="00925CFF" w:rsidRPr="008721F3" w:rsidRDefault="002A18F9">
      <w:pPr>
        <w:numPr>
          <w:ilvl w:val="0"/>
          <w:numId w:val="12"/>
        </w:numPr>
        <w:spacing w:line="360" w:lineRule="auto"/>
        <w:ind w:left="-566" w:right="-1417" w:firstLine="0"/>
        <w:jc w:val="both"/>
      </w:pPr>
      <w:r w:rsidRPr="008721F3">
        <w:rPr>
          <w:rFonts w:ascii="Palatino Linotype" w:eastAsia="Palatino Linotype" w:hAnsi="Palatino Linotype" w:cs="Palatino Linotype"/>
        </w:rPr>
        <w:lastRenderedPageBreak/>
        <w:t xml:space="preserve">De lo anterior, se observa que el Ayuntamiento de Tlalnepantla de Baz se integra por la Dirección de Administración quien de acuerdo con el Reglamento Interno de la Administración Pública Municipal, tiene las siguientes funciones. </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ARTÍCULO 210. Para el despacho de los asuntos de su competencia, la Dirección de Administración, tendrá las siguientes facultades y obligaciones: </w:t>
      </w:r>
    </w:p>
    <w:p w:rsidR="00925CFF" w:rsidRPr="008721F3" w:rsidRDefault="002A18F9">
      <w:pPr>
        <w:numPr>
          <w:ilvl w:val="0"/>
          <w:numId w:val="9"/>
        </w:numPr>
        <w:pBdr>
          <w:top w:val="nil"/>
          <w:left w:val="nil"/>
          <w:bottom w:val="nil"/>
          <w:right w:val="nil"/>
          <w:between w:val="nil"/>
        </w:pBdr>
        <w:ind w:left="283" w:right="-850" w:firstLine="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Vigilar el cumplimiento de las disposiciones legales que regulen las relaciones entre las Dependencias de la Administración Pública Municipal y sus servidores públicos;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II. Poner a consideración del o de la titular de la Presidencia Municipal, los nombramientos, sueldos, renuncias, licencias y jubilaciones de los servidores públicos de la Administración Pública, atendiendo a la normatividad aplicable, con excepción de aquellos servidores públicos cuyo nombramiento sea determinado de manera distinta por otras disposiciones jurídicas vigentes;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III. Coordinar la integración del presupuesto del capítulo 1000 Servicios Personales y llevar el seguimiento de su ejercicio, a efecto de evitar impactos adicionales y sobregiros presupuestales;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IV. Coordinar los trabajos de revisión anual del convenio colectivo de trabajo con la representación sindical, proyectando el costo de las prestaciones, atendiendo la capacidad financiera del Ayuntamiento;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V. Expedir y suscribir las credenciales y/o gafetes de identificación de los servidores públicos municipales;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VI. Vigilar y supervisar que el escalafón de los servidores públicos se aplique correctamente y se mantenga actualizado;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VII. Vigilar y supervisar que se suministre o facilite oportunamente a las dependencias, los elementos y materiales de trabajo necesarios para el desempeño de sus funciones;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VIII. Vigilar y supervisar que el personal que las dependencias requieran sea debidamente seleccionado y contratado, cuando así lo establezcan las descripciones y especificaciones de los puestos, atendiendo a la normatividad aplicable;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IX. Vigilar y supervisar la integración de los expedientes del personal, así como la expedición de las credenciales de identificación laboral;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X. Supervisar que las adquisiciones y servicios cuenten previamente</w:t>
      </w:r>
      <w:r w:rsidRPr="008721F3">
        <w:rPr>
          <w:rFonts w:ascii="Palatino Linotype" w:eastAsia="Palatino Linotype" w:hAnsi="Palatino Linotype" w:cs="Palatino Linotype"/>
          <w:i/>
          <w:color w:val="000000"/>
          <w:sz w:val="22"/>
          <w:szCs w:val="22"/>
        </w:rPr>
        <w:t xml:space="preserve"> </w:t>
      </w:r>
      <w:r w:rsidRPr="008721F3">
        <w:rPr>
          <w:rFonts w:ascii="Palatino Linotype" w:eastAsia="Palatino Linotype" w:hAnsi="Palatino Linotype" w:cs="Palatino Linotype"/>
          <w:b/>
          <w:i/>
          <w:color w:val="000000"/>
          <w:sz w:val="22"/>
          <w:szCs w:val="22"/>
        </w:rPr>
        <w:t xml:space="preserve">con la suficiencia presupuestal y demás documentación requerida;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XI. Vigilar la adecuada planeación y programación de la adquisición de bienes muebles y contratación de servicios;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XII. Supervisar la adquisición de los bienes muebles y prestación de servicios, cuidando que los mismos cubran las necesidades para el buen funcionamiento del Ayuntamiento y sus dependencias; así como vigilar que el procedimiento de adquisición se apegue a la normatividad establecida;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lastRenderedPageBreak/>
        <w:t xml:space="preserve">XIII. Vigilar la constitución del Comité de Adquisiciones y de Servicios en estricto apego a la Ley de Contratación Pública del Estado de México y Municipios;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XIV. Supervisar y vigilar la adecuada administración y el control eficaz de los almacenes generales;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XV. Supervisar y vigilar el control, mantenimiento y adquisición del parque vehicular oficial, así como del suministro de energéticos;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XVI. Autorizar y difundir entre las diversas dependencias municipales, las políticas, manuales y procedimientos de carácter interno necesarios para la administración y el control eficiente de los recursos humanos, los recursos materiales, del parque vehicular, así como el mantenimiento adecuado y la conservación de los muebles e inmuebles municipales;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b/>
          <w:i/>
          <w:color w:val="000000"/>
          <w:sz w:val="22"/>
          <w:szCs w:val="22"/>
        </w:rPr>
        <w:t>XVII. Vigilar el cumplimiento de las disposiciones que en materia de adquisiciones, enajenaciones, arrendamientos, mantenimientos y almacenes establecen las leyes y reglamentos correspondientes</w:t>
      </w:r>
      <w:r w:rsidRPr="008721F3">
        <w:rPr>
          <w:rFonts w:ascii="Palatino Linotype" w:eastAsia="Palatino Linotype" w:hAnsi="Palatino Linotype" w:cs="Palatino Linotype"/>
          <w:i/>
          <w:color w:val="000000"/>
          <w:sz w:val="22"/>
          <w:szCs w:val="22"/>
        </w:rPr>
        <w:t xml:space="preserve">;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XVIII. Establecer y vigilar las políticas, métodos y procedimientos de carácter interno necesarios para una eficiente administración de los servicios de energía eléctrica y comunicaciones, utilizados en la Administración Pública;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XIX. Vigilar y supervisar que se elaboren los perfiles y descripciones de puestos que se requieran en las diferentes dependencias municipales;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XX. Informar periódicamente a él o a la titular de la Presidencia Municipal, sobre el resultado de la evaluación de las unidades administrativas de la Dirección de Administración, que hayan sido objeto de fiscalización;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XXI. Integrar, revisar y autorizar el Programa Operativo Anual de la Dirección de Administración;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XXII. Proponer al Ayuntamiento por conducto del o de la titular de la Presidencia Municipal, la creación de las unidades administrativas y órganos desconcentrados que resulten necesarios para el adecuado desempeño de sus atribuciones;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XXIII. Integrar, revisar y autorizar el Manual de Organización de la Dirección de Administración, así como sus manuales de procedimientos y de operación;</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 XXIV. Formular respecto de los asuntos de su competencia, los proyectos de circulares, acuerdos y disposiciones de carácter administrativo que se requieran; y </w:t>
      </w:r>
    </w:p>
    <w:p w:rsidR="00925CFF" w:rsidRPr="008721F3" w:rsidRDefault="002A18F9">
      <w:pPr>
        <w:pBdr>
          <w:top w:val="nil"/>
          <w:left w:val="nil"/>
          <w:bottom w:val="nil"/>
          <w:right w:val="nil"/>
          <w:between w:val="nil"/>
        </w:pBdr>
        <w:ind w:left="283"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XXV. Las demás que le sean aplicables a través del marco normativo federal, estatal y municipal vigentes.</w:t>
      </w:r>
    </w:p>
    <w:p w:rsidR="00925CFF" w:rsidRPr="008721F3" w:rsidRDefault="00925CFF">
      <w:pPr>
        <w:spacing w:line="360" w:lineRule="auto"/>
        <w:ind w:left="-566" w:right="-1417"/>
        <w:jc w:val="both"/>
      </w:pPr>
    </w:p>
    <w:p w:rsidR="00925CFF" w:rsidRPr="008721F3" w:rsidRDefault="002A18F9">
      <w:pPr>
        <w:numPr>
          <w:ilvl w:val="0"/>
          <w:numId w:val="12"/>
        </w:numPr>
        <w:spacing w:line="360" w:lineRule="auto"/>
        <w:ind w:left="-566" w:right="-1417" w:firstLine="0"/>
        <w:jc w:val="both"/>
      </w:pPr>
      <w:r w:rsidRPr="008721F3">
        <w:rPr>
          <w:rFonts w:ascii="Palatino Linotype" w:eastAsia="Palatino Linotype" w:hAnsi="Palatino Linotype" w:cs="Palatino Linotype"/>
        </w:rPr>
        <w:t xml:space="preserve"> Del precepto legal citado, se colige que la Dirección de Administración, dentro de sus funciones tiene las de vigilar y atender todo lo relación con los procedimientos de adquisiciones que realice el Ayuntamiento de Tlalnepantla de Baz para la contratación de servicios de acuerdo a la suficiencia presupuestal. </w:t>
      </w:r>
    </w:p>
    <w:p w:rsidR="00925CFF" w:rsidRPr="008721F3" w:rsidRDefault="00925CFF">
      <w:pPr>
        <w:spacing w:line="360" w:lineRule="auto"/>
        <w:ind w:left="-566" w:right="-1417"/>
        <w:jc w:val="both"/>
      </w:pPr>
    </w:p>
    <w:p w:rsidR="00925CFF" w:rsidRPr="008721F3" w:rsidRDefault="002A18F9">
      <w:pPr>
        <w:numPr>
          <w:ilvl w:val="0"/>
          <w:numId w:val="12"/>
        </w:numPr>
        <w:spacing w:line="360" w:lineRule="auto"/>
        <w:ind w:left="-566" w:right="-1417" w:firstLine="0"/>
        <w:jc w:val="both"/>
      </w:pPr>
      <w:r w:rsidRPr="008721F3">
        <w:rPr>
          <w:rFonts w:ascii="Palatino Linotype" w:eastAsia="Palatino Linotype" w:hAnsi="Palatino Linotype" w:cs="Palatino Linotype"/>
        </w:rPr>
        <w:t xml:space="preserve">En ese sentido, se determina que la solicitud de información si fue turnada al área habilitada del Ayuntamiento de Tlalnepantla de Baz para que se pronunciara respecto de la solicitud de información. </w:t>
      </w:r>
    </w:p>
    <w:p w:rsidR="00925CFF" w:rsidRPr="008721F3" w:rsidRDefault="00925CFF">
      <w:pPr>
        <w:pBdr>
          <w:top w:val="nil"/>
          <w:left w:val="nil"/>
          <w:bottom w:val="nil"/>
          <w:right w:val="nil"/>
          <w:between w:val="nil"/>
        </w:pBdr>
        <w:ind w:left="-566" w:right="-1417"/>
        <w:rPr>
          <w:color w:val="000000"/>
        </w:rPr>
      </w:pPr>
    </w:p>
    <w:p w:rsidR="00925CFF" w:rsidRPr="008721F3" w:rsidRDefault="002A18F9">
      <w:pPr>
        <w:numPr>
          <w:ilvl w:val="0"/>
          <w:numId w:val="12"/>
        </w:numPr>
        <w:spacing w:line="360" w:lineRule="auto"/>
        <w:ind w:left="-566" w:right="-1417" w:firstLine="0"/>
        <w:jc w:val="both"/>
      </w:pPr>
      <w:r w:rsidRPr="008721F3">
        <w:rPr>
          <w:rFonts w:ascii="Palatino Linotype" w:eastAsia="Palatino Linotype" w:hAnsi="Palatino Linotype" w:cs="Palatino Linotype"/>
        </w:rPr>
        <w:t xml:space="preserve">Ahora bien, atendiendo la respuesta del </w:t>
      </w:r>
      <w:r w:rsidRPr="008721F3">
        <w:rPr>
          <w:rFonts w:ascii="Palatino Linotype" w:eastAsia="Palatino Linotype" w:hAnsi="Palatino Linotype" w:cs="Palatino Linotype"/>
          <w:b/>
        </w:rPr>
        <w:t xml:space="preserve">SUJETO OBLIGADO </w:t>
      </w:r>
      <w:r w:rsidRPr="008721F3">
        <w:rPr>
          <w:rFonts w:ascii="Palatino Linotype" w:eastAsia="Palatino Linotype" w:hAnsi="Palatino Linotype" w:cs="Palatino Linotype"/>
        </w:rPr>
        <w:t xml:space="preserve">se debe de precisar que realiza la reserva de la información en cuanto a las requisiciones, suficiencia presupuestal y nombre de proveedores por el periodo de un año o más hasta que concluya la auditoría que realiza el Órgano Superior de Fiscalización del Estado de México, sin embargo se debe de referir que la información solicitada forma parte de documento definitivos como lo son los contratos o las facturas de pago, situación por la cual se hace el siguiente análisis. </w:t>
      </w:r>
    </w:p>
    <w:p w:rsidR="00925CFF" w:rsidRPr="008721F3" w:rsidRDefault="00925CFF">
      <w:pPr>
        <w:pBdr>
          <w:top w:val="nil"/>
          <w:left w:val="nil"/>
          <w:bottom w:val="nil"/>
          <w:right w:val="nil"/>
          <w:between w:val="nil"/>
        </w:pBdr>
        <w:ind w:left="-566" w:right="-1417"/>
        <w:rPr>
          <w:rFonts w:ascii="Palatino Linotype" w:eastAsia="Palatino Linotype" w:hAnsi="Palatino Linotype" w:cs="Palatino Linotype"/>
          <w:color w:val="000000"/>
        </w:rPr>
      </w:pPr>
    </w:p>
    <w:p w:rsidR="00925CFF" w:rsidRPr="008721F3" w:rsidRDefault="00925CFF">
      <w:pPr>
        <w:pBdr>
          <w:top w:val="nil"/>
          <w:left w:val="nil"/>
          <w:bottom w:val="nil"/>
          <w:right w:val="nil"/>
          <w:between w:val="nil"/>
        </w:pBdr>
        <w:ind w:left="-566" w:right="-1417"/>
        <w:rPr>
          <w:rFonts w:ascii="Palatino Linotype" w:eastAsia="Palatino Linotype" w:hAnsi="Palatino Linotype" w:cs="Palatino Linotype"/>
          <w:color w:val="000000"/>
        </w:rPr>
      </w:pPr>
    </w:p>
    <w:p w:rsidR="00925CFF" w:rsidRPr="008721F3" w:rsidRDefault="002A18F9">
      <w:pPr>
        <w:numPr>
          <w:ilvl w:val="0"/>
          <w:numId w:val="12"/>
        </w:numPr>
        <w:spacing w:line="360" w:lineRule="auto"/>
        <w:ind w:left="-566" w:right="-1417" w:firstLine="0"/>
        <w:jc w:val="both"/>
        <w:rPr>
          <w:rFonts w:ascii="Palatino Linotype" w:eastAsia="Palatino Linotype" w:hAnsi="Palatino Linotype" w:cs="Palatino Linotype"/>
        </w:rPr>
      </w:pPr>
      <w:r w:rsidRPr="008721F3">
        <w:rPr>
          <w:rFonts w:ascii="Palatino Linotype" w:eastAsia="Palatino Linotype" w:hAnsi="Palatino Linotype" w:cs="Palatino Linotype"/>
        </w:rPr>
        <w:t xml:space="preserve">De lo anterior, se debe de precisar que la información relativa a los procedimientos de adjudicación, licitación e invitación restringida que deriven por la prestación de servicios que deriven en contratos, acuerdos y convenios en relación a procedimientos de adjudicación directa, invitación restringida y licitación pública, son considerados documentos definitivos, toda vez que dichos documentos no tienen alteración. </w:t>
      </w:r>
    </w:p>
    <w:p w:rsidR="00925CFF" w:rsidRPr="008721F3" w:rsidRDefault="00925CFF">
      <w:pPr>
        <w:pBdr>
          <w:top w:val="nil"/>
          <w:left w:val="nil"/>
          <w:bottom w:val="nil"/>
          <w:right w:val="nil"/>
          <w:between w:val="nil"/>
        </w:pBdr>
        <w:ind w:left="-566" w:right="-1417"/>
        <w:rPr>
          <w:rFonts w:ascii="Palatino Linotype" w:eastAsia="Palatino Linotype" w:hAnsi="Palatino Linotype" w:cs="Palatino Linotype"/>
          <w:color w:val="000000"/>
        </w:rPr>
      </w:pPr>
    </w:p>
    <w:p w:rsidR="00925CFF" w:rsidRPr="008721F3" w:rsidRDefault="002A18F9">
      <w:pPr>
        <w:numPr>
          <w:ilvl w:val="0"/>
          <w:numId w:val="12"/>
        </w:numPr>
        <w:spacing w:line="360" w:lineRule="auto"/>
        <w:ind w:left="-566" w:right="-1417" w:firstLine="0"/>
        <w:jc w:val="both"/>
        <w:rPr>
          <w:rFonts w:ascii="Palatino Linotype" w:eastAsia="Palatino Linotype" w:hAnsi="Palatino Linotype" w:cs="Palatino Linotype"/>
        </w:rPr>
      </w:pPr>
      <w:r w:rsidRPr="008721F3">
        <w:rPr>
          <w:rFonts w:ascii="Palatino Linotype" w:eastAsia="Palatino Linotype" w:hAnsi="Palatino Linotype" w:cs="Palatino Linotype"/>
        </w:rPr>
        <w:t xml:space="preserve">Por otro lado, mantener los documentos definitivos accesibles ayuda a prevenir la corrupción, si los documentos finales fueran reservados, se permitiría encubrir decisiones o contrataciones irregulares aun y cuando estas ya fueron consumadas, por lo que los documentos finales aumenta la confianza de los ciudadanos en las instituciones, ya que se demuestra que las decisiones se han tomado de manera abierta y conforme a la ley. En resumen, los documentos definitivos se consideran el resultado de procesos que deben ser conocidos y evaluados por la </w:t>
      </w:r>
      <w:r w:rsidRPr="008721F3">
        <w:rPr>
          <w:rFonts w:ascii="Palatino Linotype" w:eastAsia="Palatino Linotype" w:hAnsi="Palatino Linotype" w:cs="Palatino Linotype"/>
        </w:rPr>
        <w:lastRenderedPageBreak/>
        <w:t xml:space="preserve">sociedad, y por eso no se clasifican como reservados, por lo que se desestima la pretendida clasificación propuesta por el </w:t>
      </w:r>
      <w:r w:rsidRPr="008721F3">
        <w:rPr>
          <w:rFonts w:ascii="Palatino Linotype" w:eastAsia="Palatino Linotype" w:hAnsi="Palatino Linotype" w:cs="Palatino Linotype"/>
          <w:b/>
        </w:rPr>
        <w:t>sujeto OBLIGADO.</w:t>
      </w:r>
    </w:p>
    <w:p w:rsidR="00925CFF" w:rsidRPr="008721F3" w:rsidRDefault="00925CFF">
      <w:pPr>
        <w:ind w:left="-566" w:right="-1417"/>
        <w:rPr>
          <w:rFonts w:ascii="Palatino Linotype" w:eastAsia="Palatino Linotype" w:hAnsi="Palatino Linotype" w:cs="Palatino Linotype"/>
        </w:rPr>
      </w:pPr>
    </w:p>
    <w:p w:rsidR="00925CFF" w:rsidRPr="008721F3" w:rsidRDefault="00925CFF" w:rsidP="00A33C77">
      <w:pPr>
        <w:spacing w:line="360" w:lineRule="auto"/>
        <w:ind w:right="-1417"/>
        <w:jc w:val="both"/>
      </w:pPr>
    </w:p>
    <w:p w:rsidR="00925CFF" w:rsidRPr="008721F3" w:rsidRDefault="002A18F9">
      <w:pPr>
        <w:numPr>
          <w:ilvl w:val="0"/>
          <w:numId w:val="12"/>
        </w:numPr>
        <w:spacing w:line="360" w:lineRule="auto"/>
        <w:ind w:left="-566" w:right="-1417" w:firstLine="0"/>
        <w:jc w:val="both"/>
      </w:pPr>
      <w:r w:rsidRPr="008721F3">
        <w:rPr>
          <w:rFonts w:ascii="Palatino Linotype" w:eastAsia="Palatino Linotype" w:hAnsi="Palatino Linotype" w:cs="Palatino Linotype"/>
        </w:rPr>
        <w:t xml:space="preserve">Ahora bien, como la información de solicitud de información recae en temas de adquisiciones de bienes y servicios es que se analiza lo siguiente. </w:t>
      </w:r>
    </w:p>
    <w:p w:rsidR="00925CFF" w:rsidRPr="008721F3" w:rsidRDefault="00925CFF">
      <w:pPr>
        <w:pBdr>
          <w:top w:val="nil"/>
          <w:left w:val="nil"/>
          <w:bottom w:val="nil"/>
          <w:right w:val="nil"/>
          <w:between w:val="nil"/>
        </w:pBdr>
        <w:ind w:left="-566" w:right="-1417"/>
        <w:rPr>
          <w:color w:val="000000"/>
        </w:rPr>
      </w:pPr>
    </w:p>
    <w:p w:rsidR="00925CFF" w:rsidRPr="008721F3" w:rsidRDefault="002A18F9">
      <w:pPr>
        <w:numPr>
          <w:ilvl w:val="0"/>
          <w:numId w:val="12"/>
        </w:numP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Una vez que se señaló que la solicitud de información se </w:t>
      </w:r>
      <w:r w:rsidRPr="008721F3">
        <w:rPr>
          <w:rFonts w:ascii="Palatino Linotype" w:eastAsia="Palatino Linotype" w:hAnsi="Palatino Linotype" w:cs="Palatino Linotype"/>
        </w:rPr>
        <w:t>canalizó</w:t>
      </w:r>
      <w:r w:rsidRPr="008721F3">
        <w:rPr>
          <w:rFonts w:ascii="Palatino Linotype" w:eastAsia="Palatino Linotype" w:hAnsi="Palatino Linotype" w:cs="Palatino Linotype"/>
          <w:color w:val="000000"/>
        </w:rPr>
        <w:t xml:space="preserve"> al área habilitada del </w:t>
      </w:r>
      <w:r w:rsidRPr="008721F3">
        <w:rPr>
          <w:rFonts w:ascii="Palatino Linotype" w:eastAsia="Palatino Linotype" w:hAnsi="Palatino Linotype" w:cs="Palatino Linotype"/>
          <w:b/>
          <w:color w:val="000000"/>
        </w:rPr>
        <w:t xml:space="preserve">SUJETO OBLIGADO y por la cual no debe de ser considerada como clasificada al encontrarse en documentos definitivos </w:t>
      </w:r>
      <w:r w:rsidRPr="008721F3">
        <w:rPr>
          <w:rFonts w:ascii="Palatino Linotype" w:eastAsia="Palatino Linotype" w:hAnsi="Palatino Linotype" w:cs="Palatino Linotype"/>
          <w:color w:val="000000"/>
        </w:rPr>
        <w:t xml:space="preserve">es que se debe de referir  que lo solicitado tiene carácter de información </w:t>
      </w:r>
      <w:r w:rsidRPr="008721F3">
        <w:rPr>
          <w:rFonts w:ascii="Palatino Linotype" w:eastAsia="Palatino Linotype" w:hAnsi="Palatino Linotype" w:cs="Palatino Linotype"/>
        </w:rPr>
        <w:t>pública</w:t>
      </w:r>
      <w:r w:rsidRPr="008721F3">
        <w:rPr>
          <w:rFonts w:ascii="Palatino Linotype" w:eastAsia="Palatino Linotype" w:hAnsi="Palatino Linotype" w:cs="Palatino Linotype"/>
          <w:color w:val="000000"/>
        </w:rPr>
        <w:t xml:space="preserve"> de oficio de acuerdo con el artículo 92 de la Ley de Transparencia y Acceso a la Información Pública del Estado de México y Municipios.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XXIX.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 a) De licitaciones públicas o procedimientos de invitación restringida: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1) La convocatoria o invitación emitida, así como los fundamentos legales aplicados para llevarla a cabo;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2) Los nombres de los participantes o invitados;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3) El nombre del ganador y las razones que lo justifican;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4) El área solicitante y la responsable de su ejecución;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5) Las convocatorias e invitaciones emitidas;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6) Los dictámenes y fallo de adjudicación;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7) El contrato y, en su caso, sus anexos;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8) Los mecanismos de vigilancia y supervisión, incluyendo en su caso, los estudios de impacto urbano y ambiental, según corresponda;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9) La partida presupuestal, de conformidad con el clasificador por objeto del gasto, en el caso de ser aplicable;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lastRenderedPageBreak/>
        <w:t xml:space="preserve">10) Origen de los recursos especificando si son federales, estatales o municipales, así como el tipo de fondo de participación o aportación respectiva; 11) Los convenios modificatorios que, en su caso, sean firmados, precisando el objeto y la fecha de celebración;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12) Los informes de avance físico y financiero sobre las obras o servicios contratados;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13) El convenio de terminación; y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14) El finiquito.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b/>
          <w:i/>
          <w:color w:val="000000"/>
          <w:sz w:val="22"/>
          <w:szCs w:val="22"/>
        </w:rPr>
        <w:t>b) De las adjudicaciones directas</w:t>
      </w:r>
      <w:r w:rsidRPr="008721F3">
        <w:rPr>
          <w:rFonts w:ascii="Palatino Linotype" w:eastAsia="Palatino Linotype" w:hAnsi="Palatino Linotype" w:cs="Palatino Linotype"/>
          <w:i/>
          <w:color w:val="000000"/>
          <w:sz w:val="22"/>
          <w:szCs w:val="22"/>
        </w:rPr>
        <w:t xml:space="preserve">: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1) La propuesta enviada por el participante;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2) Los motivos y fundamentos legales aplicados para llevarla a cabo;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3) La autorización del ejercicio de la opción;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4) En su caso, las cotizaciones consideradas, especificando los nombres de los proveedores y sus montos;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5) El nombre de la persona física o jurídica colectiva adjudicada;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6) La unidad administrativa solicitante y la responsable de su ejecución;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b/>
          <w:i/>
          <w:color w:val="000000"/>
          <w:sz w:val="22"/>
          <w:szCs w:val="22"/>
        </w:rPr>
        <w:t>7) El número, fecha, el monto del contrato y el plazo de entrega o de ejecución de los servicios u obra</w:t>
      </w:r>
      <w:r w:rsidRPr="008721F3">
        <w:rPr>
          <w:rFonts w:ascii="Palatino Linotype" w:eastAsia="Palatino Linotype" w:hAnsi="Palatino Linotype" w:cs="Palatino Linotype"/>
          <w:i/>
          <w:color w:val="000000"/>
          <w:sz w:val="22"/>
          <w:szCs w:val="22"/>
        </w:rPr>
        <w:t xml:space="preserve">;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8) Los mecanismos de vigilancia y supervisión, incluyendo, en su caso, los estudios de impacto urbano y ambiental, según corresponda;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9) Los informes de avance sobre las obras o servicios contratados;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10) El convenio de terminación; y </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11) El finiquito.</w:t>
      </w:r>
    </w:p>
    <w:p w:rsidR="00925CFF" w:rsidRPr="008721F3" w:rsidRDefault="002A18F9">
      <w:pPr>
        <w:pBdr>
          <w:top w:val="nil"/>
          <w:left w:val="nil"/>
          <w:bottom w:val="nil"/>
          <w:right w:val="nil"/>
          <w:between w:val="nil"/>
        </w:pBdr>
        <w:ind w:left="141" w:right="-709"/>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XXXIV. Las estadísticas que generen en cumplimiento de sus facultades, competencias o funciones con la mayor desagregación posible;</w:t>
      </w:r>
    </w:p>
    <w:p w:rsidR="00925CFF" w:rsidRPr="008721F3" w:rsidRDefault="002A18F9">
      <w:pPr>
        <w:spacing w:line="360" w:lineRule="auto"/>
        <w:ind w:left="-566" w:right="-1417"/>
        <w:jc w:val="both"/>
        <w:rPr>
          <w:rFonts w:ascii="Palatino Linotype" w:eastAsia="Palatino Linotype" w:hAnsi="Palatino Linotype" w:cs="Palatino Linotype"/>
          <w:color w:val="000000"/>
        </w:rPr>
      </w:pPr>
      <w:r w:rsidRPr="008721F3">
        <w:rPr>
          <w:rFonts w:ascii="Palatino Linotype" w:eastAsia="Palatino Linotype" w:hAnsi="Palatino Linotype" w:cs="Palatino Linotype"/>
          <w:color w:val="000000"/>
        </w:rPr>
        <w:t xml:space="preserve"> </w:t>
      </w:r>
    </w:p>
    <w:p w:rsidR="00925CFF" w:rsidRPr="008721F3" w:rsidRDefault="00925CFF">
      <w:pPr>
        <w:pBdr>
          <w:top w:val="nil"/>
          <w:left w:val="nil"/>
          <w:bottom w:val="nil"/>
          <w:right w:val="nil"/>
          <w:between w:val="nil"/>
        </w:pBdr>
        <w:ind w:left="-566" w:right="-1417"/>
        <w:rPr>
          <w:rFonts w:ascii="Palatino Linotype" w:eastAsia="Palatino Linotype" w:hAnsi="Palatino Linotype" w:cs="Palatino Linotype"/>
          <w:color w:val="000000"/>
        </w:rPr>
      </w:pPr>
    </w:p>
    <w:p w:rsidR="00925CFF" w:rsidRPr="008721F3" w:rsidRDefault="002A18F9">
      <w:pPr>
        <w:numPr>
          <w:ilvl w:val="0"/>
          <w:numId w:val="12"/>
        </w:numPr>
        <w:spacing w:line="360" w:lineRule="auto"/>
        <w:ind w:left="-566" w:right="-1417" w:firstLine="0"/>
        <w:jc w:val="both"/>
      </w:pPr>
      <w:r w:rsidRPr="008721F3">
        <w:rPr>
          <w:rFonts w:ascii="Palatino Linotype" w:eastAsia="Palatino Linotype" w:hAnsi="Palatino Linotype" w:cs="Palatino Linotype"/>
          <w:color w:val="000000"/>
        </w:rPr>
        <w:t>En</w:t>
      </w:r>
      <w:r w:rsidRPr="008721F3">
        <w:rPr>
          <w:rFonts w:ascii="Palatino Linotype" w:eastAsia="Palatino Linotype" w:hAnsi="Palatino Linotype" w:cs="Palatino Linotype"/>
        </w:rPr>
        <w:t xml:space="preserve"> esa línea de estudio, es necesario analizar que los procedimientos de adquisiciones pueden realizarse por medio de adquisiciones y licitaciones mismas que se analizan a continuación. </w:t>
      </w:r>
    </w:p>
    <w:p w:rsidR="00925CFF" w:rsidRPr="008721F3" w:rsidRDefault="00925CFF">
      <w:pPr>
        <w:pBdr>
          <w:top w:val="nil"/>
          <w:left w:val="nil"/>
          <w:bottom w:val="nil"/>
          <w:right w:val="nil"/>
          <w:between w:val="nil"/>
        </w:pBdr>
        <w:ind w:left="-566" w:right="-1417"/>
        <w:rPr>
          <w:rFonts w:ascii="Palatino Linotype" w:eastAsia="Palatino Linotype" w:hAnsi="Palatino Linotype" w:cs="Palatino Linotype"/>
          <w:color w:val="000000"/>
        </w:rPr>
      </w:pPr>
    </w:p>
    <w:p w:rsidR="00925CFF" w:rsidRPr="008721F3" w:rsidRDefault="002A18F9">
      <w:pPr>
        <w:numPr>
          <w:ilvl w:val="0"/>
          <w:numId w:val="12"/>
        </w:numPr>
        <w:spacing w:line="360" w:lineRule="auto"/>
        <w:ind w:left="-566" w:right="-1417" w:firstLine="0"/>
        <w:jc w:val="both"/>
      </w:pPr>
      <w:r w:rsidRPr="008721F3">
        <w:rPr>
          <w:rFonts w:ascii="Palatino Linotype" w:eastAsia="Palatino Linotype" w:hAnsi="Palatino Linotype" w:cs="Palatino Linotype"/>
        </w:rPr>
        <w:t xml:space="preserve">En ese sentido, la Ley de la  Contratación Pública del Estado de México y Municipios, tiene por objeto regular los actos relativos a la planeación, programación, presupuestación, ejecución y control de las obras públicas de los  </w:t>
      </w:r>
      <w:r w:rsidRPr="008721F3">
        <w:rPr>
          <w:rFonts w:ascii="Palatino Linotype" w:eastAsia="Palatino Linotype" w:hAnsi="Palatino Linotype" w:cs="Palatino Linotype"/>
          <w:color w:val="000000"/>
        </w:rPr>
        <w:t>Ayuntamientos</w:t>
      </w:r>
      <w:r w:rsidRPr="008721F3">
        <w:rPr>
          <w:rFonts w:ascii="Palatino Linotype" w:eastAsia="Palatino Linotype" w:hAnsi="Palatino Linotype" w:cs="Palatino Linotype"/>
        </w:rPr>
        <w:t xml:space="preserve"> del Estado; los cuales </w:t>
      </w:r>
      <w:r w:rsidRPr="008721F3">
        <w:rPr>
          <w:rFonts w:ascii="Palatino Linotype" w:eastAsia="Palatino Linotype" w:hAnsi="Palatino Linotype" w:cs="Palatino Linotype"/>
          <w:b/>
        </w:rPr>
        <w:t>se adjudicará a través de licitaciones públicas, invitación restringida o adjudicación directa</w:t>
      </w:r>
      <w:r w:rsidRPr="008721F3">
        <w:rPr>
          <w:rFonts w:ascii="Palatino Linotype" w:eastAsia="Palatino Linotype" w:hAnsi="Palatino Linotype" w:cs="Palatino Linotype"/>
        </w:rPr>
        <w:t xml:space="preserve">, mediante convocatoria </w:t>
      </w:r>
      <w:r w:rsidRPr="008721F3">
        <w:rPr>
          <w:rFonts w:ascii="Palatino Linotype" w:eastAsia="Palatino Linotype" w:hAnsi="Palatino Linotype" w:cs="Palatino Linotype"/>
        </w:rPr>
        <w:lastRenderedPageBreak/>
        <w:t>pública, tal y como lo establecen los artículos 4, 26 y 27 de dicha Ley, los cuales son del tenor siguiente:</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w:t>
      </w:r>
      <w:r w:rsidRPr="008721F3">
        <w:rPr>
          <w:rFonts w:ascii="Palatino Linotype" w:eastAsia="Palatino Linotype" w:hAnsi="Palatino Linotype" w:cs="Palatino Linotype"/>
          <w:b/>
          <w:i/>
          <w:sz w:val="22"/>
          <w:szCs w:val="22"/>
        </w:rPr>
        <w:t>Artículo 4.-</w:t>
      </w:r>
      <w:r w:rsidRPr="008721F3">
        <w:rPr>
          <w:rFonts w:ascii="Palatino Linotype" w:eastAsia="Palatino Linotype" w:hAnsi="Palatino Linotype" w:cs="Palatino Linotype"/>
          <w:i/>
          <w:sz w:val="22"/>
          <w:szCs w:val="22"/>
        </w:rPr>
        <w:t xml:space="preserve"> Para los efectos de esta Ley, en las adquisiciones, enajenaciones, arrendamientos y servicios, quedan comprendidos: </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I. La adquisición de bienes muebles. </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II. La adquisición de bienes inmuebles, a través de compraventa. </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III. La enajenación de bienes muebles e inmuebles. </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IV. El arrendamiento de bienes muebles e inmuebles. </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V. La contratación de los servicios, relacionados con bienes muebles que se encuentran incorporados o adheridos a bienes inmuebles, cuya instalación o mantenimiento no implique modificación al bien inmueble. </w:t>
      </w:r>
    </w:p>
    <w:p w:rsidR="00925CFF" w:rsidRPr="008721F3" w:rsidRDefault="002A18F9">
      <w:pPr>
        <w:ind w:left="283" w:right="-850"/>
        <w:jc w:val="both"/>
        <w:rPr>
          <w:rFonts w:ascii="Palatino Linotype" w:eastAsia="Palatino Linotype" w:hAnsi="Palatino Linotype" w:cs="Palatino Linotype"/>
          <w:b/>
          <w:i/>
          <w:sz w:val="22"/>
          <w:szCs w:val="22"/>
          <w:u w:val="single"/>
        </w:rPr>
      </w:pPr>
      <w:r w:rsidRPr="008721F3">
        <w:rPr>
          <w:rFonts w:ascii="Palatino Linotype" w:eastAsia="Palatino Linotype" w:hAnsi="Palatino Linotype" w:cs="Palatino Linotype"/>
          <w:b/>
          <w:i/>
          <w:sz w:val="22"/>
          <w:szCs w:val="22"/>
          <w:u w:val="single"/>
        </w:rPr>
        <w:t xml:space="preserve">VI. La contratación de los servicios de reconstrucción y mantenimiento de bienes muebles. </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b/>
          <w:i/>
          <w:sz w:val="22"/>
          <w:szCs w:val="22"/>
          <w:u w:val="single"/>
        </w:rPr>
        <w:t xml:space="preserve">VII. La contratación de los servicios </w:t>
      </w:r>
      <w:r w:rsidRPr="008721F3">
        <w:rPr>
          <w:rFonts w:ascii="Palatino Linotype" w:eastAsia="Palatino Linotype" w:hAnsi="Palatino Linotype" w:cs="Palatino Linotype"/>
          <w:i/>
          <w:sz w:val="22"/>
          <w:szCs w:val="22"/>
        </w:rPr>
        <w:t>de maquila, seguros y transportación, así como de los de limpieza y vigilancia de bienes inmuebles</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VIII. La prestación de servicios profesionales, la contratación de consultorías, asesorías y estudios e investigaciones, excepto la contratación de servicios personales de personas físicas bajo el régimen de honorarios. </w:t>
      </w:r>
    </w:p>
    <w:p w:rsidR="00925CFF" w:rsidRPr="008721F3" w:rsidRDefault="002A18F9">
      <w:pPr>
        <w:ind w:left="283" w:right="-850"/>
        <w:jc w:val="both"/>
        <w:rPr>
          <w:rFonts w:ascii="Palatino Linotype" w:eastAsia="Palatino Linotype" w:hAnsi="Palatino Linotype" w:cs="Palatino Linotype"/>
          <w:b/>
          <w:i/>
          <w:sz w:val="22"/>
          <w:szCs w:val="22"/>
          <w:u w:val="single"/>
        </w:rPr>
      </w:pPr>
      <w:r w:rsidRPr="008721F3">
        <w:rPr>
          <w:rFonts w:ascii="Palatino Linotype" w:eastAsia="Palatino Linotype" w:hAnsi="Palatino Linotype" w:cs="Palatino Linotype"/>
          <w:b/>
          <w:i/>
          <w:sz w:val="22"/>
          <w:szCs w:val="22"/>
          <w:u w:val="single"/>
        </w:rPr>
        <w:t>En general, otros actos que impliquen la contratación de servicios de cualquier naturaleza.</w:t>
      </w:r>
    </w:p>
    <w:p w:rsidR="00925CFF" w:rsidRPr="008721F3" w:rsidRDefault="002A18F9">
      <w:pPr>
        <w:ind w:left="283" w:right="-850"/>
        <w:jc w:val="both"/>
        <w:rPr>
          <w:rFonts w:ascii="Palatino Linotype" w:eastAsia="Palatino Linotype" w:hAnsi="Palatino Linotype" w:cs="Palatino Linotype"/>
          <w:b/>
          <w:i/>
          <w:sz w:val="22"/>
          <w:szCs w:val="22"/>
        </w:rPr>
      </w:pPr>
      <w:r w:rsidRPr="008721F3">
        <w:rPr>
          <w:rFonts w:ascii="Palatino Linotype" w:eastAsia="Palatino Linotype" w:hAnsi="Palatino Linotype" w:cs="Palatino Linotype"/>
          <w:b/>
          <w:i/>
          <w:sz w:val="22"/>
          <w:szCs w:val="22"/>
        </w:rPr>
        <w:t>Artículo 26.- Las adquisiciones, arrendamientos y servicios se adjudicarán a través de licitaciones públicas, mediante convocatoria pública.</w:t>
      </w:r>
    </w:p>
    <w:p w:rsidR="00925CFF" w:rsidRPr="008721F3" w:rsidRDefault="00925CFF">
      <w:pPr>
        <w:ind w:left="283" w:right="-850"/>
        <w:jc w:val="both"/>
        <w:rPr>
          <w:rFonts w:ascii="Palatino Linotype" w:eastAsia="Palatino Linotype" w:hAnsi="Palatino Linotype" w:cs="Palatino Linotype"/>
          <w:b/>
          <w:i/>
          <w:sz w:val="22"/>
          <w:szCs w:val="22"/>
        </w:rPr>
      </w:pP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b/>
          <w:i/>
          <w:sz w:val="22"/>
          <w:szCs w:val="22"/>
        </w:rPr>
        <w:t xml:space="preserve">Artículo 27.- </w:t>
      </w:r>
      <w:r w:rsidRPr="008721F3">
        <w:rPr>
          <w:rFonts w:ascii="Palatino Linotype" w:eastAsia="Palatino Linotype" w:hAnsi="Palatino Linotype" w:cs="Palatino Linotype"/>
          <w:i/>
          <w:sz w:val="22"/>
          <w:szCs w:val="22"/>
        </w:rPr>
        <w:t>La Oficialía Mayor, las entidades, los tribunales administrativos y los ayuntamientos podrán adjudicar adquisiciones, arrendamientos y servicios, mediante las excepciones al procedimiento de licitación que a continuación se señalan:</w:t>
      </w:r>
    </w:p>
    <w:p w:rsidR="00925CFF" w:rsidRPr="008721F3" w:rsidRDefault="002A18F9">
      <w:pPr>
        <w:ind w:left="283" w:right="-850"/>
        <w:jc w:val="both"/>
        <w:rPr>
          <w:rFonts w:ascii="Palatino Linotype" w:eastAsia="Palatino Linotype" w:hAnsi="Palatino Linotype" w:cs="Palatino Linotype"/>
          <w:b/>
          <w:i/>
          <w:sz w:val="22"/>
          <w:szCs w:val="22"/>
        </w:rPr>
      </w:pPr>
      <w:r w:rsidRPr="008721F3">
        <w:rPr>
          <w:rFonts w:ascii="Palatino Linotype" w:eastAsia="Palatino Linotype" w:hAnsi="Palatino Linotype" w:cs="Palatino Linotype"/>
          <w:b/>
          <w:i/>
          <w:sz w:val="22"/>
          <w:szCs w:val="22"/>
        </w:rPr>
        <w:t xml:space="preserve">I. Invitación restringida. </w:t>
      </w:r>
    </w:p>
    <w:p w:rsidR="00925CFF" w:rsidRPr="008721F3" w:rsidRDefault="002A18F9">
      <w:pPr>
        <w:ind w:left="283" w:right="-850"/>
        <w:jc w:val="both"/>
        <w:rPr>
          <w:rFonts w:ascii="Palatino Linotype" w:eastAsia="Palatino Linotype" w:hAnsi="Palatino Linotype" w:cs="Palatino Linotype"/>
          <w:b/>
          <w:i/>
          <w:sz w:val="22"/>
          <w:szCs w:val="22"/>
        </w:rPr>
      </w:pPr>
      <w:r w:rsidRPr="008721F3">
        <w:rPr>
          <w:rFonts w:ascii="Palatino Linotype" w:eastAsia="Palatino Linotype" w:hAnsi="Palatino Linotype" w:cs="Palatino Linotype"/>
          <w:b/>
          <w:i/>
          <w:sz w:val="22"/>
          <w:szCs w:val="22"/>
        </w:rPr>
        <w:t>II. Adjudicación directa.”</w:t>
      </w:r>
    </w:p>
    <w:p w:rsidR="00925CFF" w:rsidRPr="008721F3" w:rsidRDefault="002A18F9">
      <w:pPr>
        <w:ind w:left="283" w:right="-850"/>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(Énfasis añadido) </w:t>
      </w:r>
    </w:p>
    <w:p w:rsidR="00925CFF" w:rsidRPr="008721F3" w:rsidRDefault="00925CFF">
      <w:pPr>
        <w:ind w:left="-566" w:right="-1417"/>
        <w:rPr>
          <w:rFonts w:ascii="Palatino Linotype" w:eastAsia="Palatino Linotype" w:hAnsi="Palatino Linotype" w:cs="Palatino Linotype"/>
          <w:i/>
        </w:rPr>
      </w:pPr>
    </w:p>
    <w:p w:rsidR="00925CFF" w:rsidRPr="008721F3" w:rsidRDefault="00925CFF">
      <w:pPr>
        <w:spacing w:line="360" w:lineRule="auto"/>
        <w:ind w:left="-566" w:right="-1417"/>
        <w:jc w:val="both"/>
        <w:rPr>
          <w:rFonts w:ascii="Palatino Linotype" w:eastAsia="Palatino Linotype" w:hAnsi="Palatino Linotype" w:cs="Palatino Linotype"/>
        </w:rPr>
      </w:pPr>
    </w:p>
    <w:p w:rsidR="00925CFF" w:rsidRPr="008721F3" w:rsidRDefault="002A18F9">
      <w:pPr>
        <w:numPr>
          <w:ilvl w:val="0"/>
          <w:numId w:val="12"/>
        </w:numP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Ahora bien, el artículo 48 de la Ley de Contratación Pública del Estado de México y Municipios, contempla las </w:t>
      </w:r>
      <w:r w:rsidRPr="008721F3">
        <w:rPr>
          <w:rFonts w:ascii="Palatino Linotype" w:eastAsia="Palatino Linotype" w:hAnsi="Palatino Linotype" w:cs="Palatino Linotype"/>
        </w:rPr>
        <w:t>siguientes</w:t>
      </w:r>
      <w:r w:rsidRPr="008721F3">
        <w:rPr>
          <w:rFonts w:ascii="Palatino Linotype" w:eastAsia="Palatino Linotype" w:hAnsi="Palatino Linotype" w:cs="Palatino Linotype"/>
          <w:color w:val="000000"/>
        </w:rPr>
        <w:t xml:space="preserve"> etapas para la </w:t>
      </w:r>
      <w:r w:rsidRPr="008721F3">
        <w:rPr>
          <w:rFonts w:ascii="Palatino Linotype" w:eastAsia="Palatino Linotype" w:hAnsi="Palatino Linotype" w:cs="Palatino Linotype"/>
          <w:b/>
          <w:color w:val="000000"/>
        </w:rPr>
        <w:t xml:space="preserve">adjudicación directa. </w:t>
      </w:r>
    </w:p>
    <w:p w:rsidR="00925CFF" w:rsidRPr="008721F3" w:rsidRDefault="002A18F9">
      <w:pPr>
        <w:tabs>
          <w:tab w:val="left" w:pos="284"/>
        </w:tabs>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b/>
          <w:i/>
          <w:color w:val="000000"/>
          <w:sz w:val="22"/>
          <w:szCs w:val="22"/>
        </w:rPr>
        <w:t>Artículo 48.-</w:t>
      </w:r>
      <w:r w:rsidRPr="008721F3">
        <w:rPr>
          <w:rFonts w:ascii="Palatino Linotype" w:eastAsia="Palatino Linotype" w:hAnsi="Palatino Linotype" w:cs="Palatino Linotype"/>
          <w:i/>
          <w:color w:val="000000"/>
          <w:sz w:val="22"/>
          <w:szCs w:val="22"/>
        </w:rPr>
        <w:t xml:space="preserve"> La Oficialía Mayor, las entidades, los tribunales administrativos y </w:t>
      </w:r>
      <w:r w:rsidRPr="008721F3">
        <w:rPr>
          <w:rFonts w:ascii="Palatino Linotype" w:eastAsia="Palatino Linotype" w:hAnsi="Palatino Linotype" w:cs="Palatino Linotype"/>
          <w:b/>
          <w:i/>
          <w:color w:val="000000"/>
          <w:sz w:val="22"/>
          <w:szCs w:val="22"/>
        </w:rPr>
        <w:t>los ayuntamientos</w:t>
      </w:r>
      <w:r w:rsidRPr="008721F3">
        <w:rPr>
          <w:rFonts w:ascii="Palatino Linotype" w:eastAsia="Palatino Linotype" w:hAnsi="Palatino Linotype" w:cs="Palatino Linotype"/>
          <w:i/>
          <w:color w:val="000000"/>
          <w:sz w:val="22"/>
          <w:szCs w:val="22"/>
        </w:rPr>
        <w:t xml:space="preserve"> podrán adquirir bienes, arrendar bienes muebles e inmuebles y contratar servicios, mediante adjudicación directa, cuando: </w:t>
      </w:r>
    </w:p>
    <w:p w:rsidR="00925CFF" w:rsidRPr="008721F3" w:rsidRDefault="002A18F9">
      <w:pPr>
        <w:numPr>
          <w:ilvl w:val="1"/>
          <w:numId w:val="2"/>
        </w:numPr>
        <w:pBdr>
          <w:top w:val="nil"/>
          <w:left w:val="nil"/>
          <w:bottom w:val="nil"/>
          <w:right w:val="nil"/>
          <w:between w:val="nil"/>
        </w:pBdr>
        <w:tabs>
          <w:tab w:val="left" w:pos="284"/>
        </w:tabs>
        <w:ind w:left="141" w:right="-850" w:firstLine="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lastRenderedPageBreak/>
        <w:t xml:space="preserve">La adquisición o el servicio sólo puedan realizarse con una determinada persona, por tratarse de obras de arte, titularidad de patentes, registros, marcas específicas, derechos de autor u otros derechos exclusivos. </w:t>
      </w:r>
    </w:p>
    <w:p w:rsidR="00925CFF" w:rsidRPr="008721F3" w:rsidRDefault="002A18F9">
      <w:pPr>
        <w:pBdr>
          <w:top w:val="nil"/>
          <w:left w:val="nil"/>
          <w:bottom w:val="nil"/>
          <w:right w:val="nil"/>
          <w:between w:val="nil"/>
        </w:pBdr>
        <w:tabs>
          <w:tab w:val="left" w:pos="284"/>
        </w:tabs>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II. La adquisición o el arrendamiento de algún inmueble sólo puedan realizarse con determinada persona, por ser el único bien disponible en el mercado inmobiliario que reúna las características de dimensión, ubicación, servicios y otras que requieran las dependencias, las entidades, los tribunales administrativos o los ayuntamientos para su buen funcionamiento o para la adecuada prestación de los servicios públicos a su cargo. </w:t>
      </w:r>
    </w:p>
    <w:p w:rsidR="00925CFF" w:rsidRPr="008721F3" w:rsidRDefault="002A18F9">
      <w:pPr>
        <w:pBdr>
          <w:top w:val="nil"/>
          <w:left w:val="nil"/>
          <w:bottom w:val="nil"/>
          <w:right w:val="nil"/>
          <w:between w:val="nil"/>
        </w:pBdr>
        <w:tabs>
          <w:tab w:val="left" w:pos="284"/>
        </w:tabs>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III. Se trate de servicios que requieran de experiencia, técnicas o equipos especiales, o se trate de la adquisición de bienes usados o de características especiales que solamente puedan ser prestados o suministrados por una sola persona. </w:t>
      </w:r>
    </w:p>
    <w:p w:rsidR="00925CFF" w:rsidRPr="008721F3" w:rsidRDefault="002A18F9">
      <w:pPr>
        <w:pBdr>
          <w:top w:val="nil"/>
          <w:left w:val="nil"/>
          <w:bottom w:val="nil"/>
          <w:right w:val="nil"/>
          <w:between w:val="nil"/>
        </w:pBdr>
        <w:tabs>
          <w:tab w:val="left" w:pos="284"/>
        </w:tabs>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IV. Sea urgente la adquisición de bienes, arrendamientos o servicios por estar en riesgo el orden social, la salubridad, la seguridad pública o el ambiente, de alguna zona o región del Estado; se paralicen los servicios públicos; se trate de programas o acciones de apoyo a la población para atender necesidades apremiantes, o concurra alguna causa similar de interés público. </w:t>
      </w:r>
    </w:p>
    <w:p w:rsidR="00925CFF" w:rsidRPr="008721F3" w:rsidRDefault="002A18F9">
      <w:pPr>
        <w:pBdr>
          <w:top w:val="nil"/>
          <w:left w:val="nil"/>
          <w:bottom w:val="nil"/>
          <w:right w:val="nil"/>
          <w:between w:val="nil"/>
        </w:pBdr>
        <w:tabs>
          <w:tab w:val="left" w:pos="284"/>
        </w:tabs>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V. Existan circunstancias que puedan provocar pérdidas o costos adicionales importantes al erario. </w:t>
      </w:r>
    </w:p>
    <w:p w:rsidR="00925CFF" w:rsidRPr="008721F3" w:rsidRDefault="002A18F9">
      <w:pPr>
        <w:pBdr>
          <w:top w:val="nil"/>
          <w:left w:val="nil"/>
          <w:bottom w:val="nil"/>
          <w:right w:val="nil"/>
          <w:between w:val="nil"/>
        </w:pBdr>
        <w:tabs>
          <w:tab w:val="left" w:pos="284"/>
        </w:tabs>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VI. Pueda comprometerse información de naturaleza confidencial para el Estado o municipios, por razones de seguridad pública. </w:t>
      </w:r>
    </w:p>
    <w:p w:rsidR="00925CFF" w:rsidRPr="008721F3" w:rsidRDefault="002A18F9">
      <w:pPr>
        <w:pBdr>
          <w:top w:val="nil"/>
          <w:left w:val="nil"/>
          <w:bottom w:val="nil"/>
          <w:right w:val="nil"/>
          <w:between w:val="nil"/>
        </w:pBdr>
        <w:tabs>
          <w:tab w:val="left" w:pos="284"/>
        </w:tabs>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VII. Existan circunstancias extraordinarias o imprevisibles derivadas de riesgo o desastre. En este supuesto, la adquisición, arrendamiento y servicio deberá limitarse a lo estrictamente necesario para enfrentar tal eventualidad. </w:t>
      </w:r>
    </w:p>
    <w:p w:rsidR="00925CFF" w:rsidRPr="008721F3" w:rsidRDefault="002A18F9">
      <w:pPr>
        <w:pBdr>
          <w:top w:val="nil"/>
          <w:left w:val="nil"/>
          <w:bottom w:val="nil"/>
          <w:right w:val="nil"/>
          <w:between w:val="nil"/>
        </w:pBdr>
        <w:tabs>
          <w:tab w:val="left" w:pos="284"/>
        </w:tabs>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VIII. Se hubiere rescindido un contrato, por causas imputables al proveedor o que la persona que habiendo resultado ganadora en una licitación, no concurra a la suscripción del contrato dentro del plazo establecido en esta Ley. En estos supuestos, la Oficialía Mayor, la entidad, el tribunal administrativo o el ayuntamiento podrá adjudicar el contrato al licitante que haya presentado la propuesta solvente más cercana a la ganadora y así, sucesivamente. En todo caso, la diferencia de precio no deberá de ser superior al diez por ciento, respecto de la propuesta ganadora. </w:t>
      </w:r>
    </w:p>
    <w:p w:rsidR="00925CFF" w:rsidRPr="008721F3" w:rsidRDefault="002A18F9">
      <w:pPr>
        <w:pBdr>
          <w:top w:val="nil"/>
          <w:left w:val="nil"/>
          <w:bottom w:val="nil"/>
          <w:right w:val="nil"/>
          <w:between w:val="nil"/>
        </w:pBdr>
        <w:tabs>
          <w:tab w:val="left" w:pos="284"/>
        </w:tabs>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IX. Se hubiere declarado desierto un procedimiento de invitación restringida. </w:t>
      </w:r>
    </w:p>
    <w:p w:rsidR="00925CFF" w:rsidRPr="008721F3" w:rsidRDefault="002A18F9">
      <w:pPr>
        <w:pBdr>
          <w:top w:val="nil"/>
          <w:left w:val="nil"/>
          <w:bottom w:val="nil"/>
          <w:right w:val="nil"/>
          <w:between w:val="nil"/>
        </w:pBdr>
        <w:tabs>
          <w:tab w:val="left" w:pos="284"/>
        </w:tabs>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X. Cuando se aseguren condiciones financieras que permitan al Estado o a los municipios cumplir con la obligación de pago de manera diferida, sin que ello implique un costo financiero adicional o que habiéndolo, sea inferior al del mercado, o </w:t>
      </w:r>
    </w:p>
    <w:p w:rsidR="00925CFF" w:rsidRPr="008721F3" w:rsidRDefault="002A18F9">
      <w:pPr>
        <w:pBdr>
          <w:top w:val="nil"/>
          <w:left w:val="nil"/>
          <w:bottom w:val="nil"/>
          <w:right w:val="nil"/>
          <w:between w:val="nil"/>
        </w:pBdr>
        <w:tabs>
          <w:tab w:val="left" w:pos="284"/>
        </w:tabs>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XI. El importe de la operación no rebase los montos establecidos en el Presupuesto de Egresos del Gobierno del Estado del ejercicio correspondiente. Tratándose de arrendamientos de inmuebles se entenderá por importe de la operación el monto mensual de la renta. Las dependencias, las entidades, los tribunales administrativos y los ayuntamientos se abstendrán de fraccionar el importe de las operaciones, con el propósito de quedar comprendidos en este supuesto de excepción. La Secretaría de la Contraloría y los órganos de control interno, en el ámbito de su competencia, vigilarán el cumplimiento de esta disposición. </w:t>
      </w:r>
    </w:p>
    <w:p w:rsidR="00925CFF" w:rsidRPr="008721F3" w:rsidRDefault="002A18F9">
      <w:pPr>
        <w:pBdr>
          <w:top w:val="nil"/>
          <w:left w:val="nil"/>
          <w:bottom w:val="nil"/>
          <w:right w:val="nil"/>
          <w:between w:val="nil"/>
        </w:pBdr>
        <w:tabs>
          <w:tab w:val="left" w:pos="284"/>
        </w:tabs>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lastRenderedPageBreak/>
        <w:t xml:space="preserve">XII. Se trate de bienes producidos por sociedades cooperativas, de producción rural, de interés colectivo, de solidaridad social, sociedades y asociaciones de fin social, cuyo objeto no sea preponderantemente lucrativo, producidos en el Estado de México y adquiridos directamente a éstas. </w:t>
      </w:r>
    </w:p>
    <w:p w:rsidR="00925CFF" w:rsidRPr="008721F3" w:rsidRDefault="002A18F9">
      <w:pPr>
        <w:pBdr>
          <w:top w:val="nil"/>
          <w:left w:val="nil"/>
          <w:bottom w:val="nil"/>
          <w:right w:val="nil"/>
          <w:between w:val="nil"/>
        </w:pBdr>
        <w:tabs>
          <w:tab w:val="left" w:pos="284"/>
        </w:tabs>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b/>
          <w:i/>
          <w:color w:val="000000"/>
          <w:sz w:val="22"/>
          <w:szCs w:val="22"/>
        </w:rPr>
        <w:t>Artículo 49.-</w:t>
      </w:r>
      <w:r w:rsidRPr="008721F3">
        <w:rPr>
          <w:rFonts w:ascii="Palatino Linotype" w:eastAsia="Palatino Linotype" w:hAnsi="Palatino Linotype" w:cs="Palatino Linotype"/>
          <w:i/>
          <w:color w:val="000000"/>
          <w:sz w:val="22"/>
          <w:szCs w:val="22"/>
        </w:rPr>
        <w:t xml:space="preserve"> El procedimiento de adjudicación directa se substanciará con arreglo a el reglamento de esta Ley. </w:t>
      </w:r>
    </w:p>
    <w:p w:rsidR="00925CFF" w:rsidRPr="008721F3" w:rsidRDefault="00925CFF">
      <w:pPr>
        <w:tabs>
          <w:tab w:val="left" w:pos="284"/>
        </w:tabs>
        <w:ind w:left="-566" w:right="-1417"/>
        <w:jc w:val="both"/>
        <w:rPr>
          <w:rFonts w:ascii="Palatino Linotype" w:eastAsia="Palatino Linotype" w:hAnsi="Palatino Linotype" w:cs="Palatino Linotype"/>
          <w:i/>
          <w:color w:val="000000"/>
        </w:rPr>
      </w:pPr>
    </w:p>
    <w:p w:rsidR="00925CFF" w:rsidRPr="008721F3" w:rsidRDefault="002A18F9">
      <w:pPr>
        <w:numPr>
          <w:ilvl w:val="0"/>
          <w:numId w:val="12"/>
        </w:numP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En esa línea de estudio, de conformidad con el Reglamento de la Ley de Contratación Pública del Estado de México y Municipios, regula que por Adjudicación Directa se entiende lo siguiente. </w:t>
      </w:r>
    </w:p>
    <w:p w:rsidR="00925CFF" w:rsidRPr="008721F3" w:rsidRDefault="002A18F9">
      <w:pPr>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Artículo 2.- Para los efectos de este Reglamento, se entenderá por: </w:t>
      </w:r>
    </w:p>
    <w:p w:rsidR="00925CFF" w:rsidRPr="008721F3" w:rsidRDefault="002A18F9">
      <w:pPr>
        <w:numPr>
          <w:ilvl w:val="0"/>
          <w:numId w:val="3"/>
        </w:numPr>
        <w:pBdr>
          <w:top w:val="nil"/>
          <w:left w:val="nil"/>
          <w:bottom w:val="nil"/>
          <w:right w:val="nil"/>
          <w:between w:val="nil"/>
        </w:pBdr>
        <w:ind w:left="141" w:right="-850" w:firstLine="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b/>
          <w:i/>
          <w:color w:val="000000"/>
          <w:sz w:val="22"/>
          <w:szCs w:val="22"/>
        </w:rPr>
        <w:t>Adjudicación directa:</w:t>
      </w:r>
      <w:r w:rsidRPr="008721F3">
        <w:rPr>
          <w:rFonts w:ascii="Palatino Linotype" w:eastAsia="Palatino Linotype" w:hAnsi="Palatino Linotype" w:cs="Palatino Linotype"/>
          <w:i/>
          <w:color w:val="000000"/>
          <w:sz w:val="22"/>
          <w:szCs w:val="22"/>
        </w:rPr>
        <w:t xml:space="preserve"> Excepción al procedimiento de licitación pública para la adquisición de bienes, enajenación o arrendamiento de bienes, o la contratación de servicios en el que la convocante, designa al proveedor de bienes, arrendador, comprador o prestador del servicio, con base en las mejores condiciones en cuanto a precio, calidad, financiamiento, oportunidad y demás circunstancias pertinentes.</w:t>
      </w:r>
    </w:p>
    <w:p w:rsidR="00925CFF" w:rsidRPr="008721F3" w:rsidRDefault="00925CFF">
      <w:pPr>
        <w:pBdr>
          <w:top w:val="nil"/>
          <w:left w:val="nil"/>
          <w:bottom w:val="nil"/>
          <w:right w:val="nil"/>
          <w:between w:val="nil"/>
        </w:pBdr>
        <w:ind w:left="-566" w:right="-1417"/>
        <w:jc w:val="both"/>
        <w:rPr>
          <w:rFonts w:ascii="Palatino Linotype" w:eastAsia="Palatino Linotype" w:hAnsi="Palatino Linotype" w:cs="Palatino Linotype"/>
          <w:i/>
          <w:color w:val="000000"/>
        </w:rPr>
      </w:pPr>
    </w:p>
    <w:p w:rsidR="00925CFF" w:rsidRPr="008721F3" w:rsidRDefault="002A18F9">
      <w:pPr>
        <w:numPr>
          <w:ilvl w:val="0"/>
          <w:numId w:val="12"/>
        </w:numP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De lo anterior, se colige que el área convocante es quien designa al proveedor de bienes, arrendador, comprador o prestador del servicio con base en las mejores condiciones en cuanto a precio, calidad y financiamiento. </w:t>
      </w:r>
    </w:p>
    <w:p w:rsidR="00925CFF" w:rsidRPr="008721F3" w:rsidRDefault="00925CFF">
      <w:pPr>
        <w:spacing w:line="360" w:lineRule="auto"/>
        <w:ind w:left="-566" w:right="-1417"/>
        <w:jc w:val="both"/>
        <w:rPr>
          <w:rFonts w:ascii="Palatino Linotype" w:eastAsia="Palatino Linotype" w:hAnsi="Palatino Linotype" w:cs="Palatino Linotype"/>
          <w:color w:val="000000"/>
        </w:rPr>
      </w:pPr>
    </w:p>
    <w:p w:rsidR="00925CFF" w:rsidRPr="008721F3" w:rsidRDefault="002A18F9">
      <w:pPr>
        <w:numPr>
          <w:ilvl w:val="0"/>
          <w:numId w:val="12"/>
        </w:numP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Seguidamente el artículo 93 del Reglamento de la Ley de Contratación Pública del Estado de México y Municipios, regula que los municipios </w:t>
      </w:r>
      <w:r w:rsidRPr="008721F3">
        <w:rPr>
          <w:rFonts w:ascii="Palatino Linotype" w:eastAsia="Palatino Linotype" w:hAnsi="Palatino Linotype" w:cs="Palatino Linotype"/>
        </w:rPr>
        <w:t>solicitarán</w:t>
      </w:r>
      <w:r w:rsidRPr="008721F3">
        <w:rPr>
          <w:rFonts w:ascii="Palatino Linotype" w:eastAsia="Palatino Linotype" w:hAnsi="Palatino Linotype" w:cs="Palatino Linotype"/>
          <w:color w:val="000000"/>
        </w:rPr>
        <w:t xml:space="preserve"> al Comité de Adquisiciones el dictamen de procedencia del procedimiento de adjudicación, en el que se acredite previamente lo siguiente. </w:t>
      </w:r>
    </w:p>
    <w:p w:rsidR="00925CFF" w:rsidRPr="008721F3" w:rsidRDefault="002A18F9">
      <w:pPr>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b/>
          <w:i/>
          <w:color w:val="000000"/>
          <w:sz w:val="22"/>
          <w:szCs w:val="22"/>
        </w:rPr>
        <w:t xml:space="preserve">Artículo 93.- </w:t>
      </w:r>
      <w:r w:rsidRPr="008721F3">
        <w:rPr>
          <w:rFonts w:ascii="Palatino Linotype" w:eastAsia="Palatino Linotype" w:hAnsi="Palatino Linotype" w:cs="Palatino Linotype"/>
          <w:i/>
          <w:color w:val="000000"/>
          <w:sz w:val="22"/>
          <w:szCs w:val="22"/>
        </w:rPr>
        <w:t xml:space="preserve">La Secretaría, organismos auxiliares, tribunales administrativos y municipios, solicitarán al comité el dictamen de procedencia del procedimiento de adjudicación directa, acreditando previamente: </w:t>
      </w:r>
    </w:p>
    <w:p w:rsidR="00925CFF" w:rsidRPr="008721F3" w:rsidRDefault="002A18F9">
      <w:pPr>
        <w:numPr>
          <w:ilvl w:val="0"/>
          <w:numId w:val="4"/>
        </w:numPr>
        <w:pBdr>
          <w:top w:val="nil"/>
          <w:left w:val="nil"/>
          <w:bottom w:val="nil"/>
          <w:right w:val="nil"/>
          <w:between w:val="nil"/>
        </w:pBdr>
        <w:ind w:left="141" w:right="-850" w:firstLine="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 xml:space="preserve">La descripción general de los bienes a adquirir o el servicio a contratar; </w:t>
      </w:r>
    </w:p>
    <w:p w:rsidR="00925CFF" w:rsidRPr="008721F3" w:rsidRDefault="002A18F9">
      <w:pPr>
        <w:ind w:left="141" w:right="-85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i/>
          <w:color w:val="000000"/>
          <w:sz w:val="22"/>
          <w:szCs w:val="22"/>
        </w:rPr>
        <w:t>II</w:t>
      </w:r>
      <w:r w:rsidRPr="008721F3">
        <w:rPr>
          <w:rFonts w:ascii="Palatino Linotype" w:eastAsia="Palatino Linotype" w:hAnsi="Palatino Linotype" w:cs="Palatino Linotype"/>
          <w:b/>
          <w:i/>
          <w:color w:val="000000"/>
          <w:sz w:val="22"/>
          <w:szCs w:val="22"/>
        </w:rPr>
        <w:t xml:space="preserve">. La justificación o conveniencia de llevar a cabo la adjudicación directa; y </w:t>
      </w:r>
    </w:p>
    <w:p w:rsidR="00925CFF" w:rsidRPr="008721F3" w:rsidRDefault="002A18F9">
      <w:pPr>
        <w:ind w:left="141" w:right="-850"/>
        <w:jc w:val="both"/>
        <w:rPr>
          <w:b/>
          <w:i/>
          <w:sz w:val="22"/>
          <w:szCs w:val="22"/>
        </w:rPr>
      </w:pPr>
      <w:r w:rsidRPr="008721F3">
        <w:rPr>
          <w:rFonts w:ascii="Palatino Linotype" w:eastAsia="Palatino Linotype" w:hAnsi="Palatino Linotype" w:cs="Palatino Linotype"/>
          <w:b/>
          <w:i/>
          <w:color w:val="000000"/>
          <w:sz w:val="22"/>
          <w:szCs w:val="22"/>
        </w:rPr>
        <w:t>III. Certificación de suficiencia presupuestaria.</w:t>
      </w:r>
      <w:r w:rsidRPr="008721F3">
        <w:rPr>
          <w:b/>
          <w:i/>
          <w:sz w:val="22"/>
          <w:szCs w:val="22"/>
        </w:rPr>
        <w:t xml:space="preserve"> </w:t>
      </w:r>
    </w:p>
    <w:p w:rsidR="00925CFF" w:rsidRPr="008721F3" w:rsidRDefault="002A18F9">
      <w:pPr>
        <w:ind w:left="141" w:right="-85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i/>
          <w:color w:val="000000"/>
          <w:sz w:val="22"/>
          <w:szCs w:val="22"/>
        </w:rPr>
        <w:lastRenderedPageBreak/>
        <w:t xml:space="preserve">El oficio justificatorio a que se refiere la fracción II, </w:t>
      </w:r>
      <w:r w:rsidRPr="008721F3">
        <w:rPr>
          <w:rFonts w:ascii="Palatino Linotype" w:eastAsia="Palatino Linotype" w:hAnsi="Palatino Linotype" w:cs="Palatino Linotype"/>
          <w:b/>
          <w:i/>
          <w:color w:val="000000"/>
          <w:sz w:val="22"/>
          <w:szCs w:val="22"/>
        </w:rPr>
        <w:t xml:space="preserve">deberá formularse por el titular de la unidad administrativa interesada en la adquisición de los bienes, la contratación de servicios o el arrendamiento. </w:t>
      </w:r>
    </w:p>
    <w:p w:rsidR="00925CFF" w:rsidRPr="008721F3" w:rsidRDefault="00925CFF">
      <w:pPr>
        <w:ind w:left="-566" w:right="-1417"/>
        <w:jc w:val="both"/>
        <w:rPr>
          <w:rFonts w:ascii="Palatino Linotype" w:eastAsia="Palatino Linotype" w:hAnsi="Palatino Linotype" w:cs="Palatino Linotype"/>
          <w:i/>
          <w:color w:val="000000"/>
        </w:rPr>
      </w:pPr>
    </w:p>
    <w:p w:rsidR="00925CFF" w:rsidRPr="008721F3" w:rsidRDefault="002A18F9">
      <w:pPr>
        <w:numPr>
          <w:ilvl w:val="0"/>
          <w:numId w:val="12"/>
        </w:numP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De lo anterior, se contempla que dentro de la información que se encuentra en el expediente aperturado por el procedimiento de adjudicación directa se encuentra las descripción general de los </w:t>
      </w:r>
      <w:r w:rsidRPr="008721F3">
        <w:rPr>
          <w:rFonts w:ascii="Palatino Linotype" w:eastAsia="Palatino Linotype" w:hAnsi="Palatino Linotype" w:cs="Palatino Linotype"/>
          <w:b/>
          <w:color w:val="000000"/>
        </w:rPr>
        <w:t>bienes a adquirir o servicios a contratar</w:t>
      </w:r>
      <w:r w:rsidRPr="008721F3">
        <w:rPr>
          <w:rFonts w:ascii="Palatino Linotype" w:eastAsia="Palatino Linotype" w:hAnsi="Palatino Linotype" w:cs="Palatino Linotype"/>
          <w:color w:val="000000"/>
        </w:rPr>
        <w:t xml:space="preserve">, la justificación o conveniencia de llevar a cabo la adjudicación directa, </w:t>
      </w:r>
      <w:r w:rsidRPr="008721F3">
        <w:rPr>
          <w:rFonts w:ascii="Palatino Linotype" w:eastAsia="Palatino Linotype" w:hAnsi="Palatino Linotype" w:cs="Palatino Linotype"/>
          <w:b/>
          <w:color w:val="000000"/>
        </w:rPr>
        <w:t xml:space="preserve">la certificación </w:t>
      </w:r>
      <w:r w:rsidRPr="008721F3">
        <w:rPr>
          <w:rFonts w:ascii="Palatino Linotype" w:eastAsia="Palatino Linotype" w:hAnsi="Palatino Linotype" w:cs="Palatino Linotype"/>
          <w:b/>
        </w:rPr>
        <w:t>de suficiencia</w:t>
      </w:r>
      <w:r w:rsidRPr="008721F3">
        <w:rPr>
          <w:rFonts w:ascii="Palatino Linotype" w:eastAsia="Palatino Linotype" w:hAnsi="Palatino Linotype" w:cs="Palatino Linotype"/>
          <w:b/>
          <w:color w:val="000000"/>
        </w:rPr>
        <w:t xml:space="preserve"> presupuestaria</w:t>
      </w:r>
      <w:r w:rsidRPr="008721F3">
        <w:rPr>
          <w:rFonts w:ascii="Palatino Linotype" w:eastAsia="Palatino Linotype" w:hAnsi="Palatino Linotype" w:cs="Palatino Linotype"/>
          <w:color w:val="000000"/>
        </w:rPr>
        <w:t xml:space="preserve"> y el oficio </w:t>
      </w:r>
      <w:r w:rsidRPr="008721F3">
        <w:rPr>
          <w:rFonts w:ascii="Palatino Linotype" w:eastAsia="Palatino Linotype" w:hAnsi="Palatino Linotype" w:cs="Palatino Linotype"/>
        </w:rPr>
        <w:t>justificatorio</w:t>
      </w:r>
      <w:r w:rsidRPr="008721F3">
        <w:rPr>
          <w:rFonts w:ascii="Palatino Linotype" w:eastAsia="Palatino Linotype" w:hAnsi="Palatino Linotype" w:cs="Palatino Linotype"/>
          <w:color w:val="000000"/>
        </w:rPr>
        <w:t xml:space="preserve"> que debe de formular el titular de la unidad administrativa interesada en la adquisiciones de los bienes, de servicios o arrendamientos.  </w:t>
      </w:r>
    </w:p>
    <w:p w:rsidR="00925CFF" w:rsidRPr="008721F3" w:rsidRDefault="00925CFF">
      <w:pPr>
        <w:ind w:left="-566" w:right="-1417"/>
        <w:rPr>
          <w:rFonts w:ascii="Palatino Linotype" w:eastAsia="Palatino Linotype" w:hAnsi="Palatino Linotype" w:cs="Palatino Linotype"/>
        </w:rPr>
      </w:pPr>
    </w:p>
    <w:p w:rsidR="00925CFF" w:rsidRPr="008721F3" w:rsidRDefault="002A18F9">
      <w:pPr>
        <w:numPr>
          <w:ilvl w:val="0"/>
          <w:numId w:val="12"/>
        </w:numPr>
        <w:spacing w:line="360" w:lineRule="auto"/>
        <w:ind w:left="-566" w:right="-1417" w:firstLine="0"/>
        <w:jc w:val="both"/>
        <w:rPr>
          <w:color w:val="000000"/>
        </w:rPr>
      </w:pPr>
      <w:r w:rsidRPr="008721F3">
        <w:rPr>
          <w:rFonts w:ascii="Palatino Linotype" w:eastAsia="Palatino Linotype" w:hAnsi="Palatino Linotype" w:cs="Palatino Linotype"/>
        </w:rPr>
        <w:t xml:space="preserve">Seguidamente tal y como se precisó en párrafos anteriores  la información solicitada es considerada información pública que debe encontrarse en la página del IPOMEX del </w:t>
      </w:r>
      <w:r w:rsidRPr="008721F3">
        <w:rPr>
          <w:rFonts w:ascii="Palatino Linotype" w:eastAsia="Palatino Linotype" w:hAnsi="Palatino Linotype" w:cs="Palatino Linotype"/>
          <w:b/>
        </w:rPr>
        <w:t xml:space="preserve">SUJETO OBLIGADO, situación por la cual se señala en particular que de acuerdo con la Ley De Transparencia y Acceso a la Información Pública del Estado de México y Municipios los documentos que integran al procedimiento de adjudicación directa son los siguientes. </w:t>
      </w: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b/>
          <w:i/>
          <w:color w:val="000000"/>
          <w:sz w:val="22"/>
          <w:szCs w:val="22"/>
        </w:rPr>
        <w:t>Artículo 92.</w:t>
      </w:r>
      <w:r w:rsidRPr="008721F3">
        <w:rPr>
          <w:rFonts w:ascii="Palatino Linotype" w:eastAsia="Palatino Linotype" w:hAnsi="Palatino Linotype" w:cs="Palatino Linotype"/>
          <w:i/>
          <w:color w:val="000000"/>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b) De las adjudicaciones directas: </w:t>
      </w: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1) La propuesta enviada por el participante; </w:t>
      </w: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2) Los motivos y fundamentos legales aplicados para llevarla a cabo; </w:t>
      </w: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3) La autorización del ejercicio de la opción; </w:t>
      </w: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4) En su caso, las cotizaciones consideradas, especificando los nombres de los proveedores y sus montos; </w:t>
      </w: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5) El nombre de la persona física o jurídica colectiva adjudicada; </w:t>
      </w: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6) La unidad administrativa solicitante y la responsable de su ejecución; </w:t>
      </w: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7) El número, fecha, el monto del contrato y el plazo de entrega o de ejecución de los servicios u obra; </w:t>
      </w: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lastRenderedPageBreak/>
        <w:t xml:space="preserve">8) Los mecanismos de vigilancia y supervisión, incluyendo, en su caso, los estudios de impacto urbano y ambiental, según corresponda; </w:t>
      </w: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9) Los informes de avance sobre las obras o servicios contratados; </w:t>
      </w: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10) El convenio de terminación; y </w:t>
      </w:r>
    </w:p>
    <w:p w:rsidR="00925CFF" w:rsidRPr="008721F3" w:rsidRDefault="002A18F9">
      <w:pPr>
        <w:pBdr>
          <w:top w:val="nil"/>
          <w:left w:val="nil"/>
          <w:bottom w:val="nil"/>
          <w:right w:val="nil"/>
          <w:between w:val="nil"/>
        </w:pBdr>
        <w:ind w:left="141" w:right="-85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11) El finiquito.</w:t>
      </w:r>
    </w:p>
    <w:p w:rsidR="00925CFF" w:rsidRPr="008721F3" w:rsidRDefault="00925CFF">
      <w:pPr>
        <w:spacing w:line="360" w:lineRule="auto"/>
        <w:ind w:left="141" w:right="-850"/>
        <w:jc w:val="both"/>
        <w:rPr>
          <w:rFonts w:ascii="Palatino Linotype" w:eastAsia="Palatino Linotype" w:hAnsi="Palatino Linotype" w:cs="Palatino Linotype"/>
          <w:i/>
          <w:color w:val="000000"/>
          <w:sz w:val="22"/>
          <w:szCs w:val="22"/>
        </w:rPr>
      </w:pPr>
    </w:p>
    <w:p w:rsidR="00925CFF" w:rsidRPr="008721F3" w:rsidRDefault="002A18F9">
      <w:pPr>
        <w:numPr>
          <w:ilvl w:val="0"/>
          <w:numId w:val="12"/>
        </w:numPr>
        <w:spacing w:line="360" w:lineRule="auto"/>
        <w:ind w:left="-566" w:right="-1417" w:firstLine="0"/>
        <w:jc w:val="both"/>
      </w:pPr>
      <w:r w:rsidRPr="008721F3">
        <w:rPr>
          <w:rFonts w:ascii="Palatino Linotype" w:eastAsia="Palatino Linotype" w:hAnsi="Palatino Linotype" w:cs="Palatino Linotype"/>
        </w:rPr>
        <w:t xml:space="preserve">Ahora bien, respecto al procedimiento de </w:t>
      </w:r>
      <w:r w:rsidRPr="008721F3">
        <w:rPr>
          <w:rFonts w:ascii="Palatino Linotype" w:eastAsia="Palatino Linotype" w:hAnsi="Palatino Linotype" w:cs="Palatino Linotype"/>
          <w:b/>
          <w:i/>
          <w:u w:val="single"/>
        </w:rPr>
        <w:t>licitación pública</w:t>
      </w:r>
      <w:r w:rsidRPr="008721F3">
        <w:rPr>
          <w:rFonts w:ascii="Palatino Linotype" w:eastAsia="Palatino Linotype" w:hAnsi="Palatino Linotype" w:cs="Palatino Linotype"/>
        </w:rPr>
        <w:t xml:space="preserve">, es de mencionar que de acuerdo con el Banco Interamericano de Desarrollo, la licitación es un procedimiento formal y competitivo de adquisiciones, mediante el cual se solicitan, reciben y evalúan ofertas para la adquisición de </w:t>
      </w:r>
      <w:r w:rsidRPr="008721F3">
        <w:rPr>
          <w:rFonts w:ascii="Palatino Linotype" w:eastAsia="Palatino Linotype" w:hAnsi="Palatino Linotype" w:cs="Palatino Linotype"/>
          <w:b/>
          <w:i/>
          <w:u w:val="single"/>
        </w:rPr>
        <w:t>bienes</w:t>
      </w:r>
      <w:r w:rsidRPr="008721F3">
        <w:rPr>
          <w:rFonts w:ascii="Palatino Linotype" w:eastAsia="Palatino Linotype" w:hAnsi="Palatino Linotype" w:cs="Palatino Linotype"/>
        </w:rPr>
        <w:t xml:space="preserve">, </w:t>
      </w:r>
      <w:r w:rsidRPr="008721F3">
        <w:rPr>
          <w:rFonts w:ascii="Palatino Linotype" w:eastAsia="Palatino Linotype" w:hAnsi="Palatino Linotype" w:cs="Palatino Linotype"/>
          <w:b/>
          <w:i/>
          <w:u w:val="single"/>
        </w:rPr>
        <w:t>obras o servicios</w:t>
      </w:r>
      <w:r w:rsidRPr="008721F3">
        <w:rPr>
          <w:rFonts w:ascii="Palatino Linotype" w:eastAsia="Palatino Linotype" w:hAnsi="Palatino Linotype" w:cs="Palatino Linotype"/>
        </w:rPr>
        <w:t xml:space="preserve"> y se adjudica el contrato correspondiente al licitador que ofrezca la propuesta más ventajosa. (Desarrollo, 1995)</w:t>
      </w:r>
    </w:p>
    <w:p w:rsidR="00925CFF" w:rsidRPr="008721F3" w:rsidRDefault="00925CFF">
      <w:pPr>
        <w:ind w:left="-566" w:right="-1417"/>
        <w:rPr>
          <w:rFonts w:ascii="Palatino Linotype" w:eastAsia="Palatino Linotype" w:hAnsi="Palatino Linotype" w:cs="Palatino Linotype"/>
        </w:rPr>
      </w:pPr>
    </w:p>
    <w:p w:rsidR="00925CFF" w:rsidRPr="008721F3" w:rsidRDefault="00925CFF">
      <w:pPr>
        <w:ind w:left="-566" w:right="-1417"/>
        <w:rPr>
          <w:rFonts w:ascii="Palatino Linotype" w:eastAsia="Palatino Linotype" w:hAnsi="Palatino Linotype" w:cs="Palatino Linotype"/>
        </w:rPr>
      </w:pPr>
    </w:p>
    <w:p w:rsidR="00925CFF" w:rsidRPr="008721F3" w:rsidRDefault="002A18F9">
      <w:pPr>
        <w:numPr>
          <w:ilvl w:val="0"/>
          <w:numId w:val="12"/>
        </w:numPr>
        <w:spacing w:line="360" w:lineRule="auto"/>
        <w:ind w:left="-566" w:right="-1417" w:firstLine="0"/>
        <w:jc w:val="both"/>
      </w:pPr>
      <w:r w:rsidRPr="008721F3">
        <w:rPr>
          <w:rFonts w:ascii="Palatino Linotype" w:eastAsia="Palatino Linotype" w:hAnsi="Palatino Linotype" w:cs="Palatino Linotype"/>
        </w:rPr>
        <w:t xml:space="preserve">El artículo 23 de la Ley de Contratación Pública del Estado de México y Municipios, establece que los Comités de Adquisiciones y Servicios, tendrán las siguientes funciones. </w:t>
      </w:r>
    </w:p>
    <w:p w:rsidR="00925CFF" w:rsidRPr="008721F3" w:rsidRDefault="002A18F9">
      <w:pPr>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Artículo 23.- Los comités de adquisiciones y de servicios tendrán las funciones siguientes: </w:t>
      </w:r>
    </w:p>
    <w:p w:rsidR="00925CFF" w:rsidRPr="008721F3" w:rsidRDefault="002A18F9">
      <w:pPr>
        <w:numPr>
          <w:ilvl w:val="0"/>
          <w:numId w:val="5"/>
        </w:numPr>
        <w:ind w:left="141" w:right="-850" w:firstLine="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Dictaminar sobre la procedencia de los casos de excepción al procedimiento de licitación pública. </w:t>
      </w:r>
    </w:p>
    <w:p w:rsidR="00925CFF" w:rsidRPr="008721F3" w:rsidRDefault="002A18F9">
      <w:pPr>
        <w:ind w:left="141" w:right="-850"/>
        <w:jc w:val="both"/>
        <w:rPr>
          <w:rFonts w:ascii="Palatino Linotype" w:eastAsia="Palatino Linotype" w:hAnsi="Palatino Linotype" w:cs="Palatino Linotype"/>
          <w:b/>
          <w:i/>
          <w:sz w:val="22"/>
          <w:szCs w:val="22"/>
        </w:rPr>
      </w:pPr>
      <w:r w:rsidRPr="008721F3">
        <w:rPr>
          <w:rFonts w:ascii="Palatino Linotype" w:eastAsia="Palatino Linotype" w:hAnsi="Palatino Linotype" w:cs="Palatino Linotype"/>
          <w:b/>
          <w:i/>
          <w:sz w:val="22"/>
          <w:szCs w:val="22"/>
        </w:rPr>
        <w:t xml:space="preserve">II. Participar en los procedimientos de licitación, invitación restringida y adjudicación directa, hasta dejarlos en estado de dictar el fallo correspondiente, incluidos los que tengan que desahogarse bajo la modalidad de subasta inversa. </w:t>
      </w:r>
    </w:p>
    <w:p w:rsidR="00925CFF" w:rsidRPr="008721F3" w:rsidRDefault="002A18F9">
      <w:pPr>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III. Emitir los dictámenes de adjudicación. </w:t>
      </w:r>
    </w:p>
    <w:p w:rsidR="00925CFF" w:rsidRPr="008721F3" w:rsidRDefault="002A18F9">
      <w:pPr>
        <w:ind w:left="141" w:right="-1417"/>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IV. Las demás que establezca el reglamento de esta Ley.</w:t>
      </w:r>
    </w:p>
    <w:p w:rsidR="00925CFF" w:rsidRPr="008721F3" w:rsidRDefault="00925CFF">
      <w:pPr>
        <w:ind w:left="-566" w:right="-1417"/>
        <w:jc w:val="both"/>
        <w:rPr>
          <w:rFonts w:ascii="Palatino Linotype" w:eastAsia="Palatino Linotype" w:hAnsi="Palatino Linotype" w:cs="Palatino Linotype"/>
          <w:i/>
        </w:rPr>
      </w:pPr>
    </w:p>
    <w:p w:rsidR="00925CFF" w:rsidRPr="008721F3" w:rsidRDefault="002A18F9">
      <w:pPr>
        <w:numPr>
          <w:ilvl w:val="0"/>
          <w:numId w:val="12"/>
        </w:numPr>
        <w:spacing w:line="360" w:lineRule="auto"/>
        <w:ind w:left="-566" w:right="-1417" w:firstLine="0"/>
        <w:jc w:val="both"/>
      </w:pPr>
      <w:r w:rsidRPr="008721F3">
        <w:rPr>
          <w:rFonts w:ascii="Palatino Linotype" w:eastAsia="Palatino Linotype" w:hAnsi="Palatino Linotype" w:cs="Palatino Linotype"/>
        </w:rPr>
        <w:t xml:space="preserve">En esa línea de estudio, el artículo 35 de la Ley de Contratación Pública del Estado de México y Municipios, establece que el procedimiento que sigue la licitación pública es el siguiente. </w:t>
      </w:r>
    </w:p>
    <w:p w:rsidR="00925CFF" w:rsidRPr="008721F3" w:rsidRDefault="002A18F9">
      <w:pPr>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b/>
          <w:i/>
          <w:sz w:val="22"/>
          <w:szCs w:val="22"/>
        </w:rPr>
        <w:t>Artículo 35.-</w:t>
      </w:r>
      <w:r w:rsidRPr="008721F3">
        <w:rPr>
          <w:rFonts w:ascii="Palatino Linotype" w:eastAsia="Palatino Linotype" w:hAnsi="Palatino Linotype" w:cs="Palatino Linotype"/>
          <w:i/>
          <w:sz w:val="22"/>
          <w:szCs w:val="22"/>
        </w:rPr>
        <w:t xml:space="preserve"> En los procedimientos de licitación pública se observará lo siguiente: </w:t>
      </w:r>
    </w:p>
    <w:p w:rsidR="00925CFF" w:rsidRPr="008721F3" w:rsidRDefault="002A18F9">
      <w:pPr>
        <w:numPr>
          <w:ilvl w:val="0"/>
          <w:numId w:val="10"/>
        </w:numPr>
        <w:ind w:left="141" w:right="-850" w:firstLine="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El acto de presentación y apertura de propuestas se llevará a cabo por el servidor público que designe la convocante, conforme al procedimiento que se establezca en el reglamento de esta Ley. </w:t>
      </w:r>
    </w:p>
    <w:p w:rsidR="00925CFF" w:rsidRPr="008721F3" w:rsidRDefault="002A18F9">
      <w:pPr>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II. El comité de adquisiciones y servicios evaluará y analizará las propuestas técnicas y económicas presentadas por los licitantes en el ámbito de las respectivas competencias de sus integrantes, y emitirá el dictamen de adjudicación. </w:t>
      </w:r>
    </w:p>
    <w:p w:rsidR="00925CFF" w:rsidRPr="008721F3" w:rsidRDefault="002A18F9">
      <w:pPr>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lastRenderedPageBreak/>
        <w:t xml:space="preserve">III. Las bases de licitación se pondrán a la venta a partir de la fecha de publicación de la convocatoria y hasta el día hábil anterior a la fecha de celebración de la junta de aclaraciones o, en su defecto, del acto de presentación y apertura de propuestas. </w:t>
      </w:r>
    </w:p>
    <w:p w:rsidR="00925CFF" w:rsidRPr="008721F3" w:rsidRDefault="002A18F9">
      <w:pPr>
        <w:ind w:left="141" w:right="-709"/>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IV. Las convocantes podrán modificar los plazos y términos establecidos en la convocatoria o en las bases de licitación, hasta cinco días hábiles anteriores a la fecha de la celebración del acto de presentación y apertura de propuestas. </w:t>
      </w:r>
    </w:p>
    <w:p w:rsidR="00925CFF" w:rsidRPr="008721F3" w:rsidRDefault="002A18F9">
      <w:pPr>
        <w:ind w:left="141" w:right="-709"/>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V. Las modificaciones no podrán limitar el número de licitantes, sustituir o variar sustancialmente los bienes o servicios convocados originalmente, ni adicionar otros distintos. </w:t>
      </w:r>
    </w:p>
    <w:p w:rsidR="00925CFF" w:rsidRPr="008721F3" w:rsidRDefault="002A18F9">
      <w:pPr>
        <w:ind w:left="141" w:right="-709"/>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VI. Las modificaciones a la convocatoria o a las bases se harán del conocimiento de los interesados hasta tres días hábiles antes de la fecha señalada para el acto de presentación y apertura de propuestas.</w:t>
      </w:r>
      <w:r w:rsidRPr="008721F3">
        <w:rPr>
          <w:rFonts w:ascii="Calibri" w:eastAsia="Calibri" w:hAnsi="Calibri" w:cs="Calibri"/>
          <w:i/>
          <w:sz w:val="22"/>
          <w:szCs w:val="22"/>
        </w:rPr>
        <w:t xml:space="preserve"> </w:t>
      </w:r>
    </w:p>
    <w:p w:rsidR="00925CFF" w:rsidRPr="008721F3" w:rsidRDefault="002A18F9">
      <w:pPr>
        <w:ind w:left="141" w:right="-709"/>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VII. Se emitirá el fallo dentro de los 15 días hábiles siguientes a la publicación de la convocatoria. </w:t>
      </w:r>
    </w:p>
    <w:p w:rsidR="00925CFF" w:rsidRPr="008721F3" w:rsidRDefault="002A18F9">
      <w:pPr>
        <w:ind w:left="141" w:right="-709"/>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VIII. Los licitantes se podrán registrar hasta el día y la hora fijados para el acto de presentación y apertura de propuestas.</w:t>
      </w:r>
    </w:p>
    <w:p w:rsidR="00925CFF" w:rsidRPr="008721F3" w:rsidRDefault="00925CFF">
      <w:pPr>
        <w:spacing w:line="360" w:lineRule="auto"/>
        <w:ind w:left="-566" w:right="-1417"/>
        <w:rPr>
          <w:rFonts w:ascii="Palatino Linotype" w:eastAsia="Palatino Linotype" w:hAnsi="Palatino Linotype" w:cs="Palatino Linotype"/>
        </w:rPr>
      </w:pPr>
    </w:p>
    <w:p w:rsidR="00925CFF" w:rsidRPr="008721F3" w:rsidRDefault="002A18F9">
      <w:pPr>
        <w:numPr>
          <w:ilvl w:val="0"/>
          <w:numId w:val="12"/>
        </w:numPr>
        <w:spacing w:line="360" w:lineRule="auto"/>
        <w:ind w:left="-566" w:right="-1417" w:firstLine="0"/>
        <w:jc w:val="both"/>
      </w:pPr>
      <w:r w:rsidRPr="008721F3">
        <w:rPr>
          <w:rFonts w:ascii="Palatino Linotype" w:eastAsia="Palatino Linotype" w:hAnsi="Palatino Linotype" w:cs="Palatino Linotype"/>
        </w:rPr>
        <w:t xml:space="preserve">Seguidamente el artículo 39 de la Ley de Contratación Pública del Estado de México y Municipios, regula que cada uno de los actos del procedimiento adquisitivo se levantará el acta respectiva, la cual será firmada por los participantes. </w:t>
      </w:r>
    </w:p>
    <w:p w:rsidR="00925CFF" w:rsidRPr="008721F3" w:rsidRDefault="00925CFF">
      <w:pPr>
        <w:spacing w:line="360" w:lineRule="auto"/>
        <w:ind w:left="-566" w:right="-1417"/>
        <w:jc w:val="center"/>
        <w:rPr>
          <w:rFonts w:ascii="Palatino Linotype" w:eastAsia="Palatino Linotype" w:hAnsi="Palatino Linotype" w:cs="Palatino Linotype"/>
        </w:rPr>
      </w:pPr>
    </w:p>
    <w:p w:rsidR="00925CFF" w:rsidRPr="008721F3" w:rsidRDefault="002A18F9">
      <w:pPr>
        <w:numPr>
          <w:ilvl w:val="0"/>
          <w:numId w:val="12"/>
        </w:numPr>
        <w:spacing w:line="360" w:lineRule="auto"/>
        <w:ind w:left="-566" w:right="-1417" w:firstLine="0"/>
        <w:jc w:val="both"/>
      </w:pPr>
      <w:r w:rsidRPr="008721F3">
        <w:rPr>
          <w:rFonts w:ascii="Palatino Linotype" w:eastAsia="Palatino Linotype" w:hAnsi="Palatino Linotype" w:cs="Palatino Linotype"/>
        </w:rPr>
        <w:t xml:space="preserve">Ahora bien, como se mencionó en párrafos anteriores la información solicitada por el </w:t>
      </w:r>
      <w:r w:rsidRPr="008721F3">
        <w:rPr>
          <w:rFonts w:ascii="Palatino Linotype" w:eastAsia="Palatino Linotype" w:hAnsi="Palatino Linotype" w:cs="Palatino Linotype"/>
          <w:b/>
        </w:rPr>
        <w:t xml:space="preserve">RECURRENTE </w:t>
      </w:r>
      <w:r w:rsidRPr="008721F3">
        <w:rPr>
          <w:rFonts w:ascii="Palatino Linotype" w:eastAsia="Palatino Linotype" w:hAnsi="Palatino Linotype" w:cs="Palatino Linotype"/>
        </w:rPr>
        <w:t xml:space="preserve">forma parte de las obligaciones de transparencia común, situación por la cual de conformidad con el artículo 92 de la Ley de Transparencia y Acceso a la Información Pública del Estado de México,  establece que los documentos de consulta de las licitaciones públicas e invitación restringida son los siguientes. </w:t>
      </w:r>
    </w:p>
    <w:p w:rsidR="00925CFF" w:rsidRPr="008721F3" w:rsidRDefault="002A18F9">
      <w:pPr>
        <w:ind w:left="141" w:right="-709"/>
        <w:jc w:val="both"/>
        <w:rPr>
          <w:rFonts w:ascii="Calibri" w:eastAsia="Calibri" w:hAnsi="Calibri" w:cs="Calibri"/>
          <w:sz w:val="22"/>
          <w:szCs w:val="22"/>
        </w:rPr>
      </w:pPr>
      <w:r w:rsidRPr="008721F3">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8721F3">
        <w:rPr>
          <w:rFonts w:ascii="Calibri" w:eastAsia="Calibri" w:hAnsi="Calibri" w:cs="Calibri"/>
          <w:sz w:val="22"/>
          <w:szCs w:val="22"/>
        </w:rPr>
        <w:t xml:space="preserve"> </w:t>
      </w:r>
    </w:p>
    <w:p w:rsidR="00925CFF" w:rsidRPr="008721F3" w:rsidRDefault="002A18F9">
      <w:pPr>
        <w:ind w:left="141" w:right="-709"/>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XXIX. La </w:t>
      </w:r>
      <w:r w:rsidRPr="008721F3">
        <w:rPr>
          <w:rFonts w:ascii="Palatino Linotype" w:eastAsia="Palatino Linotype" w:hAnsi="Palatino Linotype" w:cs="Palatino Linotype"/>
          <w:b/>
          <w:i/>
          <w:sz w:val="22"/>
          <w:szCs w:val="22"/>
        </w:rPr>
        <w:t>información sobre los procesos y resultados sobre procedimientos de adjudicación directa, invitación restringida y licitación de cualquier naturaleza</w:t>
      </w:r>
      <w:r w:rsidRPr="008721F3">
        <w:rPr>
          <w:rFonts w:ascii="Palatino Linotype" w:eastAsia="Palatino Linotype" w:hAnsi="Palatino Linotype" w:cs="Palatino Linotype"/>
          <w:i/>
          <w:sz w:val="22"/>
          <w:szCs w:val="22"/>
        </w:rPr>
        <w:t xml:space="preserve">, incluyendo la versión pública del expediente respectivo y de los contratos celebrados, que deberán contener, por los menos, lo siguiente: </w:t>
      </w:r>
    </w:p>
    <w:p w:rsidR="00925CFF" w:rsidRPr="008721F3" w:rsidRDefault="002A18F9">
      <w:pPr>
        <w:ind w:left="141" w:right="-709"/>
        <w:jc w:val="both"/>
        <w:rPr>
          <w:rFonts w:ascii="Palatino Linotype" w:eastAsia="Palatino Linotype" w:hAnsi="Palatino Linotype" w:cs="Palatino Linotype"/>
          <w:b/>
          <w:i/>
          <w:sz w:val="22"/>
          <w:szCs w:val="22"/>
        </w:rPr>
      </w:pPr>
      <w:r w:rsidRPr="008721F3">
        <w:rPr>
          <w:rFonts w:ascii="Palatino Linotype" w:eastAsia="Palatino Linotype" w:hAnsi="Palatino Linotype" w:cs="Palatino Linotype"/>
          <w:b/>
          <w:i/>
          <w:sz w:val="22"/>
          <w:szCs w:val="22"/>
        </w:rPr>
        <w:t>a) De licitaciones públicas o procedimientos de invitación restringida:</w:t>
      </w:r>
    </w:p>
    <w:p w:rsidR="00925CFF" w:rsidRPr="008721F3" w:rsidRDefault="002A18F9">
      <w:pPr>
        <w:ind w:left="141" w:right="-709"/>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lastRenderedPageBreak/>
        <w:t xml:space="preserve"> 1) La convocatoria o invitación emitida, así como los fundamentos legales aplicados para llevarla a cabo; </w:t>
      </w:r>
    </w:p>
    <w:p w:rsidR="00925CFF" w:rsidRPr="008721F3" w:rsidRDefault="002A18F9">
      <w:pPr>
        <w:ind w:left="141" w:right="-709"/>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2) Los nombres de los participantes o invitados; </w:t>
      </w:r>
    </w:p>
    <w:p w:rsidR="00925CFF" w:rsidRPr="008721F3" w:rsidRDefault="002A18F9">
      <w:pPr>
        <w:ind w:left="141" w:right="-709"/>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3) El nombre del ganador y las razones que lo justifican; </w:t>
      </w:r>
    </w:p>
    <w:p w:rsidR="00925CFF" w:rsidRPr="008721F3" w:rsidRDefault="002A18F9">
      <w:pPr>
        <w:ind w:left="141" w:right="-709"/>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4) El área solicitante y la responsable de su ejecución; </w:t>
      </w:r>
    </w:p>
    <w:p w:rsidR="00925CFF" w:rsidRPr="008721F3" w:rsidRDefault="002A18F9">
      <w:pPr>
        <w:ind w:left="141" w:right="-709"/>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5) Las convocatorias e invitaciones emitidas; </w:t>
      </w:r>
    </w:p>
    <w:p w:rsidR="00925CFF" w:rsidRPr="008721F3" w:rsidRDefault="002A18F9">
      <w:pPr>
        <w:ind w:left="141" w:right="-709"/>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6) Los dictámenes y fallo de adjudicación; 7</w:t>
      </w:r>
    </w:p>
    <w:p w:rsidR="00925CFF" w:rsidRPr="008721F3" w:rsidRDefault="002A18F9">
      <w:pPr>
        <w:ind w:left="141" w:right="-709"/>
        <w:jc w:val="both"/>
        <w:rPr>
          <w:rFonts w:ascii="Palatino Linotype" w:eastAsia="Palatino Linotype" w:hAnsi="Palatino Linotype" w:cs="Palatino Linotype"/>
          <w:b/>
          <w:i/>
          <w:sz w:val="22"/>
          <w:szCs w:val="22"/>
        </w:rPr>
      </w:pPr>
      <w:r w:rsidRPr="008721F3">
        <w:rPr>
          <w:rFonts w:ascii="Palatino Linotype" w:eastAsia="Palatino Linotype" w:hAnsi="Palatino Linotype" w:cs="Palatino Linotype"/>
          <w:b/>
          <w:i/>
          <w:sz w:val="22"/>
          <w:szCs w:val="22"/>
        </w:rPr>
        <w:t xml:space="preserve">) El contrato y, en su caso, sus anexos; </w:t>
      </w:r>
    </w:p>
    <w:p w:rsidR="00925CFF" w:rsidRPr="008721F3" w:rsidRDefault="002A18F9">
      <w:pPr>
        <w:ind w:left="141" w:right="-709"/>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8) Los mecanismos de vigilancia y supervisión, incluyendo en su caso, los estudios de impacto urbano y ambiental, según corresponda; </w:t>
      </w:r>
    </w:p>
    <w:p w:rsidR="00925CFF" w:rsidRPr="008721F3" w:rsidRDefault="002A18F9">
      <w:pPr>
        <w:ind w:left="141" w:right="-709"/>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9) La partida presupuestal, de conformidad con el clasificador por objeto del gasto, en el caso de ser aplicable; </w:t>
      </w:r>
    </w:p>
    <w:p w:rsidR="00925CFF" w:rsidRPr="008721F3" w:rsidRDefault="002A18F9">
      <w:pPr>
        <w:ind w:left="141" w:right="-709"/>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10) Origen de los recursos especificando si son federales, estatales o municipales, así como el tipo de fondo de participación o aportación respectiva; </w:t>
      </w:r>
    </w:p>
    <w:p w:rsidR="00925CFF" w:rsidRPr="008721F3" w:rsidRDefault="002A18F9">
      <w:pPr>
        <w:ind w:left="141" w:right="-709"/>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11) Los convenios modificatorios que, en su caso, sean firmados, precisando el objeto y la fecha de celebración; </w:t>
      </w:r>
    </w:p>
    <w:p w:rsidR="00925CFF" w:rsidRPr="008721F3" w:rsidRDefault="002A18F9">
      <w:pPr>
        <w:ind w:left="141" w:right="-709"/>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12) Los informes de avance físico y financiero sobre las obras o servicios contratados; </w:t>
      </w:r>
    </w:p>
    <w:p w:rsidR="00925CFF" w:rsidRPr="008721F3" w:rsidRDefault="002A18F9">
      <w:pPr>
        <w:ind w:left="141" w:right="-709"/>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13) El convenio de terminación; y </w:t>
      </w:r>
    </w:p>
    <w:p w:rsidR="00925CFF" w:rsidRPr="008721F3" w:rsidRDefault="002A18F9">
      <w:pPr>
        <w:ind w:left="141" w:right="-709"/>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14) El finiquito. </w:t>
      </w:r>
    </w:p>
    <w:p w:rsidR="00925CFF" w:rsidRPr="008721F3" w:rsidRDefault="00925CFF">
      <w:pPr>
        <w:spacing w:line="360" w:lineRule="auto"/>
        <w:ind w:left="-566" w:right="-1417"/>
        <w:jc w:val="both"/>
        <w:rPr>
          <w:rFonts w:ascii="Palatino Linotype" w:eastAsia="Palatino Linotype" w:hAnsi="Palatino Linotype" w:cs="Palatino Linotype"/>
          <w:i/>
        </w:rPr>
      </w:pPr>
    </w:p>
    <w:p w:rsidR="00925CFF" w:rsidRPr="008721F3" w:rsidRDefault="002A18F9">
      <w:pPr>
        <w:numPr>
          <w:ilvl w:val="0"/>
          <w:numId w:val="12"/>
        </w:numP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Siguiendo esa línea de estudio, la Ley de Contratación Pública del Estado de México y Municipios, establece que las licitaciones podrán </w:t>
      </w:r>
      <w:r w:rsidRPr="008721F3">
        <w:rPr>
          <w:rFonts w:ascii="Palatino Linotype" w:eastAsia="Palatino Linotype" w:hAnsi="Palatino Linotype" w:cs="Palatino Linotype"/>
        </w:rPr>
        <w:t>ser de la siguiente</w:t>
      </w:r>
      <w:r w:rsidRPr="008721F3">
        <w:rPr>
          <w:rFonts w:ascii="Palatino Linotype" w:eastAsia="Palatino Linotype" w:hAnsi="Palatino Linotype" w:cs="Palatino Linotype"/>
          <w:color w:val="000000"/>
        </w:rPr>
        <w:t xml:space="preserve"> manera. </w:t>
      </w:r>
    </w:p>
    <w:p w:rsidR="00925CFF" w:rsidRPr="008721F3" w:rsidRDefault="002A18F9">
      <w:pPr>
        <w:tabs>
          <w:tab w:val="left" w:pos="284"/>
        </w:tabs>
        <w:ind w:left="141" w:right="-85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Artículo 29.-</w:t>
      </w:r>
      <w:r w:rsidRPr="008721F3">
        <w:rPr>
          <w:rFonts w:ascii="Palatino Linotype" w:eastAsia="Palatino Linotype" w:hAnsi="Palatino Linotype" w:cs="Palatino Linotype"/>
          <w:i/>
          <w:color w:val="000000"/>
          <w:sz w:val="22"/>
          <w:szCs w:val="22"/>
        </w:rPr>
        <w:t xml:space="preserve"> En el procedimiento de licitación pública deberán establecerse los mismos requisitos y condiciones para todos los licitantes. Todo licitante que satisfaga los requisitos de la convocatoria y de las bases de la licitación tendrá derecho a presentar su propuesta. Las entidades, los tribunales administrativos y </w:t>
      </w:r>
      <w:r w:rsidRPr="008721F3">
        <w:rPr>
          <w:rFonts w:ascii="Palatino Linotype" w:eastAsia="Palatino Linotype" w:hAnsi="Palatino Linotype" w:cs="Palatino Linotype"/>
          <w:b/>
          <w:i/>
          <w:color w:val="000000"/>
          <w:sz w:val="22"/>
          <w:szCs w:val="22"/>
        </w:rPr>
        <w:t>los ayuntamientos proporcionarán a los interesados igual acceso a la información relacionada con la licitación, a fin de evitar favorecer a algún participante.</w:t>
      </w:r>
    </w:p>
    <w:p w:rsidR="00925CFF" w:rsidRPr="008721F3" w:rsidRDefault="002A18F9">
      <w:pPr>
        <w:tabs>
          <w:tab w:val="left" w:pos="284"/>
        </w:tabs>
        <w:ind w:left="141" w:right="-850"/>
        <w:jc w:val="both"/>
        <w:rPr>
          <w:rFonts w:ascii="Palatino Linotype" w:eastAsia="Palatino Linotype" w:hAnsi="Palatino Linotype" w:cs="Palatino Linotype"/>
          <w:b/>
          <w:i/>
          <w:sz w:val="22"/>
          <w:szCs w:val="22"/>
        </w:rPr>
      </w:pPr>
      <w:r w:rsidRPr="008721F3">
        <w:rPr>
          <w:rFonts w:ascii="Palatino Linotype" w:eastAsia="Palatino Linotype" w:hAnsi="Palatino Linotype" w:cs="Palatino Linotype"/>
          <w:i/>
          <w:sz w:val="22"/>
          <w:szCs w:val="22"/>
        </w:rPr>
        <w:t xml:space="preserve">Artículo 30.- </w:t>
      </w:r>
      <w:r w:rsidRPr="008721F3">
        <w:rPr>
          <w:rFonts w:ascii="Palatino Linotype" w:eastAsia="Palatino Linotype" w:hAnsi="Palatino Linotype" w:cs="Palatino Linotype"/>
          <w:b/>
          <w:i/>
          <w:sz w:val="22"/>
          <w:szCs w:val="22"/>
        </w:rPr>
        <w:t xml:space="preserve">Las licitaciones públicas podrán ser: </w:t>
      </w:r>
    </w:p>
    <w:p w:rsidR="00925CFF" w:rsidRPr="008721F3" w:rsidRDefault="002A18F9">
      <w:pPr>
        <w:numPr>
          <w:ilvl w:val="0"/>
          <w:numId w:val="11"/>
        </w:numPr>
        <w:pBdr>
          <w:top w:val="nil"/>
          <w:left w:val="nil"/>
          <w:bottom w:val="nil"/>
          <w:right w:val="nil"/>
          <w:between w:val="nil"/>
        </w:pBdr>
        <w:tabs>
          <w:tab w:val="left" w:pos="284"/>
        </w:tabs>
        <w:ind w:left="141" w:right="-850" w:firstLine="0"/>
        <w:jc w:val="both"/>
        <w:rPr>
          <w:rFonts w:ascii="Palatino Linotype" w:eastAsia="Palatino Linotype" w:hAnsi="Palatino Linotype" w:cs="Palatino Linotype"/>
          <w:b/>
          <w:i/>
          <w:color w:val="000000"/>
          <w:sz w:val="22"/>
          <w:szCs w:val="22"/>
        </w:rPr>
      </w:pPr>
      <w:r w:rsidRPr="008721F3">
        <w:rPr>
          <w:rFonts w:ascii="Palatino Linotype" w:eastAsia="Palatino Linotype" w:hAnsi="Palatino Linotype" w:cs="Palatino Linotype"/>
          <w:b/>
          <w:i/>
          <w:color w:val="000000"/>
          <w:sz w:val="22"/>
          <w:szCs w:val="22"/>
        </w:rPr>
        <w:t xml:space="preserve">Nacionales, cuando únicamente puedan participar personas de nacionalidad mexicana. </w:t>
      </w:r>
    </w:p>
    <w:p w:rsidR="00925CFF" w:rsidRPr="008721F3" w:rsidRDefault="002A18F9">
      <w:pPr>
        <w:numPr>
          <w:ilvl w:val="0"/>
          <w:numId w:val="11"/>
        </w:numPr>
        <w:pBdr>
          <w:top w:val="nil"/>
          <w:left w:val="nil"/>
          <w:bottom w:val="nil"/>
          <w:right w:val="nil"/>
          <w:between w:val="nil"/>
        </w:pBdr>
        <w:tabs>
          <w:tab w:val="left" w:pos="284"/>
        </w:tabs>
        <w:ind w:left="141" w:right="-850" w:firstLine="0"/>
        <w:jc w:val="both"/>
        <w:rPr>
          <w:rFonts w:ascii="Palatino Linotype" w:eastAsia="Palatino Linotype" w:hAnsi="Palatino Linotype" w:cs="Palatino Linotype"/>
          <w:i/>
          <w:color w:val="000000"/>
          <w:sz w:val="22"/>
          <w:szCs w:val="22"/>
        </w:rPr>
      </w:pPr>
      <w:r w:rsidRPr="008721F3">
        <w:rPr>
          <w:rFonts w:ascii="Palatino Linotype" w:eastAsia="Palatino Linotype" w:hAnsi="Palatino Linotype" w:cs="Palatino Linotype"/>
          <w:i/>
          <w:color w:val="000000"/>
          <w:sz w:val="22"/>
          <w:szCs w:val="22"/>
        </w:rPr>
        <w:t>Internacionales, cuando puedan participar tanto personas de nacionalidad mexicana como extranjera.</w:t>
      </w:r>
    </w:p>
    <w:p w:rsidR="00925CFF" w:rsidRPr="008721F3" w:rsidRDefault="00925CFF">
      <w:pPr>
        <w:spacing w:line="360" w:lineRule="auto"/>
        <w:ind w:left="-566" w:right="-1417"/>
        <w:jc w:val="both"/>
        <w:rPr>
          <w:rFonts w:ascii="Palatino Linotype" w:eastAsia="Palatino Linotype" w:hAnsi="Palatino Linotype" w:cs="Palatino Linotype"/>
        </w:rPr>
      </w:pPr>
    </w:p>
    <w:p w:rsidR="00925CFF" w:rsidRPr="008721F3" w:rsidRDefault="002A18F9">
      <w:pPr>
        <w:numPr>
          <w:ilvl w:val="0"/>
          <w:numId w:val="12"/>
        </w:numPr>
        <w:spacing w:line="360" w:lineRule="auto"/>
        <w:ind w:left="-566" w:right="-1417" w:firstLine="0"/>
        <w:jc w:val="both"/>
        <w:rPr>
          <w:rFonts w:ascii="Palatino Linotype" w:eastAsia="Palatino Linotype" w:hAnsi="Palatino Linotype" w:cs="Palatino Linotype"/>
        </w:rPr>
      </w:pPr>
      <w:r w:rsidRPr="008721F3">
        <w:rPr>
          <w:rFonts w:ascii="Palatino Linotype" w:eastAsia="Palatino Linotype" w:hAnsi="Palatino Linotype" w:cs="Palatino Linotype"/>
        </w:rPr>
        <w:t xml:space="preserve">De lo anterior, se refiere que la información solicitada de manera enunciativa más no limitativa puede encontrarse en los contratos y facturas al solicitar las requisiciones y el nombre </w:t>
      </w:r>
      <w:r w:rsidRPr="008721F3">
        <w:rPr>
          <w:rFonts w:ascii="Palatino Linotype" w:eastAsia="Palatino Linotype" w:hAnsi="Palatino Linotype" w:cs="Palatino Linotype"/>
        </w:rPr>
        <w:lastRenderedPageBreak/>
        <w:t xml:space="preserve">del proveedor de quienes participaron  en el informe de gobierno del Presidente Municipal para el ejercicio fiscal 2023. </w:t>
      </w:r>
    </w:p>
    <w:p w:rsidR="00925CFF" w:rsidRPr="008721F3" w:rsidRDefault="00925CFF">
      <w:pPr>
        <w:spacing w:line="360" w:lineRule="auto"/>
        <w:ind w:left="-566" w:right="-1417"/>
        <w:jc w:val="both"/>
        <w:rPr>
          <w:rFonts w:ascii="Palatino Linotype" w:eastAsia="Palatino Linotype" w:hAnsi="Palatino Linotype" w:cs="Palatino Linotype"/>
        </w:rPr>
      </w:pPr>
    </w:p>
    <w:p w:rsidR="00925CFF" w:rsidRPr="008721F3" w:rsidRDefault="002A18F9">
      <w:pPr>
        <w:numPr>
          <w:ilvl w:val="0"/>
          <w:numId w:val="12"/>
        </w:numPr>
        <w:spacing w:line="360" w:lineRule="auto"/>
        <w:ind w:left="-566" w:right="-1417" w:firstLine="0"/>
        <w:jc w:val="both"/>
      </w:pPr>
      <w:r w:rsidRPr="008721F3">
        <w:rPr>
          <w:rFonts w:ascii="Palatino Linotype" w:eastAsia="Palatino Linotype" w:hAnsi="Palatino Linotype" w:cs="Palatino Linotype"/>
        </w:rPr>
        <w:t>En ese sentido, respecto de los c</w:t>
      </w:r>
      <w:r w:rsidRPr="008721F3">
        <w:rPr>
          <w:rFonts w:ascii="Palatino Linotype" w:eastAsia="Palatino Linotype" w:hAnsi="Palatino Linotype" w:cs="Palatino Linotype"/>
          <w:b/>
        </w:rPr>
        <w:t>ontratos</w:t>
      </w:r>
      <w:r w:rsidRPr="008721F3">
        <w:rPr>
          <w:rFonts w:ascii="Palatino Linotype" w:eastAsia="Palatino Linotype" w:hAnsi="Palatino Linotype" w:cs="Palatino Linotype"/>
        </w:rPr>
        <w:t xml:space="preserve"> se tiene que, es un acto jurídico bilateral que se constituye por el acuerdo de voluntades de dos o más personas y que produce ciertas consecuencias jurídicas (creación o transmisión de derechos y obligaciones), debido al reconocimiento de una norma de derecho</w:t>
      </w:r>
    </w:p>
    <w:p w:rsidR="00925CFF" w:rsidRPr="008721F3" w:rsidRDefault="00925CFF">
      <w:pPr>
        <w:spacing w:before="240" w:after="160"/>
        <w:ind w:left="-566" w:right="-1417"/>
        <w:jc w:val="both"/>
        <w:rPr>
          <w:rFonts w:ascii="Palatino Linotype" w:eastAsia="Palatino Linotype" w:hAnsi="Palatino Linotype" w:cs="Palatino Linotype"/>
          <w:i/>
          <w:color w:val="000000"/>
        </w:rPr>
      </w:pPr>
    </w:p>
    <w:p w:rsidR="00925CFF" w:rsidRPr="008721F3" w:rsidRDefault="002A18F9">
      <w:pPr>
        <w:numPr>
          <w:ilvl w:val="0"/>
          <w:numId w:val="12"/>
        </w:numPr>
        <w:spacing w:line="360" w:lineRule="auto"/>
        <w:ind w:left="-566" w:right="-1417" w:firstLine="0"/>
        <w:jc w:val="both"/>
      </w:pPr>
      <w:r w:rsidRPr="008721F3">
        <w:rPr>
          <w:rFonts w:ascii="Palatino Linotype" w:eastAsia="Palatino Linotype" w:hAnsi="Palatino Linotype" w:cs="Palatino Linotype"/>
        </w:rPr>
        <w:t xml:space="preserve">Dentro de los mismos, pueden obrar datos personales susceptibles de clasificarse como lo son, la clave de elector, teléfono particular, correo electrónico personal Clave Única de Registro de Población (CURP), número de pasaporte, cuenta bancaria del proveedor, banco y sucursal del proveedor, clave interbancaria del proveedor, es así que, por lo que hace </w:t>
      </w:r>
      <w:r w:rsidRPr="008721F3">
        <w:rPr>
          <w:rFonts w:ascii="Palatino Linotype" w:eastAsia="Palatino Linotype" w:hAnsi="Palatino Linotype" w:cs="Palatino Linotype"/>
          <w:b/>
        </w:rPr>
        <w:t xml:space="preserve">al nombre del servidor público, nombre, denominación o razón social del proveedor, nombre del apoderado o representante legal, domicilio fiscal, teléfono empresarial o institucional, firmas, y RFC se consideran datos personales públicos. </w:t>
      </w:r>
    </w:p>
    <w:p w:rsidR="00925CFF" w:rsidRPr="008721F3" w:rsidRDefault="00925CFF">
      <w:pPr>
        <w:pBdr>
          <w:top w:val="nil"/>
          <w:left w:val="nil"/>
          <w:bottom w:val="nil"/>
          <w:right w:val="nil"/>
          <w:between w:val="nil"/>
        </w:pBdr>
        <w:ind w:left="-566" w:right="-1417"/>
        <w:rPr>
          <w:rFonts w:ascii="Palatino Linotype" w:eastAsia="Palatino Linotype" w:hAnsi="Palatino Linotype" w:cs="Palatino Linotype"/>
          <w:color w:val="000000"/>
        </w:rPr>
      </w:pPr>
    </w:p>
    <w:p w:rsidR="00925CFF" w:rsidRPr="008721F3" w:rsidRDefault="002A18F9">
      <w:pPr>
        <w:numPr>
          <w:ilvl w:val="0"/>
          <w:numId w:val="12"/>
        </w:numPr>
        <w:spacing w:line="360" w:lineRule="auto"/>
        <w:ind w:left="-566" w:right="-1417" w:firstLine="0"/>
        <w:jc w:val="both"/>
      </w:pPr>
      <w:r w:rsidRPr="008721F3">
        <w:rPr>
          <w:rFonts w:ascii="Palatino Linotype" w:eastAsia="Palatino Linotype" w:hAnsi="Palatino Linotype" w:cs="Palatino Linotype"/>
        </w:rPr>
        <w:t>Cobra sustento lo anterior, con el criterio 01/19 reiterado vigente del INAI, que refiere lo siguiente:</w:t>
      </w:r>
    </w:p>
    <w:p w:rsidR="00925CFF" w:rsidRPr="008721F3" w:rsidRDefault="002A18F9">
      <w:pPr>
        <w:ind w:left="283" w:right="-709"/>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b/>
          <w:i/>
          <w:sz w:val="22"/>
          <w:szCs w:val="22"/>
        </w:rPr>
        <w:t>Datos de identificación del representante o apoderado legal.</w:t>
      </w:r>
      <w:r w:rsidRPr="008721F3">
        <w:rPr>
          <w:rFonts w:ascii="Palatino Linotype" w:eastAsia="Palatino Linotype" w:hAnsi="Palatino Linotype" w:cs="Palatino Linotype"/>
          <w:i/>
          <w:sz w:val="22"/>
          <w:szCs w:val="22"/>
        </w:rPr>
        <w:t xml:space="preserve"> </w:t>
      </w:r>
      <w:r w:rsidRPr="008721F3">
        <w:rPr>
          <w:rFonts w:ascii="Palatino Linotype" w:eastAsia="Palatino Linotype" w:hAnsi="Palatino Linotype" w:cs="Palatino Linotype"/>
          <w:b/>
          <w:i/>
          <w:sz w:val="22"/>
          <w:szCs w:val="22"/>
        </w:rPr>
        <w:t xml:space="preserve">Naturaleza jurídica. </w:t>
      </w:r>
      <w:r w:rsidRPr="008721F3">
        <w:rPr>
          <w:rFonts w:ascii="Palatino Linotype" w:eastAsia="Palatino Linotype" w:hAnsi="Palatino Linotype" w:cs="Palatino Linotype"/>
          <w:i/>
          <w:sz w:val="22"/>
          <w:szCs w:val="22"/>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rsidR="00925CFF" w:rsidRPr="008721F3" w:rsidRDefault="00925CFF">
      <w:pPr>
        <w:ind w:left="283" w:right="-709"/>
        <w:jc w:val="both"/>
        <w:rPr>
          <w:rFonts w:ascii="Palatino Linotype" w:eastAsia="Palatino Linotype" w:hAnsi="Palatino Linotype" w:cs="Palatino Linotype"/>
          <w:i/>
          <w:color w:val="000000"/>
          <w:sz w:val="22"/>
          <w:szCs w:val="22"/>
        </w:rPr>
      </w:pPr>
    </w:p>
    <w:p w:rsidR="00925CFF" w:rsidRPr="008721F3" w:rsidRDefault="002A18F9">
      <w:pPr>
        <w:ind w:left="283" w:right="-709"/>
        <w:jc w:val="both"/>
        <w:rPr>
          <w:rFonts w:ascii="Palatino Linotype" w:eastAsia="Palatino Linotype" w:hAnsi="Palatino Linotype" w:cs="Palatino Linotype"/>
          <w:b/>
          <w:i/>
          <w:sz w:val="22"/>
          <w:szCs w:val="22"/>
        </w:rPr>
      </w:pPr>
      <w:r w:rsidRPr="008721F3">
        <w:rPr>
          <w:rFonts w:ascii="Palatino Linotype" w:eastAsia="Palatino Linotype" w:hAnsi="Palatino Linotype" w:cs="Palatino Linotype"/>
          <w:b/>
          <w:i/>
          <w:sz w:val="22"/>
          <w:szCs w:val="22"/>
        </w:rPr>
        <w:t>Precedentes:</w:t>
      </w:r>
    </w:p>
    <w:p w:rsidR="00925CFF" w:rsidRPr="008721F3" w:rsidRDefault="002A18F9">
      <w:pPr>
        <w:ind w:left="283" w:right="-709"/>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lastRenderedPageBreak/>
        <w:t>Acceso a la información pública. RRA 3104/16. Sesión del 01 de noviembre del 2016. Votación por unanimidad. Sin votos disidentes o particulares. Secretaría de la Defensa Nacional. Comisionado Ponente Oscar Mauricio Guerra Ford.</w:t>
      </w:r>
    </w:p>
    <w:p w:rsidR="00925CFF" w:rsidRPr="008721F3" w:rsidRDefault="002A18F9">
      <w:pPr>
        <w:ind w:left="283" w:right="-709"/>
        <w:jc w:val="both"/>
        <w:rPr>
          <w:rFonts w:ascii="Palatino Linotype" w:eastAsia="Palatino Linotype" w:hAnsi="Palatino Linotype" w:cs="Palatino Linotype"/>
          <w:b/>
          <w:i/>
          <w:sz w:val="22"/>
          <w:szCs w:val="22"/>
        </w:rPr>
      </w:pPr>
      <w:r w:rsidRPr="008721F3">
        <w:rPr>
          <w:rFonts w:ascii="Palatino Linotype" w:eastAsia="Palatino Linotype" w:hAnsi="Palatino Linotype" w:cs="Palatino Linotype"/>
          <w:i/>
          <w:sz w:val="22"/>
          <w:szCs w:val="22"/>
        </w:rPr>
        <w:t>Acceso a la información pública. RRA 2923/16. Sesión del 13 de diciembre de 2016. Votación por unanimidad. Sin votos disidentes o particulares. Administración Portuaria Integral de Lázaro Cárdenas, S.A. de C.V. Comisionada Ponente María Patricia Kurczyn Villalobos.</w:t>
      </w:r>
    </w:p>
    <w:p w:rsidR="00925CFF" w:rsidRPr="008721F3" w:rsidRDefault="002A18F9">
      <w:pPr>
        <w:tabs>
          <w:tab w:val="left" w:pos="7371"/>
        </w:tabs>
        <w:ind w:left="283" w:right="-709"/>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rsidR="00925CFF" w:rsidRPr="008721F3" w:rsidRDefault="00925CFF">
      <w:pPr>
        <w:ind w:left="-566" w:right="-1417"/>
        <w:rPr>
          <w:rFonts w:ascii="Palatino Linotype" w:eastAsia="Palatino Linotype" w:hAnsi="Palatino Linotype" w:cs="Palatino Linotype"/>
          <w:color w:val="000000"/>
        </w:rPr>
      </w:pPr>
    </w:p>
    <w:p w:rsidR="00925CFF" w:rsidRPr="008721F3" w:rsidRDefault="002A18F9">
      <w:pPr>
        <w:numPr>
          <w:ilvl w:val="0"/>
          <w:numId w:val="12"/>
        </w:numPr>
        <w:spacing w:line="360" w:lineRule="auto"/>
        <w:ind w:left="-566" w:right="-1417" w:firstLine="0"/>
        <w:jc w:val="both"/>
        <w:rPr>
          <w:color w:val="000000"/>
        </w:rPr>
      </w:pPr>
      <w:r w:rsidRPr="008721F3">
        <w:rPr>
          <w:rFonts w:ascii="Palatino Linotype" w:eastAsia="Palatino Linotype" w:hAnsi="Palatino Linotype" w:cs="Palatino Linotype"/>
        </w:rPr>
        <w:t>Seguidamente</w:t>
      </w:r>
      <w:r w:rsidRPr="008721F3">
        <w:rPr>
          <w:rFonts w:ascii="Palatino Linotype" w:eastAsia="Palatino Linotype" w:hAnsi="Palatino Linotype" w:cs="Palatino Linotype"/>
          <w:color w:val="000000"/>
        </w:rPr>
        <w:t>, como se solicita la información de las facturas es que se debe de precisar lo siguiente.</w:t>
      </w:r>
    </w:p>
    <w:p w:rsidR="00925CFF" w:rsidRPr="008721F3" w:rsidRDefault="00925CFF">
      <w:pPr>
        <w:pBdr>
          <w:top w:val="nil"/>
          <w:left w:val="nil"/>
          <w:bottom w:val="nil"/>
          <w:right w:val="nil"/>
          <w:between w:val="nil"/>
        </w:pBdr>
        <w:spacing w:line="360" w:lineRule="auto"/>
        <w:ind w:left="-566" w:right="-1417"/>
        <w:jc w:val="both"/>
        <w:rPr>
          <w:rFonts w:ascii="Palatino Linotype" w:eastAsia="Palatino Linotype" w:hAnsi="Palatino Linotype" w:cs="Palatino Linotype"/>
          <w:color w:val="000000"/>
        </w:rPr>
      </w:pPr>
    </w:p>
    <w:p w:rsidR="00925CFF" w:rsidRPr="008721F3" w:rsidRDefault="002A18F9">
      <w:pPr>
        <w:numPr>
          <w:ilvl w:val="0"/>
          <w:numId w:val="12"/>
        </w:numP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Ahora bien, respecto de las </w:t>
      </w:r>
      <w:r w:rsidRPr="008721F3">
        <w:rPr>
          <w:rFonts w:ascii="Palatino Linotype" w:eastAsia="Palatino Linotype" w:hAnsi="Palatino Linotype" w:cs="Palatino Linotype"/>
          <w:b/>
          <w:color w:val="000000"/>
        </w:rPr>
        <w:t>facturas</w:t>
      </w:r>
      <w:r w:rsidRPr="008721F3">
        <w:rPr>
          <w:rFonts w:ascii="Palatino Linotype" w:eastAsia="Palatino Linotype" w:hAnsi="Palatino Linotype" w:cs="Palatino Linotype"/>
          <w:color w:val="000000"/>
        </w:rPr>
        <w:t xml:space="preserve"> resulta oportuno traer a contexto, la información publicada por la Secretaría de Hacienda y Crédito Público, referente al Servicio de Administración Tributaria (SAT), en donde se advierte los requisitos que deben reunir las facturas emitidas, consultable en la dirección electrónica </w:t>
      </w:r>
      <w:hyperlink r:id="rId8">
        <w:r w:rsidRPr="008721F3">
          <w:rPr>
            <w:rFonts w:ascii="Palatino Linotype" w:eastAsia="Palatino Linotype" w:hAnsi="Palatino Linotype" w:cs="Palatino Linotype"/>
            <w:color w:val="000000"/>
          </w:rPr>
          <w:t>http://omawww.sat.gob.mx/ /Paginas/solicita_requisitos.htm</w:t>
        </w:r>
      </w:hyperlink>
      <w:r w:rsidRPr="008721F3">
        <w:rPr>
          <w:rFonts w:ascii="Palatino Linotype" w:eastAsia="Palatino Linotype" w:hAnsi="Palatino Linotype" w:cs="Palatino Linotype"/>
          <w:color w:val="000000"/>
        </w:rPr>
        <w:t>, de conformidad con lo siguiente:</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b/>
          <w:i/>
          <w:sz w:val="22"/>
          <w:szCs w:val="22"/>
        </w:rPr>
        <w:t>Requisitos que deben reunir las facturas que recibas</w:t>
      </w:r>
      <w:r w:rsidRPr="008721F3">
        <w:rPr>
          <w:rFonts w:ascii="Palatino Linotype" w:eastAsia="Palatino Linotype" w:hAnsi="Palatino Linotype" w:cs="Palatino Linotype"/>
          <w:i/>
          <w:sz w:val="22"/>
          <w:szCs w:val="22"/>
        </w:rPr>
        <w:t>:</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  </w:t>
      </w:r>
      <w:r w:rsidRPr="008721F3">
        <w:rPr>
          <w:rFonts w:ascii="Palatino Linotype" w:eastAsia="Palatino Linotype" w:hAnsi="Palatino Linotype" w:cs="Palatino Linotype"/>
          <w:b/>
          <w:i/>
          <w:sz w:val="22"/>
          <w:szCs w:val="22"/>
          <w:u w:val="single"/>
        </w:rPr>
        <w:t>Clave del Registro Federal de Contribuyentes de quien los expida</w:t>
      </w:r>
      <w:r w:rsidRPr="008721F3">
        <w:rPr>
          <w:rFonts w:ascii="Palatino Linotype" w:eastAsia="Palatino Linotype" w:hAnsi="Palatino Linotype" w:cs="Palatino Linotype"/>
          <w:i/>
          <w:sz w:val="22"/>
          <w:szCs w:val="22"/>
        </w:rPr>
        <w:t>.</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Régimen Fiscal en que tributen conforme a la Ley del ISR.</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Sí se tiene más de un local o establecimiento, se deberá señalar el domicilio del local o establecimiento en el que se expidan las Facturas.</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Contener el número de folio asignado por el SAT y el sello digital del SAT.</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xml:space="preserve">  </w:t>
      </w:r>
      <w:r w:rsidRPr="008721F3">
        <w:rPr>
          <w:rFonts w:ascii="Palatino Linotype" w:eastAsia="Palatino Linotype" w:hAnsi="Palatino Linotype" w:cs="Palatino Linotype"/>
          <w:b/>
          <w:i/>
          <w:sz w:val="22"/>
          <w:szCs w:val="22"/>
          <w:u w:val="single"/>
        </w:rPr>
        <w:t>Sello digital del contribuyente que lo expide</w:t>
      </w:r>
      <w:r w:rsidRPr="008721F3">
        <w:rPr>
          <w:rFonts w:ascii="Palatino Linotype" w:eastAsia="Palatino Linotype" w:hAnsi="Palatino Linotype" w:cs="Palatino Linotype"/>
          <w:i/>
          <w:sz w:val="22"/>
          <w:szCs w:val="22"/>
        </w:rPr>
        <w:t>.</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Lugar y fecha de expedición.</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Clave del Registro Federal de Contribuyentes de la persona a favor de quien se expida.</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Cantidad, unidad de medida y clase de los bienes, mercancías o descripción del servicio o del uso o goce que amparen.</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Valor unitario consignado en número.</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Importe total señalado en número o en letra.</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Señalamiento expreso cuando la prestación se pague en una sola exhibición o en parcialidades.</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lastRenderedPageBreak/>
        <w:t>  Cuando proceda, se indicará el monto de los impuestos trasladados, desglosados por tasa de impuesto y, en su caso, el monto de los impuestos retenidos.</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Forma en que se realizó el pago (efectivo, transferencia electrónica de fondos, cheque nominativos o tarjeta de débito, de crédito, de servicio o la denominada monedero electrónico que autorice el Servicio de Administración Tributaria).</w:t>
      </w:r>
    </w:p>
    <w:p w:rsidR="00925CFF" w:rsidRPr="008721F3" w:rsidRDefault="002A18F9">
      <w:pPr>
        <w:ind w:left="283"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  Número y fecha del documento aduanero, tratándose de ventas de primera mano de mercancías de importación.</w:t>
      </w:r>
    </w:p>
    <w:p w:rsidR="00925CFF" w:rsidRPr="008721F3" w:rsidRDefault="002A18F9">
      <w:pPr>
        <w:ind w:left="283" w:right="-850"/>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br/>
      </w:r>
      <w:r w:rsidRPr="008721F3">
        <w:rPr>
          <w:rFonts w:ascii="Palatino Linotype" w:eastAsia="Palatino Linotype" w:hAnsi="Palatino Linotype" w:cs="Palatino Linotype"/>
          <w:b/>
          <w:i/>
          <w:sz w:val="22"/>
          <w:szCs w:val="22"/>
        </w:rPr>
        <w:t>Además, debe contener los siguientes datos:</w:t>
      </w:r>
      <w:r w:rsidRPr="008721F3">
        <w:rPr>
          <w:rFonts w:ascii="Palatino Linotype" w:eastAsia="Palatino Linotype" w:hAnsi="Palatino Linotype" w:cs="Palatino Linotype"/>
          <w:b/>
          <w:i/>
          <w:sz w:val="22"/>
          <w:szCs w:val="22"/>
        </w:rPr>
        <w:br/>
        <w:t>a) Fecha y hora de certificación.</w:t>
      </w:r>
      <w:r w:rsidRPr="008721F3">
        <w:rPr>
          <w:rFonts w:ascii="Palatino Linotype" w:eastAsia="Palatino Linotype" w:hAnsi="Palatino Linotype" w:cs="Palatino Linotype"/>
          <w:b/>
          <w:i/>
          <w:sz w:val="22"/>
          <w:szCs w:val="22"/>
        </w:rPr>
        <w:br/>
        <w:t>b) Número de serie del certificado digital del SAT con el que se realizó el sellado</w:t>
      </w:r>
      <w:r w:rsidRPr="008721F3">
        <w:rPr>
          <w:rFonts w:ascii="Palatino Linotype" w:eastAsia="Palatino Linotype" w:hAnsi="Palatino Linotype" w:cs="Palatino Linotype"/>
          <w:i/>
          <w:sz w:val="22"/>
          <w:szCs w:val="22"/>
        </w:rPr>
        <w:t>.</w:t>
      </w:r>
    </w:p>
    <w:p w:rsidR="00925CFF" w:rsidRPr="008721F3" w:rsidRDefault="00925CFF">
      <w:pPr>
        <w:spacing w:line="360" w:lineRule="auto"/>
        <w:ind w:left="-566" w:right="-1417"/>
        <w:jc w:val="both"/>
        <w:rPr>
          <w:rFonts w:ascii="Palatino Linotype" w:eastAsia="Palatino Linotype" w:hAnsi="Palatino Linotype" w:cs="Palatino Linotype"/>
        </w:rPr>
      </w:pPr>
    </w:p>
    <w:p w:rsidR="00925CFF" w:rsidRPr="008721F3" w:rsidRDefault="00925CFF">
      <w:pPr>
        <w:ind w:left="-566" w:right="-1417"/>
        <w:rPr>
          <w:rFonts w:ascii="Palatino Linotype" w:eastAsia="Palatino Linotype" w:hAnsi="Palatino Linotype" w:cs="Palatino Linotype"/>
          <w:color w:val="000000"/>
        </w:rPr>
      </w:pPr>
    </w:p>
    <w:p w:rsidR="00925CFF" w:rsidRPr="008721F3" w:rsidRDefault="002A18F9">
      <w:pPr>
        <w:numPr>
          <w:ilvl w:val="0"/>
          <w:numId w:val="12"/>
        </w:numPr>
        <w:spacing w:line="360" w:lineRule="auto"/>
        <w:ind w:left="-566" w:right="-1417" w:firstLine="0"/>
        <w:jc w:val="both"/>
        <w:rPr>
          <w:color w:val="000000"/>
        </w:rPr>
      </w:pPr>
      <w:r w:rsidRPr="008721F3">
        <w:rPr>
          <w:rFonts w:ascii="Palatino Linotype" w:eastAsia="Palatino Linotype" w:hAnsi="Palatino Linotype" w:cs="Palatino Linotype"/>
        </w:rPr>
        <w:t>Ahora</w:t>
      </w:r>
      <w:r w:rsidRPr="008721F3">
        <w:rPr>
          <w:rFonts w:ascii="Palatino Linotype" w:eastAsia="Palatino Linotype" w:hAnsi="Palatino Linotype" w:cs="Palatino Linotype"/>
          <w:color w:val="000000"/>
        </w:rPr>
        <w:t xml:space="preserve"> bien, se debe de referir que de los datos de las facturas pueden obrar datos personales susceptibles de clasificarse como lo son, la clave de elector, </w:t>
      </w:r>
      <w:r w:rsidRPr="008721F3">
        <w:rPr>
          <w:rFonts w:ascii="Palatino Linotype" w:eastAsia="Palatino Linotype" w:hAnsi="Palatino Linotype" w:cs="Palatino Linotype"/>
          <w:b/>
          <w:color w:val="000000"/>
        </w:rPr>
        <w:t>teléfono particular</w:t>
      </w:r>
      <w:r w:rsidRPr="008721F3">
        <w:rPr>
          <w:rFonts w:ascii="Palatino Linotype" w:eastAsia="Palatino Linotype" w:hAnsi="Palatino Linotype" w:cs="Palatino Linotype"/>
          <w:color w:val="000000"/>
        </w:rPr>
        <w:t xml:space="preserve">, </w:t>
      </w:r>
      <w:r w:rsidRPr="008721F3">
        <w:rPr>
          <w:rFonts w:ascii="Palatino Linotype" w:eastAsia="Palatino Linotype" w:hAnsi="Palatino Linotype" w:cs="Palatino Linotype"/>
          <w:b/>
          <w:color w:val="000000"/>
        </w:rPr>
        <w:t xml:space="preserve">correo electrónico personal, </w:t>
      </w:r>
      <w:r w:rsidRPr="008721F3">
        <w:rPr>
          <w:rFonts w:ascii="Palatino Linotype" w:eastAsia="Palatino Linotype" w:hAnsi="Palatino Linotype" w:cs="Palatino Linotype"/>
          <w:color w:val="000000"/>
        </w:rPr>
        <w:t xml:space="preserve"> </w:t>
      </w:r>
      <w:r w:rsidRPr="008721F3">
        <w:rPr>
          <w:rFonts w:ascii="Palatino Linotype" w:eastAsia="Palatino Linotype" w:hAnsi="Palatino Linotype" w:cs="Palatino Linotype"/>
          <w:b/>
          <w:color w:val="000000"/>
        </w:rPr>
        <w:t>Clave Única de Registro de Población (CURP</w:t>
      </w:r>
      <w:r w:rsidRPr="008721F3">
        <w:rPr>
          <w:rFonts w:ascii="Palatino Linotype" w:eastAsia="Palatino Linotype" w:hAnsi="Palatino Linotype" w:cs="Palatino Linotype"/>
          <w:color w:val="000000"/>
        </w:rPr>
        <w:t xml:space="preserve">), </w:t>
      </w:r>
      <w:r w:rsidRPr="008721F3">
        <w:rPr>
          <w:rFonts w:ascii="Palatino Linotype" w:eastAsia="Palatino Linotype" w:hAnsi="Palatino Linotype" w:cs="Palatino Linotype"/>
          <w:b/>
        </w:rPr>
        <w:t>número</w:t>
      </w:r>
      <w:r w:rsidRPr="008721F3">
        <w:rPr>
          <w:rFonts w:ascii="Palatino Linotype" w:eastAsia="Palatino Linotype" w:hAnsi="Palatino Linotype" w:cs="Palatino Linotype"/>
          <w:b/>
          <w:color w:val="000000"/>
        </w:rPr>
        <w:t xml:space="preserve"> de pasaporte</w:t>
      </w:r>
      <w:r w:rsidRPr="008721F3">
        <w:rPr>
          <w:rFonts w:ascii="Palatino Linotype" w:eastAsia="Palatino Linotype" w:hAnsi="Palatino Linotype" w:cs="Palatino Linotype"/>
          <w:color w:val="000000"/>
        </w:rPr>
        <w:t xml:space="preserve">, </w:t>
      </w:r>
      <w:r w:rsidRPr="008721F3">
        <w:rPr>
          <w:rFonts w:ascii="Palatino Linotype" w:eastAsia="Palatino Linotype" w:hAnsi="Palatino Linotype" w:cs="Palatino Linotype"/>
          <w:b/>
          <w:color w:val="000000"/>
        </w:rPr>
        <w:t>cuenta bancaria del proveedor</w:t>
      </w:r>
      <w:r w:rsidRPr="008721F3">
        <w:rPr>
          <w:rFonts w:ascii="Palatino Linotype" w:eastAsia="Palatino Linotype" w:hAnsi="Palatino Linotype" w:cs="Palatino Linotype"/>
          <w:color w:val="000000"/>
        </w:rPr>
        <w:t xml:space="preserve">, </w:t>
      </w:r>
      <w:r w:rsidRPr="008721F3">
        <w:rPr>
          <w:rFonts w:ascii="Palatino Linotype" w:eastAsia="Palatino Linotype" w:hAnsi="Palatino Linotype" w:cs="Palatino Linotype"/>
          <w:b/>
          <w:color w:val="000000"/>
        </w:rPr>
        <w:t>banco y sucursal del proveedor</w:t>
      </w:r>
      <w:r w:rsidRPr="008721F3">
        <w:rPr>
          <w:rFonts w:ascii="Palatino Linotype" w:eastAsia="Palatino Linotype" w:hAnsi="Palatino Linotype" w:cs="Palatino Linotype"/>
          <w:color w:val="000000"/>
        </w:rPr>
        <w:t xml:space="preserve">, </w:t>
      </w:r>
      <w:r w:rsidRPr="008721F3">
        <w:rPr>
          <w:rFonts w:ascii="Palatino Linotype" w:eastAsia="Palatino Linotype" w:hAnsi="Palatino Linotype" w:cs="Palatino Linotype"/>
          <w:b/>
          <w:color w:val="000000"/>
        </w:rPr>
        <w:t>clave interbancaria del proveedor</w:t>
      </w:r>
      <w:r w:rsidRPr="008721F3">
        <w:rPr>
          <w:rFonts w:ascii="Palatino Linotype" w:eastAsia="Palatino Linotype" w:hAnsi="Palatino Linotype" w:cs="Palatino Linotype"/>
          <w:color w:val="000000"/>
        </w:rPr>
        <w:t xml:space="preserve">, es así que, por lo que hace al nombre del servidor público, nombre, denominación o razón social del proveedor, nombre del apoderado o representante legal, domicilio fiscal, </w:t>
      </w:r>
      <w:r w:rsidRPr="008721F3">
        <w:rPr>
          <w:rFonts w:ascii="Palatino Linotype" w:eastAsia="Palatino Linotype" w:hAnsi="Palatino Linotype" w:cs="Palatino Linotype"/>
          <w:b/>
          <w:color w:val="000000"/>
        </w:rPr>
        <w:t>teléfono empresarial o institucional,</w:t>
      </w:r>
      <w:r w:rsidRPr="008721F3">
        <w:rPr>
          <w:rFonts w:ascii="Palatino Linotype" w:eastAsia="Palatino Linotype" w:hAnsi="Palatino Linotype" w:cs="Palatino Linotype"/>
          <w:color w:val="000000"/>
        </w:rPr>
        <w:t xml:space="preserve"> firmas, y RFC se consideran datos personales públicos. </w:t>
      </w:r>
    </w:p>
    <w:p w:rsidR="00925CFF" w:rsidRPr="008721F3" w:rsidRDefault="00925CFF">
      <w:pPr>
        <w:ind w:left="-566" w:right="-1417"/>
        <w:rPr>
          <w:rFonts w:ascii="Palatino Linotype" w:eastAsia="Palatino Linotype" w:hAnsi="Palatino Linotype" w:cs="Palatino Linotype"/>
        </w:rPr>
      </w:pPr>
    </w:p>
    <w:p w:rsidR="00925CFF" w:rsidRPr="008721F3" w:rsidRDefault="002A18F9">
      <w:pPr>
        <w:numPr>
          <w:ilvl w:val="0"/>
          <w:numId w:val="12"/>
        </w:numPr>
        <w:spacing w:line="360" w:lineRule="auto"/>
        <w:ind w:left="-566" w:right="-1417" w:firstLine="0"/>
        <w:jc w:val="both"/>
        <w:rPr>
          <w:color w:val="000000"/>
        </w:rPr>
      </w:pPr>
      <w:r w:rsidRPr="008721F3">
        <w:rPr>
          <w:rFonts w:ascii="Palatino Linotype" w:eastAsia="Palatino Linotype" w:hAnsi="Palatino Linotype" w:cs="Palatino Linotype"/>
        </w:rPr>
        <w:t>Cobra</w:t>
      </w:r>
      <w:r w:rsidRPr="008721F3">
        <w:rPr>
          <w:rFonts w:ascii="Palatino Linotype" w:eastAsia="Palatino Linotype" w:hAnsi="Palatino Linotype" w:cs="Palatino Linotype"/>
          <w:color w:val="000000"/>
        </w:rPr>
        <w:t xml:space="preserve"> sustento lo anterior, con el criterio 01/19 reiterado vigente del INAI, que refiere lo siguiente:</w:t>
      </w:r>
    </w:p>
    <w:p w:rsidR="00925CFF" w:rsidRPr="008721F3" w:rsidRDefault="002A18F9">
      <w:pPr>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b/>
          <w:i/>
          <w:sz w:val="22"/>
          <w:szCs w:val="22"/>
        </w:rPr>
        <w:t>Datos de identificación del representante o apoderado legal.</w:t>
      </w:r>
      <w:r w:rsidRPr="008721F3">
        <w:rPr>
          <w:rFonts w:ascii="Palatino Linotype" w:eastAsia="Palatino Linotype" w:hAnsi="Palatino Linotype" w:cs="Palatino Linotype"/>
          <w:i/>
          <w:sz w:val="22"/>
          <w:szCs w:val="22"/>
        </w:rPr>
        <w:t xml:space="preserve"> </w:t>
      </w:r>
      <w:r w:rsidRPr="008721F3">
        <w:rPr>
          <w:rFonts w:ascii="Palatino Linotype" w:eastAsia="Palatino Linotype" w:hAnsi="Palatino Linotype" w:cs="Palatino Linotype"/>
          <w:b/>
          <w:i/>
          <w:sz w:val="22"/>
          <w:szCs w:val="22"/>
        </w:rPr>
        <w:t xml:space="preserve">Naturaleza jurídica. </w:t>
      </w:r>
      <w:r w:rsidRPr="008721F3">
        <w:rPr>
          <w:rFonts w:ascii="Palatino Linotype" w:eastAsia="Palatino Linotype" w:hAnsi="Palatino Linotype" w:cs="Palatino Linotype"/>
          <w:i/>
          <w:sz w:val="22"/>
          <w:szCs w:val="22"/>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rsidR="00925CFF" w:rsidRPr="008721F3" w:rsidRDefault="00925CFF">
      <w:pPr>
        <w:ind w:left="141" w:right="-850"/>
        <w:jc w:val="both"/>
        <w:rPr>
          <w:rFonts w:ascii="Palatino Linotype" w:eastAsia="Palatino Linotype" w:hAnsi="Palatino Linotype" w:cs="Palatino Linotype"/>
          <w:i/>
          <w:color w:val="000000"/>
          <w:sz w:val="22"/>
          <w:szCs w:val="22"/>
        </w:rPr>
      </w:pPr>
    </w:p>
    <w:p w:rsidR="00925CFF" w:rsidRPr="008721F3" w:rsidRDefault="002A18F9">
      <w:pPr>
        <w:ind w:left="141" w:right="-850"/>
        <w:jc w:val="both"/>
        <w:rPr>
          <w:rFonts w:ascii="Palatino Linotype" w:eastAsia="Palatino Linotype" w:hAnsi="Palatino Linotype" w:cs="Palatino Linotype"/>
          <w:b/>
          <w:i/>
          <w:sz w:val="22"/>
          <w:szCs w:val="22"/>
        </w:rPr>
      </w:pPr>
      <w:r w:rsidRPr="008721F3">
        <w:rPr>
          <w:rFonts w:ascii="Palatino Linotype" w:eastAsia="Palatino Linotype" w:hAnsi="Palatino Linotype" w:cs="Palatino Linotype"/>
          <w:b/>
          <w:i/>
          <w:sz w:val="22"/>
          <w:szCs w:val="22"/>
        </w:rPr>
        <w:t>Precedentes:</w:t>
      </w:r>
    </w:p>
    <w:p w:rsidR="00925CFF" w:rsidRPr="008721F3" w:rsidRDefault="002A18F9">
      <w:pPr>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lastRenderedPageBreak/>
        <w:t>Acceso a la información pública. RRA 3104/16. Sesión del 01 de noviembre del 2016. Votación por unanimidad. Sin votos disidentes o particulares. Secretaría de la Defensa Nacional. Comisionado Ponente Oscar Mauricio Guerra Ford.</w:t>
      </w:r>
    </w:p>
    <w:p w:rsidR="00925CFF" w:rsidRPr="008721F3" w:rsidRDefault="002A18F9">
      <w:pPr>
        <w:ind w:left="141" w:right="-850"/>
        <w:jc w:val="both"/>
        <w:rPr>
          <w:rFonts w:ascii="Palatino Linotype" w:eastAsia="Palatino Linotype" w:hAnsi="Palatino Linotype" w:cs="Palatino Linotype"/>
          <w:b/>
          <w:i/>
          <w:sz w:val="22"/>
          <w:szCs w:val="22"/>
        </w:rPr>
      </w:pPr>
      <w:r w:rsidRPr="008721F3">
        <w:rPr>
          <w:rFonts w:ascii="Palatino Linotype" w:eastAsia="Palatino Linotype" w:hAnsi="Palatino Linotype" w:cs="Palatino Linotype"/>
          <w:i/>
          <w:sz w:val="22"/>
          <w:szCs w:val="22"/>
        </w:rPr>
        <w:t>Acceso a la información pública. RRA 2923/16. Sesión del 13 de diciembre de 2016. Votación por unanimidad. Sin votos disidentes o particulares. Administración Portuaria Integral de Lázaro Cárdenas, S.A. de C.V. Comisionada Ponente María Patricia Kurczyn Villalobos.</w:t>
      </w:r>
    </w:p>
    <w:p w:rsidR="00925CFF" w:rsidRPr="008721F3" w:rsidRDefault="002A18F9">
      <w:pPr>
        <w:tabs>
          <w:tab w:val="left" w:pos="7371"/>
        </w:tabs>
        <w:ind w:left="141" w:right="-850"/>
        <w:jc w:val="both"/>
        <w:rPr>
          <w:rFonts w:ascii="Palatino Linotype" w:eastAsia="Palatino Linotype" w:hAnsi="Palatino Linotype" w:cs="Palatino Linotype"/>
          <w:i/>
          <w:sz w:val="22"/>
          <w:szCs w:val="22"/>
        </w:rPr>
      </w:pPr>
      <w:r w:rsidRPr="008721F3">
        <w:rPr>
          <w:rFonts w:ascii="Palatino Linotype" w:eastAsia="Palatino Linotype" w:hAnsi="Palatino Linotype" w:cs="Palatino Linotype"/>
          <w:i/>
          <w:sz w:val="22"/>
          <w:szCs w:val="22"/>
        </w:rPr>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rsidR="00925CFF" w:rsidRPr="008721F3" w:rsidRDefault="00925CFF">
      <w:pPr>
        <w:tabs>
          <w:tab w:val="left" w:pos="7371"/>
        </w:tabs>
        <w:ind w:left="-566" w:right="-1417"/>
        <w:jc w:val="both"/>
        <w:rPr>
          <w:rFonts w:ascii="Palatino Linotype" w:eastAsia="Palatino Linotype" w:hAnsi="Palatino Linotype" w:cs="Palatino Linotype"/>
          <w:i/>
        </w:rPr>
      </w:pPr>
    </w:p>
    <w:p w:rsidR="00925CFF" w:rsidRPr="008721F3" w:rsidRDefault="002A18F9">
      <w:pPr>
        <w:numPr>
          <w:ilvl w:val="0"/>
          <w:numId w:val="12"/>
        </w:numPr>
        <w:spacing w:line="360" w:lineRule="auto"/>
        <w:ind w:left="-566" w:right="-1417" w:firstLine="0"/>
        <w:jc w:val="both"/>
        <w:rPr>
          <w:color w:val="000000"/>
        </w:rPr>
      </w:pPr>
      <w:r w:rsidRPr="008721F3">
        <w:rPr>
          <w:rFonts w:ascii="Palatino Linotype" w:eastAsia="Palatino Linotype" w:hAnsi="Palatino Linotype" w:cs="Palatino Linotype"/>
        </w:rPr>
        <w:t>Del</w:t>
      </w:r>
      <w:r w:rsidRPr="008721F3">
        <w:rPr>
          <w:rFonts w:ascii="Palatino Linotype" w:eastAsia="Palatino Linotype" w:hAnsi="Palatino Linotype" w:cs="Palatino Linotype"/>
          <w:color w:val="000000"/>
        </w:rPr>
        <w:t xml:space="preserve"> Folio fiscal, Número de serie CSD del emisor, Sello digital del contribuyente emisor, Número de serie del CSD del SAT, Sello digital del SA y Cadena original de complemento de certificación digital SAT. </w:t>
      </w:r>
    </w:p>
    <w:p w:rsidR="00925CFF" w:rsidRPr="008721F3" w:rsidRDefault="00925CFF">
      <w:pPr>
        <w:spacing w:line="360" w:lineRule="auto"/>
        <w:ind w:left="-566" w:right="-1417"/>
        <w:jc w:val="both"/>
        <w:rPr>
          <w:rFonts w:ascii="Palatino Linotype" w:eastAsia="Palatino Linotype" w:hAnsi="Palatino Linotype" w:cs="Palatino Linotype"/>
          <w:b/>
          <w:i/>
          <w:u w:val="single"/>
        </w:rPr>
      </w:pPr>
    </w:p>
    <w:p w:rsidR="00925CFF" w:rsidRPr="008721F3" w:rsidRDefault="002A18F9">
      <w:pPr>
        <w:numPr>
          <w:ilvl w:val="0"/>
          <w:numId w:val="12"/>
        </w:numPr>
        <w:spacing w:line="360" w:lineRule="auto"/>
        <w:ind w:left="-566" w:right="-1417" w:firstLine="0"/>
        <w:jc w:val="both"/>
        <w:rPr>
          <w:color w:val="000000"/>
        </w:rPr>
      </w:pPr>
      <w:bookmarkStart w:id="12" w:name="_heading=h.2z9jwqn7dp2n" w:colFirst="0" w:colLast="0"/>
      <w:bookmarkEnd w:id="12"/>
      <w:r w:rsidRPr="008721F3">
        <w:rPr>
          <w:rFonts w:ascii="Palatino Linotype" w:eastAsia="Palatino Linotype" w:hAnsi="Palatino Linotype" w:cs="Palatino Linotype"/>
          <w:color w:val="000000"/>
        </w:rPr>
        <w:t xml:space="preserve">De conformidad con la regla 2.7.1.7 de Resolución Miscelánea Fiscal para 2019, para los efectos del artículo 29 segundo párrafo fracción V del Código Fiscal de la Federación, las representaciones impresas del Comprobante Fiscal Digital por Internet o CFDI, deben cumplir con los requisitos señalados en el artículo 29-A del Código Fiscal de la Federación, y contener lo siguiente: </w:t>
      </w:r>
    </w:p>
    <w:p w:rsidR="00925CFF" w:rsidRPr="008721F3" w:rsidRDefault="002A18F9">
      <w:pPr>
        <w:ind w:left="141" w:right="-850"/>
        <w:jc w:val="both"/>
        <w:rPr>
          <w:rFonts w:ascii="Palatino Linotype" w:eastAsia="Palatino Linotype" w:hAnsi="Palatino Linotype" w:cs="Palatino Linotype"/>
          <w:i/>
          <w:sz w:val="22"/>
          <w:szCs w:val="22"/>
        </w:rPr>
      </w:pPr>
      <w:bookmarkStart w:id="13" w:name="_heading=h.jn7wityzmbc9" w:colFirst="0" w:colLast="0"/>
      <w:bookmarkEnd w:id="13"/>
      <w:r w:rsidRPr="008721F3">
        <w:rPr>
          <w:rFonts w:ascii="Palatino Linotype" w:eastAsia="Palatino Linotype" w:hAnsi="Palatino Linotype" w:cs="Palatino Linotype"/>
          <w:i/>
          <w:sz w:val="22"/>
          <w:szCs w:val="22"/>
        </w:rPr>
        <w:t>“I. Código de barras generado conforme a la especificación técnica que se establece en el rubro I.D del Anexo 20 o el número de folio fiscal del comprobante.</w:t>
      </w:r>
    </w:p>
    <w:p w:rsidR="00925CFF" w:rsidRPr="008721F3" w:rsidRDefault="002A18F9">
      <w:pPr>
        <w:ind w:left="141" w:right="-850"/>
        <w:jc w:val="both"/>
        <w:rPr>
          <w:rFonts w:ascii="Palatino Linotype" w:eastAsia="Palatino Linotype" w:hAnsi="Palatino Linotype" w:cs="Palatino Linotype"/>
          <w:i/>
          <w:sz w:val="22"/>
          <w:szCs w:val="22"/>
        </w:rPr>
      </w:pPr>
      <w:bookmarkStart w:id="14" w:name="_heading=h.t35j6so4838j" w:colFirst="0" w:colLast="0"/>
      <w:bookmarkEnd w:id="14"/>
      <w:r w:rsidRPr="008721F3">
        <w:rPr>
          <w:rFonts w:ascii="Palatino Linotype" w:eastAsia="Palatino Linotype" w:hAnsi="Palatino Linotype" w:cs="Palatino Linotype"/>
          <w:i/>
          <w:sz w:val="22"/>
          <w:szCs w:val="22"/>
        </w:rPr>
        <w:t xml:space="preserve">II. Número de serie del CSD del emisor y del SAT, que establecen los rubros I.A y III.B del Anexo 20. </w:t>
      </w:r>
    </w:p>
    <w:p w:rsidR="00925CFF" w:rsidRPr="008721F3" w:rsidRDefault="002A18F9">
      <w:pPr>
        <w:ind w:left="141" w:right="-850"/>
        <w:jc w:val="both"/>
        <w:rPr>
          <w:rFonts w:ascii="Palatino Linotype" w:eastAsia="Palatino Linotype" w:hAnsi="Palatino Linotype" w:cs="Palatino Linotype"/>
          <w:i/>
          <w:sz w:val="22"/>
          <w:szCs w:val="22"/>
        </w:rPr>
      </w:pPr>
      <w:bookmarkStart w:id="15" w:name="_heading=h.ofsgmw2ltcti" w:colFirst="0" w:colLast="0"/>
      <w:bookmarkEnd w:id="15"/>
      <w:r w:rsidRPr="008721F3">
        <w:rPr>
          <w:rFonts w:ascii="Palatino Linotype" w:eastAsia="Palatino Linotype" w:hAnsi="Palatino Linotype" w:cs="Palatino Linotype"/>
          <w:i/>
          <w:sz w:val="22"/>
          <w:szCs w:val="22"/>
        </w:rPr>
        <w:t xml:space="preserve">III. La leyenda: “Este documento es una representación impresa de un CFDI” </w:t>
      </w:r>
    </w:p>
    <w:p w:rsidR="00925CFF" w:rsidRPr="008721F3" w:rsidRDefault="002A18F9">
      <w:pPr>
        <w:ind w:left="141" w:right="-850"/>
        <w:jc w:val="both"/>
        <w:rPr>
          <w:rFonts w:ascii="Palatino Linotype" w:eastAsia="Palatino Linotype" w:hAnsi="Palatino Linotype" w:cs="Palatino Linotype"/>
          <w:i/>
          <w:sz w:val="22"/>
          <w:szCs w:val="22"/>
        </w:rPr>
      </w:pPr>
      <w:bookmarkStart w:id="16" w:name="_heading=h.6md85qnj95ht" w:colFirst="0" w:colLast="0"/>
      <w:bookmarkEnd w:id="16"/>
      <w:r w:rsidRPr="008721F3">
        <w:rPr>
          <w:rFonts w:ascii="Palatino Linotype" w:eastAsia="Palatino Linotype" w:hAnsi="Palatino Linotype" w:cs="Palatino Linotype"/>
          <w:i/>
          <w:sz w:val="22"/>
          <w:szCs w:val="22"/>
        </w:rPr>
        <w:t xml:space="preserve">IV. Fecha y hora de emisión y de certificación del CFDI en adición a lo señalado en el artículo 29- A, fracción III del CFF. </w:t>
      </w:r>
    </w:p>
    <w:p w:rsidR="00925CFF" w:rsidRPr="008721F3" w:rsidRDefault="002A18F9">
      <w:pPr>
        <w:ind w:left="141" w:right="-850"/>
        <w:jc w:val="both"/>
        <w:rPr>
          <w:rFonts w:ascii="Palatino Linotype" w:eastAsia="Palatino Linotype" w:hAnsi="Palatino Linotype" w:cs="Palatino Linotype"/>
          <w:i/>
          <w:sz w:val="22"/>
          <w:szCs w:val="22"/>
        </w:rPr>
      </w:pPr>
      <w:bookmarkStart w:id="17" w:name="_heading=h.gkcdl3o797mw" w:colFirst="0" w:colLast="0"/>
      <w:bookmarkEnd w:id="17"/>
      <w:r w:rsidRPr="008721F3">
        <w:rPr>
          <w:rFonts w:ascii="Palatino Linotype" w:eastAsia="Palatino Linotype" w:hAnsi="Palatino Linotype" w:cs="Palatino Linotype"/>
          <w:i/>
          <w:sz w:val="22"/>
          <w:szCs w:val="22"/>
        </w:rPr>
        <w:t xml:space="preserve">V. Cadena original del complemento de certificación digital del SAT. </w:t>
      </w:r>
    </w:p>
    <w:p w:rsidR="00925CFF" w:rsidRPr="008721F3" w:rsidRDefault="002A18F9">
      <w:pPr>
        <w:ind w:left="141" w:right="-850"/>
        <w:jc w:val="both"/>
        <w:rPr>
          <w:rFonts w:ascii="Palatino Linotype" w:eastAsia="Palatino Linotype" w:hAnsi="Palatino Linotype" w:cs="Palatino Linotype"/>
          <w:i/>
          <w:sz w:val="22"/>
          <w:szCs w:val="22"/>
        </w:rPr>
      </w:pPr>
      <w:bookmarkStart w:id="18" w:name="_heading=h.obomck3iidb7" w:colFirst="0" w:colLast="0"/>
      <w:bookmarkEnd w:id="18"/>
      <w:r w:rsidRPr="008721F3">
        <w:rPr>
          <w:rFonts w:ascii="Palatino Linotype" w:eastAsia="Palatino Linotype" w:hAnsi="Palatino Linotype" w:cs="Palatino Linotype"/>
          <w:i/>
          <w:sz w:val="22"/>
          <w:szCs w:val="22"/>
        </w:rPr>
        <w:t xml:space="preserve">VI. Tratándose de las representaciones impresas del CFDI que amparen retenciones e información de pagos emitidos conforme a lo dispuesto en la regla 2.7.5.4., adicional a lo anteriormente señalado deberán incluir: </w:t>
      </w:r>
    </w:p>
    <w:p w:rsidR="00925CFF" w:rsidRPr="008721F3" w:rsidRDefault="002A18F9">
      <w:pPr>
        <w:ind w:left="141" w:right="-850"/>
        <w:jc w:val="both"/>
        <w:rPr>
          <w:rFonts w:ascii="Palatino Linotype" w:eastAsia="Palatino Linotype" w:hAnsi="Palatino Linotype" w:cs="Palatino Linotype"/>
          <w:i/>
          <w:sz w:val="22"/>
          <w:szCs w:val="22"/>
        </w:rPr>
      </w:pPr>
      <w:bookmarkStart w:id="19" w:name="_heading=h.n6ygx4z7u7iu" w:colFirst="0" w:colLast="0"/>
      <w:bookmarkEnd w:id="19"/>
      <w:r w:rsidRPr="008721F3">
        <w:rPr>
          <w:rFonts w:ascii="Palatino Linotype" w:eastAsia="Palatino Linotype" w:hAnsi="Palatino Linotype" w:cs="Palatino Linotype"/>
          <w:i/>
          <w:sz w:val="22"/>
          <w:szCs w:val="22"/>
        </w:rPr>
        <w:t xml:space="preserve">a) Los datos que establece el Anexo 20, apartado II.A., así como los correspondientes a los complementos que incorpore. </w:t>
      </w:r>
    </w:p>
    <w:p w:rsidR="00925CFF" w:rsidRPr="008721F3" w:rsidRDefault="002A18F9">
      <w:pPr>
        <w:ind w:left="141" w:right="-850"/>
        <w:jc w:val="both"/>
        <w:rPr>
          <w:rFonts w:ascii="Palatino Linotype" w:eastAsia="Palatino Linotype" w:hAnsi="Palatino Linotype" w:cs="Palatino Linotype"/>
          <w:i/>
          <w:sz w:val="22"/>
          <w:szCs w:val="22"/>
        </w:rPr>
      </w:pPr>
      <w:bookmarkStart w:id="20" w:name="_heading=h.htfse3mfod91" w:colFirst="0" w:colLast="0"/>
      <w:bookmarkEnd w:id="20"/>
      <w:r w:rsidRPr="008721F3">
        <w:rPr>
          <w:rFonts w:ascii="Palatino Linotype" w:eastAsia="Palatino Linotype" w:hAnsi="Palatino Linotype" w:cs="Palatino Linotype"/>
          <w:i/>
          <w:sz w:val="22"/>
          <w:szCs w:val="22"/>
        </w:rPr>
        <w:lastRenderedPageBreak/>
        <w:t xml:space="preserve">b) El código de barras generado conforme a la especificación técnica establecida en el Anexo 20, rubro II.D. </w:t>
      </w:r>
    </w:p>
    <w:p w:rsidR="00925CFF" w:rsidRPr="008721F3" w:rsidRDefault="002A18F9">
      <w:pPr>
        <w:ind w:left="141" w:right="-850"/>
        <w:jc w:val="both"/>
        <w:rPr>
          <w:rFonts w:ascii="Palatino Linotype" w:eastAsia="Palatino Linotype" w:hAnsi="Palatino Linotype" w:cs="Palatino Linotype"/>
          <w:i/>
          <w:sz w:val="22"/>
          <w:szCs w:val="22"/>
        </w:rPr>
      </w:pPr>
      <w:bookmarkStart w:id="21" w:name="_heading=h.18yejeg468ga" w:colFirst="0" w:colLast="0"/>
      <w:bookmarkEnd w:id="21"/>
      <w:r w:rsidRPr="008721F3">
        <w:rPr>
          <w:rFonts w:ascii="Palatino Linotype" w:eastAsia="Palatino Linotype" w:hAnsi="Palatino Linotype" w:cs="Palatino Linotype"/>
          <w:i/>
          <w:sz w:val="22"/>
          <w:szCs w:val="22"/>
        </w:rPr>
        <w:t xml:space="preserve">VII. Tratándose de las representaciones impresas de un CFDI emitidas conforme a lo dispuesto en la regla 2.7.2.14., y la Sección 2.7.3., se deberá estar a lo siguiente: </w:t>
      </w:r>
    </w:p>
    <w:p w:rsidR="00925CFF" w:rsidRPr="008721F3" w:rsidRDefault="002A18F9">
      <w:pPr>
        <w:ind w:left="141" w:right="-850"/>
        <w:jc w:val="both"/>
        <w:rPr>
          <w:rFonts w:ascii="Palatino Linotype" w:eastAsia="Palatino Linotype" w:hAnsi="Palatino Linotype" w:cs="Palatino Linotype"/>
          <w:i/>
          <w:sz w:val="22"/>
          <w:szCs w:val="22"/>
        </w:rPr>
      </w:pPr>
      <w:bookmarkStart w:id="22" w:name="_heading=h.5bnr4t7cvb3w" w:colFirst="0" w:colLast="0"/>
      <w:bookmarkEnd w:id="22"/>
      <w:r w:rsidRPr="008721F3">
        <w:rPr>
          <w:rFonts w:ascii="Palatino Linotype" w:eastAsia="Palatino Linotype" w:hAnsi="Palatino Linotype" w:cs="Palatino Linotype"/>
          <w:i/>
          <w:sz w:val="22"/>
          <w:szCs w:val="22"/>
        </w:rPr>
        <w:t xml:space="preserve">a) Espacio para registrar la firma autógrafa de la persona que emite el CFDI. </w:t>
      </w:r>
    </w:p>
    <w:p w:rsidR="00925CFF" w:rsidRPr="008721F3" w:rsidRDefault="002A18F9">
      <w:pPr>
        <w:ind w:left="141" w:right="-850"/>
        <w:jc w:val="both"/>
        <w:rPr>
          <w:rFonts w:ascii="Palatino Linotype" w:eastAsia="Palatino Linotype" w:hAnsi="Palatino Linotype" w:cs="Palatino Linotype"/>
          <w:i/>
          <w:sz w:val="22"/>
          <w:szCs w:val="22"/>
        </w:rPr>
      </w:pPr>
      <w:bookmarkStart w:id="23" w:name="_heading=h.dn2nmuiczm76" w:colFirst="0" w:colLast="0"/>
      <w:bookmarkEnd w:id="23"/>
      <w:r w:rsidRPr="008721F3">
        <w:rPr>
          <w:rFonts w:ascii="Palatino Linotype" w:eastAsia="Palatino Linotype" w:hAnsi="Palatino Linotype" w:cs="Palatino Linotype"/>
          <w:i/>
          <w:sz w:val="22"/>
          <w:szCs w:val="22"/>
        </w:rPr>
        <w:t xml:space="preserve">b) Respecto a lo señalado en la fracción II de esta regla, se incluirá el número de serie de CESD del proveedor de certificación de CFDI o del SAT según corresponda en sustitución del número de CSD del emisor. </w:t>
      </w:r>
    </w:p>
    <w:p w:rsidR="00925CFF" w:rsidRPr="008721F3" w:rsidRDefault="002A18F9">
      <w:pPr>
        <w:ind w:left="141" w:right="-850"/>
        <w:jc w:val="both"/>
        <w:rPr>
          <w:rFonts w:ascii="Palatino Linotype" w:eastAsia="Palatino Linotype" w:hAnsi="Palatino Linotype" w:cs="Palatino Linotype"/>
          <w:i/>
          <w:sz w:val="22"/>
          <w:szCs w:val="22"/>
        </w:rPr>
      </w:pPr>
      <w:bookmarkStart w:id="24" w:name="_heading=h.f44lrhhpmkjn" w:colFirst="0" w:colLast="0"/>
      <w:bookmarkEnd w:id="24"/>
      <w:r w:rsidRPr="008721F3">
        <w:rPr>
          <w:rFonts w:ascii="Palatino Linotype" w:eastAsia="Palatino Linotype" w:hAnsi="Palatino Linotype" w:cs="Palatino Linotype"/>
          <w:i/>
          <w:sz w:val="22"/>
          <w:szCs w:val="22"/>
        </w:rPr>
        <w:t xml:space="preserve">VIII. Tratándose de las representaciones impresas del CFDI por pagos realizados conforme a lo dispuesto en la regla 2.7.1.35., adicional a lo señalado en las fracciones anteriores de esta regla, deberán incluir la totalidad de los datos contenidos en el complemento para pagos. </w:t>
      </w:r>
    </w:p>
    <w:p w:rsidR="00925CFF" w:rsidRPr="008721F3" w:rsidRDefault="002A18F9">
      <w:pPr>
        <w:ind w:left="141" w:right="-850"/>
        <w:jc w:val="both"/>
        <w:rPr>
          <w:rFonts w:ascii="Palatino Linotype" w:eastAsia="Palatino Linotype" w:hAnsi="Palatino Linotype" w:cs="Palatino Linotype"/>
          <w:sz w:val="22"/>
          <w:szCs w:val="22"/>
        </w:rPr>
      </w:pPr>
      <w:bookmarkStart w:id="25" w:name="_heading=h.oo2mmabwdpzm" w:colFirst="0" w:colLast="0"/>
      <w:bookmarkEnd w:id="25"/>
      <w:r w:rsidRPr="008721F3">
        <w:rPr>
          <w:rFonts w:ascii="Palatino Linotype" w:eastAsia="Palatino Linotype" w:hAnsi="Palatino Linotype" w:cs="Palatino Linotype"/>
          <w:i/>
          <w:sz w:val="22"/>
          <w:szCs w:val="22"/>
        </w:rPr>
        <w:t>El archivo electrónico que en su caso genere la representación impresa deberá estar en formato electrónico PDF o algún otro similar que permita su impresión. Lo establecido en esta regla no será aplicable a la representación impresa del CFDI que se expida a través de “Mis cuentas”</w:t>
      </w:r>
      <w:r w:rsidRPr="008721F3">
        <w:rPr>
          <w:rFonts w:ascii="Palatino Linotype" w:eastAsia="Palatino Linotype" w:hAnsi="Palatino Linotype" w:cs="Palatino Linotype"/>
          <w:sz w:val="22"/>
          <w:szCs w:val="22"/>
        </w:rPr>
        <w:t>.</w:t>
      </w:r>
    </w:p>
    <w:p w:rsidR="00925CFF" w:rsidRPr="008721F3" w:rsidRDefault="002A18F9">
      <w:pPr>
        <w:ind w:left="141" w:right="-850"/>
        <w:jc w:val="both"/>
        <w:rPr>
          <w:rFonts w:ascii="Palatino Linotype" w:eastAsia="Palatino Linotype" w:hAnsi="Palatino Linotype" w:cs="Palatino Linotype"/>
          <w:i/>
          <w:sz w:val="22"/>
          <w:szCs w:val="22"/>
        </w:rPr>
      </w:pPr>
      <w:bookmarkStart w:id="26" w:name="_heading=h.t1mp8qivtptx" w:colFirst="0" w:colLast="0"/>
      <w:bookmarkEnd w:id="26"/>
      <w:r w:rsidRPr="008721F3">
        <w:rPr>
          <w:rFonts w:ascii="Palatino Linotype" w:eastAsia="Palatino Linotype" w:hAnsi="Palatino Linotype" w:cs="Palatino Linotype"/>
          <w:i/>
          <w:sz w:val="22"/>
          <w:szCs w:val="22"/>
        </w:rPr>
        <w:t>(Énfasis añadido)</w:t>
      </w:r>
    </w:p>
    <w:p w:rsidR="00925CFF" w:rsidRPr="008721F3" w:rsidRDefault="00925CFF">
      <w:pPr>
        <w:ind w:left="-566" w:right="-1417"/>
        <w:jc w:val="both"/>
        <w:rPr>
          <w:rFonts w:ascii="Palatino Linotype" w:eastAsia="Palatino Linotype" w:hAnsi="Palatino Linotype" w:cs="Palatino Linotype"/>
        </w:rPr>
      </w:pPr>
      <w:bookmarkStart w:id="27" w:name="_heading=h.8sifv2td4no" w:colFirst="0" w:colLast="0"/>
      <w:bookmarkEnd w:id="27"/>
    </w:p>
    <w:p w:rsidR="00925CFF" w:rsidRPr="008721F3" w:rsidRDefault="002A18F9">
      <w:pPr>
        <w:numPr>
          <w:ilvl w:val="0"/>
          <w:numId w:val="12"/>
        </w:numPr>
        <w:spacing w:line="360" w:lineRule="auto"/>
        <w:ind w:left="-566" w:right="-1417" w:firstLine="0"/>
        <w:jc w:val="both"/>
        <w:rPr>
          <w:color w:val="000000"/>
        </w:rPr>
      </w:pPr>
      <w:bookmarkStart w:id="28" w:name="_heading=h.oh2brxaow78o" w:colFirst="0" w:colLast="0"/>
      <w:bookmarkEnd w:id="28"/>
      <w:r w:rsidRPr="008721F3">
        <w:rPr>
          <w:rFonts w:ascii="Palatino Linotype" w:eastAsia="Palatino Linotype" w:hAnsi="Palatino Linotype" w:cs="Palatino Linotype"/>
        </w:rPr>
        <w:t>Asimismo</w:t>
      </w:r>
      <w:r w:rsidRPr="008721F3">
        <w:rPr>
          <w:rFonts w:ascii="Palatino Linotype" w:eastAsia="Palatino Linotype" w:hAnsi="Palatino Linotype" w:cs="Palatino Linotype"/>
          <w:color w:val="000000"/>
        </w:rPr>
        <w:t>, de conformidad con el Anexo 20 de la Segunda Resolución de modificaciones a la Resolución Miscelánea Fiscal, los elementos utilizados en la generación de sellos digitales son la cadena original del elemento a sellar, el certificado de sello digital y su correspondiente clave privada, los algoritmos de criptografía de clave pública para firma electrónica avanzada, y las especificaciones de conversión de la firma avanzada a base 64.</w:t>
      </w:r>
    </w:p>
    <w:p w:rsidR="00925CFF" w:rsidRPr="008721F3" w:rsidRDefault="00925CFF">
      <w:pPr>
        <w:spacing w:line="360" w:lineRule="auto"/>
        <w:ind w:left="-566" w:right="-1417"/>
        <w:jc w:val="both"/>
        <w:rPr>
          <w:rFonts w:ascii="Palatino Linotype" w:eastAsia="Palatino Linotype" w:hAnsi="Palatino Linotype" w:cs="Palatino Linotype"/>
        </w:rPr>
      </w:pPr>
      <w:bookmarkStart w:id="29" w:name="_heading=h.987we07n3kwj" w:colFirst="0" w:colLast="0"/>
      <w:bookmarkEnd w:id="29"/>
    </w:p>
    <w:p w:rsidR="00925CFF" w:rsidRPr="008721F3" w:rsidRDefault="002A18F9">
      <w:pPr>
        <w:numPr>
          <w:ilvl w:val="0"/>
          <w:numId w:val="12"/>
        </w:numPr>
        <w:spacing w:line="360" w:lineRule="auto"/>
        <w:ind w:left="-566" w:right="-1417" w:firstLine="0"/>
        <w:jc w:val="both"/>
        <w:rPr>
          <w:color w:val="000000"/>
        </w:rPr>
      </w:pPr>
      <w:bookmarkStart w:id="30" w:name="_heading=h.e4w0o6ue8sc6" w:colFirst="0" w:colLast="0"/>
      <w:bookmarkEnd w:id="30"/>
      <w:r w:rsidRPr="008721F3">
        <w:rPr>
          <w:rFonts w:ascii="Palatino Linotype" w:eastAsia="Palatino Linotype" w:hAnsi="Palatino Linotype" w:cs="Palatino Linotype"/>
        </w:rPr>
        <w:t>Para</w:t>
      </w:r>
      <w:r w:rsidRPr="008721F3">
        <w:rPr>
          <w:rFonts w:ascii="Palatino Linotype" w:eastAsia="Palatino Linotype" w:hAnsi="Palatino Linotype" w:cs="Palatino Linotype"/>
          <w:color w:val="000000"/>
        </w:rPr>
        <w:t xml:space="preserve"> la generación de sellos digitales se utiliza </w:t>
      </w:r>
      <w:r w:rsidRPr="008721F3">
        <w:rPr>
          <w:rFonts w:ascii="Palatino Linotype" w:eastAsia="Palatino Linotype" w:hAnsi="Palatino Linotype" w:cs="Palatino Linotype"/>
          <w:b/>
          <w:color w:val="000000"/>
        </w:rPr>
        <w:t>criptografía</w:t>
      </w:r>
      <w:r w:rsidRPr="008721F3">
        <w:rPr>
          <w:rFonts w:ascii="Palatino Linotype" w:eastAsia="Palatino Linotype" w:hAnsi="Palatino Linotype" w:cs="Palatino Linotype"/>
          <w:color w:val="000000"/>
        </w:rPr>
        <w:t xml:space="preserve"> de clave pública aplicada a una cadena original, que se basa en la generación de una pareja de números muy grandes relacionados entre sí, de tal manera que una operación de inscripción sobre un mensaje tomando como clave de inscripción a uno de los dos números, produce un mensaje alterado en su significado que sólo puede ser devuelto a su estado original mediante la operación de </w:t>
      </w:r>
      <w:r w:rsidRPr="008721F3">
        <w:rPr>
          <w:rFonts w:ascii="Palatino Linotype" w:eastAsia="Palatino Linotype" w:hAnsi="Palatino Linotype" w:cs="Palatino Linotype"/>
        </w:rPr>
        <w:t>desencripción</w:t>
      </w:r>
      <w:r w:rsidRPr="008721F3">
        <w:rPr>
          <w:rFonts w:ascii="Palatino Linotype" w:eastAsia="Palatino Linotype" w:hAnsi="Palatino Linotype" w:cs="Palatino Linotype"/>
          <w:color w:val="000000"/>
        </w:rPr>
        <w:t xml:space="preserve"> correspondiente tomando como clave de </w:t>
      </w:r>
      <w:r w:rsidRPr="008721F3">
        <w:rPr>
          <w:rFonts w:ascii="Palatino Linotype" w:eastAsia="Palatino Linotype" w:hAnsi="Palatino Linotype" w:cs="Palatino Linotype"/>
        </w:rPr>
        <w:t>desencripción</w:t>
      </w:r>
      <w:r w:rsidRPr="008721F3">
        <w:rPr>
          <w:rFonts w:ascii="Palatino Linotype" w:eastAsia="Palatino Linotype" w:hAnsi="Palatino Linotype" w:cs="Palatino Linotype"/>
          <w:color w:val="000000"/>
        </w:rPr>
        <w:t xml:space="preserve"> al otro número de la pareja. </w:t>
      </w:r>
    </w:p>
    <w:p w:rsidR="00925CFF" w:rsidRPr="008721F3" w:rsidRDefault="00925CFF">
      <w:pPr>
        <w:spacing w:line="360" w:lineRule="auto"/>
        <w:ind w:left="-566" w:right="-1417"/>
        <w:jc w:val="both"/>
        <w:rPr>
          <w:rFonts w:ascii="Palatino Linotype" w:eastAsia="Palatino Linotype" w:hAnsi="Palatino Linotype" w:cs="Palatino Linotype"/>
        </w:rPr>
      </w:pPr>
      <w:bookmarkStart w:id="31" w:name="_heading=h.rtb9e44i85ua" w:colFirst="0" w:colLast="0"/>
      <w:bookmarkEnd w:id="31"/>
    </w:p>
    <w:p w:rsidR="00925CFF" w:rsidRPr="008721F3" w:rsidRDefault="002A18F9">
      <w:pPr>
        <w:numPr>
          <w:ilvl w:val="0"/>
          <w:numId w:val="12"/>
        </w:numPr>
        <w:spacing w:line="360" w:lineRule="auto"/>
        <w:ind w:left="-566" w:right="-1417" w:firstLine="0"/>
        <w:jc w:val="both"/>
        <w:rPr>
          <w:color w:val="000000"/>
        </w:rPr>
      </w:pPr>
      <w:bookmarkStart w:id="32" w:name="_heading=h.mt7q496zmklq" w:colFirst="0" w:colLast="0"/>
      <w:bookmarkEnd w:id="32"/>
      <w:r w:rsidRPr="008721F3">
        <w:rPr>
          <w:rFonts w:ascii="Palatino Linotype" w:eastAsia="Palatino Linotype" w:hAnsi="Palatino Linotype" w:cs="Palatino Linotype"/>
        </w:rPr>
        <w:lastRenderedPageBreak/>
        <w:t>Uno</w:t>
      </w:r>
      <w:r w:rsidRPr="008721F3">
        <w:rPr>
          <w:rFonts w:ascii="Palatino Linotype" w:eastAsia="Palatino Linotype" w:hAnsi="Palatino Linotype" w:cs="Palatino Linotype"/>
          <w:color w:val="000000"/>
        </w:rPr>
        <w:t xml:space="preserve"> de estos dos números, expresado en una estructura de datos que contiene un módulo y un exponente, se conserva secreta y se le denomina "clave privada", mientras que el otro número llamado "clave pública", en formato binario y acompañado de información de identificación del emisor, además de una calificación de validez por parte de un tercero confiable, se incorpora a un archivo denominado "certificado de firma electrónica avanzada" o "certificado para sellos digitales" en adelante Certificado.</w:t>
      </w:r>
    </w:p>
    <w:p w:rsidR="00925CFF" w:rsidRPr="008721F3" w:rsidRDefault="00925CFF">
      <w:pPr>
        <w:pBdr>
          <w:top w:val="nil"/>
          <w:left w:val="nil"/>
          <w:bottom w:val="nil"/>
          <w:right w:val="nil"/>
          <w:between w:val="nil"/>
        </w:pBdr>
        <w:spacing w:line="360" w:lineRule="auto"/>
        <w:ind w:left="-566" w:right="-1417"/>
        <w:jc w:val="both"/>
        <w:rPr>
          <w:rFonts w:ascii="Palatino Linotype" w:eastAsia="Palatino Linotype" w:hAnsi="Palatino Linotype" w:cs="Palatino Linotype"/>
          <w:color w:val="000000"/>
        </w:rPr>
      </w:pPr>
      <w:bookmarkStart w:id="33" w:name="_heading=h.n30l5xfevj1m" w:colFirst="0" w:colLast="0"/>
      <w:bookmarkEnd w:id="33"/>
    </w:p>
    <w:p w:rsidR="00925CFF" w:rsidRPr="008721F3" w:rsidRDefault="002A18F9">
      <w:pPr>
        <w:numPr>
          <w:ilvl w:val="0"/>
          <w:numId w:val="12"/>
        </w:numPr>
        <w:spacing w:line="360" w:lineRule="auto"/>
        <w:ind w:left="-566" w:right="-1417" w:firstLine="0"/>
        <w:jc w:val="both"/>
        <w:rPr>
          <w:color w:val="000000"/>
        </w:rPr>
      </w:pPr>
      <w:bookmarkStart w:id="34" w:name="_heading=h.xyl92zx2yn72" w:colFirst="0" w:colLast="0"/>
      <w:bookmarkEnd w:id="34"/>
      <w:r w:rsidRPr="008721F3">
        <w:rPr>
          <w:rFonts w:ascii="Palatino Linotype" w:eastAsia="Palatino Linotype" w:hAnsi="Palatino Linotype" w:cs="Palatino Linotype"/>
        </w:rPr>
        <w:t>El</w:t>
      </w:r>
      <w:r w:rsidRPr="008721F3">
        <w:rPr>
          <w:rFonts w:ascii="Palatino Linotype" w:eastAsia="Palatino Linotype" w:hAnsi="Palatino Linotype" w:cs="Palatino Linotype"/>
          <w:color w:val="000000"/>
        </w:rPr>
        <w:t xml:space="preserve"> Certificado puede distribuirse libremente para efectos de intercambio seguro de información y para ofrecer pruebas de autoría de archivos electrónicos o confirmación de estar de acuerdo con su contenido, ambos mediante el proceso denominado "firmado electrónico avanzado", que consiste en una característica observable de un mensaje, verificable por cualquiera con acceso al certificado digital del emisor, que sirve para implementar servicios de seguridad para garantizar: </w:t>
      </w:r>
    </w:p>
    <w:p w:rsidR="00925CFF" w:rsidRPr="008721F3" w:rsidRDefault="002A18F9">
      <w:pPr>
        <w:spacing w:line="360" w:lineRule="auto"/>
        <w:ind w:left="141" w:right="-850"/>
        <w:jc w:val="both"/>
        <w:rPr>
          <w:rFonts w:ascii="Palatino Linotype" w:eastAsia="Palatino Linotype" w:hAnsi="Palatino Linotype" w:cs="Palatino Linotype"/>
          <w:sz w:val="22"/>
          <w:szCs w:val="22"/>
        </w:rPr>
      </w:pPr>
      <w:bookmarkStart w:id="35" w:name="_heading=h.dnnzpvh7eleo" w:colFirst="0" w:colLast="0"/>
      <w:bookmarkEnd w:id="35"/>
      <w:r w:rsidRPr="008721F3">
        <w:rPr>
          <w:rFonts w:ascii="Palatino Linotype" w:eastAsia="Palatino Linotype" w:hAnsi="Palatino Linotype" w:cs="Palatino Linotype"/>
          <w:sz w:val="22"/>
          <w:szCs w:val="22"/>
        </w:rPr>
        <w:t xml:space="preserve">• La integridad (facilidad para detectar si un mensaje firmado ha sido alterado), </w:t>
      </w:r>
    </w:p>
    <w:p w:rsidR="00925CFF" w:rsidRPr="008721F3" w:rsidRDefault="002A18F9">
      <w:pPr>
        <w:spacing w:line="360" w:lineRule="auto"/>
        <w:ind w:left="141" w:right="-850"/>
        <w:jc w:val="both"/>
        <w:rPr>
          <w:rFonts w:ascii="Palatino Linotype" w:eastAsia="Palatino Linotype" w:hAnsi="Palatino Linotype" w:cs="Palatino Linotype"/>
          <w:sz w:val="22"/>
          <w:szCs w:val="22"/>
        </w:rPr>
      </w:pPr>
      <w:bookmarkStart w:id="36" w:name="_heading=h.7nd46camfpd3" w:colFirst="0" w:colLast="0"/>
      <w:bookmarkEnd w:id="36"/>
      <w:r w:rsidRPr="008721F3">
        <w:rPr>
          <w:rFonts w:ascii="Palatino Linotype" w:eastAsia="Palatino Linotype" w:hAnsi="Palatino Linotype" w:cs="Palatino Linotype"/>
          <w:sz w:val="22"/>
          <w:szCs w:val="22"/>
        </w:rPr>
        <w:t xml:space="preserve">• La autenticidad, </w:t>
      </w:r>
    </w:p>
    <w:p w:rsidR="00925CFF" w:rsidRPr="008721F3" w:rsidRDefault="002A18F9">
      <w:pPr>
        <w:spacing w:line="360" w:lineRule="auto"/>
        <w:ind w:left="141" w:right="-850"/>
        <w:jc w:val="both"/>
        <w:rPr>
          <w:rFonts w:ascii="Palatino Linotype" w:eastAsia="Palatino Linotype" w:hAnsi="Palatino Linotype" w:cs="Palatino Linotype"/>
          <w:sz w:val="22"/>
          <w:szCs w:val="22"/>
        </w:rPr>
      </w:pPr>
      <w:bookmarkStart w:id="37" w:name="_heading=h.ioxfoskdka44" w:colFirst="0" w:colLast="0"/>
      <w:bookmarkEnd w:id="37"/>
      <w:r w:rsidRPr="008721F3">
        <w:rPr>
          <w:rFonts w:ascii="Palatino Linotype" w:eastAsia="Palatino Linotype" w:hAnsi="Palatino Linotype" w:cs="Palatino Linotype"/>
          <w:sz w:val="22"/>
          <w:szCs w:val="22"/>
        </w:rPr>
        <w:t xml:space="preserve">• Certidumbre de origen (facilidad para determinar qué persona es el autor de la firma que valida el contenido del mensaje) y </w:t>
      </w:r>
    </w:p>
    <w:p w:rsidR="00925CFF" w:rsidRPr="008721F3" w:rsidRDefault="002A18F9">
      <w:pPr>
        <w:spacing w:line="360" w:lineRule="auto"/>
        <w:ind w:left="141" w:right="-850"/>
        <w:jc w:val="both"/>
        <w:rPr>
          <w:rFonts w:ascii="Palatino Linotype" w:eastAsia="Palatino Linotype" w:hAnsi="Palatino Linotype" w:cs="Palatino Linotype"/>
          <w:sz w:val="22"/>
          <w:szCs w:val="22"/>
        </w:rPr>
      </w:pPr>
      <w:bookmarkStart w:id="38" w:name="_heading=h.71wzdzlnc3xt" w:colFirst="0" w:colLast="0"/>
      <w:bookmarkEnd w:id="38"/>
      <w:r w:rsidRPr="008721F3">
        <w:rPr>
          <w:rFonts w:ascii="Palatino Linotype" w:eastAsia="Palatino Linotype" w:hAnsi="Palatino Linotype" w:cs="Palatino Linotype"/>
          <w:sz w:val="22"/>
          <w:szCs w:val="22"/>
        </w:rPr>
        <w:t xml:space="preserve">• No repudiación del mensaje firmado (capacidad de impedir que el autor de la firma niegue haber firmado el mensaje). </w:t>
      </w:r>
    </w:p>
    <w:p w:rsidR="00925CFF" w:rsidRPr="008721F3" w:rsidRDefault="00925CFF">
      <w:pPr>
        <w:spacing w:line="360" w:lineRule="auto"/>
        <w:ind w:left="-566" w:right="-1417"/>
        <w:jc w:val="both"/>
        <w:rPr>
          <w:rFonts w:ascii="Palatino Linotype" w:eastAsia="Palatino Linotype" w:hAnsi="Palatino Linotype" w:cs="Palatino Linotype"/>
        </w:rPr>
      </w:pPr>
      <w:bookmarkStart w:id="39" w:name="_heading=h.ynzdidt3os8l" w:colFirst="0" w:colLast="0"/>
      <w:bookmarkEnd w:id="39"/>
    </w:p>
    <w:p w:rsidR="00925CFF" w:rsidRPr="008721F3" w:rsidRDefault="002A18F9">
      <w:pPr>
        <w:numPr>
          <w:ilvl w:val="0"/>
          <w:numId w:val="12"/>
        </w:numPr>
        <w:spacing w:line="360" w:lineRule="auto"/>
        <w:ind w:left="-566" w:right="-1417" w:firstLine="0"/>
        <w:jc w:val="both"/>
        <w:rPr>
          <w:color w:val="000000"/>
        </w:rPr>
      </w:pPr>
      <w:bookmarkStart w:id="40" w:name="_heading=h.qdfdf3outred" w:colFirst="0" w:colLast="0"/>
      <w:bookmarkEnd w:id="40"/>
      <w:r w:rsidRPr="008721F3">
        <w:rPr>
          <w:rFonts w:ascii="Palatino Linotype" w:eastAsia="Palatino Linotype" w:hAnsi="Palatino Linotype" w:cs="Palatino Linotype"/>
        </w:rPr>
        <w:t>Estos</w:t>
      </w:r>
      <w:r w:rsidRPr="008721F3">
        <w:rPr>
          <w:rFonts w:ascii="Palatino Linotype" w:eastAsia="Palatino Linotype" w:hAnsi="Palatino Linotype" w:cs="Palatino Linotype"/>
          <w:color w:val="000000"/>
        </w:rPr>
        <w:t xml:space="preserve"> servicios de seguridad proporcionan las siguientes características a un mensaje con firma electrónica avanzada: </w:t>
      </w:r>
    </w:p>
    <w:p w:rsidR="00925CFF" w:rsidRPr="008721F3" w:rsidRDefault="002A18F9">
      <w:pPr>
        <w:spacing w:line="360" w:lineRule="auto"/>
        <w:ind w:left="283" w:right="-850"/>
        <w:jc w:val="both"/>
        <w:rPr>
          <w:rFonts w:ascii="Palatino Linotype" w:eastAsia="Palatino Linotype" w:hAnsi="Palatino Linotype" w:cs="Palatino Linotype"/>
          <w:sz w:val="22"/>
          <w:szCs w:val="22"/>
        </w:rPr>
      </w:pPr>
      <w:bookmarkStart w:id="41" w:name="_heading=h.xp0jh26h3b7o" w:colFirst="0" w:colLast="0"/>
      <w:bookmarkEnd w:id="41"/>
      <w:r w:rsidRPr="008721F3">
        <w:rPr>
          <w:rFonts w:ascii="Palatino Linotype" w:eastAsia="Palatino Linotype" w:hAnsi="Palatino Linotype" w:cs="Palatino Linotype"/>
        </w:rPr>
        <w:t>•</w:t>
      </w:r>
      <w:r w:rsidRPr="008721F3">
        <w:rPr>
          <w:rFonts w:ascii="Palatino Linotype" w:eastAsia="Palatino Linotype" w:hAnsi="Palatino Linotype" w:cs="Palatino Linotype"/>
          <w:sz w:val="22"/>
          <w:szCs w:val="22"/>
        </w:rPr>
        <w:t xml:space="preserve"> Es infalsificable. </w:t>
      </w:r>
    </w:p>
    <w:p w:rsidR="00925CFF" w:rsidRPr="008721F3" w:rsidRDefault="002A18F9">
      <w:pPr>
        <w:spacing w:line="360" w:lineRule="auto"/>
        <w:ind w:left="283" w:right="-850"/>
        <w:jc w:val="both"/>
        <w:rPr>
          <w:rFonts w:ascii="Palatino Linotype" w:eastAsia="Palatino Linotype" w:hAnsi="Palatino Linotype" w:cs="Palatino Linotype"/>
          <w:sz w:val="22"/>
          <w:szCs w:val="22"/>
        </w:rPr>
      </w:pPr>
      <w:bookmarkStart w:id="42" w:name="_heading=h.d7sfqbwj4lax" w:colFirst="0" w:colLast="0"/>
      <w:bookmarkEnd w:id="42"/>
      <w:r w:rsidRPr="008721F3">
        <w:rPr>
          <w:rFonts w:ascii="Palatino Linotype" w:eastAsia="Palatino Linotype" w:hAnsi="Palatino Linotype" w:cs="Palatino Linotype"/>
          <w:sz w:val="22"/>
          <w:szCs w:val="22"/>
        </w:rPr>
        <w:t xml:space="preserve">• La firma electrónica avanzada no es reciclable (es única por mensaje). </w:t>
      </w:r>
    </w:p>
    <w:p w:rsidR="00925CFF" w:rsidRPr="008721F3" w:rsidRDefault="002A18F9">
      <w:pPr>
        <w:spacing w:line="360" w:lineRule="auto"/>
        <w:ind w:left="283" w:right="-850"/>
        <w:jc w:val="both"/>
        <w:rPr>
          <w:rFonts w:ascii="Palatino Linotype" w:eastAsia="Palatino Linotype" w:hAnsi="Palatino Linotype" w:cs="Palatino Linotype"/>
          <w:sz w:val="22"/>
          <w:szCs w:val="22"/>
        </w:rPr>
      </w:pPr>
      <w:bookmarkStart w:id="43" w:name="_heading=h.4umuus4we8wo" w:colFirst="0" w:colLast="0"/>
      <w:bookmarkEnd w:id="43"/>
      <w:r w:rsidRPr="008721F3">
        <w:rPr>
          <w:rFonts w:ascii="Palatino Linotype" w:eastAsia="Palatino Linotype" w:hAnsi="Palatino Linotype" w:cs="Palatino Linotype"/>
          <w:sz w:val="22"/>
          <w:szCs w:val="22"/>
        </w:rPr>
        <w:lastRenderedPageBreak/>
        <w:t xml:space="preserve">• Un mensaje con firma electrónica avanzada alterado, es detectable. </w:t>
      </w:r>
    </w:p>
    <w:p w:rsidR="00925CFF" w:rsidRPr="008721F3" w:rsidRDefault="002A18F9">
      <w:pPr>
        <w:spacing w:line="360" w:lineRule="auto"/>
        <w:ind w:left="283" w:right="-850"/>
        <w:jc w:val="both"/>
        <w:rPr>
          <w:rFonts w:ascii="Palatino Linotype" w:eastAsia="Palatino Linotype" w:hAnsi="Palatino Linotype" w:cs="Palatino Linotype"/>
          <w:sz w:val="22"/>
          <w:szCs w:val="22"/>
        </w:rPr>
      </w:pPr>
      <w:bookmarkStart w:id="44" w:name="_heading=h.bhowd0rv38c7" w:colFirst="0" w:colLast="0"/>
      <w:bookmarkEnd w:id="44"/>
      <w:r w:rsidRPr="008721F3">
        <w:rPr>
          <w:rFonts w:ascii="Palatino Linotype" w:eastAsia="Palatino Linotype" w:hAnsi="Palatino Linotype" w:cs="Palatino Linotype"/>
          <w:sz w:val="22"/>
          <w:szCs w:val="22"/>
        </w:rPr>
        <w:t xml:space="preserve">• Un mensaje con firma electrónica avanzada, no puede ser repudiado. </w:t>
      </w:r>
    </w:p>
    <w:p w:rsidR="00925CFF" w:rsidRPr="008721F3" w:rsidRDefault="00925CFF">
      <w:pPr>
        <w:spacing w:line="360" w:lineRule="auto"/>
        <w:ind w:left="-566" w:right="-1417"/>
        <w:jc w:val="both"/>
        <w:rPr>
          <w:rFonts w:ascii="Palatino Linotype" w:eastAsia="Palatino Linotype" w:hAnsi="Palatino Linotype" w:cs="Palatino Linotype"/>
        </w:rPr>
      </w:pPr>
      <w:bookmarkStart w:id="45" w:name="_heading=h.ejn2v55f60s6" w:colFirst="0" w:colLast="0"/>
      <w:bookmarkEnd w:id="45"/>
    </w:p>
    <w:p w:rsidR="00925CFF" w:rsidRPr="008721F3" w:rsidRDefault="002A18F9">
      <w:pPr>
        <w:numPr>
          <w:ilvl w:val="0"/>
          <w:numId w:val="12"/>
        </w:numPr>
        <w:spacing w:line="360" w:lineRule="auto"/>
        <w:ind w:left="-566" w:right="-1417" w:firstLine="0"/>
        <w:jc w:val="both"/>
        <w:rPr>
          <w:color w:val="000000"/>
        </w:rPr>
      </w:pPr>
      <w:bookmarkStart w:id="46" w:name="_heading=h.msnldj4dqkon" w:colFirst="0" w:colLast="0"/>
      <w:bookmarkEnd w:id="46"/>
      <w:r w:rsidRPr="008721F3">
        <w:rPr>
          <w:rFonts w:ascii="Palatino Linotype" w:eastAsia="Palatino Linotype" w:hAnsi="Palatino Linotype" w:cs="Palatino Linotype"/>
        </w:rPr>
        <w:t>Los</w:t>
      </w:r>
      <w:r w:rsidRPr="008721F3">
        <w:rPr>
          <w:rFonts w:ascii="Palatino Linotype" w:eastAsia="Palatino Linotype" w:hAnsi="Palatino Linotype" w:cs="Palatino Linotype"/>
          <w:color w:val="000000"/>
        </w:rPr>
        <w:t xml:space="preserve"> </w:t>
      </w:r>
      <w:r w:rsidRPr="008721F3">
        <w:rPr>
          <w:rFonts w:ascii="Palatino Linotype" w:eastAsia="Palatino Linotype" w:hAnsi="Palatino Linotype" w:cs="Palatino Linotype"/>
        </w:rPr>
        <w:t>certificados</w:t>
      </w:r>
      <w:r w:rsidRPr="008721F3">
        <w:rPr>
          <w:rFonts w:ascii="Palatino Linotype" w:eastAsia="Palatino Linotype" w:hAnsi="Palatino Linotype" w:cs="Palatino Linotype"/>
          <w:color w:val="000000"/>
        </w:rPr>
        <w:t xml:space="preserve"> de sello digital se generan de manera idéntica a los certificados de e.firma y al igual que las firmas electrónicas avanzadas el propósito del sello digital es emitir comprobantes fiscales con autenticidad, integridad, verificables y no repudiables por el emisor. Para ello basta tener acceso al mensaje original o cadena original, al sello digital y al </w:t>
      </w:r>
      <w:r w:rsidRPr="008721F3">
        <w:rPr>
          <w:rFonts w:ascii="Palatino Linotype" w:eastAsia="Palatino Linotype" w:hAnsi="Palatino Linotype" w:cs="Palatino Linotype"/>
        </w:rPr>
        <w:t>certificado digital</w:t>
      </w:r>
      <w:r w:rsidRPr="008721F3">
        <w:rPr>
          <w:rFonts w:ascii="Palatino Linotype" w:eastAsia="Palatino Linotype" w:hAnsi="Palatino Linotype" w:cs="Palatino Linotype"/>
          <w:color w:val="000000"/>
        </w:rPr>
        <w:t xml:space="preserve"> del emisor.</w:t>
      </w:r>
    </w:p>
    <w:p w:rsidR="00925CFF" w:rsidRPr="008721F3" w:rsidRDefault="00925CFF">
      <w:pPr>
        <w:spacing w:line="360" w:lineRule="auto"/>
        <w:ind w:left="-566" w:right="-1417"/>
        <w:jc w:val="both"/>
        <w:rPr>
          <w:rFonts w:ascii="Palatino Linotype" w:eastAsia="Palatino Linotype" w:hAnsi="Palatino Linotype" w:cs="Palatino Linotype"/>
        </w:rPr>
      </w:pPr>
      <w:bookmarkStart w:id="47" w:name="_heading=h.d2rygb40n1qi" w:colFirst="0" w:colLast="0"/>
      <w:bookmarkEnd w:id="47"/>
    </w:p>
    <w:p w:rsidR="00925CFF" w:rsidRPr="008721F3" w:rsidRDefault="002A18F9">
      <w:pPr>
        <w:numPr>
          <w:ilvl w:val="0"/>
          <w:numId w:val="12"/>
        </w:numPr>
        <w:spacing w:line="360" w:lineRule="auto"/>
        <w:ind w:left="-566" w:right="-1417" w:firstLine="0"/>
        <w:jc w:val="both"/>
        <w:rPr>
          <w:color w:val="000000"/>
        </w:rPr>
      </w:pPr>
      <w:bookmarkStart w:id="48" w:name="_heading=h.gssdfypy39it" w:colFirst="0" w:colLast="0"/>
      <w:bookmarkEnd w:id="48"/>
      <w:r w:rsidRPr="008721F3">
        <w:rPr>
          <w:rFonts w:ascii="Palatino Linotype" w:eastAsia="Palatino Linotype" w:hAnsi="Palatino Linotype" w:cs="Palatino Linotype"/>
        </w:rPr>
        <w:t>Asimismo</w:t>
      </w:r>
      <w:r w:rsidRPr="008721F3">
        <w:rPr>
          <w:rFonts w:ascii="Palatino Linotype" w:eastAsia="Palatino Linotype" w:hAnsi="Palatino Linotype" w:cs="Palatino Linotype"/>
          <w:color w:val="000000"/>
        </w:rPr>
        <w:t xml:space="preserve">, el número de serie del certificado del CSD el atributo requerido para expresar el número de serie del certificado de sello digital que ampara al comprobante, de acuerdo con el acuse correspondiente a 20 posiciones otorgado por el sistema del SAT, el folio fiscal referido como el UUID es un atributo requerido para expresar los 36 caracteres del folio fiscal de la transacción de timbrado conforme al estándar RFC 4122, el número certificado SAT el atributo requerido para expresar el número de serie del certificado del SAT usado para generar el sello digital del Timbre Fiscal Digital, el sello digital del CFD el atributo requerido para contener el sello digital del comprobante fiscal o comprobante de retenciones que se ha timbrado, sello que debe ser expresado como una cadena de texto en formato Base 64, el sello del SAT el atributo requerido para contener el sello digital del Timbre Fiscal Digital, que debe ser expresado como una cadena de texto en formato Base 64, y finalmente la cadena original, es la secuencia de datos formulada con la información contenida dentro del timbre fiscal digital del SAT. </w:t>
      </w:r>
    </w:p>
    <w:p w:rsidR="00925CFF" w:rsidRPr="008721F3" w:rsidRDefault="00925CFF">
      <w:pPr>
        <w:spacing w:line="360" w:lineRule="auto"/>
        <w:ind w:left="-566" w:right="-1417"/>
        <w:jc w:val="both"/>
        <w:rPr>
          <w:rFonts w:ascii="Palatino Linotype" w:eastAsia="Palatino Linotype" w:hAnsi="Palatino Linotype" w:cs="Palatino Linotype"/>
        </w:rPr>
      </w:pPr>
    </w:p>
    <w:p w:rsidR="00925CFF" w:rsidRPr="008721F3" w:rsidRDefault="002A18F9">
      <w:pPr>
        <w:numPr>
          <w:ilvl w:val="0"/>
          <w:numId w:val="12"/>
        </w:numPr>
        <w:spacing w:line="360" w:lineRule="auto"/>
        <w:ind w:left="-566" w:right="-1417" w:firstLine="0"/>
        <w:jc w:val="both"/>
        <w:rPr>
          <w:color w:val="000000"/>
        </w:rPr>
      </w:pPr>
      <w:r w:rsidRPr="008721F3">
        <w:rPr>
          <w:rFonts w:ascii="Palatino Linotype" w:eastAsia="Palatino Linotype" w:hAnsi="Palatino Linotype" w:cs="Palatino Linotype"/>
        </w:rPr>
        <w:t>Así</w:t>
      </w:r>
      <w:r w:rsidRPr="008721F3">
        <w:rPr>
          <w:rFonts w:ascii="Palatino Linotype" w:eastAsia="Palatino Linotype" w:hAnsi="Palatino Linotype" w:cs="Palatino Linotype"/>
          <w:color w:val="000000"/>
        </w:rPr>
        <w:t xml:space="preserve"> bien, con base en lo expuesto, no todos los datos señalados pueden ser considerados como confidenciales, en virtud de que el Folio fiscal, Número </w:t>
      </w:r>
      <w:r w:rsidRPr="008721F3">
        <w:rPr>
          <w:rFonts w:ascii="Palatino Linotype" w:eastAsia="Palatino Linotype" w:hAnsi="Palatino Linotype" w:cs="Palatino Linotype"/>
        </w:rPr>
        <w:t>de</w:t>
      </w:r>
      <w:r w:rsidRPr="008721F3">
        <w:rPr>
          <w:rFonts w:ascii="Palatino Linotype" w:eastAsia="Palatino Linotype" w:hAnsi="Palatino Linotype" w:cs="Palatino Linotype"/>
          <w:color w:val="000000"/>
        </w:rPr>
        <w:t xml:space="preserve"> serie CSD del emisor, Sello </w:t>
      </w:r>
      <w:r w:rsidRPr="008721F3">
        <w:rPr>
          <w:rFonts w:ascii="Palatino Linotype" w:eastAsia="Palatino Linotype" w:hAnsi="Palatino Linotype" w:cs="Palatino Linotype"/>
          <w:color w:val="000000"/>
        </w:rPr>
        <w:lastRenderedPageBreak/>
        <w:t xml:space="preserve">digital del contribuyente emisor, Número de serie del CSD del SAT, Sello digital del </w:t>
      </w:r>
      <w:r w:rsidRPr="008721F3">
        <w:rPr>
          <w:rFonts w:ascii="Palatino Linotype" w:eastAsia="Palatino Linotype" w:hAnsi="Palatino Linotype" w:cs="Palatino Linotype"/>
        </w:rPr>
        <w:t>SAT y</w:t>
      </w:r>
      <w:r w:rsidRPr="008721F3">
        <w:rPr>
          <w:rFonts w:ascii="Palatino Linotype" w:eastAsia="Palatino Linotype" w:hAnsi="Palatino Linotype" w:cs="Palatino Linotype"/>
          <w:color w:val="000000"/>
        </w:rPr>
        <w:t xml:space="preserve"> Cadena original de complemento de certificación digital SAT, así como el número de empleado cuando no se relacione con el uso de diversos servicios, no tienen el carácter de confidenciales. </w:t>
      </w:r>
    </w:p>
    <w:p w:rsidR="00925CFF" w:rsidRPr="008721F3" w:rsidRDefault="00925CFF">
      <w:pPr>
        <w:pBdr>
          <w:top w:val="nil"/>
          <w:left w:val="nil"/>
          <w:bottom w:val="nil"/>
          <w:right w:val="nil"/>
          <w:between w:val="nil"/>
        </w:pBdr>
        <w:ind w:left="-566" w:right="-1417"/>
        <w:rPr>
          <w:rFonts w:ascii="Palatino Linotype" w:eastAsia="Palatino Linotype" w:hAnsi="Palatino Linotype" w:cs="Palatino Linotype"/>
          <w:color w:val="000000"/>
        </w:rPr>
      </w:pPr>
    </w:p>
    <w:p w:rsidR="00925CFF" w:rsidRPr="008721F3" w:rsidRDefault="002A18F9">
      <w:pPr>
        <w:numPr>
          <w:ilvl w:val="0"/>
          <w:numId w:val="12"/>
        </w:numPr>
        <w:spacing w:line="360" w:lineRule="auto"/>
        <w:ind w:left="-566" w:right="-1417" w:firstLine="0"/>
        <w:jc w:val="both"/>
        <w:rPr>
          <w:color w:val="000000"/>
        </w:rPr>
      </w:pPr>
      <w:r w:rsidRPr="008721F3">
        <w:rPr>
          <w:rFonts w:ascii="Palatino Linotype" w:eastAsia="Palatino Linotype" w:hAnsi="Palatino Linotype" w:cs="Palatino Linotype"/>
        </w:rPr>
        <w:t>En</w:t>
      </w:r>
      <w:r w:rsidRPr="008721F3">
        <w:rPr>
          <w:rFonts w:ascii="Palatino Linotype" w:eastAsia="Palatino Linotype" w:hAnsi="Palatino Linotype" w:cs="Palatino Linotype"/>
          <w:color w:val="000000"/>
        </w:rPr>
        <w:t xml:space="preserve"> esa línea, se debe de referir que del contenido de las </w:t>
      </w:r>
      <w:r w:rsidRPr="008721F3">
        <w:rPr>
          <w:rFonts w:ascii="Palatino Linotype" w:eastAsia="Palatino Linotype" w:hAnsi="Palatino Linotype" w:cs="Palatino Linotype"/>
          <w:b/>
          <w:color w:val="000000"/>
          <w:u w:val="single"/>
        </w:rPr>
        <w:t>facturas o de los contratos</w:t>
      </w:r>
      <w:r w:rsidRPr="008721F3">
        <w:rPr>
          <w:rFonts w:ascii="Palatino Linotype" w:eastAsia="Palatino Linotype" w:hAnsi="Palatino Linotype" w:cs="Palatino Linotype"/>
          <w:color w:val="000000"/>
        </w:rPr>
        <w:t xml:space="preserve">  se </w:t>
      </w:r>
      <w:r w:rsidRPr="008721F3">
        <w:rPr>
          <w:rFonts w:ascii="Palatino Linotype" w:eastAsia="Palatino Linotype" w:hAnsi="Palatino Linotype" w:cs="Palatino Linotype"/>
        </w:rPr>
        <w:t>encontrarán</w:t>
      </w:r>
      <w:r w:rsidRPr="008721F3">
        <w:rPr>
          <w:rFonts w:ascii="Palatino Linotype" w:eastAsia="Palatino Linotype" w:hAnsi="Palatino Linotype" w:cs="Palatino Linotype"/>
          <w:color w:val="000000"/>
        </w:rPr>
        <w:t xml:space="preserve"> los datos del nombre de los proveedores que hubieran participado en el informe de gobierno para el caso de pantallas, sillas y mesas, comida y en cuestiones en general. </w:t>
      </w:r>
    </w:p>
    <w:p w:rsidR="00925CFF" w:rsidRPr="008721F3" w:rsidRDefault="00925CFF">
      <w:pPr>
        <w:spacing w:line="360" w:lineRule="auto"/>
        <w:ind w:left="-566" w:right="-1417"/>
        <w:jc w:val="both"/>
        <w:rPr>
          <w:color w:val="000000"/>
        </w:rPr>
      </w:pPr>
    </w:p>
    <w:p w:rsidR="00925CFF" w:rsidRPr="008721F3" w:rsidRDefault="00925CFF">
      <w:pPr>
        <w:pBdr>
          <w:top w:val="nil"/>
          <w:left w:val="nil"/>
          <w:bottom w:val="nil"/>
          <w:right w:val="nil"/>
          <w:between w:val="nil"/>
        </w:pBdr>
        <w:ind w:left="-566" w:right="-1417"/>
        <w:rPr>
          <w:rFonts w:ascii="Palatino Linotype" w:eastAsia="Palatino Linotype" w:hAnsi="Palatino Linotype" w:cs="Palatino Linotype"/>
          <w:color w:val="000000"/>
        </w:rPr>
      </w:pPr>
    </w:p>
    <w:p w:rsidR="00925CFF" w:rsidRPr="008721F3" w:rsidRDefault="002A18F9">
      <w:pPr>
        <w:numPr>
          <w:ilvl w:val="0"/>
          <w:numId w:val="12"/>
        </w:numP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Por lo que hace a las requisiciones se debe de mencionar que es el documento que realiza el Ayuntamiento de Tlalnepantla de Baz por medio de la Dirección de Administración, mediante el cual se requiere al proveedor los bienes o servicios contratados para que esta a su vez los entregue al área solicitado que en el caso en particular sería la Presidencia Municipal, dicho documento forma parte del expediente aperturado para cada adquisición o servicio contratado, situación por la cual se colige que el </w:t>
      </w:r>
      <w:r w:rsidRPr="008721F3">
        <w:rPr>
          <w:rFonts w:ascii="Palatino Linotype" w:eastAsia="Palatino Linotype" w:hAnsi="Palatino Linotype" w:cs="Palatino Linotype"/>
          <w:b/>
          <w:color w:val="000000"/>
        </w:rPr>
        <w:t xml:space="preserve">SUJETO OBLIGADO </w:t>
      </w:r>
      <w:r w:rsidR="00B85104" w:rsidRPr="008721F3">
        <w:rPr>
          <w:rFonts w:ascii="Palatino Linotype" w:eastAsia="Palatino Linotype" w:hAnsi="Palatino Linotype" w:cs="Palatino Linotype"/>
          <w:color w:val="000000"/>
        </w:rPr>
        <w:t xml:space="preserve">al haber reservado la información es que asume contar con ella, por lo que se deberá </w:t>
      </w:r>
      <w:r w:rsidRPr="008721F3">
        <w:rPr>
          <w:rFonts w:ascii="Palatino Linotype" w:eastAsia="Palatino Linotype" w:hAnsi="Palatino Linotype" w:cs="Palatino Linotype"/>
          <w:color w:val="000000"/>
        </w:rPr>
        <w:t xml:space="preserve">de entregar el documento de requisición. </w:t>
      </w:r>
    </w:p>
    <w:p w:rsidR="00925CFF" w:rsidRPr="008721F3" w:rsidRDefault="00925CFF">
      <w:pPr>
        <w:spacing w:line="360" w:lineRule="auto"/>
        <w:ind w:left="-566" w:right="-1417"/>
        <w:jc w:val="both"/>
        <w:rPr>
          <w:color w:val="000000"/>
        </w:rPr>
      </w:pPr>
    </w:p>
    <w:p w:rsidR="00925CFF" w:rsidRPr="008721F3" w:rsidRDefault="002A18F9">
      <w:pPr>
        <w:numPr>
          <w:ilvl w:val="0"/>
          <w:numId w:val="12"/>
        </w:numPr>
        <w:spacing w:line="360" w:lineRule="auto"/>
        <w:ind w:left="-566" w:right="-1417" w:firstLine="0"/>
        <w:jc w:val="both"/>
        <w:rPr>
          <w:rFonts w:ascii="Palatino Linotype" w:eastAsia="Palatino Linotype" w:hAnsi="Palatino Linotype" w:cs="Palatino Linotype"/>
          <w:color w:val="000000"/>
        </w:rPr>
      </w:pPr>
      <w:r w:rsidRPr="008721F3">
        <w:rPr>
          <w:rFonts w:ascii="Palatino Linotype" w:eastAsia="Palatino Linotype" w:hAnsi="Palatino Linotype" w:cs="Palatino Linotype"/>
          <w:color w:val="000000"/>
        </w:rPr>
        <w:t xml:space="preserve"> Por cuanto hace a la suficiencia presupuestal  para la contratación de proveedores se debe de señalar que de acuerdo con el Reglamento Interno de la Administración Pública Municipal de Tlalnepantla de Baz, la Dirección de Administración de conformidad con el artículo 210 fracción X, es quien verifica previamente cuenten con la suficiencia presupuestal para la contratación de bienes y servicios</w:t>
      </w:r>
      <w:r w:rsidR="008A184E" w:rsidRPr="008721F3">
        <w:rPr>
          <w:rFonts w:ascii="Palatino Linotype" w:eastAsia="Palatino Linotype" w:hAnsi="Palatino Linotype" w:cs="Palatino Linotype"/>
          <w:color w:val="000000"/>
        </w:rPr>
        <w:t>, por lo que al haber reservado la información</w:t>
      </w:r>
      <w:r w:rsidRPr="008721F3">
        <w:rPr>
          <w:rFonts w:ascii="Palatino Linotype" w:eastAsia="Palatino Linotype" w:hAnsi="Palatino Linotype" w:cs="Palatino Linotype"/>
          <w:color w:val="000000"/>
        </w:rPr>
        <w:t xml:space="preserve">, la Dirección de Administración es el área habilitada para conocer de la suficiencia presupuestal para la contratación de los servicios referidos en la solicitud de información. </w:t>
      </w:r>
    </w:p>
    <w:p w:rsidR="00925CFF" w:rsidRPr="008721F3" w:rsidRDefault="00925CFF">
      <w:pPr>
        <w:spacing w:line="360" w:lineRule="auto"/>
        <w:ind w:left="-566" w:right="-1417"/>
        <w:jc w:val="both"/>
      </w:pPr>
    </w:p>
    <w:p w:rsidR="00925CFF" w:rsidRPr="008721F3" w:rsidRDefault="00925CFF">
      <w:pPr>
        <w:ind w:left="-566" w:right="-1417"/>
        <w:rPr>
          <w:rFonts w:ascii="Palatino Linotype" w:eastAsia="Palatino Linotype" w:hAnsi="Palatino Linotype" w:cs="Palatino Linotype"/>
          <w:color w:val="FF0000"/>
        </w:rPr>
      </w:pPr>
    </w:p>
    <w:p w:rsidR="00925CFF" w:rsidRPr="008721F3" w:rsidRDefault="002A18F9">
      <w:pPr>
        <w:keepNext/>
        <w:keepLines/>
        <w:spacing w:after="160" w:line="360" w:lineRule="auto"/>
        <w:ind w:left="-566" w:right="-1417"/>
        <w:rPr>
          <w:rFonts w:ascii="Palatino Linotype" w:eastAsia="Palatino Linotype" w:hAnsi="Palatino Linotype" w:cs="Palatino Linotype"/>
          <w:b/>
          <w:color w:val="000000"/>
        </w:rPr>
      </w:pPr>
      <w:r w:rsidRPr="008721F3">
        <w:rPr>
          <w:rFonts w:ascii="Palatino Linotype" w:eastAsia="Palatino Linotype" w:hAnsi="Palatino Linotype" w:cs="Palatino Linotype"/>
          <w:b/>
          <w:color w:val="000000"/>
        </w:rPr>
        <w:t>QUINTO. De la versión pública.</w:t>
      </w:r>
    </w:p>
    <w:p w:rsidR="00925CFF" w:rsidRPr="008721F3" w:rsidRDefault="002A18F9">
      <w:pPr>
        <w:keepNext/>
        <w:keepLines/>
        <w:numPr>
          <w:ilvl w:val="0"/>
          <w:numId w:val="14"/>
        </w:numPr>
        <w:tabs>
          <w:tab w:val="left" w:pos="284"/>
        </w:tabs>
        <w:spacing w:after="160" w:line="360" w:lineRule="auto"/>
        <w:ind w:left="-566" w:right="-1417" w:firstLine="0"/>
        <w:rPr>
          <w:rFonts w:ascii="Palatino Linotype" w:eastAsia="Palatino Linotype" w:hAnsi="Palatino Linotype" w:cs="Palatino Linotype"/>
          <w:b/>
          <w:color w:val="000000"/>
        </w:rPr>
      </w:pPr>
      <w:r w:rsidRPr="008721F3">
        <w:rPr>
          <w:rFonts w:ascii="Palatino Linotype" w:eastAsia="Palatino Linotype" w:hAnsi="Palatino Linotype" w:cs="Palatino Linotype"/>
          <w:b/>
          <w:color w:val="000000"/>
        </w:rPr>
        <w:t xml:space="preserve">Nociones generales. </w:t>
      </w:r>
    </w:p>
    <w:p w:rsidR="00925CFF" w:rsidRPr="008721F3" w:rsidRDefault="002A18F9">
      <w:pPr>
        <w:numPr>
          <w:ilvl w:val="0"/>
          <w:numId w:val="12"/>
        </w:numPr>
        <w:spacing w:line="360" w:lineRule="auto"/>
        <w:ind w:left="-566" w:right="-1417" w:firstLine="0"/>
        <w:jc w:val="both"/>
        <w:rPr>
          <w:color w:val="000000"/>
        </w:rPr>
      </w:pPr>
      <w:r w:rsidRPr="008721F3">
        <w:rPr>
          <w:rFonts w:ascii="Palatino Linotype" w:eastAsia="Palatino Linotype" w:hAnsi="Palatino Linotype" w:cs="Palatino Linotype"/>
          <w:color w:val="000000"/>
        </w:rPr>
        <w:t xml:space="preserve">Debe </w:t>
      </w:r>
      <w:r w:rsidRPr="008721F3">
        <w:rPr>
          <w:rFonts w:ascii="Palatino Linotype" w:eastAsia="Palatino Linotype" w:hAnsi="Palatino Linotype" w:cs="Palatino Linotype"/>
        </w:rPr>
        <w:t>destacarse</w:t>
      </w:r>
      <w:r w:rsidRPr="008721F3">
        <w:rPr>
          <w:rFonts w:ascii="Palatino Linotype" w:eastAsia="Palatino Linotype" w:hAnsi="Palatino Linotype" w:cs="Palatino Linotype"/>
          <w:color w:val="000000"/>
        </w:rPr>
        <w:t xml:space="preserve">, que debido a la información solicitada por el </w:t>
      </w:r>
      <w:r w:rsidRPr="008721F3">
        <w:rPr>
          <w:rFonts w:ascii="Palatino Linotype" w:eastAsia="Palatino Linotype" w:hAnsi="Palatino Linotype" w:cs="Palatino Linotype"/>
          <w:b/>
          <w:color w:val="000000"/>
        </w:rPr>
        <w:t xml:space="preserve">RECURRENTE, pueden obrar </w:t>
      </w:r>
      <w:r w:rsidRPr="008721F3">
        <w:rPr>
          <w:rFonts w:ascii="Palatino Linotype" w:eastAsia="Palatino Linotype" w:hAnsi="Palatino Linotype" w:cs="Palatino Linotype"/>
          <w:color w:val="000000"/>
        </w:rPr>
        <w:t xml:space="preserve">datos personales susceptibles de protegerse, así como información susceptible de clasificarse como confidenciales,  por lo que el </w:t>
      </w:r>
      <w:r w:rsidRPr="008721F3">
        <w:rPr>
          <w:rFonts w:ascii="Palatino Linotype" w:eastAsia="Palatino Linotype" w:hAnsi="Palatino Linotype" w:cs="Palatino Linotype"/>
          <w:b/>
          <w:color w:val="000000"/>
        </w:rPr>
        <w:t xml:space="preserve">SUJETO OBLIGADO </w:t>
      </w:r>
      <w:r w:rsidRPr="008721F3">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925CFF" w:rsidRPr="008721F3" w:rsidRDefault="00925CFF">
      <w:pPr>
        <w:tabs>
          <w:tab w:val="left" w:pos="0"/>
          <w:tab w:val="left" w:pos="284"/>
        </w:tabs>
        <w:spacing w:line="360" w:lineRule="auto"/>
        <w:ind w:left="-566" w:right="-1417"/>
        <w:jc w:val="both"/>
        <w:rPr>
          <w:rFonts w:ascii="Palatino Linotype" w:eastAsia="Palatino Linotype" w:hAnsi="Palatino Linotype" w:cs="Palatino Linotype"/>
        </w:rPr>
      </w:pPr>
    </w:p>
    <w:p w:rsidR="00925CFF" w:rsidRPr="008721F3" w:rsidRDefault="002A18F9">
      <w:pPr>
        <w:numPr>
          <w:ilvl w:val="0"/>
          <w:numId w:val="12"/>
        </w:numPr>
        <w:spacing w:line="360" w:lineRule="auto"/>
        <w:ind w:left="-566" w:right="-1417" w:firstLine="0"/>
        <w:jc w:val="both"/>
        <w:rPr>
          <w:color w:val="000000"/>
        </w:rPr>
      </w:pPr>
      <w:r w:rsidRPr="008721F3">
        <w:rPr>
          <w:rFonts w:ascii="Palatino Linotype" w:eastAsia="Palatino Linotype" w:hAnsi="Palatino Linotype" w:cs="Palatino Linotype"/>
          <w:color w:val="000000"/>
        </w:rPr>
        <w:t>No pasa desapercibido para este Órgano Garante que los sujetos obligados</w:t>
      </w:r>
      <w:r w:rsidRPr="008721F3">
        <w:rPr>
          <w:rFonts w:ascii="Palatino Linotype" w:eastAsia="Palatino Linotype" w:hAnsi="Palatino Linotype" w:cs="Palatino Linotype"/>
          <w:b/>
          <w:color w:val="000000"/>
        </w:rPr>
        <w:t xml:space="preserve"> </w:t>
      </w:r>
      <w:r w:rsidRPr="008721F3">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925CFF" w:rsidRPr="008721F3" w:rsidRDefault="00925CFF">
      <w:pPr>
        <w:tabs>
          <w:tab w:val="left" w:pos="284"/>
        </w:tabs>
        <w:spacing w:after="160" w:line="360" w:lineRule="auto"/>
        <w:ind w:left="-566" w:right="-1417"/>
        <w:jc w:val="both"/>
        <w:rPr>
          <w:rFonts w:ascii="Palatino Linotype" w:eastAsia="Palatino Linotype" w:hAnsi="Palatino Linotype" w:cs="Palatino Linotype"/>
          <w:color w:val="000000"/>
        </w:rPr>
      </w:pPr>
    </w:p>
    <w:tbl>
      <w:tblPr>
        <w:tblStyle w:val="a"/>
        <w:tblW w:w="9904" w:type="dxa"/>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94"/>
        <w:gridCol w:w="6810"/>
      </w:tblGrid>
      <w:tr w:rsidR="00925CFF" w:rsidRPr="008721F3" w:rsidTr="008721F3">
        <w:tc>
          <w:tcPr>
            <w:tcW w:w="3094" w:type="dxa"/>
          </w:tcPr>
          <w:p w:rsidR="00925CFF" w:rsidRPr="008721F3" w:rsidRDefault="002A18F9" w:rsidP="008721F3">
            <w:pPr>
              <w:tabs>
                <w:tab w:val="left" w:pos="284"/>
              </w:tabs>
              <w:spacing w:line="360" w:lineRule="auto"/>
              <w:ind w:left="-566" w:right="13" w:firstLine="735"/>
              <w:rPr>
                <w:rFonts w:ascii="Palatino Linotype" w:eastAsia="Palatino Linotype" w:hAnsi="Palatino Linotype" w:cs="Palatino Linotype"/>
                <w:sz w:val="22"/>
                <w:szCs w:val="22"/>
              </w:rPr>
            </w:pPr>
            <w:r w:rsidRPr="008721F3">
              <w:rPr>
                <w:rFonts w:ascii="Palatino Linotype" w:eastAsia="Palatino Linotype" w:hAnsi="Palatino Linotype" w:cs="Palatino Linotype"/>
                <w:sz w:val="22"/>
                <w:szCs w:val="22"/>
              </w:rPr>
              <w:t>a) Requisitos previos.</w:t>
            </w:r>
          </w:p>
        </w:tc>
        <w:tc>
          <w:tcPr>
            <w:tcW w:w="6810" w:type="dxa"/>
          </w:tcPr>
          <w:p w:rsidR="00925CFF" w:rsidRPr="008721F3" w:rsidRDefault="002A18F9" w:rsidP="008721F3">
            <w:pPr>
              <w:tabs>
                <w:tab w:val="left" w:pos="284"/>
              </w:tabs>
              <w:spacing w:line="360" w:lineRule="auto"/>
              <w:ind w:left="194" w:right="13"/>
              <w:jc w:val="both"/>
              <w:rPr>
                <w:rFonts w:ascii="Palatino Linotype" w:eastAsia="Palatino Linotype" w:hAnsi="Palatino Linotype" w:cs="Palatino Linotype"/>
                <w:color w:val="000000"/>
                <w:sz w:val="22"/>
                <w:szCs w:val="22"/>
              </w:rPr>
            </w:pPr>
            <w:r w:rsidRPr="008721F3">
              <w:rPr>
                <w:rFonts w:ascii="Palatino Linotype" w:eastAsia="Palatino Linotype" w:hAnsi="Palatino Linotype" w:cs="Palatino Linotype"/>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925CFF" w:rsidRPr="008721F3" w:rsidRDefault="002A18F9" w:rsidP="008721F3">
            <w:pPr>
              <w:tabs>
                <w:tab w:val="left" w:pos="284"/>
              </w:tabs>
              <w:spacing w:line="360" w:lineRule="auto"/>
              <w:ind w:left="194" w:right="13"/>
              <w:jc w:val="both"/>
              <w:rPr>
                <w:rFonts w:ascii="Palatino Linotype" w:eastAsia="Palatino Linotype" w:hAnsi="Palatino Linotype" w:cs="Palatino Linotype"/>
                <w:color w:val="000000"/>
                <w:sz w:val="22"/>
                <w:szCs w:val="22"/>
              </w:rPr>
            </w:pPr>
            <w:r w:rsidRPr="008721F3">
              <w:rPr>
                <w:rFonts w:ascii="Palatino Linotype" w:eastAsia="Palatino Linotype" w:hAnsi="Palatino Linotype" w:cs="Palatino Linotype"/>
                <w:color w:val="000000"/>
                <w:sz w:val="22"/>
                <w:szCs w:val="22"/>
              </w:rPr>
              <w:t>Al hacerlo tienen que precisar de qué información se trata, señalando el supuesto de clasificación (confidencialidad o reserva).</w:t>
            </w:r>
          </w:p>
          <w:p w:rsidR="00925CFF" w:rsidRPr="008721F3" w:rsidRDefault="002A18F9" w:rsidP="008721F3">
            <w:pPr>
              <w:tabs>
                <w:tab w:val="left" w:pos="284"/>
              </w:tabs>
              <w:spacing w:line="360" w:lineRule="auto"/>
              <w:ind w:left="194" w:right="13"/>
              <w:jc w:val="both"/>
              <w:rPr>
                <w:rFonts w:ascii="Palatino Linotype" w:eastAsia="Palatino Linotype" w:hAnsi="Palatino Linotype" w:cs="Palatino Linotype"/>
                <w:color w:val="000000"/>
                <w:sz w:val="22"/>
                <w:szCs w:val="22"/>
              </w:rPr>
            </w:pPr>
            <w:r w:rsidRPr="008721F3">
              <w:rPr>
                <w:rFonts w:ascii="Palatino Linotype" w:eastAsia="Palatino Linotype" w:hAnsi="Palatino Linotype" w:cs="Palatino Linotype"/>
                <w:color w:val="000000"/>
                <w:sz w:val="22"/>
                <w:szCs w:val="22"/>
              </w:rPr>
              <w:lastRenderedPageBreak/>
              <w:t>Además, se debe señalar el procedimiento, de los tres que establecen los artículos 132 y 106 de la Ley Estatal y General, respectivamente.</w:t>
            </w:r>
          </w:p>
          <w:p w:rsidR="00925CFF" w:rsidRPr="008721F3" w:rsidRDefault="002A18F9" w:rsidP="008721F3">
            <w:pPr>
              <w:tabs>
                <w:tab w:val="left" w:pos="284"/>
              </w:tabs>
              <w:spacing w:line="360" w:lineRule="auto"/>
              <w:ind w:left="194" w:right="13"/>
              <w:jc w:val="both"/>
              <w:rPr>
                <w:rFonts w:ascii="Palatino Linotype" w:eastAsia="Palatino Linotype" w:hAnsi="Palatino Linotype" w:cs="Palatino Linotype"/>
                <w:sz w:val="22"/>
                <w:szCs w:val="22"/>
              </w:rPr>
            </w:pPr>
            <w:r w:rsidRPr="008721F3">
              <w:rPr>
                <w:rFonts w:ascii="Palatino Linotype" w:eastAsia="Palatino Linotype" w:hAnsi="Palatino Linotype" w:cs="Palatino Linotype"/>
                <w:color w:val="000000"/>
                <w:sz w:val="22"/>
                <w:szCs w:val="22"/>
              </w:rPr>
              <w:t xml:space="preserve">El último de estos requisitos previos consiste en que no se pueden emitir acuerdos de carácter general ni particular, esto es, </w:t>
            </w:r>
            <w:r w:rsidRPr="008721F3">
              <w:rPr>
                <w:rFonts w:ascii="Palatino Linotype" w:eastAsia="Palatino Linotype" w:hAnsi="Palatino Linotype" w:cs="Palatino Linotype"/>
                <w:color w:val="000000"/>
                <w:sz w:val="22"/>
                <w:szCs w:val="22"/>
                <w:u w:val="single"/>
              </w:rPr>
              <w:t>no se puede hacer un acuerdo para clasificar de manera general todos los documentos de un expediente o área, sin</w:t>
            </w:r>
            <w:r w:rsidRPr="008721F3">
              <w:rPr>
                <w:rFonts w:ascii="Palatino Linotype" w:eastAsia="Palatino Linotype" w:hAnsi="Palatino Linotype" w:cs="Palatino Linotype"/>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925CFF" w:rsidRPr="008721F3" w:rsidTr="008721F3">
        <w:tc>
          <w:tcPr>
            <w:tcW w:w="3094" w:type="dxa"/>
          </w:tcPr>
          <w:p w:rsidR="00925CFF" w:rsidRPr="008721F3" w:rsidRDefault="002A18F9" w:rsidP="008721F3">
            <w:pPr>
              <w:tabs>
                <w:tab w:val="left" w:pos="284"/>
              </w:tabs>
              <w:spacing w:line="360" w:lineRule="auto"/>
              <w:ind w:left="169" w:right="13"/>
              <w:rPr>
                <w:rFonts w:ascii="Palatino Linotype" w:eastAsia="Palatino Linotype" w:hAnsi="Palatino Linotype" w:cs="Palatino Linotype"/>
                <w:sz w:val="22"/>
                <w:szCs w:val="22"/>
              </w:rPr>
            </w:pPr>
            <w:r w:rsidRPr="008721F3">
              <w:rPr>
                <w:rFonts w:ascii="Palatino Linotype" w:eastAsia="Palatino Linotype" w:hAnsi="Palatino Linotype" w:cs="Palatino Linotype"/>
                <w:sz w:val="22"/>
                <w:szCs w:val="22"/>
              </w:rPr>
              <w:lastRenderedPageBreak/>
              <w:t>b) Supuestos de clasificación.</w:t>
            </w:r>
          </w:p>
        </w:tc>
        <w:tc>
          <w:tcPr>
            <w:tcW w:w="6810" w:type="dxa"/>
          </w:tcPr>
          <w:p w:rsidR="00925CFF" w:rsidRPr="008721F3" w:rsidRDefault="002A18F9" w:rsidP="008721F3">
            <w:pPr>
              <w:tabs>
                <w:tab w:val="left" w:pos="284"/>
              </w:tabs>
              <w:spacing w:line="360" w:lineRule="auto"/>
              <w:ind w:left="194" w:right="13"/>
              <w:jc w:val="both"/>
              <w:rPr>
                <w:rFonts w:ascii="Palatino Linotype" w:eastAsia="Palatino Linotype" w:hAnsi="Palatino Linotype" w:cs="Palatino Linotype"/>
                <w:color w:val="000000"/>
                <w:sz w:val="22"/>
                <w:szCs w:val="22"/>
              </w:rPr>
            </w:pPr>
            <w:r w:rsidRPr="008721F3">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925CFF" w:rsidRPr="008721F3" w:rsidRDefault="002A18F9" w:rsidP="008721F3">
            <w:pPr>
              <w:tabs>
                <w:tab w:val="left" w:pos="284"/>
              </w:tabs>
              <w:spacing w:line="360" w:lineRule="auto"/>
              <w:ind w:left="194" w:right="13"/>
              <w:jc w:val="both"/>
              <w:rPr>
                <w:rFonts w:ascii="Palatino Linotype" w:eastAsia="Palatino Linotype" w:hAnsi="Palatino Linotype" w:cs="Palatino Linotype"/>
                <w:color w:val="000000"/>
                <w:sz w:val="22"/>
                <w:szCs w:val="22"/>
              </w:rPr>
            </w:pPr>
            <w:r w:rsidRPr="008721F3">
              <w:rPr>
                <w:rFonts w:ascii="Palatino Linotype" w:eastAsia="Palatino Linotype" w:hAnsi="Palatino Linotype" w:cs="Palatino Linotype"/>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925CFF" w:rsidRPr="008721F3" w:rsidRDefault="002A18F9" w:rsidP="008721F3">
            <w:pPr>
              <w:tabs>
                <w:tab w:val="left" w:pos="284"/>
              </w:tabs>
              <w:spacing w:line="360" w:lineRule="auto"/>
              <w:ind w:left="194" w:right="13"/>
              <w:jc w:val="both"/>
              <w:rPr>
                <w:rFonts w:ascii="Palatino Linotype" w:eastAsia="Palatino Linotype" w:hAnsi="Palatino Linotype" w:cs="Palatino Linotype"/>
                <w:sz w:val="22"/>
                <w:szCs w:val="22"/>
              </w:rPr>
            </w:pPr>
            <w:r w:rsidRPr="008721F3">
              <w:rPr>
                <w:rFonts w:ascii="Palatino Linotype" w:eastAsia="Palatino Linotype" w:hAnsi="Palatino Linotype" w:cs="Palatino Linotype"/>
                <w:color w:val="000000"/>
                <w:sz w:val="22"/>
                <w:szCs w:val="22"/>
              </w:rPr>
              <w:t xml:space="preserve">El </w:t>
            </w:r>
            <w:r w:rsidRPr="008721F3">
              <w:rPr>
                <w:rFonts w:ascii="Palatino Linotype" w:eastAsia="Palatino Linotype" w:hAnsi="Palatino Linotype" w:cs="Palatino Linotype"/>
                <w:b/>
                <w:color w:val="000000"/>
                <w:sz w:val="22"/>
                <w:szCs w:val="22"/>
              </w:rPr>
              <w:t>Sujeto Obligado</w:t>
            </w:r>
            <w:r w:rsidRPr="008721F3">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w:t>
            </w:r>
            <w:r w:rsidRPr="008721F3">
              <w:rPr>
                <w:rFonts w:ascii="Palatino Linotype" w:eastAsia="Palatino Linotype" w:hAnsi="Palatino Linotype" w:cs="Palatino Linotype"/>
                <w:color w:val="000000"/>
                <w:sz w:val="22"/>
                <w:szCs w:val="22"/>
              </w:rPr>
              <w:lastRenderedPageBreak/>
              <w:t>la hipótesis jurídica. Esto también lo debe de realizar el servidor público habilitado y el titular del área que administra la información.</w:t>
            </w:r>
          </w:p>
        </w:tc>
      </w:tr>
      <w:tr w:rsidR="00925CFF" w:rsidRPr="008721F3" w:rsidTr="008721F3">
        <w:tc>
          <w:tcPr>
            <w:tcW w:w="3094" w:type="dxa"/>
          </w:tcPr>
          <w:p w:rsidR="00925CFF" w:rsidRPr="008721F3" w:rsidRDefault="002A18F9" w:rsidP="008721F3">
            <w:pPr>
              <w:tabs>
                <w:tab w:val="left" w:pos="284"/>
              </w:tabs>
              <w:spacing w:line="360" w:lineRule="auto"/>
              <w:ind w:left="169" w:right="13"/>
              <w:rPr>
                <w:rFonts w:ascii="Palatino Linotype" w:eastAsia="Palatino Linotype" w:hAnsi="Palatino Linotype" w:cs="Palatino Linotype"/>
                <w:sz w:val="22"/>
                <w:szCs w:val="22"/>
              </w:rPr>
            </w:pPr>
            <w:r w:rsidRPr="008721F3">
              <w:rPr>
                <w:rFonts w:ascii="Palatino Linotype" w:eastAsia="Palatino Linotype" w:hAnsi="Palatino Linotype" w:cs="Palatino Linotype"/>
                <w:sz w:val="22"/>
                <w:szCs w:val="22"/>
              </w:rPr>
              <w:lastRenderedPageBreak/>
              <w:t>c) Formalidades para emitir el acuerdo de clasificación.</w:t>
            </w:r>
          </w:p>
        </w:tc>
        <w:tc>
          <w:tcPr>
            <w:tcW w:w="6810" w:type="dxa"/>
          </w:tcPr>
          <w:p w:rsidR="00925CFF" w:rsidRPr="008721F3" w:rsidRDefault="002A18F9" w:rsidP="008721F3">
            <w:pPr>
              <w:tabs>
                <w:tab w:val="left" w:pos="284"/>
              </w:tabs>
              <w:spacing w:line="360" w:lineRule="auto"/>
              <w:ind w:left="194" w:right="13"/>
              <w:jc w:val="both"/>
              <w:rPr>
                <w:rFonts w:ascii="Palatino Linotype" w:eastAsia="Palatino Linotype" w:hAnsi="Palatino Linotype" w:cs="Palatino Linotype"/>
                <w:color w:val="000000"/>
                <w:sz w:val="22"/>
                <w:szCs w:val="22"/>
              </w:rPr>
            </w:pPr>
            <w:r w:rsidRPr="008721F3">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925CFF" w:rsidRPr="008721F3" w:rsidRDefault="002A18F9" w:rsidP="008721F3">
            <w:pPr>
              <w:tabs>
                <w:tab w:val="left" w:pos="284"/>
              </w:tabs>
              <w:spacing w:line="360" w:lineRule="auto"/>
              <w:ind w:left="194" w:right="13"/>
              <w:jc w:val="both"/>
              <w:rPr>
                <w:rFonts w:ascii="Palatino Linotype" w:eastAsia="Palatino Linotype" w:hAnsi="Palatino Linotype" w:cs="Palatino Linotype"/>
                <w:color w:val="000000"/>
                <w:sz w:val="22"/>
                <w:szCs w:val="22"/>
              </w:rPr>
            </w:pPr>
            <w:r w:rsidRPr="008721F3">
              <w:rPr>
                <w:rFonts w:ascii="Palatino Linotype" w:eastAsia="Palatino Linotype" w:hAnsi="Palatino Linotype" w:cs="Palatino Linotype"/>
                <w:color w:val="000000"/>
                <w:sz w:val="22"/>
                <w:szCs w:val="22"/>
              </w:rPr>
              <w:t xml:space="preserve">Es necesario que </w:t>
            </w:r>
            <w:r w:rsidRPr="008721F3">
              <w:rPr>
                <w:rFonts w:ascii="Palatino Linotype" w:eastAsia="Palatino Linotype" w:hAnsi="Palatino Linotype" w:cs="Palatino Linotype"/>
                <w:b/>
                <w:color w:val="000000"/>
                <w:sz w:val="22"/>
                <w:szCs w:val="22"/>
                <w:u w:val="single"/>
              </w:rPr>
              <w:t>el acto reúna con los requisitos elementales</w:t>
            </w:r>
            <w:r w:rsidRPr="008721F3">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925CFF" w:rsidRPr="008721F3" w:rsidRDefault="002A18F9" w:rsidP="008721F3">
            <w:pPr>
              <w:tabs>
                <w:tab w:val="left" w:pos="284"/>
              </w:tabs>
              <w:spacing w:line="360" w:lineRule="auto"/>
              <w:ind w:left="194" w:right="13"/>
              <w:jc w:val="both"/>
              <w:rPr>
                <w:rFonts w:ascii="Palatino Linotype" w:eastAsia="Palatino Linotype" w:hAnsi="Palatino Linotype" w:cs="Palatino Linotype"/>
                <w:sz w:val="22"/>
                <w:szCs w:val="22"/>
              </w:rPr>
            </w:pPr>
            <w:r w:rsidRPr="008721F3">
              <w:rPr>
                <w:rFonts w:ascii="Palatino Linotype" w:eastAsia="Palatino Linotype" w:hAnsi="Palatino Linotype" w:cs="Palatino Linotype"/>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el Titular del I. </w:t>
            </w:r>
            <w:r w:rsidRPr="008721F3">
              <w:rPr>
                <w:rFonts w:ascii="Palatino Linotype" w:eastAsia="Palatino Linotype" w:hAnsi="Palatino Linotype" w:cs="Palatino Linotype"/>
                <w:sz w:val="22"/>
                <w:szCs w:val="22"/>
              </w:rPr>
              <w:t>El área</w:t>
            </w:r>
            <w:r w:rsidRPr="008721F3">
              <w:rPr>
                <w:rFonts w:ascii="Palatino Linotype" w:eastAsia="Palatino Linotype" w:hAnsi="Palatino Linotype" w:cs="Palatino Linotype"/>
                <w:color w:val="000000"/>
                <w:sz w:val="22"/>
                <w:szCs w:val="22"/>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25CFF" w:rsidRPr="008721F3" w:rsidTr="008721F3">
        <w:tc>
          <w:tcPr>
            <w:tcW w:w="3094" w:type="dxa"/>
          </w:tcPr>
          <w:p w:rsidR="00925CFF" w:rsidRPr="008721F3" w:rsidRDefault="00925CFF">
            <w:pPr>
              <w:tabs>
                <w:tab w:val="left" w:pos="284"/>
              </w:tabs>
              <w:spacing w:line="360" w:lineRule="auto"/>
              <w:ind w:left="-566" w:right="13"/>
              <w:rPr>
                <w:rFonts w:ascii="Palatino Linotype" w:eastAsia="Palatino Linotype" w:hAnsi="Palatino Linotype" w:cs="Palatino Linotype"/>
                <w:sz w:val="22"/>
                <w:szCs w:val="22"/>
              </w:rPr>
            </w:pPr>
          </w:p>
          <w:p w:rsidR="00925CFF" w:rsidRPr="008721F3" w:rsidRDefault="002A18F9" w:rsidP="008721F3">
            <w:pPr>
              <w:tabs>
                <w:tab w:val="left" w:pos="284"/>
              </w:tabs>
              <w:spacing w:line="360" w:lineRule="auto"/>
              <w:ind w:left="27" w:right="13"/>
              <w:jc w:val="both"/>
              <w:rPr>
                <w:rFonts w:ascii="Palatino Linotype" w:eastAsia="Palatino Linotype" w:hAnsi="Palatino Linotype" w:cs="Palatino Linotype"/>
                <w:sz w:val="22"/>
                <w:szCs w:val="22"/>
              </w:rPr>
            </w:pPr>
            <w:r w:rsidRPr="008721F3">
              <w:rPr>
                <w:rFonts w:ascii="Palatino Linotype" w:eastAsia="Palatino Linotype" w:hAnsi="Palatino Linotype" w:cs="Palatino Linotype"/>
                <w:color w:val="000000"/>
                <w:sz w:val="22"/>
                <w:szCs w:val="22"/>
              </w:rPr>
              <w:t xml:space="preserve">d) Requisitos de fondo del acuerdo de clasificación. </w:t>
            </w:r>
          </w:p>
        </w:tc>
        <w:tc>
          <w:tcPr>
            <w:tcW w:w="6810" w:type="dxa"/>
          </w:tcPr>
          <w:p w:rsidR="00925CFF" w:rsidRPr="008721F3" w:rsidRDefault="002A18F9" w:rsidP="008721F3">
            <w:pPr>
              <w:tabs>
                <w:tab w:val="left" w:pos="284"/>
              </w:tabs>
              <w:spacing w:line="360" w:lineRule="auto"/>
              <w:ind w:left="194" w:right="13"/>
              <w:jc w:val="both"/>
              <w:rPr>
                <w:rFonts w:ascii="Palatino Linotype" w:eastAsia="Palatino Linotype" w:hAnsi="Palatino Linotype" w:cs="Palatino Linotype"/>
                <w:color w:val="000000"/>
                <w:sz w:val="22"/>
                <w:szCs w:val="22"/>
              </w:rPr>
            </w:pPr>
            <w:r w:rsidRPr="008721F3">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721F3">
              <w:rPr>
                <w:rFonts w:ascii="Palatino Linotype" w:eastAsia="Palatino Linotype" w:hAnsi="Palatino Linotype" w:cs="Palatino Linotype"/>
                <w:b/>
                <w:color w:val="000000"/>
                <w:sz w:val="22"/>
                <w:szCs w:val="22"/>
              </w:rPr>
              <w:t>Sujetos Obligados</w:t>
            </w:r>
            <w:r w:rsidRPr="008721F3">
              <w:rPr>
                <w:rFonts w:ascii="Palatino Linotype" w:eastAsia="Palatino Linotype" w:hAnsi="Palatino Linotype" w:cs="Palatino Linotype"/>
                <w:color w:val="000000"/>
                <w:sz w:val="22"/>
                <w:szCs w:val="22"/>
              </w:rPr>
              <w:t xml:space="preserve">, por lo que deberán fundar y motivar debidamente la clasificación. </w:t>
            </w:r>
          </w:p>
          <w:p w:rsidR="00925CFF" w:rsidRPr="008721F3" w:rsidRDefault="002A18F9" w:rsidP="008721F3">
            <w:pPr>
              <w:tabs>
                <w:tab w:val="left" w:pos="284"/>
              </w:tabs>
              <w:spacing w:line="360" w:lineRule="auto"/>
              <w:ind w:left="194" w:right="13"/>
              <w:jc w:val="both"/>
              <w:rPr>
                <w:rFonts w:ascii="Palatino Linotype" w:eastAsia="Palatino Linotype" w:hAnsi="Palatino Linotype" w:cs="Palatino Linotype"/>
                <w:color w:val="000000"/>
                <w:sz w:val="22"/>
                <w:szCs w:val="22"/>
              </w:rPr>
            </w:pPr>
            <w:r w:rsidRPr="008721F3">
              <w:rPr>
                <w:rFonts w:ascii="Palatino Linotype" w:eastAsia="Palatino Linotype" w:hAnsi="Palatino Linotype" w:cs="Palatino Linotype"/>
                <w:color w:val="000000"/>
                <w:sz w:val="22"/>
                <w:szCs w:val="22"/>
              </w:rPr>
              <w:lastRenderedPageBreak/>
              <w:t xml:space="preserve">De lo anterior, se desprende que para una correcta </w:t>
            </w:r>
            <w:r w:rsidRPr="008721F3">
              <w:rPr>
                <w:rFonts w:ascii="Palatino Linotype" w:eastAsia="Palatino Linotype" w:hAnsi="Palatino Linotype" w:cs="Palatino Linotype"/>
                <w:b/>
                <w:color w:val="000000"/>
                <w:sz w:val="22"/>
                <w:szCs w:val="22"/>
              </w:rPr>
              <w:t>clasificación total o parcial</w:t>
            </w:r>
            <w:r w:rsidRPr="008721F3">
              <w:rPr>
                <w:rFonts w:ascii="Palatino Linotype" w:eastAsia="Palatino Linotype" w:hAnsi="Palatino Linotype" w:cs="Palatino Linotype"/>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925CFF" w:rsidRPr="008721F3" w:rsidRDefault="002A18F9" w:rsidP="008721F3">
            <w:pPr>
              <w:tabs>
                <w:tab w:val="left" w:pos="284"/>
              </w:tabs>
              <w:spacing w:line="360" w:lineRule="auto"/>
              <w:ind w:left="194" w:right="13"/>
              <w:jc w:val="both"/>
              <w:rPr>
                <w:rFonts w:ascii="Palatino Linotype" w:eastAsia="Palatino Linotype" w:hAnsi="Palatino Linotype" w:cs="Palatino Linotype"/>
                <w:color w:val="000000"/>
                <w:sz w:val="22"/>
                <w:szCs w:val="22"/>
              </w:rPr>
            </w:pPr>
            <w:r w:rsidRPr="008721F3">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925CFF" w:rsidRPr="008721F3" w:rsidRDefault="002A18F9" w:rsidP="008721F3">
            <w:pPr>
              <w:tabs>
                <w:tab w:val="left" w:pos="284"/>
              </w:tabs>
              <w:spacing w:line="360" w:lineRule="auto"/>
              <w:ind w:left="194" w:right="13"/>
              <w:jc w:val="both"/>
              <w:rPr>
                <w:rFonts w:ascii="Palatino Linotype" w:eastAsia="Palatino Linotype" w:hAnsi="Palatino Linotype" w:cs="Palatino Linotype"/>
                <w:color w:val="000000"/>
                <w:sz w:val="22"/>
                <w:szCs w:val="22"/>
              </w:rPr>
            </w:pPr>
            <w:r w:rsidRPr="008721F3">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rsidR="00925CFF" w:rsidRPr="008721F3" w:rsidRDefault="002A18F9" w:rsidP="008721F3">
            <w:pPr>
              <w:tabs>
                <w:tab w:val="left" w:pos="284"/>
              </w:tabs>
              <w:spacing w:line="360" w:lineRule="auto"/>
              <w:ind w:left="194" w:right="13"/>
              <w:jc w:val="both"/>
              <w:rPr>
                <w:rFonts w:ascii="Palatino Linotype" w:eastAsia="Palatino Linotype" w:hAnsi="Palatino Linotype" w:cs="Palatino Linotype"/>
                <w:color w:val="000000"/>
                <w:sz w:val="22"/>
                <w:szCs w:val="22"/>
              </w:rPr>
            </w:pPr>
            <w:r w:rsidRPr="008721F3">
              <w:rPr>
                <w:rFonts w:ascii="Palatino Linotype" w:eastAsia="Palatino Linotype" w:hAnsi="Palatino Linotype" w:cs="Palatino Linotype"/>
                <w:color w:val="000000"/>
                <w:sz w:val="22"/>
                <w:szCs w:val="22"/>
              </w:rPr>
              <w:t xml:space="preserve">Ahora bien, </w:t>
            </w:r>
            <w:r w:rsidRPr="008721F3">
              <w:rPr>
                <w:rFonts w:ascii="Palatino Linotype" w:eastAsia="Palatino Linotype" w:hAnsi="Palatino Linotype" w:cs="Palatino Linotype"/>
                <w:b/>
                <w:color w:val="000000"/>
                <w:sz w:val="22"/>
                <w:szCs w:val="22"/>
                <w:u w:val="single"/>
              </w:rPr>
              <w:t>para cada caso además de fundar y motivar</w:t>
            </w:r>
            <w:r w:rsidRPr="008721F3">
              <w:rPr>
                <w:rFonts w:ascii="Palatino Linotype" w:eastAsia="Palatino Linotype" w:hAnsi="Palatino Linotype" w:cs="Palatino Linotype"/>
                <w:color w:val="000000"/>
                <w:sz w:val="22"/>
                <w:szCs w:val="22"/>
              </w:rPr>
              <w:t xml:space="preserve">, se debe identificar con claridad </w:t>
            </w:r>
            <w:r w:rsidRPr="008721F3">
              <w:rPr>
                <w:rFonts w:ascii="Palatino Linotype" w:eastAsia="Palatino Linotype" w:hAnsi="Palatino Linotype" w:cs="Palatino Linotype"/>
                <w:sz w:val="22"/>
                <w:szCs w:val="22"/>
              </w:rPr>
              <w:t>qué</w:t>
            </w:r>
            <w:r w:rsidRPr="008721F3">
              <w:rPr>
                <w:rFonts w:ascii="Palatino Linotype" w:eastAsia="Palatino Linotype" w:hAnsi="Palatino Linotype" w:cs="Palatino Linotype"/>
                <w:color w:val="000000"/>
                <w:sz w:val="22"/>
                <w:szCs w:val="22"/>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w:t>
            </w:r>
            <w:r w:rsidRPr="008721F3">
              <w:rPr>
                <w:rFonts w:ascii="Palatino Linotype" w:eastAsia="Palatino Linotype" w:hAnsi="Palatino Linotype" w:cs="Palatino Linotype"/>
                <w:color w:val="000000"/>
                <w:sz w:val="22"/>
                <w:szCs w:val="22"/>
              </w:rPr>
              <w:lastRenderedPageBreak/>
              <w:t>comercial, fiscal, bursátil y postal, cuya titularidad corresponda a particulares, entre otros.</w:t>
            </w:r>
          </w:p>
        </w:tc>
      </w:tr>
      <w:tr w:rsidR="00925CFF" w:rsidRPr="008721F3" w:rsidTr="008721F3">
        <w:tc>
          <w:tcPr>
            <w:tcW w:w="3094" w:type="dxa"/>
          </w:tcPr>
          <w:p w:rsidR="00925CFF" w:rsidRPr="008721F3" w:rsidRDefault="002A18F9" w:rsidP="008721F3">
            <w:pPr>
              <w:tabs>
                <w:tab w:val="left" w:pos="284"/>
              </w:tabs>
              <w:spacing w:line="360" w:lineRule="auto"/>
              <w:ind w:left="27" w:right="13" w:hanging="27"/>
              <w:jc w:val="both"/>
              <w:rPr>
                <w:rFonts w:ascii="Palatino Linotype" w:eastAsia="Palatino Linotype" w:hAnsi="Palatino Linotype" w:cs="Palatino Linotype"/>
                <w:sz w:val="22"/>
                <w:szCs w:val="22"/>
              </w:rPr>
            </w:pPr>
            <w:r w:rsidRPr="008721F3">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6810" w:type="dxa"/>
          </w:tcPr>
          <w:p w:rsidR="00925CFF" w:rsidRPr="008721F3" w:rsidRDefault="002A18F9" w:rsidP="008721F3">
            <w:pPr>
              <w:tabs>
                <w:tab w:val="left" w:pos="284"/>
              </w:tabs>
              <w:spacing w:line="360" w:lineRule="auto"/>
              <w:ind w:left="194" w:right="13"/>
              <w:jc w:val="both"/>
              <w:rPr>
                <w:rFonts w:ascii="Palatino Linotype" w:eastAsia="Palatino Linotype" w:hAnsi="Palatino Linotype" w:cs="Palatino Linotype"/>
                <w:color w:val="000000"/>
                <w:sz w:val="22"/>
                <w:szCs w:val="22"/>
              </w:rPr>
            </w:pPr>
            <w:r w:rsidRPr="008721F3">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925CFF" w:rsidRPr="008721F3" w:rsidRDefault="002A18F9" w:rsidP="008721F3">
            <w:pPr>
              <w:tabs>
                <w:tab w:val="left" w:pos="284"/>
              </w:tabs>
              <w:spacing w:line="360" w:lineRule="auto"/>
              <w:ind w:left="194" w:right="13"/>
              <w:jc w:val="both"/>
              <w:rPr>
                <w:rFonts w:ascii="Palatino Linotype" w:eastAsia="Palatino Linotype" w:hAnsi="Palatino Linotype" w:cs="Palatino Linotype"/>
                <w:color w:val="000000"/>
                <w:sz w:val="22"/>
                <w:szCs w:val="22"/>
              </w:rPr>
            </w:pPr>
            <w:r w:rsidRPr="008721F3">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925CFF" w:rsidRPr="008721F3" w:rsidRDefault="002A18F9" w:rsidP="008721F3">
            <w:pPr>
              <w:tabs>
                <w:tab w:val="left" w:pos="284"/>
              </w:tabs>
              <w:spacing w:line="360" w:lineRule="auto"/>
              <w:ind w:left="194" w:right="13"/>
              <w:rPr>
                <w:rFonts w:ascii="Palatino Linotype" w:eastAsia="Palatino Linotype" w:hAnsi="Palatino Linotype" w:cs="Palatino Linotype"/>
                <w:sz w:val="22"/>
                <w:szCs w:val="22"/>
              </w:rPr>
            </w:pPr>
            <w:r w:rsidRPr="008721F3">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925CFF" w:rsidRPr="008721F3" w:rsidRDefault="00925CFF">
      <w:pPr>
        <w:tabs>
          <w:tab w:val="left" w:pos="284"/>
        </w:tabs>
        <w:spacing w:line="360" w:lineRule="auto"/>
        <w:ind w:left="-566" w:right="-1417"/>
        <w:jc w:val="both"/>
        <w:rPr>
          <w:rFonts w:ascii="Palatino Linotype" w:eastAsia="Palatino Linotype" w:hAnsi="Palatino Linotype" w:cs="Palatino Linotype"/>
          <w:color w:val="000000"/>
        </w:rPr>
      </w:pPr>
    </w:p>
    <w:p w:rsidR="00925CFF" w:rsidRPr="008721F3" w:rsidRDefault="002A18F9">
      <w:pPr>
        <w:numPr>
          <w:ilvl w:val="0"/>
          <w:numId w:val="12"/>
        </w:numPr>
        <w:spacing w:line="360" w:lineRule="auto"/>
        <w:ind w:left="-566" w:right="-1417" w:firstLine="0"/>
        <w:jc w:val="both"/>
      </w:pPr>
      <w:r w:rsidRPr="008721F3">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w:t>
      </w:r>
    </w:p>
    <w:p w:rsidR="00925CFF" w:rsidRPr="008721F3" w:rsidRDefault="00925CFF">
      <w:pPr>
        <w:spacing w:line="360" w:lineRule="auto"/>
        <w:ind w:left="-566" w:right="-1417"/>
        <w:jc w:val="both"/>
        <w:rPr>
          <w:rFonts w:ascii="Palatino Linotype" w:eastAsia="Palatino Linotype" w:hAnsi="Palatino Linotype" w:cs="Palatino Linotype"/>
          <w:color w:val="000000"/>
        </w:rPr>
      </w:pPr>
    </w:p>
    <w:p w:rsidR="00925CFF" w:rsidRPr="008721F3" w:rsidRDefault="002A18F9">
      <w:pPr>
        <w:numPr>
          <w:ilvl w:val="0"/>
          <w:numId w:val="12"/>
        </w:numPr>
        <w:spacing w:line="360" w:lineRule="auto"/>
        <w:ind w:left="-570" w:right="-1417" w:firstLine="0"/>
        <w:jc w:val="both"/>
        <w:rPr>
          <w:color w:val="000000"/>
        </w:rPr>
      </w:pPr>
      <w:r w:rsidRPr="008721F3">
        <w:rPr>
          <w:rFonts w:ascii="Palatino Linotype" w:eastAsia="Palatino Linotype" w:hAnsi="Palatino Linotype" w:cs="Palatino Linotype"/>
        </w:rPr>
        <w:t>Por lo anteriormente expuesto, este Órgano Garante considera fundadas las razones o motivos de inconformidad que plantea el</w:t>
      </w:r>
      <w:r w:rsidRPr="008721F3">
        <w:rPr>
          <w:rFonts w:ascii="Palatino Linotype" w:eastAsia="Palatino Linotype" w:hAnsi="Palatino Linotype" w:cs="Palatino Linotype"/>
          <w:b/>
        </w:rPr>
        <w:t xml:space="preserve"> RECURRENTE</w:t>
      </w:r>
      <w:r w:rsidRPr="008721F3">
        <w:rPr>
          <w:rFonts w:ascii="Palatino Linotype" w:eastAsia="Palatino Linotype" w:hAnsi="Palatino Linotype" w:cs="Palatino Linotype"/>
        </w:rPr>
        <w:t xml:space="preserve">, determinando </w:t>
      </w:r>
      <w:r w:rsidRPr="008721F3">
        <w:rPr>
          <w:rFonts w:ascii="Palatino Linotype" w:eastAsia="Palatino Linotype" w:hAnsi="Palatino Linotype" w:cs="Palatino Linotype"/>
          <w:b/>
          <w:smallCaps/>
        </w:rPr>
        <w:t xml:space="preserve">REVOCAR </w:t>
      </w:r>
      <w:r w:rsidRPr="008721F3">
        <w:rPr>
          <w:rFonts w:ascii="Palatino Linotype" w:eastAsia="Palatino Linotype" w:hAnsi="Palatino Linotype" w:cs="Palatino Linotype"/>
          <w:b/>
        </w:rPr>
        <w:t xml:space="preserve"> </w:t>
      </w:r>
      <w:r w:rsidRPr="008721F3">
        <w:rPr>
          <w:rFonts w:ascii="Palatino Linotype" w:eastAsia="Palatino Linotype" w:hAnsi="Palatino Linotype" w:cs="Palatino Linotype"/>
        </w:rPr>
        <w:t xml:space="preserve">la respuesta del </w:t>
      </w:r>
      <w:r w:rsidRPr="008721F3">
        <w:rPr>
          <w:rFonts w:ascii="Palatino Linotype" w:eastAsia="Palatino Linotype" w:hAnsi="Palatino Linotype" w:cs="Palatino Linotype"/>
          <w:b/>
        </w:rPr>
        <w:t>SUJETO OBLIGADO</w:t>
      </w:r>
      <w:r w:rsidRPr="008721F3">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w:t>
      </w:r>
      <w:r w:rsidRPr="008721F3">
        <w:rPr>
          <w:rFonts w:ascii="Palatino Linotype" w:eastAsia="Palatino Linotype" w:hAnsi="Palatino Linotype" w:cs="Palatino Linotype"/>
        </w:rPr>
        <w:lastRenderedPageBreak/>
        <w:t xml:space="preserve">185 de la Ley de Transparencia y Acceso a la Información Pública del Estado de México y Municipios, </w:t>
      </w:r>
      <w:r w:rsidRPr="008721F3">
        <w:rPr>
          <w:rFonts w:ascii="Palatino Linotype" w:eastAsia="Palatino Linotype" w:hAnsi="Palatino Linotype" w:cs="Palatino Linotype"/>
          <w:color w:val="000000"/>
        </w:rPr>
        <w:t xml:space="preserve">este </w:t>
      </w:r>
      <w:r w:rsidRPr="008721F3">
        <w:rPr>
          <w:rFonts w:ascii="Palatino Linotype" w:eastAsia="Palatino Linotype" w:hAnsi="Palatino Linotype" w:cs="Palatino Linotype"/>
          <w:b/>
          <w:color w:val="000000"/>
        </w:rPr>
        <w:t>ÓRGANO GARANTE</w:t>
      </w:r>
      <w:r w:rsidRPr="008721F3">
        <w:rPr>
          <w:rFonts w:ascii="Palatino Linotype" w:eastAsia="Palatino Linotype" w:hAnsi="Palatino Linotype" w:cs="Palatino Linotype"/>
          <w:color w:val="000000"/>
        </w:rPr>
        <w:t xml:space="preserve"> emite los siguientes.</w:t>
      </w:r>
    </w:p>
    <w:p w:rsidR="00925CFF" w:rsidRPr="008721F3" w:rsidRDefault="00925CFF">
      <w:pPr>
        <w:pBdr>
          <w:top w:val="nil"/>
          <w:left w:val="nil"/>
          <w:bottom w:val="nil"/>
          <w:right w:val="nil"/>
          <w:between w:val="nil"/>
        </w:pBdr>
        <w:ind w:left="-566" w:right="-1417"/>
        <w:rPr>
          <w:rFonts w:ascii="Palatino Linotype" w:eastAsia="Palatino Linotype" w:hAnsi="Palatino Linotype" w:cs="Palatino Linotype"/>
          <w:color w:val="000000"/>
        </w:rPr>
      </w:pPr>
    </w:p>
    <w:p w:rsidR="00925CFF" w:rsidRPr="008721F3" w:rsidRDefault="00925CFF">
      <w:pPr>
        <w:pBdr>
          <w:top w:val="nil"/>
          <w:left w:val="nil"/>
          <w:bottom w:val="nil"/>
          <w:right w:val="nil"/>
          <w:between w:val="nil"/>
        </w:pBdr>
        <w:tabs>
          <w:tab w:val="left" w:pos="426"/>
        </w:tabs>
        <w:spacing w:line="360" w:lineRule="auto"/>
        <w:ind w:left="-566" w:right="-1417"/>
        <w:jc w:val="both"/>
        <w:rPr>
          <w:rFonts w:ascii="Palatino Linotype" w:eastAsia="Palatino Linotype" w:hAnsi="Palatino Linotype" w:cs="Palatino Linotype"/>
          <w:color w:val="000000"/>
        </w:rPr>
      </w:pPr>
    </w:p>
    <w:p w:rsidR="00925CFF" w:rsidRPr="008721F3" w:rsidRDefault="002A18F9">
      <w:pPr>
        <w:pStyle w:val="Ttulo1"/>
        <w:spacing w:before="0" w:line="360" w:lineRule="auto"/>
        <w:ind w:left="-566" w:right="-1417"/>
        <w:jc w:val="center"/>
        <w:rPr>
          <w:rFonts w:ascii="Palatino Linotype" w:eastAsia="Palatino Linotype" w:hAnsi="Palatino Linotype" w:cs="Palatino Linotype"/>
          <w:b/>
          <w:color w:val="000000"/>
          <w:sz w:val="24"/>
          <w:szCs w:val="24"/>
        </w:rPr>
      </w:pPr>
      <w:r w:rsidRPr="008721F3">
        <w:rPr>
          <w:rFonts w:ascii="Palatino Linotype" w:eastAsia="Palatino Linotype" w:hAnsi="Palatino Linotype" w:cs="Palatino Linotype"/>
          <w:b/>
          <w:color w:val="000000"/>
          <w:sz w:val="24"/>
          <w:szCs w:val="24"/>
        </w:rPr>
        <w:t>R E S O L U T I V O S</w:t>
      </w:r>
    </w:p>
    <w:p w:rsidR="00925CFF" w:rsidRPr="008721F3" w:rsidRDefault="00925CFF">
      <w:pPr>
        <w:spacing w:line="360" w:lineRule="auto"/>
        <w:ind w:left="-566" w:right="-1417"/>
        <w:rPr>
          <w:rFonts w:ascii="Palatino Linotype" w:eastAsia="Palatino Linotype" w:hAnsi="Palatino Linotype" w:cs="Palatino Linotype"/>
        </w:rPr>
      </w:pPr>
    </w:p>
    <w:p w:rsidR="00925CFF" w:rsidRPr="008721F3" w:rsidRDefault="002A18F9">
      <w:pPr>
        <w:spacing w:line="360" w:lineRule="auto"/>
        <w:ind w:left="-566" w:right="-1417"/>
        <w:jc w:val="both"/>
        <w:rPr>
          <w:rFonts w:ascii="Palatino Linotype" w:eastAsia="Palatino Linotype" w:hAnsi="Palatino Linotype" w:cs="Palatino Linotype"/>
        </w:rPr>
      </w:pPr>
      <w:r w:rsidRPr="008721F3">
        <w:rPr>
          <w:rFonts w:ascii="Palatino Linotype" w:eastAsia="Palatino Linotype" w:hAnsi="Palatino Linotype" w:cs="Palatino Linotype"/>
          <w:b/>
        </w:rPr>
        <w:t>PRIMERO</w:t>
      </w:r>
      <w:r w:rsidRPr="008721F3">
        <w:rPr>
          <w:rFonts w:ascii="Palatino Linotype" w:eastAsia="Palatino Linotype" w:hAnsi="Palatino Linotype" w:cs="Palatino Linotype"/>
        </w:rPr>
        <w:t xml:space="preserve">. Resultan fundadas las razones o motivos de inconformidad hechos valer en los Recursos de Revisión </w:t>
      </w:r>
      <w:r w:rsidRPr="008721F3">
        <w:rPr>
          <w:rFonts w:ascii="Palatino Linotype" w:eastAsia="Palatino Linotype" w:hAnsi="Palatino Linotype" w:cs="Palatino Linotype"/>
          <w:b/>
        </w:rPr>
        <w:t xml:space="preserve">02418/INFOEM/IP/RR/2024, </w:t>
      </w:r>
      <w:r w:rsidRPr="008721F3">
        <w:rPr>
          <w:rFonts w:ascii="Palatino Linotype" w:eastAsia="Palatino Linotype" w:hAnsi="Palatino Linotype" w:cs="Palatino Linotype"/>
        </w:rPr>
        <w:t xml:space="preserve">en términos del Considerando </w:t>
      </w:r>
      <w:r w:rsidRPr="008721F3">
        <w:rPr>
          <w:rFonts w:ascii="Palatino Linotype" w:eastAsia="Palatino Linotype" w:hAnsi="Palatino Linotype" w:cs="Palatino Linotype"/>
          <w:b/>
        </w:rPr>
        <w:t xml:space="preserve">Cuarto y Quinto </w:t>
      </w:r>
      <w:r w:rsidRPr="008721F3">
        <w:rPr>
          <w:rFonts w:ascii="Palatino Linotype" w:eastAsia="Palatino Linotype" w:hAnsi="Palatino Linotype" w:cs="Palatino Linotype"/>
        </w:rPr>
        <w:t xml:space="preserve">de la presente resolución. </w:t>
      </w:r>
    </w:p>
    <w:p w:rsidR="00925CFF" w:rsidRPr="008721F3" w:rsidRDefault="00925CFF">
      <w:pPr>
        <w:spacing w:line="360" w:lineRule="auto"/>
        <w:ind w:left="-566" w:right="-1417"/>
        <w:jc w:val="both"/>
        <w:rPr>
          <w:rFonts w:ascii="Palatino Linotype" w:eastAsia="Palatino Linotype" w:hAnsi="Palatino Linotype" w:cs="Palatino Linotype"/>
        </w:rPr>
      </w:pPr>
    </w:p>
    <w:p w:rsidR="00925CFF" w:rsidRPr="008721F3" w:rsidRDefault="002A18F9">
      <w:pPr>
        <w:spacing w:line="360" w:lineRule="auto"/>
        <w:ind w:left="-566" w:right="-1417"/>
        <w:jc w:val="both"/>
        <w:rPr>
          <w:rFonts w:ascii="Palatino Linotype" w:eastAsia="Palatino Linotype" w:hAnsi="Palatino Linotype" w:cs="Palatino Linotype"/>
        </w:rPr>
      </w:pPr>
      <w:bookmarkStart w:id="49" w:name="_heading=h.1ksv4uv" w:colFirst="0" w:colLast="0"/>
      <w:bookmarkEnd w:id="49"/>
      <w:r w:rsidRPr="008721F3">
        <w:rPr>
          <w:rFonts w:ascii="Palatino Linotype" w:eastAsia="Palatino Linotype" w:hAnsi="Palatino Linotype" w:cs="Palatino Linotype"/>
          <w:b/>
        </w:rPr>
        <w:t xml:space="preserve">SEGUNDO. </w:t>
      </w:r>
      <w:r w:rsidRPr="008721F3">
        <w:rPr>
          <w:rFonts w:ascii="Palatino Linotype" w:eastAsia="Palatino Linotype" w:hAnsi="Palatino Linotype" w:cs="Palatino Linotype"/>
          <w:color w:val="000000"/>
        </w:rPr>
        <w:t xml:space="preserve">Se </w:t>
      </w:r>
      <w:r w:rsidRPr="008721F3">
        <w:rPr>
          <w:rFonts w:ascii="Palatino Linotype" w:eastAsia="Palatino Linotype" w:hAnsi="Palatino Linotype" w:cs="Palatino Linotype"/>
          <w:b/>
          <w:color w:val="000000"/>
        </w:rPr>
        <w:t xml:space="preserve">REVOCA </w:t>
      </w:r>
      <w:r w:rsidRPr="008721F3">
        <w:rPr>
          <w:rFonts w:ascii="Palatino Linotype" w:eastAsia="Palatino Linotype" w:hAnsi="Palatino Linotype" w:cs="Palatino Linotype"/>
          <w:color w:val="000000"/>
        </w:rPr>
        <w:t xml:space="preserve">la respuesta emitida por el </w:t>
      </w:r>
      <w:r w:rsidRPr="008721F3">
        <w:rPr>
          <w:rFonts w:ascii="Palatino Linotype" w:eastAsia="Palatino Linotype" w:hAnsi="Palatino Linotype" w:cs="Palatino Linotype"/>
          <w:b/>
          <w:color w:val="000000"/>
        </w:rPr>
        <w:t xml:space="preserve">Ayuntamiento de Tlalnepantla de Baz </w:t>
      </w:r>
      <w:r w:rsidRPr="008721F3">
        <w:rPr>
          <w:rFonts w:ascii="Palatino Linotype" w:eastAsia="Palatino Linotype" w:hAnsi="Palatino Linotype" w:cs="Palatino Linotype"/>
          <w:color w:val="000000"/>
        </w:rPr>
        <w:t xml:space="preserve">y se </w:t>
      </w:r>
      <w:r w:rsidRPr="008721F3">
        <w:rPr>
          <w:rFonts w:ascii="Palatino Linotype" w:eastAsia="Palatino Linotype" w:hAnsi="Palatino Linotype" w:cs="Palatino Linotype"/>
          <w:b/>
          <w:color w:val="000000"/>
        </w:rPr>
        <w:t>ORDENA</w:t>
      </w:r>
      <w:r w:rsidRPr="008721F3">
        <w:rPr>
          <w:rFonts w:ascii="Palatino Linotype" w:eastAsia="Palatino Linotype" w:hAnsi="Palatino Linotype" w:cs="Palatino Linotype"/>
          <w:color w:val="000000"/>
        </w:rPr>
        <w:t xml:space="preserve"> entregar vía Sistema de Acceso a la Información,</w:t>
      </w:r>
      <w:r w:rsidRPr="008721F3">
        <w:rPr>
          <w:rFonts w:ascii="Palatino Linotype" w:eastAsia="Palatino Linotype" w:hAnsi="Palatino Linotype" w:cs="Palatino Linotype"/>
        </w:rPr>
        <w:t xml:space="preserve"> en versión pública.</w:t>
      </w:r>
    </w:p>
    <w:p w:rsidR="00925CFF" w:rsidRPr="008721F3" w:rsidRDefault="00925CFF">
      <w:pPr>
        <w:spacing w:line="360" w:lineRule="auto"/>
        <w:ind w:left="-566" w:right="-1417"/>
        <w:jc w:val="both"/>
        <w:rPr>
          <w:rFonts w:ascii="Palatino Linotype" w:eastAsia="Palatino Linotype" w:hAnsi="Palatino Linotype" w:cs="Palatino Linotype"/>
        </w:rPr>
      </w:pPr>
    </w:p>
    <w:p w:rsidR="00925CFF" w:rsidRPr="008721F3" w:rsidRDefault="002A18F9">
      <w:pPr>
        <w:ind w:left="141" w:right="-1417"/>
        <w:jc w:val="both"/>
        <w:rPr>
          <w:rFonts w:ascii="Palatino Linotype" w:eastAsia="Palatino Linotype" w:hAnsi="Palatino Linotype" w:cs="Palatino Linotype"/>
          <w:b/>
          <w:i/>
        </w:rPr>
      </w:pPr>
      <w:bookmarkStart w:id="50" w:name="_heading=h.lnxbz9" w:colFirst="0" w:colLast="0"/>
      <w:bookmarkEnd w:id="50"/>
      <w:r w:rsidRPr="008721F3">
        <w:rPr>
          <w:rFonts w:ascii="Palatino Linotype" w:eastAsia="Palatino Linotype" w:hAnsi="Palatino Linotype" w:cs="Palatino Linotype"/>
          <w:b/>
          <w:i/>
        </w:rPr>
        <w:t>Del informe del  Presidente Municipal del mes de diciembre del año dos mil veintitrés</w:t>
      </w:r>
    </w:p>
    <w:p w:rsidR="00925CFF" w:rsidRPr="008721F3" w:rsidRDefault="00925CFF">
      <w:pPr>
        <w:ind w:left="141" w:right="-1417"/>
        <w:jc w:val="both"/>
        <w:rPr>
          <w:rFonts w:ascii="Palatino Linotype" w:eastAsia="Palatino Linotype" w:hAnsi="Palatino Linotype" w:cs="Palatino Linotype"/>
          <w:b/>
          <w:i/>
        </w:rPr>
      </w:pPr>
    </w:p>
    <w:p w:rsidR="00B85104" w:rsidRPr="008721F3" w:rsidRDefault="00B85104" w:rsidP="00B85104">
      <w:pPr>
        <w:pStyle w:val="Prrafodelista"/>
        <w:numPr>
          <w:ilvl w:val="0"/>
          <w:numId w:val="15"/>
        </w:numPr>
        <w:ind w:right="-1417"/>
        <w:jc w:val="both"/>
        <w:rPr>
          <w:rFonts w:ascii="Palatino Linotype" w:eastAsia="Palatino Linotype" w:hAnsi="Palatino Linotype" w:cs="Palatino Linotype"/>
          <w:b/>
          <w:i/>
        </w:rPr>
      </w:pPr>
      <w:bookmarkStart w:id="51" w:name="_heading=h.gjdgxs" w:colFirst="0" w:colLast="0"/>
      <w:bookmarkEnd w:id="51"/>
      <w:r w:rsidRPr="008721F3">
        <w:rPr>
          <w:rFonts w:ascii="Palatino Linotype" w:eastAsia="Palatino Linotype" w:hAnsi="Palatino Linotype" w:cs="Palatino Linotype"/>
          <w:b/>
          <w:i/>
        </w:rPr>
        <w:t>Documento donde conste o se advierta el nombre de proveedores de pantallas, sillas, mesas y alimentos que dieron en el evento, así como requisiciones y la suficiencia presupuestal del evento; y</w:t>
      </w:r>
    </w:p>
    <w:p w:rsidR="00925CFF" w:rsidRPr="008721F3" w:rsidRDefault="00925CFF" w:rsidP="00A33C77">
      <w:pPr>
        <w:ind w:right="-1417"/>
        <w:jc w:val="both"/>
        <w:rPr>
          <w:rFonts w:ascii="Palatino Linotype" w:eastAsia="Palatino Linotype" w:hAnsi="Palatino Linotype" w:cs="Palatino Linotype"/>
          <w:b/>
        </w:rPr>
      </w:pPr>
    </w:p>
    <w:p w:rsidR="00925CFF" w:rsidRPr="008721F3" w:rsidRDefault="00925CFF">
      <w:pPr>
        <w:ind w:left="-566" w:right="-1417"/>
        <w:jc w:val="both"/>
        <w:rPr>
          <w:rFonts w:ascii="Palatino Linotype" w:eastAsia="Palatino Linotype" w:hAnsi="Palatino Linotype" w:cs="Palatino Linotype"/>
          <w:b/>
        </w:rPr>
      </w:pPr>
    </w:p>
    <w:p w:rsidR="00B85104" w:rsidRPr="008721F3" w:rsidRDefault="002A18F9" w:rsidP="00A33C77">
      <w:pPr>
        <w:tabs>
          <w:tab w:val="left" w:pos="8080"/>
        </w:tabs>
        <w:spacing w:line="360" w:lineRule="auto"/>
        <w:ind w:left="-566" w:right="-1417"/>
        <w:jc w:val="both"/>
        <w:rPr>
          <w:rFonts w:ascii="Palatino Linotype" w:eastAsia="Palatino Linotype" w:hAnsi="Palatino Linotype" w:cs="Palatino Linotype"/>
          <w:b/>
        </w:rPr>
      </w:pPr>
      <w:r w:rsidRPr="008721F3">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8721F3">
        <w:rPr>
          <w:rFonts w:ascii="Palatino Linotype" w:eastAsia="Palatino Linotype" w:hAnsi="Palatino Linotype" w:cs="Palatino Linotype"/>
          <w:b/>
        </w:rPr>
        <w:t>RECURRENTE.</w:t>
      </w:r>
    </w:p>
    <w:p w:rsidR="00925CFF" w:rsidRPr="008721F3" w:rsidRDefault="00925CFF">
      <w:pPr>
        <w:tabs>
          <w:tab w:val="left" w:pos="8080"/>
        </w:tabs>
        <w:spacing w:line="360" w:lineRule="auto"/>
        <w:ind w:left="-566" w:right="-1417"/>
        <w:jc w:val="both"/>
        <w:rPr>
          <w:rFonts w:ascii="Palatino Linotype" w:eastAsia="Palatino Linotype" w:hAnsi="Palatino Linotype" w:cs="Palatino Linotype"/>
        </w:rPr>
      </w:pPr>
    </w:p>
    <w:p w:rsidR="00925CFF" w:rsidRPr="008721F3" w:rsidRDefault="002A18F9">
      <w:pPr>
        <w:tabs>
          <w:tab w:val="left" w:pos="8080"/>
        </w:tabs>
        <w:spacing w:line="360" w:lineRule="auto"/>
        <w:ind w:left="-566" w:right="-1417"/>
        <w:jc w:val="both"/>
        <w:rPr>
          <w:rFonts w:ascii="Palatino Linotype" w:eastAsia="Palatino Linotype" w:hAnsi="Palatino Linotype" w:cs="Palatino Linotype"/>
          <w:color w:val="222222"/>
        </w:rPr>
      </w:pPr>
      <w:r w:rsidRPr="008721F3">
        <w:rPr>
          <w:rFonts w:ascii="Palatino Linotype" w:eastAsia="Palatino Linotype" w:hAnsi="Palatino Linotype" w:cs="Palatino Linotype"/>
          <w:b/>
        </w:rPr>
        <w:lastRenderedPageBreak/>
        <w:t xml:space="preserve">TERCERO. </w:t>
      </w:r>
      <w:r w:rsidRPr="008721F3">
        <w:rPr>
          <w:rFonts w:ascii="Palatino Linotype" w:eastAsia="Palatino Linotype" w:hAnsi="Palatino Linotype" w:cs="Palatino Linotype"/>
          <w:color w:val="222222"/>
        </w:rPr>
        <w:t xml:space="preserve">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8721F3">
        <w:rPr>
          <w:rFonts w:ascii="Palatino Linotype" w:eastAsia="Palatino Linotype" w:hAnsi="Palatino Linotype" w:cs="Palatino Linotype"/>
          <w:b/>
          <w:color w:val="222222"/>
        </w:rPr>
        <w:t xml:space="preserve">dé cumplimiento a lo ordenado dentro del plazo de diez días hábiles, </w:t>
      </w:r>
      <w:r w:rsidRPr="008721F3">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rsidR="00925CFF" w:rsidRPr="008721F3" w:rsidRDefault="00925CFF">
      <w:pPr>
        <w:tabs>
          <w:tab w:val="left" w:pos="8080"/>
        </w:tabs>
        <w:spacing w:line="360" w:lineRule="auto"/>
        <w:ind w:left="-566" w:right="-1417"/>
        <w:jc w:val="both"/>
        <w:rPr>
          <w:rFonts w:ascii="Palatino Linotype" w:eastAsia="Palatino Linotype" w:hAnsi="Palatino Linotype" w:cs="Palatino Linotype"/>
          <w:color w:val="222222"/>
        </w:rPr>
      </w:pPr>
    </w:p>
    <w:p w:rsidR="00925CFF" w:rsidRPr="008721F3" w:rsidRDefault="002A18F9">
      <w:pPr>
        <w:spacing w:line="360" w:lineRule="auto"/>
        <w:ind w:left="-566" w:right="-1417"/>
        <w:jc w:val="both"/>
        <w:rPr>
          <w:rFonts w:ascii="Palatino Linotype" w:eastAsia="Palatino Linotype" w:hAnsi="Palatino Linotype" w:cs="Palatino Linotype"/>
        </w:rPr>
      </w:pPr>
      <w:r w:rsidRPr="008721F3">
        <w:rPr>
          <w:rFonts w:ascii="Palatino Linotype" w:eastAsia="Palatino Linotype" w:hAnsi="Palatino Linotype" w:cs="Palatino Linotype"/>
          <w:b/>
        </w:rPr>
        <w:t xml:space="preserve">CUARTO. </w:t>
      </w:r>
      <w:r w:rsidRPr="008721F3">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8721F3">
        <w:rPr>
          <w:rFonts w:ascii="Palatino Linotype" w:eastAsia="Palatino Linotype" w:hAnsi="Palatino Linotype" w:cs="Palatino Linotype"/>
          <w:b/>
        </w:rPr>
        <w:t>SUJETO OBLIGADO</w:t>
      </w:r>
      <w:r w:rsidRPr="008721F3">
        <w:rPr>
          <w:rFonts w:ascii="Palatino Linotype" w:eastAsia="Palatino Linotype" w:hAnsi="Palatino Linotype" w:cs="Palatino Linotype"/>
        </w:rPr>
        <w:t xml:space="preserve"> de manera fundada y motivada, podrá solicitar una ampliación de plazo para el cumplimiento de la presente resolución.</w:t>
      </w:r>
    </w:p>
    <w:p w:rsidR="00925CFF" w:rsidRPr="008721F3" w:rsidRDefault="00925CFF">
      <w:pPr>
        <w:spacing w:line="360" w:lineRule="auto"/>
        <w:ind w:left="-566" w:right="-1417"/>
        <w:jc w:val="both"/>
        <w:rPr>
          <w:rFonts w:ascii="Palatino Linotype" w:eastAsia="Palatino Linotype" w:hAnsi="Palatino Linotype" w:cs="Palatino Linotype"/>
        </w:rPr>
      </w:pPr>
    </w:p>
    <w:p w:rsidR="00925CFF" w:rsidRPr="008721F3" w:rsidRDefault="002A18F9">
      <w:pPr>
        <w:shd w:val="clear" w:color="auto" w:fill="FFFFFF"/>
        <w:spacing w:line="360" w:lineRule="auto"/>
        <w:ind w:left="-566" w:right="-1417"/>
        <w:jc w:val="both"/>
        <w:rPr>
          <w:rFonts w:ascii="Palatino Linotype" w:eastAsia="Palatino Linotype" w:hAnsi="Palatino Linotype" w:cs="Palatino Linotype"/>
        </w:rPr>
      </w:pPr>
      <w:bookmarkStart w:id="52" w:name="_heading=h.2jxsxqh" w:colFirst="0" w:colLast="0"/>
      <w:bookmarkEnd w:id="52"/>
      <w:r w:rsidRPr="008721F3">
        <w:rPr>
          <w:rFonts w:ascii="Palatino Linotype" w:eastAsia="Palatino Linotype" w:hAnsi="Palatino Linotype" w:cs="Palatino Linotype"/>
          <w:b/>
        </w:rPr>
        <w:t xml:space="preserve">QUINTO. </w:t>
      </w:r>
      <w:r w:rsidRPr="008721F3">
        <w:rPr>
          <w:rFonts w:ascii="Palatino Linotype" w:eastAsia="Palatino Linotype" w:hAnsi="Palatino Linotype" w:cs="Palatino Linotype"/>
        </w:rPr>
        <w:t xml:space="preserve">Notifíquese a </w:t>
      </w:r>
      <w:r w:rsidRPr="008721F3">
        <w:rPr>
          <w:rFonts w:ascii="Palatino Linotype" w:eastAsia="Palatino Linotype" w:hAnsi="Palatino Linotype" w:cs="Palatino Linotype"/>
          <w:b/>
        </w:rPr>
        <w:t>EL RECURRENTE</w:t>
      </w:r>
      <w:r w:rsidRPr="008721F3">
        <w:rPr>
          <w:rFonts w:ascii="Palatino Linotype" w:eastAsia="Palatino Linotype" w:hAnsi="Palatino Linotype" w:cs="Palatino Linotype"/>
        </w:rPr>
        <w:t xml:space="preserve"> la presente resolución, vía SAIMEX.</w:t>
      </w:r>
    </w:p>
    <w:p w:rsidR="00925CFF" w:rsidRPr="008721F3" w:rsidRDefault="00925CFF">
      <w:pPr>
        <w:shd w:val="clear" w:color="auto" w:fill="FFFFFF"/>
        <w:spacing w:line="360" w:lineRule="auto"/>
        <w:ind w:left="-566" w:right="-1417"/>
        <w:jc w:val="both"/>
        <w:rPr>
          <w:rFonts w:ascii="Palatino Linotype" w:eastAsia="Palatino Linotype" w:hAnsi="Palatino Linotype" w:cs="Palatino Linotype"/>
        </w:rPr>
      </w:pPr>
    </w:p>
    <w:p w:rsidR="00925CFF" w:rsidRPr="008721F3" w:rsidRDefault="002A18F9">
      <w:pPr>
        <w:shd w:val="clear" w:color="auto" w:fill="FFFFFF"/>
        <w:spacing w:line="360" w:lineRule="auto"/>
        <w:ind w:left="-566" w:right="-1417"/>
        <w:jc w:val="both"/>
        <w:rPr>
          <w:rFonts w:ascii="Palatino Linotype" w:eastAsia="Palatino Linotype" w:hAnsi="Palatino Linotype" w:cs="Palatino Linotype"/>
        </w:rPr>
      </w:pPr>
      <w:r w:rsidRPr="008721F3">
        <w:rPr>
          <w:rFonts w:ascii="Palatino Linotype" w:eastAsia="Palatino Linotype" w:hAnsi="Palatino Linotype" w:cs="Palatino Linotype"/>
          <w:b/>
        </w:rPr>
        <w:t>SEXTO.</w:t>
      </w:r>
      <w:r w:rsidRPr="008721F3">
        <w:rPr>
          <w:rFonts w:ascii="Palatino Linotype" w:eastAsia="Palatino Linotype" w:hAnsi="Palatino Linotype" w:cs="Palatino Linotype"/>
        </w:rPr>
        <w:t xml:space="preserve"> Se hace del conocimiento de </w:t>
      </w:r>
      <w:r w:rsidRPr="008721F3">
        <w:rPr>
          <w:rFonts w:ascii="Palatino Linotype" w:eastAsia="Palatino Linotype" w:hAnsi="Palatino Linotype" w:cs="Palatino Linotype"/>
          <w:b/>
        </w:rPr>
        <w:t>EL RECURRENTE</w:t>
      </w:r>
      <w:r w:rsidRPr="008721F3">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A33C77" w:rsidRPr="008721F3" w:rsidRDefault="00A33C77">
      <w:pPr>
        <w:shd w:val="clear" w:color="auto" w:fill="FFFFFF"/>
        <w:spacing w:line="360" w:lineRule="auto"/>
        <w:ind w:left="-566" w:right="-1417"/>
        <w:jc w:val="both"/>
        <w:rPr>
          <w:rFonts w:ascii="Palatino Linotype" w:eastAsia="Palatino Linotype" w:hAnsi="Palatino Linotype" w:cs="Palatino Linotype"/>
        </w:rPr>
      </w:pPr>
    </w:p>
    <w:p w:rsidR="00A33C77" w:rsidRPr="003C7186" w:rsidRDefault="00A33C77" w:rsidP="00A33C77">
      <w:pPr>
        <w:spacing w:line="360" w:lineRule="auto"/>
        <w:ind w:left="-567" w:right="-1424" w:firstLine="1"/>
        <w:jc w:val="both"/>
        <w:rPr>
          <w:rFonts w:ascii="Palatino Linotype" w:hAnsi="Palatino Linotype"/>
        </w:rPr>
      </w:pPr>
      <w:r w:rsidRPr="008721F3">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(26) DE FEBRERO DE DOS MIL VEINTICINCO, ANTE EL SECRETARIO TÉCNICO DEL PLENO ALEXIS TAPIA RAMÍREZ.</w:t>
      </w:r>
      <w:bookmarkStart w:id="53" w:name="_GoBack"/>
      <w:bookmarkEnd w:id="53"/>
      <w:r w:rsidRPr="003C7186">
        <w:rPr>
          <w:rFonts w:ascii="Palatino Linotype" w:hAnsi="Palatino Linotype"/>
        </w:rPr>
        <w:t xml:space="preserve"> </w:t>
      </w:r>
    </w:p>
    <w:p w:rsidR="00925CFF" w:rsidRDefault="00925CFF" w:rsidP="00A33C77">
      <w:pPr>
        <w:spacing w:before="240" w:after="240" w:line="360" w:lineRule="auto"/>
        <w:ind w:left="-567" w:right="-1424"/>
        <w:jc w:val="both"/>
        <w:rPr>
          <w:rFonts w:ascii="Palatino Linotype" w:eastAsia="Palatino Linotype" w:hAnsi="Palatino Linotype" w:cs="Palatino Linotype"/>
        </w:rPr>
      </w:pPr>
    </w:p>
    <w:p w:rsidR="00925CFF" w:rsidRDefault="00925CFF" w:rsidP="00A33C77">
      <w:pPr>
        <w:spacing w:before="240" w:after="240" w:line="360" w:lineRule="auto"/>
        <w:ind w:left="-567" w:right="-1424"/>
        <w:jc w:val="both"/>
        <w:rPr>
          <w:rFonts w:ascii="Palatino Linotype" w:eastAsia="Palatino Linotype" w:hAnsi="Palatino Linotype" w:cs="Palatino Linotype"/>
        </w:rPr>
      </w:pPr>
    </w:p>
    <w:p w:rsidR="00925CFF" w:rsidRDefault="00925CFF" w:rsidP="00A33C77">
      <w:pPr>
        <w:spacing w:before="240" w:after="240" w:line="360" w:lineRule="auto"/>
        <w:ind w:left="-567" w:right="-1424"/>
        <w:jc w:val="both"/>
        <w:rPr>
          <w:rFonts w:ascii="Palatino Linotype" w:eastAsia="Palatino Linotype" w:hAnsi="Palatino Linotype" w:cs="Palatino Linotype"/>
        </w:rPr>
      </w:pPr>
    </w:p>
    <w:p w:rsidR="00925CFF" w:rsidRDefault="00925CFF" w:rsidP="00A33C77">
      <w:pPr>
        <w:spacing w:line="360" w:lineRule="auto"/>
        <w:ind w:left="-567" w:right="-1424"/>
        <w:jc w:val="both"/>
        <w:rPr>
          <w:rFonts w:ascii="Palatino Linotype" w:eastAsia="Palatino Linotype" w:hAnsi="Palatino Linotype" w:cs="Palatino Linotype"/>
        </w:rPr>
      </w:pPr>
    </w:p>
    <w:p w:rsidR="00925CFF" w:rsidRDefault="00925CFF" w:rsidP="00A33C77">
      <w:pPr>
        <w:keepNext/>
        <w:keepLines/>
        <w:spacing w:after="240" w:line="360" w:lineRule="auto"/>
        <w:ind w:left="-567" w:right="-1424"/>
      </w:pPr>
    </w:p>
    <w:p w:rsidR="00925CFF" w:rsidRDefault="00925CFF" w:rsidP="00A33C77">
      <w:pPr>
        <w:ind w:left="-567" w:right="-1424"/>
      </w:pPr>
    </w:p>
    <w:p w:rsidR="00925CFF" w:rsidRDefault="00925CFF">
      <w:pPr>
        <w:ind w:left="-566" w:right="-1417"/>
      </w:pPr>
    </w:p>
    <w:p w:rsidR="00925CFF" w:rsidRDefault="00925CFF">
      <w:pPr>
        <w:ind w:left="-566" w:right="-1417"/>
      </w:pPr>
    </w:p>
    <w:p w:rsidR="008721F3" w:rsidRDefault="008721F3">
      <w:pPr>
        <w:ind w:left="-566" w:right="-1417"/>
      </w:pPr>
    </w:p>
    <w:p w:rsidR="008721F3" w:rsidRDefault="008721F3">
      <w:pPr>
        <w:ind w:left="-566" w:right="-1417"/>
      </w:pPr>
    </w:p>
    <w:p w:rsidR="008721F3" w:rsidRDefault="008721F3">
      <w:pPr>
        <w:ind w:left="-566" w:right="-1417"/>
      </w:pPr>
    </w:p>
    <w:p w:rsidR="008721F3" w:rsidRDefault="008721F3">
      <w:pPr>
        <w:ind w:left="-566" w:right="-1417"/>
      </w:pPr>
    </w:p>
    <w:p w:rsidR="008721F3" w:rsidRDefault="008721F3">
      <w:pPr>
        <w:ind w:left="-566" w:right="-1417"/>
      </w:pPr>
    </w:p>
    <w:p w:rsidR="008721F3" w:rsidRDefault="008721F3">
      <w:pPr>
        <w:ind w:left="-566" w:right="-1417"/>
      </w:pPr>
    </w:p>
    <w:p w:rsidR="008721F3" w:rsidRDefault="008721F3">
      <w:pPr>
        <w:ind w:left="-566" w:right="-1417"/>
      </w:pPr>
    </w:p>
    <w:p w:rsidR="008721F3" w:rsidRDefault="008721F3">
      <w:pPr>
        <w:ind w:left="-566" w:right="-1417"/>
      </w:pPr>
    </w:p>
    <w:p w:rsidR="008721F3" w:rsidRDefault="008721F3">
      <w:pPr>
        <w:ind w:left="-566" w:right="-1417"/>
      </w:pPr>
    </w:p>
    <w:p w:rsidR="008721F3" w:rsidRDefault="008721F3">
      <w:pPr>
        <w:ind w:left="-566" w:right="-1417"/>
      </w:pPr>
    </w:p>
    <w:p w:rsidR="008721F3" w:rsidRDefault="008721F3">
      <w:pPr>
        <w:ind w:left="-566" w:right="-1417"/>
      </w:pPr>
    </w:p>
    <w:p w:rsidR="008721F3" w:rsidRDefault="008721F3">
      <w:pPr>
        <w:ind w:left="-566" w:right="-1417"/>
      </w:pPr>
    </w:p>
    <w:p w:rsidR="008721F3" w:rsidRDefault="008721F3">
      <w:pPr>
        <w:ind w:left="-566" w:right="-1417"/>
      </w:pPr>
    </w:p>
    <w:p w:rsidR="008721F3" w:rsidRDefault="008721F3">
      <w:pPr>
        <w:ind w:left="-566" w:right="-1417"/>
      </w:pPr>
    </w:p>
    <w:p w:rsidR="008721F3" w:rsidRDefault="008721F3">
      <w:pPr>
        <w:ind w:left="-566" w:right="-1417"/>
      </w:pPr>
    </w:p>
    <w:sectPr w:rsidR="008721F3">
      <w:headerReference w:type="default" r:id="rId9"/>
      <w:footerReference w:type="default" r:id="rId10"/>
      <w:headerReference w:type="first" r:id="rId11"/>
      <w:footerReference w:type="first" r:id="rId12"/>
      <w:pgSz w:w="12240" w:h="15840"/>
      <w:pgMar w:top="2410" w:right="2324"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84C" w:rsidRDefault="0091084C">
      <w:r>
        <w:separator/>
      </w:r>
    </w:p>
  </w:endnote>
  <w:endnote w:type="continuationSeparator" w:id="0">
    <w:p w:rsidR="0091084C" w:rsidRDefault="0091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FF" w:rsidRDefault="002A18F9">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721F3">
      <w:rPr>
        <w:rFonts w:ascii="Arial" w:eastAsia="Arial" w:hAnsi="Arial" w:cs="Arial"/>
        <w:b/>
        <w:noProof/>
        <w:color w:val="000000"/>
        <w:sz w:val="20"/>
        <w:szCs w:val="20"/>
      </w:rPr>
      <w:t>46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721F3">
      <w:rPr>
        <w:rFonts w:ascii="Arial" w:eastAsia="Arial" w:hAnsi="Arial" w:cs="Arial"/>
        <w:b/>
        <w:noProof/>
        <w:color w:val="000000"/>
        <w:sz w:val="20"/>
        <w:szCs w:val="20"/>
      </w:rPr>
      <w:t>48</w:t>
    </w:r>
    <w:r>
      <w:rPr>
        <w:rFonts w:ascii="Arial" w:eastAsia="Arial" w:hAnsi="Arial" w:cs="Arial"/>
        <w:b/>
        <w:color w:val="000000"/>
        <w:sz w:val="20"/>
        <w:szCs w:val="20"/>
      </w:rPr>
      <w:fldChar w:fldCharType="end"/>
    </w:r>
  </w:p>
  <w:p w:rsidR="00925CFF" w:rsidRDefault="00925CFF">
    <w:pPr>
      <w:pBdr>
        <w:top w:val="nil"/>
        <w:left w:val="nil"/>
        <w:bottom w:val="nil"/>
        <w:right w:val="nil"/>
        <w:between w:val="nil"/>
      </w:pBdr>
      <w:tabs>
        <w:tab w:val="center" w:pos="4252"/>
        <w:tab w:val="right" w:pos="8504"/>
      </w:tabs>
      <w:rPr>
        <w:color w:val="000000"/>
      </w:rPr>
    </w:pPr>
  </w:p>
  <w:p w:rsidR="00925CFF" w:rsidRDefault="00925CFF">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FF" w:rsidRDefault="002A18F9">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721F3">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721F3">
      <w:rPr>
        <w:rFonts w:ascii="Arial" w:eastAsia="Arial" w:hAnsi="Arial" w:cs="Arial"/>
        <w:b/>
        <w:noProof/>
        <w:color w:val="000000"/>
        <w:sz w:val="20"/>
        <w:szCs w:val="20"/>
      </w:rPr>
      <w:t>48</w:t>
    </w:r>
    <w:r>
      <w:rPr>
        <w:rFonts w:ascii="Arial" w:eastAsia="Arial" w:hAnsi="Arial" w:cs="Arial"/>
        <w:b/>
        <w:color w:val="000000"/>
        <w:sz w:val="20"/>
        <w:szCs w:val="20"/>
      </w:rPr>
      <w:fldChar w:fldCharType="end"/>
    </w:r>
  </w:p>
  <w:p w:rsidR="00925CFF" w:rsidRDefault="00925CFF">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84C" w:rsidRDefault="0091084C">
      <w:r>
        <w:separator/>
      </w:r>
    </w:p>
  </w:footnote>
  <w:footnote w:type="continuationSeparator" w:id="0">
    <w:p w:rsidR="0091084C" w:rsidRDefault="0091084C">
      <w:r>
        <w:continuationSeparator/>
      </w:r>
    </w:p>
  </w:footnote>
  <w:footnote w:id="1">
    <w:p w:rsidR="00925CFF" w:rsidRDefault="002A18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925CFF" w:rsidRDefault="002A18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925CFF" w:rsidRDefault="002A18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925CFF" w:rsidRDefault="002A18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FF" w:rsidRDefault="00925CFF">
    <w:pPr>
      <w:widowControl w:val="0"/>
      <w:pBdr>
        <w:top w:val="nil"/>
        <w:left w:val="nil"/>
        <w:bottom w:val="nil"/>
        <w:right w:val="nil"/>
        <w:between w:val="nil"/>
      </w:pBdr>
      <w:spacing w:line="276" w:lineRule="auto"/>
      <w:rPr>
        <w:color w:val="000000"/>
        <w:sz w:val="20"/>
        <w:szCs w:val="20"/>
      </w:rPr>
    </w:pPr>
  </w:p>
  <w:tbl>
    <w:tblPr>
      <w:tblStyle w:val="a0"/>
      <w:tblW w:w="6855" w:type="dxa"/>
      <w:tblInd w:w="3119" w:type="dxa"/>
      <w:tblLayout w:type="fixed"/>
      <w:tblLook w:val="0400" w:firstRow="0" w:lastRow="0" w:firstColumn="0" w:lastColumn="0" w:noHBand="0" w:noVBand="1"/>
    </w:tblPr>
    <w:tblGrid>
      <w:gridCol w:w="2550"/>
      <w:gridCol w:w="4305"/>
    </w:tblGrid>
    <w:tr w:rsidR="00925CFF">
      <w:tc>
        <w:tcPr>
          <w:tcW w:w="2550" w:type="dxa"/>
          <w:vAlign w:val="center"/>
        </w:tcPr>
        <w:p w:rsidR="00925CFF" w:rsidRDefault="002A18F9">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4305" w:type="dxa"/>
          <w:vAlign w:val="center"/>
        </w:tcPr>
        <w:p w:rsidR="00925CFF" w:rsidRDefault="002A18F9">
          <w:pPr>
            <w:ind w:right="-10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02418/INFOEM/IP/RR/2024 </w:t>
          </w:r>
        </w:p>
      </w:tc>
    </w:tr>
    <w:tr w:rsidR="00925CFF">
      <w:trPr>
        <w:trHeight w:val="228"/>
      </w:trPr>
      <w:tc>
        <w:tcPr>
          <w:tcW w:w="2550" w:type="dxa"/>
          <w:vAlign w:val="center"/>
        </w:tcPr>
        <w:p w:rsidR="00925CFF" w:rsidRDefault="002A18F9">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4305" w:type="dxa"/>
          <w:shd w:val="clear" w:color="auto" w:fill="auto"/>
          <w:vAlign w:val="center"/>
        </w:tcPr>
        <w:p w:rsidR="00925CFF" w:rsidRDefault="002A18F9">
          <w:pPr>
            <w:ind w:right="-109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Ayuntamiento de Tlalnepantla de Baz</w:t>
          </w:r>
        </w:p>
      </w:tc>
    </w:tr>
    <w:tr w:rsidR="00925CFF">
      <w:tc>
        <w:tcPr>
          <w:tcW w:w="2550" w:type="dxa"/>
          <w:vAlign w:val="center"/>
        </w:tcPr>
        <w:p w:rsidR="00925CFF" w:rsidRDefault="002A18F9">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4305" w:type="dxa"/>
          <w:vAlign w:val="center"/>
        </w:tcPr>
        <w:p w:rsidR="00925CFF" w:rsidRDefault="002A18F9">
          <w:pPr>
            <w:ind w:right="-10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925CFF" w:rsidRDefault="002A18F9">
    <w:pPr>
      <w:pBdr>
        <w:top w:val="nil"/>
        <w:left w:val="nil"/>
        <w:bottom w:val="nil"/>
        <w:right w:val="nil"/>
        <w:between w:val="nil"/>
      </w:pBdr>
      <w:tabs>
        <w:tab w:val="center" w:pos="4252"/>
        <w:tab w:val="right" w:pos="8504"/>
        <w:tab w:val="left" w:pos="3233"/>
      </w:tabs>
      <w:rPr>
        <w:rFonts w:ascii="Calibri" w:eastAsia="Calibri" w:hAnsi="Calibri" w:cs="Calibri"/>
        <w:color w:val="000000"/>
      </w:rPr>
    </w:pPr>
    <w:r>
      <w:rPr>
        <w:rFonts w:ascii="Calibri" w:eastAsia="Calibri" w:hAnsi="Calibri" w:cs="Calibri"/>
        <w:color w:val="000000"/>
      </w:rPr>
      <w:tab/>
    </w:r>
    <w:r>
      <w:rPr>
        <w:noProof/>
      </w:rPr>
      <w:drawing>
        <wp:anchor distT="0" distB="0" distL="0" distR="0" simplePos="0" relativeHeight="251658240" behindDoc="1" locked="0" layoutInCell="1" hidden="0" allowOverlap="1">
          <wp:simplePos x="0" y="0"/>
          <wp:positionH relativeFrom="column">
            <wp:posOffset>-1213483</wp:posOffset>
          </wp:positionH>
          <wp:positionV relativeFrom="paragraph">
            <wp:posOffset>-1219833</wp:posOffset>
          </wp:positionV>
          <wp:extent cx="7813085" cy="10170000"/>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FF" w:rsidRDefault="002A18F9">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rPr>
      <w:drawing>
        <wp:anchor distT="0" distB="0" distL="0" distR="0" simplePos="0" relativeHeight="251659264" behindDoc="1" locked="0" layoutInCell="1" hidden="0" allowOverlap="1">
          <wp:simplePos x="0" y="0"/>
          <wp:positionH relativeFrom="column">
            <wp:posOffset>-1078863</wp:posOffset>
          </wp:positionH>
          <wp:positionV relativeFrom="paragraph">
            <wp:posOffset>-411477</wp:posOffset>
          </wp:positionV>
          <wp:extent cx="7813085" cy="10170000"/>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Style w:val="a1"/>
      <w:tblW w:w="6660" w:type="dxa"/>
      <w:tblInd w:w="3495" w:type="dxa"/>
      <w:tblLayout w:type="fixed"/>
      <w:tblLook w:val="0400" w:firstRow="0" w:lastRow="0" w:firstColumn="0" w:lastColumn="0" w:noHBand="0" w:noVBand="1"/>
    </w:tblPr>
    <w:tblGrid>
      <w:gridCol w:w="2977"/>
      <w:gridCol w:w="3683"/>
    </w:tblGrid>
    <w:tr w:rsidR="00925CFF">
      <w:trPr>
        <w:trHeight w:val="227"/>
      </w:trPr>
      <w:tc>
        <w:tcPr>
          <w:tcW w:w="2977" w:type="dxa"/>
          <w:vAlign w:val="center"/>
        </w:tcPr>
        <w:p w:rsidR="00925CFF" w:rsidRDefault="002A18F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925CFF" w:rsidRDefault="002A18F9">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02418/INFOEM/IP/RR/2024</w:t>
          </w:r>
        </w:p>
      </w:tc>
    </w:tr>
    <w:tr w:rsidR="00925CFF">
      <w:trPr>
        <w:trHeight w:val="242"/>
      </w:trPr>
      <w:tc>
        <w:tcPr>
          <w:tcW w:w="2977" w:type="dxa"/>
          <w:vAlign w:val="center"/>
        </w:tcPr>
        <w:p w:rsidR="00925CFF" w:rsidRDefault="002A18F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925CFF" w:rsidRDefault="00925CFF">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sz w:val="22"/>
              <w:szCs w:val="22"/>
              <w:highlight w:val="green"/>
            </w:rPr>
          </w:pPr>
        </w:p>
      </w:tc>
    </w:tr>
    <w:tr w:rsidR="00925CFF">
      <w:trPr>
        <w:trHeight w:val="342"/>
      </w:trPr>
      <w:tc>
        <w:tcPr>
          <w:tcW w:w="2977" w:type="dxa"/>
          <w:vAlign w:val="center"/>
        </w:tcPr>
        <w:p w:rsidR="00925CFF" w:rsidRDefault="002A18F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925CFF" w:rsidRDefault="002A18F9">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Tlalnepantla de Baz</w:t>
          </w:r>
        </w:p>
      </w:tc>
    </w:tr>
    <w:tr w:rsidR="00925CFF">
      <w:trPr>
        <w:trHeight w:val="342"/>
      </w:trPr>
      <w:tc>
        <w:tcPr>
          <w:tcW w:w="2977" w:type="dxa"/>
          <w:vAlign w:val="center"/>
        </w:tcPr>
        <w:p w:rsidR="00925CFF" w:rsidRDefault="002A18F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925CFF" w:rsidRDefault="002A18F9">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925CFF" w:rsidRDefault="00925CFF">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3A3E"/>
    <w:multiLevelType w:val="multilevel"/>
    <w:tmpl w:val="3DFEC3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EF43EC"/>
    <w:multiLevelType w:val="multilevel"/>
    <w:tmpl w:val="DEFA9C38"/>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nsid w:val="03BE4CE0"/>
    <w:multiLevelType w:val="multilevel"/>
    <w:tmpl w:val="C9B47196"/>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
    <w:nsid w:val="107E5A01"/>
    <w:multiLevelType w:val="multilevel"/>
    <w:tmpl w:val="22DA752A"/>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
    <w:nsid w:val="21EB6C24"/>
    <w:multiLevelType w:val="hybridMultilevel"/>
    <w:tmpl w:val="C44E97D4"/>
    <w:lvl w:ilvl="0" w:tplc="080A0001">
      <w:start w:val="1"/>
      <w:numFmt w:val="bullet"/>
      <w:lvlText w:val=""/>
      <w:lvlJc w:val="left"/>
      <w:pPr>
        <w:ind w:left="154" w:hanging="360"/>
      </w:pPr>
      <w:rPr>
        <w:rFonts w:ascii="Symbol" w:hAnsi="Symbol" w:hint="default"/>
      </w:rPr>
    </w:lvl>
    <w:lvl w:ilvl="1" w:tplc="080A0003" w:tentative="1">
      <w:start w:val="1"/>
      <w:numFmt w:val="bullet"/>
      <w:lvlText w:val="o"/>
      <w:lvlJc w:val="left"/>
      <w:pPr>
        <w:ind w:left="874" w:hanging="360"/>
      </w:pPr>
      <w:rPr>
        <w:rFonts w:ascii="Courier New" w:hAnsi="Courier New" w:cs="Courier New" w:hint="default"/>
      </w:rPr>
    </w:lvl>
    <w:lvl w:ilvl="2" w:tplc="080A0005" w:tentative="1">
      <w:start w:val="1"/>
      <w:numFmt w:val="bullet"/>
      <w:lvlText w:val=""/>
      <w:lvlJc w:val="left"/>
      <w:pPr>
        <w:ind w:left="1594" w:hanging="360"/>
      </w:pPr>
      <w:rPr>
        <w:rFonts w:ascii="Wingdings" w:hAnsi="Wingdings" w:hint="default"/>
      </w:rPr>
    </w:lvl>
    <w:lvl w:ilvl="3" w:tplc="080A0001" w:tentative="1">
      <w:start w:val="1"/>
      <w:numFmt w:val="bullet"/>
      <w:lvlText w:val=""/>
      <w:lvlJc w:val="left"/>
      <w:pPr>
        <w:ind w:left="2314" w:hanging="360"/>
      </w:pPr>
      <w:rPr>
        <w:rFonts w:ascii="Symbol" w:hAnsi="Symbol" w:hint="default"/>
      </w:rPr>
    </w:lvl>
    <w:lvl w:ilvl="4" w:tplc="080A0003" w:tentative="1">
      <w:start w:val="1"/>
      <w:numFmt w:val="bullet"/>
      <w:lvlText w:val="o"/>
      <w:lvlJc w:val="left"/>
      <w:pPr>
        <w:ind w:left="3034" w:hanging="360"/>
      </w:pPr>
      <w:rPr>
        <w:rFonts w:ascii="Courier New" w:hAnsi="Courier New" w:cs="Courier New" w:hint="default"/>
      </w:rPr>
    </w:lvl>
    <w:lvl w:ilvl="5" w:tplc="080A0005" w:tentative="1">
      <w:start w:val="1"/>
      <w:numFmt w:val="bullet"/>
      <w:lvlText w:val=""/>
      <w:lvlJc w:val="left"/>
      <w:pPr>
        <w:ind w:left="3754" w:hanging="360"/>
      </w:pPr>
      <w:rPr>
        <w:rFonts w:ascii="Wingdings" w:hAnsi="Wingdings" w:hint="default"/>
      </w:rPr>
    </w:lvl>
    <w:lvl w:ilvl="6" w:tplc="080A0001" w:tentative="1">
      <w:start w:val="1"/>
      <w:numFmt w:val="bullet"/>
      <w:lvlText w:val=""/>
      <w:lvlJc w:val="left"/>
      <w:pPr>
        <w:ind w:left="4474" w:hanging="360"/>
      </w:pPr>
      <w:rPr>
        <w:rFonts w:ascii="Symbol" w:hAnsi="Symbol" w:hint="default"/>
      </w:rPr>
    </w:lvl>
    <w:lvl w:ilvl="7" w:tplc="080A0003" w:tentative="1">
      <w:start w:val="1"/>
      <w:numFmt w:val="bullet"/>
      <w:lvlText w:val="o"/>
      <w:lvlJc w:val="left"/>
      <w:pPr>
        <w:ind w:left="5194" w:hanging="360"/>
      </w:pPr>
      <w:rPr>
        <w:rFonts w:ascii="Courier New" w:hAnsi="Courier New" w:cs="Courier New" w:hint="default"/>
      </w:rPr>
    </w:lvl>
    <w:lvl w:ilvl="8" w:tplc="080A0005" w:tentative="1">
      <w:start w:val="1"/>
      <w:numFmt w:val="bullet"/>
      <w:lvlText w:val=""/>
      <w:lvlJc w:val="left"/>
      <w:pPr>
        <w:ind w:left="5914" w:hanging="360"/>
      </w:pPr>
      <w:rPr>
        <w:rFonts w:ascii="Wingdings" w:hAnsi="Wingdings" w:hint="default"/>
      </w:rPr>
    </w:lvl>
  </w:abstractNum>
  <w:abstractNum w:abstractNumId="5">
    <w:nsid w:val="24AC1FEA"/>
    <w:multiLevelType w:val="multilevel"/>
    <w:tmpl w:val="3DEC0A46"/>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6">
    <w:nsid w:val="27C14795"/>
    <w:multiLevelType w:val="multilevel"/>
    <w:tmpl w:val="DDDA88D6"/>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1353"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E94AC9"/>
    <w:multiLevelType w:val="multilevel"/>
    <w:tmpl w:val="670A640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430367B"/>
    <w:multiLevelType w:val="multilevel"/>
    <w:tmpl w:val="813E99E8"/>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nsid w:val="4BE3114F"/>
    <w:multiLevelType w:val="multilevel"/>
    <w:tmpl w:val="6A20B30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0">
    <w:nsid w:val="4E6828AB"/>
    <w:multiLevelType w:val="multilevel"/>
    <w:tmpl w:val="E3560922"/>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1">
    <w:nsid w:val="4E75261A"/>
    <w:multiLevelType w:val="multilevel"/>
    <w:tmpl w:val="E43218E8"/>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2">
    <w:nsid w:val="50BF0292"/>
    <w:multiLevelType w:val="multilevel"/>
    <w:tmpl w:val="B7BC15D2"/>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3">
    <w:nsid w:val="546A218F"/>
    <w:multiLevelType w:val="multilevel"/>
    <w:tmpl w:val="4F781D94"/>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4">
    <w:nsid w:val="7B3D3646"/>
    <w:multiLevelType w:val="multilevel"/>
    <w:tmpl w:val="9AA40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6"/>
  </w:num>
  <w:num w:numId="3">
    <w:abstractNumId w:val="1"/>
  </w:num>
  <w:num w:numId="4">
    <w:abstractNumId w:val="10"/>
  </w:num>
  <w:num w:numId="5">
    <w:abstractNumId w:val="11"/>
  </w:num>
  <w:num w:numId="6">
    <w:abstractNumId w:val="14"/>
  </w:num>
  <w:num w:numId="7">
    <w:abstractNumId w:val="5"/>
  </w:num>
  <w:num w:numId="8">
    <w:abstractNumId w:val="12"/>
  </w:num>
  <w:num w:numId="9">
    <w:abstractNumId w:val="8"/>
  </w:num>
  <w:num w:numId="10">
    <w:abstractNumId w:val="2"/>
  </w:num>
  <w:num w:numId="11">
    <w:abstractNumId w:val="3"/>
  </w:num>
  <w:num w:numId="12">
    <w:abstractNumId w:val="7"/>
  </w:num>
  <w:num w:numId="13">
    <w:abstractNumId w:val="13"/>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FF"/>
    <w:rsid w:val="002A18F9"/>
    <w:rsid w:val="003D52F3"/>
    <w:rsid w:val="008721F3"/>
    <w:rsid w:val="008A184E"/>
    <w:rsid w:val="0091084C"/>
    <w:rsid w:val="00925CFF"/>
    <w:rsid w:val="00A33C77"/>
    <w:rsid w:val="00B85104"/>
    <w:rsid w:val="00D16E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6AFF4-AE64-4C9C-8FDB-BBA45ACD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2AC"/>
  </w:style>
  <w:style w:type="paragraph" w:styleId="Ttulo1">
    <w:name w:val="heading 1"/>
    <w:basedOn w:val="Normal"/>
    <w:next w:val="Normal"/>
    <w:link w:val="Ttulo1Car"/>
    <w:uiPriority w:val="9"/>
    <w:qFormat/>
    <w:rsid w:val="00BA02AC"/>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BA02AC"/>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BA02AC"/>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BA02AC"/>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6253A2"/>
    <w:pPr>
      <w:tabs>
        <w:tab w:val="center" w:pos="4419"/>
        <w:tab w:val="right" w:pos="8838"/>
      </w:tabs>
    </w:pPr>
  </w:style>
  <w:style w:type="character" w:customStyle="1" w:styleId="EncabezadoCar">
    <w:name w:val="Encabezado Car"/>
    <w:basedOn w:val="Fuentedeprrafopredeter"/>
    <w:link w:val="Encabezado"/>
    <w:uiPriority w:val="99"/>
    <w:rsid w:val="006253A2"/>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6253A2"/>
    <w:pPr>
      <w:tabs>
        <w:tab w:val="center" w:pos="4419"/>
        <w:tab w:val="right" w:pos="8838"/>
      </w:tabs>
    </w:pPr>
  </w:style>
  <w:style w:type="character" w:customStyle="1" w:styleId="PiedepginaCar">
    <w:name w:val="Pie de página Car"/>
    <w:basedOn w:val="Fuentedeprrafopredeter"/>
    <w:link w:val="Piedepgina"/>
    <w:uiPriority w:val="99"/>
    <w:rsid w:val="006253A2"/>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0046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46F0B"/>
    <w:rPr>
      <w:rFonts w:ascii="Times New Roman" w:eastAsia="Times New Roman" w:hAnsi="Times New Roman" w:cs="Times New Roman"/>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902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mawww.sat.gob.mx/factura/Paginas/solicita_requisito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n4nigm8WZp1ya2CFvxU5o+qRRg==">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13373</Words>
  <Characters>73554</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INFOEM416</cp:lastModifiedBy>
  <cp:revision>4</cp:revision>
  <cp:lastPrinted>2025-02-27T17:09:00Z</cp:lastPrinted>
  <dcterms:created xsi:type="dcterms:W3CDTF">2025-02-24T17:42:00Z</dcterms:created>
  <dcterms:modified xsi:type="dcterms:W3CDTF">2025-02-27T17:09:00Z</dcterms:modified>
</cp:coreProperties>
</file>