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13F28" w14:textId="77777777" w:rsidR="00D33952" w:rsidRPr="009D7F0A" w:rsidRDefault="00D147BA">
      <w:pPr>
        <w:tabs>
          <w:tab w:val="left" w:pos="4962"/>
        </w:tabs>
        <w:spacing w:before="240" w:after="240" w:line="360" w:lineRule="auto"/>
        <w:ind w:right="49"/>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catorce de mayo de dos mil veinticinco.</w:t>
      </w:r>
    </w:p>
    <w:p w14:paraId="49F0CB41" w14:textId="4612E954"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b/>
          <w:sz w:val="24"/>
          <w:szCs w:val="24"/>
        </w:rPr>
        <w:t xml:space="preserve">Vistos </w:t>
      </w:r>
      <w:r w:rsidRPr="009D7F0A">
        <w:rPr>
          <w:rFonts w:ascii="Palatino Linotype" w:eastAsia="Palatino Linotype" w:hAnsi="Palatino Linotype" w:cs="Palatino Linotype"/>
          <w:sz w:val="24"/>
          <w:szCs w:val="24"/>
        </w:rPr>
        <w:t xml:space="preserve">los expedientes relativos a los recursos de revisión </w:t>
      </w:r>
      <w:r w:rsidRPr="009D7F0A">
        <w:rPr>
          <w:rFonts w:ascii="Palatino Linotype" w:eastAsia="Palatino Linotype" w:hAnsi="Palatino Linotype" w:cs="Palatino Linotype"/>
          <w:b/>
          <w:sz w:val="24"/>
          <w:szCs w:val="24"/>
        </w:rPr>
        <w:t xml:space="preserve">02554/INFOEM/IP/RR/2025 </w:t>
      </w:r>
      <w:r w:rsidRPr="009D7F0A">
        <w:rPr>
          <w:rFonts w:ascii="Palatino Linotype" w:eastAsia="Palatino Linotype" w:hAnsi="Palatino Linotype" w:cs="Palatino Linotype"/>
          <w:sz w:val="24"/>
          <w:szCs w:val="24"/>
        </w:rPr>
        <w:t>y</w:t>
      </w:r>
      <w:r w:rsidRPr="009D7F0A">
        <w:rPr>
          <w:rFonts w:ascii="Palatino Linotype" w:eastAsia="Palatino Linotype" w:hAnsi="Palatino Linotype" w:cs="Palatino Linotype"/>
          <w:b/>
          <w:sz w:val="24"/>
          <w:szCs w:val="24"/>
        </w:rPr>
        <w:t xml:space="preserve"> 02555/INFOEM/IP/RR/2025, acumulados, </w:t>
      </w:r>
      <w:r w:rsidRPr="009D7F0A">
        <w:rPr>
          <w:rFonts w:ascii="Palatino Linotype" w:eastAsia="Palatino Linotype" w:hAnsi="Palatino Linotype" w:cs="Palatino Linotype"/>
          <w:sz w:val="24"/>
          <w:szCs w:val="24"/>
        </w:rPr>
        <w:t>interpuestos por</w:t>
      </w:r>
      <w:r w:rsidRPr="009D7F0A">
        <w:rPr>
          <w:rFonts w:ascii="Palatino Linotype" w:eastAsia="Palatino Linotype" w:hAnsi="Palatino Linotype" w:cs="Palatino Linotype"/>
          <w:b/>
          <w:sz w:val="24"/>
          <w:szCs w:val="24"/>
        </w:rPr>
        <w:t xml:space="preserve"> </w:t>
      </w:r>
      <w:r w:rsidR="00FD7545" w:rsidRPr="00FD7545">
        <w:rPr>
          <w:rFonts w:ascii="Palatino Linotype" w:eastAsia="Palatino Linotype" w:hAnsi="Palatino Linotype" w:cs="Palatino Linotype"/>
          <w:b/>
          <w:sz w:val="24"/>
          <w:szCs w:val="24"/>
        </w:rPr>
        <w:t>XXXX XXXXXXX XXXXXX</w:t>
      </w:r>
      <w:r w:rsidRPr="009D7F0A">
        <w:rPr>
          <w:rFonts w:ascii="Palatino Linotype" w:eastAsia="Palatino Linotype" w:hAnsi="Palatino Linotype" w:cs="Palatino Linotype"/>
          <w:sz w:val="24"/>
          <w:szCs w:val="24"/>
        </w:rPr>
        <w:t xml:space="preserve">, en lo sucesivo la parte </w:t>
      </w:r>
      <w:r w:rsidRPr="009D7F0A">
        <w:rPr>
          <w:rFonts w:ascii="Palatino Linotype" w:eastAsia="Palatino Linotype" w:hAnsi="Palatino Linotype" w:cs="Palatino Linotype"/>
          <w:b/>
          <w:sz w:val="24"/>
          <w:szCs w:val="24"/>
        </w:rPr>
        <w:t>Recurrente</w:t>
      </w:r>
      <w:r w:rsidRPr="009D7F0A">
        <w:rPr>
          <w:rFonts w:ascii="Palatino Linotype" w:eastAsia="Palatino Linotype" w:hAnsi="Palatino Linotype" w:cs="Palatino Linotype"/>
          <w:sz w:val="24"/>
          <w:szCs w:val="24"/>
        </w:rPr>
        <w:t xml:space="preserve">, en contra de la respuesta a las solicitudes de información con números de folio </w:t>
      </w:r>
      <w:r w:rsidRPr="009D7F0A">
        <w:rPr>
          <w:rFonts w:ascii="Palatino Linotype" w:eastAsia="Palatino Linotype" w:hAnsi="Palatino Linotype" w:cs="Palatino Linotype"/>
          <w:b/>
          <w:sz w:val="24"/>
          <w:szCs w:val="24"/>
        </w:rPr>
        <w:t xml:space="preserve">00031/OASTLALNE/IP/2025 </w:t>
      </w:r>
      <w:r w:rsidRPr="009D7F0A">
        <w:rPr>
          <w:rFonts w:ascii="Palatino Linotype" w:eastAsia="Palatino Linotype" w:hAnsi="Palatino Linotype" w:cs="Palatino Linotype"/>
          <w:sz w:val="24"/>
          <w:szCs w:val="24"/>
        </w:rPr>
        <w:t>y</w:t>
      </w:r>
      <w:r w:rsidRPr="009D7F0A">
        <w:rPr>
          <w:rFonts w:ascii="Palatino Linotype" w:eastAsia="Palatino Linotype" w:hAnsi="Palatino Linotype" w:cs="Palatino Linotype"/>
          <w:b/>
          <w:sz w:val="24"/>
          <w:szCs w:val="24"/>
        </w:rPr>
        <w:t xml:space="preserve"> 00032/OASTLALNE/IP/2025, </w:t>
      </w:r>
      <w:r w:rsidRPr="009D7F0A">
        <w:rPr>
          <w:rFonts w:ascii="Palatino Linotype" w:eastAsia="Palatino Linotype" w:hAnsi="Palatino Linotype" w:cs="Palatino Linotype"/>
          <w:sz w:val="24"/>
          <w:szCs w:val="24"/>
        </w:rPr>
        <w:t xml:space="preserve">por parte del </w:t>
      </w:r>
      <w:r w:rsidRPr="009D7F0A">
        <w:rPr>
          <w:rFonts w:ascii="Palatino Linotype" w:eastAsia="Palatino Linotype" w:hAnsi="Palatino Linotype" w:cs="Palatino Linotype"/>
          <w:b/>
          <w:sz w:val="24"/>
          <w:szCs w:val="24"/>
        </w:rPr>
        <w:t xml:space="preserve">Organismo Público Descentralizado para la Prestación de Los Servicios de Agua Potable Alcantarillado y Saneamiento del Municipio de Tlalnepantla de Baz, </w:t>
      </w:r>
      <w:r w:rsidRPr="009D7F0A">
        <w:rPr>
          <w:rFonts w:ascii="Palatino Linotype" w:eastAsia="Palatino Linotype" w:hAnsi="Palatino Linotype" w:cs="Palatino Linotype"/>
          <w:sz w:val="24"/>
          <w:szCs w:val="24"/>
        </w:rPr>
        <w:t xml:space="preserve">en lo sucesivo el </w:t>
      </w:r>
      <w:r w:rsidRPr="009D7F0A">
        <w:rPr>
          <w:rFonts w:ascii="Palatino Linotype" w:eastAsia="Palatino Linotype" w:hAnsi="Palatino Linotype" w:cs="Palatino Linotype"/>
          <w:b/>
          <w:sz w:val="24"/>
          <w:szCs w:val="24"/>
        </w:rPr>
        <w:t xml:space="preserve">Sujeto Obligado; </w:t>
      </w:r>
      <w:r w:rsidRPr="009D7F0A">
        <w:rPr>
          <w:rFonts w:ascii="Palatino Linotype" w:eastAsia="Palatino Linotype" w:hAnsi="Palatino Linotype" w:cs="Palatino Linotype"/>
          <w:sz w:val="24"/>
          <w:szCs w:val="24"/>
        </w:rPr>
        <w:t>se procede a dictar la presente resolución, con base en lo siguiente:</w:t>
      </w:r>
    </w:p>
    <w:p w14:paraId="35B261C4" w14:textId="77777777" w:rsidR="00D33952" w:rsidRPr="009D7F0A" w:rsidRDefault="00D147BA">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4"/>
          <w:szCs w:val="24"/>
        </w:rPr>
      </w:pPr>
      <w:r w:rsidRPr="009D7F0A">
        <w:rPr>
          <w:rFonts w:ascii="Palatino Linotype" w:eastAsia="Palatino Linotype" w:hAnsi="Palatino Linotype" w:cs="Palatino Linotype"/>
          <w:b/>
          <w:sz w:val="24"/>
          <w:szCs w:val="24"/>
        </w:rPr>
        <w:t>I. A N T E C E D E N T E S:</w:t>
      </w:r>
    </w:p>
    <w:p w14:paraId="175D7E49" w14:textId="77777777" w:rsidR="00D33952" w:rsidRPr="009D7F0A" w:rsidRDefault="00D147BA">
      <w:pPr>
        <w:spacing w:before="240" w:after="240" w:line="360" w:lineRule="auto"/>
        <w:jc w:val="both"/>
        <w:rPr>
          <w:rFonts w:ascii="Palatino Linotype" w:eastAsia="Palatino Linotype" w:hAnsi="Palatino Linotype" w:cs="Palatino Linotype"/>
          <w:b/>
          <w:sz w:val="24"/>
          <w:szCs w:val="24"/>
        </w:rPr>
      </w:pPr>
      <w:bookmarkStart w:id="0" w:name="_heading=h.wdmskc9g51xd" w:colFirst="0" w:colLast="0"/>
      <w:bookmarkEnd w:id="0"/>
      <w:r w:rsidRPr="009D7F0A">
        <w:rPr>
          <w:rFonts w:ascii="Palatino Linotype" w:eastAsia="Palatino Linotype" w:hAnsi="Palatino Linotype" w:cs="Palatino Linotype"/>
          <w:b/>
          <w:sz w:val="24"/>
          <w:szCs w:val="24"/>
        </w:rPr>
        <w:t>1.</w:t>
      </w:r>
      <w:r w:rsidRPr="009D7F0A">
        <w:rPr>
          <w:rFonts w:ascii="Palatino Linotype" w:eastAsia="Palatino Linotype" w:hAnsi="Palatino Linotype" w:cs="Palatino Linotype"/>
          <w:sz w:val="24"/>
          <w:szCs w:val="24"/>
        </w:rPr>
        <w:t xml:space="preserve"> </w:t>
      </w:r>
      <w:r w:rsidRPr="009D7F0A">
        <w:rPr>
          <w:rFonts w:ascii="Palatino Linotype" w:eastAsia="Palatino Linotype" w:hAnsi="Palatino Linotype" w:cs="Palatino Linotype"/>
          <w:b/>
          <w:sz w:val="24"/>
          <w:szCs w:val="24"/>
        </w:rPr>
        <w:t xml:space="preserve">Solicitudes de acceso a la Información. </w:t>
      </w:r>
      <w:r w:rsidRPr="009D7F0A">
        <w:rPr>
          <w:rFonts w:ascii="Palatino Linotype" w:eastAsia="Palatino Linotype" w:hAnsi="Palatino Linotype" w:cs="Palatino Linotype"/>
          <w:sz w:val="24"/>
          <w:szCs w:val="24"/>
        </w:rPr>
        <w:t xml:space="preserve">El </w:t>
      </w:r>
      <w:r w:rsidRPr="009D7F0A">
        <w:rPr>
          <w:rFonts w:ascii="Palatino Linotype" w:eastAsia="Palatino Linotype" w:hAnsi="Palatino Linotype" w:cs="Palatino Linotype"/>
          <w:b/>
          <w:sz w:val="24"/>
          <w:szCs w:val="24"/>
        </w:rPr>
        <w:t xml:space="preserve">veintiuno de enero de dos mil veinticinco, </w:t>
      </w:r>
      <w:r w:rsidRPr="009D7F0A">
        <w:rPr>
          <w:rFonts w:ascii="Palatino Linotype" w:eastAsia="Palatino Linotype" w:hAnsi="Palatino Linotype" w:cs="Palatino Linotype"/>
          <w:sz w:val="24"/>
          <w:szCs w:val="24"/>
        </w:rPr>
        <w:t xml:space="preserve">la parte </w:t>
      </w:r>
      <w:r w:rsidRPr="009D7F0A">
        <w:rPr>
          <w:rFonts w:ascii="Palatino Linotype" w:eastAsia="Palatino Linotype" w:hAnsi="Palatino Linotype" w:cs="Palatino Linotype"/>
          <w:b/>
          <w:sz w:val="24"/>
          <w:szCs w:val="24"/>
        </w:rPr>
        <w:t xml:space="preserve">Recurrente </w:t>
      </w:r>
      <w:r w:rsidRPr="009D7F0A">
        <w:rPr>
          <w:rFonts w:ascii="Palatino Linotype" w:eastAsia="Palatino Linotype" w:hAnsi="Palatino Linotype" w:cs="Palatino Linotype"/>
          <w:sz w:val="24"/>
          <w:szCs w:val="24"/>
        </w:rPr>
        <w:t xml:space="preserve">presentó, las solicitudes de acceso a la información pública, ante el </w:t>
      </w:r>
      <w:r w:rsidRPr="009D7F0A">
        <w:rPr>
          <w:rFonts w:ascii="Palatino Linotype" w:eastAsia="Palatino Linotype" w:hAnsi="Palatino Linotype" w:cs="Palatino Linotype"/>
          <w:b/>
          <w:sz w:val="24"/>
          <w:szCs w:val="24"/>
        </w:rPr>
        <w:t>Sujeto Obligado</w:t>
      </w:r>
      <w:r w:rsidRPr="009D7F0A">
        <w:rPr>
          <w:rFonts w:ascii="Palatino Linotype" w:eastAsia="Palatino Linotype" w:hAnsi="Palatino Linotype" w:cs="Palatino Linotype"/>
          <w:sz w:val="24"/>
          <w:szCs w:val="24"/>
        </w:rPr>
        <w:t xml:space="preserve">, a través del Sistema de Acceso a la Información Mexiquense, en lo subsecuente el </w:t>
      </w:r>
      <w:r w:rsidRPr="009D7F0A">
        <w:rPr>
          <w:rFonts w:ascii="Palatino Linotype" w:eastAsia="Palatino Linotype" w:hAnsi="Palatino Linotype" w:cs="Palatino Linotype"/>
          <w:b/>
          <w:sz w:val="24"/>
          <w:szCs w:val="24"/>
        </w:rPr>
        <w:t xml:space="preserve">SAIMEX, </w:t>
      </w:r>
      <w:r w:rsidRPr="009D7F0A">
        <w:rPr>
          <w:rFonts w:ascii="Palatino Linotype" w:eastAsia="Palatino Linotype" w:hAnsi="Palatino Linotype" w:cs="Palatino Linotype"/>
          <w:sz w:val="24"/>
          <w:szCs w:val="24"/>
        </w:rPr>
        <w:t>mediante las cuales requirió la entrega de lo siguiente:</w:t>
      </w:r>
    </w:p>
    <w:tbl>
      <w:tblPr>
        <w:tblStyle w:val="afffff3"/>
        <w:tblW w:w="88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1"/>
        <w:gridCol w:w="5670"/>
      </w:tblGrid>
      <w:tr w:rsidR="00162592" w:rsidRPr="009D7F0A" w14:paraId="09149833" w14:textId="77777777">
        <w:trPr>
          <w:jc w:val="center"/>
        </w:trPr>
        <w:tc>
          <w:tcPr>
            <w:tcW w:w="3141" w:type="dxa"/>
            <w:shd w:val="clear" w:color="auto" w:fill="BFBFBF"/>
            <w:vAlign w:val="center"/>
          </w:tcPr>
          <w:p w14:paraId="78C28770" w14:textId="77777777" w:rsidR="00D33952" w:rsidRPr="009D7F0A" w:rsidRDefault="00D147BA">
            <w:pPr>
              <w:spacing w:before="120" w:after="120" w:line="240" w:lineRule="auto"/>
              <w:jc w:val="center"/>
              <w:rPr>
                <w:rFonts w:ascii="Palatino Linotype" w:eastAsia="Palatino Linotype" w:hAnsi="Palatino Linotype" w:cs="Palatino Linotype"/>
                <w:b/>
                <w:i/>
                <w:sz w:val="20"/>
                <w:szCs w:val="20"/>
              </w:rPr>
            </w:pPr>
            <w:bookmarkStart w:id="1" w:name="_heading=h.1fob9te" w:colFirst="0" w:colLast="0"/>
            <w:bookmarkEnd w:id="1"/>
            <w:r w:rsidRPr="009D7F0A">
              <w:rPr>
                <w:rFonts w:ascii="Palatino Linotype" w:eastAsia="Palatino Linotype" w:hAnsi="Palatino Linotype" w:cs="Palatino Linotype"/>
                <w:b/>
                <w:sz w:val="20"/>
                <w:szCs w:val="20"/>
              </w:rPr>
              <w:lastRenderedPageBreak/>
              <w:t>Número de solicitud</w:t>
            </w:r>
          </w:p>
        </w:tc>
        <w:tc>
          <w:tcPr>
            <w:tcW w:w="5670" w:type="dxa"/>
            <w:shd w:val="clear" w:color="auto" w:fill="BFBFBF"/>
            <w:vAlign w:val="center"/>
          </w:tcPr>
          <w:p w14:paraId="59D2DA7B" w14:textId="77777777" w:rsidR="00D33952" w:rsidRPr="009D7F0A" w:rsidRDefault="00D147BA">
            <w:pPr>
              <w:spacing w:before="120" w:after="120" w:line="240" w:lineRule="auto"/>
              <w:jc w:val="center"/>
              <w:rPr>
                <w:rFonts w:ascii="Palatino Linotype" w:eastAsia="Palatino Linotype" w:hAnsi="Palatino Linotype" w:cs="Palatino Linotype"/>
                <w:b/>
                <w:i/>
                <w:sz w:val="20"/>
                <w:szCs w:val="20"/>
              </w:rPr>
            </w:pPr>
            <w:r w:rsidRPr="009D7F0A">
              <w:rPr>
                <w:rFonts w:ascii="Palatino Linotype" w:eastAsia="Palatino Linotype" w:hAnsi="Palatino Linotype" w:cs="Palatino Linotype"/>
                <w:b/>
                <w:sz w:val="20"/>
                <w:szCs w:val="20"/>
              </w:rPr>
              <w:t>Información solicitada</w:t>
            </w:r>
          </w:p>
        </w:tc>
      </w:tr>
      <w:tr w:rsidR="00162592" w:rsidRPr="009D7F0A" w14:paraId="2BE84617" w14:textId="77777777">
        <w:trPr>
          <w:jc w:val="center"/>
        </w:trPr>
        <w:tc>
          <w:tcPr>
            <w:tcW w:w="3141" w:type="dxa"/>
          </w:tcPr>
          <w:p w14:paraId="761F8523" w14:textId="77777777" w:rsidR="00D33952" w:rsidRPr="009D7F0A" w:rsidRDefault="00D147BA">
            <w:pPr>
              <w:spacing w:before="120" w:after="120" w:line="240" w:lineRule="auto"/>
              <w:jc w:val="center"/>
              <w:rPr>
                <w:rFonts w:ascii="Palatino Linotype" w:eastAsia="Palatino Linotype" w:hAnsi="Palatino Linotype" w:cs="Palatino Linotype"/>
                <w:b/>
                <w:sz w:val="20"/>
                <w:szCs w:val="20"/>
                <w:lang w:val="en-US"/>
              </w:rPr>
            </w:pPr>
            <w:bookmarkStart w:id="2" w:name="_heading=h.3znysh7" w:colFirst="0" w:colLast="0"/>
            <w:bookmarkEnd w:id="2"/>
            <w:r w:rsidRPr="009D7F0A">
              <w:rPr>
                <w:rFonts w:ascii="Palatino Linotype" w:eastAsia="Palatino Linotype" w:hAnsi="Palatino Linotype" w:cs="Palatino Linotype"/>
                <w:b/>
                <w:sz w:val="20"/>
                <w:szCs w:val="20"/>
                <w:lang w:val="en-US"/>
              </w:rPr>
              <w:t>00031/OASTLALNE/IP/2025</w:t>
            </w:r>
          </w:p>
          <w:p w14:paraId="32437ACA" w14:textId="77777777" w:rsidR="00D33952" w:rsidRPr="009D7F0A" w:rsidRDefault="00D147BA">
            <w:pPr>
              <w:spacing w:before="120" w:after="120" w:line="240" w:lineRule="auto"/>
              <w:jc w:val="center"/>
              <w:rPr>
                <w:rFonts w:ascii="Palatino Linotype" w:eastAsia="Palatino Linotype" w:hAnsi="Palatino Linotype" w:cs="Palatino Linotype"/>
                <w:b/>
                <w:i/>
                <w:sz w:val="20"/>
                <w:szCs w:val="20"/>
                <w:lang w:val="en-US"/>
              </w:rPr>
            </w:pPr>
            <w:r w:rsidRPr="009D7F0A">
              <w:rPr>
                <w:rFonts w:ascii="Palatino Linotype" w:eastAsia="Palatino Linotype" w:hAnsi="Palatino Linotype" w:cs="Palatino Linotype"/>
                <w:b/>
                <w:sz w:val="20"/>
                <w:szCs w:val="20"/>
                <w:lang w:val="en-US"/>
              </w:rPr>
              <w:t>02555/INFOEM/IP/RR/2025</w:t>
            </w:r>
          </w:p>
        </w:tc>
        <w:tc>
          <w:tcPr>
            <w:tcW w:w="5670" w:type="dxa"/>
          </w:tcPr>
          <w:p w14:paraId="61CA6096" w14:textId="77777777" w:rsidR="00D33952" w:rsidRPr="009D7F0A" w:rsidRDefault="00D147BA">
            <w:pPr>
              <w:spacing w:before="120" w:after="120" w:line="240" w:lineRule="auto"/>
              <w:jc w:val="both"/>
              <w:rPr>
                <w:rFonts w:ascii="Palatino Linotype" w:eastAsia="Palatino Linotype" w:hAnsi="Palatino Linotype" w:cs="Palatino Linotype"/>
                <w:i/>
                <w:sz w:val="20"/>
                <w:szCs w:val="20"/>
              </w:rPr>
            </w:pPr>
            <w:r w:rsidRPr="009D7F0A">
              <w:rPr>
                <w:rFonts w:ascii="Palatino Linotype" w:eastAsia="Palatino Linotype" w:hAnsi="Palatino Linotype" w:cs="Palatino Linotype"/>
                <w:i/>
                <w:sz w:val="20"/>
                <w:szCs w:val="20"/>
              </w:rPr>
              <w:t>“Solicito en versión publica las renuncias de los servidores públicos director, secretario técnico, secretario particular, coordinadores, directores, subdirectores y jefes departamento y todos los altos mandos que renunciaron al Organismo Público Descentralizado para la Prestación de los Servicios de Agua Potable, Alcantarillado y Saneamiento del Municipio de Tlalnepantla en el mes de diciembre del 2024" (sic)</w:t>
            </w:r>
          </w:p>
        </w:tc>
      </w:tr>
      <w:tr w:rsidR="00162592" w:rsidRPr="009D7F0A" w14:paraId="35FC9D8C" w14:textId="77777777">
        <w:trPr>
          <w:jc w:val="center"/>
        </w:trPr>
        <w:tc>
          <w:tcPr>
            <w:tcW w:w="3141" w:type="dxa"/>
            <w:vAlign w:val="center"/>
          </w:tcPr>
          <w:p w14:paraId="08D5B3E7" w14:textId="77777777" w:rsidR="00D33952" w:rsidRPr="009D7F0A" w:rsidRDefault="00D147BA">
            <w:pPr>
              <w:spacing w:before="120" w:after="120" w:line="240" w:lineRule="auto"/>
              <w:jc w:val="center"/>
              <w:rPr>
                <w:rFonts w:ascii="Palatino Linotype" w:eastAsia="Palatino Linotype" w:hAnsi="Palatino Linotype" w:cs="Palatino Linotype"/>
                <w:b/>
                <w:sz w:val="20"/>
                <w:szCs w:val="20"/>
                <w:lang w:val="en-US"/>
              </w:rPr>
            </w:pPr>
            <w:r w:rsidRPr="009D7F0A">
              <w:rPr>
                <w:rFonts w:ascii="Palatino Linotype" w:eastAsia="Palatino Linotype" w:hAnsi="Palatino Linotype" w:cs="Palatino Linotype"/>
                <w:b/>
                <w:sz w:val="20"/>
                <w:szCs w:val="20"/>
                <w:lang w:val="en-US"/>
              </w:rPr>
              <w:t>00032/OASTLALNE/IP/2025</w:t>
            </w:r>
          </w:p>
          <w:p w14:paraId="09636CB4" w14:textId="77777777" w:rsidR="00D33952" w:rsidRPr="009D7F0A" w:rsidRDefault="00D147BA">
            <w:pPr>
              <w:spacing w:before="120" w:after="120" w:line="240" w:lineRule="auto"/>
              <w:jc w:val="center"/>
              <w:rPr>
                <w:rFonts w:ascii="Palatino Linotype" w:eastAsia="Palatino Linotype" w:hAnsi="Palatino Linotype" w:cs="Palatino Linotype"/>
                <w:b/>
                <w:sz w:val="20"/>
                <w:szCs w:val="20"/>
                <w:lang w:val="en-US"/>
              </w:rPr>
            </w:pPr>
            <w:r w:rsidRPr="009D7F0A">
              <w:rPr>
                <w:rFonts w:ascii="Palatino Linotype" w:eastAsia="Palatino Linotype" w:hAnsi="Palatino Linotype" w:cs="Palatino Linotype"/>
                <w:b/>
                <w:sz w:val="20"/>
                <w:szCs w:val="20"/>
                <w:lang w:val="en-US"/>
              </w:rPr>
              <w:t>02554/INFOEM/IP/RR/2025</w:t>
            </w:r>
          </w:p>
        </w:tc>
        <w:tc>
          <w:tcPr>
            <w:tcW w:w="5670" w:type="dxa"/>
          </w:tcPr>
          <w:p w14:paraId="464DE951" w14:textId="77777777" w:rsidR="00D33952" w:rsidRPr="009D7F0A" w:rsidRDefault="00D147BA">
            <w:pPr>
              <w:spacing w:before="120" w:after="120" w:line="240" w:lineRule="auto"/>
              <w:jc w:val="both"/>
              <w:rPr>
                <w:rFonts w:ascii="Palatino Linotype" w:eastAsia="Palatino Linotype" w:hAnsi="Palatino Linotype" w:cs="Palatino Linotype"/>
                <w:i/>
                <w:sz w:val="20"/>
                <w:szCs w:val="20"/>
              </w:rPr>
            </w:pPr>
            <w:r w:rsidRPr="009D7F0A">
              <w:rPr>
                <w:rFonts w:ascii="Palatino Linotype" w:eastAsia="Palatino Linotype" w:hAnsi="Palatino Linotype" w:cs="Palatino Linotype"/>
                <w:i/>
                <w:sz w:val="20"/>
                <w:szCs w:val="20"/>
              </w:rPr>
              <w:t>“Solicito en versión publica las listas de los servidores públicos que renunciaron desde el mes julio a diciembre 2024. Solicito en versión publica los escritos de renuncia de los servidores públicos que renunciaron en el mes desde el mes julio a diciembre 2024." (sic)</w:t>
            </w:r>
          </w:p>
        </w:tc>
      </w:tr>
    </w:tbl>
    <w:p w14:paraId="3734C486"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b/>
          <w:sz w:val="24"/>
          <w:szCs w:val="24"/>
        </w:rPr>
        <w:t xml:space="preserve">Modalidad elegida para la entrega de la información: </w:t>
      </w:r>
      <w:r w:rsidRPr="009D7F0A">
        <w:rPr>
          <w:rFonts w:ascii="Palatino Linotype" w:eastAsia="Palatino Linotype" w:hAnsi="Palatino Linotype" w:cs="Palatino Linotype"/>
          <w:sz w:val="24"/>
          <w:szCs w:val="24"/>
        </w:rPr>
        <w:t>a través del SAIMEX en ambos casos.</w:t>
      </w:r>
    </w:p>
    <w:p w14:paraId="7E641926" w14:textId="77777777" w:rsidR="00D33952" w:rsidRPr="009D7F0A" w:rsidRDefault="00D147BA">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b/>
          <w:sz w:val="24"/>
          <w:szCs w:val="24"/>
        </w:rPr>
        <w:t>2</w:t>
      </w:r>
      <w:r w:rsidRPr="009D7F0A">
        <w:rPr>
          <w:rFonts w:ascii="Palatino Linotype" w:eastAsia="Palatino Linotype" w:hAnsi="Palatino Linotype" w:cs="Palatino Linotype"/>
          <w:sz w:val="24"/>
          <w:szCs w:val="24"/>
        </w:rPr>
        <w:t xml:space="preserve">. </w:t>
      </w:r>
      <w:r w:rsidRPr="009D7F0A">
        <w:rPr>
          <w:rFonts w:ascii="Palatino Linotype" w:eastAsia="Palatino Linotype" w:hAnsi="Palatino Linotype" w:cs="Palatino Linotype"/>
          <w:b/>
          <w:sz w:val="24"/>
          <w:szCs w:val="24"/>
        </w:rPr>
        <w:t>Prórroga.</w:t>
      </w:r>
      <w:r w:rsidRPr="009D7F0A">
        <w:rPr>
          <w:rFonts w:ascii="Palatino Linotype" w:eastAsia="Palatino Linotype" w:hAnsi="Palatino Linotype" w:cs="Palatino Linotype"/>
          <w:sz w:val="24"/>
          <w:szCs w:val="24"/>
        </w:rPr>
        <w:t xml:space="preserve"> El </w:t>
      </w:r>
      <w:r w:rsidRPr="009D7F0A">
        <w:rPr>
          <w:rFonts w:ascii="Palatino Linotype" w:eastAsia="Palatino Linotype" w:hAnsi="Palatino Linotype" w:cs="Palatino Linotype"/>
          <w:b/>
          <w:sz w:val="24"/>
          <w:szCs w:val="24"/>
        </w:rPr>
        <w:t xml:space="preserve">doce de febrero de dos mil veinticinco, </w:t>
      </w:r>
      <w:r w:rsidRPr="009D7F0A">
        <w:rPr>
          <w:rFonts w:ascii="Palatino Linotype" w:eastAsia="Palatino Linotype" w:hAnsi="Palatino Linotype" w:cs="Palatino Linotype"/>
          <w:sz w:val="24"/>
          <w:szCs w:val="24"/>
        </w:rPr>
        <w:t xml:space="preserve">el </w:t>
      </w:r>
      <w:r w:rsidRPr="009D7F0A">
        <w:rPr>
          <w:rFonts w:ascii="Palatino Linotype" w:eastAsia="Palatino Linotype" w:hAnsi="Palatino Linotype" w:cs="Palatino Linotype"/>
          <w:b/>
          <w:sz w:val="24"/>
          <w:szCs w:val="24"/>
        </w:rPr>
        <w:t xml:space="preserve">Sujeto Obligado </w:t>
      </w:r>
      <w:r w:rsidRPr="009D7F0A">
        <w:rPr>
          <w:rFonts w:ascii="Palatino Linotype" w:eastAsia="Palatino Linotype" w:hAnsi="Palatino Linotype" w:cs="Palatino Linotype"/>
          <w:sz w:val="24"/>
          <w:szCs w:val="24"/>
        </w:rPr>
        <w:t>notificó a la persona solicitante la prórroga para dar respuesta a las solicitudes</w:t>
      </w:r>
      <w:r w:rsidRPr="009D7F0A">
        <w:rPr>
          <w:rFonts w:ascii="Palatino Linotype" w:eastAsia="Palatino Linotype" w:hAnsi="Palatino Linotype" w:cs="Palatino Linotype"/>
          <w:b/>
          <w:sz w:val="24"/>
          <w:szCs w:val="24"/>
        </w:rPr>
        <w:t>,</w:t>
      </w:r>
      <w:r w:rsidRPr="009D7F0A">
        <w:rPr>
          <w:rFonts w:ascii="Palatino Linotype" w:eastAsia="Palatino Linotype" w:hAnsi="Palatino Linotype" w:cs="Palatino Linotype"/>
          <w:sz w:val="24"/>
          <w:szCs w:val="24"/>
        </w:rPr>
        <w:t xml:space="preserve"> medularmente en los siguientes términos:</w:t>
      </w:r>
    </w:p>
    <w:p w14:paraId="6125CA27" w14:textId="77777777" w:rsidR="00D33952" w:rsidRPr="009D7F0A" w:rsidRDefault="00D147BA">
      <w:pPr>
        <w:spacing w:before="240" w:after="240"/>
        <w:ind w:left="851" w:right="900"/>
        <w:jc w:val="both"/>
        <w:rPr>
          <w:rFonts w:ascii="Palatino Linotype" w:eastAsia="Palatino Linotype" w:hAnsi="Palatino Linotype" w:cs="Palatino Linotype"/>
          <w:i/>
        </w:rPr>
      </w:pPr>
      <w:r w:rsidRPr="009D7F0A">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1C9240C" w14:textId="77777777" w:rsidR="00D33952" w:rsidRPr="009D7F0A" w:rsidRDefault="00D147BA">
      <w:pPr>
        <w:spacing w:before="240" w:after="240"/>
        <w:ind w:left="851" w:right="900"/>
        <w:jc w:val="both"/>
        <w:rPr>
          <w:rFonts w:ascii="Palatino Linotype" w:eastAsia="Palatino Linotype" w:hAnsi="Palatino Linotype" w:cs="Palatino Linotype"/>
          <w:i/>
        </w:rPr>
      </w:pPr>
      <w:r w:rsidRPr="009D7F0A">
        <w:rPr>
          <w:rFonts w:ascii="Palatino Linotype" w:eastAsia="Palatino Linotype" w:hAnsi="Palatino Linotype" w:cs="Palatino Linotype"/>
          <w:i/>
        </w:rPr>
        <w:t xml:space="preserve">De conformidad con el artículo 163 párrafo segundo de la Ley de Transparencia y Acceso a la Información Pública del Estado de México y Municipios, se anexa oficio de solicitud de prórroga la cual fue aprobada en el Acuerdo: </w:t>
      </w:r>
      <w:r w:rsidRPr="009D7F0A">
        <w:rPr>
          <w:rFonts w:ascii="Palatino Linotype" w:eastAsia="Palatino Linotype" w:hAnsi="Palatino Linotype" w:cs="Palatino Linotype"/>
          <w:i/>
        </w:rPr>
        <w:lastRenderedPageBreak/>
        <w:t>OPDM/ACUERDO-02/CT/02SO/2025 de la Segunda Sesión Ordinaria del Comité de Transparencia.” (sic)</w:t>
      </w:r>
    </w:p>
    <w:p w14:paraId="1C7886BA"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 xml:space="preserve">El </w:t>
      </w:r>
      <w:r w:rsidRPr="009D7F0A">
        <w:rPr>
          <w:rFonts w:ascii="Palatino Linotype" w:eastAsia="Palatino Linotype" w:hAnsi="Palatino Linotype" w:cs="Palatino Linotype"/>
          <w:b/>
          <w:sz w:val="24"/>
          <w:szCs w:val="24"/>
        </w:rPr>
        <w:t xml:space="preserve">Sujeto Obligado </w:t>
      </w:r>
      <w:r w:rsidRPr="009D7F0A">
        <w:rPr>
          <w:rFonts w:ascii="Palatino Linotype" w:eastAsia="Palatino Linotype" w:hAnsi="Palatino Linotype" w:cs="Palatino Linotype"/>
          <w:sz w:val="24"/>
          <w:szCs w:val="24"/>
        </w:rPr>
        <w:t>anexó el oficio número OPDM/OM-0104/2025, del diez de febrero de dos mil veinticinco, mediante el cual el titular de la Oficialía Mayor, solicitó a la titular de la Unidad de Transparencia, integrar como punto de acuerdo al Orden del Día de la próxima Sesión del Comité de Transparencia del Organismo, la aprobación de la ampliación del plazo para dar respuesta a las solicitudes de información 00031/OASTLALNE/IP/2025 y 00032/OASTLALNE/IP/2025, en virtud de que el Área de Recursos Humanos, poseedora y administradora de la información, se encontraba efectuando la revisión correspondiente para de ser el caso, realizar el procedimiento de clasificación de información como confidencial y posterior procesamiento en formato PDF, para entrega al solicitante en la modalidad elegida, esto es, a través del SAIMEX. Aunado a la carga de trabajo que se presenta en la Unidad Administrativa a su cargo,  derivada de la revisión a la entrega - recepción efectuada y a la falta de recursos humanos y materiales para atender los asuntos inherentes a su competencia.</w:t>
      </w:r>
    </w:p>
    <w:p w14:paraId="56D5410C"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 xml:space="preserve">Como refiere el </w:t>
      </w:r>
      <w:r w:rsidRPr="009D7F0A">
        <w:rPr>
          <w:rFonts w:ascii="Palatino Linotype" w:eastAsia="Palatino Linotype" w:hAnsi="Palatino Linotype" w:cs="Palatino Linotype"/>
          <w:b/>
          <w:sz w:val="24"/>
          <w:szCs w:val="24"/>
        </w:rPr>
        <w:t>Sujeto Obligado</w:t>
      </w:r>
      <w:r w:rsidRPr="009D7F0A">
        <w:rPr>
          <w:rFonts w:ascii="Palatino Linotype" w:eastAsia="Palatino Linotype" w:hAnsi="Palatino Linotype" w:cs="Palatino Linotype"/>
          <w:sz w:val="24"/>
          <w:szCs w:val="24"/>
        </w:rPr>
        <w:t xml:space="preserve"> la Ley de Transparencia y Acceso a la Información Pública del Estado de México y Municipios, contempla la potestad de ampliar el plazo hasta por siete días, en términos del párrafo segundo del artículo 163 de la Ley </w:t>
      </w:r>
      <w:r w:rsidRPr="009D7F0A">
        <w:rPr>
          <w:rFonts w:ascii="Palatino Linotype" w:eastAsia="Palatino Linotype" w:hAnsi="Palatino Linotype" w:cs="Palatino Linotype"/>
          <w:sz w:val="24"/>
          <w:szCs w:val="24"/>
        </w:rPr>
        <w:lastRenderedPageBreak/>
        <w:t>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los expedientes, se advierte que no se observaron las formalidades que establece la Ley de la materia, pues no se anexó la resolución mediante la cual el Comité de Transparencia aprobó la ampliación del plazo.</w:t>
      </w:r>
    </w:p>
    <w:p w14:paraId="4E2D5209" w14:textId="77777777" w:rsidR="00D33952" w:rsidRPr="009D7F0A" w:rsidRDefault="00D147BA">
      <w:pPr>
        <w:widowControl w:val="0"/>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b/>
          <w:sz w:val="24"/>
          <w:szCs w:val="24"/>
        </w:rPr>
        <w:t>3.</w:t>
      </w:r>
      <w:r w:rsidRPr="009D7F0A">
        <w:rPr>
          <w:rFonts w:ascii="Palatino Linotype" w:eastAsia="Palatino Linotype" w:hAnsi="Palatino Linotype" w:cs="Palatino Linotype"/>
          <w:sz w:val="24"/>
          <w:szCs w:val="24"/>
        </w:rPr>
        <w:t xml:space="preserve"> </w:t>
      </w:r>
      <w:r w:rsidRPr="009D7F0A">
        <w:rPr>
          <w:rFonts w:ascii="Palatino Linotype" w:eastAsia="Palatino Linotype" w:hAnsi="Palatino Linotype" w:cs="Palatino Linotype"/>
          <w:b/>
          <w:sz w:val="24"/>
          <w:szCs w:val="24"/>
        </w:rPr>
        <w:t xml:space="preserve">Respuesta. </w:t>
      </w:r>
      <w:r w:rsidRPr="009D7F0A">
        <w:rPr>
          <w:rFonts w:ascii="Palatino Linotype" w:eastAsia="Palatino Linotype" w:hAnsi="Palatino Linotype" w:cs="Palatino Linotype"/>
          <w:sz w:val="24"/>
          <w:szCs w:val="24"/>
        </w:rPr>
        <w:t xml:space="preserve">El </w:t>
      </w:r>
      <w:r w:rsidRPr="009D7F0A">
        <w:rPr>
          <w:rFonts w:ascii="Palatino Linotype" w:eastAsia="Palatino Linotype" w:hAnsi="Palatino Linotype" w:cs="Palatino Linotype"/>
          <w:b/>
          <w:sz w:val="24"/>
          <w:szCs w:val="24"/>
        </w:rPr>
        <w:t>veintiuno de febrero de dos mil veinticinco</w:t>
      </w:r>
      <w:r w:rsidRPr="009D7F0A">
        <w:rPr>
          <w:rFonts w:ascii="Palatino Linotype" w:eastAsia="Palatino Linotype" w:hAnsi="Palatino Linotype" w:cs="Palatino Linotype"/>
          <w:sz w:val="24"/>
          <w:szCs w:val="24"/>
        </w:rPr>
        <w:t xml:space="preserve">, el </w:t>
      </w:r>
      <w:r w:rsidRPr="009D7F0A">
        <w:rPr>
          <w:rFonts w:ascii="Palatino Linotype" w:eastAsia="Palatino Linotype" w:hAnsi="Palatino Linotype" w:cs="Palatino Linotype"/>
          <w:b/>
          <w:sz w:val="24"/>
          <w:szCs w:val="24"/>
        </w:rPr>
        <w:t xml:space="preserve">Sujeto Obligado </w:t>
      </w:r>
      <w:r w:rsidRPr="009D7F0A">
        <w:rPr>
          <w:rFonts w:ascii="Palatino Linotype" w:eastAsia="Palatino Linotype" w:hAnsi="Palatino Linotype" w:cs="Palatino Linotype"/>
          <w:sz w:val="24"/>
          <w:szCs w:val="24"/>
        </w:rPr>
        <w:t xml:space="preserve">envió su respuesta a las solicitudes de acceso a la información a través de SAIMEX, sustancialmente en los términos siguientes:  </w:t>
      </w:r>
    </w:p>
    <w:tbl>
      <w:tblPr>
        <w:tblStyle w:val="afffff4"/>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714"/>
      </w:tblGrid>
      <w:tr w:rsidR="00162592" w:rsidRPr="009D7F0A" w14:paraId="0D9E6BBF" w14:textId="77777777">
        <w:trPr>
          <w:jc w:val="center"/>
        </w:trPr>
        <w:tc>
          <w:tcPr>
            <w:tcW w:w="3114" w:type="dxa"/>
            <w:shd w:val="clear" w:color="auto" w:fill="D0CECE"/>
          </w:tcPr>
          <w:p w14:paraId="3BB0F398" w14:textId="77777777" w:rsidR="00D33952" w:rsidRPr="009D7F0A" w:rsidRDefault="00D147BA">
            <w:pPr>
              <w:spacing w:before="120" w:after="120" w:line="240" w:lineRule="auto"/>
              <w:jc w:val="center"/>
              <w:rPr>
                <w:rFonts w:ascii="Palatino Linotype" w:eastAsia="Palatino Linotype" w:hAnsi="Palatino Linotype" w:cs="Palatino Linotype"/>
                <w:b/>
                <w:sz w:val="20"/>
                <w:szCs w:val="20"/>
              </w:rPr>
            </w:pPr>
            <w:r w:rsidRPr="009D7F0A">
              <w:rPr>
                <w:rFonts w:ascii="Palatino Linotype" w:eastAsia="Palatino Linotype" w:hAnsi="Palatino Linotype" w:cs="Palatino Linotype"/>
                <w:b/>
                <w:sz w:val="20"/>
                <w:szCs w:val="20"/>
              </w:rPr>
              <w:t>Número de solicitud</w:t>
            </w:r>
          </w:p>
        </w:tc>
        <w:tc>
          <w:tcPr>
            <w:tcW w:w="5714" w:type="dxa"/>
            <w:shd w:val="clear" w:color="auto" w:fill="D0CECE"/>
          </w:tcPr>
          <w:p w14:paraId="0E7DDD45" w14:textId="77777777" w:rsidR="00D33952" w:rsidRPr="009D7F0A" w:rsidRDefault="00D147BA">
            <w:pPr>
              <w:spacing w:before="120" w:after="120" w:line="240" w:lineRule="auto"/>
              <w:jc w:val="center"/>
              <w:rPr>
                <w:rFonts w:ascii="Palatino Linotype" w:eastAsia="Palatino Linotype" w:hAnsi="Palatino Linotype" w:cs="Palatino Linotype"/>
                <w:b/>
                <w:sz w:val="20"/>
                <w:szCs w:val="20"/>
              </w:rPr>
            </w:pPr>
            <w:r w:rsidRPr="009D7F0A">
              <w:rPr>
                <w:rFonts w:ascii="Palatino Linotype" w:eastAsia="Palatino Linotype" w:hAnsi="Palatino Linotype" w:cs="Palatino Linotype"/>
                <w:b/>
                <w:sz w:val="20"/>
                <w:szCs w:val="20"/>
              </w:rPr>
              <w:t>Respuesta</w:t>
            </w:r>
          </w:p>
        </w:tc>
      </w:tr>
      <w:tr w:rsidR="00162592" w:rsidRPr="009D7F0A" w14:paraId="4693A51B" w14:textId="77777777">
        <w:trPr>
          <w:jc w:val="center"/>
        </w:trPr>
        <w:tc>
          <w:tcPr>
            <w:tcW w:w="3114" w:type="dxa"/>
          </w:tcPr>
          <w:p w14:paraId="11984366" w14:textId="77777777" w:rsidR="00D33952" w:rsidRPr="009D7F0A" w:rsidRDefault="00D147BA">
            <w:pPr>
              <w:spacing w:before="120" w:after="120" w:line="240" w:lineRule="auto"/>
              <w:jc w:val="center"/>
              <w:rPr>
                <w:rFonts w:ascii="Palatino Linotype" w:eastAsia="Palatino Linotype" w:hAnsi="Palatino Linotype" w:cs="Palatino Linotype"/>
                <w:b/>
                <w:sz w:val="20"/>
                <w:szCs w:val="20"/>
                <w:lang w:val="en-US"/>
              </w:rPr>
            </w:pPr>
            <w:r w:rsidRPr="009D7F0A">
              <w:rPr>
                <w:rFonts w:ascii="Palatino Linotype" w:eastAsia="Palatino Linotype" w:hAnsi="Palatino Linotype" w:cs="Palatino Linotype"/>
                <w:b/>
                <w:sz w:val="20"/>
                <w:szCs w:val="20"/>
                <w:lang w:val="en-US"/>
              </w:rPr>
              <w:t>00031/OASTLALNE/IP/2025</w:t>
            </w:r>
          </w:p>
          <w:p w14:paraId="195E5EB3" w14:textId="77777777" w:rsidR="00D33952" w:rsidRPr="009D7F0A" w:rsidRDefault="00D147BA">
            <w:pPr>
              <w:spacing w:before="120" w:after="120" w:line="240" w:lineRule="auto"/>
              <w:jc w:val="center"/>
              <w:rPr>
                <w:rFonts w:ascii="Palatino Linotype" w:eastAsia="Palatino Linotype" w:hAnsi="Palatino Linotype" w:cs="Palatino Linotype"/>
                <w:b/>
                <w:i/>
                <w:sz w:val="20"/>
                <w:szCs w:val="20"/>
                <w:lang w:val="en-US"/>
              </w:rPr>
            </w:pPr>
            <w:r w:rsidRPr="009D7F0A">
              <w:rPr>
                <w:rFonts w:ascii="Palatino Linotype" w:eastAsia="Palatino Linotype" w:hAnsi="Palatino Linotype" w:cs="Palatino Linotype"/>
                <w:b/>
                <w:sz w:val="20"/>
                <w:szCs w:val="20"/>
                <w:lang w:val="en-US"/>
              </w:rPr>
              <w:t>02555/INFOEM/IP/RR/2025</w:t>
            </w:r>
          </w:p>
        </w:tc>
        <w:tc>
          <w:tcPr>
            <w:tcW w:w="5714" w:type="dxa"/>
          </w:tcPr>
          <w:p w14:paraId="5463A6CF" w14:textId="77777777" w:rsidR="00D33952" w:rsidRPr="009D7F0A" w:rsidRDefault="00D147BA">
            <w:pPr>
              <w:spacing w:before="120" w:after="120" w:line="240" w:lineRule="auto"/>
              <w:jc w:val="both"/>
              <w:rPr>
                <w:rFonts w:ascii="Palatino Linotype" w:eastAsia="Palatino Linotype" w:hAnsi="Palatino Linotype" w:cs="Palatino Linotype"/>
                <w:i/>
                <w:sz w:val="20"/>
                <w:szCs w:val="20"/>
              </w:rPr>
            </w:pPr>
            <w:r w:rsidRPr="009D7F0A">
              <w:rPr>
                <w:rFonts w:ascii="Palatino Linotype" w:eastAsia="Palatino Linotype" w:hAnsi="Palatino Linotype" w:cs="Palatino Linotype"/>
                <w:i/>
                <w:sz w:val="20"/>
                <w:szCs w:val="20"/>
              </w:rPr>
              <w:t>“...Le envío archivos electrónicos con respuesta a su solicitud de información con número de folio SAIMEX 00031/OASTLALNE/IP/2025...” (sic)</w:t>
            </w:r>
          </w:p>
          <w:p w14:paraId="0E032C5E" w14:textId="77777777" w:rsidR="00D33952" w:rsidRPr="009D7F0A" w:rsidRDefault="00D147BA">
            <w:pPr>
              <w:spacing w:before="120" w:after="120" w:line="240" w:lineRule="auto"/>
              <w:jc w:val="both"/>
              <w:rPr>
                <w:rFonts w:ascii="Palatino Linotype" w:eastAsia="Palatino Linotype" w:hAnsi="Palatino Linotype" w:cs="Palatino Linotype"/>
                <w:sz w:val="20"/>
                <w:szCs w:val="20"/>
              </w:rPr>
            </w:pPr>
            <w:r w:rsidRPr="009D7F0A">
              <w:rPr>
                <w:rFonts w:ascii="Palatino Linotype" w:eastAsia="Palatino Linotype" w:hAnsi="Palatino Linotype" w:cs="Palatino Linotype"/>
                <w:sz w:val="20"/>
                <w:szCs w:val="20"/>
              </w:rPr>
              <w:t xml:space="preserve">Archivos adjuntos: </w:t>
            </w:r>
          </w:p>
          <w:p w14:paraId="2AC9CB78" w14:textId="77777777" w:rsidR="00D33952" w:rsidRPr="009D7F0A" w:rsidRDefault="00D147BA">
            <w:pPr>
              <w:spacing w:before="120" w:after="120" w:line="240" w:lineRule="auto"/>
              <w:jc w:val="both"/>
              <w:rPr>
                <w:rFonts w:ascii="Palatino Linotype" w:eastAsia="Palatino Linotype" w:hAnsi="Palatino Linotype" w:cs="Palatino Linotype"/>
                <w:sz w:val="20"/>
                <w:szCs w:val="20"/>
              </w:rPr>
            </w:pPr>
            <w:r w:rsidRPr="009D7F0A">
              <w:rPr>
                <w:rFonts w:ascii="Palatino Linotype" w:eastAsia="Palatino Linotype" w:hAnsi="Palatino Linotype" w:cs="Palatino Linotype"/>
                <w:sz w:val="20"/>
                <w:szCs w:val="20"/>
              </w:rPr>
              <w:t xml:space="preserve">- Oficio número OPDM/OM-0145/2025, del dieciocho de febrero de dos mil veinticinco, mediante el cual la titular de la Oficialía Mayor, la titular del Área de Recursos Humanos y el titular de la Subdirección de Administración, por lo que se refiere a la solicitud 00031/OASTLALNE/IP/2025, manifestaron anexar el archivo que contiene la versión pública de las renuncias solicitadas que obran en los archivos de la Oficialía Mayor, la cual fue aprobada mediante el acuerdo </w:t>
            </w:r>
            <w:r w:rsidRPr="009D7F0A">
              <w:rPr>
                <w:rFonts w:ascii="Palatino Linotype" w:eastAsia="Palatino Linotype" w:hAnsi="Palatino Linotype" w:cs="Palatino Linotype"/>
                <w:sz w:val="20"/>
                <w:szCs w:val="20"/>
              </w:rPr>
              <w:lastRenderedPageBreak/>
              <w:t>OPDM/ACUERDO-02/CT/03/SE/2025, de la Tercera Sesión Extraordinaria del Comité de Transparencia del Organismo.</w:t>
            </w:r>
          </w:p>
          <w:p w14:paraId="1A8F92B6" w14:textId="77777777" w:rsidR="00D33952" w:rsidRPr="009D7F0A" w:rsidRDefault="00D147BA">
            <w:pPr>
              <w:spacing w:before="120" w:after="120" w:line="240" w:lineRule="auto"/>
              <w:jc w:val="both"/>
              <w:rPr>
                <w:rFonts w:ascii="Palatino Linotype" w:eastAsia="Palatino Linotype" w:hAnsi="Palatino Linotype" w:cs="Palatino Linotype"/>
                <w:sz w:val="20"/>
                <w:szCs w:val="20"/>
              </w:rPr>
            </w:pPr>
            <w:r w:rsidRPr="009D7F0A">
              <w:rPr>
                <w:rFonts w:ascii="Palatino Linotype" w:eastAsia="Palatino Linotype" w:hAnsi="Palatino Linotype" w:cs="Palatino Linotype"/>
                <w:sz w:val="20"/>
                <w:szCs w:val="20"/>
              </w:rPr>
              <w:t>Y, por lo que se refiere a la solicitud 00032/OASTLALNE/IP/2025, manifestaron que a renuncia es un acto que llevan a cabo de manera voluntaria, libre y unilateral los servidores públicos que desean dar por terminada su relación laboral, por lo tanto, el Organismo Público Descentralizado para la Prestación de los Servicios de Agua Potable, Alcantarillado y Saneamiento del Municipio de Tlalnepantla de Baz, no solicita ninguna renuncia ni lleva lista alguna. Asimismo, refirieron adjuntar el archivo que contiene la versión pública de las renuncias presentadas durante el periodo de julio a diciembre de dos mil veinticuatro, que obran en los archivos; versión pública que fue aprobada por acuerdo OPDM/ACUERDO-02/CT/03/SE/2025, en la Tercera Sesión Extraordinaria del Comité de Transparencia del Organismo.</w:t>
            </w:r>
          </w:p>
          <w:p w14:paraId="10FC1AF9" w14:textId="77777777" w:rsidR="00D33952" w:rsidRPr="009D7F0A" w:rsidRDefault="00D147BA">
            <w:pPr>
              <w:spacing w:before="120" w:after="120" w:line="240" w:lineRule="auto"/>
              <w:jc w:val="both"/>
              <w:rPr>
                <w:rFonts w:ascii="Palatino Linotype" w:eastAsia="Palatino Linotype" w:hAnsi="Palatino Linotype" w:cs="Palatino Linotype"/>
                <w:sz w:val="20"/>
                <w:szCs w:val="20"/>
              </w:rPr>
            </w:pPr>
            <w:r w:rsidRPr="009D7F0A">
              <w:rPr>
                <w:rFonts w:ascii="Palatino Linotype" w:eastAsia="Palatino Linotype" w:hAnsi="Palatino Linotype" w:cs="Palatino Linotype"/>
                <w:sz w:val="20"/>
                <w:szCs w:val="20"/>
              </w:rPr>
              <w:t>- 47 escritos de renuncia del mes diciembre de dos mil veinticuatro, testados.</w:t>
            </w:r>
          </w:p>
          <w:p w14:paraId="32A3878B" w14:textId="77777777" w:rsidR="00D33952" w:rsidRPr="009D7F0A" w:rsidRDefault="00D147BA">
            <w:pPr>
              <w:spacing w:before="120" w:after="120" w:line="240" w:lineRule="auto"/>
              <w:jc w:val="both"/>
              <w:rPr>
                <w:rFonts w:ascii="Palatino Linotype" w:eastAsia="Palatino Linotype" w:hAnsi="Palatino Linotype" w:cs="Palatino Linotype"/>
                <w:sz w:val="20"/>
                <w:szCs w:val="20"/>
              </w:rPr>
            </w:pPr>
            <w:r w:rsidRPr="009D7F0A">
              <w:rPr>
                <w:rFonts w:ascii="Palatino Linotype" w:eastAsia="Palatino Linotype" w:hAnsi="Palatino Linotype" w:cs="Palatino Linotype"/>
                <w:sz w:val="20"/>
                <w:szCs w:val="20"/>
              </w:rPr>
              <w:t>- Acuerdo OPDM/ACUERDO-02/CT/03SE/2025, de la Tercera Sesión Extraordinaria del Comité de Transparencia, celebrada el dieciocho de febrero de dos mil veinticinco, mediante el cual se exponen las razones que motivan la clasificación como información confidencial, de los datos personales testados en los documentos entregados.</w:t>
            </w:r>
          </w:p>
        </w:tc>
      </w:tr>
      <w:tr w:rsidR="00162592" w:rsidRPr="009D7F0A" w14:paraId="3D1B786F" w14:textId="77777777">
        <w:trPr>
          <w:jc w:val="center"/>
        </w:trPr>
        <w:tc>
          <w:tcPr>
            <w:tcW w:w="3114" w:type="dxa"/>
            <w:vAlign w:val="center"/>
          </w:tcPr>
          <w:p w14:paraId="2931CCD5" w14:textId="77777777" w:rsidR="00D33952" w:rsidRPr="009D7F0A" w:rsidRDefault="00D147BA">
            <w:pPr>
              <w:spacing w:before="120" w:after="120" w:line="240" w:lineRule="auto"/>
              <w:jc w:val="center"/>
              <w:rPr>
                <w:rFonts w:ascii="Palatino Linotype" w:eastAsia="Palatino Linotype" w:hAnsi="Palatino Linotype" w:cs="Palatino Linotype"/>
                <w:b/>
                <w:sz w:val="20"/>
                <w:szCs w:val="20"/>
                <w:lang w:val="en-US"/>
              </w:rPr>
            </w:pPr>
            <w:r w:rsidRPr="009D7F0A">
              <w:rPr>
                <w:rFonts w:ascii="Palatino Linotype" w:eastAsia="Palatino Linotype" w:hAnsi="Palatino Linotype" w:cs="Palatino Linotype"/>
                <w:b/>
                <w:sz w:val="20"/>
                <w:szCs w:val="20"/>
                <w:lang w:val="en-US"/>
              </w:rPr>
              <w:lastRenderedPageBreak/>
              <w:t>00032/OASTLALNE/IP/2025</w:t>
            </w:r>
          </w:p>
          <w:p w14:paraId="768BE0EA" w14:textId="77777777" w:rsidR="00D33952" w:rsidRPr="009D7F0A" w:rsidRDefault="00D147BA">
            <w:pPr>
              <w:spacing w:before="120" w:after="120" w:line="240" w:lineRule="auto"/>
              <w:jc w:val="center"/>
              <w:rPr>
                <w:rFonts w:ascii="Palatino Linotype" w:eastAsia="Palatino Linotype" w:hAnsi="Palatino Linotype" w:cs="Palatino Linotype"/>
                <w:b/>
                <w:sz w:val="20"/>
                <w:szCs w:val="20"/>
                <w:lang w:val="en-US"/>
              </w:rPr>
            </w:pPr>
            <w:r w:rsidRPr="009D7F0A">
              <w:rPr>
                <w:rFonts w:ascii="Palatino Linotype" w:eastAsia="Palatino Linotype" w:hAnsi="Palatino Linotype" w:cs="Palatino Linotype"/>
                <w:b/>
                <w:sz w:val="20"/>
                <w:szCs w:val="20"/>
                <w:lang w:val="en-US"/>
              </w:rPr>
              <w:t>02554/INFOEM/IP/RR/2025</w:t>
            </w:r>
          </w:p>
        </w:tc>
        <w:tc>
          <w:tcPr>
            <w:tcW w:w="5714" w:type="dxa"/>
          </w:tcPr>
          <w:p w14:paraId="6F407388" w14:textId="77777777" w:rsidR="00D33952" w:rsidRPr="009D7F0A" w:rsidRDefault="00D147BA">
            <w:pPr>
              <w:spacing w:before="120" w:after="120" w:line="240" w:lineRule="auto"/>
              <w:jc w:val="both"/>
              <w:rPr>
                <w:rFonts w:ascii="Palatino Linotype" w:eastAsia="Palatino Linotype" w:hAnsi="Palatino Linotype" w:cs="Palatino Linotype"/>
                <w:i/>
                <w:sz w:val="20"/>
                <w:szCs w:val="20"/>
              </w:rPr>
            </w:pPr>
            <w:r w:rsidRPr="009D7F0A">
              <w:rPr>
                <w:rFonts w:ascii="Palatino Linotype" w:eastAsia="Palatino Linotype" w:hAnsi="Palatino Linotype" w:cs="Palatino Linotype"/>
                <w:i/>
                <w:sz w:val="20"/>
                <w:szCs w:val="20"/>
              </w:rPr>
              <w:t>“…Le envío archivos electrónicos con respuesta a su solicitud de información con número de folio SAIMEX 00032/OASTLALNE/IP/2025...” (sic)</w:t>
            </w:r>
          </w:p>
          <w:p w14:paraId="169D126F" w14:textId="77777777" w:rsidR="00D33952" w:rsidRPr="009D7F0A" w:rsidRDefault="00D147BA">
            <w:pPr>
              <w:spacing w:before="120" w:after="120" w:line="240" w:lineRule="auto"/>
              <w:jc w:val="both"/>
              <w:rPr>
                <w:rFonts w:ascii="Palatino Linotype" w:eastAsia="Palatino Linotype" w:hAnsi="Palatino Linotype" w:cs="Palatino Linotype"/>
                <w:sz w:val="20"/>
                <w:szCs w:val="20"/>
              </w:rPr>
            </w:pPr>
            <w:r w:rsidRPr="009D7F0A">
              <w:rPr>
                <w:rFonts w:ascii="Palatino Linotype" w:eastAsia="Palatino Linotype" w:hAnsi="Palatino Linotype" w:cs="Palatino Linotype"/>
                <w:sz w:val="20"/>
                <w:szCs w:val="20"/>
              </w:rPr>
              <w:t xml:space="preserve">Archivos adjuntos: </w:t>
            </w:r>
          </w:p>
          <w:p w14:paraId="22D8E0B4" w14:textId="77777777" w:rsidR="00D33952" w:rsidRPr="009D7F0A" w:rsidRDefault="00D147BA">
            <w:pPr>
              <w:spacing w:before="120" w:after="120" w:line="240" w:lineRule="auto"/>
              <w:jc w:val="both"/>
              <w:rPr>
                <w:rFonts w:ascii="Palatino Linotype" w:eastAsia="Palatino Linotype" w:hAnsi="Palatino Linotype" w:cs="Palatino Linotype"/>
                <w:sz w:val="20"/>
                <w:szCs w:val="20"/>
              </w:rPr>
            </w:pPr>
            <w:r w:rsidRPr="009D7F0A">
              <w:rPr>
                <w:rFonts w:ascii="Palatino Linotype" w:eastAsia="Palatino Linotype" w:hAnsi="Palatino Linotype" w:cs="Palatino Linotype"/>
                <w:sz w:val="20"/>
                <w:szCs w:val="20"/>
              </w:rPr>
              <w:t xml:space="preserve">- Oficio número OPDM/OM-0145/2025, del dieciocho de febrero de dos mil veinticinco, mediante el cual la titular de la Oficialía Mayor, la titular del Área de Recursos Humanos y el titular de la Subdirección de Administración, por lo que se </w:t>
            </w:r>
            <w:r w:rsidRPr="009D7F0A">
              <w:rPr>
                <w:rFonts w:ascii="Palatino Linotype" w:eastAsia="Palatino Linotype" w:hAnsi="Palatino Linotype" w:cs="Palatino Linotype"/>
                <w:sz w:val="20"/>
                <w:szCs w:val="20"/>
              </w:rPr>
              <w:lastRenderedPageBreak/>
              <w:t>refiere a la solicitud 00031/OASTLALNE/IP/2025, manifestaron anexar el archivo que contiene la versión pública de las renuncias solicitadas que obran en los archivos de la Oficialía Mayor, la cual fue aprobada mediante el acuerdo OPDM/ACUERDO-02/CT/03/SE/2025, de la Tercera Sesión Extraordinaria del Comité de Transparencia del Organismo.</w:t>
            </w:r>
          </w:p>
          <w:p w14:paraId="75310B97" w14:textId="77777777" w:rsidR="00D33952" w:rsidRPr="009D7F0A" w:rsidRDefault="00D147BA">
            <w:pPr>
              <w:spacing w:before="120" w:after="120" w:line="240" w:lineRule="auto"/>
              <w:jc w:val="both"/>
              <w:rPr>
                <w:rFonts w:ascii="Palatino Linotype" w:eastAsia="Palatino Linotype" w:hAnsi="Palatino Linotype" w:cs="Palatino Linotype"/>
                <w:sz w:val="20"/>
                <w:szCs w:val="20"/>
              </w:rPr>
            </w:pPr>
            <w:r w:rsidRPr="009D7F0A">
              <w:rPr>
                <w:rFonts w:ascii="Palatino Linotype" w:eastAsia="Palatino Linotype" w:hAnsi="Palatino Linotype" w:cs="Palatino Linotype"/>
                <w:sz w:val="20"/>
                <w:szCs w:val="20"/>
              </w:rPr>
              <w:t>Y, por lo que se refiere a la solicitud 00032/OASTLALNE/IP/2025, manifestaron que a renuncia es un acto que llevan a cabo de manera voluntaria, libre y unilateral los servidores públicos que desean dar por terminada su relación laboral, por lo tanto, el Organismo Público Descentralizado para la Prestación de los Servicios de Agua Potable, Alcantarillado y Saneamiento del Municipio de Tlalnepantla de Baz, no solicita ninguna renuncia ni lleva lista alguna. Asimismo, refirieron adjuntar el archivo que contiene la versión pública de las renuncias presentadas durante el periodo de julio a diciembre de dos mil veinticuatro, que obran en los archivos; versión pública que fue aprobada por acuerdo OPDM/ACUERDO-02/CT/03/SE/2025, en la Tercera Sesión Extraordinaria del Comité de Transparencia del Organismo.</w:t>
            </w:r>
          </w:p>
          <w:p w14:paraId="75969484" w14:textId="77777777" w:rsidR="00D33952" w:rsidRPr="009D7F0A" w:rsidRDefault="00D147BA">
            <w:pPr>
              <w:spacing w:before="120" w:after="120" w:line="240" w:lineRule="auto"/>
              <w:jc w:val="both"/>
              <w:rPr>
                <w:rFonts w:ascii="Palatino Linotype" w:eastAsia="Palatino Linotype" w:hAnsi="Palatino Linotype" w:cs="Palatino Linotype"/>
                <w:sz w:val="20"/>
                <w:szCs w:val="20"/>
              </w:rPr>
            </w:pPr>
            <w:r w:rsidRPr="009D7F0A">
              <w:rPr>
                <w:rFonts w:ascii="Palatino Linotype" w:eastAsia="Palatino Linotype" w:hAnsi="Palatino Linotype" w:cs="Palatino Linotype"/>
                <w:sz w:val="20"/>
                <w:szCs w:val="20"/>
              </w:rPr>
              <w:t>- 69 escritos de renuncia de los meses de julio, septiembre, y diciembre de dos mil veinticuatro, y enero de dos mil veinticinco, testados.</w:t>
            </w:r>
          </w:p>
          <w:p w14:paraId="2CCC851D" w14:textId="77777777" w:rsidR="00D33952" w:rsidRPr="009D7F0A" w:rsidRDefault="00D147BA">
            <w:pPr>
              <w:spacing w:before="120" w:after="120" w:line="240" w:lineRule="auto"/>
              <w:jc w:val="both"/>
              <w:rPr>
                <w:rFonts w:ascii="Palatino Linotype" w:eastAsia="Palatino Linotype" w:hAnsi="Palatino Linotype" w:cs="Palatino Linotype"/>
                <w:sz w:val="20"/>
                <w:szCs w:val="20"/>
              </w:rPr>
            </w:pPr>
            <w:r w:rsidRPr="009D7F0A">
              <w:rPr>
                <w:rFonts w:ascii="Palatino Linotype" w:eastAsia="Palatino Linotype" w:hAnsi="Palatino Linotype" w:cs="Palatino Linotype"/>
                <w:sz w:val="20"/>
                <w:szCs w:val="20"/>
              </w:rPr>
              <w:t>- Acuerdo OPDM/ACUERDO-02/CT/03SE/2025, de la Tercera Sesión Extraordinaria del Comité de Transparencia, celebrada el dieciocho de febrero de dos mil veinticinco, mediante el cual se exponen las razones que motivan la clasificación como información confidencial, de los datos personales testados en los documentos entregados.</w:t>
            </w:r>
          </w:p>
        </w:tc>
      </w:tr>
    </w:tbl>
    <w:p w14:paraId="61E81E6D" w14:textId="77777777" w:rsidR="00D33952" w:rsidRPr="009D7F0A" w:rsidRDefault="00D147BA">
      <w:pPr>
        <w:widowControl w:val="0"/>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b/>
          <w:sz w:val="24"/>
          <w:szCs w:val="24"/>
        </w:rPr>
        <w:lastRenderedPageBreak/>
        <w:t xml:space="preserve">4. Interposición de los recursos de revisión. </w:t>
      </w:r>
      <w:r w:rsidRPr="009D7F0A">
        <w:rPr>
          <w:rFonts w:ascii="Palatino Linotype" w:eastAsia="Palatino Linotype" w:hAnsi="Palatino Linotype" w:cs="Palatino Linotype"/>
          <w:sz w:val="24"/>
          <w:szCs w:val="24"/>
        </w:rPr>
        <w:t>Inconforme con las respuestas del</w:t>
      </w:r>
      <w:r w:rsidRPr="009D7F0A">
        <w:rPr>
          <w:rFonts w:ascii="Palatino Linotype" w:eastAsia="Palatino Linotype" w:hAnsi="Palatino Linotype" w:cs="Palatino Linotype"/>
          <w:b/>
          <w:sz w:val="24"/>
          <w:szCs w:val="24"/>
        </w:rPr>
        <w:t xml:space="preserve"> Sujeto Obligado, </w:t>
      </w:r>
      <w:r w:rsidRPr="009D7F0A">
        <w:rPr>
          <w:rFonts w:ascii="Palatino Linotype" w:eastAsia="Palatino Linotype" w:hAnsi="Palatino Linotype" w:cs="Palatino Linotype"/>
          <w:sz w:val="24"/>
          <w:szCs w:val="24"/>
        </w:rPr>
        <w:t xml:space="preserve">el </w:t>
      </w:r>
      <w:r w:rsidRPr="009D7F0A">
        <w:rPr>
          <w:rFonts w:ascii="Palatino Linotype" w:eastAsia="Palatino Linotype" w:hAnsi="Palatino Linotype" w:cs="Palatino Linotype"/>
          <w:b/>
          <w:sz w:val="24"/>
          <w:szCs w:val="24"/>
        </w:rPr>
        <w:t xml:space="preserve">seis de marzo de dos mil veinticinco, </w:t>
      </w:r>
      <w:r w:rsidRPr="009D7F0A">
        <w:rPr>
          <w:rFonts w:ascii="Palatino Linotype" w:eastAsia="Palatino Linotype" w:hAnsi="Palatino Linotype" w:cs="Palatino Linotype"/>
          <w:sz w:val="24"/>
          <w:szCs w:val="24"/>
        </w:rPr>
        <w:t>la parte</w:t>
      </w:r>
      <w:r w:rsidRPr="009D7F0A">
        <w:rPr>
          <w:rFonts w:ascii="Palatino Linotype" w:eastAsia="Palatino Linotype" w:hAnsi="Palatino Linotype" w:cs="Palatino Linotype"/>
          <w:b/>
          <w:sz w:val="24"/>
          <w:szCs w:val="24"/>
        </w:rPr>
        <w:t xml:space="preserve"> Recurrente </w:t>
      </w:r>
      <w:r w:rsidRPr="009D7F0A">
        <w:rPr>
          <w:rFonts w:ascii="Palatino Linotype" w:eastAsia="Palatino Linotype" w:hAnsi="Palatino Linotype" w:cs="Palatino Linotype"/>
          <w:sz w:val="24"/>
          <w:szCs w:val="24"/>
        </w:rPr>
        <w:lastRenderedPageBreak/>
        <w:t>interpuso los recursos de revisión, en los cuales manifestó lo siguiente:</w:t>
      </w:r>
    </w:p>
    <w:tbl>
      <w:tblPr>
        <w:tblStyle w:val="afffff5"/>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4"/>
        <w:gridCol w:w="2943"/>
        <w:gridCol w:w="3180"/>
      </w:tblGrid>
      <w:tr w:rsidR="00162592" w:rsidRPr="009D7F0A" w14:paraId="053CEC9E" w14:textId="77777777">
        <w:tc>
          <w:tcPr>
            <w:tcW w:w="2944" w:type="dxa"/>
            <w:shd w:val="clear" w:color="auto" w:fill="D0CECE"/>
            <w:vAlign w:val="center"/>
          </w:tcPr>
          <w:p w14:paraId="20E42F37" w14:textId="77777777" w:rsidR="00D33952" w:rsidRPr="009D7F0A" w:rsidRDefault="00D147BA">
            <w:pPr>
              <w:spacing w:after="0" w:line="240" w:lineRule="auto"/>
              <w:jc w:val="center"/>
              <w:rPr>
                <w:rFonts w:ascii="Palatino Linotype" w:eastAsia="Palatino Linotype" w:hAnsi="Palatino Linotype" w:cs="Palatino Linotype"/>
                <w:b/>
                <w:sz w:val="20"/>
                <w:szCs w:val="20"/>
              </w:rPr>
            </w:pPr>
            <w:r w:rsidRPr="009D7F0A">
              <w:rPr>
                <w:rFonts w:ascii="Palatino Linotype" w:eastAsia="Palatino Linotype" w:hAnsi="Palatino Linotype" w:cs="Palatino Linotype"/>
                <w:b/>
                <w:sz w:val="20"/>
                <w:szCs w:val="20"/>
              </w:rPr>
              <w:t>Recurso de Revisión</w:t>
            </w:r>
          </w:p>
        </w:tc>
        <w:tc>
          <w:tcPr>
            <w:tcW w:w="2943" w:type="dxa"/>
            <w:shd w:val="clear" w:color="auto" w:fill="D0CECE"/>
            <w:vAlign w:val="center"/>
          </w:tcPr>
          <w:p w14:paraId="6CF40EDE" w14:textId="77777777" w:rsidR="00D33952" w:rsidRPr="009D7F0A" w:rsidRDefault="00D147BA">
            <w:pPr>
              <w:spacing w:after="0" w:line="240" w:lineRule="auto"/>
              <w:jc w:val="center"/>
              <w:rPr>
                <w:rFonts w:ascii="Palatino Linotype" w:eastAsia="Palatino Linotype" w:hAnsi="Palatino Linotype" w:cs="Palatino Linotype"/>
                <w:b/>
                <w:sz w:val="20"/>
                <w:szCs w:val="20"/>
              </w:rPr>
            </w:pPr>
            <w:r w:rsidRPr="009D7F0A">
              <w:rPr>
                <w:rFonts w:ascii="Palatino Linotype" w:eastAsia="Palatino Linotype" w:hAnsi="Palatino Linotype" w:cs="Palatino Linotype"/>
                <w:b/>
                <w:sz w:val="20"/>
                <w:szCs w:val="20"/>
              </w:rPr>
              <w:t>Acto impugnado</w:t>
            </w:r>
          </w:p>
        </w:tc>
        <w:tc>
          <w:tcPr>
            <w:tcW w:w="3180" w:type="dxa"/>
            <w:shd w:val="clear" w:color="auto" w:fill="D0CECE"/>
            <w:vAlign w:val="center"/>
          </w:tcPr>
          <w:p w14:paraId="69EB5C32" w14:textId="77777777" w:rsidR="00D33952" w:rsidRPr="009D7F0A" w:rsidRDefault="00D147BA">
            <w:pPr>
              <w:spacing w:after="0" w:line="240" w:lineRule="auto"/>
              <w:jc w:val="center"/>
              <w:rPr>
                <w:rFonts w:ascii="Palatino Linotype" w:eastAsia="Palatino Linotype" w:hAnsi="Palatino Linotype" w:cs="Palatino Linotype"/>
                <w:b/>
                <w:sz w:val="20"/>
                <w:szCs w:val="20"/>
              </w:rPr>
            </w:pPr>
            <w:r w:rsidRPr="009D7F0A">
              <w:rPr>
                <w:rFonts w:ascii="Palatino Linotype" w:eastAsia="Palatino Linotype" w:hAnsi="Palatino Linotype" w:cs="Palatino Linotype"/>
                <w:b/>
                <w:sz w:val="20"/>
                <w:szCs w:val="20"/>
              </w:rPr>
              <w:t>Razones o Motivos de Inconformidad</w:t>
            </w:r>
          </w:p>
        </w:tc>
      </w:tr>
      <w:tr w:rsidR="00162592" w:rsidRPr="009D7F0A" w14:paraId="7AF4B482" w14:textId="77777777">
        <w:tc>
          <w:tcPr>
            <w:tcW w:w="2944" w:type="dxa"/>
          </w:tcPr>
          <w:p w14:paraId="0D4E25F2" w14:textId="77777777" w:rsidR="00D33952" w:rsidRPr="009D7F0A" w:rsidRDefault="00D147BA">
            <w:pPr>
              <w:spacing w:after="0" w:line="240" w:lineRule="auto"/>
              <w:jc w:val="center"/>
              <w:rPr>
                <w:rFonts w:ascii="Palatino Linotype" w:eastAsia="Palatino Linotype" w:hAnsi="Palatino Linotype" w:cs="Palatino Linotype"/>
                <w:b/>
                <w:sz w:val="20"/>
                <w:szCs w:val="20"/>
              </w:rPr>
            </w:pPr>
            <w:r w:rsidRPr="009D7F0A">
              <w:rPr>
                <w:rFonts w:ascii="Palatino Linotype" w:eastAsia="Palatino Linotype" w:hAnsi="Palatino Linotype" w:cs="Palatino Linotype"/>
                <w:b/>
                <w:sz w:val="20"/>
                <w:szCs w:val="20"/>
              </w:rPr>
              <w:t>02554/INFOEM/IP/RR/2025</w:t>
            </w:r>
          </w:p>
        </w:tc>
        <w:tc>
          <w:tcPr>
            <w:tcW w:w="2943" w:type="dxa"/>
          </w:tcPr>
          <w:p w14:paraId="0A125F67" w14:textId="77777777" w:rsidR="00D33952" w:rsidRPr="009D7F0A" w:rsidRDefault="00D147BA">
            <w:pPr>
              <w:spacing w:after="0" w:line="240" w:lineRule="auto"/>
              <w:jc w:val="both"/>
              <w:rPr>
                <w:rFonts w:ascii="Palatino Linotype" w:eastAsia="Palatino Linotype" w:hAnsi="Palatino Linotype" w:cs="Palatino Linotype"/>
                <w:i/>
                <w:sz w:val="20"/>
                <w:szCs w:val="20"/>
              </w:rPr>
            </w:pPr>
            <w:r w:rsidRPr="009D7F0A">
              <w:rPr>
                <w:rFonts w:ascii="Palatino Linotype" w:eastAsia="Palatino Linotype" w:hAnsi="Palatino Linotype" w:cs="Palatino Linotype"/>
                <w:i/>
                <w:sz w:val="20"/>
                <w:szCs w:val="20"/>
              </w:rPr>
              <w:t>“niega la información solicitada” (sic)</w:t>
            </w:r>
          </w:p>
        </w:tc>
        <w:tc>
          <w:tcPr>
            <w:tcW w:w="3180" w:type="dxa"/>
          </w:tcPr>
          <w:p w14:paraId="7DE2A584" w14:textId="77777777" w:rsidR="00D33952" w:rsidRPr="009D7F0A" w:rsidRDefault="00D147BA">
            <w:pPr>
              <w:spacing w:after="0" w:line="240" w:lineRule="auto"/>
              <w:jc w:val="both"/>
              <w:rPr>
                <w:rFonts w:ascii="Palatino Linotype" w:eastAsia="Palatino Linotype" w:hAnsi="Palatino Linotype" w:cs="Palatino Linotype"/>
                <w:i/>
                <w:sz w:val="20"/>
                <w:szCs w:val="20"/>
              </w:rPr>
            </w:pPr>
            <w:r w:rsidRPr="009D7F0A">
              <w:rPr>
                <w:rFonts w:ascii="Palatino Linotype" w:eastAsia="Palatino Linotype" w:hAnsi="Palatino Linotype" w:cs="Palatino Linotype"/>
                <w:i/>
                <w:sz w:val="20"/>
                <w:szCs w:val="20"/>
              </w:rPr>
              <w:t>“la información de las renuncias no existe un oficio de recurso humanos que certifique cuantas renuncias que se tuvieron en el periodo solicitado, por lo que no se cuenta con la certeza que son todas las renuncias solicitadas” (sic)</w:t>
            </w:r>
          </w:p>
        </w:tc>
      </w:tr>
      <w:tr w:rsidR="00162592" w:rsidRPr="009D7F0A" w14:paraId="483D2192" w14:textId="77777777">
        <w:tc>
          <w:tcPr>
            <w:tcW w:w="2944" w:type="dxa"/>
          </w:tcPr>
          <w:p w14:paraId="18BDCD4D" w14:textId="77777777" w:rsidR="00D33952" w:rsidRPr="009D7F0A" w:rsidRDefault="00D147BA">
            <w:pPr>
              <w:spacing w:after="0" w:line="240" w:lineRule="auto"/>
              <w:jc w:val="center"/>
              <w:rPr>
                <w:rFonts w:ascii="Palatino Linotype" w:eastAsia="Palatino Linotype" w:hAnsi="Palatino Linotype" w:cs="Palatino Linotype"/>
                <w:b/>
                <w:sz w:val="20"/>
                <w:szCs w:val="20"/>
              </w:rPr>
            </w:pPr>
            <w:r w:rsidRPr="009D7F0A">
              <w:rPr>
                <w:rFonts w:ascii="Palatino Linotype" w:eastAsia="Palatino Linotype" w:hAnsi="Palatino Linotype" w:cs="Palatino Linotype"/>
                <w:b/>
                <w:sz w:val="20"/>
                <w:szCs w:val="20"/>
              </w:rPr>
              <w:t>02555/INFOEM/IP/RR/2025</w:t>
            </w:r>
          </w:p>
        </w:tc>
        <w:tc>
          <w:tcPr>
            <w:tcW w:w="2943" w:type="dxa"/>
          </w:tcPr>
          <w:p w14:paraId="4479B001" w14:textId="77777777" w:rsidR="00D33952" w:rsidRPr="009D7F0A" w:rsidRDefault="00D147BA">
            <w:pPr>
              <w:spacing w:after="0" w:line="240" w:lineRule="auto"/>
              <w:jc w:val="both"/>
              <w:rPr>
                <w:rFonts w:ascii="Palatino Linotype" w:eastAsia="Palatino Linotype" w:hAnsi="Palatino Linotype" w:cs="Palatino Linotype"/>
                <w:i/>
                <w:sz w:val="20"/>
                <w:szCs w:val="20"/>
              </w:rPr>
            </w:pPr>
            <w:r w:rsidRPr="009D7F0A">
              <w:rPr>
                <w:rFonts w:ascii="Palatino Linotype" w:eastAsia="Palatino Linotype" w:hAnsi="Palatino Linotype" w:cs="Palatino Linotype"/>
                <w:i/>
                <w:sz w:val="20"/>
                <w:szCs w:val="20"/>
              </w:rPr>
              <w:t>“niega la información de forma completas” (sic)</w:t>
            </w:r>
          </w:p>
        </w:tc>
        <w:tc>
          <w:tcPr>
            <w:tcW w:w="3180" w:type="dxa"/>
          </w:tcPr>
          <w:p w14:paraId="0B61F693" w14:textId="77777777" w:rsidR="00D33952" w:rsidRPr="009D7F0A" w:rsidRDefault="00D147BA">
            <w:pPr>
              <w:spacing w:after="0" w:line="240" w:lineRule="auto"/>
              <w:jc w:val="both"/>
              <w:rPr>
                <w:rFonts w:ascii="Palatino Linotype" w:eastAsia="Palatino Linotype" w:hAnsi="Palatino Linotype" w:cs="Palatino Linotype"/>
                <w:i/>
                <w:sz w:val="20"/>
                <w:szCs w:val="20"/>
              </w:rPr>
            </w:pPr>
            <w:r w:rsidRPr="009D7F0A">
              <w:rPr>
                <w:rFonts w:ascii="Palatino Linotype" w:eastAsia="Palatino Linotype" w:hAnsi="Palatino Linotype" w:cs="Palatino Linotype"/>
                <w:i/>
                <w:sz w:val="20"/>
                <w:szCs w:val="20"/>
              </w:rPr>
              <w:t xml:space="preserve">“la información proporcionada no cuenta con un oficio de recurso humanos que certifique el </w:t>
            </w:r>
            <w:proofErr w:type="spellStart"/>
            <w:r w:rsidRPr="009D7F0A">
              <w:rPr>
                <w:rFonts w:ascii="Palatino Linotype" w:eastAsia="Palatino Linotype" w:hAnsi="Palatino Linotype" w:cs="Palatino Linotype"/>
                <w:i/>
                <w:sz w:val="20"/>
                <w:szCs w:val="20"/>
              </w:rPr>
              <w:t>numero</w:t>
            </w:r>
            <w:proofErr w:type="spellEnd"/>
            <w:r w:rsidRPr="009D7F0A">
              <w:rPr>
                <w:rFonts w:ascii="Palatino Linotype" w:eastAsia="Palatino Linotype" w:hAnsi="Palatino Linotype" w:cs="Palatino Linotype"/>
                <w:i/>
                <w:sz w:val="20"/>
                <w:szCs w:val="20"/>
              </w:rPr>
              <w:t xml:space="preserve"> de renuncia presentadas por lo que no se tiene certeza si se </w:t>
            </w:r>
            <w:proofErr w:type="spellStart"/>
            <w:r w:rsidRPr="009D7F0A">
              <w:rPr>
                <w:rFonts w:ascii="Palatino Linotype" w:eastAsia="Palatino Linotype" w:hAnsi="Palatino Linotype" w:cs="Palatino Linotype"/>
                <w:i/>
                <w:sz w:val="20"/>
                <w:szCs w:val="20"/>
              </w:rPr>
              <w:t>entrego</w:t>
            </w:r>
            <w:proofErr w:type="spellEnd"/>
            <w:r w:rsidRPr="009D7F0A">
              <w:rPr>
                <w:rFonts w:ascii="Palatino Linotype" w:eastAsia="Palatino Linotype" w:hAnsi="Palatino Linotype" w:cs="Palatino Linotype"/>
                <w:i/>
                <w:sz w:val="20"/>
                <w:szCs w:val="20"/>
              </w:rPr>
              <w:t xml:space="preserve"> toda la información solicita” (sic)</w:t>
            </w:r>
          </w:p>
        </w:tc>
      </w:tr>
    </w:tbl>
    <w:p w14:paraId="6C3DB268"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b/>
          <w:sz w:val="24"/>
          <w:szCs w:val="24"/>
        </w:rPr>
        <w:t xml:space="preserve">5. Turno. </w:t>
      </w:r>
      <w:r w:rsidRPr="009D7F0A">
        <w:rPr>
          <w:rFonts w:ascii="Palatino Linotype" w:eastAsia="Palatino Linotype" w:hAnsi="Palatino Linotype" w:cs="Palatino Linotype"/>
          <w:sz w:val="24"/>
          <w:szCs w:val="24"/>
        </w:rPr>
        <w:t xml:space="preserve">De conformidad con el artículo 185, fracción I de la Ley Transparencia y Acceso a la Información Pública del Estado de México y Municipios, los recursos de revisión fueron turnados a la Comisionada </w:t>
      </w:r>
      <w:r w:rsidRPr="009D7F0A">
        <w:rPr>
          <w:rFonts w:ascii="Palatino Linotype" w:eastAsia="Palatino Linotype" w:hAnsi="Palatino Linotype" w:cs="Palatino Linotype"/>
          <w:b/>
          <w:sz w:val="24"/>
          <w:szCs w:val="24"/>
        </w:rPr>
        <w:t xml:space="preserve">Guadalupe Ramírez Peña, </w:t>
      </w:r>
      <w:r w:rsidRPr="009D7F0A">
        <w:rPr>
          <w:rFonts w:ascii="Palatino Linotype" w:eastAsia="Palatino Linotype" w:hAnsi="Palatino Linotype" w:cs="Palatino Linotype"/>
          <w:sz w:val="24"/>
          <w:szCs w:val="24"/>
        </w:rPr>
        <w:t>a efecto de presentar al Pleno los proyectos de resolución correspondientes.</w:t>
      </w:r>
    </w:p>
    <w:p w14:paraId="15F22DDB" w14:textId="77777777" w:rsidR="00D33952" w:rsidRPr="009D7F0A" w:rsidRDefault="00D147BA">
      <w:pPr>
        <w:spacing w:before="240" w:after="240" w:line="360" w:lineRule="auto"/>
        <w:jc w:val="both"/>
        <w:rPr>
          <w:rFonts w:ascii="Palatino Linotype" w:eastAsia="Palatino Linotype" w:hAnsi="Palatino Linotype" w:cs="Palatino Linotype"/>
          <w:b/>
          <w:sz w:val="24"/>
          <w:szCs w:val="24"/>
        </w:rPr>
      </w:pPr>
      <w:r w:rsidRPr="009D7F0A">
        <w:rPr>
          <w:rFonts w:ascii="Palatino Linotype" w:eastAsia="Palatino Linotype" w:hAnsi="Palatino Linotype" w:cs="Palatino Linotype"/>
          <w:b/>
          <w:sz w:val="24"/>
          <w:szCs w:val="24"/>
        </w:rPr>
        <w:t xml:space="preserve">6. Admisión. </w:t>
      </w:r>
      <w:r w:rsidRPr="009D7F0A">
        <w:rPr>
          <w:rFonts w:ascii="Palatino Linotype" w:eastAsia="Palatino Linotype" w:hAnsi="Palatino Linotype" w:cs="Palatino Linotype"/>
          <w:sz w:val="24"/>
          <w:szCs w:val="24"/>
        </w:rPr>
        <w:t>El</w:t>
      </w:r>
      <w:r w:rsidRPr="009D7F0A">
        <w:rPr>
          <w:rFonts w:ascii="Palatino Linotype" w:eastAsia="Palatino Linotype" w:hAnsi="Palatino Linotype" w:cs="Palatino Linotype"/>
          <w:b/>
          <w:sz w:val="24"/>
          <w:szCs w:val="24"/>
        </w:rPr>
        <w:t xml:space="preserve"> diez </w:t>
      </w:r>
      <w:r w:rsidRPr="009D7F0A">
        <w:rPr>
          <w:rFonts w:ascii="Palatino Linotype" w:eastAsia="Palatino Linotype" w:hAnsi="Palatino Linotype" w:cs="Palatino Linotype"/>
          <w:sz w:val="24"/>
          <w:szCs w:val="24"/>
        </w:rPr>
        <w:t>y</w:t>
      </w:r>
      <w:r w:rsidRPr="009D7F0A">
        <w:rPr>
          <w:rFonts w:ascii="Palatino Linotype" w:eastAsia="Palatino Linotype" w:hAnsi="Palatino Linotype" w:cs="Palatino Linotype"/>
          <w:b/>
          <w:sz w:val="24"/>
          <w:szCs w:val="24"/>
        </w:rPr>
        <w:t xml:space="preserve"> once de marzo de dos mil veinticinco</w:t>
      </w:r>
      <w:r w:rsidRPr="009D7F0A">
        <w:rPr>
          <w:rFonts w:ascii="Palatino Linotype" w:eastAsia="Palatino Linotype" w:hAnsi="Palatino Linotype" w:cs="Palatino Linotype"/>
          <w:sz w:val="24"/>
          <w:szCs w:val="24"/>
        </w:rPr>
        <w:t>, en términos de lo dispuesto en el artículo 185, fracciones I, II y IV de la Ley de Transparencia y Acceso a la Información Pública del Estado de México y Municipios, se admitieron a trámite los recursos de revisión</w:t>
      </w:r>
      <w:r w:rsidRPr="009D7F0A">
        <w:rPr>
          <w:rFonts w:ascii="Palatino Linotype" w:eastAsia="Palatino Linotype" w:hAnsi="Palatino Linotype" w:cs="Palatino Linotype"/>
          <w:b/>
          <w:sz w:val="24"/>
          <w:szCs w:val="24"/>
        </w:rPr>
        <w:t xml:space="preserve">. </w:t>
      </w:r>
    </w:p>
    <w:p w14:paraId="06D5D798" w14:textId="77777777" w:rsidR="00D33952" w:rsidRPr="009D7F0A" w:rsidRDefault="00D147BA">
      <w:pPr>
        <w:widowControl w:val="0"/>
        <w:spacing w:line="360" w:lineRule="auto"/>
        <w:ind w:right="49"/>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b/>
          <w:sz w:val="24"/>
          <w:szCs w:val="24"/>
        </w:rPr>
        <w:lastRenderedPageBreak/>
        <w:t xml:space="preserve">7. Manifestaciones. </w:t>
      </w:r>
      <w:r w:rsidRPr="009D7F0A">
        <w:rPr>
          <w:rFonts w:ascii="Palatino Linotype" w:eastAsia="Palatino Linotype" w:hAnsi="Palatino Linotype" w:cs="Palatino Linotype"/>
          <w:sz w:val="24"/>
          <w:szCs w:val="24"/>
        </w:rPr>
        <w:t xml:space="preserve">El </w:t>
      </w:r>
      <w:r w:rsidRPr="009D7F0A">
        <w:rPr>
          <w:rFonts w:ascii="Palatino Linotype" w:eastAsia="Palatino Linotype" w:hAnsi="Palatino Linotype" w:cs="Palatino Linotype"/>
          <w:b/>
          <w:sz w:val="24"/>
          <w:szCs w:val="24"/>
        </w:rPr>
        <w:t xml:space="preserve">dieciocho de marzo de dos mil veinticinco, </w:t>
      </w:r>
      <w:r w:rsidRPr="009D7F0A">
        <w:rPr>
          <w:rFonts w:ascii="Palatino Linotype" w:eastAsia="Palatino Linotype" w:hAnsi="Palatino Linotype" w:cs="Palatino Linotype"/>
          <w:sz w:val="24"/>
          <w:szCs w:val="24"/>
        </w:rPr>
        <w:t xml:space="preserve">el </w:t>
      </w:r>
      <w:r w:rsidRPr="009D7F0A">
        <w:rPr>
          <w:rFonts w:ascii="Palatino Linotype" w:eastAsia="Palatino Linotype" w:hAnsi="Palatino Linotype" w:cs="Palatino Linotype"/>
          <w:b/>
          <w:sz w:val="24"/>
          <w:szCs w:val="24"/>
        </w:rPr>
        <w:t>Sujeto Obligado</w:t>
      </w:r>
      <w:r w:rsidRPr="009D7F0A">
        <w:rPr>
          <w:rFonts w:ascii="Palatino Linotype" w:eastAsia="Palatino Linotype" w:hAnsi="Palatino Linotype" w:cs="Palatino Linotype"/>
          <w:sz w:val="24"/>
          <w:szCs w:val="24"/>
        </w:rPr>
        <w:t xml:space="preserve"> remitió, a través de SAIMEX, lo siguiente:</w:t>
      </w:r>
    </w:p>
    <w:tbl>
      <w:tblPr>
        <w:tblStyle w:val="afffff6"/>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714"/>
      </w:tblGrid>
      <w:tr w:rsidR="00162592" w:rsidRPr="009D7F0A" w14:paraId="5F99A856" w14:textId="77777777">
        <w:trPr>
          <w:jc w:val="center"/>
        </w:trPr>
        <w:tc>
          <w:tcPr>
            <w:tcW w:w="3114" w:type="dxa"/>
            <w:shd w:val="clear" w:color="auto" w:fill="D0CECE"/>
          </w:tcPr>
          <w:p w14:paraId="54BC9C10" w14:textId="77777777" w:rsidR="00D33952" w:rsidRPr="009D7F0A" w:rsidRDefault="00D147BA">
            <w:pPr>
              <w:spacing w:before="120" w:after="120" w:line="240" w:lineRule="auto"/>
              <w:jc w:val="center"/>
              <w:rPr>
                <w:rFonts w:ascii="Palatino Linotype" w:eastAsia="Palatino Linotype" w:hAnsi="Palatino Linotype" w:cs="Palatino Linotype"/>
                <w:b/>
                <w:sz w:val="20"/>
                <w:szCs w:val="20"/>
              </w:rPr>
            </w:pPr>
            <w:r w:rsidRPr="009D7F0A">
              <w:rPr>
                <w:rFonts w:ascii="Palatino Linotype" w:eastAsia="Palatino Linotype" w:hAnsi="Palatino Linotype" w:cs="Palatino Linotype"/>
                <w:b/>
                <w:sz w:val="20"/>
                <w:szCs w:val="20"/>
              </w:rPr>
              <w:t>Recurso de Revisión</w:t>
            </w:r>
          </w:p>
        </w:tc>
        <w:tc>
          <w:tcPr>
            <w:tcW w:w="5714" w:type="dxa"/>
            <w:shd w:val="clear" w:color="auto" w:fill="D0CECE"/>
          </w:tcPr>
          <w:p w14:paraId="62BBF457" w14:textId="77777777" w:rsidR="00D33952" w:rsidRPr="009D7F0A" w:rsidRDefault="00D147BA">
            <w:pPr>
              <w:spacing w:before="120" w:after="120" w:line="240" w:lineRule="auto"/>
              <w:jc w:val="center"/>
              <w:rPr>
                <w:rFonts w:ascii="Palatino Linotype" w:eastAsia="Palatino Linotype" w:hAnsi="Palatino Linotype" w:cs="Palatino Linotype"/>
                <w:b/>
                <w:sz w:val="20"/>
                <w:szCs w:val="20"/>
              </w:rPr>
            </w:pPr>
            <w:r w:rsidRPr="009D7F0A">
              <w:rPr>
                <w:rFonts w:ascii="Palatino Linotype" w:eastAsia="Palatino Linotype" w:hAnsi="Palatino Linotype" w:cs="Palatino Linotype"/>
                <w:b/>
                <w:sz w:val="20"/>
                <w:szCs w:val="20"/>
              </w:rPr>
              <w:t>Información proporcionada</w:t>
            </w:r>
          </w:p>
        </w:tc>
      </w:tr>
      <w:tr w:rsidR="00162592" w:rsidRPr="009D7F0A" w14:paraId="273C13C2" w14:textId="77777777">
        <w:trPr>
          <w:jc w:val="center"/>
        </w:trPr>
        <w:tc>
          <w:tcPr>
            <w:tcW w:w="3114" w:type="dxa"/>
          </w:tcPr>
          <w:p w14:paraId="24DBD950" w14:textId="77777777" w:rsidR="00D33952" w:rsidRPr="009D7F0A" w:rsidRDefault="00D147BA">
            <w:pPr>
              <w:spacing w:before="120" w:after="120" w:line="240" w:lineRule="auto"/>
              <w:jc w:val="center"/>
              <w:rPr>
                <w:rFonts w:ascii="Palatino Linotype" w:eastAsia="Palatino Linotype" w:hAnsi="Palatino Linotype" w:cs="Palatino Linotype"/>
                <w:b/>
                <w:i/>
                <w:sz w:val="20"/>
                <w:szCs w:val="20"/>
              </w:rPr>
            </w:pPr>
            <w:r w:rsidRPr="009D7F0A">
              <w:rPr>
                <w:rFonts w:ascii="Palatino Linotype" w:eastAsia="Palatino Linotype" w:hAnsi="Palatino Linotype" w:cs="Palatino Linotype"/>
                <w:b/>
                <w:sz w:val="20"/>
                <w:szCs w:val="20"/>
              </w:rPr>
              <w:t>02554/INFOEM/IP/RR/2025</w:t>
            </w:r>
          </w:p>
        </w:tc>
        <w:tc>
          <w:tcPr>
            <w:tcW w:w="5714" w:type="dxa"/>
          </w:tcPr>
          <w:p w14:paraId="212CA563" w14:textId="77777777" w:rsidR="00D33952" w:rsidRPr="009D7F0A" w:rsidRDefault="00D147BA">
            <w:pPr>
              <w:spacing w:before="120" w:after="120" w:line="240" w:lineRule="auto"/>
              <w:jc w:val="both"/>
              <w:rPr>
                <w:rFonts w:ascii="Palatino Linotype" w:eastAsia="Palatino Linotype" w:hAnsi="Palatino Linotype" w:cs="Palatino Linotype"/>
                <w:sz w:val="20"/>
                <w:szCs w:val="20"/>
              </w:rPr>
            </w:pPr>
            <w:r w:rsidRPr="009D7F0A">
              <w:rPr>
                <w:rFonts w:ascii="Palatino Linotype" w:eastAsia="Palatino Linotype" w:hAnsi="Palatino Linotype" w:cs="Palatino Linotype"/>
                <w:sz w:val="20"/>
                <w:szCs w:val="20"/>
              </w:rPr>
              <w:t>- Oficio número OPDM/OM-0231/2025, del catorce de marzo de dos mil veinticinco, signado por la titular de la Oficialía Mayor, la titular del Área de Recursos Humanos y el titular de la Subdirección de Administración, mediante el cual ratifica su respuesta inicial, y precisaron que se hizo entrega de las renuncias solicitadas que obran en sus archivos, en el estado en el que se encuentran, en términos del artículo 12 de la Ley de Transparencia y Acceso a la Información Pública del Estado de México y Municipios, sin que medie o sea necesaria la formulación de un oficio que certifique dicha información entregada, pues ello entraña la creación o generación de información nueva y adicional a instancia del solicitante, de aquella que obra en los archivos en poder del sujeto obligado, como es la intención del hoy recurrente, al momento que interponer el recurso de revisión que se tramita.</w:t>
            </w:r>
          </w:p>
          <w:p w14:paraId="48D179D7" w14:textId="77777777" w:rsidR="00D33952" w:rsidRPr="009D7F0A" w:rsidRDefault="00D147BA">
            <w:pPr>
              <w:spacing w:before="120" w:after="120" w:line="240" w:lineRule="auto"/>
              <w:jc w:val="both"/>
              <w:rPr>
                <w:rFonts w:ascii="Palatino Linotype" w:eastAsia="Palatino Linotype" w:hAnsi="Palatino Linotype" w:cs="Palatino Linotype"/>
                <w:sz w:val="20"/>
                <w:szCs w:val="20"/>
              </w:rPr>
            </w:pPr>
            <w:r w:rsidRPr="009D7F0A">
              <w:rPr>
                <w:rFonts w:ascii="Palatino Linotype" w:eastAsia="Palatino Linotype" w:hAnsi="Palatino Linotype" w:cs="Palatino Linotype"/>
                <w:sz w:val="20"/>
                <w:szCs w:val="20"/>
              </w:rPr>
              <w:t>Asimismo, argumentó que el recurso de revisión en que se actúa resulta improcedente por tres razones: primera, se entregó al solicitante la información que se posee y administra; segunda, a través de la interposición del recurso de revisión se pretende ampliar su solicitud de información; y tercera, porque el oficio que solicita no se genera y el Sujeto Obligado no tiene la obligación de crearlo.</w:t>
            </w:r>
          </w:p>
        </w:tc>
      </w:tr>
      <w:tr w:rsidR="00162592" w:rsidRPr="009D7F0A" w14:paraId="4BD2CC0B" w14:textId="77777777">
        <w:trPr>
          <w:jc w:val="center"/>
        </w:trPr>
        <w:tc>
          <w:tcPr>
            <w:tcW w:w="3114" w:type="dxa"/>
            <w:vAlign w:val="center"/>
          </w:tcPr>
          <w:p w14:paraId="46CECD79" w14:textId="77777777" w:rsidR="00D33952" w:rsidRPr="009D7F0A" w:rsidRDefault="00D33952">
            <w:pPr>
              <w:spacing w:before="120" w:after="120" w:line="240" w:lineRule="auto"/>
              <w:jc w:val="center"/>
              <w:rPr>
                <w:rFonts w:ascii="Palatino Linotype" w:eastAsia="Palatino Linotype" w:hAnsi="Palatino Linotype" w:cs="Palatino Linotype"/>
                <w:b/>
                <w:sz w:val="20"/>
                <w:szCs w:val="20"/>
              </w:rPr>
            </w:pPr>
          </w:p>
          <w:p w14:paraId="06AD6630" w14:textId="77777777" w:rsidR="00D33952" w:rsidRPr="009D7F0A" w:rsidRDefault="00D147BA">
            <w:pPr>
              <w:spacing w:before="120" w:after="120" w:line="240" w:lineRule="auto"/>
              <w:jc w:val="center"/>
              <w:rPr>
                <w:rFonts w:ascii="Palatino Linotype" w:eastAsia="Palatino Linotype" w:hAnsi="Palatino Linotype" w:cs="Palatino Linotype"/>
                <w:b/>
                <w:sz w:val="20"/>
                <w:szCs w:val="20"/>
              </w:rPr>
            </w:pPr>
            <w:r w:rsidRPr="009D7F0A">
              <w:rPr>
                <w:rFonts w:ascii="Palatino Linotype" w:eastAsia="Palatino Linotype" w:hAnsi="Palatino Linotype" w:cs="Palatino Linotype"/>
                <w:b/>
                <w:sz w:val="20"/>
                <w:szCs w:val="20"/>
              </w:rPr>
              <w:t>02555/INFOEM/IP/RR/2025</w:t>
            </w:r>
          </w:p>
        </w:tc>
        <w:tc>
          <w:tcPr>
            <w:tcW w:w="5714" w:type="dxa"/>
          </w:tcPr>
          <w:p w14:paraId="45360100" w14:textId="77777777" w:rsidR="00D33952" w:rsidRPr="009D7F0A" w:rsidRDefault="00D147BA">
            <w:pPr>
              <w:spacing w:before="120" w:after="120" w:line="240" w:lineRule="auto"/>
              <w:jc w:val="both"/>
              <w:rPr>
                <w:rFonts w:ascii="Palatino Linotype" w:eastAsia="Palatino Linotype" w:hAnsi="Palatino Linotype" w:cs="Palatino Linotype"/>
                <w:sz w:val="20"/>
                <w:szCs w:val="20"/>
              </w:rPr>
            </w:pPr>
            <w:r w:rsidRPr="009D7F0A">
              <w:rPr>
                <w:rFonts w:ascii="Palatino Linotype" w:eastAsia="Palatino Linotype" w:hAnsi="Palatino Linotype" w:cs="Palatino Linotype"/>
                <w:sz w:val="20"/>
                <w:szCs w:val="20"/>
              </w:rPr>
              <w:t xml:space="preserve">- Oficio número OPDM/OM-0232/2025, del catorce de marzo de dos mil veinticinco, signado por la titular de la Oficialía Mayor, la titular del Área de Recursos Humanos y el titular de la Subdirección de Administración, mediante el cual ratifica su respuesta inicial, y precisaron que se hizo entrega de las </w:t>
            </w:r>
            <w:r w:rsidRPr="009D7F0A">
              <w:rPr>
                <w:rFonts w:ascii="Palatino Linotype" w:eastAsia="Palatino Linotype" w:hAnsi="Palatino Linotype" w:cs="Palatino Linotype"/>
                <w:sz w:val="20"/>
                <w:szCs w:val="20"/>
              </w:rPr>
              <w:lastRenderedPageBreak/>
              <w:t>renuncias solicitadas que obran en sus archivos, en el estado en el que se encuentran, en términos del artículo 12 de la Ley de Transparencia y Acceso a la Información Pública del Estado de México y Municipios, sin que medie o sea necesaria la formulación de un oficio que certifique dicha información entregada, pues ello entraña la creación o generación de información nueva y adicional a instancia del solicitante, de aquella que obra en los archivos en poder del sujeto obligado, como es la intención del hoy recurrente, al momento que interponer el recurso de revisión que se tramita.</w:t>
            </w:r>
          </w:p>
          <w:p w14:paraId="43D1345E" w14:textId="77777777" w:rsidR="00D33952" w:rsidRPr="009D7F0A" w:rsidRDefault="00D147BA">
            <w:pPr>
              <w:spacing w:before="120" w:after="120" w:line="240" w:lineRule="auto"/>
              <w:jc w:val="both"/>
              <w:rPr>
                <w:rFonts w:ascii="Palatino Linotype" w:eastAsia="Palatino Linotype" w:hAnsi="Palatino Linotype" w:cs="Palatino Linotype"/>
                <w:sz w:val="20"/>
                <w:szCs w:val="20"/>
              </w:rPr>
            </w:pPr>
            <w:r w:rsidRPr="009D7F0A">
              <w:rPr>
                <w:rFonts w:ascii="Palatino Linotype" w:eastAsia="Palatino Linotype" w:hAnsi="Palatino Linotype" w:cs="Palatino Linotype"/>
                <w:sz w:val="20"/>
                <w:szCs w:val="20"/>
              </w:rPr>
              <w:t>Asimismo, argumentó que el recurso de revisión en que se actúa resulta improcedente por tres razones: primera, se entregó al solicitante la información que se posee y administra; segunda, a través de la interposición del recurso de revisión se pretende ampliar su solicitud de información; y tercera, porque el oficio que solicita no se genera y el Sujeto Obligado no tiene la obligación de crearlo.</w:t>
            </w:r>
          </w:p>
        </w:tc>
      </w:tr>
    </w:tbl>
    <w:p w14:paraId="70EAB04A"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lastRenderedPageBreak/>
        <w:t xml:space="preserve">Una vez analizados los documentos referidos, se determinó hacerlos del conocimiento de la parte </w:t>
      </w:r>
      <w:r w:rsidRPr="009D7F0A">
        <w:rPr>
          <w:rFonts w:ascii="Palatino Linotype" w:eastAsia="Palatino Linotype" w:hAnsi="Palatino Linotype" w:cs="Palatino Linotype"/>
          <w:b/>
          <w:sz w:val="24"/>
          <w:szCs w:val="24"/>
        </w:rPr>
        <w:t xml:space="preserve">Recurrente </w:t>
      </w:r>
      <w:r w:rsidRPr="009D7F0A">
        <w:rPr>
          <w:rFonts w:ascii="Palatino Linotype" w:eastAsia="Palatino Linotype" w:hAnsi="Palatino Linotype" w:cs="Palatino Linotype"/>
          <w:sz w:val="24"/>
          <w:szCs w:val="24"/>
        </w:rPr>
        <w:t>con la finalidad de que manifestaran lo que a su derecho estimaran conveniente, siendo omisa en ejercer dicha prerrogativa.</w:t>
      </w:r>
    </w:p>
    <w:p w14:paraId="7679EF1B"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b/>
          <w:sz w:val="24"/>
          <w:szCs w:val="24"/>
        </w:rPr>
        <w:t xml:space="preserve">8. Acumulación de los recursos de revisión. </w:t>
      </w:r>
      <w:r w:rsidRPr="009D7F0A">
        <w:rPr>
          <w:rFonts w:ascii="Palatino Linotype" w:eastAsia="Palatino Linotype" w:hAnsi="Palatino Linotype" w:cs="Palatino Linotype"/>
          <w:sz w:val="24"/>
          <w:szCs w:val="24"/>
        </w:rPr>
        <w:t xml:space="preserve">Al advertir la conexidad causa y con la finalidad de evitar que se dicten resoluciones contradictorias, en la </w:t>
      </w:r>
      <w:r w:rsidRPr="009D7F0A">
        <w:rPr>
          <w:rFonts w:ascii="Palatino Linotype" w:eastAsia="Palatino Linotype" w:hAnsi="Palatino Linotype" w:cs="Palatino Linotype"/>
          <w:b/>
          <w:sz w:val="24"/>
          <w:szCs w:val="24"/>
        </w:rPr>
        <w:t>Décima Sesión</w:t>
      </w:r>
      <w:r w:rsidRPr="009D7F0A">
        <w:rPr>
          <w:rFonts w:ascii="Palatino Linotype" w:eastAsia="Palatino Linotype" w:hAnsi="Palatino Linotype" w:cs="Palatino Linotype"/>
          <w:sz w:val="24"/>
          <w:szCs w:val="24"/>
        </w:rPr>
        <w:t xml:space="preserve"> </w:t>
      </w:r>
      <w:r w:rsidRPr="009D7F0A">
        <w:rPr>
          <w:rFonts w:ascii="Palatino Linotype" w:eastAsia="Palatino Linotype" w:hAnsi="Palatino Linotype" w:cs="Palatino Linotype"/>
          <w:b/>
          <w:sz w:val="24"/>
          <w:szCs w:val="24"/>
        </w:rPr>
        <w:t>Ordinaria</w:t>
      </w:r>
      <w:r w:rsidRPr="009D7F0A">
        <w:rPr>
          <w:rFonts w:ascii="Palatino Linotype" w:eastAsia="Palatino Linotype" w:hAnsi="Palatino Linotype" w:cs="Palatino Linotype"/>
          <w:sz w:val="24"/>
          <w:szCs w:val="24"/>
        </w:rPr>
        <w:t xml:space="preserve"> de fecha </w:t>
      </w:r>
      <w:r w:rsidRPr="009D7F0A">
        <w:rPr>
          <w:rFonts w:ascii="Palatino Linotype" w:eastAsia="Palatino Linotype" w:hAnsi="Palatino Linotype" w:cs="Palatino Linotype"/>
          <w:b/>
          <w:sz w:val="24"/>
          <w:szCs w:val="24"/>
        </w:rPr>
        <w:t>veinte de marzo de dos mil veinticinco,</w:t>
      </w:r>
      <w:r w:rsidRPr="009D7F0A">
        <w:rPr>
          <w:rFonts w:ascii="Palatino Linotype" w:eastAsia="Palatino Linotype" w:hAnsi="Palatino Linotype" w:cs="Palatino Linotype"/>
          <w:sz w:val="24"/>
          <w:szCs w:val="24"/>
        </w:rPr>
        <w:t xml:space="preserve"> el Pleno de este Instituto ordenó la acumulación de los expedientes citados, a efecto de que la </w:t>
      </w:r>
      <w:r w:rsidRPr="009D7F0A">
        <w:rPr>
          <w:rFonts w:ascii="Palatino Linotype" w:eastAsia="Palatino Linotype" w:hAnsi="Palatino Linotype" w:cs="Palatino Linotype"/>
          <w:b/>
          <w:sz w:val="24"/>
          <w:szCs w:val="24"/>
        </w:rPr>
        <w:t xml:space="preserve">Comisionada Guadalupe Ramírez Peña </w:t>
      </w:r>
      <w:r w:rsidRPr="009D7F0A">
        <w:rPr>
          <w:rFonts w:ascii="Palatino Linotype" w:eastAsia="Palatino Linotype" w:hAnsi="Palatino Linotype" w:cs="Palatino Linotype"/>
          <w:sz w:val="24"/>
          <w:szCs w:val="24"/>
        </w:rPr>
        <w:t xml:space="preserve">formulara y presentara el proyecto de resolución correspondiente, de conformidad con lo dispuesto en el artículo 18 del Código de </w:t>
      </w:r>
      <w:r w:rsidRPr="009D7F0A">
        <w:rPr>
          <w:rFonts w:ascii="Palatino Linotype" w:eastAsia="Palatino Linotype" w:hAnsi="Palatino Linotype" w:cs="Palatino Linotype"/>
          <w:sz w:val="24"/>
          <w:szCs w:val="24"/>
        </w:rPr>
        <w:lastRenderedPageBreak/>
        <w:t>Procedimientos Administrativos del Estado de México, de aplicación supletoria en términos del artículo 195 de la Ley de Transparencia y Acceso a la Información Pública del Estado de México y Municipios, que a la letra señalan:  </w:t>
      </w:r>
    </w:p>
    <w:p w14:paraId="3ED6D220" w14:textId="77777777" w:rsidR="00D33952" w:rsidRPr="009D7F0A" w:rsidRDefault="00D147B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9D7F0A">
        <w:rPr>
          <w:rFonts w:ascii="Palatino Linotype" w:eastAsia="Palatino Linotype" w:hAnsi="Palatino Linotype" w:cs="Palatino Linotype"/>
          <w:b/>
          <w:i/>
        </w:rPr>
        <w:t>Código de Procedimientos Administrativos del Estado de México</w:t>
      </w:r>
    </w:p>
    <w:p w14:paraId="5247DE14" w14:textId="77777777" w:rsidR="00D33952" w:rsidRPr="009D7F0A" w:rsidRDefault="00D147B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9D7F0A">
        <w:rPr>
          <w:rFonts w:ascii="Palatino Linotype" w:eastAsia="Palatino Linotype" w:hAnsi="Palatino Linotype" w:cs="Palatino Linotype"/>
          <w:b/>
          <w:i/>
        </w:rPr>
        <w:t>“Artículo 18.-</w:t>
      </w:r>
      <w:r w:rsidRPr="009D7F0A">
        <w:rPr>
          <w:rFonts w:ascii="Palatino Linotype" w:eastAsia="Palatino Linotype" w:hAnsi="Palatino Linotype" w:cs="Palatino Linotype"/>
          <w:i/>
        </w:rPr>
        <w:t xml:space="preserve"> </w:t>
      </w:r>
      <w:r w:rsidRPr="009D7F0A">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9D7F0A">
        <w:rPr>
          <w:rFonts w:ascii="Palatino Linotype" w:eastAsia="Palatino Linotype" w:hAnsi="Palatino Linotype" w:cs="Palatino Linotype"/>
          <w:i/>
        </w:rPr>
        <w:t xml:space="preserve"> o a petición de parte, </w:t>
      </w:r>
      <w:r w:rsidRPr="009D7F0A">
        <w:rPr>
          <w:rFonts w:ascii="Palatino Linotype" w:eastAsia="Palatino Linotype" w:hAnsi="Palatino Linotype" w:cs="Palatino Linotype"/>
          <w:b/>
          <w:i/>
        </w:rPr>
        <w:t>cuando las partes</w:t>
      </w:r>
      <w:r w:rsidRPr="009D7F0A">
        <w:rPr>
          <w:rFonts w:ascii="Palatino Linotype" w:eastAsia="Palatino Linotype" w:hAnsi="Palatino Linotype" w:cs="Palatino Linotype"/>
          <w:i/>
        </w:rPr>
        <w:t xml:space="preserve"> o los actos administrativos sean iguales, se trate de actos conexos o </w:t>
      </w:r>
      <w:r w:rsidRPr="009D7F0A">
        <w:rPr>
          <w:rFonts w:ascii="Palatino Linotype" w:eastAsia="Palatino Linotype" w:hAnsi="Palatino Linotype" w:cs="Palatino Linotype"/>
          <w:b/>
          <w:i/>
        </w:rPr>
        <w:t>resulte conveniente el trámite unificado de los asuntos, para evitar la emisión de resoluciones contradictorias</w:t>
      </w:r>
      <w:r w:rsidRPr="009D7F0A">
        <w:rPr>
          <w:rFonts w:ascii="Palatino Linotype" w:eastAsia="Palatino Linotype" w:hAnsi="Palatino Linotype" w:cs="Palatino Linotype"/>
          <w:i/>
        </w:rPr>
        <w:t>. La misma regla se aplicará, en lo conducente, para la separación de los expedientes.”</w:t>
      </w:r>
    </w:p>
    <w:p w14:paraId="2A1F97E8" w14:textId="77777777" w:rsidR="00D33952" w:rsidRPr="009D7F0A" w:rsidRDefault="00D147B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9D7F0A">
        <w:rPr>
          <w:rFonts w:ascii="Palatino Linotype" w:eastAsia="Palatino Linotype" w:hAnsi="Palatino Linotype" w:cs="Palatino Linotype"/>
          <w:b/>
          <w:i/>
        </w:rPr>
        <w:t>Ley de Transparencia y Acceso a la Información Pública del Estado de México y Municipios</w:t>
      </w:r>
    </w:p>
    <w:p w14:paraId="191375AD" w14:textId="77777777" w:rsidR="00D33952" w:rsidRPr="009D7F0A" w:rsidRDefault="00D147B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9D7F0A">
        <w:rPr>
          <w:rFonts w:ascii="Palatino Linotype" w:eastAsia="Palatino Linotype" w:hAnsi="Palatino Linotype" w:cs="Palatino Linotype"/>
          <w:b/>
          <w:i/>
        </w:rPr>
        <w:t>“Artículo 195.-</w:t>
      </w:r>
      <w:r w:rsidRPr="009D7F0A">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1A9631E3"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bookmarkStart w:id="3" w:name="_heading=h.tyjcwt" w:colFirst="0" w:colLast="0"/>
      <w:bookmarkEnd w:id="3"/>
      <w:r w:rsidRPr="009D7F0A">
        <w:rPr>
          <w:rFonts w:ascii="Palatino Linotype" w:eastAsia="Palatino Linotype" w:hAnsi="Palatino Linotype" w:cs="Palatino Linotype"/>
          <w:b/>
          <w:sz w:val="24"/>
          <w:szCs w:val="24"/>
        </w:rPr>
        <w:t xml:space="preserve">9. Cierre de Instrucción. </w:t>
      </w:r>
      <w:r w:rsidRPr="009D7F0A">
        <w:rPr>
          <w:rFonts w:ascii="Palatino Linotype" w:eastAsia="Palatino Linotype" w:hAnsi="Palatino Linotype" w:cs="Palatino Linotype"/>
          <w:sz w:val="24"/>
          <w:szCs w:val="24"/>
        </w:rPr>
        <w:t xml:space="preserve">El </w:t>
      </w:r>
      <w:r w:rsidRPr="009D7F0A">
        <w:rPr>
          <w:rFonts w:ascii="Palatino Linotype" w:eastAsia="Palatino Linotype" w:hAnsi="Palatino Linotype" w:cs="Palatino Linotype"/>
          <w:b/>
          <w:sz w:val="24"/>
          <w:szCs w:val="24"/>
        </w:rPr>
        <w:t>dos de abril de dos mil veinticinco</w:t>
      </w:r>
      <w:r w:rsidRPr="009D7F0A">
        <w:rPr>
          <w:rFonts w:ascii="Palatino Linotype" w:eastAsia="Palatino Linotype" w:hAnsi="Palatino Linotype" w:cs="Palatino Linotype"/>
          <w:sz w:val="24"/>
          <w:szCs w:val="24"/>
        </w:rPr>
        <w:t>, con fundamento en lo establecido en el artículo 185, fracción VI de la Ley de Transparencia y Acceso a la Información Pública del Estado de México y Municipios, al no existir trámite pendiente por realizar y haber sido sustanciados medios de impugnación se acordó el cierre de instrucción y se procede a formular la resolución que en derecho corresponda.</w:t>
      </w:r>
    </w:p>
    <w:p w14:paraId="0F04823F"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bookmarkStart w:id="4" w:name="_heading=h.g4difphfgvdl" w:colFirst="0" w:colLast="0"/>
      <w:bookmarkEnd w:id="4"/>
      <w:r w:rsidRPr="009D7F0A">
        <w:rPr>
          <w:rFonts w:ascii="Palatino Linotype" w:eastAsia="Palatino Linotype" w:hAnsi="Palatino Linotype" w:cs="Palatino Linotype"/>
          <w:b/>
          <w:sz w:val="24"/>
          <w:szCs w:val="24"/>
        </w:rPr>
        <w:lastRenderedPageBreak/>
        <w:t>10. Ampliación del término para resolver</w:t>
      </w:r>
      <w:r w:rsidRPr="009D7F0A">
        <w:rPr>
          <w:rFonts w:ascii="Palatino Linotype" w:eastAsia="Palatino Linotype" w:hAnsi="Palatino Linotype" w:cs="Palatino Linotype"/>
          <w:sz w:val="24"/>
          <w:szCs w:val="24"/>
        </w:rPr>
        <w:t xml:space="preserve">. El </w:t>
      </w:r>
      <w:r w:rsidRPr="009D7F0A">
        <w:rPr>
          <w:rFonts w:ascii="Palatino Linotype" w:eastAsia="Palatino Linotype" w:hAnsi="Palatino Linotype" w:cs="Palatino Linotype"/>
          <w:b/>
          <w:sz w:val="24"/>
          <w:szCs w:val="24"/>
        </w:rPr>
        <w:t>treinta de abril de dos mil veinticinco</w:t>
      </w:r>
      <w:r w:rsidRPr="009D7F0A">
        <w:rPr>
          <w:rFonts w:ascii="Palatino Linotype" w:eastAsia="Palatino Linotype" w:hAnsi="Palatino Linotype" w:cs="Palatino Linotype"/>
          <w:sz w:val="24"/>
          <w:szCs w:val="24"/>
        </w:rPr>
        <w:t>, se amplió el término para resolver los recursos de revisión en términos del artículo 181 párrafo tercero de la Ley de Transparencia y Acceso a la Información Pública del Estado de México y Municipios.</w:t>
      </w:r>
    </w:p>
    <w:p w14:paraId="3B0567E1"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 xml:space="preserve">En razón de que fue debidamente sustanciado el expediente electrónico y no existe diligencia pendiente de desahogo, se emite la Resolución que conforme a Derecho proceda, de acuerdo con los siguientes: </w:t>
      </w:r>
    </w:p>
    <w:p w14:paraId="596EF708" w14:textId="77777777" w:rsidR="00D33952" w:rsidRPr="009D7F0A" w:rsidRDefault="00D147BA">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4"/>
          <w:szCs w:val="24"/>
        </w:rPr>
      </w:pPr>
      <w:r w:rsidRPr="009D7F0A">
        <w:rPr>
          <w:rFonts w:ascii="Palatino Linotype" w:eastAsia="Palatino Linotype" w:hAnsi="Palatino Linotype" w:cs="Palatino Linotype"/>
          <w:b/>
          <w:sz w:val="24"/>
          <w:szCs w:val="24"/>
        </w:rPr>
        <w:t>II. C O N S I D E R A N D O S:</w:t>
      </w:r>
    </w:p>
    <w:p w14:paraId="1107D503"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b/>
          <w:sz w:val="24"/>
          <w:szCs w:val="24"/>
        </w:rPr>
        <w:t>Primero. Competencia.</w:t>
      </w:r>
      <w:r w:rsidRPr="009D7F0A">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los presentes recursos de revisión interpuestos por la parte </w:t>
      </w:r>
      <w:r w:rsidRPr="009D7F0A">
        <w:rPr>
          <w:rFonts w:ascii="Palatino Linotype" w:eastAsia="Palatino Linotype" w:hAnsi="Palatino Linotype" w:cs="Palatino Linotype"/>
          <w:b/>
          <w:sz w:val="24"/>
          <w:szCs w:val="24"/>
        </w:rPr>
        <w:t>Recurrente</w:t>
      </w:r>
      <w:r w:rsidRPr="009D7F0A">
        <w:rPr>
          <w:rFonts w:ascii="Palatino Linotype" w:eastAsia="Palatino Linotype" w:hAnsi="Palatino Linotype" w:cs="Palatino Linotype"/>
          <w:sz w:val="24"/>
          <w:szCs w:val="24"/>
        </w:rPr>
        <w:t xml:space="preserv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XIV, </w:t>
      </w:r>
      <w:r w:rsidRPr="009D7F0A">
        <w:rPr>
          <w:rFonts w:ascii="Palatino Linotype" w:eastAsia="Palatino Linotype" w:hAnsi="Palatino Linotype" w:cs="Palatino Linotype"/>
          <w:sz w:val="24"/>
          <w:szCs w:val="24"/>
        </w:rPr>
        <w:lastRenderedPageBreak/>
        <w:t>y 11 del Reglamento Interior del Instituto de Transparencia, Acceso a la Información Pública y Protección de Datos Personales del Estado de México y Municipios.</w:t>
      </w:r>
    </w:p>
    <w:p w14:paraId="7483852A"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b/>
          <w:sz w:val="24"/>
          <w:szCs w:val="24"/>
        </w:rPr>
        <w:t>Segundo. Oportunidad y Procedibilidad del Recurso de Revisión</w:t>
      </w:r>
      <w:r w:rsidRPr="009D7F0A">
        <w:rPr>
          <w:rFonts w:ascii="Palatino Linotype" w:eastAsia="Palatino Linotype" w:hAnsi="Palatino Linotype" w:cs="Palatino Linotype"/>
          <w:sz w:val="24"/>
          <w:szCs w:val="24"/>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74989B7C"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 xml:space="preserve">Los recursos de revisión fueron interpuestos dentro del plazo de quince días hábiles, previsto en el artículo 178 de la Ley de Transparencia y Acceso a la Información Pública del Estado de México y Municipios, toda vez que el </w:t>
      </w:r>
      <w:r w:rsidRPr="009D7F0A">
        <w:rPr>
          <w:rFonts w:ascii="Palatino Linotype" w:eastAsia="Palatino Linotype" w:hAnsi="Palatino Linotype" w:cs="Palatino Linotype"/>
          <w:b/>
          <w:sz w:val="24"/>
          <w:szCs w:val="24"/>
        </w:rPr>
        <w:t xml:space="preserve">Sujeto Obligado </w:t>
      </w:r>
      <w:r w:rsidRPr="009D7F0A">
        <w:rPr>
          <w:rFonts w:ascii="Palatino Linotype" w:eastAsia="Palatino Linotype" w:hAnsi="Palatino Linotype" w:cs="Palatino Linotype"/>
          <w:sz w:val="24"/>
          <w:szCs w:val="24"/>
        </w:rPr>
        <w:t xml:space="preserve">remitió la respuesta a las solicitudes de información el </w:t>
      </w:r>
      <w:r w:rsidRPr="009D7F0A">
        <w:rPr>
          <w:rFonts w:ascii="Palatino Linotype" w:eastAsia="Palatino Linotype" w:hAnsi="Palatino Linotype" w:cs="Palatino Linotype"/>
          <w:b/>
          <w:sz w:val="24"/>
          <w:szCs w:val="24"/>
        </w:rPr>
        <w:t xml:space="preserve">veintiuno de febrero de dos mil veinticinco, </w:t>
      </w:r>
      <w:r w:rsidRPr="009D7F0A">
        <w:rPr>
          <w:rFonts w:ascii="Palatino Linotype" w:eastAsia="Palatino Linotype" w:hAnsi="Palatino Linotype" w:cs="Palatino Linotype"/>
          <w:sz w:val="24"/>
          <w:szCs w:val="24"/>
        </w:rPr>
        <w:t xml:space="preserve">mientras que los recursos de revisión interpuestos por la parte </w:t>
      </w:r>
      <w:r w:rsidRPr="009D7F0A">
        <w:rPr>
          <w:rFonts w:ascii="Palatino Linotype" w:eastAsia="Palatino Linotype" w:hAnsi="Palatino Linotype" w:cs="Palatino Linotype"/>
          <w:b/>
          <w:sz w:val="24"/>
          <w:szCs w:val="24"/>
        </w:rPr>
        <w:t>Recurrente</w:t>
      </w:r>
      <w:r w:rsidRPr="009D7F0A">
        <w:rPr>
          <w:rFonts w:ascii="Palatino Linotype" w:eastAsia="Palatino Linotype" w:hAnsi="Palatino Linotype" w:cs="Palatino Linotype"/>
          <w:sz w:val="24"/>
          <w:szCs w:val="24"/>
        </w:rPr>
        <w:t xml:space="preserve">, se tuvieron por presentados el </w:t>
      </w:r>
      <w:r w:rsidRPr="009D7F0A">
        <w:rPr>
          <w:rFonts w:ascii="Palatino Linotype" w:eastAsia="Palatino Linotype" w:hAnsi="Palatino Linotype" w:cs="Palatino Linotype"/>
          <w:b/>
          <w:sz w:val="24"/>
          <w:szCs w:val="24"/>
        </w:rPr>
        <w:t>seis de marzo de dos mil veinticinco,</w:t>
      </w:r>
      <w:r w:rsidRPr="009D7F0A">
        <w:rPr>
          <w:rFonts w:ascii="Palatino Linotype" w:eastAsia="Palatino Linotype" w:hAnsi="Palatino Linotype" w:cs="Palatino Linotype"/>
          <w:sz w:val="24"/>
          <w:szCs w:val="24"/>
        </w:rPr>
        <w:t xml:space="preserve"> esto es, al tercer día hábil posterior a aquel en el que tuvo conocimiento de las respuestas impugnadas. En este sentido, se concluye que los presentes recursos de revisión se encuentran dentro de los márgenes temporales previstos en las disposiciones legales referidas.</w:t>
      </w:r>
    </w:p>
    <w:p w14:paraId="1D91CE5F" w14:textId="77777777" w:rsidR="00D33952" w:rsidRPr="009D7F0A" w:rsidRDefault="00D147BA">
      <w:pPr>
        <w:tabs>
          <w:tab w:val="left" w:pos="7938"/>
        </w:tabs>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lastRenderedPageBreak/>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DA6E2C2" w14:textId="77777777" w:rsidR="00D33952" w:rsidRPr="009D7F0A" w:rsidRDefault="00D147BA">
      <w:pPr>
        <w:spacing w:before="240" w:after="240" w:line="360" w:lineRule="auto"/>
        <w:jc w:val="both"/>
        <w:rPr>
          <w:rFonts w:ascii="Palatino Linotype" w:eastAsia="Palatino Linotype" w:hAnsi="Palatino Linotype" w:cs="Palatino Linotype"/>
        </w:rPr>
      </w:pPr>
      <w:r w:rsidRPr="009D7F0A">
        <w:rPr>
          <w:rFonts w:ascii="Palatino Linotype" w:eastAsia="Palatino Linotype" w:hAnsi="Palatino Linotype" w:cs="Palatino Linotype"/>
        </w:rPr>
        <w:t xml:space="preserve">Finalmente, se advierte que resulta procedente la interposición del recurso, según lo manifestado por la parte </w:t>
      </w:r>
      <w:r w:rsidRPr="009D7F0A">
        <w:rPr>
          <w:rFonts w:ascii="Palatino Linotype" w:eastAsia="Palatino Linotype" w:hAnsi="Palatino Linotype" w:cs="Palatino Linotype"/>
          <w:b/>
        </w:rPr>
        <w:t>Recurrente</w:t>
      </w:r>
      <w:r w:rsidRPr="009D7F0A">
        <w:rPr>
          <w:rFonts w:ascii="Palatino Linotype" w:eastAsia="Palatino Linotype" w:hAnsi="Palatino Linotype" w:cs="Palatino Linotype"/>
        </w:rPr>
        <w:t xml:space="preserve"> en sus motivos de inconformidad, de acuerdo al artículo 179, fracción V del ordenamiento legal citado, que a la letra dice: </w:t>
      </w:r>
    </w:p>
    <w:p w14:paraId="06561AED" w14:textId="77777777" w:rsidR="00D33952" w:rsidRPr="009D7F0A" w:rsidRDefault="00D147BA">
      <w:pPr>
        <w:spacing w:before="120" w:after="120"/>
        <w:ind w:left="851" w:right="902"/>
        <w:jc w:val="both"/>
        <w:rPr>
          <w:rFonts w:ascii="Palatino Linotype" w:eastAsia="Palatino Linotype" w:hAnsi="Palatino Linotype" w:cs="Palatino Linotype"/>
          <w:i/>
        </w:rPr>
      </w:pPr>
      <w:r w:rsidRPr="009D7F0A">
        <w:rPr>
          <w:rFonts w:ascii="Palatino Linotype" w:eastAsia="Palatino Linotype" w:hAnsi="Palatino Linotype" w:cs="Palatino Linotype"/>
          <w:i/>
        </w:rPr>
        <w:t>“</w:t>
      </w:r>
      <w:r w:rsidRPr="009D7F0A">
        <w:rPr>
          <w:rFonts w:ascii="Palatino Linotype" w:eastAsia="Palatino Linotype" w:hAnsi="Palatino Linotype" w:cs="Palatino Linotype"/>
          <w:b/>
          <w:i/>
        </w:rPr>
        <w:t>Artículo 179.</w:t>
      </w:r>
      <w:r w:rsidRPr="009D7F0A">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0539FAF" w14:textId="77777777" w:rsidR="00D33952" w:rsidRPr="009D7F0A" w:rsidRDefault="00D147BA">
      <w:pPr>
        <w:spacing w:before="120" w:after="120"/>
        <w:ind w:left="1134"/>
        <w:rPr>
          <w:rFonts w:ascii="Palatino Linotype" w:eastAsia="Palatino Linotype" w:hAnsi="Palatino Linotype" w:cs="Palatino Linotype"/>
          <w:b/>
          <w:i/>
        </w:rPr>
      </w:pPr>
      <w:r w:rsidRPr="009D7F0A">
        <w:rPr>
          <w:rFonts w:ascii="Palatino Linotype" w:eastAsia="Palatino Linotype" w:hAnsi="Palatino Linotype" w:cs="Palatino Linotype"/>
          <w:b/>
          <w:i/>
        </w:rPr>
        <w:t>...</w:t>
      </w:r>
    </w:p>
    <w:p w14:paraId="1321CF26" w14:textId="77777777" w:rsidR="00D33952" w:rsidRPr="009D7F0A" w:rsidRDefault="00D147BA">
      <w:pPr>
        <w:spacing w:before="120" w:after="120"/>
        <w:ind w:left="1134"/>
        <w:rPr>
          <w:rFonts w:ascii="Palatino Linotype" w:eastAsia="Palatino Linotype" w:hAnsi="Palatino Linotype" w:cs="Palatino Linotype"/>
          <w:i/>
        </w:rPr>
      </w:pPr>
      <w:r w:rsidRPr="009D7F0A">
        <w:rPr>
          <w:rFonts w:ascii="Palatino Linotype" w:eastAsia="Palatino Linotype" w:hAnsi="Palatino Linotype" w:cs="Palatino Linotype"/>
          <w:b/>
          <w:i/>
        </w:rPr>
        <w:t xml:space="preserve">V. </w:t>
      </w:r>
      <w:r w:rsidRPr="009D7F0A">
        <w:rPr>
          <w:rFonts w:ascii="Palatino Linotype" w:eastAsia="Palatino Linotype" w:hAnsi="Palatino Linotype" w:cs="Palatino Linotype"/>
          <w:i/>
        </w:rPr>
        <w:t>La entrega de información incompleta;”</w:t>
      </w:r>
    </w:p>
    <w:p w14:paraId="13149EBA" w14:textId="77777777" w:rsidR="00D33952" w:rsidRPr="009D7F0A" w:rsidRDefault="00D147BA">
      <w:pPr>
        <w:widowControl w:val="0"/>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b/>
          <w:sz w:val="24"/>
          <w:szCs w:val="24"/>
        </w:rPr>
        <w:t>Tercero. Análisis de las causales de improcedencia y sobreseimiento de los Recursos de Revisión.</w:t>
      </w:r>
      <w:r w:rsidRPr="009D7F0A">
        <w:rPr>
          <w:sz w:val="24"/>
          <w:szCs w:val="24"/>
        </w:rPr>
        <w:t xml:space="preserve"> </w:t>
      </w:r>
      <w:r w:rsidRPr="009D7F0A">
        <w:rPr>
          <w:rFonts w:ascii="Palatino Linotype" w:eastAsia="Palatino Linotype" w:hAnsi="Palatino Linotype" w:cs="Palatino Linotype"/>
          <w:sz w:val="24"/>
          <w:szCs w:val="24"/>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la Jurisprudencia número 940, visible en la página 1538, del Apéndice al Semanario Judicial de la </w:t>
      </w:r>
      <w:r w:rsidRPr="009D7F0A">
        <w:rPr>
          <w:rFonts w:ascii="Palatino Linotype" w:eastAsia="Palatino Linotype" w:hAnsi="Palatino Linotype" w:cs="Palatino Linotype"/>
          <w:sz w:val="24"/>
          <w:szCs w:val="24"/>
        </w:rPr>
        <w:lastRenderedPageBreak/>
        <w:t>Federación 1917-1988, Segunda Parte, que a la letra señala:</w:t>
      </w:r>
    </w:p>
    <w:p w14:paraId="191A08B5" w14:textId="77777777" w:rsidR="00D33952" w:rsidRPr="009D7F0A" w:rsidRDefault="00D147BA">
      <w:pPr>
        <w:ind w:left="851" w:right="900"/>
        <w:jc w:val="both"/>
        <w:rPr>
          <w:rFonts w:ascii="Palatino Linotype" w:eastAsia="Palatino Linotype" w:hAnsi="Palatino Linotype" w:cs="Palatino Linotype"/>
          <w:i/>
        </w:rPr>
      </w:pPr>
      <w:r w:rsidRPr="009D7F0A">
        <w:rPr>
          <w:rFonts w:ascii="Palatino Linotype" w:eastAsia="Palatino Linotype" w:hAnsi="Palatino Linotype" w:cs="Palatino Linotype"/>
          <w:b/>
          <w:i/>
        </w:rPr>
        <w:t xml:space="preserve">“Improcedencia: </w:t>
      </w:r>
      <w:r w:rsidRPr="009D7F0A">
        <w:rPr>
          <w:rFonts w:ascii="Palatino Linotype" w:eastAsia="Palatino Linotype" w:hAnsi="Palatino Linotype" w:cs="Palatino Linotype"/>
          <w:i/>
        </w:rPr>
        <w:t>Sea que las partes la aleguen o no, debe examinarse previamente la procedencia del juicio de amparo, por ser cuestión de orden público en el juicio de garantías.”</w:t>
      </w:r>
    </w:p>
    <w:p w14:paraId="16CCD801" w14:textId="77777777" w:rsidR="00D33952" w:rsidRPr="009D7F0A" w:rsidRDefault="00D147BA">
      <w:pPr>
        <w:widowControl w:val="0"/>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De tal suerte, deberá ser desechado cualquier recurso de revisión que actualice alguno de los supuestos establecidos en el artículo 191 de la Ley de Transparencia y Acceso a la Información Pública del Estado de México y Municipios, por ser improcedente, a saber:</w:t>
      </w:r>
    </w:p>
    <w:p w14:paraId="4B876672" w14:textId="77777777" w:rsidR="00D33952" w:rsidRPr="009D7F0A" w:rsidRDefault="00D147BA">
      <w:pPr>
        <w:spacing w:before="120" w:after="120"/>
        <w:ind w:left="851" w:right="618"/>
        <w:jc w:val="both"/>
        <w:rPr>
          <w:rFonts w:ascii="Palatino Linotype" w:eastAsia="Palatino Linotype" w:hAnsi="Palatino Linotype" w:cs="Palatino Linotype"/>
          <w:i/>
        </w:rPr>
      </w:pPr>
      <w:r w:rsidRPr="009D7F0A">
        <w:rPr>
          <w:b/>
        </w:rPr>
        <w:t>“</w:t>
      </w:r>
      <w:r w:rsidRPr="009D7F0A">
        <w:rPr>
          <w:rFonts w:ascii="Palatino Linotype" w:eastAsia="Palatino Linotype" w:hAnsi="Palatino Linotype" w:cs="Palatino Linotype"/>
          <w:b/>
          <w:i/>
        </w:rPr>
        <w:t>Artículo 191.</w:t>
      </w:r>
      <w:r w:rsidRPr="009D7F0A">
        <w:rPr>
          <w:rFonts w:ascii="Palatino Linotype" w:eastAsia="Palatino Linotype" w:hAnsi="Palatino Linotype" w:cs="Palatino Linotype"/>
          <w:i/>
        </w:rPr>
        <w:t xml:space="preserve"> El recurso será desechado por improcedente cuando: </w:t>
      </w:r>
    </w:p>
    <w:p w14:paraId="2471F337" w14:textId="77777777" w:rsidR="00D33952" w:rsidRPr="009D7F0A" w:rsidRDefault="00D147BA">
      <w:pPr>
        <w:spacing w:before="120" w:after="120"/>
        <w:ind w:left="1134" w:right="618"/>
        <w:jc w:val="both"/>
        <w:rPr>
          <w:rFonts w:ascii="Palatino Linotype" w:eastAsia="Palatino Linotype" w:hAnsi="Palatino Linotype" w:cs="Palatino Linotype"/>
          <w:i/>
        </w:rPr>
      </w:pPr>
      <w:r w:rsidRPr="009D7F0A">
        <w:rPr>
          <w:rFonts w:ascii="Palatino Linotype" w:eastAsia="Palatino Linotype" w:hAnsi="Palatino Linotype" w:cs="Palatino Linotype"/>
          <w:b/>
          <w:i/>
        </w:rPr>
        <w:t>I.</w:t>
      </w:r>
      <w:r w:rsidRPr="009D7F0A">
        <w:rPr>
          <w:rFonts w:ascii="Palatino Linotype" w:eastAsia="Palatino Linotype" w:hAnsi="Palatino Linotype" w:cs="Palatino Linotype"/>
          <w:i/>
        </w:rPr>
        <w:t xml:space="preserve"> Sea extemporáneo por haber transcurrido el plazo establecido en la presente Ley, a partir de la respuesta; </w:t>
      </w:r>
    </w:p>
    <w:p w14:paraId="428C499D" w14:textId="77777777" w:rsidR="00D33952" w:rsidRPr="009D7F0A" w:rsidRDefault="00D147BA">
      <w:pPr>
        <w:spacing w:before="120" w:after="120"/>
        <w:ind w:left="1134" w:right="618"/>
        <w:jc w:val="both"/>
        <w:rPr>
          <w:rFonts w:ascii="Palatino Linotype" w:eastAsia="Palatino Linotype" w:hAnsi="Palatino Linotype" w:cs="Palatino Linotype"/>
          <w:i/>
        </w:rPr>
      </w:pPr>
      <w:r w:rsidRPr="009D7F0A">
        <w:rPr>
          <w:rFonts w:ascii="Palatino Linotype" w:eastAsia="Palatino Linotype" w:hAnsi="Palatino Linotype" w:cs="Palatino Linotype"/>
          <w:b/>
          <w:i/>
        </w:rPr>
        <w:t>II</w:t>
      </w:r>
      <w:r w:rsidRPr="009D7F0A">
        <w:rPr>
          <w:rFonts w:ascii="Palatino Linotype" w:eastAsia="Palatino Linotype" w:hAnsi="Palatino Linotype" w:cs="Palatino Linotype"/>
          <w:i/>
        </w:rPr>
        <w:t xml:space="preserve">. Se esté tramitando ante el Poder Judicial de la Federación algún recurso o medio de defensa interpuesto por el recurrente; </w:t>
      </w:r>
    </w:p>
    <w:p w14:paraId="1AF0F490" w14:textId="77777777" w:rsidR="00D33952" w:rsidRPr="009D7F0A" w:rsidRDefault="00D147BA">
      <w:pPr>
        <w:spacing w:before="120" w:after="120"/>
        <w:ind w:left="1134" w:right="618"/>
        <w:jc w:val="both"/>
        <w:rPr>
          <w:rFonts w:ascii="Palatino Linotype" w:eastAsia="Palatino Linotype" w:hAnsi="Palatino Linotype" w:cs="Palatino Linotype"/>
          <w:b/>
          <w:i/>
        </w:rPr>
      </w:pPr>
      <w:r w:rsidRPr="009D7F0A">
        <w:rPr>
          <w:rFonts w:ascii="Palatino Linotype" w:eastAsia="Palatino Linotype" w:hAnsi="Palatino Linotype" w:cs="Palatino Linotype"/>
          <w:b/>
          <w:i/>
        </w:rPr>
        <w:t xml:space="preserve">III. </w:t>
      </w:r>
      <w:r w:rsidRPr="009D7F0A">
        <w:rPr>
          <w:rFonts w:ascii="Palatino Linotype" w:eastAsia="Palatino Linotype" w:hAnsi="Palatino Linotype" w:cs="Palatino Linotype"/>
          <w:i/>
        </w:rPr>
        <w:t>No actualice alguno de los supuestos previstos en la presente Ley;</w:t>
      </w:r>
      <w:r w:rsidRPr="009D7F0A">
        <w:rPr>
          <w:rFonts w:ascii="Palatino Linotype" w:eastAsia="Palatino Linotype" w:hAnsi="Palatino Linotype" w:cs="Palatino Linotype"/>
          <w:b/>
          <w:i/>
        </w:rPr>
        <w:t xml:space="preserve"> </w:t>
      </w:r>
    </w:p>
    <w:p w14:paraId="28E2FAB3" w14:textId="77777777" w:rsidR="00D33952" w:rsidRPr="009D7F0A" w:rsidRDefault="00D147BA">
      <w:pPr>
        <w:spacing w:before="120" w:after="120"/>
        <w:ind w:left="1134" w:right="618"/>
        <w:jc w:val="both"/>
        <w:rPr>
          <w:rFonts w:ascii="Palatino Linotype" w:eastAsia="Palatino Linotype" w:hAnsi="Palatino Linotype" w:cs="Palatino Linotype"/>
          <w:i/>
        </w:rPr>
      </w:pPr>
      <w:r w:rsidRPr="009D7F0A">
        <w:rPr>
          <w:rFonts w:ascii="Palatino Linotype" w:eastAsia="Palatino Linotype" w:hAnsi="Palatino Linotype" w:cs="Palatino Linotype"/>
          <w:b/>
          <w:i/>
        </w:rPr>
        <w:t>IV</w:t>
      </w:r>
      <w:r w:rsidRPr="009D7F0A">
        <w:rPr>
          <w:rFonts w:ascii="Palatino Linotype" w:eastAsia="Palatino Linotype" w:hAnsi="Palatino Linotype" w:cs="Palatino Linotype"/>
          <w:i/>
        </w:rPr>
        <w:t>. No se haya desahogado la prevención en los términos establecidos en la presente Ley;</w:t>
      </w:r>
    </w:p>
    <w:p w14:paraId="26B87C52" w14:textId="77777777" w:rsidR="00D33952" w:rsidRPr="009D7F0A" w:rsidRDefault="00D147BA">
      <w:pPr>
        <w:spacing w:before="120" w:after="120"/>
        <w:ind w:left="1134" w:right="618"/>
        <w:jc w:val="both"/>
        <w:rPr>
          <w:rFonts w:ascii="Palatino Linotype" w:eastAsia="Palatino Linotype" w:hAnsi="Palatino Linotype" w:cs="Palatino Linotype"/>
          <w:i/>
        </w:rPr>
      </w:pPr>
      <w:r w:rsidRPr="009D7F0A">
        <w:rPr>
          <w:rFonts w:ascii="Palatino Linotype" w:eastAsia="Palatino Linotype" w:hAnsi="Palatino Linotype" w:cs="Palatino Linotype"/>
          <w:b/>
          <w:i/>
        </w:rPr>
        <w:t>V.</w:t>
      </w:r>
      <w:r w:rsidRPr="009D7F0A">
        <w:rPr>
          <w:rFonts w:ascii="Palatino Linotype" w:eastAsia="Palatino Linotype" w:hAnsi="Palatino Linotype" w:cs="Palatino Linotype"/>
          <w:i/>
        </w:rPr>
        <w:t xml:space="preserve"> Se impugne la veracidad de la información proporcionada; </w:t>
      </w:r>
    </w:p>
    <w:p w14:paraId="0E8620B8" w14:textId="77777777" w:rsidR="00D33952" w:rsidRPr="009D7F0A" w:rsidRDefault="00D147BA">
      <w:pPr>
        <w:spacing w:before="120" w:after="120"/>
        <w:ind w:left="1134" w:right="618"/>
        <w:jc w:val="both"/>
        <w:rPr>
          <w:rFonts w:ascii="Palatino Linotype" w:eastAsia="Palatino Linotype" w:hAnsi="Palatino Linotype" w:cs="Palatino Linotype"/>
          <w:i/>
        </w:rPr>
      </w:pPr>
      <w:r w:rsidRPr="009D7F0A">
        <w:rPr>
          <w:rFonts w:ascii="Palatino Linotype" w:eastAsia="Palatino Linotype" w:hAnsi="Palatino Linotype" w:cs="Palatino Linotype"/>
          <w:b/>
          <w:i/>
        </w:rPr>
        <w:t>VI</w:t>
      </w:r>
      <w:r w:rsidRPr="009D7F0A">
        <w:rPr>
          <w:rFonts w:ascii="Palatino Linotype" w:eastAsia="Palatino Linotype" w:hAnsi="Palatino Linotype" w:cs="Palatino Linotype"/>
          <w:i/>
        </w:rPr>
        <w:t xml:space="preserve">. Se trate de una consulta, o trámite en específico; y </w:t>
      </w:r>
    </w:p>
    <w:p w14:paraId="4AA1FEE5" w14:textId="77777777" w:rsidR="00D33952" w:rsidRPr="009D7F0A" w:rsidRDefault="00D147BA">
      <w:pPr>
        <w:spacing w:before="120" w:after="120"/>
        <w:ind w:left="1134" w:right="618"/>
        <w:jc w:val="both"/>
        <w:rPr>
          <w:rFonts w:ascii="Palatino Linotype" w:eastAsia="Palatino Linotype" w:hAnsi="Palatino Linotype" w:cs="Palatino Linotype"/>
          <w:i/>
        </w:rPr>
      </w:pPr>
      <w:r w:rsidRPr="009D7F0A">
        <w:rPr>
          <w:rFonts w:ascii="Palatino Linotype" w:eastAsia="Palatino Linotype" w:hAnsi="Palatino Linotype" w:cs="Palatino Linotype"/>
          <w:b/>
          <w:i/>
        </w:rPr>
        <w:t>VII</w:t>
      </w:r>
      <w:r w:rsidRPr="009D7F0A">
        <w:rPr>
          <w:rFonts w:ascii="Palatino Linotype" w:eastAsia="Palatino Linotype" w:hAnsi="Palatino Linotype" w:cs="Palatino Linotype"/>
          <w:i/>
        </w:rPr>
        <w:t xml:space="preserve">. </w:t>
      </w:r>
      <w:r w:rsidRPr="009D7F0A">
        <w:rPr>
          <w:rFonts w:ascii="Palatino Linotype" w:eastAsia="Palatino Linotype" w:hAnsi="Palatino Linotype" w:cs="Palatino Linotype"/>
          <w:b/>
          <w:i/>
        </w:rPr>
        <w:t>El recurrente amplíe su solicitud en el recurso de revisión, únicamente respecto de los nuevos contenidos.”</w:t>
      </w:r>
    </w:p>
    <w:p w14:paraId="43BC7F0B"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lastRenderedPageBreak/>
        <w:t xml:space="preserve">En el presente caso, no se actualizan las causales de improcedencia establecidas en las fracciones I a la VI, toda vez que el recurso fue presentado dentro del plazo establecido en el artículo 178 de la Ley de la materia, además este Instituto no tiene conocimiento de que se encuentre en trámite algún medio de defensa presentado por la parte </w:t>
      </w:r>
      <w:r w:rsidRPr="009D7F0A">
        <w:rPr>
          <w:rFonts w:ascii="Palatino Linotype" w:eastAsia="Palatino Linotype" w:hAnsi="Palatino Linotype" w:cs="Palatino Linotype"/>
          <w:b/>
          <w:sz w:val="24"/>
          <w:szCs w:val="24"/>
        </w:rPr>
        <w:t xml:space="preserve">Recurrente </w:t>
      </w:r>
      <w:r w:rsidRPr="009D7F0A">
        <w:rPr>
          <w:rFonts w:ascii="Palatino Linotype" w:eastAsia="Palatino Linotype" w:hAnsi="Palatino Linotype" w:cs="Palatino Linotype"/>
          <w:sz w:val="24"/>
          <w:szCs w:val="24"/>
        </w:rPr>
        <w:t>ante otra instancia</w:t>
      </w:r>
      <w:r w:rsidRPr="009D7F0A">
        <w:rPr>
          <w:rFonts w:ascii="Palatino Linotype" w:eastAsia="Palatino Linotype" w:hAnsi="Palatino Linotype" w:cs="Palatino Linotype"/>
          <w:b/>
          <w:sz w:val="24"/>
          <w:szCs w:val="24"/>
        </w:rPr>
        <w:t xml:space="preserve">, </w:t>
      </w:r>
      <w:r w:rsidRPr="009D7F0A">
        <w:rPr>
          <w:rFonts w:ascii="Palatino Linotype" w:eastAsia="Palatino Linotype" w:hAnsi="Palatino Linotype" w:cs="Palatino Linotype"/>
          <w:sz w:val="24"/>
          <w:szCs w:val="24"/>
        </w:rPr>
        <w:t>los motivos de inconformidad alegados actualizan el supuesto de procedencia previsto en el artículo 179, fracción V, de la Ley de la materia citado con antelación,</w:t>
      </w:r>
      <w:r w:rsidRPr="009D7F0A">
        <w:rPr>
          <w:rFonts w:ascii="Palatino Linotype" w:eastAsia="Palatino Linotype" w:hAnsi="Palatino Linotype" w:cs="Palatino Linotype"/>
          <w:b/>
          <w:sz w:val="24"/>
          <w:szCs w:val="24"/>
        </w:rPr>
        <w:t xml:space="preserve"> </w:t>
      </w:r>
      <w:r w:rsidRPr="009D7F0A">
        <w:rPr>
          <w:rFonts w:ascii="Palatino Linotype" w:eastAsia="Palatino Linotype" w:hAnsi="Palatino Linotype" w:cs="Palatino Linotype"/>
          <w:sz w:val="24"/>
          <w:szCs w:val="24"/>
        </w:rPr>
        <w:t>no existió prevención alguna por parte de este Organismo en términos del artículo 181, párrafo primero de la Ley de la Materia, la veracidad de la respuesta no formó parte del agravio, y las solicitudes no se tratan de una consulta o trámite específico.</w:t>
      </w:r>
    </w:p>
    <w:p w14:paraId="31629965"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 xml:space="preserve">En ese sentido, es susceptible de análisis el supuesto jurídico previsto en la fracción VII, del referido artículo, mismo que dispone que el recurso de revisión será desechado por improcedente cuando la parte </w:t>
      </w:r>
      <w:r w:rsidRPr="009D7F0A">
        <w:rPr>
          <w:rFonts w:ascii="Palatino Linotype" w:eastAsia="Palatino Linotype" w:hAnsi="Palatino Linotype" w:cs="Palatino Linotype"/>
          <w:b/>
          <w:sz w:val="24"/>
          <w:szCs w:val="24"/>
        </w:rPr>
        <w:t>Recurrente</w:t>
      </w:r>
      <w:r w:rsidRPr="009D7F0A">
        <w:rPr>
          <w:rFonts w:ascii="Palatino Linotype" w:eastAsia="Palatino Linotype" w:hAnsi="Palatino Linotype" w:cs="Palatino Linotype"/>
          <w:sz w:val="24"/>
          <w:szCs w:val="24"/>
        </w:rPr>
        <w:t xml:space="preserve"> amplíe su solicitud en el recurso de revisión, únicamente respecto de los nuevos contenidos.</w:t>
      </w:r>
    </w:p>
    <w:p w14:paraId="2EA38DB6"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 xml:space="preserve">En este tenor, a fin de verificar si se actualiza la causal de improcedencia referida, es necesario recordar que la parte </w:t>
      </w:r>
      <w:r w:rsidRPr="009D7F0A">
        <w:rPr>
          <w:rFonts w:ascii="Palatino Linotype" w:eastAsia="Palatino Linotype" w:hAnsi="Palatino Linotype" w:cs="Palatino Linotype"/>
          <w:b/>
          <w:sz w:val="24"/>
          <w:szCs w:val="24"/>
        </w:rPr>
        <w:t xml:space="preserve">Recurrente </w:t>
      </w:r>
      <w:r w:rsidRPr="009D7F0A">
        <w:rPr>
          <w:rFonts w:ascii="Palatino Linotype" w:eastAsia="Palatino Linotype" w:hAnsi="Palatino Linotype" w:cs="Palatino Linotype"/>
          <w:sz w:val="24"/>
          <w:szCs w:val="24"/>
        </w:rPr>
        <w:t>requirió, a través de las solicitudes que dieron origen a los recursos de revisión que se resuelven, información consistente en lo siguiente:</w:t>
      </w:r>
    </w:p>
    <w:p w14:paraId="538046AC" w14:textId="77777777" w:rsidR="00D33952" w:rsidRPr="009D7F0A" w:rsidRDefault="00D147BA">
      <w:pPr>
        <w:spacing w:before="240" w:after="240" w:line="360" w:lineRule="auto"/>
        <w:ind w:left="426" w:right="51"/>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lastRenderedPageBreak/>
        <w:t>1. Los escritos de renuncia de los servidores públicos, incluidos mandos medios y superiores, que renunciaron en los meses de julio a diciembre de 2024.</w:t>
      </w:r>
    </w:p>
    <w:p w14:paraId="7B24203A" w14:textId="77777777" w:rsidR="00D33952" w:rsidRPr="009D7F0A" w:rsidRDefault="00D147BA">
      <w:pPr>
        <w:spacing w:before="240" w:after="240" w:line="360" w:lineRule="auto"/>
        <w:ind w:left="426" w:right="51"/>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 xml:space="preserve">2. Listas de los servidores públicos que renunciaron en los meses de julio a diciembre de 2024. </w:t>
      </w:r>
    </w:p>
    <w:p w14:paraId="33F558EB" w14:textId="77777777" w:rsidR="00D33952" w:rsidRPr="009D7F0A" w:rsidRDefault="00D147BA">
      <w:pPr>
        <w:spacing w:before="240" w:after="240" w:line="360" w:lineRule="auto"/>
        <w:ind w:right="49"/>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 xml:space="preserve">El </w:t>
      </w:r>
      <w:r w:rsidRPr="009D7F0A">
        <w:rPr>
          <w:rFonts w:ascii="Palatino Linotype" w:eastAsia="Palatino Linotype" w:hAnsi="Palatino Linotype" w:cs="Palatino Linotype"/>
          <w:b/>
          <w:sz w:val="24"/>
          <w:szCs w:val="24"/>
        </w:rPr>
        <w:t>Sujeto Obligado</w:t>
      </w:r>
      <w:r w:rsidRPr="009D7F0A">
        <w:rPr>
          <w:rFonts w:ascii="Palatino Linotype" w:eastAsia="Palatino Linotype" w:hAnsi="Palatino Linotype" w:cs="Palatino Linotype"/>
          <w:sz w:val="24"/>
          <w:szCs w:val="24"/>
        </w:rPr>
        <w:t xml:space="preserve"> proporcionó respuesta a las solicitudes por conducto de la Oficialía Mayor, cuya servidora pública habilitada hizo entrega de los escritos de renuncia que obran en los archivos del Área de Recursos Humanos del periodo solicitado, cuya versión pública fue aprobada mediante el Acuerdo OPDM/ACUERDO-02/CT/03/SE/2025, de la Tercera Sesión Extraordinaria del Comité de Transparencia del Organismo, celebrada el dieciocho de febrero de dos mil veinticinco, que también fue entregado.</w:t>
      </w:r>
    </w:p>
    <w:p w14:paraId="6660EEFC" w14:textId="77777777" w:rsidR="00D33952" w:rsidRPr="009D7F0A" w:rsidRDefault="00D147BA">
      <w:pPr>
        <w:spacing w:before="240" w:after="240" w:line="360" w:lineRule="auto"/>
        <w:ind w:right="49"/>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Y, por lo que se refiere a las listas de los servidores públicos que renunciaron, manifestó que el Organismo no lleva lista alguna ni solicita renuncia, al tratarse de un acto que llevan a cabo de manera voluntaria, libre y unilateral los servidores públicos que desean dar por terminada su relación laboral con el Organismo.</w:t>
      </w:r>
    </w:p>
    <w:p w14:paraId="2FBD1B8E" w14:textId="77777777" w:rsidR="00D33952" w:rsidRPr="009D7F0A" w:rsidRDefault="00D147BA">
      <w:pPr>
        <w:spacing w:before="240" w:after="240" w:line="360" w:lineRule="auto"/>
        <w:ind w:right="49"/>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 xml:space="preserve">Derivado de lo anterior, la parte </w:t>
      </w:r>
      <w:r w:rsidRPr="009D7F0A">
        <w:rPr>
          <w:rFonts w:ascii="Palatino Linotype" w:eastAsia="Palatino Linotype" w:hAnsi="Palatino Linotype" w:cs="Palatino Linotype"/>
          <w:b/>
          <w:sz w:val="24"/>
          <w:szCs w:val="24"/>
        </w:rPr>
        <w:t xml:space="preserve">Recurrente </w:t>
      </w:r>
      <w:r w:rsidRPr="009D7F0A">
        <w:rPr>
          <w:rFonts w:ascii="Palatino Linotype" w:eastAsia="Palatino Linotype" w:hAnsi="Palatino Linotype" w:cs="Palatino Linotype"/>
          <w:sz w:val="24"/>
          <w:szCs w:val="24"/>
        </w:rPr>
        <w:t xml:space="preserve">presentó los recursos de revisión que se resuelven, donde alegó como motivo de inconformidad que no tiene certeza de que se le hubiera hecho entrega de todas las renuncias que fueron solicitadas, al no </w:t>
      </w:r>
      <w:r w:rsidRPr="009D7F0A">
        <w:rPr>
          <w:rFonts w:ascii="Palatino Linotype" w:eastAsia="Palatino Linotype" w:hAnsi="Palatino Linotype" w:cs="Palatino Linotype"/>
          <w:sz w:val="24"/>
          <w:szCs w:val="24"/>
        </w:rPr>
        <w:lastRenderedPageBreak/>
        <w:t>haberse entregado un oficio del Área Recursos Humanos que certifique cuantas renuncias se tuvieron en el periodo solicitado.</w:t>
      </w:r>
    </w:p>
    <w:p w14:paraId="04D6E08B"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 xml:space="preserve">Posteriormente, durante la etapa de manifestaciones, el </w:t>
      </w:r>
      <w:r w:rsidRPr="009D7F0A">
        <w:rPr>
          <w:rFonts w:ascii="Palatino Linotype" w:eastAsia="Palatino Linotype" w:hAnsi="Palatino Linotype" w:cs="Palatino Linotype"/>
          <w:b/>
          <w:sz w:val="24"/>
          <w:szCs w:val="24"/>
        </w:rPr>
        <w:t>Sujeto Obligado</w:t>
      </w:r>
      <w:r w:rsidRPr="009D7F0A">
        <w:rPr>
          <w:rFonts w:ascii="Palatino Linotype" w:eastAsia="Palatino Linotype" w:hAnsi="Palatino Linotype" w:cs="Palatino Linotype"/>
          <w:sz w:val="24"/>
          <w:szCs w:val="24"/>
        </w:rPr>
        <w:t xml:space="preserve"> ratificó en lo sustancial la respuesta proporcionada en primera instancia, asimismo, puntualizó que dio cumplimiento al Derecho de acceso a la información de la parte </w:t>
      </w:r>
      <w:r w:rsidRPr="009D7F0A">
        <w:rPr>
          <w:rFonts w:ascii="Palatino Linotype" w:eastAsia="Palatino Linotype" w:hAnsi="Palatino Linotype" w:cs="Palatino Linotype"/>
          <w:b/>
          <w:sz w:val="24"/>
          <w:szCs w:val="24"/>
        </w:rPr>
        <w:t>Recurrente</w:t>
      </w:r>
      <w:r w:rsidRPr="009D7F0A">
        <w:rPr>
          <w:rFonts w:ascii="Palatino Linotype" w:eastAsia="Palatino Linotype" w:hAnsi="Palatino Linotype" w:cs="Palatino Linotype"/>
          <w:sz w:val="24"/>
          <w:szCs w:val="24"/>
        </w:rPr>
        <w:t xml:space="preserve">, en términos del artículo 12 de la Ley de Transparencia y Acceso a la Información Pública del Estado de México y Municipios, haciendo entrega de las renuncias solicitadas que obran en sus archivos en el estado en el que estas se encuentran, es decir, se hizo entrega de la información que se posee y administra, sin que medie o sea necesaria la formulación de un oficio que certifique dicha información entregada, pues ello entraña la creación o generación de información nueva y adicional a la solicitada inicialmente, de aquella que obra en los archivos en poder del Sujeto Obligado, como es la intención de la parte </w:t>
      </w:r>
      <w:r w:rsidRPr="009D7F0A">
        <w:rPr>
          <w:rFonts w:ascii="Palatino Linotype" w:eastAsia="Palatino Linotype" w:hAnsi="Palatino Linotype" w:cs="Palatino Linotype"/>
          <w:b/>
          <w:sz w:val="24"/>
          <w:szCs w:val="24"/>
        </w:rPr>
        <w:t>Recurrente</w:t>
      </w:r>
      <w:r w:rsidRPr="009D7F0A">
        <w:rPr>
          <w:rFonts w:ascii="Palatino Linotype" w:eastAsia="Palatino Linotype" w:hAnsi="Palatino Linotype" w:cs="Palatino Linotype"/>
          <w:sz w:val="24"/>
          <w:szCs w:val="24"/>
        </w:rPr>
        <w:t xml:space="preserve"> al momento que interponer los recursos de revisión, puesto que amplió la solicitud a través de los recursos, solicitando un oficio que no se genera ni tiene la obligación de hacerlo.  </w:t>
      </w:r>
    </w:p>
    <w:p w14:paraId="4270F2B0"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 xml:space="preserve">Una vez establecidas las posturas de las partes, en primer lugar, debe apuntarse que de la lectura de los requerimientos de información, así como de los motivos de inconformidad hechos valer por la parte </w:t>
      </w:r>
      <w:r w:rsidRPr="009D7F0A">
        <w:rPr>
          <w:rFonts w:ascii="Palatino Linotype" w:eastAsia="Palatino Linotype" w:hAnsi="Palatino Linotype" w:cs="Palatino Linotype"/>
          <w:b/>
          <w:sz w:val="24"/>
          <w:szCs w:val="24"/>
        </w:rPr>
        <w:t>Recurrente</w:t>
      </w:r>
      <w:r w:rsidRPr="009D7F0A">
        <w:rPr>
          <w:rFonts w:ascii="Palatino Linotype" w:eastAsia="Palatino Linotype" w:hAnsi="Palatino Linotype" w:cs="Palatino Linotype"/>
          <w:sz w:val="24"/>
          <w:szCs w:val="24"/>
        </w:rPr>
        <w:t xml:space="preserve"> mediante sus recursos de revisión, se advierte que esta no manifestó agravios respecto de la información </w:t>
      </w:r>
      <w:r w:rsidRPr="009D7F0A">
        <w:rPr>
          <w:rFonts w:ascii="Palatino Linotype" w:eastAsia="Palatino Linotype" w:hAnsi="Palatino Linotype" w:cs="Palatino Linotype"/>
          <w:sz w:val="24"/>
          <w:szCs w:val="24"/>
        </w:rPr>
        <w:lastRenderedPageBreak/>
        <w:t xml:space="preserve">entregada por el </w:t>
      </w:r>
      <w:r w:rsidRPr="009D7F0A">
        <w:rPr>
          <w:rFonts w:ascii="Palatino Linotype" w:eastAsia="Palatino Linotype" w:hAnsi="Palatino Linotype" w:cs="Palatino Linotype"/>
          <w:b/>
          <w:sz w:val="24"/>
          <w:szCs w:val="24"/>
        </w:rPr>
        <w:t>Sujeto Obligado</w:t>
      </w:r>
      <w:r w:rsidRPr="009D7F0A">
        <w:rPr>
          <w:rFonts w:ascii="Palatino Linotype" w:eastAsia="Palatino Linotype" w:hAnsi="Palatino Linotype" w:cs="Palatino Linotype"/>
          <w:sz w:val="24"/>
          <w:szCs w:val="24"/>
        </w:rPr>
        <w:t>, sino por el hecho de que a su parecer no le fueron entregadas todas las renuncias que se presentaron en el periodo solicitado, al no haberse entregado un oficio mediante el cual el Área de Recursos Humanos certifique el número de renuncias que se tuvieron en dicho periodo, por tanto la respuesta, al no haber sido impugnada, debe declararse consentida.</w:t>
      </w:r>
    </w:p>
    <w:p w14:paraId="021B1AA4"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Lo anterior se estima así, en virtud de que, al no haber realizado manifestaciones de inconformidad al respecto, no pueden producirse efectos jurídicos tendentes a revocar, confirmar o modificar el acto, ya que se infiere que está conforme con la información entregada, y por consiguiente, no es procedente el análisis de fondo en la resolución.</w:t>
      </w:r>
    </w:p>
    <w:p w14:paraId="64D9AABE"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0D781877" w14:textId="77777777" w:rsidR="00D33952" w:rsidRPr="009D7F0A" w:rsidRDefault="00D147B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9D7F0A">
        <w:rPr>
          <w:rFonts w:ascii="Palatino Linotype" w:eastAsia="Palatino Linotype" w:hAnsi="Palatino Linotype" w:cs="Palatino Linotype"/>
          <w:i/>
        </w:rPr>
        <w:t>“</w:t>
      </w:r>
      <w:r w:rsidRPr="009D7F0A">
        <w:rPr>
          <w:rFonts w:ascii="Palatino Linotype" w:eastAsia="Palatino Linotype" w:hAnsi="Palatino Linotype" w:cs="Palatino Linotype"/>
          <w:b/>
          <w:i/>
        </w:rPr>
        <w:t xml:space="preserve">Actos consentidos tácitamente. Improcedencia de su análisis. </w:t>
      </w:r>
      <w:r w:rsidRPr="009D7F0A">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34F44C0"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lastRenderedPageBreak/>
        <w:t>Asimismo, resulta aplicable por analogía la tesis jurisprudencial número VI.3o.C. J/60, publicada en el Semanario Judicial de la Federación y su Gaceta bajo el número de registro 176,608 que a la letra dice:</w:t>
      </w:r>
    </w:p>
    <w:p w14:paraId="230D6A72" w14:textId="77777777" w:rsidR="00D33952" w:rsidRPr="009D7F0A" w:rsidRDefault="00D147BA">
      <w:pPr>
        <w:ind w:left="851" w:right="900"/>
        <w:jc w:val="both"/>
        <w:rPr>
          <w:rFonts w:ascii="Palatino Linotype" w:eastAsia="Palatino Linotype" w:hAnsi="Palatino Linotype" w:cs="Palatino Linotype"/>
          <w:i/>
        </w:rPr>
      </w:pPr>
      <w:r w:rsidRPr="009D7F0A">
        <w:rPr>
          <w:rFonts w:ascii="Palatino Linotype" w:eastAsia="Palatino Linotype" w:hAnsi="Palatino Linotype" w:cs="Palatino Linotype"/>
          <w:b/>
          <w:i/>
          <w:smallCaps/>
        </w:rPr>
        <w:t xml:space="preserve">“ACTOS CONSENTIDOS. SON LOS QUE NO SE IMPUGNAN MEDIANTE EL RECURSO IDÓNEO. </w:t>
      </w:r>
      <w:r w:rsidRPr="009D7F0A">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4B95215"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En consecuencia, se insiste, ante la falta de impugnación eficaz, la respuesta entregada debe declararse consentida por la persona solicitante, y por consiguiente, no es procedente el análisis de fondo en la resolución.</w:t>
      </w:r>
    </w:p>
    <w:p w14:paraId="648ED215" w14:textId="77777777" w:rsidR="00D33952" w:rsidRPr="009D7F0A" w:rsidRDefault="00D147BA">
      <w:pPr>
        <w:spacing w:before="240" w:after="240" w:line="360" w:lineRule="auto"/>
        <w:ind w:right="49"/>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 xml:space="preserve">En segundo lugar, por lo que se refiere al oficio del Área Recursos Humanos que certifique cuantas renuncias se tuvieron en el periodo solicitado, se trata de información que no formó parte de las solicitudes iniciales, como tuvo a bien señalar la servidora pública habilitada de la Oficialía Mayor del Organismo, pues de la confronta a las solicitudes de información y las razones o motivos de inconformidad alegados en los recursos, se advierte que los requerimientos de información consistieron en la entrega de los escritos de renuncia presentados de julio a diciembre de dos mil veinticuatro, así como las listas de los servidores públicos que </w:t>
      </w:r>
      <w:r w:rsidRPr="009D7F0A">
        <w:rPr>
          <w:rFonts w:ascii="Palatino Linotype" w:eastAsia="Palatino Linotype" w:hAnsi="Palatino Linotype" w:cs="Palatino Linotype"/>
          <w:sz w:val="24"/>
          <w:szCs w:val="24"/>
        </w:rPr>
        <w:lastRenderedPageBreak/>
        <w:t xml:space="preserve">renunciaron en dicho periodo, </w:t>
      </w:r>
      <w:r w:rsidRPr="009D7F0A">
        <w:rPr>
          <w:rFonts w:ascii="Palatino Linotype" w:eastAsia="Palatino Linotype" w:hAnsi="Palatino Linotype" w:cs="Palatino Linotype"/>
          <w:b/>
          <w:sz w:val="24"/>
          <w:szCs w:val="24"/>
          <w:u w:val="single"/>
        </w:rPr>
        <w:t>no así en la entrega de un oficio del Área de Recursos Humanos mediante el cual se certificara el número de renuncias que se tuvieron en el periodo señalado.</w:t>
      </w:r>
    </w:p>
    <w:p w14:paraId="561E6364"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Para un mejor entendimiento, dicho análisis se realiza a través de la siguiente tabla:</w:t>
      </w:r>
    </w:p>
    <w:tbl>
      <w:tblPr>
        <w:tblStyle w:val="afffff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162592" w:rsidRPr="009D7F0A" w14:paraId="5136D11A" w14:textId="77777777">
        <w:tc>
          <w:tcPr>
            <w:tcW w:w="4414" w:type="dxa"/>
            <w:shd w:val="clear" w:color="auto" w:fill="BFBFBF"/>
          </w:tcPr>
          <w:p w14:paraId="66D7E584" w14:textId="77777777" w:rsidR="00D33952" w:rsidRPr="009D7F0A" w:rsidRDefault="00D147BA">
            <w:pPr>
              <w:spacing w:before="120" w:after="120" w:line="240" w:lineRule="auto"/>
              <w:jc w:val="center"/>
              <w:rPr>
                <w:rFonts w:ascii="Palatino Linotype" w:eastAsia="Palatino Linotype" w:hAnsi="Palatino Linotype" w:cs="Palatino Linotype"/>
                <w:b/>
                <w:sz w:val="20"/>
                <w:szCs w:val="20"/>
              </w:rPr>
            </w:pPr>
            <w:r w:rsidRPr="009D7F0A">
              <w:rPr>
                <w:rFonts w:ascii="Palatino Linotype" w:eastAsia="Palatino Linotype" w:hAnsi="Palatino Linotype" w:cs="Palatino Linotype"/>
                <w:b/>
                <w:sz w:val="20"/>
                <w:szCs w:val="20"/>
              </w:rPr>
              <w:t>Solicitud de información</w:t>
            </w:r>
          </w:p>
        </w:tc>
        <w:tc>
          <w:tcPr>
            <w:tcW w:w="4414" w:type="dxa"/>
            <w:shd w:val="clear" w:color="auto" w:fill="BFBFBF"/>
          </w:tcPr>
          <w:p w14:paraId="038CF244" w14:textId="77777777" w:rsidR="00D33952" w:rsidRPr="009D7F0A" w:rsidRDefault="00D147BA">
            <w:pPr>
              <w:spacing w:before="120" w:after="120" w:line="240" w:lineRule="auto"/>
              <w:jc w:val="center"/>
              <w:rPr>
                <w:rFonts w:ascii="Palatino Linotype" w:eastAsia="Palatino Linotype" w:hAnsi="Palatino Linotype" w:cs="Palatino Linotype"/>
                <w:b/>
                <w:sz w:val="20"/>
                <w:szCs w:val="20"/>
              </w:rPr>
            </w:pPr>
            <w:r w:rsidRPr="009D7F0A">
              <w:rPr>
                <w:rFonts w:ascii="Palatino Linotype" w:eastAsia="Palatino Linotype" w:hAnsi="Palatino Linotype" w:cs="Palatino Linotype"/>
                <w:b/>
                <w:sz w:val="20"/>
                <w:szCs w:val="20"/>
              </w:rPr>
              <w:t>Recurso de Revisión</w:t>
            </w:r>
          </w:p>
        </w:tc>
      </w:tr>
      <w:tr w:rsidR="00162592" w:rsidRPr="009D7F0A" w14:paraId="359E4178" w14:textId="77777777">
        <w:tc>
          <w:tcPr>
            <w:tcW w:w="4414" w:type="dxa"/>
          </w:tcPr>
          <w:p w14:paraId="3F00A757" w14:textId="77777777" w:rsidR="00D33952" w:rsidRPr="009D7F0A" w:rsidRDefault="00D147BA">
            <w:pPr>
              <w:spacing w:before="120" w:after="120" w:line="240" w:lineRule="auto"/>
              <w:jc w:val="both"/>
              <w:rPr>
                <w:rFonts w:ascii="Palatino Linotype" w:eastAsia="Palatino Linotype" w:hAnsi="Palatino Linotype" w:cs="Palatino Linotype"/>
                <w:i/>
                <w:sz w:val="20"/>
                <w:szCs w:val="20"/>
              </w:rPr>
            </w:pPr>
            <w:r w:rsidRPr="009D7F0A">
              <w:rPr>
                <w:rFonts w:ascii="Palatino Linotype" w:eastAsia="Palatino Linotype" w:hAnsi="Palatino Linotype" w:cs="Palatino Linotype"/>
                <w:b/>
                <w:sz w:val="20"/>
                <w:szCs w:val="20"/>
              </w:rPr>
              <w:t>00031/OASTLALNE/IP/2025</w:t>
            </w:r>
          </w:p>
          <w:p w14:paraId="172086BB" w14:textId="77777777" w:rsidR="00D33952" w:rsidRPr="009D7F0A" w:rsidRDefault="00D147BA">
            <w:pPr>
              <w:spacing w:before="120" w:after="120" w:line="240" w:lineRule="auto"/>
              <w:jc w:val="both"/>
              <w:rPr>
                <w:rFonts w:ascii="Palatino Linotype" w:eastAsia="Palatino Linotype" w:hAnsi="Palatino Linotype" w:cs="Palatino Linotype"/>
                <w:i/>
                <w:sz w:val="20"/>
                <w:szCs w:val="20"/>
              </w:rPr>
            </w:pPr>
            <w:r w:rsidRPr="009D7F0A">
              <w:rPr>
                <w:rFonts w:ascii="Palatino Linotype" w:eastAsia="Palatino Linotype" w:hAnsi="Palatino Linotype" w:cs="Palatino Linotype"/>
                <w:i/>
                <w:sz w:val="20"/>
                <w:szCs w:val="20"/>
              </w:rPr>
              <w:t xml:space="preserve">“Solicito en versión publica </w:t>
            </w:r>
            <w:r w:rsidRPr="009D7F0A">
              <w:rPr>
                <w:rFonts w:ascii="Palatino Linotype" w:eastAsia="Palatino Linotype" w:hAnsi="Palatino Linotype" w:cs="Palatino Linotype"/>
                <w:b/>
                <w:i/>
                <w:sz w:val="20"/>
                <w:szCs w:val="20"/>
                <w:u w:val="single"/>
              </w:rPr>
              <w:t>las renuncias</w:t>
            </w:r>
            <w:r w:rsidRPr="009D7F0A">
              <w:rPr>
                <w:rFonts w:ascii="Palatino Linotype" w:eastAsia="Palatino Linotype" w:hAnsi="Palatino Linotype" w:cs="Palatino Linotype"/>
                <w:b/>
                <w:i/>
                <w:sz w:val="20"/>
                <w:szCs w:val="20"/>
              </w:rPr>
              <w:t xml:space="preserve"> de los servidores públicos director, secretario técnico, secretario particular, coordinadores, directores, subdirectores y jefes departamento y todos los altos mandos</w:t>
            </w:r>
            <w:r w:rsidRPr="009D7F0A">
              <w:rPr>
                <w:rFonts w:ascii="Palatino Linotype" w:eastAsia="Palatino Linotype" w:hAnsi="Palatino Linotype" w:cs="Palatino Linotype"/>
                <w:i/>
                <w:sz w:val="20"/>
                <w:szCs w:val="20"/>
              </w:rPr>
              <w:t xml:space="preserve"> </w:t>
            </w:r>
            <w:r w:rsidRPr="009D7F0A">
              <w:rPr>
                <w:rFonts w:ascii="Palatino Linotype" w:eastAsia="Palatino Linotype" w:hAnsi="Palatino Linotype" w:cs="Palatino Linotype"/>
                <w:b/>
                <w:i/>
                <w:sz w:val="20"/>
                <w:szCs w:val="20"/>
              </w:rPr>
              <w:t>que renunciaron</w:t>
            </w:r>
            <w:r w:rsidRPr="009D7F0A">
              <w:rPr>
                <w:rFonts w:ascii="Palatino Linotype" w:eastAsia="Palatino Linotype" w:hAnsi="Palatino Linotype" w:cs="Palatino Linotype"/>
                <w:i/>
                <w:sz w:val="20"/>
                <w:szCs w:val="20"/>
              </w:rPr>
              <w:t xml:space="preserve"> al Organismo Público Descentralizado para la Prestación de los Servicios de Agua Potable, Alcantarillado y Saneamiento del Municipio de Tlalnepantla en el mes de diciembre del 2024"</w:t>
            </w:r>
          </w:p>
        </w:tc>
        <w:tc>
          <w:tcPr>
            <w:tcW w:w="4414" w:type="dxa"/>
          </w:tcPr>
          <w:p w14:paraId="55DD6A68" w14:textId="77777777" w:rsidR="00D33952" w:rsidRPr="009D7F0A" w:rsidRDefault="00D147BA">
            <w:pPr>
              <w:tabs>
                <w:tab w:val="left" w:pos="2745"/>
              </w:tabs>
              <w:spacing w:before="120" w:after="120" w:line="240" w:lineRule="auto"/>
              <w:ind w:left="11"/>
              <w:jc w:val="both"/>
              <w:rPr>
                <w:rFonts w:ascii="Palatino Linotype" w:eastAsia="Palatino Linotype" w:hAnsi="Palatino Linotype" w:cs="Palatino Linotype"/>
                <w:b/>
                <w:sz w:val="20"/>
                <w:szCs w:val="20"/>
              </w:rPr>
            </w:pPr>
            <w:r w:rsidRPr="009D7F0A">
              <w:rPr>
                <w:rFonts w:ascii="Palatino Linotype" w:eastAsia="Palatino Linotype" w:hAnsi="Palatino Linotype" w:cs="Palatino Linotype"/>
                <w:b/>
                <w:sz w:val="20"/>
                <w:szCs w:val="20"/>
              </w:rPr>
              <w:t>02555/INFOEM/IP/RR/2025</w:t>
            </w:r>
          </w:p>
          <w:p w14:paraId="2A47F3A5" w14:textId="77777777" w:rsidR="00D33952" w:rsidRPr="009D7F0A" w:rsidRDefault="00D147BA">
            <w:pPr>
              <w:tabs>
                <w:tab w:val="left" w:pos="2745"/>
              </w:tabs>
              <w:spacing w:before="120" w:after="120" w:line="240" w:lineRule="auto"/>
              <w:ind w:left="11"/>
              <w:jc w:val="both"/>
              <w:rPr>
                <w:rFonts w:ascii="Palatino Linotype" w:eastAsia="Palatino Linotype" w:hAnsi="Palatino Linotype" w:cs="Palatino Linotype"/>
                <w:b/>
                <w:sz w:val="20"/>
                <w:szCs w:val="20"/>
              </w:rPr>
            </w:pPr>
            <w:r w:rsidRPr="009D7F0A">
              <w:rPr>
                <w:rFonts w:ascii="Palatino Linotype" w:eastAsia="Palatino Linotype" w:hAnsi="Palatino Linotype" w:cs="Palatino Linotype"/>
                <w:b/>
                <w:sz w:val="20"/>
                <w:szCs w:val="20"/>
              </w:rPr>
              <w:t xml:space="preserve">Acto impugnado: </w:t>
            </w:r>
          </w:p>
          <w:p w14:paraId="255ACEF2" w14:textId="77777777" w:rsidR="00D33952" w:rsidRPr="009D7F0A" w:rsidRDefault="00D147BA">
            <w:pPr>
              <w:tabs>
                <w:tab w:val="left" w:pos="2745"/>
              </w:tabs>
              <w:spacing w:before="120" w:after="120" w:line="240" w:lineRule="auto"/>
              <w:ind w:left="11"/>
              <w:jc w:val="both"/>
              <w:rPr>
                <w:rFonts w:ascii="Palatino Linotype" w:eastAsia="Palatino Linotype" w:hAnsi="Palatino Linotype" w:cs="Palatino Linotype"/>
                <w:i/>
                <w:sz w:val="20"/>
                <w:szCs w:val="20"/>
              </w:rPr>
            </w:pPr>
            <w:r w:rsidRPr="009D7F0A">
              <w:rPr>
                <w:rFonts w:ascii="Palatino Linotype" w:eastAsia="Palatino Linotype" w:hAnsi="Palatino Linotype" w:cs="Palatino Linotype"/>
                <w:i/>
                <w:sz w:val="20"/>
                <w:szCs w:val="20"/>
              </w:rPr>
              <w:t>“niega la información solicitada” (sic)</w:t>
            </w:r>
          </w:p>
          <w:p w14:paraId="27C1D0C3" w14:textId="77777777" w:rsidR="00D33952" w:rsidRPr="009D7F0A" w:rsidRDefault="00D147BA">
            <w:pPr>
              <w:spacing w:before="120" w:after="120" w:line="240" w:lineRule="auto"/>
              <w:ind w:left="11"/>
              <w:jc w:val="both"/>
              <w:rPr>
                <w:rFonts w:ascii="Palatino Linotype" w:eastAsia="Palatino Linotype" w:hAnsi="Palatino Linotype" w:cs="Palatino Linotype"/>
                <w:sz w:val="20"/>
                <w:szCs w:val="20"/>
              </w:rPr>
            </w:pPr>
            <w:r w:rsidRPr="009D7F0A">
              <w:rPr>
                <w:rFonts w:ascii="Palatino Linotype" w:eastAsia="Palatino Linotype" w:hAnsi="Palatino Linotype" w:cs="Palatino Linotype"/>
                <w:sz w:val="20"/>
                <w:szCs w:val="20"/>
              </w:rPr>
              <w:t>Y</w:t>
            </w:r>
            <w:r w:rsidRPr="009D7F0A">
              <w:rPr>
                <w:rFonts w:ascii="Palatino Linotype" w:eastAsia="Palatino Linotype" w:hAnsi="Palatino Linotype" w:cs="Palatino Linotype"/>
                <w:b/>
                <w:sz w:val="20"/>
                <w:szCs w:val="20"/>
              </w:rPr>
              <w:t xml:space="preserve"> Razones o motivos de inconformidad</w:t>
            </w:r>
            <w:r w:rsidRPr="009D7F0A">
              <w:rPr>
                <w:rFonts w:ascii="Palatino Linotype" w:eastAsia="Palatino Linotype" w:hAnsi="Palatino Linotype" w:cs="Palatino Linotype"/>
                <w:sz w:val="20"/>
                <w:szCs w:val="20"/>
              </w:rPr>
              <w:t xml:space="preserve">: </w:t>
            </w:r>
          </w:p>
          <w:p w14:paraId="5172A12E" w14:textId="77777777" w:rsidR="00D33952" w:rsidRPr="009D7F0A" w:rsidRDefault="00D147BA">
            <w:pPr>
              <w:tabs>
                <w:tab w:val="left" w:pos="2745"/>
              </w:tabs>
              <w:spacing w:before="120" w:after="120" w:line="240" w:lineRule="auto"/>
              <w:ind w:left="11"/>
              <w:jc w:val="both"/>
              <w:rPr>
                <w:rFonts w:ascii="Palatino Linotype" w:eastAsia="Palatino Linotype" w:hAnsi="Palatino Linotype" w:cs="Palatino Linotype"/>
                <w:i/>
                <w:sz w:val="20"/>
                <w:szCs w:val="20"/>
              </w:rPr>
            </w:pPr>
            <w:r w:rsidRPr="009D7F0A">
              <w:rPr>
                <w:rFonts w:ascii="Palatino Linotype" w:eastAsia="Palatino Linotype" w:hAnsi="Palatino Linotype" w:cs="Palatino Linotype"/>
                <w:i/>
                <w:sz w:val="20"/>
                <w:szCs w:val="20"/>
              </w:rPr>
              <w:t xml:space="preserve">“la información de las renuncias </w:t>
            </w:r>
            <w:r w:rsidRPr="009D7F0A">
              <w:rPr>
                <w:rFonts w:ascii="Palatino Linotype" w:eastAsia="Palatino Linotype" w:hAnsi="Palatino Linotype" w:cs="Palatino Linotype"/>
                <w:b/>
                <w:i/>
                <w:sz w:val="20"/>
                <w:szCs w:val="20"/>
              </w:rPr>
              <w:t xml:space="preserve">no existe un </w:t>
            </w:r>
            <w:r w:rsidRPr="009D7F0A">
              <w:rPr>
                <w:rFonts w:ascii="Palatino Linotype" w:eastAsia="Palatino Linotype" w:hAnsi="Palatino Linotype" w:cs="Palatino Linotype"/>
                <w:b/>
                <w:i/>
                <w:sz w:val="20"/>
                <w:szCs w:val="20"/>
                <w:u w:val="single"/>
              </w:rPr>
              <w:t>oficio de recurso humanos que certifique cuantas renuncias que se tuvieron</w:t>
            </w:r>
            <w:r w:rsidRPr="009D7F0A">
              <w:rPr>
                <w:rFonts w:ascii="Palatino Linotype" w:eastAsia="Palatino Linotype" w:hAnsi="Palatino Linotype" w:cs="Palatino Linotype"/>
                <w:b/>
                <w:i/>
                <w:sz w:val="20"/>
                <w:szCs w:val="20"/>
              </w:rPr>
              <w:t xml:space="preserve"> en el periodo solicitado</w:t>
            </w:r>
            <w:r w:rsidRPr="009D7F0A">
              <w:rPr>
                <w:rFonts w:ascii="Palatino Linotype" w:eastAsia="Palatino Linotype" w:hAnsi="Palatino Linotype" w:cs="Palatino Linotype"/>
                <w:i/>
                <w:sz w:val="20"/>
                <w:szCs w:val="20"/>
              </w:rPr>
              <w:t>, por lo que no se cuenta con la certeza que son todas las renuncias solicitadas” (sic)</w:t>
            </w:r>
          </w:p>
        </w:tc>
      </w:tr>
      <w:tr w:rsidR="00162592" w:rsidRPr="009D7F0A" w14:paraId="7B1DF17F" w14:textId="77777777">
        <w:tc>
          <w:tcPr>
            <w:tcW w:w="4414" w:type="dxa"/>
          </w:tcPr>
          <w:p w14:paraId="134277AE" w14:textId="77777777" w:rsidR="00D33952" w:rsidRPr="009D7F0A" w:rsidRDefault="00D147BA">
            <w:pPr>
              <w:spacing w:before="120" w:after="120" w:line="240" w:lineRule="auto"/>
              <w:jc w:val="both"/>
              <w:rPr>
                <w:rFonts w:ascii="Palatino Linotype" w:eastAsia="Palatino Linotype" w:hAnsi="Palatino Linotype" w:cs="Palatino Linotype"/>
                <w:i/>
                <w:sz w:val="20"/>
                <w:szCs w:val="20"/>
              </w:rPr>
            </w:pPr>
            <w:r w:rsidRPr="009D7F0A">
              <w:rPr>
                <w:rFonts w:ascii="Palatino Linotype" w:eastAsia="Palatino Linotype" w:hAnsi="Palatino Linotype" w:cs="Palatino Linotype"/>
                <w:b/>
                <w:sz w:val="20"/>
                <w:szCs w:val="20"/>
              </w:rPr>
              <w:t>00032/OASTLALNE/IP/2025</w:t>
            </w:r>
          </w:p>
          <w:p w14:paraId="77F614F1" w14:textId="77777777" w:rsidR="00D33952" w:rsidRPr="009D7F0A" w:rsidRDefault="00D147BA">
            <w:pPr>
              <w:spacing w:before="120" w:after="120" w:line="240" w:lineRule="auto"/>
              <w:jc w:val="both"/>
              <w:rPr>
                <w:rFonts w:ascii="Palatino Linotype" w:eastAsia="Palatino Linotype" w:hAnsi="Palatino Linotype" w:cs="Palatino Linotype"/>
                <w:i/>
                <w:sz w:val="20"/>
                <w:szCs w:val="20"/>
              </w:rPr>
            </w:pPr>
            <w:r w:rsidRPr="009D7F0A">
              <w:rPr>
                <w:rFonts w:ascii="Palatino Linotype" w:eastAsia="Palatino Linotype" w:hAnsi="Palatino Linotype" w:cs="Palatino Linotype"/>
                <w:i/>
                <w:sz w:val="20"/>
                <w:szCs w:val="20"/>
              </w:rPr>
              <w:t xml:space="preserve">“Solicito en versión publica </w:t>
            </w:r>
            <w:r w:rsidRPr="009D7F0A">
              <w:rPr>
                <w:rFonts w:ascii="Palatino Linotype" w:eastAsia="Palatino Linotype" w:hAnsi="Palatino Linotype" w:cs="Palatino Linotype"/>
                <w:b/>
                <w:i/>
                <w:sz w:val="20"/>
                <w:szCs w:val="20"/>
                <w:u w:val="single"/>
              </w:rPr>
              <w:t>las listas</w:t>
            </w:r>
            <w:r w:rsidRPr="009D7F0A">
              <w:rPr>
                <w:rFonts w:ascii="Palatino Linotype" w:eastAsia="Palatino Linotype" w:hAnsi="Palatino Linotype" w:cs="Palatino Linotype"/>
                <w:b/>
                <w:i/>
                <w:sz w:val="20"/>
                <w:szCs w:val="20"/>
              </w:rPr>
              <w:t xml:space="preserve"> de los servidores públicos que renunciaron </w:t>
            </w:r>
            <w:r w:rsidRPr="009D7F0A">
              <w:rPr>
                <w:rFonts w:ascii="Palatino Linotype" w:eastAsia="Palatino Linotype" w:hAnsi="Palatino Linotype" w:cs="Palatino Linotype"/>
                <w:i/>
                <w:sz w:val="20"/>
                <w:szCs w:val="20"/>
              </w:rPr>
              <w:t xml:space="preserve">desde el mes julio a diciembre 2024. Solicito en versión publica </w:t>
            </w:r>
            <w:r w:rsidRPr="009D7F0A">
              <w:rPr>
                <w:rFonts w:ascii="Palatino Linotype" w:eastAsia="Palatino Linotype" w:hAnsi="Palatino Linotype" w:cs="Palatino Linotype"/>
                <w:b/>
                <w:i/>
                <w:sz w:val="20"/>
                <w:szCs w:val="20"/>
                <w:u w:val="single"/>
              </w:rPr>
              <w:t>los escritos de renuncia</w:t>
            </w:r>
            <w:r w:rsidRPr="009D7F0A">
              <w:rPr>
                <w:rFonts w:ascii="Palatino Linotype" w:eastAsia="Palatino Linotype" w:hAnsi="Palatino Linotype" w:cs="Palatino Linotype"/>
                <w:b/>
                <w:i/>
                <w:sz w:val="20"/>
                <w:szCs w:val="20"/>
              </w:rPr>
              <w:t xml:space="preserve"> de los servidores públicos que renunciaron </w:t>
            </w:r>
            <w:r w:rsidRPr="009D7F0A">
              <w:rPr>
                <w:rFonts w:ascii="Palatino Linotype" w:eastAsia="Palatino Linotype" w:hAnsi="Palatino Linotype" w:cs="Palatino Linotype"/>
                <w:i/>
                <w:sz w:val="20"/>
                <w:szCs w:val="20"/>
              </w:rPr>
              <w:t>en el mes desde el mes julio a diciembre 2024"</w:t>
            </w:r>
          </w:p>
        </w:tc>
        <w:tc>
          <w:tcPr>
            <w:tcW w:w="4414" w:type="dxa"/>
          </w:tcPr>
          <w:p w14:paraId="368E4D60" w14:textId="77777777" w:rsidR="00D33952" w:rsidRPr="009D7F0A" w:rsidRDefault="00D147BA">
            <w:pPr>
              <w:tabs>
                <w:tab w:val="left" w:pos="2745"/>
              </w:tabs>
              <w:spacing w:before="120" w:after="120" w:line="240" w:lineRule="auto"/>
              <w:ind w:left="11"/>
              <w:jc w:val="both"/>
              <w:rPr>
                <w:rFonts w:ascii="Palatino Linotype" w:eastAsia="Palatino Linotype" w:hAnsi="Palatino Linotype" w:cs="Palatino Linotype"/>
                <w:b/>
                <w:sz w:val="20"/>
                <w:szCs w:val="20"/>
              </w:rPr>
            </w:pPr>
            <w:r w:rsidRPr="009D7F0A">
              <w:rPr>
                <w:rFonts w:ascii="Palatino Linotype" w:eastAsia="Palatino Linotype" w:hAnsi="Palatino Linotype" w:cs="Palatino Linotype"/>
                <w:b/>
                <w:sz w:val="20"/>
                <w:szCs w:val="20"/>
              </w:rPr>
              <w:t>02555/INFOEM/IP/RR/2025</w:t>
            </w:r>
          </w:p>
          <w:p w14:paraId="0C3B1E0A" w14:textId="77777777" w:rsidR="00D33952" w:rsidRPr="009D7F0A" w:rsidRDefault="00D147BA">
            <w:pPr>
              <w:tabs>
                <w:tab w:val="left" w:pos="2745"/>
              </w:tabs>
              <w:spacing w:before="120" w:after="120" w:line="240" w:lineRule="auto"/>
              <w:ind w:left="11"/>
              <w:jc w:val="both"/>
              <w:rPr>
                <w:rFonts w:ascii="Palatino Linotype" w:eastAsia="Palatino Linotype" w:hAnsi="Palatino Linotype" w:cs="Palatino Linotype"/>
                <w:b/>
                <w:sz w:val="20"/>
                <w:szCs w:val="20"/>
              </w:rPr>
            </w:pPr>
            <w:r w:rsidRPr="009D7F0A">
              <w:rPr>
                <w:rFonts w:ascii="Palatino Linotype" w:eastAsia="Palatino Linotype" w:hAnsi="Palatino Linotype" w:cs="Palatino Linotype"/>
                <w:b/>
                <w:sz w:val="20"/>
                <w:szCs w:val="20"/>
              </w:rPr>
              <w:t xml:space="preserve">Acto impugnado: </w:t>
            </w:r>
          </w:p>
          <w:p w14:paraId="52FC2805" w14:textId="77777777" w:rsidR="00D33952" w:rsidRPr="009D7F0A" w:rsidRDefault="00D147BA">
            <w:pPr>
              <w:tabs>
                <w:tab w:val="left" w:pos="2745"/>
              </w:tabs>
              <w:spacing w:before="120" w:after="120" w:line="240" w:lineRule="auto"/>
              <w:ind w:left="11"/>
              <w:jc w:val="both"/>
              <w:rPr>
                <w:rFonts w:ascii="Palatino Linotype" w:eastAsia="Palatino Linotype" w:hAnsi="Palatino Linotype" w:cs="Palatino Linotype"/>
                <w:i/>
                <w:sz w:val="20"/>
                <w:szCs w:val="20"/>
              </w:rPr>
            </w:pPr>
            <w:r w:rsidRPr="009D7F0A">
              <w:rPr>
                <w:rFonts w:ascii="Palatino Linotype" w:eastAsia="Palatino Linotype" w:hAnsi="Palatino Linotype" w:cs="Palatino Linotype"/>
                <w:i/>
                <w:sz w:val="20"/>
                <w:szCs w:val="20"/>
              </w:rPr>
              <w:t>“niega la información de forma completas” (sic)</w:t>
            </w:r>
          </w:p>
          <w:p w14:paraId="2E981F1C" w14:textId="77777777" w:rsidR="00D33952" w:rsidRPr="009D7F0A" w:rsidRDefault="00D147BA">
            <w:pPr>
              <w:spacing w:before="120" w:after="120" w:line="240" w:lineRule="auto"/>
              <w:ind w:left="11"/>
              <w:jc w:val="both"/>
              <w:rPr>
                <w:rFonts w:ascii="Palatino Linotype" w:eastAsia="Palatino Linotype" w:hAnsi="Palatino Linotype" w:cs="Palatino Linotype"/>
                <w:sz w:val="20"/>
                <w:szCs w:val="20"/>
              </w:rPr>
            </w:pPr>
            <w:r w:rsidRPr="009D7F0A">
              <w:rPr>
                <w:rFonts w:ascii="Palatino Linotype" w:eastAsia="Palatino Linotype" w:hAnsi="Palatino Linotype" w:cs="Palatino Linotype"/>
                <w:sz w:val="20"/>
                <w:szCs w:val="20"/>
              </w:rPr>
              <w:t xml:space="preserve">Y </w:t>
            </w:r>
            <w:r w:rsidRPr="009D7F0A">
              <w:rPr>
                <w:rFonts w:ascii="Palatino Linotype" w:eastAsia="Palatino Linotype" w:hAnsi="Palatino Linotype" w:cs="Palatino Linotype"/>
                <w:b/>
                <w:sz w:val="20"/>
                <w:szCs w:val="20"/>
              </w:rPr>
              <w:t>Razones o motivos de inconformidad</w:t>
            </w:r>
            <w:r w:rsidRPr="009D7F0A">
              <w:rPr>
                <w:rFonts w:ascii="Palatino Linotype" w:eastAsia="Palatino Linotype" w:hAnsi="Palatino Linotype" w:cs="Palatino Linotype"/>
                <w:sz w:val="20"/>
                <w:szCs w:val="20"/>
              </w:rPr>
              <w:t xml:space="preserve">: </w:t>
            </w:r>
          </w:p>
          <w:p w14:paraId="1CEE401A" w14:textId="77777777" w:rsidR="00D33952" w:rsidRPr="009D7F0A" w:rsidRDefault="00D147BA">
            <w:pPr>
              <w:tabs>
                <w:tab w:val="left" w:pos="2745"/>
              </w:tabs>
              <w:spacing w:before="120" w:after="120" w:line="240" w:lineRule="auto"/>
              <w:ind w:left="11"/>
              <w:jc w:val="both"/>
              <w:rPr>
                <w:rFonts w:ascii="Palatino Linotype" w:eastAsia="Palatino Linotype" w:hAnsi="Palatino Linotype" w:cs="Palatino Linotype"/>
                <w:b/>
                <w:sz w:val="20"/>
                <w:szCs w:val="20"/>
              </w:rPr>
            </w:pPr>
            <w:r w:rsidRPr="009D7F0A">
              <w:rPr>
                <w:rFonts w:ascii="Palatino Linotype" w:eastAsia="Palatino Linotype" w:hAnsi="Palatino Linotype" w:cs="Palatino Linotype"/>
                <w:i/>
                <w:sz w:val="20"/>
                <w:szCs w:val="20"/>
              </w:rPr>
              <w:t xml:space="preserve">“la información proporcionada </w:t>
            </w:r>
            <w:r w:rsidRPr="009D7F0A">
              <w:rPr>
                <w:rFonts w:ascii="Palatino Linotype" w:eastAsia="Palatino Linotype" w:hAnsi="Palatino Linotype" w:cs="Palatino Linotype"/>
                <w:b/>
                <w:i/>
                <w:sz w:val="20"/>
                <w:szCs w:val="20"/>
              </w:rPr>
              <w:t xml:space="preserve">no cuenta con un </w:t>
            </w:r>
            <w:r w:rsidRPr="009D7F0A">
              <w:rPr>
                <w:rFonts w:ascii="Palatino Linotype" w:eastAsia="Palatino Linotype" w:hAnsi="Palatino Linotype" w:cs="Palatino Linotype"/>
                <w:b/>
                <w:i/>
                <w:sz w:val="20"/>
                <w:szCs w:val="20"/>
                <w:u w:val="single"/>
              </w:rPr>
              <w:t xml:space="preserve">oficio de recurso humanos que certifique el </w:t>
            </w:r>
            <w:proofErr w:type="spellStart"/>
            <w:r w:rsidRPr="009D7F0A">
              <w:rPr>
                <w:rFonts w:ascii="Palatino Linotype" w:eastAsia="Palatino Linotype" w:hAnsi="Palatino Linotype" w:cs="Palatino Linotype"/>
                <w:b/>
                <w:i/>
                <w:sz w:val="20"/>
                <w:szCs w:val="20"/>
                <w:u w:val="single"/>
              </w:rPr>
              <w:t>numero</w:t>
            </w:r>
            <w:proofErr w:type="spellEnd"/>
            <w:r w:rsidRPr="009D7F0A">
              <w:rPr>
                <w:rFonts w:ascii="Palatino Linotype" w:eastAsia="Palatino Linotype" w:hAnsi="Palatino Linotype" w:cs="Palatino Linotype"/>
                <w:b/>
                <w:i/>
                <w:sz w:val="20"/>
                <w:szCs w:val="20"/>
                <w:u w:val="single"/>
              </w:rPr>
              <w:t xml:space="preserve"> de renuncia presentadas</w:t>
            </w:r>
            <w:r w:rsidRPr="009D7F0A">
              <w:rPr>
                <w:rFonts w:ascii="Palatino Linotype" w:eastAsia="Palatino Linotype" w:hAnsi="Palatino Linotype" w:cs="Palatino Linotype"/>
                <w:i/>
                <w:sz w:val="20"/>
                <w:szCs w:val="20"/>
              </w:rPr>
              <w:t xml:space="preserve"> por lo que no se tiene certeza si se </w:t>
            </w:r>
            <w:proofErr w:type="spellStart"/>
            <w:r w:rsidRPr="009D7F0A">
              <w:rPr>
                <w:rFonts w:ascii="Palatino Linotype" w:eastAsia="Palatino Linotype" w:hAnsi="Palatino Linotype" w:cs="Palatino Linotype"/>
                <w:i/>
                <w:sz w:val="20"/>
                <w:szCs w:val="20"/>
              </w:rPr>
              <w:t>entrego</w:t>
            </w:r>
            <w:proofErr w:type="spellEnd"/>
            <w:r w:rsidRPr="009D7F0A">
              <w:rPr>
                <w:rFonts w:ascii="Palatino Linotype" w:eastAsia="Palatino Linotype" w:hAnsi="Palatino Linotype" w:cs="Palatino Linotype"/>
                <w:i/>
                <w:sz w:val="20"/>
                <w:szCs w:val="20"/>
              </w:rPr>
              <w:t xml:space="preserve"> toda la información solicita” (sic)</w:t>
            </w:r>
          </w:p>
        </w:tc>
      </w:tr>
    </w:tbl>
    <w:p w14:paraId="46C67CFD" w14:textId="77777777" w:rsidR="00D33952" w:rsidRPr="009D7F0A" w:rsidRDefault="00D147BA">
      <w:pPr>
        <w:spacing w:before="240" w:after="240" w:line="360" w:lineRule="auto"/>
        <w:ind w:right="49"/>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lastRenderedPageBreak/>
        <w:t xml:space="preserve">Así, toda vez que el oficio mediante el cual el Área de Recursos Humanos certificara el número de renuncias presentadas en el periodo solicitado, no fue solicitado desde el primer momento, como se advierte en la tabla anterior, los motivos de inconformidad constituyen en su totalidad nuevos requerimientos de información, configurándose lo que se conoce como </w:t>
      </w:r>
      <w:r w:rsidRPr="009D7F0A">
        <w:rPr>
          <w:rFonts w:ascii="Palatino Linotype" w:eastAsia="Palatino Linotype" w:hAnsi="Palatino Linotype" w:cs="Palatino Linotype"/>
          <w:i/>
          <w:sz w:val="24"/>
          <w:szCs w:val="24"/>
        </w:rPr>
        <w:t xml:space="preserve">plus </w:t>
      </w:r>
      <w:proofErr w:type="spellStart"/>
      <w:r w:rsidRPr="009D7F0A">
        <w:rPr>
          <w:rFonts w:ascii="Palatino Linotype" w:eastAsia="Palatino Linotype" w:hAnsi="Palatino Linotype" w:cs="Palatino Linotype"/>
          <w:i/>
          <w:sz w:val="24"/>
          <w:szCs w:val="24"/>
        </w:rPr>
        <w:t>petitio</w:t>
      </w:r>
      <w:proofErr w:type="spellEnd"/>
      <w:r w:rsidRPr="009D7F0A">
        <w:rPr>
          <w:rFonts w:ascii="Palatino Linotype" w:eastAsia="Palatino Linotype" w:hAnsi="Palatino Linotype" w:cs="Palatino Linotype"/>
          <w:b/>
          <w:i/>
          <w:sz w:val="24"/>
          <w:szCs w:val="24"/>
        </w:rPr>
        <w:t xml:space="preserve">, </w:t>
      </w:r>
      <w:r w:rsidRPr="009D7F0A">
        <w:rPr>
          <w:rFonts w:ascii="Palatino Linotype" w:eastAsia="Palatino Linotype" w:hAnsi="Palatino Linotype" w:cs="Palatino Linotype"/>
          <w:sz w:val="24"/>
          <w:szCs w:val="24"/>
        </w:rPr>
        <w:t xml:space="preserve">que consiste en una ampliación a un requerimiento informativo, y por tanto, argumentos que no son susceptibles de ser valorados en términos de la fracción VII del Artículo 191 de la Ley de Transparencia y Acceso a la Información Pública del Estado de México y Municipios citado con antelación, el cual señala la improcedencia cuando la parte Recurrente amplíe su solicitud en el Recurso de Revisión, </w:t>
      </w:r>
      <w:r w:rsidRPr="009D7F0A">
        <w:rPr>
          <w:rFonts w:ascii="Palatino Linotype" w:eastAsia="Palatino Linotype" w:hAnsi="Palatino Linotype" w:cs="Palatino Linotype"/>
          <w:b/>
          <w:sz w:val="24"/>
          <w:szCs w:val="24"/>
          <w:u w:val="single"/>
        </w:rPr>
        <w:t>únicamente respecto de los nuevos contenidos</w:t>
      </w:r>
      <w:r w:rsidRPr="009D7F0A">
        <w:rPr>
          <w:rFonts w:ascii="Palatino Linotype" w:eastAsia="Palatino Linotype" w:hAnsi="Palatino Linotype" w:cs="Palatino Linotype"/>
          <w:b/>
          <w:sz w:val="24"/>
          <w:szCs w:val="24"/>
        </w:rPr>
        <w:t xml:space="preserve">; </w:t>
      </w:r>
      <w:r w:rsidRPr="009D7F0A">
        <w:rPr>
          <w:rFonts w:ascii="Palatino Linotype" w:eastAsia="Palatino Linotype" w:hAnsi="Palatino Linotype" w:cs="Palatino Linotype"/>
          <w:sz w:val="24"/>
          <w:szCs w:val="24"/>
        </w:rPr>
        <w:t xml:space="preserve">cuestión que tuvo lugar en el presente caso, pues la parte </w:t>
      </w:r>
      <w:r w:rsidRPr="009D7F0A">
        <w:rPr>
          <w:rFonts w:ascii="Palatino Linotype" w:eastAsia="Palatino Linotype" w:hAnsi="Palatino Linotype" w:cs="Palatino Linotype"/>
          <w:b/>
          <w:sz w:val="24"/>
          <w:szCs w:val="24"/>
        </w:rPr>
        <w:t>Recurrente</w:t>
      </w:r>
      <w:r w:rsidRPr="009D7F0A">
        <w:rPr>
          <w:rFonts w:ascii="Palatino Linotype" w:eastAsia="Palatino Linotype" w:hAnsi="Palatino Linotype" w:cs="Palatino Linotype"/>
          <w:sz w:val="24"/>
          <w:szCs w:val="24"/>
        </w:rPr>
        <w:t xml:space="preserve"> formuló nuevos requerimientos a través de sus recursos de revisión, en los que solicitó información que no formó parte de sus solicitudes iniciales y por lo tanto son inatendibles a través del recurso de revisión.</w:t>
      </w:r>
    </w:p>
    <w:p w14:paraId="47B5C675"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 xml:space="preserve">Asimismo, es importante señalar que una vez formulada una solicitud, las personas solicitantes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 de ahí </w:t>
      </w:r>
      <w:r w:rsidRPr="009D7F0A">
        <w:rPr>
          <w:rFonts w:ascii="Palatino Linotype" w:eastAsia="Palatino Linotype" w:hAnsi="Palatino Linotype" w:cs="Palatino Linotype"/>
          <w:sz w:val="24"/>
          <w:szCs w:val="24"/>
        </w:rPr>
        <w:lastRenderedPageBreak/>
        <w:t>que tampoco resulte procedente atender sus requerimientos realizados a través de las razones o motivos de inconformidad.</w:t>
      </w:r>
    </w:p>
    <w:p w14:paraId="238B5A76" w14:textId="77777777" w:rsidR="00D33952" w:rsidRPr="009D7F0A" w:rsidRDefault="00D147BA">
      <w:pPr>
        <w:pBdr>
          <w:top w:val="nil"/>
          <w:left w:val="nil"/>
          <w:bottom w:val="nil"/>
          <w:right w:val="nil"/>
          <w:between w:val="nil"/>
        </w:pBdr>
        <w:spacing w:before="280" w:after="28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Al respecto, el entonces Instituto Nacional de Transparencia, Acceso a la Información y Protección de Datos Personales, INAI, se pronunció en los siguientes términos mediante el criterio orientador con clave de control SO/001/2017, que lleva por rubro y texto lo que a continuación se transcribe:</w:t>
      </w:r>
    </w:p>
    <w:p w14:paraId="341A202F" w14:textId="77777777" w:rsidR="00D33952" w:rsidRPr="009D7F0A" w:rsidRDefault="00D147BA">
      <w:pPr>
        <w:spacing w:before="240" w:after="240"/>
        <w:ind w:left="851" w:right="900"/>
        <w:jc w:val="both"/>
        <w:rPr>
          <w:rFonts w:ascii="Palatino Linotype" w:eastAsia="Palatino Linotype" w:hAnsi="Palatino Linotype" w:cs="Palatino Linotype"/>
        </w:rPr>
      </w:pPr>
      <w:r w:rsidRPr="009D7F0A">
        <w:rPr>
          <w:rFonts w:ascii="Palatino Linotype" w:eastAsia="Palatino Linotype" w:hAnsi="Palatino Linotype" w:cs="Palatino Linotype"/>
          <w:i/>
        </w:rPr>
        <w:t xml:space="preserve"> “</w:t>
      </w:r>
      <w:r w:rsidRPr="009D7F0A">
        <w:rPr>
          <w:rFonts w:ascii="Palatino Linotype" w:eastAsia="Palatino Linotype" w:hAnsi="Palatino Linotype" w:cs="Palatino Linotype"/>
          <w:b/>
          <w:i/>
        </w:rPr>
        <w:t xml:space="preserve">Es improcedente ampliar las solicitudes de acceso a información, a través de la interposición del recurso de revisión. </w:t>
      </w:r>
      <w:r w:rsidRPr="009D7F0A">
        <w:rPr>
          <w:rFonts w:ascii="Palatino Linotype" w:eastAsia="Palatino Linotype" w:hAnsi="Palatino Linotype" w:cs="Palatino Linotype"/>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9D7F0A">
        <w:rPr>
          <w:rFonts w:ascii="Palatino Linotype" w:eastAsia="Palatino Linotype" w:hAnsi="Palatino Linotype" w:cs="Palatino Linotype"/>
          <w:b/>
          <w:i/>
        </w:rPr>
        <w:t>.</w:t>
      </w:r>
      <w:r w:rsidRPr="009D7F0A">
        <w:rPr>
          <w:rFonts w:ascii="Palatino Linotype" w:eastAsia="Palatino Linotype" w:hAnsi="Palatino Linotype" w:cs="Palatino Linotype"/>
          <w:i/>
        </w:rPr>
        <w:t>”</w:t>
      </w:r>
    </w:p>
    <w:p w14:paraId="69517134" w14:textId="77777777" w:rsidR="00D33952" w:rsidRPr="009D7F0A" w:rsidRDefault="00D147BA">
      <w:pPr>
        <w:spacing w:before="240" w:after="240" w:line="360" w:lineRule="auto"/>
        <w:ind w:right="49"/>
        <w:jc w:val="both"/>
        <w:rPr>
          <w:rFonts w:ascii="Palatino Linotype" w:eastAsia="Palatino Linotype" w:hAnsi="Palatino Linotype" w:cs="Palatino Linotype"/>
          <w:b/>
          <w:sz w:val="28"/>
          <w:szCs w:val="28"/>
        </w:rPr>
      </w:pPr>
      <w:r w:rsidRPr="009D7F0A">
        <w:rPr>
          <w:rFonts w:ascii="Palatino Linotype" w:eastAsia="Palatino Linotype" w:hAnsi="Palatino Linotype" w:cs="Palatino Linotype"/>
          <w:sz w:val="24"/>
          <w:szCs w:val="24"/>
        </w:rPr>
        <w:t xml:space="preserve">A pesar de lo anterior, cabe mencionar que con la finalidad de garantizar el Derecho humano de acceso a la información de la parte </w:t>
      </w:r>
      <w:r w:rsidRPr="009D7F0A">
        <w:rPr>
          <w:rFonts w:ascii="Palatino Linotype" w:eastAsia="Palatino Linotype" w:hAnsi="Palatino Linotype" w:cs="Palatino Linotype"/>
          <w:b/>
          <w:sz w:val="24"/>
          <w:szCs w:val="24"/>
        </w:rPr>
        <w:t xml:space="preserve">Recurrente, </w:t>
      </w:r>
      <w:r w:rsidRPr="009D7F0A">
        <w:rPr>
          <w:rFonts w:ascii="Palatino Linotype" w:eastAsia="Palatino Linotype" w:hAnsi="Palatino Linotype" w:cs="Palatino Linotype"/>
          <w:sz w:val="24"/>
          <w:szCs w:val="24"/>
        </w:rPr>
        <w:t xml:space="preserve">el </w:t>
      </w:r>
      <w:r w:rsidRPr="009D7F0A">
        <w:rPr>
          <w:rFonts w:ascii="Palatino Linotype" w:eastAsia="Palatino Linotype" w:hAnsi="Palatino Linotype" w:cs="Palatino Linotype"/>
          <w:b/>
          <w:sz w:val="24"/>
          <w:szCs w:val="24"/>
        </w:rPr>
        <w:t xml:space="preserve">Sujeto Obligado, </w:t>
      </w:r>
      <w:r w:rsidRPr="009D7F0A">
        <w:rPr>
          <w:rFonts w:ascii="Palatino Linotype" w:eastAsia="Palatino Linotype" w:hAnsi="Palatino Linotype" w:cs="Palatino Linotype"/>
          <w:sz w:val="24"/>
          <w:szCs w:val="24"/>
        </w:rPr>
        <w:t xml:space="preserve">por conducto de la servidora pública habilitada de la Oficialía Mayor del Organismo, precisó en la etapa de manifestaciones, que al tratarse la renuncia de un acto que llevan a cabo de manera voluntaria, libre y unilateral los servidores públicos, en el momento en el que desean dar por terminada su relación laboral con el Organismo, </w:t>
      </w:r>
      <w:r w:rsidRPr="009D7F0A">
        <w:rPr>
          <w:rFonts w:ascii="Palatino Linotype" w:eastAsia="Palatino Linotype" w:hAnsi="Palatino Linotype" w:cs="Palatino Linotype"/>
          <w:sz w:val="24"/>
          <w:szCs w:val="24"/>
        </w:rPr>
        <w:lastRenderedPageBreak/>
        <w:t xml:space="preserve">no es necesaria la formulación de un oficio que certifique las renuncias presentadas, por lo que </w:t>
      </w:r>
      <w:r w:rsidRPr="009D7F0A">
        <w:rPr>
          <w:rFonts w:ascii="Palatino Linotype" w:eastAsia="Palatino Linotype" w:hAnsi="Palatino Linotype" w:cs="Palatino Linotype"/>
          <w:b/>
          <w:sz w:val="24"/>
          <w:szCs w:val="24"/>
        </w:rPr>
        <w:t>se trata de información que no genera el Sujeto Obligado, ni se encuentra obligado a crear</w:t>
      </w:r>
      <w:r w:rsidRPr="009D7F0A">
        <w:rPr>
          <w:rFonts w:ascii="Palatino Linotype" w:eastAsia="Palatino Linotype" w:hAnsi="Palatino Linotype" w:cs="Palatino Linotype"/>
          <w:sz w:val="24"/>
          <w:szCs w:val="24"/>
        </w:rPr>
        <w:t xml:space="preserve">, lo cual se corroboró por este Organismo Garante, puesto de que la normativa consultada para la resolución del presente asunto no se advirtió disposición alguna que de manera expresa faculte al </w:t>
      </w:r>
      <w:r w:rsidRPr="009D7F0A">
        <w:rPr>
          <w:rFonts w:ascii="Palatino Linotype" w:eastAsia="Palatino Linotype" w:hAnsi="Palatino Linotype" w:cs="Palatino Linotype"/>
          <w:b/>
          <w:sz w:val="24"/>
          <w:szCs w:val="24"/>
        </w:rPr>
        <w:t xml:space="preserve">Sujeto Obligado </w:t>
      </w:r>
      <w:r w:rsidRPr="009D7F0A">
        <w:rPr>
          <w:rFonts w:ascii="Palatino Linotype" w:eastAsia="Palatino Linotype" w:hAnsi="Palatino Linotype" w:cs="Palatino Linotype"/>
          <w:sz w:val="24"/>
          <w:szCs w:val="24"/>
        </w:rPr>
        <w:t>para generar, administrar y/o poseer un documento con las características que refiere la persona solicitante, esto es, un oficio que certifique el número de renuncias presentadas, durante un periodo determinado.</w:t>
      </w:r>
    </w:p>
    <w:p w14:paraId="7470D8B1" w14:textId="77777777" w:rsidR="00D33952" w:rsidRPr="009D7F0A" w:rsidRDefault="00D147BA">
      <w:pPr>
        <w:spacing w:before="240" w:after="240" w:line="360" w:lineRule="auto"/>
        <w:ind w:right="49"/>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 xml:space="preserve">Cabe señalar además que las solicitudes fueron atendidas por el área competente para conocer de la información, toda vez que de conformidad con el artículo 58 del Reglamento Interno del Organismo Público Descentralizado para la Prestación de Los Servicios de Agua Potable Alcantarillado y Saneamiento del Municipio de Tlalnepantla de Baz, vigente, la Oficialía Mayor del Organismo, es la unidad administrativa encargada de planear, programar y </w:t>
      </w:r>
      <w:proofErr w:type="spellStart"/>
      <w:r w:rsidRPr="009D7F0A">
        <w:rPr>
          <w:rFonts w:ascii="Palatino Linotype" w:eastAsia="Palatino Linotype" w:hAnsi="Palatino Linotype" w:cs="Palatino Linotype"/>
          <w:sz w:val="24"/>
          <w:szCs w:val="24"/>
        </w:rPr>
        <w:t>eficientar</w:t>
      </w:r>
      <w:proofErr w:type="spellEnd"/>
      <w:r w:rsidRPr="009D7F0A">
        <w:rPr>
          <w:rFonts w:ascii="Palatino Linotype" w:eastAsia="Palatino Linotype" w:hAnsi="Palatino Linotype" w:cs="Palatino Linotype"/>
          <w:sz w:val="24"/>
          <w:szCs w:val="24"/>
        </w:rPr>
        <w:t xml:space="preserve"> la administración de los recursos humanos del Organismo, entre cuyas atribuciones se encuentra la de autorizar, previo acuerdo con el Director General, los movimientos de personal, así como las altas y bajas.</w:t>
      </w:r>
    </w:p>
    <w:p w14:paraId="2835E15C" w14:textId="77777777" w:rsidR="00D33952" w:rsidRPr="009D7F0A" w:rsidRDefault="00D147BA">
      <w:pPr>
        <w:spacing w:before="240" w:after="240" w:line="360" w:lineRule="auto"/>
        <w:ind w:right="49"/>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 xml:space="preserve">Asimismo, de conformidad con el artículo 59, fracción II, inciso b), del Reglamento Interno del Organismo, la Oficialía Mayor se auxilia del Área de Recursos Humanos </w:t>
      </w:r>
      <w:r w:rsidRPr="009D7F0A">
        <w:rPr>
          <w:rFonts w:ascii="Palatino Linotype" w:eastAsia="Palatino Linotype" w:hAnsi="Palatino Linotype" w:cs="Palatino Linotype"/>
          <w:sz w:val="24"/>
          <w:szCs w:val="24"/>
        </w:rPr>
        <w:lastRenderedPageBreak/>
        <w:t>de la Subdirección de Administración, cuyas atribuciones se encuentran conferidas en el artículo 67 del mismo ordenamiento, entre las cuales se encuentran las siguientes en su parte conducente:</w:t>
      </w:r>
    </w:p>
    <w:p w14:paraId="36133EFE" w14:textId="77777777" w:rsidR="00D33952" w:rsidRPr="009D7F0A" w:rsidRDefault="00D147BA">
      <w:pPr>
        <w:spacing w:before="120" w:after="120"/>
        <w:ind w:left="851" w:right="902"/>
        <w:jc w:val="both"/>
        <w:rPr>
          <w:rFonts w:ascii="Palatino Linotype" w:eastAsia="Palatino Linotype" w:hAnsi="Palatino Linotype" w:cs="Palatino Linotype"/>
          <w:i/>
        </w:rPr>
      </w:pPr>
      <w:r w:rsidRPr="009D7F0A">
        <w:rPr>
          <w:rFonts w:ascii="Palatino Linotype" w:eastAsia="Palatino Linotype" w:hAnsi="Palatino Linotype" w:cs="Palatino Linotype"/>
          <w:i/>
        </w:rPr>
        <w:t>“</w:t>
      </w:r>
      <w:r w:rsidRPr="009D7F0A">
        <w:rPr>
          <w:rFonts w:ascii="Palatino Linotype" w:eastAsia="Palatino Linotype" w:hAnsi="Palatino Linotype" w:cs="Palatino Linotype"/>
          <w:b/>
          <w:i/>
        </w:rPr>
        <w:t>Artículo 67</w:t>
      </w:r>
      <w:r w:rsidRPr="009D7F0A">
        <w:rPr>
          <w:rFonts w:ascii="Palatino Linotype" w:eastAsia="Palatino Linotype" w:hAnsi="Palatino Linotype" w:cs="Palatino Linotype"/>
          <w:i/>
        </w:rPr>
        <w:t xml:space="preserve">.- El </w:t>
      </w:r>
      <w:r w:rsidRPr="009D7F0A">
        <w:rPr>
          <w:rFonts w:ascii="Palatino Linotype" w:eastAsia="Palatino Linotype" w:hAnsi="Palatino Linotype" w:cs="Palatino Linotype"/>
          <w:b/>
          <w:i/>
        </w:rPr>
        <w:t>Área de Recursos Humanos</w:t>
      </w:r>
      <w:r w:rsidRPr="009D7F0A">
        <w:rPr>
          <w:rFonts w:ascii="Palatino Linotype" w:eastAsia="Palatino Linotype" w:hAnsi="Palatino Linotype" w:cs="Palatino Linotype"/>
          <w:i/>
        </w:rPr>
        <w:t>, estará a cargo de un titular, a quien se le denominará “Responsable de Recursos Humanos”, quien responderá directamente del desempeño de sus funciones a la Subdirección de Administración y quien tendrá las siguientes atribuciones y facultades:</w:t>
      </w:r>
    </w:p>
    <w:p w14:paraId="1B64756F" w14:textId="77777777" w:rsidR="00D33952" w:rsidRPr="009D7F0A" w:rsidRDefault="00D147BA">
      <w:pPr>
        <w:spacing w:before="120" w:after="120"/>
        <w:ind w:left="1134" w:right="902"/>
        <w:jc w:val="both"/>
        <w:rPr>
          <w:rFonts w:ascii="Palatino Linotype" w:eastAsia="Palatino Linotype" w:hAnsi="Palatino Linotype" w:cs="Palatino Linotype"/>
          <w:b/>
          <w:i/>
        </w:rPr>
      </w:pPr>
      <w:r w:rsidRPr="009D7F0A">
        <w:rPr>
          <w:rFonts w:ascii="Palatino Linotype" w:eastAsia="Palatino Linotype" w:hAnsi="Palatino Linotype" w:cs="Palatino Linotype"/>
          <w:b/>
          <w:i/>
        </w:rPr>
        <w:t>...</w:t>
      </w:r>
    </w:p>
    <w:p w14:paraId="77F9F106" w14:textId="77777777" w:rsidR="00D33952" w:rsidRPr="009D7F0A" w:rsidRDefault="00D147BA">
      <w:pPr>
        <w:spacing w:before="120" w:after="120"/>
        <w:ind w:left="1134" w:right="902"/>
        <w:jc w:val="both"/>
        <w:rPr>
          <w:rFonts w:ascii="Palatino Linotype" w:eastAsia="Palatino Linotype" w:hAnsi="Palatino Linotype" w:cs="Palatino Linotype"/>
          <w:i/>
        </w:rPr>
      </w:pPr>
      <w:r w:rsidRPr="009D7F0A">
        <w:rPr>
          <w:rFonts w:ascii="Palatino Linotype" w:eastAsia="Palatino Linotype" w:hAnsi="Palatino Linotype" w:cs="Palatino Linotype"/>
          <w:b/>
          <w:i/>
        </w:rPr>
        <w:t>V.</w:t>
      </w:r>
      <w:r w:rsidRPr="009D7F0A">
        <w:rPr>
          <w:rFonts w:ascii="Palatino Linotype" w:eastAsia="Palatino Linotype" w:hAnsi="Palatino Linotype" w:cs="Palatino Linotype"/>
          <w:i/>
        </w:rPr>
        <w:t xml:space="preserve"> Integrar y actualizar de manera adecuada y oportuna los expedientes del personal; de acuerdo a la normatividad aplicable; </w:t>
      </w:r>
    </w:p>
    <w:p w14:paraId="4AA05AE1" w14:textId="77777777" w:rsidR="00D33952" w:rsidRPr="009D7F0A" w:rsidRDefault="00D147BA">
      <w:pPr>
        <w:spacing w:before="120" w:after="120"/>
        <w:ind w:left="1134" w:right="902"/>
        <w:jc w:val="both"/>
        <w:rPr>
          <w:rFonts w:ascii="Palatino Linotype" w:eastAsia="Palatino Linotype" w:hAnsi="Palatino Linotype" w:cs="Palatino Linotype"/>
          <w:i/>
        </w:rPr>
      </w:pPr>
      <w:r w:rsidRPr="009D7F0A">
        <w:rPr>
          <w:rFonts w:ascii="Palatino Linotype" w:eastAsia="Palatino Linotype" w:hAnsi="Palatino Linotype" w:cs="Palatino Linotype"/>
          <w:b/>
          <w:i/>
        </w:rPr>
        <w:t>VI.</w:t>
      </w:r>
      <w:r w:rsidRPr="009D7F0A">
        <w:rPr>
          <w:rFonts w:ascii="Palatino Linotype" w:eastAsia="Palatino Linotype" w:hAnsi="Palatino Linotype" w:cs="Palatino Linotype"/>
          <w:i/>
        </w:rPr>
        <w:t xml:space="preserve"> Mantener actualizada la plantilla del personal, el control de plazas vacantes y ocupadas, de acuerdo al Presupuesto del Capítulo 1000, Servicios Personales;</w:t>
      </w:r>
    </w:p>
    <w:p w14:paraId="04CB5291" w14:textId="77777777" w:rsidR="00D33952" w:rsidRPr="009D7F0A" w:rsidRDefault="00D147BA">
      <w:pPr>
        <w:spacing w:before="120" w:after="120"/>
        <w:ind w:left="1134" w:right="902"/>
        <w:jc w:val="both"/>
        <w:rPr>
          <w:rFonts w:ascii="Palatino Linotype" w:eastAsia="Palatino Linotype" w:hAnsi="Palatino Linotype" w:cs="Palatino Linotype"/>
          <w:i/>
        </w:rPr>
      </w:pPr>
      <w:r w:rsidRPr="009D7F0A">
        <w:rPr>
          <w:rFonts w:ascii="Palatino Linotype" w:eastAsia="Palatino Linotype" w:hAnsi="Palatino Linotype" w:cs="Palatino Linotype"/>
          <w:i/>
        </w:rPr>
        <w:t>...</w:t>
      </w:r>
    </w:p>
    <w:p w14:paraId="072B3C93" w14:textId="77777777" w:rsidR="00D33952" w:rsidRPr="009D7F0A" w:rsidRDefault="00D147BA">
      <w:pPr>
        <w:spacing w:before="120" w:after="120"/>
        <w:ind w:left="1134" w:right="902"/>
        <w:jc w:val="both"/>
        <w:rPr>
          <w:rFonts w:ascii="Palatino Linotype" w:eastAsia="Palatino Linotype" w:hAnsi="Palatino Linotype" w:cs="Palatino Linotype"/>
          <w:i/>
        </w:rPr>
      </w:pPr>
      <w:r w:rsidRPr="009D7F0A">
        <w:rPr>
          <w:rFonts w:ascii="Palatino Linotype" w:eastAsia="Palatino Linotype" w:hAnsi="Palatino Linotype" w:cs="Palatino Linotype"/>
          <w:b/>
          <w:i/>
        </w:rPr>
        <w:t>VIII</w:t>
      </w:r>
      <w:r w:rsidRPr="009D7F0A">
        <w:rPr>
          <w:rFonts w:ascii="Palatino Linotype" w:eastAsia="Palatino Linotype" w:hAnsi="Palatino Linotype" w:cs="Palatino Linotype"/>
          <w:i/>
        </w:rPr>
        <w:t xml:space="preserve">. Realizar los movimientos de personal, que instruya el Director General; </w:t>
      </w:r>
    </w:p>
    <w:p w14:paraId="20BF9A36" w14:textId="77777777" w:rsidR="00D33952" w:rsidRPr="009D7F0A" w:rsidRDefault="00D147BA">
      <w:pPr>
        <w:spacing w:before="120" w:after="120"/>
        <w:ind w:left="1134" w:right="902"/>
        <w:jc w:val="both"/>
        <w:rPr>
          <w:rFonts w:ascii="Palatino Linotype" w:eastAsia="Palatino Linotype" w:hAnsi="Palatino Linotype" w:cs="Palatino Linotype"/>
          <w:i/>
        </w:rPr>
      </w:pPr>
      <w:r w:rsidRPr="009D7F0A">
        <w:rPr>
          <w:rFonts w:ascii="Palatino Linotype" w:eastAsia="Palatino Linotype" w:hAnsi="Palatino Linotype" w:cs="Palatino Linotype"/>
          <w:i/>
        </w:rPr>
        <w:t>...</w:t>
      </w:r>
    </w:p>
    <w:p w14:paraId="718BD60B" w14:textId="77777777" w:rsidR="00D33952" w:rsidRPr="009D7F0A" w:rsidRDefault="00D147BA">
      <w:pPr>
        <w:spacing w:before="120" w:after="120"/>
        <w:ind w:left="1134" w:right="902"/>
        <w:jc w:val="both"/>
        <w:rPr>
          <w:rFonts w:ascii="Palatino Linotype" w:eastAsia="Palatino Linotype" w:hAnsi="Palatino Linotype" w:cs="Palatino Linotype"/>
          <w:i/>
        </w:rPr>
      </w:pPr>
      <w:r w:rsidRPr="009D7F0A">
        <w:rPr>
          <w:rFonts w:ascii="Palatino Linotype" w:eastAsia="Palatino Linotype" w:hAnsi="Palatino Linotype" w:cs="Palatino Linotype"/>
          <w:b/>
          <w:i/>
        </w:rPr>
        <w:t>XX</w:t>
      </w:r>
      <w:r w:rsidRPr="009D7F0A">
        <w:rPr>
          <w:rFonts w:ascii="Palatino Linotype" w:eastAsia="Palatino Linotype" w:hAnsi="Palatino Linotype" w:cs="Palatino Linotype"/>
          <w:i/>
        </w:rPr>
        <w:t>. Tramitar el alta, baja y en general las modificaciones en el ISSEMYM y presentar las liquidaciones correspondientes;</w:t>
      </w:r>
    </w:p>
    <w:p w14:paraId="1C9F4854" w14:textId="77777777" w:rsidR="00D33952" w:rsidRPr="009D7F0A" w:rsidRDefault="00D147BA">
      <w:pPr>
        <w:spacing w:before="120" w:after="120"/>
        <w:ind w:left="1134" w:right="902"/>
        <w:jc w:val="both"/>
        <w:rPr>
          <w:rFonts w:ascii="Palatino Linotype" w:eastAsia="Palatino Linotype" w:hAnsi="Palatino Linotype" w:cs="Palatino Linotype"/>
          <w:b/>
          <w:i/>
        </w:rPr>
      </w:pPr>
      <w:r w:rsidRPr="009D7F0A">
        <w:rPr>
          <w:rFonts w:ascii="Palatino Linotype" w:eastAsia="Palatino Linotype" w:hAnsi="Palatino Linotype" w:cs="Palatino Linotype"/>
          <w:b/>
          <w:i/>
        </w:rPr>
        <w:t>...</w:t>
      </w:r>
    </w:p>
    <w:p w14:paraId="25A67A63" w14:textId="77777777" w:rsidR="00D33952" w:rsidRPr="009D7F0A" w:rsidRDefault="00D147BA">
      <w:pPr>
        <w:spacing w:before="120" w:after="120"/>
        <w:ind w:left="1134" w:right="902"/>
        <w:jc w:val="both"/>
        <w:rPr>
          <w:rFonts w:ascii="Palatino Linotype" w:eastAsia="Palatino Linotype" w:hAnsi="Palatino Linotype" w:cs="Palatino Linotype"/>
          <w:i/>
        </w:rPr>
      </w:pPr>
      <w:r w:rsidRPr="009D7F0A">
        <w:rPr>
          <w:rFonts w:ascii="Palatino Linotype" w:eastAsia="Palatino Linotype" w:hAnsi="Palatino Linotype" w:cs="Palatino Linotype"/>
          <w:b/>
          <w:i/>
        </w:rPr>
        <w:t>XXIV</w:t>
      </w:r>
      <w:r w:rsidRPr="009D7F0A">
        <w:rPr>
          <w:rFonts w:ascii="Palatino Linotype" w:eastAsia="Palatino Linotype" w:hAnsi="Palatino Linotype" w:cs="Palatino Linotype"/>
          <w:i/>
        </w:rPr>
        <w:t>. Elaboración de finiquitos al personal que cause baja;”</w:t>
      </w:r>
    </w:p>
    <w:p w14:paraId="7EB1E075"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 xml:space="preserve">En esta línea de pensamiento, se estima que en el presente asunto se atendió el procedimiento de búsqueda establecido en los artículos 151, 159, 160, 162, 163, 164, </w:t>
      </w:r>
      <w:r w:rsidRPr="009D7F0A">
        <w:rPr>
          <w:rFonts w:ascii="Palatino Linotype" w:eastAsia="Palatino Linotype" w:hAnsi="Palatino Linotype" w:cs="Palatino Linotype"/>
          <w:sz w:val="24"/>
          <w:szCs w:val="24"/>
        </w:rPr>
        <w:lastRenderedPageBreak/>
        <w:t>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08FCE710" w14:textId="77777777" w:rsidR="00D33952" w:rsidRPr="009D7F0A" w:rsidRDefault="00D147BA">
      <w:pPr>
        <w:widowControl w:val="0"/>
        <w:spacing w:before="240" w:after="240" w:line="360" w:lineRule="auto"/>
        <w:ind w:right="51"/>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Con base en lo previo, dado que ha quedado acreditado que en el presente asunto se actualiza la causal de improcedencia prevista en la fracción VII del artículo 191 de la Ley de Transparencia y Acceso a la Información Pública del Estado de México y Municipios, cobra aplicación el supuesto de sobreseimiento previsto en la fracción IV del artículo 192 del mismo ordenamiento, a saber:</w:t>
      </w:r>
    </w:p>
    <w:p w14:paraId="6938FC58" w14:textId="77777777" w:rsidR="00D33952" w:rsidRPr="009D7F0A" w:rsidRDefault="00D147BA">
      <w:pPr>
        <w:spacing w:before="120" w:after="120"/>
        <w:ind w:left="851" w:right="902"/>
        <w:jc w:val="both"/>
        <w:rPr>
          <w:rFonts w:ascii="Palatino Linotype" w:eastAsia="Palatino Linotype" w:hAnsi="Palatino Linotype" w:cs="Palatino Linotype"/>
          <w:i/>
        </w:rPr>
      </w:pPr>
      <w:r w:rsidRPr="009D7F0A">
        <w:rPr>
          <w:rFonts w:ascii="Palatino Linotype" w:eastAsia="Palatino Linotype" w:hAnsi="Palatino Linotype" w:cs="Palatino Linotype"/>
          <w:b/>
          <w:i/>
        </w:rPr>
        <w:t xml:space="preserve">“Artículo 192. </w:t>
      </w:r>
      <w:r w:rsidRPr="009D7F0A">
        <w:rPr>
          <w:rFonts w:ascii="Palatino Linotype" w:eastAsia="Palatino Linotype" w:hAnsi="Palatino Linotype" w:cs="Palatino Linotype"/>
          <w:i/>
        </w:rPr>
        <w:t>El recurso será sobreseído, en todo o en parte, cuando una vez admitido, se actualicen alguno de los siguientes supuestos:</w:t>
      </w:r>
    </w:p>
    <w:p w14:paraId="4A35AA43" w14:textId="77777777" w:rsidR="00D33952" w:rsidRPr="009D7F0A" w:rsidRDefault="00D147BA">
      <w:pPr>
        <w:spacing w:before="120" w:after="120"/>
        <w:ind w:left="1134" w:right="902"/>
        <w:jc w:val="both"/>
        <w:rPr>
          <w:rFonts w:ascii="Palatino Linotype" w:eastAsia="Palatino Linotype" w:hAnsi="Palatino Linotype" w:cs="Palatino Linotype"/>
          <w:b/>
          <w:i/>
        </w:rPr>
      </w:pPr>
      <w:r w:rsidRPr="009D7F0A">
        <w:rPr>
          <w:rFonts w:ascii="Palatino Linotype" w:eastAsia="Palatino Linotype" w:hAnsi="Palatino Linotype" w:cs="Palatino Linotype"/>
          <w:b/>
          <w:i/>
        </w:rPr>
        <w:t>...</w:t>
      </w:r>
    </w:p>
    <w:p w14:paraId="07D1B492" w14:textId="77777777" w:rsidR="00D33952" w:rsidRPr="009D7F0A" w:rsidRDefault="00D147BA">
      <w:pPr>
        <w:spacing w:before="120" w:after="120"/>
        <w:ind w:left="1134" w:right="902"/>
        <w:jc w:val="both"/>
        <w:rPr>
          <w:rFonts w:ascii="Palatino Linotype" w:eastAsia="Palatino Linotype" w:hAnsi="Palatino Linotype" w:cs="Palatino Linotype"/>
          <w:i/>
        </w:rPr>
      </w:pPr>
      <w:r w:rsidRPr="009D7F0A">
        <w:rPr>
          <w:rFonts w:ascii="Palatino Linotype" w:eastAsia="Palatino Linotype" w:hAnsi="Palatino Linotype" w:cs="Palatino Linotype"/>
          <w:b/>
          <w:i/>
        </w:rPr>
        <w:t xml:space="preserve">IV. </w:t>
      </w:r>
      <w:r w:rsidRPr="009D7F0A">
        <w:rPr>
          <w:rFonts w:ascii="Palatino Linotype" w:eastAsia="Palatino Linotype" w:hAnsi="Palatino Linotype" w:cs="Palatino Linotype"/>
          <w:i/>
        </w:rPr>
        <w:t xml:space="preserve">Admitido el recurso de revisión, </w:t>
      </w:r>
      <w:r w:rsidRPr="009D7F0A">
        <w:rPr>
          <w:rFonts w:ascii="Palatino Linotype" w:eastAsia="Palatino Linotype" w:hAnsi="Palatino Linotype" w:cs="Palatino Linotype"/>
          <w:b/>
          <w:i/>
          <w:u w:val="single"/>
        </w:rPr>
        <w:t>aparezca alguna causal de improcedencia</w:t>
      </w:r>
      <w:r w:rsidRPr="009D7F0A">
        <w:rPr>
          <w:rFonts w:ascii="Palatino Linotype" w:eastAsia="Palatino Linotype" w:hAnsi="Palatino Linotype" w:cs="Palatino Linotype"/>
          <w:i/>
        </w:rPr>
        <w:t xml:space="preserve"> en los términos de la presente Ley; y”</w:t>
      </w:r>
    </w:p>
    <w:p w14:paraId="1308EB8E" w14:textId="77777777" w:rsidR="00D33952" w:rsidRPr="009D7F0A" w:rsidRDefault="00D147BA">
      <w:pPr>
        <w:spacing w:before="240" w:after="240" w:line="360" w:lineRule="auto"/>
        <w:ind w:right="49"/>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 xml:space="preserve">Al respecto, cabe destacar que la Ley da la posibilidad de desechar el recurso de revisión en el momento procesal en que también se puede admitir, por alguno de los supuestos previstos en el artículo 191 de la Ley en la Materia, artículo que tiene </w:t>
      </w:r>
      <w:r w:rsidRPr="009D7F0A">
        <w:rPr>
          <w:rFonts w:ascii="Palatino Linotype" w:eastAsia="Palatino Linotype" w:hAnsi="Palatino Linotype" w:cs="Palatino Linotype"/>
          <w:sz w:val="24"/>
          <w:szCs w:val="24"/>
        </w:rPr>
        <w:lastRenderedPageBreak/>
        <w:t>un momento de aplicabilidad previo a la admisión del recurso de revisión por no reunir los requisitos de procedibilidad previstos en el artículo 179 de la misma Ley.</w:t>
      </w:r>
    </w:p>
    <w:p w14:paraId="584167FF" w14:textId="77777777" w:rsidR="00D33952" w:rsidRPr="009D7F0A" w:rsidRDefault="00D147BA">
      <w:pPr>
        <w:spacing w:before="240" w:after="240" w:line="360" w:lineRule="auto"/>
        <w:ind w:right="49"/>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 xml:space="preserve">En este orden de ideas, es evidente que no se puede invocar el precepto legal 191 de la Ley en cita ulteriormente a que ha sido admitido, determinando la actualización de un </w:t>
      </w:r>
      <w:proofErr w:type="spellStart"/>
      <w:r w:rsidRPr="009D7F0A">
        <w:rPr>
          <w:rFonts w:ascii="Palatino Linotype" w:eastAsia="Palatino Linotype" w:hAnsi="Palatino Linotype" w:cs="Palatino Linotype"/>
          <w:sz w:val="24"/>
          <w:szCs w:val="24"/>
        </w:rPr>
        <w:t>desechamiento</w:t>
      </w:r>
      <w:proofErr w:type="spellEnd"/>
      <w:r w:rsidRPr="009D7F0A">
        <w:rPr>
          <w:rFonts w:ascii="Palatino Linotype" w:eastAsia="Palatino Linotype" w:hAnsi="Palatino Linotype" w:cs="Palatino Linotype"/>
          <w:sz w:val="24"/>
          <w:szCs w:val="24"/>
          <w:vertAlign w:val="superscript"/>
        </w:rPr>
        <w:footnoteReference w:id="1"/>
      </w:r>
      <w:r w:rsidRPr="009D7F0A">
        <w:rPr>
          <w:rFonts w:ascii="Palatino Linotype" w:eastAsia="Palatino Linotype" w:hAnsi="Palatino Linotype" w:cs="Palatino Linotype"/>
          <w:sz w:val="24"/>
          <w:szCs w:val="24"/>
        </w:rPr>
        <w:t>, porque está ya sería posterior a la etapa procedimental en la que debió desecharse.</w:t>
      </w:r>
    </w:p>
    <w:p w14:paraId="603F916E" w14:textId="77777777" w:rsidR="00D33952" w:rsidRPr="009D7F0A" w:rsidRDefault="00D147BA">
      <w:pPr>
        <w:spacing w:before="240" w:after="240" w:line="360" w:lineRule="auto"/>
        <w:ind w:right="49"/>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Por tanto, cobra aplicación</w:t>
      </w:r>
      <w:r w:rsidRPr="009D7F0A">
        <w:rPr>
          <w:rFonts w:ascii="Palatino Linotype" w:eastAsia="Palatino Linotype" w:hAnsi="Palatino Linotype" w:cs="Palatino Linotype"/>
        </w:rPr>
        <w:t xml:space="preserve"> </w:t>
      </w:r>
      <w:r w:rsidRPr="009D7F0A">
        <w:rPr>
          <w:rFonts w:ascii="Palatino Linotype" w:eastAsia="Palatino Linotype" w:hAnsi="Palatino Linotype" w:cs="Palatino Linotype"/>
          <w:sz w:val="24"/>
          <w:szCs w:val="24"/>
        </w:rPr>
        <w:t xml:space="preserve">lo previsto en la fracción IV del artículo 192, en razón a que al haber sido admitidos los recursos de revisión y al actualizarse una causal de improcedencia, en este caso la establecida en la fracción VII del artículo 191 de la misma Ley, éstos deben ser sobreseídos. </w:t>
      </w:r>
    </w:p>
    <w:p w14:paraId="01BB031B" w14:textId="77777777" w:rsidR="00D33952" w:rsidRPr="009D7F0A" w:rsidRDefault="00D147BA">
      <w:pPr>
        <w:spacing w:before="240" w:after="240" w:line="360" w:lineRule="auto"/>
        <w:jc w:val="both"/>
        <w:rPr>
          <w:rFonts w:ascii="Palatino Linotype" w:eastAsia="Palatino Linotype" w:hAnsi="Palatino Linotype" w:cs="Palatino Linotype"/>
          <w:b/>
          <w:sz w:val="24"/>
          <w:szCs w:val="24"/>
        </w:rPr>
      </w:pPr>
      <w:r w:rsidRPr="009D7F0A">
        <w:rPr>
          <w:rFonts w:ascii="Palatino Linotype" w:eastAsia="Palatino Linotype" w:hAnsi="Palatino Linotype" w:cs="Palatino Linotype"/>
          <w:sz w:val="24"/>
          <w:szCs w:val="24"/>
        </w:rPr>
        <w:t xml:space="preserve">Atento a los razonamientos lógico jurídicos que han quedado precisados y toda vez que el  </w:t>
      </w:r>
      <w:r w:rsidRPr="009D7F0A">
        <w:rPr>
          <w:rFonts w:ascii="Palatino Linotype" w:eastAsia="Palatino Linotype" w:hAnsi="Palatino Linotype" w:cs="Palatino Linotype"/>
          <w:i/>
          <w:sz w:val="24"/>
          <w:szCs w:val="24"/>
        </w:rPr>
        <w:t xml:space="preserve">sobreseimiento </w:t>
      </w:r>
      <w:r w:rsidRPr="009D7F0A">
        <w:rPr>
          <w:rFonts w:ascii="Palatino Linotype" w:eastAsia="Palatino Linotype" w:hAnsi="Palatino Linotype" w:cs="Palatino Linotype"/>
          <w:sz w:val="24"/>
          <w:szCs w:val="24"/>
        </w:rPr>
        <w:t xml:space="preserve">es un acto que da por terminado el procedimiento </w:t>
      </w:r>
      <w:r w:rsidRPr="009D7F0A">
        <w:rPr>
          <w:rFonts w:ascii="Palatino Linotype" w:eastAsia="Palatino Linotype" w:hAnsi="Palatino Linotype" w:cs="Palatino Linotype"/>
          <w:sz w:val="24"/>
          <w:szCs w:val="24"/>
        </w:rPr>
        <w:lastRenderedPageBreak/>
        <w:t xml:space="preserve">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9D7F0A">
        <w:rPr>
          <w:rFonts w:ascii="Palatino Linotype" w:eastAsia="Palatino Linotype" w:hAnsi="Palatino Linotype" w:cs="Palatino Linotype"/>
          <w:b/>
          <w:sz w:val="24"/>
          <w:szCs w:val="24"/>
        </w:rPr>
        <w:t>SOBRESEIMIENTO, NO PERMITE ENTRAR AL ESTUDIO DE LAS CUESTIONES DE FONDO</w:t>
      </w:r>
      <w:r w:rsidRPr="009D7F0A">
        <w:rPr>
          <w:rFonts w:ascii="Palatino Linotype" w:eastAsia="Palatino Linotype" w:hAnsi="Palatino Linotype" w:cs="Palatino Linotype"/>
          <w:sz w:val="24"/>
          <w:szCs w:val="24"/>
          <w:vertAlign w:val="superscript"/>
        </w:rPr>
        <w:footnoteReference w:id="2"/>
      </w:r>
      <w:r w:rsidRPr="009D7F0A">
        <w:rPr>
          <w:rFonts w:ascii="Palatino Linotype" w:eastAsia="Palatino Linotype" w:hAnsi="Palatino Linotype" w:cs="Palatino Linotype"/>
          <w:b/>
          <w:sz w:val="24"/>
          <w:szCs w:val="24"/>
        </w:rPr>
        <w:t>.</w:t>
      </w:r>
    </w:p>
    <w:p w14:paraId="7E72C3A0"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3C7C066" w14:textId="77777777" w:rsidR="00D33952" w:rsidRPr="009D7F0A" w:rsidRDefault="00D147BA">
      <w:pPr>
        <w:spacing w:before="120" w:after="120"/>
        <w:ind w:left="851" w:right="902"/>
        <w:jc w:val="both"/>
        <w:rPr>
          <w:rFonts w:ascii="Palatino Linotype" w:eastAsia="Palatino Linotype" w:hAnsi="Palatino Linotype" w:cs="Palatino Linotype"/>
          <w:b/>
          <w:i/>
        </w:rPr>
      </w:pPr>
      <w:r w:rsidRPr="009D7F0A">
        <w:rPr>
          <w:rFonts w:ascii="Palatino Linotype" w:eastAsia="Palatino Linotype" w:hAnsi="Palatino Linotype" w:cs="Palatino Linotype"/>
          <w:b/>
          <w:i/>
        </w:rPr>
        <w:t xml:space="preserve">“DESECHAMIENTO O SOBRESEIMIENTO EN EL JUICIO DE AMPARO. NO IMPLICA DENEGACIÓN DE JUSTICIA NI GENERA INSEGURIDAD JURÍDICA” </w:t>
      </w:r>
    </w:p>
    <w:p w14:paraId="712CC96A" w14:textId="77777777" w:rsidR="00D33952" w:rsidRPr="009D7F0A" w:rsidRDefault="00D147BA">
      <w:pPr>
        <w:spacing w:before="120" w:after="120"/>
        <w:ind w:left="851" w:right="902"/>
        <w:jc w:val="both"/>
        <w:rPr>
          <w:rFonts w:ascii="Palatino Linotype" w:eastAsia="Palatino Linotype" w:hAnsi="Palatino Linotype" w:cs="Palatino Linotype"/>
          <w:i/>
        </w:rPr>
      </w:pPr>
      <w:r w:rsidRPr="009D7F0A">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w:t>
      </w:r>
      <w:r w:rsidRPr="009D7F0A">
        <w:rPr>
          <w:rFonts w:ascii="Palatino Linotype" w:eastAsia="Palatino Linotype" w:hAnsi="Palatino Linotype" w:cs="Palatino Linotype"/>
          <w:i/>
        </w:rPr>
        <w:lastRenderedPageBreak/>
        <w:t xml:space="preserve">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5E37E8D5" w14:textId="77777777" w:rsidR="00D33952" w:rsidRPr="009D7F0A" w:rsidRDefault="00D147BA">
      <w:pPr>
        <w:spacing w:before="12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 xml:space="preserve">Derivado de lo expuesto, con fundamento en la segunda hipótesis de la fracción I del artículo 186, de la Ley de Transparencia y Acceso a la Información Pública del Estado de México y Municipios, se </w:t>
      </w:r>
      <w:r w:rsidRPr="009D7F0A">
        <w:rPr>
          <w:rFonts w:ascii="Palatino Linotype" w:eastAsia="Palatino Linotype" w:hAnsi="Palatino Linotype" w:cs="Palatino Linotype"/>
          <w:i/>
          <w:sz w:val="24"/>
          <w:szCs w:val="24"/>
        </w:rPr>
        <w:t>Sobreseen</w:t>
      </w:r>
      <w:r w:rsidRPr="009D7F0A">
        <w:rPr>
          <w:rFonts w:ascii="Palatino Linotype" w:eastAsia="Palatino Linotype" w:hAnsi="Palatino Linotype" w:cs="Palatino Linotype"/>
          <w:b/>
          <w:sz w:val="24"/>
          <w:szCs w:val="24"/>
        </w:rPr>
        <w:t xml:space="preserve"> </w:t>
      </w:r>
      <w:r w:rsidRPr="009D7F0A">
        <w:rPr>
          <w:rFonts w:ascii="Palatino Linotype" w:eastAsia="Palatino Linotype" w:hAnsi="Palatino Linotype" w:cs="Palatino Linotype"/>
          <w:sz w:val="24"/>
          <w:szCs w:val="24"/>
        </w:rPr>
        <w:t>los recursos de revisión que han sido materia del presente fallo.</w:t>
      </w:r>
    </w:p>
    <w:p w14:paraId="21EC2100"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sz w:val="24"/>
          <w:szCs w:val="24"/>
        </w:rPr>
        <w:t>Así, con fundamento en lo prescrito en los artículos 5 párrafos trigésimo séptimo, trigésimo octavo y trigésimo noveno de la Constitución Política del Estado Libre y Soberano de México; 2, fracción II; 29, 36 fracciones I y II; 176, 178, 181, 185, fracción I, 186 y 188 de la Ley de Transparencia y Acceso a la Información Pública del Estado de México y Municipios, este Pleno:</w:t>
      </w:r>
    </w:p>
    <w:p w14:paraId="7ABACCDF" w14:textId="77777777" w:rsidR="00D147BA" w:rsidRPr="009D7F0A" w:rsidRDefault="00D147BA">
      <w:pPr>
        <w:spacing w:before="240" w:after="240" w:line="360" w:lineRule="auto"/>
        <w:jc w:val="both"/>
        <w:rPr>
          <w:rFonts w:ascii="Palatino Linotype" w:eastAsia="Palatino Linotype" w:hAnsi="Palatino Linotype" w:cs="Palatino Linotype"/>
          <w:sz w:val="24"/>
          <w:szCs w:val="24"/>
        </w:rPr>
      </w:pPr>
    </w:p>
    <w:p w14:paraId="6B5278FA" w14:textId="77777777" w:rsidR="00D147BA" w:rsidRPr="009D7F0A" w:rsidRDefault="00D147BA">
      <w:pPr>
        <w:spacing w:before="240" w:after="240" w:line="360" w:lineRule="auto"/>
        <w:jc w:val="both"/>
        <w:rPr>
          <w:rFonts w:ascii="Palatino Linotype" w:eastAsia="Palatino Linotype" w:hAnsi="Palatino Linotype" w:cs="Palatino Linotype"/>
          <w:sz w:val="24"/>
          <w:szCs w:val="24"/>
        </w:rPr>
      </w:pPr>
    </w:p>
    <w:p w14:paraId="55F7F34C" w14:textId="77777777" w:rsidR="00D33952" w:rsidRPr="009D7F0A" w:rsidRDefault="00D147BA">
      <w:pPr>
        <w:pBdr>
          <w:top w:val="nil"/>
          <w:left w:val="nil"/>
          <w:bottom w:val="nil"/>
          <w:right w:val="nil"/>
          <w:between w:val="nil"/>
        </w:pBdr>
        <w:spacing w:before="240" w:after="240" w:line="336" w:lineRule="auto"/>
        <w:jc w:val="center"/>
        <w:rPr>
          <w:rFonts w:ascii="Palatino Linotype" w:eastAsia="Palatino Linotype" w:hAnsi="Palatino Linotype" w:cs="Palatino Linotype"/>
          <w:b/>
          <w:sz w:val="24"/>
          <w:szCs w:val="24"/>
        </w:rPr>
      </w:pPr>
      <w:r w:rsidRPr="009D7F0A">
        <w:rPr>
          <w:rFonts w:ascii="Palatino Linotype" w:eastAsia="Palatino Linotype" w:hAnsi="Palatino Linotype" w:cs="Palatino Linotype"/>
          <w:b/>
          <w:sz w:val="24"/>
          <w:szCs w:val="24"/>
        </w:rPr>
        <w:lastRenderedPageBreak/>
        <w:t>III. R E S U E L V E:</w:t>
      </w:r>
    </w:p>
    <w:p w14:paraId="243D9AC7" w14:textId="77777777" w:rsidR="00D33952" w:rsidRPr="009D7F0A" w:rsidRDefault="00D147BA">
      <w:pPr>
        <w:pBdr>
          <w:top w:val="nil"/>
          <w:left w:val="nil"/>
          <w:bottom w:val="nil"/>
          <w:right w:val="nil"/>
          <w:between w:val="nil"/>
        </w:pBdr>
        <w:tabs>
          <w:tab w:val="left" w:pos="7936"/>
        </w:tabs>
        <w:spacing w:before="240" w:after="240" w:line="360" w:lineRule="auto"/>
        <w:ind w:left="93"/>
        <w:jc w:val="both"/>
        <w:rPr>
          <w:rFonts w:ascii="Palatino Linotype" w:eastAsia="Palatino Linotype" w:hAnsi="Palatino Linotype" w:cs="Palatino Linotype"/>
          <w:sz w:val="24"/>
          <w:szCs w:val="24"/>
        </w:rPr>
      </w:pPr>
      <w:bookmarkStart w:id="5" w:name="_heading=h.3rdcrjn" w:colFirst="0" w:colLast="0"/>
      <w:bookmarkEnd w:id="5"/>
      <w:r w:rsidRPr="009D7F0A">
        <w:rPr>
          <w:rFonts w:ascii="Palatino Linotype" w:eastAsia="Palatino Linotype" w:hAnsi="Palatino Linotype" w:cs="Palatino Linotype"/>
          <w:b/>
          <w:sz w:val="24"/>
          <w:szCs w:val="24"/>
        </w:rPr>
        <w:t xml:space="preserve">Primero. </w:t>
      </w:r>
      <w:r w:rsidRPr="009D7F0A">
        <w:rPr>
          <w:rFonts w:ascii="Palatino Linotype" w:eastAsia="Palatino Linotype" w:hAnsi="Palatino Linotype" w:cs="Palatino Linotype"/>
          <w:sz w:val="24"/>
          <w:szCs w:val="24"/>
        </w:rPr>
        <w:t>Se</w:t>
      </w:r>
      <w:r w:rsidRPr="009D7F0A">
        <w:rPr>
          <w:rFonts w:ascii="Palatino Linotype" w:eastAsia="Palatino Linotype" w:hAnsi="Palatino Linotype" w:cs="Palatino Linotype"/>
          <w:b/>
          <w:sz w:val="24"/>
          <w:szCs w:val="24"/>
        </w:rPr>
        <w:t xml:space="preserve"> Sobreseen </w:t>
      </w:r>
      <w:r w:rsidRPr="009D7F0A">
        <w:rPr>
          <w:rFonts w:ascii="Palatino Linotype" w:eastAsia="Palatino Linotype" w:hAnsi="Palatino Linotype" w:cs="Palatino Linotype"/>
          <w:sz w:val="24"/>
          <w:szCs w:val="24"/>
        </w:rPr>
        <w:t xml:space="preserve">los recursos de revisión  </w:t>
      </w:r>
      <w:r w:rsidRPr="009D7F0A">
        <w:rPr>
          <w:rFonts w:ascii="Palatino Linotype" w:eastAsia="Palatino Linotype" w:hAnsi="Palatino Linotype" w:cs="Palatino Linotype"/>
          <w:b/>
          <w:sz w:val="24"/>
          <w:szCs w:val="24"/>
        </w:rPr>
        <w:t xml:space="preserve">02554/INFOEM/IP/RR/2025 </w:t>
      </w:r>
      <w:r w:rsidRPr="009D7F0A">
        <w:rPr>
          <w:rFonts w:ascii="Palatino Linotype" w:eastAsia="Palatino Linotype" w:hAnsi="Palatino Linotype" w:cs="Palatino Linotype"/>
          <w:sz w:val="24"/>
          <w:szCs w:val="24"/>
        </w:rPr>
        <w:t>y</w:t>
      </w:r>
      <w:r w:rsidRPr="009D7F0A">
        <w:rPr>
          <w:rFonts w:ascii="Palatino Linotype" w:eastAsia="Palatino Linotype" w:hAnsi="Palatino Linotype" w:cs="Palatino Linotype"/>
          <w:b/>
          <w:sz w:val="24"/>
          <w:szCs w:val="24"/>
        </w:rPr>
        <w:t xml:space="preserve"> 02555/INFOEM/IP/RR/2025, </w:t>
      </w:r>
      <w:r w:rsidRPr="009D7F0A">
        <w:rPr>
          <w:rFonts w:ascii="Palatino Linotype" w:eastAsia="Palatino Linotype" w:hAnsi="Palatino Linotype" w:cs="Palatino Linotype"/>
          <w:sz w:val="24"/>
          <w:szCs w:val="24"/>
        </w:rPr>
        <w:t>en términos del Considerando</w:t>
      </w:r>
      <w:r w:rsidRPr="009D7F0A">
        <w:rPr>
          <w:rFonts w:ascii="Palatino Linotype" w:eastAsia="Palatino Linotype" w:hAnsi="Palatino Linotype" w:cs="Palatino Linotype"/>
          <w:b/>
          <w:sz w:val="24"/>
          <w:szCs w:val="24"/>
        </w:rPr>
        <w:t xml:space="preserve"> Tercero </w:t>
      </w:r>
      <w:r w:rsidRPr="009D7F0A">
        <w:rPr>
          <w:rFonts w:ascii="Palatino Linotype" w:eastAsia="Palatino Linotype" w:hAnsi="Palatino Linotype" w:cs="Palatino Linotype"/>
          <w:sz w:val="24"/>
          <w:szCs w:val="24"/>
        </w:rPr>
        <w:t xml:space="preserve">de la presente resolución, por improcedentes, de conformidad con el artículo 192, fracción IV, en relación con la causal prevista en el artículo 191, fracción VII, ambos de la Ley de Transparencia Acceso a la Información Pública y Protección de Datos Personales del Estado de México y Municipios. </w:t>
      </w:r>
    </w:p>
    <w:p w14:paraId="6A679AE8" w14:textId="77777777" w:rsidR="00D33952" w:rsidRPr="009D7F0A" w:rsidRDefault="00D147BA">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b/>
          <w:sz w:val="24"/>
          <w:szCs w:val="24"/>
        </w:rPr>
        <w:t xml:space="preserve">Segundo. Notifíquese, </w:t>
      </w:r>
      <w:r w:rsidRPr="009D7F0A">
        <w:rPr>
          <w:rFonts w:ascii="Palatino Linotype" w:eastAsia="Palatino Linotype" w:hAnsi="Palatino Linotype" w:cs="Palatino Linotype"/>
          <w:sz w:val="24"/>
          <w:szCs w:val="24"/>
        </w:rPr>
        <w:t>vía</w:t>
      </w:r>
      <w:r w:rsidRPr="009D7F0A">
        <w:rPr>
          <w:rFonts w:ascii="Palatino Linotype" w:eastAsia="Palatino Linotype" w:hAnsi="Palatino Linotype" w:cs="Palatino Linotype"/>
          <w:b/>
          <w:sz w:val="24"/>
          <w:szCs w:val="24"/>
        </w:rPr>
        <w:t xml:space="preserve"> SAIMEX</w:t>
      </w:r>
      <w:r w:rsidRPr="009D7F0A">
        <w:rPr>
          <w:rFonts w:ascii="Palatino Linotype" w:eastAsia="Palatino Linotype" w:hAnsi="Palatino Linotype" w:cs="Palatino Linotype"/>
          <w:sz w:val="24"/>
          <w:szCs w:val="24"/>
        </w:rPr>
        <w:t xml:space="preserve"> al Titular de la Unidad de Transparencia del </w:t>
      </w:r>
      <w:r w:rsidRPr="009D7F0A">
        <w:rPr>
          <w:rFonts w:ascii="Palatino Linotype" w:eastAsia="Palatino Linotype" w:hAnsi="Palatino Linotype" w:cs="Palatino Linotype"/>
          <w:b/>
          <w:sz w:val="24"/>
          <w:szCs w:val="24"/>
        </w:rPr>
        <w:t>Sujeto Obligado</w:t>
      </w:r>
      <w:r w:rsidRPr="009D7F0A">
        <w:rPr>
          <w:rFonts w:ascii="Palatino Linotype" w:eastAsia="Palatino Linotype" w:hAnsi="Palatino Linotype" w:cs="Palatino Linotype"/>
          <w:sz w:val="24"/>
          <w:szCs w:val="24"/>
        </w:rPr>
        <w:t xml:space="preserve"> la presente resolución, para su conocimiento.</w:t>
      </w:r>
    </w:p>
    <w:p w14:paraId="23AEB596" w14:textId="77777777" w:rsidR="00D33952" w:rsidRPr="009D7F0A" w:rsidRDefault="00D147BA">
      <w:pPr>
        <w:spacing w:before="240" w:after="240" w:line="360" w:lineRule="auto"/>
        <w:jc w:val="both"/>
        <w:rPr>
          <w:rFonts w:ascii="Palatino Linotype" w:eastAsia="Palatino Linotype" w:hAnsi="Palatino Linotype" w:cs="Palatino Linotype"/>
          <w:sz w:val="24"/>
          <w:szCs w:val="24"/>
        </w:rPr>
      </w:pPr>
      <w:r w:rsidRPr="009D7F0A">
        <w:rPr>
          <w:rFonts w:ascii="Palatino Linotype" w:eastAsia="Palatino Linotype" w:hAnsi="Palatino Linotype" w:cs="Palatino Linotype"/>
          <w:b/>
          <w:sz w:val="24"/>
          <w:szCs w:val="24"/>
        </w:rPr>
        <w:t xml:space="preserve">Tercero. Notifíquese, </w:t>
      </w:r>
      <w:r w:rsidRPr="009D7F0A">
        <w:rPr>
          <w:rFonts w:ascii="Palatino Linotype" w:eastAsia="Palatino Linotype" w:hAnsi="Palatino Linotype" w:cs="Palatino Linotype"/>
          <w:sz w:val="24"/>
          <w:szCs w:val="24"/>
        </w:rPr>
        <w:t>vía</w:t>
      </w:r>
      <w:r w:rsidRPr="009D7F0A">
        <w:rPr>
          <w:rFonts w:ascii="Palatino Linotype" w:eastAsia="Palatino Linotype" w:hAnsi="Palatino Linotype" w:cs="Palatino Linotype"/>
          <w:b/>
          <w:sz w:val="24"/>
          <w:szCs w:val="24"/>
        </w:rPr>
        <w:t xml:space="preserve"> SAIMEX</w:t>
      </w:r>
      <w:r w:rsidRPr="009D7F0A">
        <w:rPr>
          <w:rFonts w:ascii="Palatino Linotype" w:eastAsia="Palatino Linotype" w:hAnsi="Palatino Linotype" w:cs="Palatino Linotype"/>
          <w:sz w:val="24"/>
          <w:szCs w:val="24"/>
        </w:rPr>
        <w:t>, a</w:t>
      </w:r>
      <w:r w:rsidRPr="009D7F0A">
        <w:rPr>
          <w:rFonts w:ascii="Palatino Linotype" w:eastAsia="Palatino Linotype" w:hAnsi="Palatino Linotype" w:cs="Palatino Linotype"/>
          <w:b/>
          <w:sz w:val="24"/>
          <w:szCs w:val="24"/>
        </w:rPr>
        <w:t xml:space="preserve"> </w:t>
      </w:r>
      <w:r w:rsidRPr="009D7F0A">
        <w:rPr>
          <w:rFonts w:ascii="Palatino Linotype" w:eastAsia="Palatino Linotype" w:hAnsi="Palatino Linotype" w:cs="Palatino Linotype"/>
          <w:sz w:val="24"/>
          <w:szCs w:val="24"/>
        </w:rPr>
        <w:t xml:space="preserve">la parte </w:t>
      </w:r>
      <w:r w:rsidRPr="009D7F0A">
        <w:rPr>
          <w:rFonts w:ascii="Palatino Linotype" w:eastAsia="Palatino Linotype" w:hAnsi="Palatino Linotype" w:cs="Palatino Linotype"/>
          <w:b/>
          <w:sz w:val="24"/>
          <w:szCs w:val="24"/>
        </w:rPr>
        <w:t>Recurrente</w:t>
      </w:r>
      <w:r w:rsidRPr="009D7F0A">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0790646" w14:textId="77777777" w:rsidR="00D33952" w:rsidRPr="00162592" w:rsidRDefault="00D147BA">
      <w:pPr>
        <w:spacing w:before="240" w:after="240" w:line="324" w:lineRule="auto"/>
        <w:jc w:val="both"/>
        <w:rPr>
          <w:rFonts w:ascii="Palatino Linotype" w:eastAsia="Palatino Linotype" w:hAnsi="Palatino Linotype" w:cs="Palatino Linotype"/>
          <w:sz w:val="24"/>
          <w:szCs w:val="24"/>
        </w:rPr>
      </w:pPr>
      <w:bookmarkStart w:id="6" w:name="_heading=h.i5retqz7iaal" w:colFirst="0" w:colLast="0"/>
      <w:bookmarkEnd w:id="6"/>
      <w:r w:rsidRPr="009D7F0A">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9D7F0A">
        <w:rPr>
          <w:rFonts w:ascii="Palatino Linotype" w:eastAsia="Palatino Linotype" w:hAnsi="Palatino Linotype" w:cs="Palatino Linotype"/>
          <w:sz w:val="24"/>
          <w:szCs w:val="24"/>
        </w:rPr>
        <w:lastRenderedPageBreak/>
        <w:t>MORALES MARTÍNEZ; LUIS GUSTAVO PARRA NORIEGA; Y GUADALUPE RAMÍREZ PEÑA; EN LA EN LA DÉCIMA SÉPTIMA SESIÓN ORDINARIA CELEBRADA EL CATORCE DE MAYO DE DOS MIL VEINTICINCO, ANTE EL SECRETARIO TÉCNICO DEL PLENO ALEXIS TAPIA RAMÍREZ.</w:t>
      </w:r>
    </w:p>
    <w:p w14:paraId="3DF2698C" w14:textId="77777777" w:rsidR="00D33952" w:rsidRPr="00162592" w:rsidRDefault="00D33952">
      <w:pPr>
        <w:tabs>
          <w:tab w:val="left" w:pos="142"/>
        </w:tabs>
        <w:rPr>
          <w:rFonts w:ascii="Palatino Linotype" w:eastAsia="Palatino Linotype" w:hAnsi="Palatino Linotype" w:cs="Palatino Linotype"/>
        </w:rPr>
      </w:pPr>
    </w:p>
    <w:p w14:paraId="17C7E998" w14:textId="77777777" w:rsidR="00D33952" w:rsidRPr="00162592" w:rsidRDefault="00D33952">
      <w:pPr>
        <w:tabs>
          <w:tab w:val="left" w:pos="142"/>
        </w:tabs>
        <w:spacing w:before="240" w:after="240" w:line="360" w:lineRule="auto"/>
        <w:jc w:val="both"/>
        <w:rPr>
          <w:rFonts w:ascii="Palatino Linotype" w:eastAsia="Palatino Linotype" w:hAnsi="Palatino Linotype" w:cs="Palatino Linotype"/>
        </w:rPr>
      </w:pPr>
      <w:bookmarkStart w:id="7" w:name="_heading=h.2et92p0" w:colFirst="0" w:colLast="0"/>
      <w:bookmarkEnd w:id="7"/>
    </w:p>
    <w:p w14:paraId="6B5920F7" w14:textId="77777777" w:rsidR="00D33952" w:rsidRPr="00162592" w:rsidRDefault="00D33952">
      <w:pPr>
        <w:spacing w:before="240" w:after="240" w:line="360" w:lineRule="auto"/>
        <w:jc w:val="both"/>
        <w:rPr>
          <w:rFonts w:ascii="Palatino Linotype" w:eastAsia="Palatino Linotype" w:hAnsi="Palatino Linotype" w:cs="Palatino Linotype"/>
        </w:rPr>
      </w:pPr>
    </w:p>
    <w:p w14:paraId="55529F23" w14:textId="77777777" w:rsidR="00D33952" w:rsidRPr="00162592" w:rsidRDefault="00D33952">
      <w:pPr>
        <w:spacing w:before="240" w:after="240" w:line="360" w:lineRule="auto"/>
        <w:jc w:val="both"/>
        <w:rPr>
          <w:rFonts w:ascii="Palatino Linotype" w:eastAsia="Palatino Linotype" w:hAnsi="Palatino Linotype" w:cs="Palatino Linotype"/>
        </w:rPr>
      </w:pPr>
    </w:p>
    <w:p w14:paraId="5DAFE1D9" w14:textId="77777777" w:rsidR="00D147BA" w:rsidRPr="00162592" w:rsidRDefault="00D147BA">
      <w:pPr>
        <w:spacing w:before="240" w:after="240" w:line="360" w:lineRule="auto"/>
        <w:jc w:val="both"/>
        <w:rPr>
          <w:rFonts w:ascii="Palatino Linotype" w:eastAsia="Palatino Linotype" w:hAnsi="Palatino Linotype" w:cs="Palatino Linotype"/>
        </w:rPr>
      </w:pPr>
    </w:p>
    <w:p w14:paraId="3F781D65" w14:textId="77777777" w:rsidR="00D147BA" w:rsidRPr="00162592" w:rsidRDefault="00D147BA">
      <w:pPr>
        <w:spacing w:before="240" w:after="240" w:line="360" w:lineRule="auto"/>
        <w:jc w:val="both"/>
        <w:rPr>
          <w:rFonts w:ascii="Palatino Linotype" w:eastAsia="Palatino Linotype" w:hAnsi="Palatino Linotype" w:cs="Palatino Linotype"/>
        </w:rPr>
      </w:pPr>
    </w:p>
    <w:p w14:paraId="7E0C842E" w14:textId="77777777" w:rsidR="00D147BA" w:rsidRPr="00162592" w:rsidRDefault="00D147BA">
      <w:pPr>
        <w:spacing w:before="240" w:after="240" w:line="360" w:lineRule="auto"/>
        <w:jc w:val="both"/>
        <w:rPr>
          <w:rFonts w:ascii="Palatino Linotype" w:eastAsia="Palatino Linotype" w:hAnsi="Palatino Linotype" w:cs="Palatino Linotype"/>
        </w:rPr>
      </w:pPr>
    </w:p>
    <w:p w14:paraId="4137C668" w14:textId="77777777" w:rsidR="00D147BA" w:rsidRPr="00162592" w:rsidRDefault="00D147BA">
      <w:pPr>
        <w:spacing w:before="240" w:after="240" w:line="360" w:lineRule="auto"/>
        <w:jc w:val="both"/>
        <w:rPr>
          <w:rFonts w:ascii="Palatino Linotype" w:eastAsia="Palatino Linotype" w:hAnsi="Palatino Linotype" w:cs="Palatino Linotype"/>
        </w:rPr>
      </w:pPr>
    </w:p>
    <w:p w14:paraId="13C35AA0" w14:textId="77777777" w:rsidR="00D147BA" w:rsidRPr="00162592" w:rsidRDefault="00D147BA">
      <w:pPr>
        <w:spacing w:before="240" w:after="240" w:line="360" w:lineRule="auto"/>
        <w:jc w:val="both"/>
        <w:rPr>
          <w:rFonts w:ascii="Palatino Linotype" w:eastAsia="Palatino Linotype" w:hAnsi="Palatino Linotype" w:cs="Palatino Linotype"/>
        </w:rPr>
      </w:pPr>
    </w:p>
    <w:p w14:paraId="4878739B" w14:textId="77777777" w:rsidR="00D147BA" w:rsidRPr="00162592" w:rsidRDefault="00D147BA">
      <w:pPr>
        <w:spacing w:before="240" w:after="240" w:line="360" w:lineRule="auto"/>
        <w:jc w:val="both"/>
        <w:rPr>
          <w:rFonts w:ascii="Palatino Linotype" w:eastAsia="Palatino Linotype" w:hAnsi="Palatino Linotype" w:cs="Palatino Linotype"/>
        </w:rPr>
      </w:pPr>
    </w:p>
    <w:p w14:paraId="4FF7E616" w14:textId="77777777" w:rsidR="00D33952" w:rsidRPr="00162592" w:rsidRDefault="00D33952">
      <w:pPr>
        <w:spacing w:before="240" w:after="240" w:line="360" w:lineRule="auto"/>
        <w:jc w:val="both"/>
        <w:rPr>
          <w:rFonts w:ascii="Palatino Linotype" w:eastAsia="Palatino Linotype" w:hAnsi="Palatino Linotype" w:cs="Palatino Linotype"/>
        </w:rPr>
      </w:pPr>
    </w:p>
    <w:p w14:paraId="7442BF98" w14:textId="77777777" w:rsidR="00D33952" w:rsidRPr="00162592" w:rsidRDefault="00D33952">
      <w:pPr>
        <w:spacing w:before="240" w:after="240" w:line="360" w:lineRule="auto"/>
        <w:jc w:val="both"/>
        <w:rPr>
          <w:rFonts w:ascii="Palatino Linotype" w:eastAsia="Palatino Linotype" w:hAnsi="Palatino Linotype" w:cs="Palatino Linotype"/>
        </w:rPr>
      </w:pPr>
    </w:p>
    <w:p w14:paraId="3FBD0FBF" w14:textId="77777777" w:rsidR="00D33952" w:rsidRPr="00162592" w:rsidRDefault="00D33952">
      <w:pPr>
        <w:spacing w:before="240" w:after="240" w:line="360" w:lineRule="auto"/>
        <w:jc w:val="both"/>
        <w:rPr>
          <w:rFonts w:ascii="Palatino Linotype" w:eastAsia="Palatino Linotype" w:hAnsi="Palatino Linotype" w:cs="Palatino Linotype"/>
        </w:rPr>
      </w:pPr>
    </w:p>
    <w:p w14:paraId="5311F105" w14:textId="77777777" w:rsidR="00D33952" w:rsidRPr="00162592" w:rsidRDefault="00D33952">
      <w:pPr>
        <w:spacing w:before="240" w:after="240" w:line="360" w:lineRule="auto"/>
        <w:jc w:val="both"/>
        <w:rPr>
          <w:rFonts w:ascii="Palatino Linotype" w:eastAsia="Palatino Linotype" w:hAnsi="Palatino Linotype" w:cs="Palatino Linotype"/>
        </w:rPr>
      </w:pPr>
    </w:p>
    <w:sectPr w:rsidR="00D33952" w:rsidRPr="00162592">
      <w:headerReference w:type="default" r:id="rId8"/>
      <w:footerReference w:type="default" r:id="rId9"/>
      <w:headerReference w:type="first" r:id="rId10"/>
      <w:pgSz w:w="12240" w:h="15840"/>
      <w:pgMar w:top="1417" w:right="1701" w:bottom="1276"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63A86" w14:textId="77777777" w:rsidR="003E2442" w:rsidRDefault="003E2442">
      <w:pPr>
        <w:spacing w:after="0" w:line="240" w:lineRule="auto"/>
      </w:pPr>
      <w:r>
        <w:separator/>
      </w:r>
    </w:p>
  </w:endnote>
  <w:endnote w:type="continuationSeparator" w:id="0">
    <w:p w14:paraId="0CD2A0F4" w14:textId="77777777" w:rsidR="003E2442" w:rsidRDefault="003E2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DD0A" w14:textId="77777777" w:rsidR="00D33952" w:rsidRDefault="00D147BA">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C5A48">
      <w:rPr>
        <w:rFonts w:ascii="Arial" w:eastAsia="Arial" w:hAnsi="Arial" w:cs="Arial"/>
        <w:b/>
        <w:noProof/>
        <w:color w:val="000000"/>
        <w:sz w:val="20"/>
        <w:szCs w:val="20"/>
      </w:rPr>
      <w:t>31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C5A48">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4F93B68D" w14:textId="77777777" w:rsidR="00D33952" w:rsidRDefault="00D3395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9681" w14:textId="77777777" w:rsidR="003E2442" w:rsidRDefault="003E2442">
      <w:pPr>
        <w:spacing w:after="0" w:line="240" w:lineRule="auto"/>
      </w:pPr>
      <w:r>
        <w:separator/>
      </w:r>
    </w:p>
  </w:footnote>
  <w:footnote w:type="continuationSeparator" w:id="0">
    <w:p w14:paraId="184045F9" w14:textId="77777777" w:rsidR="003E2442" w:rsidRDefault="003E2442">
      <w:pPr>
        <w:spacing w:after="0" w:line="240" w:lineRule="auto"/>
      </w:pPr>
      <w:r>
        <w:continuationSeparator/>
      </w:r>
    </w:p>
  </w:footnote>
  <w:footnote w:id="1">
    <w:p w14:paraId="367C5CA1" w14:textId="77777777" w:rsidR="00D33952" w:rsidRDefault="00D147B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“DESISTIMIENTO DE LA DEMANDA DE AMPARO. CORRESPONDE PROVEER RESPECTO DE ÉL AL JUEZ DE DISTRITO CUANDO SE PLANTEA ESTANDO PENDIENTE LA RESOLUCIÓN DEL RECURSO DE REVISIÓN Y ÉSTE SE DESECHA. El </w:t>
      </w:r>
      <w:proofErr w:type="spellStart"/>
      <w:r>
        <w:rPr>
          <w:rFonts w:ascii="Palatino Linotype" w:eastAsia="Palatino Linotype" w:hAnsi="Palatino Linotype" w:cs="Palatino Linotype"/>
          <w:color w:val="000000"/>
          <w:sz w:val="16"/>
          <w:szCs w:val="16"/>
        </w:rPr>
        <w:t>desechamiento</w:t>
      </w:r>
      <w:proofErr w:type="spellEnd"/>
      <w:r>
        <w:rPr>
          <w:rFonts w:ascii="Palatino Linotype" w:eastAsia="Palatino Linotype" w:hAnsi="Palatino Linotype" w:cs="Palatino Linotype"/>
          <w:color w:val="000000"/>
          <w:sz w:val="16"/>
          <w:szCs w:val="16"/>
        </w:rPr>
        <w:t xml:space="preserve">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footnote>
  <w:footnote w:id="2">
    <w:p w14:paraId="5BFA6175" w14:textId="77777777" w:rsidR="00D33952" w:rsidRDefault="00D147BA">
      <w:pPr>
        <w:pBdr>
          <w:top w:val="nil"/>
          <w:left w:val="nil"/>
          <w:bottom w:val="nil"/>
          <w:right w:val="nil"/>
          <w:between w:val="nil"/>
        </w:pBdr>
        <w:jc w:val="both"/>
        <w:rPr>
          <w:rFonts w:ascii="Palatino Linotype" w:eastAsia="Palatino Linotype" w:hAnsi="Palatino Linotype" w:cs="Palatino Linotype"/>
          <w:color w:val="000000"/>
          <w:sz w:val="14"/>
          <w:szCs w:val="14"/>
        </w:rPr>
      </w:pPr>
      <w:r>
        <w:rPr>
          <w:vertAlign w:val="superscript"/>
        </w:rPr>
        <w:footnoteRef/>
      </w:r>
      <w:r>
        <w:rPr>
          <w:rFonts w:ascii="Palatino Linotype" w:eastAsia="Palatino Linotype" w:hAnsi="Palatino Linotype" w:cs="Palatino Linotype"/>
          <w:color w:val="000000"/>
          <w:sz w:val="14"/>
          <w:szCs w:val="14"/>
        </w:rPr>
        <w:t xml:space="preserve"> </w:t>
      </w:r>
      <w:r>
        <w:rPr>
          <w:rFonts w:ascii="Palatino Linotype" w:eastAsia="Palatino Linotype" w:hAnsi="Palatino Linotype" w:cs="Palatino Linotype"/>
          <w:b/>
          <w:color w:val="000000"/>
          <w:sz w:val="14"/>
          <w:szCs w:val="14"/>
        </w:rPr>
        <w:t>Cuerpo de tesis:</w:t>
      </w:r>
      <w:r>
        <w:rPr>
          <w:rFonts w:ascii="Palatino Linotype" w:eastAsia="Palatino Linotype" w:hAnsi="Palatino Linotype" w:cs="Palatino Linotype"/>
          <w:color w:val="000000"/>
          <w:sz w:val="14"/>
          <w:szCs w:val="14"/>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2F79B599" w14:textId="77777777" w:rsidR="00D33952" w:rsidRDefault="00D147BA">
      <w:pPr>
        <w:pBdr>
          <w:top w:val="nil"/>
          <w:left w:val="nil"/>
          <w:bottom w:val="nil"/>
          <w:right w:val="nil"/>
          <w:between w:val="nil"/>
        </w:pBdr>
        <w:jc w:val="both"/>
        <w:rPr>
          <w:rFonts w:ascii="Palatino Linotype" w:eastAsia="Palatino Linotype" w:hAnsi="Palatino Linotype" w:cs="Palatino Linotype"/>
          <w:color w:val="000000"/>
          <w:sz w:val="14"/>
          <w:szCs w:val="14"/>
        </w:rPr>
      </w:pPr>
      <w:r>
        <w:rPr>
          <w:rFonts w:ascii="Palatino Linotype" w:eastAsia="Palatino Linotype" w:hAnsi="Palatino Linotype" w:cs="Palatino Linotype"/>
          <w:b/>
          <w:color w:val="000000"/>
          <w:sz w:val="14"/>
          <w:szCs w:val="14"/>
        </w:rPr>
        <w:t>Localización</w:t>
      </w:r>
      <w:r>
        <w:rPr>
          <w:rFonts w:ascii="Palatino Linotype" w:eastAsia="Palatino Linotype" w:hAnsi="Palatino Linotype" w:cs="Palatino Linotype"/>
          <w:color w:val="000000"/>
          <w:sz w:val="14"/>
          <w:szCs w:val="14"/>
        </w:rPr>
        <w:t>: 2</w:t>
      </w:r>
      <w:r>
        <w:rPr>
          <w:rFonts w:ascii="Palatino Linotype" w:eastAsia="Palatino Linotype" w:hAnsi="Palatino Linotype" w:cs="Palatino Linotype"/>
          <w:color w:val="000000"/>
          <w:sz w:val="14"/>
          <w:szCs w:val="14"/>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FB95" w14:textId="77777777" w:rsidR="00D33952" w:rsidRDefault="00D147BA">
    <w:pPr>
      <w:widowControl w:val="0"/>
      <w:pBdr>
        <w:top w:val="nil"/>
        <w:left w:val="nil"/>
        <w:bottom w:val="nil"/>
        <w:right w:val="nil"/>
        <w:between w:val="nil"/>
      </w:pBdr>
      <w:spacing w:line="276" w:lineRule="auto"/>
      <w:rPr>
        <w:color w:val="000000"/>
      </w:rPr>
    </w:pPr>
    <w:r>
      <w:rPr>
        <w:noProof/>
      </w:rPr>
      <w:drawing>
        <wp:anchor distT="0" distB="0" distL="0" distR="0" simplePos="0" relativeHeight="251658240" behindDoc="1" locked="0" layoutInCell="1" hidden="0" allowOverlap="1" wp14:anchorId="5E19BF95" wp14:editId="1CD79B63">
          <wp:simplePos x="0" y="0"/>
          <wp:positionH relativeFrom="column">
            <wp:posOffset>-1080129</wp:posOffset>
          </wp:positionH>
          <wp:positionV relativeFrom="paragraph">
            <wp:posOffset>-48253</wp:posOffset>
          </wp:positionV>
          <wp:extent cx="7635240" cy="9942830"/>
          <wp:effectExtent l="0" t="0" r="0" b="0"/>
          <wp:wrapNone/>
          <wp:docPr id="5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fffff8"/>
      <w:tblW w:w="5812" w:type="dxa"/>
      <w:tblInd w:w="3119" w:type="dxa"/>
      <w:tblLayout w:type="fixed"/>
      <w:tblLook w:val="0400" w:firstRow="0" w:lastRow="0" w:firstColumn="0" w:lastColumn="0" w:noHBand="0" w:noVBand="1"/>
    </w:tblPr>
    <w:tblGrid>
      <w:gridCol w:w="2694"/>
      <w:gridCol w:w="3118"/>
    </w:tblGrid>
    <w:tr w:rsidR="00D33952" w14:paraId="0DF6F40E" w14:textId="77777777">
      <w:tc>
        <w:tcPr>
          <w:tcW w:w="2694" w:type="dxa"/>
          <w:vAlign w:val="center"/>
        </w:tcPr>
        <w:p w14:paraId="428E29F1" w14:textId="77777777" w:rsidR="00D33952" w:rsidRDefault="00D147BA">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118" w:type="dxa"/>
          <w:vAlign w:val="center"/>
        </w:tcPr>
        <w:p w14:paraId="62EBDFD6" w14:textId="77777777" w:rsidR="00D33952" w:rsidRDefault="00D147BA">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02554/INFOEM/IP/RR/2025 y acumulado</w:t>
          </w:r>
        </w:p>
      </w:tc>
    </w:tr>
    <w:tr w:rsidR="00D33952" w14:paraId="17F62B51" w14:textId="77777777">
      <w:trPr>
        <w:trHeight w:val="228"/>
      </w:trPr>
      <w:tc>
        <w:tcPr>
          <w:tcW w:w="2694" w:type="dxa"/>
          <w:vAlign w:val="center"/>
        </w:tcPr>
        <w:p w14:paraId="55FD725C" w14:textId="77777777" w:rsidR="00D33952" w:rsidRDefault="00D147BA">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118" w:type="dxa"/>
          <w:vAlign w:val="center"/>
        </w:tcPr>
        <w:p w14:paraId="771912E1" w14:textId="77777777" w:rsidR="00D33952" w:rsidRDefault="00D147BA">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Descentralizado para la Prestación de Los Servicios de Agua Potable Alcantarillado y Saneamiento del Municipio de Tlalnepantla de Baz</w:t>
          </w:r>
        </w:p>
      </w:tc>
    </w:tr>
    <w:tr w:rsidR="00D33952" w14:paraId="616399F6" w14:textId="77777777">
      <w:tc>
        <w:tcPr>
          <w:tcW w:w="2694" w:type="dxa"/>
          <w:vAlign w:val="center"/>
        </w:tcPr>
        <w:p w14:paraId="59E8735A" w14:textId="77777777" w:rsidR="00D33952" w:rsidRDefault="00D147BA">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118" w:type="dxa"/>
          <w:vAlign w:val="center"/>
        </w:tcPr>
        <w:p w14:paraId="459E34FD" w14:textId="77777777" w:rsidR="00D33952" w:rsidRDefault="00D147BA">
          <w:pPr>
            <w:spacing w:after="0" w:line="240" w:lineRule="auto"/>
            <w:ind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45165A38" w14:textId="77777777" w:rsidR="00D33952" w:rsidRDefault="00D33952">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2D72" w14:textId="77777777" w:rsidR="00D33952" w:rsidRDefault="00D147B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670D9CB" wp14:editId="025FF666">
          <wp:simplePos x="0" y="0"/>
          <wp:positionH relativeFrom="column">
            <wp:posOffset>-1102354</wp:posOffset>
          </wp:positionH>
          <wp:positionV relativeFrom="paragraph">
            <wp:posOffset>100330</wp:posOffset>
          </wp:positionV>
          <wp:extent cx="7635240" cy="9942830"/>
          <wp:effectExtent l="0" t="0" r="0" b="0"/>
          <wp:wrapNone/>
          <wp:docPr id="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fffff9"/>
      <w:tblW w:w="5953" w:type="dxa"/>
      <w:tblInd w:w="3119" w:type="dxa"/>
      <w:tblLayout w:type="fixed"/>
      <w:tblLook w:val="0400" w:firstRow="0" w:lastRow="0" w:firstColumn="0" w:lastColumn="0" w:noHBand="0" w:noVBand="1"/>
    </w:tblPr>
    <w:tblGrid>
      <w:gridCol w:w="2551"/>
      <w:gridCol w:w="3402"/>
    </w:tblGrid>
    <w:tr w:rsidR="00D33952" w14:paraId="49D3F11A" w14:textId="77777777">
      <w:tc>
        <w:tcPr>
          <w:tcW w:w="2551" w:type="dxa"/>
          <w:vAlign w:val="center"/>
        </w:tcPr>
        <w:p w14:paraId="32E35059" w14:textId="77777777" w:rsidR="00D33952" w:rsidRDefault="00D147BA">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vAlign w:val="center"/>
        </w:tcPr>
        <w:p w14:paraId="558E2951" w14:textId="77777777" w:rsidR="00D33952" w:rsidRDefault="00D147BA">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02554/INFOEM/IP/RR/2025 y acumulado</w:t>
          </w:r>
        </w:p>
      </w:tc>
    </w:tr>
    <w:tr w:rsidR="00D33952" w14:paraId="0B27CF14" w14:textId="77777777">
      <w:tc>
        <w:tcPr>
          <w:tcW w:w="2551" w:type="dxa"/>
          <w:vAlign w:val="center"/>
        </w:tcPr>
        <w:p w14:paraId="62D542C4" w14:textId="77777777" w:rsidR="00D33952" w:rsidRDefault="00D147BA">
          <w:pPr>
            <w:spacing w:after="0" w:line="240" w:lineRule="auto"/>
            <w:ind w:left="35" w:hanging="35"/>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2" w:type="dxa"/>
          <w:vAlign w:val="center"/>
        </w:tcPr>
        <w:p w14:paraId="2A6F4E9E" w14:textId="61314034" w:rsidR="00D33952" w:rsidRDefault="00FD7545">
          <w:pPr>
            <w:spacing w:after="0" w:line="240" w:lineRule="auto"/>
            <w:ind w:left="-45"/>
            <w:jc w:val="both"/>
            <w:rPr>
              <w:rFonts w:ascii="Palatino Linotype" w:eastAsia="Palatino Linotype" w:hAnsi="Palatino Linotype" w:cs="Palatino Linotype"/>
              <w:b/>
            </w:rPr>
          </w:pPr>
          <w:r>
            <w:rPr>
              <w:rFonts w:ascii="Palatino Linotype" w:eastAsia="Palatino Linotype" w:hAnsi="Palatino Linotype" w:cs="Palatino Linotype"/>
              <w:b/>
            </w:rPr>
            <w:t xml:space="preserve">XXXX XXXXXXX XXXXXX </w:t>
          </w:r>
        </w:p>
      </w:tc>
    </w:tr>
    <w:tr w:rsidR="00D33952" w14:paraId="78BBFF77" w14:textId="77777777">
      <w:trPr>
        <w:trHeight w:val="228"/>
      </w:trPr>
      <w:tc>
        <w:tcPr>
          <w:tcW w:w="2551" w:type="dxa"/>
          <w:vAlign w:val="center"/>
        </w:tcPr>
        <w:p w14:paraId="113FF747" w14:textId="77777777" w:rsidR="00D33952" w:rsidRDefault="00D147BA">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vAlign w:val="center"/>
        </w:tcPr>
        <w:p w14:paraId="5DFE1D6E" w14:textId="77777777" w:rsidR="00D33952" w:rsidRDefault="00D147BA">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Descentralizado para la Prestación de Los Servicios de Agua Potable Alcantarillado y Saneamiento del Municipio de Tlalnepantla de Baz</w:t>
          </w:r>
        </w:p>
      </w:tc>
    </w:tr>
    <w:tr w:rsidR="00D33952" w14:paraId="54DE15C0" w14:textId="77777777">
      <w:tc>
        <w:tcPr>
          <w:tcW w:w="2551" w:type="dxa"/>
          <w:vAlign w:val="center"/>
        </w:tcPr>
        <w:p w14:paraId="5F4477C2" w14:textId="77777777" w:rsidR="00D33952" w:rsidRDefault="00D147BA">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vAlign w:val="center"/>
        </w:tcPr>
        <w:p w14:paraId="60B32D4F" w14:textId="77777777" w:rsidR="00D33952" w:rsidRDefault="00D147BA">
          <w:pPr>
            <w:spacing w:after="0" w:line="240" w:lineRule="auto"/>
            <w:ind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6F54FB9" w14:textId="77777777" w:rsidR="00D33952" w:rsidRDefault="00D33952">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866CE"/>
    <w:multiLevelType w:val="multilevel"/>
    <w:tmpl w:val="7EF4B4FA"/>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52"/>
    <w:rsid w:val="00124280"/>
    <w:rsid w:val="00162592"/>
    <w:rsid w:val="003E2442"/>
    <w:rsid w:val="009D7F0A"/>
    <w:rsid w:val="00BC5A48"/>
    <w:rsid w:val="00C9088D"/>
    <w:rsid w:val="00D147BA"/>
    <w:rsid w:val="00D33952"/>
    <w:rsid w:val="00FD75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24B2"/>
  <w15:docId w15:val="{FF88F6BC-910B-4C9B-9B0E-5636CC8D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9E2"/>
  </w:style>
  <w:style w:type="paragraph" w:styleId="Ttulo1">
    <w:name w:val="heading 1"/>
    <w:basedOn w:val="Normal"/>
    <w:next w:val="Normal"/>
    <w:link w:val="Ttulo1Car"/>
    <w:uiPriority w:val="9"/>
    <w:qFormat/>
    <w:rsid w:val="000009E2"/>
    <w:pPr>
      <w:keepNext/>
      <w:keepLines/>
      <w:spacing w:before="400" w:after="40" w:line="240" w:lineRule="auto"/>
      <w:outlineLvl w:val="0"/>
    </w:pPr>
    <w:rPr>
      <w:rFonts w:asciiTheme="majorHAnsi" w:eastAsiaTheme="majorEastAsia" w:hAnsiTheme="majorHAnsi" w:cstheme="majorBidi"/>
      <w:caps/>
      <w:sz w:val="36"/>
      <w:szCs w:val="36"/>
    </w:rPr>
  </w:style>
  <w:style w:type="paragraph" w:styleId="Ttulo2">
    <w:name w:val="heading 2"/>
    <w:basedOn w:val="Normal"/>
    <w:next w:val="Normal"/>
    <w:link w:val="Ttulo2Car"/>
    <w:uiPriority w:val="9"/>
    <w:semiHidden/>
    <w:unhideWhenUsed/>
    <w:qFormat/>
    <w:rsid w:val="000009E2"/>
    <w:pPr>
      <w:keepNext/>
      <w:keepLines/>
      <w:spacing w:before="120" w:after="0" w:line="240" w:lineRule="auto"/>
      <w:outlineLvl w:val="1"/>
    </w:pPr>
    <w:rPr>
      <w:rFonts w:asciiTheme="majorHAnsi" w:eastAsiaTheme="majorEastAsia" w:hAnsiTheme="majorHAnsi" w:cstheme="majorBidi"/>
      <w:caps/>
      <w:sz w:val="28"/>
      <w:szCs w:val="28"/>
    </w:rPr>
  </w:style>
  <w:style w:type="paragraph" w:styleId="Ttulo3">
    <w:name w:val="heading 3"/>
    <w:basedOn w:val="Normal"/>
    <w:next w:val="Normal"/>
    <w:link w:val="Ttulo3Car"/>
    <w:uiPriority w:val="9"/>
    <w:semiHidden/>
    <w:unhideWhenUsed/>
    <w:qFormat/>
    <w:rsid w:val="000009E2"/>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tulo4">
    <w:name w:val="heading 4"/>
    <w:basedOn w:val="Normal"/>
    <w:next w:val="Normal"/>
    <w:link w:val="Ttulo4Car"/>
    <w:uiPriority w:val="9"/>
    <w:semiHidden/>
    <w:unhideWhenUsed/>
    <w:qFormat/>
    <w:rsid w:val="000009E2"/>
    <w:pPr>
      <w:keepNext/>
      <w:keepLines/>
      <w:spacing w:before="120" w:after="0"/>
      <w:outlineLvl w:val="3"/>
    </w:pPr>
    <w:rPr>
      <w:rFonts w:asciiTheme="majorHAnsi" w:eastAsiaTheme="majorEastAsia" w:hAnsiTheme="majorHAnsi" w:cstheme="majorBidi"/>
      <w:caps/>
    </w:rPr>
  </w:style>
  <w:style w:type="paragraph" w:styleId="Ttulo5">
    <w:name w:val="heading 5"/>
    <w:basedOn w:val="Normal"/>
    <w:next w:val="Normal"/>
    <w:link w:val="Ttulo5Car"/>
    <w:uiPriority w:val="9"/>
    <w:semiHidden/>
    <w:unhideWhenUsed/>
    <w:qFormat/>
    <w:rsid w:val="000009E2"/>
    <w:pPr>
      <w:keepNext/>
      <w:keepLines/>
      <w:spacing w:before="120" w:after="0"/>
      <w:outlineLvl w:val="4"/>
    </w:pPr>
    <w:rPr>
      <w:rFonts w:asciiTheme="majorHAnsi" w:eastAsiaTheme="majorEastAsia" w:hAnsiTheme="majorHAnsi" w:cstheme="majorBidi"/>
      <w:i/>
      <w:iCs/>
      <w:caps/>
    </w:rPr>
  </w:style>
  <w:style w:type="paragraph" w:styleId="Ttulo6">
    <w:name w:val="heading 6"/>
    <w:basedOn w:val="Normal"/>
    <w:next w:val="Normal"/>
    <w:link w:val="Ttulo6Car"/>
    <w:uiPriority w:val="9"/>
    <w:semiHidden/>
    <w:unhideWhenUsed/>
    <w:qFormat/>
    <w:rsid w:val="000009E2"/>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tulo7">
    <w:name w:val="heading 7"/>
    <w:basedOn w:val="Normal"/>
    <w:next w:val="Normal"/>
    <w:link w:val="Ttulo7Car"/>
    <w:uiPriority w:val="9"/>
    <w:semiHidden/>
    <w:unhideWhenUsed/>
    <w:qFormat/>
    <w:rsid w:val="000009E2"/>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tulo8">
    <w:name w:val="heading 8"/>
    <w:basedOn w:val="Normal"/>
    <w:next w:val="Normal"/>
    <w:link w:val="Ttulo8Car"/>
    <w:uiPriority w:val="9"/>
    <w:semiHidden/>
    <w:unhideWhenUsed/>
    <w:qFormat/>
    <w:rsid w:val="000009E2"/>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tulo9">
    <w:name w:val="heading 9"/>
    <w:basedOn w:val="Normal"/>
    <w:next w:val="Normal"/>
    <w:link w:val="Ttulo9Car"/>
    <w:uiPriority w:val="9"/>
    <w:semiHidden/>
    <w:unhideWhenUsed/>
    <w:qFormat/>
    <w:rsid w:val="000009E2"/>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0009E2"/>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21CDF"/>
    <w:pPr>
      <w:tabs>
        <w:tab w:val="center" w:pos="4419"/>
        <w:tab w:val="right" w:pos="8838"/>
      </w:tabs>
    </w:pPr>
    <w:rPr>
      <w:rFonts w:eastAsiaTheme="minorHAnsi"/>
      <w:lang w:eastAsia="en-US"/>
    </w:rPr>
  </w:style>
  <w:style w:type="character" w:customStyle="1" w:styleId="EncabezadoCar">
    <w:name w:val="Encabezado Car"/>
    <w:basedOn w:val="Fuentedeprrafopredeter"/>
    <w:link w:val="Encabezado"/>
    <w:uiPriority w:val="99"/>
    <w:rsid w:val="00521CDF"/>
  </w:style>
  <w:style w:type="paragraph" w:styleId="Piedepgina">
    <w:name w:val="footer"/>
    <w:basedOn w:val="Normal"/>
    <w:link w:val="PiedepginaCar"/>
    <w:uiPriority w:val="99"/>
    <w:unhideWhenUsed/>
    <w:rsid w:val="00521CDF"/>
    <w:pPr>
      <w:tabs>
        <w:tab w:val="center" w:pos="4419"/>
        <w:tab w:val="right" w:pos="8838"/>
      </w:tabs>
    </w:pPr>
    <w:rPr>
      <w:rFonts w:eastAsiaTheme="minorHAnsi"/>
      <w:lang w:eastAsia="en-US"/>
    </w:rPr>
  </w:style>
  <w:style w:type="character" w:customStyle="1" w:styleId="PiedepginaCar">
    <w:name w:val="Pie de página Car"/>
    <w:basedOn w:val="Fuentedeprrafopredeter"/>
    <w:link w:val="Piedepgina"/>
    <w:uiPriority w:val="99"/>
    <w:rsid w:val="00521CDF"/>
  </w:style>
  <w:style w:type="character" w:styleId="Hipervnculo">
    <w:name w:val="Hyperlink"/>
    <w:aliases w:val="Hipervínculo1,Hipervínculo11,Hipervínculo12,Hipervínculo13,Hipervínculo14,Hipervínculo15"/>
    <w:basedOn w:val="Fuentedeprrafopredeter"/>
    <w:uiPriority w:val="99"/>
    <w:unhideWhenUsed/>
    <w:rsid w:val="003C6D6D"/>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E1566"/>
    <w:pPr>
      <w:ind w:left="720"/>
      <w:contextualSpacing/>
    </w:pPr>
  </w:style>
  <w:style w:type="paragraph" w:styleId="Listaconvietas">
    <w:name w:val="List Bullet"/>
    <w:basedOn w:val="Normal"/>
    <w:uiPriority w:val="99"/>
    <w:unhideWhenUsed/>
    <w:rsid w:val="00400151"/>
    <w:pPr>
      <w:numPr>
        <w:numId w:val="1"/>
      </w:numPr>
      <w:contextualSpacing/>
    </w:pPr>
    <w:rPr>
      <w:lang w:eastAsia="es-ES"/>
    </w:rPr>
  </w:style>
  <w:style w:type="paragraph" w:styleId="Textodeglobo">
    <w:name w:val="Balloon Text"/>
    <w:basedOn w:val="Normal"/>
    <w:link w:val="TextodegloboCar"/>
    <w:uiPriority w:val="99"/>
    <w:semiHidden/>
    <w:unhideWhenUsed/>
    <w:rsid w:val="00617A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7A03"/>
    <w:rPr>
      <w:rFonts w:ascii="Segoe UI" w:eastAsia="Calibri" w:hAnsi="Segoe UI" w:cs="Segoe UI"/>
      <w:sz w:val="18"/>
      <w:szCs w:val="18"/>
      <w:lang w:eastAsia="es-MX"/>
    </w:rPr>
  </w:style>
  <w:style w:type="table" w:styleId="Tablaconcuadrcula">
    <w:name w:val="Table Grid"/>
    <w:basedOn w:val="Tablanormal"/>
    <w:uiPriority w:val="39"/>
    <w:rsid w:val="00A47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rPr>
      <w:smallCaps/>
      <w:color w:val="595959"/>
      <w:sz w:val="28"/>
      <w:szCs w:val="28"/>
    </w:rPr>
  </w:style>
  <w:style w:type="table" w:customStyle="1" w:styleId="a">
    <w:basedOn w:val="TableNormalc"/>
    <w:tblPr>
      <w:tblStyleRowBandSize w:val="1"/>
      <w:tblStyleColBandSize w:val="1"/>
      <w:tblCellMar>
        <w:left w:w="115" w:type="dxa"/>
        <w:right w:w="115" w:type="dxa"/>
      </w:tblCellMar>
    </w:tblPr>
  </w:style>
  <w:style w:type="table" w:customStyle="1" w:styleId="a0">
    <w:basedOn w:val="TableNormalc"/>
    <w:tblPr>
      <w:tblStyleRowBandSize w:val="1"/>
      <w:tblStyleColBandSize w:val="1"/>
      <w:tblCellMar>
        <w:left w:w="115" w:type="dxa"/>
        <w:right w:w="115" w:type="dxa"/>
      </w:tblCellMar>
    </w:tblPr>
  </w:style>
  <w:style w:type="table" w:customStyle="1" w:styleId="a1">
    <w:basedOn w:val="TableNormalc"/>
    <w:tblPr>
      <w:tblStyleRowBandSize w:val="1"/>
      <w:tblStyleColBandSize w:val="1"/>
      <w:tblCellMar>
        <w:left w:w="115" w:type="dxa"/>
        <w:right w:w="115" w:type="dxa"/>
      </w:tblCellMar>
    </w:tblPr>
  </w:style>
  <w:style w:type="table" w:customStyle="1" w:styleId="a2">
    <w:basedOn w:val="TableNormalc"/>
    <w:tblPr>
      <w:tblStyleRowBandSize w:val="1"/>
      <w:tblStyleColBandSize w:val="1"/>
      <w:tblCellMar>
        <w:left w:w="115" w:type="dxa"/>
        <w:right w:w="115" w:type="dxa"/>
      </w:tblCellMar>
    </w:tblPr>
  </w:style>
  <w:style w:type="table" w:customStyle="1" w:styleId="a3">
    <w:basedOn w:val="TableNormalc"/>
    <w:tblPr>
      <w:tblStyleRowBandSize w:val="1"/>
      <w:tblStyleColBandSize w:val="1"/>
      <w:tblCellMar>
        <w:left w:w="115" w:type="dxa"/>
        <w:right w:w="115" w:type="dxa"/>
      </w:tblCellMar>
    </w:tblPr>
  </w:style>
  <w:style w:type="table" w:customStyle="1" w:styleId="a4">
    <w:basedOn w:val="TableNormalc"/>
    <w:tblPr>
      <w:tblStyleRowBandSize w:val="1"/>
      <w:tblStyleColBandSize w:val="1"/>
      <w:tblCellMar>
        <w:left w:w="115" w:type="dxa"/>
        <w:right w:w="115" w:type="dxa"/>
      </w:tblCellMar>
    </w:tblPr>
  </w:style>
  <w:style w:type="table" w:customStyle="1" w:styleId="a5">
    <w:basedOn w:val="TableNormalc"/>
    <w:tblPr>
      <w:tblStyleRowBandSize w:val="1"/>
      <w:tblStyleColBandSize w:val="1"/>
      <w:tblCellMar>
        <w:left w:w="115" w:type="dxa"/>
        <w:right w:w="115" w:type="dxa"/>
      </w:tblCellMar>
    </w:tblPr>
  </w:style>
  <w:style w:type="table" w:customStyle="1" w:styleId="a6">
    <w:basedOn w:val="TableNormalc"/>
    <w:tblPr>
      <w:tblStyleRowBandSize w:val="1"/>
      <w:tblStyleColBandSize w:val="1"/>
      <w:tblCellMar>
        <w:left w:w="115" w:type="dxa"/>
        <w:right w:w="115" w:type="dxa"/>
      </w:tblCellMar>
    </w:tblPr>
  </w:style>
  <w:style w:type="table" w:customStyle="1" w:styleId="a7">
    <w:basedOn w:val="TableNormalc"/>
    <w:tblPr>
      <w:tblStyleRowBandSize w:val="1"/>
      <w:tblStyleColBandSize w:val="1"/>
      <w:tblCellMar>
        <w:left w:w="115" w:type="dxa"/>
        <w:right w:w="115" w:type="dxa"/>
      </w:tblCellMar>
    </w:tblPr>
  </w:style>
  <w:style w:type="table" w:customStyle="1" w:styleId="a8">
    <w:basedOn w:val="TableNormalc"/>
    <w:tblPr>
      <w:tblStyleRowBandSize w:val="1"/>
      <w:tblStyleColBandSize w:val="1"/>
      <w:tblCellMar>
        <w:left w:w="108" w:type="dxa"/>
        <w:right w:w="108" w:type="dxa"/>
      </w:tblCellMar>
    </w:tblPr>
  </w:style>
  <w:style w:type="table" w:customStyle="1" w:styleId="a9">
    <w:basedOn w:val="TableNormalc"/>
    <w:tblPr>
      <w:tblStyleRowBandSize w:val="1"/>
      <w:tblStyleColBandSize w:val="1"/>
      <w:tblCellMar>
        <w:left w:w="115" w:type="dxa"/>
        <w:right w:w="115" w:type="dxa"/>
      </w:tblCellMar>
    </w:tblPr>
  </w:style>
  <w:style w:type="table" w:customStyle="1" w:styleId="aa">
    <w:basedOn w:val="TableNormalc"/>
    <w:tblPr>
      <w:tblStyleRowBandSize w:val="1"/>
      <w:tblStyleColBandSize w:val="1"/>
      <w:tblCellMar>
        <w:left w:w="115" w:type="dxa"/>
        <w:right w:w="115" w:type="dxa"/>
      </w:tblCellMar>
    </w:tblPr>
  </w:style>
  <w:style w:type="table" w:customStyle="1" w:styleId="ab">
    <w:basedOn w:val="TableNormalc"/>
    <w:tblPr>
      <w:tblStyleRowBandSize w:val="1"/>
      <w:tblStyleColBandSize w:val="1"/>
      <w:tblCellMar>
        <w:left w:w="115" w:type="dxa"/>
        <w:right w:w="115" w:type="dxa"/>
      </w:tblCellMar>
    </w:tblPr>
  </w:style>
  <w:style w:type="table" w:customStyle="1" w:styleId="ac">
    <w:basedOn w:val="TableNormalc"/>
    <w:tblPr>
      <w:tblStyleRowBandSize w:val="1"/>
      <w:tblStyleColBandSize w:val="1"/>
      <w:tblCellMar>
        <w:left w:w="115" w:type="dxa"/>
        <w:right w:w="115" w:type="dxa"/>
      </w:tblCellMar>
    </w:tblPr>
  </w:style>
  <w:style w:type="table" w:customStyle="1" w:styleId="ad">
    <w:basedOn w:val="TableNormalc"/>
    <w:tblPr>
      <w:tblStyleRowBandSize w:val="1"/>
      <w:tblStyleColBandSize w:val="1"/>
      <w:tblCellMar>
        <w:left w:w="115" w:type="dxa"/>
        <w:right w:w="115" w:type="dxa"/>
      </w:tblCellMar>
    </w:tblPr>
  </w:style>
  <w:style w:type="table" w:customStyle="1" w:styleId="ae">
    <w:basedOn w:val="TableNormalc"/>
    <w:tblPr>
      <w:tblStyleRowBandSize w:val="1"/>
      <w:tblStyleColBandSize w:val="1"/>
      <w:tblCellMar>
        <w:left w:w="115" w:type="dxa"/>
        <w:right w:w="115" w:type="dxa"/>
      </w:tblCellMar>
    </w:tblPr>
  </w:style>
  <w:style w:type="table" w:customStyle="1" w:styleId="af">
    <w:basedOn w:val="TableNormalc"/>
    <w:tblPr>
      <w:tblStyleRowBandSize w:val="1"/>
      <w:tblStyleColBandSize w:val="1"/>
      <w:tblCellMar>
        <w:left w:w="115" w:type="dxa"/>
        <w:right w:w="115" w:type="dxa"/>
      </w:tblCellMar>
    </w:tblPr>
  </w:style>
  <w:style w:type="table" w:customStyle="1" w:styleId="af0">
    <w:basedOn w:val="TableNormalc"/>
    <w:tblPr>
      <w:tblStyleRowBandSize w:val="1"/>
      <w:tblStyleColBandSize w:val="1"/>
      <w:tblCellMar>
        <w:left w:w="1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42517"/>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42517"/>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E42517"/>
    <w:rPr>
      <w:vertAlign w:val="superscript"/>
    </w:rPr>
  </w:style>
  <w:style w:type="paragraph" w:styleId="Sinespaciado">
    <w:name w:val="No Spacing"/>
    <w:aliases w:val="Francesa"/>
    <w:link w:val="SinespaciadoCar"/>
    <w:uiPriority w:val="1"/>
    <w:qFormat/>
    <w:rsid w:val="000009E2"/>
    <w:pPr>
      <w:spacing w:after="0" w:line="240" w:lineRule="auto"/>
    </w:pPr>
  </w:style>
  <w:style w:type="character" w:customStyle="1" w:styleId="SinespaciadoCar">
    <w:name w:val="Sin espaciado Car"/>
    <w:aliases w:val="Francesa Car"/>
    <w:link w:val="Sinespaciado"/>
    <w:uiPriority w:val="1"/>
    <w:locked/>
    <w:rsid w:val="00B33C26"/>
  </w:style>
  <w:style w:type="paragraph" w:styleId="Lista">
    <w:name w:val="List"/>
    <w:basedOn w:val="Normal"/>
    <w:uiPriority w:val="99"/>
    <w:unhideWhenUsed/>
    <w:rsid w:val="004127D1"/>
    <w:pPr>
      <w:ind w:left="283" w:hanging="283"/>
      <w:contextualSpacing/>
    </w:pPr>
  </w:style>
  <w:style w:type="paragraph" w:styleId="Lista2">
    <w:name w:val="List 2"/>
    <w:basedOn w:val="Normal"/>
    <w:uiPriority w:val="99"/>
    <w:unhideWhenUsed/>
    <w:rsid w:val="004127D1"/>
    <w:pPr>
      <w:ind w:left="566" w:hanging="283"/>
      <w:contextualSpacing/>
    </w:pPr>
  </w:style>
  <w:style w:type="paragraph" w:styleId="Lista3">
    <w:name w:val="List 3"/>
    <w:basedOn w:val="Normal"/>
    <w:uiPriority w:val="99"/>
    <w:unhideWhenUsed/>
    <w:rsid w:val="004127D1"/>
    <w:pPr>
      <w:ind w:left="849" w:hanging="283"/>
      <w:contextualSpacing/>
    </w:pPr>
  </w:style>
  <w:style w:type="paragraph" w:styleId="Listaconvietas2">
    <w:name w:val="List Bullet 2"/>
    <w:basedOn w:val="Normal"/>
    <w:uiPriority w:val="99"/>
    <w:unhideWhenUsed/>
    <w:rsid w:val="004127D1"/>
    <w:pPr>
      <w:tabs>
        <w:tab w:val="num" w:pos="720"/>
      </w:tabs>
      <w:ind w:left="720" w:hanging="720"/>
      <w:contextualSpacing/>
    </w:pPr>
  </w:style>
  <w:style w:type="paragraph" w:styleId="Continuarlista">
    <w:name w:val="List Continue"/>
    <w:basedOn w:val="Normal"/>
    <w:uiPriority w:val="99"/>
    <w:unhideWhenUsed/>
    <w:rsid w:val="004127D1"/>
    <w:pPr>
      <w:spacing w:after="120"/>
      <w:ind w:left="283"/>
      <w:contextualSpacing/>
    </w:pPr>
  </w:style>
  <w:style w:type="paragraph" w:styleId="Continuarlista2">
    <w:name w:val="List Continue 2"/>
    <w:basedOn w:val="Normal"/>
    <w:uiPriority w:val="99"/>
    <w:unhideWhenUsed/>
    <w:rsid w:val="004127D1"/>
    <w:pPr>
      <w:spacing w:after="120"/>
      <w:ind w:left="566"/>
      <w:contextualSpacing/>
    </w:pPr>
  </w:style>
  <w:style w:type="paragraph" w:styleId="Textoindependiente">
    <w:name w:val="Body Text"/>
    <w:basedOn w:val="Normal"/>
    <w:link w:val="TextoindependienteCar"/>
    <w:uiPriority w:val="99"/>
    <w:unhideWhenUsed/>
    <w:rsid w:val="004127D1"/>
    <w:pPr>
      <w:spacing w:after="120"/>
    </w:pPr>
  </w:style>
  <w:style w:type="character" w:customStyle="1" w:styleId="TextoindependienteCar">
    <w:name w:val="Texto independiente Car"/>
    <w:basedOn w:val="Fuentedeprrafopredeter"/>
    <w:link w:val="Textoindependiente"/>
    <w:uiPriority w:val="99"/>
    <w:rsid w:val="004127D1"/>
  </w:style>
  <w:style w:type="paragraph" w:styleId="Sangradetextonormal">
    <w:name w:val="Body Text Indent"/>
    <w:basedOn w:val="Normal"/>
    <w:link w:val="SangradetextonormalCar"/>
    <w:uiPriority w:val="99"/>
    <w:unhideWhenUsed/>
    <w:rsid w:val="004127D1"/>
    <w:pPr>
      <w:spacing w:after="120"/>
      <w:ind w:left="283"/>
    </w:pPr>
  </w:style>
  <w:style w:type="character" w:customStyle="1" w:styleId="SangradetextonormalCar">
    <w:name w:val="Sangría de texto normal Car"/>
    <w:basedOn w:val="Fuentedeprrafopredeter"/>
    <w:link w:val="Sangradetextonormal"/>
    <w:uiPriority w:val="99"/>
    <w:rsid w:val="004127D1"/>
  </w:style>
  <w:style w:type="paragraph" w:styleId="Textoindependienteprimerasangra2">
    <w:name w:val="Body Text First Indent 2"/>
    <w:basedOn w:val="Sangradetextonormal"/>
    <w:link w:val="Textoindependienteprimerasangra2Car"/>
    <w:uiPriority w:val="99"/>
    <w:unhideWhenUsed/>
    <w:rsid w:val="004127D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127D1"/>
  </w:style>
  <w:style w:type="table" w:customStyle="1" w:styleId="af1">
    <w:basedOn w:val="TableNormalc"/>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c"/>
    <w:tblPr>
      <w:tblStyleRowBandSize w:val="1"/>
      <w:tblStyleColBandSize w:val="1"/>
      <w:tblCellMar>
        <w:left w:w="115" w:type="dxa"/>
        <w:right w:w="115" w:type="dxa"/>
      </w:tblCellMar>
    </w:tblPr>
  </w:style>
  <w:style w:type="table" w:customStyle="1" w:styleId="af5">
    <w:basedOn w:val="TableNormalc"/>
    <w:tblPr>
      <w:tblStyleRowBandSize w:val="1"/>
      <w:tblStyleColBandSize w:val="1"/>
      <w:tblCellMar>
        <w:left w:w="115" w:type="dxa"/>
        <w:right w:w="115" w:type="dxa"/>
      </w:tblCellMar>
    </w:tblPr>
  </w:style>
  <w:style w:type="paragraph" w:styleId="NormalWeb">
    <w:name w:val="Normal (Web)"/>
    <w:basedOn w:val="Normal"/>
    <w:uiPriority w:val="99"/>
    <w:unhideWhenUsed/>
    <w:rsid w:val="00B477FB"/>
    <w:pPr>
      <w:spacing w:before="100" w:beforeAutospacing="1" w:after="100" w:afterAutospacing="1"/>
    </w:pPr>
  </w:style>
  <w:style w:type="table" w:customStyle="1" w:styleId="af6">
    <w:basedOn w:val="TableNormalb"/>
    <w:tblPr>
      <w:tblStyleRowBandSize w:val="1"/>
      <w:tblStyleColBandSize w:val="1"/>
      <w:tblCellMar>
        <w:left w:w="115" w:type="dxa"/>
        <w:right w:w="115" w:type="dxa"/>
      </w:tblCellMar>
    </w:tblPr>
  </w:style>
  <w:style w:type="table" w:customStyle="1" w:styleId="af7">
    <w:basedOn w:val="TableNormalb"/>
    <w:tblPr>
      <w:tblStyleRowBandSize w:val="1"/>
      <w:tblStyleColBandSize w:val="1"/>
      <w:tblCellMar>
        <w:left w:w="115" w:type="dxa"/>
        <w:right w:w="115" w:type="dxa"/>
      </w:tblCellMar>
    </w:tblPr>
  </w:style>
  <w:style w:type="table" w:customStyle="1" w:styleId="af8">
    <w:basedOn w:val="TableNormalb"/>
    <w:tblPr>
      <w:tblStyleRowBandSize w:val="1"/>
      <w:tblStyleColBandSize w:val="1"/>
      <w:tblCellMar>
        <w:left w:w="108" w:type="dxa"/>
        <w:right w:w="108" w:type="dxa"/>
      </w:tblCellMar>
    </w:tblPr>
  </w:style>
  <w:style w:type="table" w:customStyle="1" w:styleId="af9">
    <w:basedOn w:val="TableNormalb"/>
    <w:tblPr>
      <w:tblStyleRowBandSize w:val="1"/>
      <w:tblStyleColBandSize w:val="1"/>
      <w:tblCellMar>
        <w:left w:w="115" w:type="dxa"/>
        <w:right w:w="115" w:type="dxa"/>
      </w:tblCellMar>
    </w:tblPr>
  </w:style>
  <w:style w:type="table" w:customStyle="1" w:styleId="afa">
    <w:basedOn w:val="TableNormalb"/>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locked/>
    <w:rsid w:val="00D7226C"/>
  </w:style>
  <w:style w:type="table" w:customStyle="1" w:styleId="afb">
    <w:basedOn w:val="TableNormala"/>
    <w:tblPr>
      <w:tblStyleRowBandSize w:val="1"/>
      <w:tblStyleColBandSize w:val="1"/>
      <w:tblCellMar>
        <w:left w:w="115" w:type="dxa"/>
        <w:right w:w="115" w:type="dxa"/>
      </w:tblCellMar>
    </w:tblPr>
  </w:style>
  <w:style w:type="table" w:customStyle="1" w:styleId="afc">
    <w:basedOn w:val="TableNormala"/>
    <w:tblPr>
      <w:tblStyleRowBandSize w:val="1"/>
      <w:tblStyleColBandSize w:val="1"/>
      <w:tblCellMar>
        <w:left w:w="115" w:type="dxa"/>
        <w:right w:w="115" w:type="dxa"/>
      </w:tblCellMar>
    </w:tblPr>
  </w:style>
  <w:style w:type="table" w:customStyle="1" w:styleId="afd">
    <w:basedOn w:val="TableNormala"/>
    <w:tblPr>
      <w:tblStyleRowBandSize w:val="1"/>
      <w:tblStyleColBandSize w:val="1"/>
      <w:tblCellMar>
        <w:left w:w="115" w:type="dxa"/>
        <w:right w:w="115" w:type="dxa"/>
      </w:tblCellMar>
    </w:tblPr>
  </w:style>
  <w:style w:type="table" w:customStyle="1" w:styleId="afe">
    <w:basedOn w:val="TableNormala"/>
    <w:tblPr>
      <w:tblStyleRowBandSize w:val="1"/>
      <w:tblStyleColBandSize w:val="1"/>
      <w:tblCellMar>
        <w:left w:w="115" w:type="dxa"/>
        <w:right w:w="115" w:type="dxa"/>
      </w:tblCellMar>
    </w:tblPr>
  </w:style>
  <w:style w:type="table" w:customStyle="1" w:styleId="aff">
    <w:basedOn w:val="TableNormal9"/>
    <w:tblPr>
      <w:tblStyleRowBandSize w:val="1"/>
      <w:tblStyleColBandSize w:val="1"/>
      <w:tblCellMar>
        <w:left w:w="115" w:type="dxa"/>
        <w:right w:w="115" w:type="dxa"/>
      </w:tblCellMar>
    </w:tblPr>
  </w:style>
  <w:style w:type="table" w:customStyle="1" w:styleId="aff0">
    <w:basedOn w:val="TableNormal9"/>
    <w:tblPr>
      <w:tblStyleRowBandSize w:val="1"/>
      <w:tblStyleColBandSize w:val="1"/>
      <w:tblCellMar>
        <w:left w:w="115" w:type="dxa"/>
        <w:right w:w="115" w:type="dxa"/>
      </w:tblCellMar>
    </w:tblPr>
  </w:style>
  <w:style w:type="table" w:customStyle="1" w:styleId="aff1">
    <w:basedOn w:val="TableNormal9"/>
    <w:tblPr>
      <w:tblStyleRowBandSize w:val="1"/>
      <w:tblStyleColBandSize w:val="1"/>
      <w:tblCellMar>
        <w:left w:w="115" w:type="dxa"/>
        <w:right w:w="115" w:type="dxa"/>
      </w:tblCellMar>
    </w:tblPr>
  </w:style>
  <w:style w:type="table" w:customStyle="1" w:styleId="aff2">
    <w:basedOn w:val="TableNormal9"/>
    <w:tblPr>
      <w:tblStyleRowBandSize w:val="1"/>
      <w:tblStyleColBandSize w:val="1"/>
      <w:tblCellMar>
        <w:left w:w="115" w:type="dxa"/>
        <w:right w:w="115" w:type="dxa"/>
      </w:tblCellMar>
    </w:tblPr>
  </w:style>
  <w:style w:type="character" w:customStyle="1" w:styleId="Ttulo1Car">
    <w:name w:val="Título 1 Car"/>
    <w:basedOn w:val="Fuentedeprrafopredeter"/>
    <w:link w:val="Ttulo1"/>
    <w:uiPriority w:val="9"/>
    <w:rsid w:val="000009E2"/>
    <w:rPr>
      <w:rFonts w:asciiTheme="majorHAnsi" w:eastAsiaTheme="majorEastAsia" w:hAnsiTheme="majorHAnsi" w:cstheme="majorBidi"/>
      <w:caps/>
      <w:sz w:val="36"/>
      <w:szCs w:val="36"/>
    </w:rPr>
  </w:style>
  <w:style w:type="character" w:customStyle="1" w:styleId="Ttulo2Car">
    <w:name w:val="Título 2 Car"/>
    <w:basedOn w:val="Fuentedeprrafopredeter"/>
    <w:link w:val="Ttulo2"/>
    <w:uiPriority w:val="9"/>
    <w:semiHidden/>
    <w:rsid w:val="000009E2"/>
    <w:rPr>
      <w:rFonts w:asciiTheme="majorHAnsi" w:eastAsiaTheme="majorEastAsia" w:hAnsiTheme="majorHAnsi" w:cstheme="majorBidi"/>
      <w:caps/>
      <w:sz w:val="28"/>
      <w:szCs w:val="28"/>
    </w:rPr>
  </w:style>
  <w:style w:type="character" w:customStyle="1" w:styleId="Ttulo3Car">
    <w:name w:val="Título 3 Car"/>
    <w:basedOn w:val="Fuentedeprrafopredeter"/>
    <w:link w:val="Ttulo3"/>
    <w:uiPriority w:val="9"/>
    <w:semiHidden/>
    <w:rsid w:val="000009E2"/>
    <w:rPr>
      <w:rFonts w:asciiTheme="majorHAnsi" w:eastAsiaTheme="majorEastAsia" w:hAnsiTheme="majorHAnsi" w:cstheme="majorBidi"/>
      <w:smallCaps/>
      <w:sz w:val="28"/>
      <w:szCs w:val="28"/>
    </w:rPr>
  </w:style>
  <w:style w:type="character" w:customStyle="1" w:styleId="Ttulo4Car">
    <w:name w:val="Título 4 Car"/>
    <w:basedOn w:val="Fuentedeprrafopredeter"/>
    <w:link w:val="Ttulo4"/>
    <w:uiPriority w:val="9"/>
    <w:semiHidden/>
    <w:rsid w:val="000009E2"/>
    <w:rPr>
      <w:rFonts w:asciiTheme="majorHAnsi" w:eastAsiaTheme="majorEastAsia" w:hAnsiTheme="majorHAnsi" w:cstheme="majorBidi"/>
      <w:caps/>
    </w:rPr>
  </w:style>
  <w:style w:type="character" w:customStyle="1" w:styleId="Ttulo5Car">
    <w:name w:val="Título 5 Car"/>
    <w:basedOn w:val="Fuentedeprrafopredeter"/>
    <w:link w:val="Ttulo5"/>
    <w:uiPriority w:val="9"/>
    <w:semiHidden/>
    <w:rsid w:val="000009E2"/>
    <w:rPr>
      <w:rFonts w:asciiTheme="majorHAnsi" w:eastAsiaTheme="majorEastAsia" w:hAnsiTheme="majorHAnsi" w:cstheme="majorBidi"/>
      <w:i/>
      <w:iCs/>
      <w:caps/>
    </w:rPr>
  </w:style>
  <w:style w:type="character" w:customStyle="1" w:styleId="Ttulo6Car">
    <w:name w:val="Título 6 Car"/>
    <w:basedOn w:val="Fuentedeprrafopredeter"/>
    <w:link w:val="Ttulo6"/>
    <w:uiPriority w:val="9"/>
    <w:semiHidden/>
    <w:rsid w:val="000009E2"/>
    <w:rPr>
      <w:rFonts w:asciiTheme="majorHAnsi" w:eastAsiaTheme="majorEastAsia" w:hAnsiTheme="majorHAnsi" w:cstheme="majorBidi"/>
      <w:b/>
      <w:bCs/>
      <w:caps/>
      <w:color w:val="262626" w:themeColor="text1" w:themeTint="D9"/>
      <w:sz w:val="20"/>
      <w:szCs w:val="20"/>
    </w:rPr>
  </w:style>
  <w:style w:type="character" w:customStyle="1" w:styleId="Ttulo7Car">
    <w:name w:val="Título 7 Car"/>
    <w:basedOn w:val="Fuentedeprrafopredeter"/>
    <w:link w:val="Ttulo7"/>
    <w:uiPriority w:val="9"/>
    <w:semiHidden/>
    <w:rsid w:val="000009E2"/>
    <w:rPr>
      <w:rFonts w:asciiTheme="majorHAnsi" w:eastAsiaTheme="majorEastAsia" w:hAnsiTheme="majorHAnsi" w:cstheme="majorBidi"/>
      <w:b/>
      <w:bCs/>
      <w:i/>
      <w:iCs/>
      <w:caps/>
      <w:color w:val="262626" w:themeColor="text1" w:themeTint="D9"/>
      <w:sz w:val="20"/>
      <w:szCs w:val="20"/>
    </w:rPr>
  </w:style>
  <w:style w:type="character" w:customStyle="1" w:styleId="Ttulo8Car">
    <w:name w:val="Título 8 Car"/>
    <w:basedOn w:val="Fuentedeprrafopredeter"/>
    <w:link w:val="Ttulo8"/>
    <w:uiPriority w:val="9"/>
    <w:semiHidden/>
    <w:rsid w:val="000009E2"/>
    <w:rPr>
      <w:rFonts w:asciiTheme="majorHAnsi" w:eastAsiaTheme="majorEastAsia" w:hAnsiTheme="majorHAnsi" w:cstheme="majorBidi"/>
      <w:b/>
      <w:bCs/>
      <w:caps/>
      <w:color w:val="7F7F7F" w:themeColor="text1" w:themeTint="80"/>
      <w:sz w:val="20"/>
      <w:szCs w:val="20"/>
    </w:rPr>
  </w:style>
  <w:style w:type="character" w:customStyle="1" w:styleId="Ttulo9Car">
    <w:name w:val="Título 9 Car"/>
    <w:basedOn w:val="Fuentedeprrafopredeter"/>
    <w:link w:val="Ttulo9"/>
    <w:uiPriority w:val="9"/>
    <w:semiHidden/>
    <w:rsid w:val="000009E2"/>
    <w:rPr>
      <w:rFonts w:asciiTheme="majorHAnsi" w:eastAsiaTheme="majorEastAsia" w:hAnsiTheme="majorHAnsi" w:cstheme="majorBidi"/>
      <w:b/>
      <w:bCs/>
      <w:i/>
      <w:iCs/>
      <w:caps/>
      <w:color w:val="7F7F7F" w:themeColor="text1" w:themeTint="80"/>
      <w:sz w:val="20"/>
      <w:szCs w:val="20"/>
    </w:rPr>
  </w:style>
  <w:style w:type="paragraph" w:styleId="Descripcin">
    <w:name w:val="caption"/>
    <w:basedOn w:val="Normal"/>
    <w:next w:val="Normal"/>
    <w:uiPriority w:val="35"/>
    <w:semiHidden/>
    <w:unhideWhenUsed/>
    <w:qFormat/>
    <w:rsid w:val="000009E2"/>
    <w:pPr>
      <w:spacing w:line="240" w:lineRule="auto"/>
    </w:pPr>
    <w:rPr>
      <w:b/>
      <w:bCs/>
      <w:smallCaps/>
      <w:color w:val="595959" w:themeColor="text1" w:themeTint="A6"/>
    </w:rPr>
  </w:style>
  <w:style w:type="character" w:customStyle="1" w:styleId="TtuloCar">
    <w:name w:val="Título Car"/>
    <w:basedOn w:val="Fuentedeprrafopredeter"/>
    <w:link w:val="Ttulo"/>
    <w:uiPriority w:val="10"/>
    <w:rsid w:val="000009E2"/>
    <w:rPr>
      <w:rFonts w:asciiTheme="majorHAnsi" w:eastAsiaTheme="majorEastAsia" w:hAnsiTheme="majorHAnsi" w:cstheme="majorBidi"/>
      <w:caps/>
      <w:color w:val="404040" w:themeColor="text1" w:themeTint="BF"/>
      <w:spacing w:val="-10"/>
      <w:sz w:val="72"/>
      <w:szCs w:val="72"/>
    </w:rPr>
  </w:style>
  <w:style w:type="character" w:customStyle="1" w:styleId="SubttuloCar">
    <w:name w:val="Subtítulo Car"/>
    <w:basedOn w:val="Fuentedeprrafopredeter"/>
    <w:link w:val="Subttulo"/>
    <w:uiPriority w:val="11"/>
    <w:rsid w:val="000009E2"/>
    <w:rPr>
      <w:rFonts w:asciiTheme="majorHAnsi" w:eastAsiaTheme="majorEastAsia" w:hAnsiTheme="majorHAnsi" w:cstheme="majorBidi"/>
      <w:smallCaps/>
      <w:color w:val="595959" w:themeColor="text1" w:themeTint="A6"/>
      <w:sz w:val="28"/>
      <w:szCs w:val="28"/>
    </w:rPr>
  </w:style>
  <w:style w:type="character" w:styleId="Textoennegrita">
    <w:name w:val="Strong"/>
    <w:basedOn w:val="Fuentedeprrafopredeter"/>
    <w:uiPriority w:val="22"/>
    <w:qFormat/>
    <w:rsid w:val="000009E2"/>
    <w:rPr>
      <w:b/>
      <w:bCs/>
    </w:rPr>
  </w:style>
  <w:style w:type="character" w:styleId="nfasis">
    <w:name w:val="Emphasis"/>
    <w:basedOn w:val="Fuentedeprrafopredeter"/>
    <w:uiPriority w:val="20"/>
    <w:qFormat/>
    <w:rsid w:val="000009E2"/>
    <w:rPr>
      <w:i/>
      <w:iCs/>
    </w:rPr>
  </w:style>
  <w:style w:type="paragraph" w:styleId="Cita">
    <w:name w:val="Quote"/>
    <w:basedOn w:val="Normal"/>
    <w:next w:val="Normal"/>
    <w:link w:val="CitaCar"/>
    <w:uiPriority w:val="29"/>
    <w:qFormat/>
    <w:rsid w:val="000009E2"/>
    <w:pPr>
      <w:spacing w:before="160" w:line="240" w:lineRule="auto"/>
      <w:ind w:left="720" w:right="720"/>
    </w:pPr>
    <w:rPr>
      <w:rFonts w:asciiTheme="majorHAnsi" w:eastAsiaTheme="majorEastAsia" w:hAnsiTheme="majorHAnsi" w:cstheme="majorBidi"/>
      <w:sz w:val="25"/>
      <w:szCs w:val="25"/>
    </w:rPr>
  </w:style>
  <w:style w:type="character" w:customStyle="1" w:styleId="CitaCar">
    <w:name w:val="Cita Car"/>
    <w:basedOn w:val="Fuentedeprrafopredeter"/>
    <w:link w:val="Cita"/>
    <w:uiPriority w:val="29"/>
    <w:rsid w:val="000009E2"/>
    <w:rPr>
      <w:rFonts w:asciiTheme="majorHAnsi" w:eastAsiaTheme="majorEastAsia" w:hAnsiTheme="majorHAnsi" w:cstheme="majorBidi"/>
      <w:sz w:val="25"/>
      <w:szCs w:val="25"/>
    </w:rPr>
  </w:style>
  <w:style w:type="paragraph" w:styleId="Citadestacada">
    <w:name w:val="Intense Quote"/>
    <w:basedOn w:val="Normal"/>
    <w:next w:val="Normal"/>
    <w:link w:val="CitadestacadaCar"/>
    <w:uiPriority w:val="30"/>
    <w:qFormat/>
    <w:rsid w:val="000009E2"/>
    <w:pPr>
      <w:spacing w:before="280" w:after="280" w:line="240" w:lineRule="auto"/>
      <w:ind w:left="1080" w:right="1080"/>
      <w:jc w:val="center"/>
    </w:pPr>
    <w:rPr>
      <w:color w:val="404040" w:themeColor="text1" w:themeTint="BF"/>
      <w:sz w:val="32"/>
      <w:szCs w:val="32"/>
    </w:rPr>
  </w:style>
  <w:style w:type="character" w:customStyle="1" w:styleId="CitadestacadaCar">
    <w:name w:val="Cita destacada Car"/>
    <w:basedOn w:val="Fuentedeprrafopredeter"/>
    <w:link w:val="Citadestacada"/>
    <w:uiPriority w:val="30"/>
    <w:rsid w:val="000009E2"/>
    <w:rPr>
      <w:color w:val="404040" w:themeColor="text1" w:themeTint="BF"/>
      <w:sz w:val="32"/>
      <w:szCs w:val="32"/>
    </w:rPr>
  </w:style>
  <w:style w:type="character" w:styleId="nfasissutil">
    <w:name w:val="Subtle Emphasis"/>
    <w:basedOn w:val="Fuentedeprrafopredeter"/>
    <w:uiPriority w:val="19"/>
    <w:qFormat/>
    <w:rsid w:val="000009E2"/>
    <w:rPr>
      <w:i/>
      <w:iCs/>
      <w:color w:val="595959" w:themeColor="text1" w:themeTint="A6"/>
    </w:rPr>
  </w:style>
  <w:style w:type="character" w:styleId="nfasisintenso">
    <w:name w:val="Intense Emphasis"/>
    <w:basedOn w:val="Fuentedeprrafopredeter"/>
    <w:uiPriority w:val="21"/>
    <w:qFormat/>
    <w:rsid w:val="000009E2"/>
    <w:rPr>
      <w:b/>
      <w:bCs/>
      <w:i/>
      <w:iCs/>
    </w:rPr>
  </w:style>
  <w:style w:type="character" w:styleId="Referenciasutil">
    <w:name w:val="Subtle Reference"/>
    <w:basedOn w:val="Fuentedeprrafopredeter"/>
    <w:uiPriority w:val="31"/>
    <w:qFormat/>
    <w:rsid w:val="000009E2"/>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0009E2"/>
    <w:rPr>
      <w:b/>
      <w:bCs/>
      <w:caps w:val="0"/>
      <w:smallCaps/>
      <w:color w:val="auto"/>
      <w:spacing w:val="3"/>
      <w:u w:val="single"/>
    </w:rPr>
  </w:style>
  <w:style w:type="character" w:styleId="Ttulodellibro">
    <w:name w:val="Book Title"/>
    <w:basedOn w:val="Fuentedeprrafopredeter"/>
    <w:uiPriority w:val="33"/>
    <w:qFormat/>
    <w:rsid w:val="000009E2"/>
    <w:rPr>
      <w:b/>
      <w:bCs/>
      <w:smallCaps/>
      <w:spacing w:val="7"/>
    </w:rPr>
  </w:style>
  <w:style w:type="paragraph" w:styleId="TtuloTDC">
    <w:name w:val="TOC Heading"/>
    <w:basedOn w:val="Ttulo1"/>
    <w:next w:val="Normal"/>
    <w:uiPriority w:val="39"/>
    <w:semiHidden/>
    <w:unhideWhenUsed/>
    <w:qFormat/>
    <w:rsid w:val="000009E2"/>
    <w:pPr>
      <w:outlineLvl w:val="9"/>
    </w:pPr>
  </w:style>
  <w:style w:type="table" w:customStyle="1" w:styleId="aff3">
    <w:basedOn w:val="TableNormal8"/>
    <w:tblPr>
      <w:tblStyleRowBandSize w:val="1"/>
      <w:tblStyleColBandSize w:val="1"/>
      <w:tblCellMar>
        <w:left w:w="115" w:type="dxa"/>
        <w:right w:w="115" w:type="dxa"/>
      </w:tblCellMar>
    </w:tblPr>
  </w:style>
  <w:style w:type="table" w:customStyle="1" w:styleId="aff4">
    <w:basedOn w:val="TableNormal8"/>
    <w:tblPr>
      <w:tblStyleRowBandSize w:val="1"/>
      <w:tblStyleColBandSize w:val="1"/>
      <w:tblCellMar>
        <w:left w:w="115" w:type="dxa"/>
        <w:right w:w="115" w:type="dxa"/>
      </w:tblCellMar>
    </w:tblPr>
  </w:style>
  <w:style w:type="table" w:customStyle="1" w:styleId="aff5">
    <w:basedOn w:val="TableNormal8"/>
    <w:tblPr>
      <w:tblStyleRowBandSize w:val="1"/>
      <w:tblStyleColBandSize w:val="1"/>
      <w:tblCellMar>
        <w:left w:w="115" w:type="dxa"/>
        <w:right w:w="115" w:type="dxa"/>
      </w:tblCellMar>
    </w:tblPr>
  </w:style>
  <w:style w:type="table" w:customStyle="1" w:styleId="aff6">
    <w:basedOn w:val="TableNormal8"/>
    <w:tblPr>
      <w:tblStyleRowBandSize w:val="1"/>
      <w:tblStyleColBandSize w:val="1"/>
      <w:tblCellMar>
        <w:left w:w="108" w:type="dxa"/>
        <w:right w:w="108" w:type="dxa"/>
      </w:tblCellMar>
    </w:tblPr>
  </w:style>
  <w:style w:type="table" w:customStyle="1" w:styleId="aff7">
    <w:basedOn w:val="TableNormal8"/>
    <w:tblPr>
      <w:tblStyleRowBandSize w:val="1"/>
      <w:tblStyleColBandSize w:val="1"/>
      <w:tblCellMar>
        <w:left w:w="115" w:type="dxa"/>
        <w:right w:w="115" w:type="dxa"/>
      </w:tblCellMar>
    </w:tblPr>
  </w:style>
  <w:style w:type="table" w:customStyle="1" w:styleId="aff8">
    <w:basedOn w:val="TableNormal8"/>
    <w:tblPr>
      <w:tblStyleRowBandSize w:val="1"/>
      <w:tblStyleColBandSize w:val="1"/>
      <w:tblCellMar>
        <w:left w:w="115" w:type="dxa"/>
        <w:right w:w="115" w:type="dxa"/>
      </w:tblCellMar>
    </w:tblPr>
  </w:style>
  <w:style w:type="table" w:customStyle="1" w:styleId="aff9">
    <w:basedOn w:val="TableNormal7"/>
    <w:tblPr>
      <w:tblStyleRowBandSize w:val="1"/>
      <w:tblStyleColBandSize w:val="1"/>
      <w:tblCellMar>
        <w:left w:w="115" w:type="dxa"/>
        <w:right w:w="115" w:type="dxa"/>
      </w:tblCellMar>
    </w:tblPr>
  </w:style>
  <w:style w:type="table" w:customStyle="1" w:styleId="affa">
    <w:basedOn w:val="TableNormal7"/>
    <w:tblPr>
      <w:tblStyleRowBandSize w:val="1"/>
      <w:tblStyleColBandSize w:val="1"/>
      <w:tblCellMar>
        <w:left w:w="115" w:type="dxa"/>
        <w:right w:w="115" w:type="dxa"/>
      </w:tblCellMar>
    </w:tblPr>
  </w:style>
  <w:style w:type="table" w:customStyle="1" w:styleId="affb">
    <w:basedOn w:val="TableNormal7"/>
    <w:tblPr>
      <w:tblStyleRowBandSize w:val="1"/>
      <w:tblStyleColBandSize w:val="1"/>
      <w:tblCellMar>
        <w:left w:w="115" w:type="dxa"/>
        <w:right w:w="115" w:type="dxa"/>
      </w:tblCellMar>
    </w:tblPr>
  </w:style>
  <w:style w:type="table" w:customStyle="1" w:styleId="affc">
    <w:basedOn w:val="TableNormal7"/>
    <w:tblPr>
      <w:tblStyleRowBandSize w:val="1"/>
      <w:tblStyleColBandSize w:val="1"/>
      <w:tblCellMar>
        <w:left w:w="115" w:type="dxa"/>
        <w:right w:w="115" w:type="dxa"/>
      </w:tblCellMar>
    </w:tblPr>
  </w:style>
  <w:style w:type="table" w:customStyle="1" w:styleId="affd">
    <w:basedOn w:val="TableNormal7"/>
    <w:tblPr>
      <w:tblStyleRowBandSize w:val="1"/>
      <w:tblStyleColBandSize w:val="1"/>
      <w:tblCellMar>
        <w:left w:w="115" w:type="dxa"/>
        <w:right w:w="115" w:type="dxa"/>
      </w:tblCellMar>
    </w:tblPr>
  </w:style>
  <w:style w:type="table" w:customStyle="1" w:styleId="affe">
    <w:basedOn w:val="TableNormal7"/>
    <w:tblPr>
      <w:tblStyleRowBandSize w:val="1"/>
      <w:tblStyleColBandSize w:val="1"/>
      <w:tblCellMar>
        <w:left w:w="115" w:type="dxa"/>
        <w:right w:w="115" w:type="dxa"/>
      </w:tblCellMar>
    </w:tblPr>
  </w:style>
  <w:style w:type="paragraph" w:customStyle="1" w:styleId="Default">
    <w:name w:val="Default"/>
    <w:rsid w:val="00557977"/>
    <w:pPr>
      <w:autoSpaceDE w:val="0"/>
      <w:autoSpaceDN w:val="0"/>
      <w:adjustRightInd w:val="0"/>
      <w:spacing w:after="0" w:line="240" w:lineRule="auto"/>
    </w:pPr>
    <w:rPr>
      <w:rFonts w:ascii="Tahoma" w:hAnsi="Tahoma" w:cs="Tahoma"/>
      <w:color w:val="000000"/>
      <w:sz w:val="24"/>
      <w:szCs w:val="24"/>
    </w:rPr>
  </w:style>
  <w:style w:type="table" w:customStyle="1" w:styleId="afff">
    <w:basedOn w:val="TableNormal6"/>
    <w:tblPr>
      <w:tblStyleRowBandSize w:val="1"/>
      <w:tblStyleColBandSize w:val="1"/>
      <w:tblCellMar>
        <w:left w:w="115" w:type="dxa"/>
        <w:right w:w="115" w:type="dxa"/>
      </w:tblCellMar>
    </w:tblPr>
  </w:style>
  <w:style w:type="table" w:customStyle="1" w:styleId="afff0">
    <w:basedOn w:val="TableNormal6"/>
    <w:tblPr>
      <w:tblStyleRowBandSize w:val="1"/>
      <w:tblStyleColBandSize w:val="1"/>
      <w:tblCellMar>
        <w:left w:w="115" w:type="dxa"/>
        <w:right w:w="115" w:type="dxa"/>
      </w:tblCellMar>
    </w:tblPr>
  </w:style>
  <w:style w:type="table" w:customStyle="1" w:styleId="afff1">
    <w:basedOn w:val="TableNormal6"/>
    <w:tblPr>
      <w:tblStyleRowBandSize w:val="1"/>
      <w:tblStyleColBandSize w:val="1"/>
      <w:tblCellMar>
        <w:left w:w="115" w:type="dxa"/>
        <w:right w:w="115" w:type="dxa"/>
      </w:tblCellMar>
    </w:tblPr>
  </w:style>
  <w:style w:type="table" w:customStyle="1" w:styleId="afff2">
    <w:basedOn w:val="TableNormal6"/>
    <w:tblPr>
      <w:tblStyleRowBandSize w:val="1"/>
      <w:tblStyleColBandSize w:val="1"/>
      <w:tblCellMar>
        <w:left w:w="115" w:type="dxa"/>
        <w:right w:w="115" w:type="dxa"/>
      </w:tblCellMar>
    </w:tblPr>
  </w:style>
  <w:style w:type="table" w:customStyle="1" w:styleId="afff3">
    <w:basedOn w:val="TableNormal6"/>
    <w:tblPr>
      <w:tblStyleRowBandSize w:val="1"/>
      <w:tblStyleColBandSize w:val="1"/>
      <w:tblCellMar>
        <w:left w:w="115" w:type="dxa"/>
        <w:right w:w="115" w:type="dxa"/>
      </w:tblCellMar>
    </w:tblPr>
  </w:style>
  <w:style w:type="table" w:customStyle="1" w:styleId="afff4">
    <w:basedOn w:val="TableNormal6"/>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9C12D4"/>
    <w:rPr>
      <w:color w:val="605E5C"/>
      <w:shd w:val="clear" w:color="auto" w:fill="E1DFDD"/>
    </w:rPr>
  </w:style>
  <w:style w:type="character" w:styleId="Hipervnculovisitado">
    <w:name w:val="FollowedHyperlink"/>
    <w:basedOn w:val="Fuentedeprrafopredeter"/>
    <w:uiPriority w:val="99"/>
    <w:semiHidden/>
    <w:unhideWhenUsed/>
    <w:rsid w:val="00132376"/>
    <w:rPr>
      <w:color w:val="954F72" w:themeColor="followedHyperlink"/>
      <w:u w:val="single"/>
    </w:rPr>
  </w:style>
  <w:style w:type="table" w:customStyle="1" w:styleId="afff5">
    <w:basedOn w:val="TableNormal5"/>
    <w:tblPr>
      <w:tblStyleRowBandSize w:val="1"/>
      <w:tblStyleColBandSize w:val="1"/>
      <w:tblCellMar>
        <w:left w:w="115" w:type="dxa"/>
        <w:right w:w="115" w:type="dxa"/>
      </w:tblCellMar>
    </w:tblPr>
  </w:style>
  <w:style w:type="table" w:customStyle="1" w:styleId="afff6">
    <w:basedOn w:val="TableNormal5"/>
    <w:tblPr>
      <w:tblStyleRowBandSize w:val="1"/>
      <w:tblStyleColBandSize w:val="1"/>
      <w:tblCellMar>
        <w:left w:w="115" w:type="dxa"/>
        <w:right w:w="115" w:type="dxa"/>
      </w:tblCellMar>
    </w:tblPr>
  </w:style>
  <w:style w:type="table" w:customStyle="1" w:styleId="afff7">
    <w:basedOn w:val="TableNormal5"/>
    <w:tblPr>
      <w:tblStyleRowBandSize w:val="1"/>
      <w:tblStyleColBandSize w:val="1"/>
      <w:tblCellMar>
        <w:left w:w="115" w:type="dxa"/>
        <w:right w:w="115" w:type="dxa"/>
      </w:tblCellMar>
    </w:tblPr>
  </w:style>
  <w:style w:type="table" w:customStyle="1" w:styleId="afff8">
    <w:basedOn w:val="TableNormal5"/>
    <w:tblPr>
      <w:tblStyleRowBandSize w:val="1"/>
      <w:tblStyleColBandSize w:val="1"/>
      <w:tblCellMar>
        <w:left w:w="115" w:type="dxa"/>
        <w:right w:w="115" w:type="dxa"/>
      </w:tblCellMar>
    </w:tblPr>
  </w:style>
  <w:style w:type="table" w:customStyle="1" w:styleId="afff9">
    <w:basedOn w:val="TableNormal5"/>
    <w:tblPr>
      <w:tblStyleRowBandSize w:val="1"/>
      <w:tblStyleColBandSize w:val="1"/>
      <w:tblCellMar>
        <w:left w:w="115" w:type="dxa"/>
        <w:right w:w="115" w:type="dxa"/>
      </w:tblCellMar>
    </w:tblPr>
  </w:style>
  <w:style w:type="table" w:customStyle="1" w:styleId="afffa">
    <w:basedOn w:val="TableNormal4"/>
    <w:tblPr>
      <w:tblStyleRowBandSize w:val="1"/>
      <w:tblStyleColBandSize w:val="1"/>
      <w:tblCellMar>
        <w:left w:w="115" w:type="dxa"/>
        <w:right w:w="115" w:type="dxa"/>
      </w:tblCellMar>
    </w:tblPr>
  </w:style>
  <w:style w:type="table" w:customStyle="1" w:styleId="afffb">
    <w:basedOn w:val="TableNormal4"/>
    <w:tblPr>
      <w:tblStyleRowBandSize w:val="1"/>
      <w:tblStyleColBandSize w:val="1"/>
      <w:tblCellMar>
        <w:left w:w="115" w:type="dxa"/>
        <w:right w:w="115" w:type="dxa"/>
      </w:tblCellMar>
    </w:tblPr>
  </w:style>
  <w:style w:type="table" w:customStyle="1" w:styleId="afffc">
    <w:basedOn w:val="TableNormal4"/>
    <w:tblPr>
      <w:tblStyleRowBandSize w:val="1"/>
      <w:tblStyleColBandSize w:val="1"/>
      <w:tblCellMar>
        <w:left w:w="115" w:type="dxa"/>
        <w:right w:w="115" w:type="dxa"/>
      </w:tblCellMar>
    </w:tblPr>
  </w:style>
  <w:style w:type="table" w:customStyle="1" w:styleId="afffd">
    <w:basedOn w:val="TableNormal4"/>
    <w:tblPr>
      <w:tblStyleRowBandSize w:val="1"/>
      <w:tblStyleColBandSize w:val="1"/>
      <w:tblCellMar>
        <w:left w:w="115" w:type="dxa"/>
        <w:right w:w="115" w:type="dxa"/>
      </w:tblCellMar>
    </w:tblPr>
  </w:style>
  <w:style w:type="table" w:customStyle="1" w:styleId="afffe">
    <w:basedOn w:val="TableNormal4"/>
    <w:tblPr>
      <w:tblStyleRowBandSize w:val="1"/>
      <w:tblStyleColBandSize w:val="1"/>
      <w:tblCellMar>
        <w:left w:w="115" w:type="dxa"/>
        <w:right w:w="115" w:type="dxa"/>
      </w:tblCellMar>
    </w:tblPr>
  </w:style>
  <w:style w:type="table" w:customStyle="1" w:styleId="affff">
    <w:basedOn w:val="TableNormal4"/>
    <w:tblPr>
      <w:tblStyleRowBandSize w:val="1"/>
      <w:tblStyleColBandSize w:val="1"/>
      <w:tblCellMar>
        <w:left w:w="115" w:type="dxa"/>
        <w:right w:w="115" w:type="dxa"/>
      </w:tblCellMar>
    </w:tblPr>
  </w:style>
  <w:style w:type="table" w:customStyle="1" w:styleId="affff0">
    <w:basedOn w:val="TableNormal3"/>
    <w:tblPr>
      <w:tblStyleRowBandSize w:val="1"/>
      <w:tblStyleColBandSize w:val="1"/>
      <w:tblCellMar>
        <w:left w:w="115" w:type="dxa"/>
        <w:right w:w="115" w:type="dxa"/>
      </w:tblCellMar>
    </w:tblPr>
  </w:style>
  <w:style w:type="table" w:customStyle="1" w:styleId="affff1">
    <w:basedOn w:val="TableNormal3"/>
    <w:tblPr>
      <w:tblStyleRowBandSize w:val="1"/>
      <w:tblStyleColBandSize w:val="1"/>
      <w:tblCellMar>
        <w:left w:w="115" w:type="dxa"/>
        <w:right w:w="115" w:type="dxa"/>
      </w:tblCellMar>
    </w:tblPr>
  </w:style>
  <w:style w:type="table" w:customStyle="1" w:styleId="affff2">
    <w:basedOn w:val="TableNormal3"/>
    <w:tblPr>
      <w:tblStyleRowBandSize w:val="1"/>
      <w:tblStyleColBandSize w:val="1"/>
      <w:tblCellMar>
        <w:left w:w="115" w:type="dxa"/>
        <w:right w:w="115" w:type="dxa"/>
      </w:tblCellMar>
    </w:tblPr>
  </w:style>
  <w:style w:type="table" w:customStyle="1" w:styleId="affff3">
    <w:basedOn w:val="TableNormal3"/>
    <w:tblPr>
      <w:tblStyleRowBandSize w:val="1"/>
      <w:tblStyleColBandSize w:val="1"/>
      <w:tblCellMar>
        <w:left w:w="115" w:type="dxa"/>
        <w:right w:w="115" w:type="dxa"/>
      </w:tblCellMar>
    </w:tblPr>
  </w:style>
  <w:style w:type="table" w:customStyle="1" w:styleId="affff4">
    <w:basedOn w:val="TableNormal3"/>
    <w:tblPr>
      <w:tblStyleRowBandSize w:val="1"/>
      <w:tblStyleColBandSize w:val="1"/>
      <w:tblCellMar>
        <w:left w:w="115" w:type="dxa"/>
        <w:right w:w="115" w:type="dxa"/>
      </w:tblCellMar>
    </w:tblPr>
  </w:style>
  <w:style w:type="table" w:customStyle="1" w:styleId="affff5">
    <w:basedOn w:val="TableNormal3"/>
    <w:tblPr>
      <w:tblStyleRowBandSize w:val="1"/>
      <w:tblStyleColBandSize w:val="1"/>
      <w:tblCellMar>
        <w:left w:w="115" w:type="dxa"/>
        <w:right w:w="115" w:type="dxa"/>
      </w:tblCellMar>
    </w:tblPr>
  </w:style>
  <w:style w:type="table" w:customStyle="1" w:styleId="affff6">
    <w:basedOn w:val="TableNormal2"/>
    <w:tblPr>
      <w:tblStyleRowBandSize w:val="1"/>
      <w:tblStyleColBandSize w:val="1"/>
      <w:tblCellMar>
        <w:left w:w="115" w:type="dxa"/>
        <w:right w:w="115" w:type="dxa"/>
      </w:tblCellMar>
    </w:tblPr>
  </w:style>
  <w:style w:type="table" w:customStyle="1" w:styleId="affff7">
    <w:basedOn w:val="TableNormal2"/>
    <w:tblPr>
      <w:tblStyleRowBandSize w:val="1"/>
      <w:tblStyleColBandSize w:val="1"/>
      <w:tblCellMar>
        <w:left w:w="115" w:type="dxa"/>
        <w:right w:w="115" w:type="dxa"/>
      </w:tblCellMar>
    </w:tblPr>
  </w:style>
  <w:style w:type="table" w:customStyle="1" w:styleId="affff8">
    <w:basedOn w:val="TableNormal2"/>
    <w:tblPr>
      <w:tblStyleRowBandSize w:val="1"/>
      <w:tblStyleColBandSize w:val="1"/>
      <w:tblCellMar>
        <w:left w:w="115" w:type="dxa"/>
        <w:right w:w="115" w:type="dxa"/>
      </w:tblCellMar>
    </w:tblPr>
  </w:style>
  <w:style w:type="table" w:customStyle="1" w:styleId="affff9">
    <w:basedOn w:val="TableNormal2"/>
    <w:tblPr>
      <w:tblStyleRowBandSize w:val="1"/>
      <w:tblStyleColBandSize w:val="1"/>
      <w:tblCellMar>
        <w:left w:w="115" w:type="dxa"/>
        <w:right w:w="115" w:type="dxa"/>
      </w:tblCellMar>
    </w:tblPr>
  </w:style>
  <w:style w:type="table" w:customStyle="1" w:styleId="affffa">
    <w:basedOn w:val="TableNormal2"/>
    <w:tblPr>
      <w:tblStyleRowBandSize w:val="1"/>
      <w:tblStyleColBandSize w:val="1"/>
      <w:tblCellMar>
        <w:left w:w="115" w:type="dxa"/>
        <w:right w:w="115" w:type="dxa"/>
      </w:tblCellMar>
    </w:tblPr>
  </w:style>
  <w:style w:type="table" w:customStyle="1" w:styleId="affffb">
    <w:basedOn w:val="TableNormal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1E141A"/>
    <w:pPr>
      <w:tabs>
        <w:tab w:val="num" w:pos="720"/>
      </w:tabs>
      <w:spacing w:after="0" w:line="240" w:lineRule="auto"/>
      <w:ind w:left="720" w:hanging="720"/>
      <w:contextualSpacing/>
    </w:pPr>
    <w:rPr>
      <w:rFonts w:ascii="Times New Roman" w:eastAsia="Times New Roman" w:hAnsi="Times New Roman" w:cs="Times New Roman"/>
      <w:sz w:val="24"/>
      <w:szCs w:val="24"/>
      <w:lang w:val="es-ES"/>
    </w:rPr>
  </w:style>
  <w:style w:type="table" w:customStyle="1" w:styleId="affffc">
    <w:basedOn w:val="TableNormal1"/>
    <w:tblPr>
      <w:tblStyleRowBandSize w:val="1"/>
      <w:tblStyleColBandSize w:val="1"/>
      <w:tblCellMar>
        <w:left w:w="115" w:type="dxa"/>
        <w:right w:w="115" w:type="dxa"/>
      </w:tblCellMar>
    </w:tblPr>
  </w:style>
  <w:style w:type="table" w:customStyle="1" w:styleId="affffd">
    <w:basedOn w:val="TableNormal1"/>
    <w:tblPr>
      <w:tblStyleRowBandSize w:val="1"/>
      <w:tblStyleColBandSize w:val="1"/>
      <w:tblCellMar>
        <w:left w:w="115" w:type="dxa"/>
        <w:right w:w="115" w:type="dxa"/>
      </w:tblCellMar>
    </w:tblPr>
  </w:style>
  <w:style w:type="table" w:customStyle="1" w:styleId="affffe">
    <w:basedOn w:val="TableNormal1"/>
    <w:tblPr>
      <w:tblStyleRowBandSize w:val="1"/>
      <w:tblStyleColBandSize w:val="1"/>
      <w:tblCellMar>
        <w:left w:w="115" w:type="dxa"/>
        <w:right w:w="115" w:type="dxa"/>
      </w:tblCellMar>
    </w:tblPr>
  </w:style>
  <w:style w:type="table" w:customStyle="1" w:styleId="afffff">
    <w:basedOn w:val="TableNormal1"/>
    <w:tblPr>
      <w:tblStyleRowBandSize w:val="1"/>
      <w:tblStyleColBandSize w:val="1"/>
      <w:tblCellMar>
        <w:left w:w="115" w:type="dxa"/>
        <w:right w:w="115" w:type="dxa"/>
      </w:tblCellMar>
    </w:tblPr>
  </w:style>
  <w:style w:type="table" w:customStyle="1" w:styleId="afffff0">
    <w:basedOn w:val="TableNormal1"/>
    <w:tblPr>
      <w:tblStyleRowBandSize w:val="1"/>
      <w:tblStyleColBandSize w:val="1"/>
      <w:tblCellMar>
        <w:left w:w="115" w:type="dxa"/>
        <w:right w:w="115" w:type="dxa"/>
      </w:tblCellMar>
    </w:tblPr>
  </w:style>
  <w:style w:type="table" w:customStyle="1" w:styleId="afffff1">
    <w:basedOn w:val="TableNormal1"/>
    <w:tblPr>
      <w:tblStyleRowBandSize w:val="1"/>
      <w:tblStyleColBandSize w:val="1"/>
      <w:tblCellMar>
        <w:left w:w="115" w:type="dxa"/>
        <w:right w:w="115" w:type="dxa"/>
      </w:tblCellMar>
    </w:tblPr>
  </w:style>
  <w:style w:type="table" w:customStyle="1" w:styleId="afffff2">
    <w:basedOn w:val="TableNormal1"/>
    <w:tblPr>
      <w:tblStyleRowBandSize w:val="1"/>
      <w:tblStyleColBandSize w:val="1"/>
      <w:tblCellMar>
        <w:left w:w="115" w:type="dxa"/>
        <w:right w:w="115" w:type="dxa"/>
      </w:tblCellMar>
    </w:tblPr>
  </w:style>
  <w:style w:type="table" w:customStyle="1" w:styleId="afffff3">
    <w:basedOn w:val="TableNormal0"/>
    <w:tblPr>
      <w:tblStyleRowBandSize w:val="1"/>
      <w:tblStyleColBandSize w:val="1"/>
      <w:tblCellMar>
        <w:left w:w="115" w:type="dxa"/>
        <w:right w:w="115" w:type="dxa"/>
      </w:tblCellMar>
    </w:tblPr>
  </w:style>
  <w:style w:type="table" w:customStyle="1" w:styleId="afffff4">
    <w:basedOn w:val="TableNormal0"/>
    <w:tblPr>
      <w:tblStyleRowBandSize w:val="1"/>
      <w:tblStyleColBandSize w:val="1"/>
      <w:tblCellMar>
        <w:left w:w="115" w:type="dxa"/>
        <w:right w:w="115" w:type="dxa"/>
      </w:tblCellMar>
    </w:tblPr>
  </w:style>
  <w:style w:type="table" w:customStyle="1" w:styleId="afffff5">
    <w:basedOn w:val="TableNormal0"/>
    <w:tblPr>
      <w:tblStyleRowBandSize w:val="1"/>
      <w:tblStyleColBandSize w:val="1"/>
      <w:tblCellMar>
        <w:left w:w="115" w:type="dxa"/>
        <w:right w:w="115" w:type="dxa"/>
      </w:tblCellMar>
    </w:tblPr>
  </w:style>
  <w:style w:type="table" w:customStyle="1" w:styleId="afffff6">
    <w:basedOn w:val="TableNormal0"/>
    <w:tblPr>
      <w:tblStyleRowBandSize w:val="1"/>
      <w:tblStyleColBandSize w:val="1"/>
      <w:tblCellMar>
        <w:left w:w="115" w:type="dxa"/>
        <w:right w:w="115" w:type="dxa"/>
      </w:tblCellMar>
    </w:tblPr>
  </w:style>
  <w:style w:type="table" w:customStyle="1" w:styleId="afffff7">
    <w:basedOn w:val="TableNormal0"/>
    <w:tblPr>
      <w:tblStyleRowBandSize w:val="1"/>
      <w:tblStyleColBandSize w:val="1"/>
      <w:tblCellMar>
        <w:left w:w="115" w:type="dxa"/>
        <w:right w:w="115" w:type="dxa"/>
      </w:tblCellMar>
    </w:tblPr>
  </w:style>
  <w:style w:type="table" w:customStyle="1" w:styleId="afffff8">
    <w:basedOn w:val="TableNormal0"/>
    <w:tblPr>
      <w:tblStyleRowBandSize w:val="1"/>
      <w:tblStyleColBandSize w:val="1"/>
      <w:tblCellMar>
        <w:left w:w="115" w:type="dxa"/>
        <w:right w:w="115" w:type="dxa"/>
      </w:tblCellMar>
    </w:tblPr>
  </w:style>
  <w:style w:type="table" w:customStyle="1" w:styleId="afffff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LqlsKKtjrtfAZsqed9xS9ZZxRQ==">CgMxLjAyDmgud2Rtc2tjOWc1MXhkMgloLjFmb2I5dGUyCWguM3pueXNoNzIIaC50eWpjd3QyDmguZzRkaWZwaGZndmRsMgloLjNyZGNyam4yDmguaTVyZXRxejdpYWFsMgloLjJldDkycDAyCWguMmV0OTJwMDgAciExNHo4ZGQ0dTFPekFndjRmZFhjOXhsWEozMmc2Mk5odFA=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6421</Words>
  <Characters>35321</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2025-05-16T19:40:00Z</cp:lastPrinted>
  <dcterms:created xsi:type="dcterms:W3CDTF">2025-06-02T22:47:00Z</dcterms:created>
  <dcterms:modified xsi:type="dcterms:W3CDTF">2025-06-02T22:47:00Z</dcterms:modified>
</cp:coreProperties>
</file>