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685EA80" w14:textId="77777777" w:rsidR="00342378" w:rsidRPr="00176DC8" w:rsidRDefault="00342378" w:rsidP="004A7CCB">
          <w:pPr>
            <w:pStyle w:val="TtuloTDC"/>
            <w:spacing w:before="0" w:line="360" w:lineRule="auto"/>
            <w:rPr>
              <w:rFonts w:ascii="Palatino Linotype" w:hAnsi="Palatino Linotype"/>
              <w:color w:val="auto"/>
              <w:sz w:val="22"/>
              <w:szCs w:val="22"/>
            </w:rPr>
          </w:pPr>
          <w:r w:rsidRPr="00176DC8">
            <w:rPr>
              <w:rFonts w:ascii="Palatino Linotype" w:hAnsi="Palatino Linotype"/>
              <w:color w:val="auto"/>
              <w:sz w:val="22"/>
              <w:szCs w:val="22"/>
              <w:lang w:val="es-ES"/>
            </w:rPr>
            <w:t>Contenido</w:t>
          </w:r>
        </w:p>
        <w:p w14:paraId="1C5EBE4E" w14:textId="77777777" w:rsidR="00176DC8" w:rsidRPr="00176DC8" w:rsidRDefault="00342378">
          <w:pPr>
            <w:pStyle w:val="TDC1"/>
            <w:tabs>
              <w:tab w:val="right" w:leader="dot" w:pos="9034"/>
            </w:tabs>
            <w:rPr>
              <w:rFonts w:asciiTheme="minorHAnsi" w:eastAsiaTheme="minorEastAsia" w:hAnsiTheme="minorHAnsi" w:cstheme="minorBidi"/>
              <w:noProof/>
              <w:sz w:val="22"/>
              <w:szCs w:val="22"/>
              <w:lang w:eastAsia="es-MX"/>
            </w:rPr>
          </w:pPr>
          <w:r w:rsidRPr="00176DC8">
            <w:rPr>
              <w:rFonts w:ascii="Palatino Linotype" w:hAnsi="Palatino Linotype"/>
              <w:bCs/>
              <w:sz w:val="22"/>
              <w:szCs w:val="22"/>
              <w:lang w:val="es-ES"/>
            </w:rPr>
            <w:fldChar w:fldCharType="begin"/>
          </w:r>
          <w:r w:rsidRPr="00176DC8">
            <w:rPr>
              <w:rFonts w:ascii="Palatino Linotype" w:hAnsi="Palatino Linotype"/>
              <w:bCs/>
              <w:sz w:val="22"/>
              <w:szCs w:val="22"/>
              <w:lang w:val="es-ES"/>
            </w:rPr>
            <w:instrText xml:space="preserve"> TOC \o "1-3" \h \z \u </w:instrText>
          </w:r>
          <w:r w:rsidRPr="00176DC8">
            <w:rPr>
              <w:rFonts w:ascii="Palatino Linotype" w:hAnsi="Palatino Linotype"/>
              <w:bCs/>
              <w:sz w:val="22"/>
              <w:szCs w:val="22"/>
              <w:lang w:val="es-ES"/>
            </w:rPr>
            <w:fldChar w:fldCharType="separate"/>
          </w:r>
          <w:hyperlink w:anchor="_Toc206684678" w:history="1">
            <w:r w:rsidR="00176DC8" w:rsidRPr="00176DC8">
              <w:rPr>
                <w:rStyle w:val="Hipervnculo"/>
                <w:rFonts w:ascii="Palatino Linotype" w:hAnsi="Palatino Linotype"/>
                <w:noProof/>
              </w:rPr>
              <w:t>A N T E C E D E N T E S</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_Toc206684678 \h </w:instrText>
            </w:r>
            <w:r w:rsidR="00176DC8" w:rsidRPr="00176DC8">
              <w:rPr>
                <w:noProof/>
                <w:webHidden/>
              </w:rPr>
            </w:r>
            <w:r w:rsidR="00176DC8" w:rsidRPr="00176DC8">
              <w:rPr>
                <w:noProof/>
                <w:webHidden/>
              </w:rPr>
              <w:fldChar w:fldCharType="separate"/>
            </w:r>
            <w:r w:rsidR="00180DB2">
              <w:rPr>
                <w:noProof/>
                <w:webHidden/>
              </w:rPr>
              <w:t>2</w:t>
            </w:r>
            <w:r w:rsidR="00176DC8" w:rsidRPr="00176DC8">
              <w:rPr>
                <w:noProof/>
                <w:webHidden/>
              </w:rPr>
              <w:fldChar w:fldCharType="end"/>
            </w:r>
          </w:hyperlink>
        </w:p>
        <w:p w14:paraId="79B78947" w14:textId="77777777" w:rsidR="00176DC8" w:rsidRPr="00176DC8" w:rsidRDefault="009503B3">
          <w:pPr>
            <w:pStyle w:val="TDC2"/>
            <w:tabs>
              <w:tab w:val="right" w:leader="dot" w:pos="9034"/>
            </w:tabs>
            <w:rPr>
              <w:rFonts w:asciiTheme="minorHAnsi" w:eastAsiaTheme="minorEastAsia" w:hAnsiTheme="minorHAnsi" w:cstheme="minorBidi"/>
              <w:noProof/>
              <w:sz w:val="22"/>
              <w:szCs w:val="22"/>
              <w:lang w:eastAsia="es-MX"/>
            </w:rPr>
          </w:pPr>
          <w:hyperlink w:anchor="_Toc206684679" w:history="1">
            <w:r w:rsidR="00176DC8" w:rsidRPr="00176DC8">
              <w:rPr>
                <w:rStyle w:val="Hipervnculo"/>
                <w:rFonts w:ascii="Palatino Linotype" w:hAnsi="Palatino Linotype"/>
                <w:noProof/>
              </w:rPr>
              <w:t>I. Presentación de la solicitud de información</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_Toc206684679 \h </w:instrText>
            </w:r>
            <w:r w:rsidR="00176DC8" w:rsidRPr="00176DC8">
              <w:rPr>
                <w:noProof/>
                <w:webHidden/>
              </w:rPr>
            </w:r>
            <w:r w:rsidR="00176DC8" w:rsidRPr="00176DC8">
              <w:rPr>
                <w:noProof/>
                <w:webHidden/>
              </w:rPr>
              <w:fldChar w:fldCharType="separate"/>
            </w:r>
            <w:r w:rsidR="00180DB2">
              <w:rPr>
                <w:noProof/>
                <w:webHidden/>
              </w:rPr>
              <w:t>2</w:t>
            </w:r>
            <w:r w:rsidR="00176DC8" w:rsidRPr="00176DC8">
              <w:rPr>
                <w:noProof/>
                <w:webHidden/>
              </w:rPr>
              <w:fldChar w:fldCharType="end"/>
            </w:r>
          </w:hyperlink>
        </w:p>
        <w:p w14:paraId="111A6BEC" w14:textId="77777777" w:rsidR="00176DC8" w:rsidRPr="00176DC8" w:rsidRDefault="009503B3">
          <w:pPr>
            <w:pStyle w:val="TDC2"/>
            <w:tabs>
              <w:tab w:val="right" w:leader="dot" w:pos="9034"/>
            </w:tabs>
            <w:rPr>
              <w:rFonts w:asciiTheme="minorHAnsi" w:eastAsiaTheme="minorEastAsia" w:hAnsiTheme="minorHAnsi" w:cstheme="minorBidi"/>
              <w:noProof/>
              <w:sz w:val="22"/>
              <w:szCs w:val="22"/>
              <w:lang w:eastAsia="es-MX"/>
            </w:rPr>
          </w:pPr>
          <w:hyperlink w:anchor="_Toc206684680" w:history="1">
            <w:r w:rsidR="00176DC8" w:rsidRPr="00176DC8">
              <w:rPr>
                <w:rStyle w:val="Hipervnculo"/>
                <w:rFonts w:ascii="Palatino Linotype" w:hAnsi="Palatino Linotype" w:cs="Tahoma"/>
                <w:noProof/>
              </w:rPr>
              <w:t>II. Respuesta del Sujeto Obligado</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_Toc206684680 \h </w:instrText>
            </w:r>
            <w:r w:rsidR="00176DC8" w:rsidRPr="00176DC8">
              <w:rPr>
                <w:noProof/>
                <w:webHidden/>
              </w:rPr>
            </w:r>
            <w:r w:rsidR="00176DC8" w:rsidRPr="00176DC8">
              <w:rPr>
                <w:noProof/>
                <w:webHidden/>
              </w:rPr>
              <w:fldChar w:fldCharType="separate"/>
            </w:r>
            <w:r w:rsidR="00180DB2">
              <w:rPr>
                <w:noProof/>
                <w:webHidden/>
              </w:rPr>
              <w:t>4</w:t>
            </w:r>
            <w:r w:rsidR="00176DC8" w:rsidRPr="00176DC8">
              <w:rPr>
                <w:noProof/>
                <w:webHidden/>
              </w:rPr>
              <w:fldChar w:fldCharType="end"/>
            </w:r>
          </w:hyperlink>
        </w:p>
        <w:p w14:paraId="3DAAEB6A" w14:textId="77777777" w:rsidR="00176DC8" w:rsidRPr="00176DC8" w:rsidRDefault="009503B3">
          <w:pPr>
            <w:pStyle w:val="TDC2"/>
            <w:tabs>
              <w:tab w:val="right" w:leader="dot" w:pos="9034"/>
            </w:tabs>
            <w:rPr>
              <w:rFonts w:asciiTheme="minorHAnsi" w:eastAsiaTheme="minorEastAsia" w:hAnsiTheme="minorHAnsi" w:cstheme="minorBidi"/>
              <w:noProof/>
              <w:sz w:val="22"/>
              <w:szCs w:val="22"/>
              <w:lang w:eastAsia="es-MX"/>
            </w:rPr>
          </w:pPr>
          <w:hyperlink w:anchor="_Toc206684681" w:history="1">
            <w:r w:rsidR="00176DC8" w:rsidRPr="00176DC8">
              <w:rPr>
                <w:rStyle w:val="Hipervnculo"/>
                <w:rFonts w:ascii="Palatino Linotype" w:hAnsi="Palatino Linotype" w:cs="Tahoma"/>
                <w:noProof/>
              </w:rPr>
              <w:t>III. Interposición del Recurso de Revisión</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_Toc206684681 \h </w:instrText>
            </w:r>
            <w:r w:rsidR="00176DC8" w:rsidRPr="00176DC8">
              <w:rPr>
                <w:noProof/>
                <w:webHidden/>
              </w:rPr>
            </w:r>
            <w:r w:rsidR="00176DC8" w:rsidRPr="00176DC8">
              <w:rPr>
                <w:noProof/>
                <w:webHidden/>
              </w:rPr>
              <w:fldChar w:fldCharType="separate"/>
            </w:r>
            <w:r w:rsidR="00180DB2">
              <w:rPr>
                <w:noProof/>
                <w:webHidden/>
              </w:rPr>
              <w:t>5</w:t>
            </w:r>
            <w:r w:rsidR="00176DC8" w:rsidRPr="00176DC8">
              <w:rPr>
                <w:noProof/>
                <w:webHidden/>
              </w:rPr>
              <w:fldChar w:fldCharType="end"/>
            </w:r>
          </w:hyperlink>
        </w:p>
        <w:p w14:paraId="61162190" w14:textId="77777777" w:rsidR="00176DC8" w:rsidRPr="00176DC8" w:rsidRDefault="009503B3">
          <w:pPr>
            <w:pStyle w:val="TDC2"/>
            <w:tabs>
              <w:tab w:val="right" w:leader="dot" w:pos="9034"/>
            </w:tabs>
            <w:rPr>
              <w:rFonts w:asciiTheme="minorHAnsi" w:eastAsiaTheme="minorEastAsia" w:hAnsiTheme="minorHAnsi" w:cstheme="minorBidi"/>
              <w:noProof/>
              <w:sz w:val="22"/>
              <w:szCs w:val="22"/>
              <w:lang w:eastAsia="es-MX"/>
            </w:rPr>
          </w:pPr>
          <w:hyperlink w:anchor="_Toc206684682" w:history="1">
            <w:r w:rsidR="00176DC8" w:rsidRPr="00176DC8">
              <w:rPr>
                <w:rStyle w:val="Hipervnculo"/>
                <w:rFonts w:ascii="Palatino Linotype" w:hAnsi="Palatino Linotype"/>
                <w:noProof/>
              </w:rPr>
              <w:t>IV. Trámite del Recurso de Revisión ante el Instituto</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_Toc206684682 \h </w:instrText>
            </w:r>
            <w:r w:rsidR="00176DC8" w:rsidRPr="00176DC8">
              <w:rPr>
                <w:noProof/>
                <w:webHidden/>
              </w:rPr>
            </w:r>
            <w:r w:rsidR="00176DC8" w:rsidRPr="00176DC8">
              <w:rPr>
                <w:noProof/>
                <w:webHidden/>
              </w:rPr>
              <w:fldChar w:fldCharType="separate"/>
            </w:r>
            <w:r w:rsidR="00180DB2">
              <w:rPr>
                <w:noProof/>
                <w:webHidden/>
              </w:rPr>
              <w:t>6</w:t>
            </w:r>
            <w:r w:rsidR="00176DC8" w:rsidRPr="00176DC8">
              <w:rPr>
                <w:noProof/>
                <w:webHidden/>
              </w:rPr>
              <w:fldChar w:fldCharType="end"/>
            </w:r>
          </w:hyperlink>
        </w:p>
        <w:p w14:paraId="29128C46" w14:textId="77777777" w:rsidR="00176DC8" w:rsidRPr="00176DC8" w:rsidRDefault="009503B3">
          <w:pPr>
            <w:pStyle w:val="TDC3"/>
            <w:tabs>
              <w:tab w:val="right" w:leader="dot" w:pos="9034"/>
            </w:tabs>
            <w:rPr>
              <w:rFonts w:asciiTheme="minorHAnsi" w:eastAsiaTheme="minorEastAsia" w:hAnsiTheme="minorHAnsi" w:cstheme="minorBidi"/>
              <w:noProof/>
              <w:sz w:val="22"/>
              <w:szCs w:val="22"/>
              <w:lang w:eastAsia="es-MX"/>
            </w:rPr>
          </w:pPr>
          <w:hyperlink w:anchor="_Toc206684683" w:history="1">
            <w:r w:rsidR="00176DC8" w:rsidRPr="00176DC8">
              <w:rPr>
                <w:rStyle w:val="Hipervnculo"/>
                <w:rFonts w:ascii="Palatino Linotype" w:hAnsi="Palatino Linotype"/>
                <w:noProof/>
              </w:rPr>
              <w:t>a) Turno del Recurso de Revisión.</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_Toc206684683 \h </w:instrText>
            </w:r>
            <w:r w:rsidR="00176DC8" w:rsidRPr="00176DC8">
              <w:rPr>
                <w:noProof/>
                <w:webHidden/>
              </w:rPr>
            </w:r>
            <w:r w:rsidR="00176DC8" w:rsidRPr="00176DC8">
              <w:rPr>
                <w:noProof/>
                <w:webHidden/>
              </w:rPr>
              <w:fldChar w:fldCharType="separate"/>
            </w:r>
            <w:r w:rsidR="00180DB2">
              <w:rPr>
                <w:noProof/>
                <w:webHidden/>
              </w:rPr>
              <w:t>6</w:t>
            </w:r>
            <w:r w:rsidR="00176DC8" w:rsidRPr="00176DC8">
              <w:rPr>
                <w:noProof/>
                <w:webHidden/>
              </w:rPr>
              <w:fldChar w:fldCharType="end"/>
            </w:r>
          </w:hyperlink>
        </w:p>
        <w:p w14:paraId="479C0FAD" w14:textId="77777777" w:rsidR="00176DC8" w:rsidRPr="00176DC8" w:rsidRDefault="009503B3">
          <w:pPr>
            <w:pStyle w:val="TDC3"/>
            <w:tabs>
              <w:tab w:val="right" w:leader="dot" w:pos="9034"/>
            </w:tabs>
            <w:rPr>
              <w:rFonts w:asciiTheme="minorHAnsi" w:eastAsiaTheme="minorEastAsia" w:hAnsiTheme="minorHAnsi" w:cstheme="minorBidi"/>
              <w:noProof/>
              <w:sz w:val="22"/>
              <w:szCs w:val="22"/>
              <w:lang w:eastAsia="es-MX"/>
            </w:rPr>
          </w:pPr>
          <w:hyperlink w:anchor="_Toc206684684" w:history="1">
            <w:r w:rsidR="00176DC8" w:rsidRPr="00176DC8">
              <w:rPr>
                <w:rStyle w:val="Hipervnculo"/>
                <w:rFonts w:ascii="Palatino Linotype" w:hAnsi="Palatino Linotype"/>
                <w:noProof/>
              </w:rPr>
              <w:t>b) Admisión del Recurso de Revisión.</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_Toc206684684 \h </w:instrText>
            </w:r>
            <w:r w:rsidR="00176DC8" w:rsidRPr="00176DC8">
              <w:rPr>
                <w:noProof/>
                <w:webHidden/>
              </w:rPr>
            </w:r>
            <w:r w:rsidR="00176DC8" w:rsidRPr="00176DC8">
              <w:rPr>
                <w:noProof/>
                <w:webHidden/>
              </w:rPr>
              <w:fldChar w:fldCharType="separate"/>
            </w:r>
            <w:r w:rsidR="00180DB2">
              <w:rPr>
                <w:noProof/>
                <w:webHidden/>
              </w:rPr>
              <w:t>6</w:t>
            </w:r>
            <w:r w:rsidR="00176DC8" w:rsidRPr="00176DC8">
              <w:rPr>
                <w:noProof/>
                <w:webHidden/>
              </w:rPr>
              <w:fldChar w:fldCharType="end"/>
            </w:r>
          </w:hyperlink>
        </w:p>
        <w:p w14:paraId="49124D2B" w14:textId="77777777" w:rsidR="00176DC8" w:rsidRPr="00176DC8" w:rsidRDefault="009503B3">
          <w:pPr>
            <w:pStyle w:val="TDC3"/>
            <w:tabs>
              <w:tab w:val="right" w:leader="dot" w:pos="9034"/>
            </w:tabs>
            <w:rPr>
              <w:rFonts w:asciiTheme="minorHAnsi" w:eastAsiaTheme="minorEastAsia" w:hAnsiTheme="minorHAnsi" w:cstheme="minorBidi"/>
              <w:noProof/>
              <w:sz w:val="22"/>
              <w:szCs w:val="22"/>
              <w:lang w:eastAsia="es-MX"/>
            </w:rPr>
          </w:pPr>
          <w:hyperlink w:anchor="_Toc206684685" w:history="1">
            <w:r w:rsidR="00176DC8" w:rsidRPr="00176DC8">
              <w:rPr>
                <w:rStyle w:val="Hipervnculo"/>
                <w:rFonts w:ascii="Palatino Linotype" w:hAnsi="Palatino Linotype"/>
                <w:noProof/>
              </w:rPr>
              <w:t>c) Informe Justificado.</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_Toc206684685 \h </w:instrText>
            </w:r>
            <w:r w:rsidR="00176DC8" w:rsidRPr="00176DC8">
              <w:rPr>
                <w:noProof/>
                <w:webHidden/>
              </w:rPr>
            </w:r>
            <w:r w:rsidR="00176DC8" w:rsidRPr="00176DC8">
              <w:rPr>
                <w:noProof/>
                <w:webHidden/>
              </w:rPr>
              <w:fldChar w:fldCharType="separate"/>
            </w:r>
            <w:r w:rsidR="00180DB2">
              <w:rPr>
                <w:noProof/>
                <w:webHidden/>
              </w:rPr>
              <w:t>6</w:t>
            </w:r>
            <w:r w:rsidR="00176DC8" w:rsidRPr="00176DC8">
              <w:rPr>
                <w:noProof/>
                <w:webHidden/>
              </w:rPr>
              <w:fldChar w:fldCharType="end"/>
            </w:r>
          </w:hyperlink>
        </w:p>
        <w:p w14:paraId="5E2744FC" w14:textId="77777777" w:rsidR="00176DC8" w:rsidRPr="00176DC8" w:rsidRDefault="009503B3">
          <w:pPr>
            <w:pStyle w:val="TDC3"/>
            <w:tabs>
              <w:tab w:val="right" w:leader="dot" w:pos="9034"/>
            </w:tabs>
            <w:rPr>
              <w:rFonts w:asciiTheme="minorHAnsi" w:eastAsiaTheme="minorEastAsia" w:hAnsiTheme="minorHAnsi" w:cstheme="minorBidi"/>
              <w:noProof/>
              <w:sz w:val="22"/>
              <w:szCs w:val="22"/>
              <w:lang w:eastAsia="es-MX"/>
            </w:rPr>
          </w:pPr>
          <w:hyperlink w:anchor="_Toc206684686" w:history="1">
            <w:r w:rsidR="00176DC8" w:rsidRPr="00176DC8">
              <w:rPr>
                <w:rStyle w:val="Hipervnculo"/>
                <w:rFonts w:ascii="Palatino Linotype" w:hAnsi="Palatino Linotype"/>
                <w:noProof/>
              </w:rPr>
              <w:t>d) Vista del Informe Justificado.</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_Toc206684686 \h </w:instrText>
            </w:r>
            <w:r w:rsidR="00176DC8" w:rsidRPr="00176DC8">
              <w:rPr>
                <w:noProof/>
                <w:webHidden/>
              </w:rPr>
            </w:r>
            <w:r w:rsidR="00176DC8" w:rsidRPr="00176DC8">
              <w:rPr>
                <w:noProof/>
                <w:webHidden/>
              </w:rPr>
              <w:fldChar w:fldCharType="separate"/>
            </w:r>
            <w:r w:rsidR="00180DB2">
              <w:rPr>
                <w:noProof/>
                <w:webHidden/>
              </w:rPr>
              <w:t>7</w:t>
            </w:r>
            <w:r w:rsidR="00176DC8" w:rsidRPr="00176DC8">
              <w:rPr>
                <w:noProof/>
                <w:webHidden/>
              </w:rPr>
              <w:fldChar w:fldCharType="end"/>
            </w:r>
          </w:hyperlink>
        </w:p>
        <w:p w14:paraId="238E53A3" w14:textId="77777777" w:rsidR="00176DC8" w:rsidRPr="00176DC8" w:rsidRDefault="009503B3">
          <w:pPr>
            <w:pStyle w:val="TDC3"/>
            <w:tabs>
              <w:tab w:val="right" w:leader="dot" w:pos="9034"/>
            </w:tabs>
            <w:rPr>
              <w:rFonts w:asciiTheme="minorHAnsi" w:eastAsiaTheme="minorEastAsia" w:hAnsiTheme="minorHAnsi" w:cstheme="minorBidi"/>
              <w:noProof/>
              <w:sz w:val="22"/>
              <w:szCs w:val="22"/>
              <w:lang w:eastAsia="es-MX"/>
            </w:rPr>
          </w:pPr>
          <w:hyperlink w:anchor="_Toc206684687" w:history="1">
            <w:r w:rsidR="00176DC8" w:rsidRPr="00176DC8">
              <w:rPr>
                <w:rStyle w:val="Hipervnculo"/>
                <w:rFonts w:ascii="Palatino Linotype" w:hAnsi="Palatino Linotype"/>
                <w:noProof/>
              </w:rPr>
              <w:t>e) Cierre de instrucción</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_Toc206684687 \h </w:instrText>
            </w:r>
            <w:r w:rsidR="00176DC8" w:rsidRPr="00176DC8">
              <w:rPr>
                <w:noProof/>
                <w:webHidden/>
              </w:rPr>
            </w:r>
            <w:r w:rsidR="00176DC8" w:rsidRPr="00176DC8">
              <w:rPr>
                <w:noProof/>
                <w:webHidden/>
              </w:rPr>
              <w:fldChar w:fldCharType="separate"/>
            </w:r>
            <w:r w:rsidR="00180DB2">
              <w:rPr>
                <w:noProof/>
                <w:webHidden/>
              </w:rPr>
              <w:t>7</w:t>
            </w:r>
            <w:r w:rsidR="00176DC8" w:rsidRPr="00176DC8">
              <w:rPr>
                <w:noProof/>
                <w:webHidden/>
              </w:rPr>
              <w:fldChar w:fldCharType="end"/>
            </w:r>
          </w:hyperlink>
        </w:p>
        <w:p w14:paraId="262B50C2" w14:textId="77777777" w:rsidR="00176DC8" w:rsidRPr="00176DC8" w:rsidRDefault="009503B3">
          <w:pPr>
            <w:pStyle w:val="TDC1"/>
            <w:tabs>
              <w:tab w:val="right" w:leader="dot" w:pos="9034"/>
            </w:tabs>
            <w:rPr>
              <w:rFonts w:asciiTheme="minorHAnsi" w:eastAsiaTheme="minorEastAsia" w:hAnsiTheme="minorHAnsi" w:cstheme="minorBidi"/>
              <w:noProof/>
              <w:sz w:val="22"/>
              <w:szCs w:val="22"/>
              <w:lang w:eastAsia="es-MX"/>
            </w:rPr>
          </w:pPr>
          <w:hyperlink w:anchor="_Toc206684688" w:history="1">
            <w:r w:rsidR="00176DC8" w:rsidRPr="00176DC8">
              <w:rPr>
                <w:rStyle w:val="Hipervnculo"/>
                <w:rFonts w:ascii="Palatino Linotype" w:hAnsi="Palatino Linotype"/>
                <w:noProof/>
              </w:rPr>
              <w:t>C O N S I D E R A N D O S</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_Toc206684688 \h </w:instrText>
            </w:r>
            <w:r w:rsidR="00176DC8" w:rsidRPr="00176DC8">
              <w:rPr>
                <w:noProof/>
                <w:webHidden/>
              </w:rPr>
            </w:r>
            <w:r w:rsidR="00176DC8" w:rsidRPr="00176DC8">
              <w:rPr>
                <w:noProof/>
                <w:webHidden/>
              </w:rPr>
              <w:fldChar w:fldCharType="separate"/>
            </w:r>
            <w:r w:rsidR="00180DB2">
              <w:rPr>
                <w:noProof/>
                <w:webHidden/>
              </w:rPr>
              <w:t>7</w:t>
            </w:r>
            <w:r w:rsidR="00176DC8" w:rsidRPr="00176DC8">
              <w:rPr>
                <w:noProof/>
                <w:webHidden/>
              </w:rPr>
              <w:fldChar w:fldCharType="end"/>
            </w:r>
          </w:hyperlink>
        </w:p>
        <w:p w14:paraId="66C5F352" w14:textId="77777777" w:rsidR="00176DC8" w:rsidRPr="00176DC8" w:rsidRDefault="009503B3">
          <w:pPr>
            <w:pStyle w:val="TDC2"/>
            <w:tabs>
              <w:tab w:val="right" w:leader="dot" w:pos="9034"/>
            </w:tabs>
            <w:rPr>
              <w:rFonts w:asciiTheme="minorHAnsi" w:eastAsiaTheme="minorEastAsia" w:hAnsiTheme="minorHAnsi" w:cstheme="minorBidi"/>
              <w:noProof/>
              <w:sz w:val="22"/>
              <w:szCs w:val="22"/>
              <w:lang w:eastAsia="es-MX"/>
            </w:rPr>
          </w:pPr>
          <w:hyperlink w:anchor="_Toc206684689" w:history="1">
            <w:r w:rsidR="00176DC8" w:rsidRPr="00176DC8">
              <w:rPr>
                <w:rStyle w:val="Hipervnculo"/>
                <w:rFonts w:ascii="Palatino Linotype" w:eastAsia="Calibri" w:hAnsi="Palatino Linotype"/>
                <w:noProof/>
                <w:lang w:eastAsia="es-MX"/>
              </w:rPr>
              <w:t xml:space="preserve">PRIMERO. </w:t>
            </w:r>
            <w:r w:rsidR="00176DC8" w:rsidRPr="00176DC8">
              <w:rPr>
                <w:rStyle w:val="Hipervnculo"/>
                <w:rFonts w:ascii="Palatino Linotype" w:hAnsi="Palatino Linotype"/>
                <w:noProof/>
              </w:rPr>
              <w:t>Competencia</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_Toc206684689 \h </w:instrText>
            </w:r>
            <w:r w:rsidR="00176DC8" w:rsidRPr="00176DC8">
              <w:rPr>
                <w:noProof/>
                <w:webHidden/>
              </w:rPr>
            </w:r>
            <w:r w:rsidR="00176DC8" w:rsidRPr="00176DC8">
              <w:rPr>
                <w:noProof/>
                <w:webHidden/>
              </w:rPr>
              <w:fldChar w:fldCharType="separate"/>
            </w:r>
            <w:r w:rsidR="00180DB2">
              <w:rPr>
                <w:noProof/>
                <w:webHidden/>
              </w:rPr>
              <w:t>7</w:t>
            </w:r>
            <w:r w:rsidR="00176DC8" w:rsidRPr="00176DC8">
              <w:rPr>
                <w:noProof/>
                <w:webHidden/>
              </w:rPr>
              <w:fldChar w:fldCharType="end"/>
            </w:r>
          </w:hyperlink>
        </w:p>
        <w:p w14:paraId="5314909E" w14:textId="77777777" w:rsidR="00176DC8" w:rsidRPr="00176DC8" w:rsidRDefault="009503B3">
          <w:pPr>
            <w:pStyle w:val="TDC2"/>
            <w:tabs>
              <w:tab w:val="right" w:leader="dot" w:pos="9034"/>
            </w:tabs>
            <w:rPr>
              <w:rFonts w:asciiTheme="minorHAnsi" w:eastAsiaTheme="minorEastAsia" w:hAnsiTheme="minorHAnsi" w:cstheme="minorBidi"/>
              <w:noProof/>
              <w:sz w:val="22"/>
              <w:szCs w:val="22"/>
              <w:lang w:eastAsia="es-MX"/>
            </w:rPr>
          </w:pPr>
          <w:hyperlink w:anchor="_Toc206684690" w:history="1">
            <w:r w:rsidR="00176DC8" w:rsidRPr="00176DC8">
              <w:rPr>
                <w:rStyle w:val="Hipervnculo"/>
                <w:rFonts w:ascii="Palatino Linotype" w:eastAsia="Palatino Linotype" w:hAnsi="Palatino Linotype" w:cs="Palatino Linotype"/>
                <w:noProof/>
                <w:lang w:eastAsia="es-MX"/>
              </w:rPr>
              <w:t>TERCERO. Causales de sobreseimiento</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_Toc206684690 \h </w:instrText>
            </w:r>
            <w:r w:rsidR="00176DC8" w:rsidRPr="00176DC8">
              <w:rPr>
                <w:noProof/>
                <w:webHidden/>
              </w:rPr>
            </w:r>
            <w:r w:rsidR="00176DC8" w:rsidRPr="00176DC8">
              <w:rPr>
                <w:noProof/>
                <w:webHidden/>
              </w:rPr>
              <w:fldChar w:fldCharType="separate"/>
            </w:r>
            <w:r w:rsidR="00180DB2">
              <w:rPr>
                <w:noProof/>
                <w:webHidden/>
              </w:rPr>
              <w:t>9</w:t>
            </w:r>
            <w:r w:rsidR="00176DC8" w:rsidRPr="00176DC8">
              <w:rPr>
                <w:noProof/>
                <w:webHidden/>
              </w:rPr>
              <w:fldChar w:fldCharType="end"/>
            </w:r>
          </w:hyperlink>
        </w:p>
        <w:p w14:paraId="56FCD297" w14:textId="77777777" w:rsidR="00176DC8" w:rsidRPr="00176DC8" w:rsidRDefault="009503B3">
          <w:pPr>
            <w:pStyle w:val="TDC2"/>
            <w:tabs>
              <w:tab w:val="right" w:leader="dot" w:pos="9034"/>
            </w:tabs>
            <w:rPr>
              <w:rFonts w:asciiTheme="minorHAnsi" w:eastAsiaTheme="minorEastAsia" w:hAnsiTheme="minorHAnsi" w:cstheme="minorBidi"/>
              <w:noProof/>
              <w:sz w:val="22"/>
              <w:szCs w:val="22"/>
              <w:lang w:eastAsia="es-MX"/>
            </w:rPr>
          </w:pPr>
          <w:hyperlink w:anchor="_Toc206684691" w:history="1">
            <w:r w:rsidR="00176DC8" w:rsidRPr="00176DC8">
              <w:rPr>
                <w:rStyle w:val="Hipervnculo"/>
                <w:rFonts w:ascii="Palatino Linotype" w:hAnsi="Palatino Linotype"/>
                <w:bCs/>
                <w:noProof/>
                <w:lang w:val="es-ES"/>
              </w:rPr>
              <w:t>CUARTO. Decisión.</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_Toc206684691 \h </w:instrText>
            </w:r>
            <w:r w:rsidR="00176DC8" w:rsidRPr="00176DC8">
              <w:rPr>
                <w:noProof/>
                <w:webHidden/>
              </w:rPr>
            </w:r>
            <w:r w:rsidR="00176DC8" w:rsidRPr="00176DC8">
              <w:rPr>
                <w:noProof/>
                <w:webHidden/>
              </w:rPr>
              <w:fldChar w:fldCharType="separate"/>
            </w:r>
            <w:r w:rsidR="00180DB2">
              <w:rPr>
                <w:noProof/>
                <w:webHidden/>
              </w:rPr>
              <w:t>15</w:t>
            </w:r>
            <w:r w:rsidR="00176DC8" w:rsidRPr="00176DC8">
              <w:rPr>
                <w:noProof/>
                <w:webHidden/>
              </w:rPr>
              <w:fldChar w:fldCharType="end"/>
            </w:r>
          </w:hyperlink>
        </w:p>
        <w:p w14:paraId="3C27D8DA" w14:textId="77777777" w:rsidR="00176DC8" w:rsidRPr="00176DC8" w:rsidRDefault="009503B3">
          <w:pPr>
            <w:pStyle w:val="TDC1"/>
            <w:tabs>
              <w:tab w:val="right" w:leader="dot" w:pos="9034"/>
            </w:tabs>
            <w:rPr>
              <w:rFonts w:asciiTheme="minorHAnsi" w:eastAsiaTheme="minorEastAsia" w:hAnsiTheme="minorHAnsi" w:cstheme="minorBidi"/>
              <w:noProof/>
              <w:sz w:val="22"/>
              <w:szCs w:val="22"/>
              <w:lang w:eastAsia="es-MX"/>
            </w:rPr>
          </w:pPr>
          <w:hyperlink w:anchor="_Toc206684692" w:history="1">
            <w:r w:rsidR="00176DC8" w:rsidRPr="00176DC8">
              <w:rPr>
                <w:rStyle w:val="Hipervnculo"/>
                <w:rFonts w:ascii="Palatino Linotype" w:eastAsia="Calibri" w:hAnsi="Palatino Linotype"/>
                <w:bCs/>
                <w:noProof/>
                <w:lang w:eastAsia="en-US"/>
              </w:rPr>
              <w:t>R E S U E L V E</w:t>
            </w:r>
            <w:r w:rsidR="00176DC8" w:rsidRPr="00176DC8">
              <w:rPr>
                <w:noProof/>
                <w:webHidden/>
              </w:rPr>
              <w:tab/>
            </w:r>
            <w:r w:rsidR="00176DC8" w:rsidRPr="00176DC8">
              <w:rPr>
                <w:noProof/>
                <w:webHidden/>
              </w:rPr>
              <w:fldChar w:fldCharType="begin"/>
            </w:r>
            <w:r w:rsidR="00176DC8" w:rsidRPr="00176DC8">
              <w:rPr>
                <w:noProof/>
                <w:webHidden/>
              </w:rPr>
              <w:instrText xml:space="preserve"> PAGEREF _Toc206684692 \h </w:instrText>
            </w:r>
            <w:r w:rsidR="00176DC8" w:rsidRPr="00176DC8">
              <w:rPr>
                <w:noProof/>
                <w:webHidden/>
              </w:rPr>
            </w:r>
            <w:r w:rsidR="00176DC8" w:rsidRPr="00176DC8">
              <w:rPr>
                <w:noProof/>
                <w:webHidden/>
              </w:rPr>
              <w:fldChar w:fldCharType="separate"/>
            </w:r>
            <w:r w:rsidR="00180DB2">
              <w:rPr>
                <w:noProof/>
                <w:webHidden/>
              </w:rPr>
              <w:t>16</w:t>
            </w:r>
            <w:r w:rsidR="00176DC8" w:rsidRPr="00176DC8">
              <w:rPr>
                <w:noProof/>
                <w:webHidden/>
              </w:rPr>
              <w:fldChar w:fldCharType="end"/>
            </w:r>
          </w:hyperlink>
        </w:p>
        <w:p w14:paraId="3DC919A0" w14:textId="4BB0E682" w:rsidR="00342378" w:rsidRPr="00FB571A" w:rsidRDefault="00342378" w:rsidP="004A7CCB">
          <w:pPr>
            <w:spacing w:line="360" w:lineRule="auto"/>
          </w:pPr>
          <w:r w:rsidRPr="00176DC8">
            <w:rPr>
              <w:rFonts w:ascii="Palatino Linotype" w:hAnsi="Palatino Linotype"/>
              <w:bCs/>
              <w:sz w:val="22"/>
              <w:szCs w:val="22"/>
              <w:lang w:val="es-ES"/>
            </w:rPr>
            <w:fldChar w:fldCharType="end"/>
          </w:r>
        </w:p>
      </w:sdtContent>
    </w:sdt>
    <w:p w14:paraId="66E8DDDF" w14:textId="77777777" w:rsidR="00ED76AF" w:rsidRPr="00FB571A" w:rsidRDefault="00ED76AF" w:rsidP="004A7CCB">
      <w:pPr>
        <w:tabs>
          <w:tab w:val="left" w:pos="3969"/>
        </w:tabs>
        <w:spacing w:line="360" w:lineRule="auto"/>
        <w:contextualSpacing/>
        <w:jc w:val="both"/>
        <w:rPr>
          <w:rFonts w:ascii="Palatino Linotype" w:hAnsi="Palatino Linotype" w:cs="Tahoma"/>
          <w:bCs/>
          <w:sz w:val="22"/>
          <w:szCs w:val="22"/>
        </w:rPr>
      </w:pPr>
    </w:p>
    <w:p w14:paraId="0E94B08C" w14:textId="77777777" w:rsidR="00501E1B" w:rsidRPr="00FB571A" w:rsidRDefault="00501E1B" w:rsidP="004A7CCB">
      <w:pPr>
        <w:tabs>
          <w:tab w:val="left" w:pos="3969"/>
        </w:tabs>
        <w:spacing w:line="360" w:lineRule="auto"/>
        <w:contextualSpacing/>
        <w:jc w:val="both"/>
        <w:rPr>
          <w:rFonts w:ascii="Palatino Linotype" w:hAnsi="Palatino Linotype" w:cs="Tahoma"/>
          <w:bCs/>
          <w:sz w:val="22"/>
          <w:szCs w:val="22"/>
        </w:rPr>
      </w:pPr>
    </w:p>
    <w:p w14:paraId="794599FC" w14:textId="77777777" w:rsidR="00342378" w:rsidRPr="00FB571A" w:rsidRDefault="00342378" w:rsidP="004A7CCB">
      <w:pPr>
        <w:tabs>
          <w:tab w:val="left" w:pos="3969"/>
        </w:tabs>
        <w:spacing w:line="360" w:lineRule="auto"/>
        <w:contextualSpacing/>
        <w:jc w:val="both"/>
        <w:rPr>
          <w:rFonts w:ascii="Palatino Linotype" w:hAnsi="Palatino Linotype" w:cs="Tahoma"/>
          <w:bCs/>
          <w:sz w:val="22"/>
          <w:szCs w:val="22"/>
        </w:rPr>
      </w:pPr>
    </w:p>
    <w:p w14:paraId="7E316269" w14:textId="77777777" w:rsidR="00342378" w:rsidRPr="00FB571A" w:rsidRDefault="00342378" w:rsidP="004A7CCB">
      <w:pPr>
        <w:tabs>
          <w:tab w:val="left" w:pos="3969"/>
        </w:tabs>
        <w:spacing w:line="360" w:lineRule="auto"/>
        <w:contextualSpacing/>
        <w:jc w:val="both"/>
        <w:rPr>
          <w:rFonts w:ascii="Palatino Linotype" w:hAnsi="Palatino Linotype" w:cs="Tahoma"/>
          <w:bCs/>
          <w:sz w:val="22"/>
          <w:szCs w:val="22"/>
        </w:rPr>
      </w:pPr>
    </w:p>
    <w:p w14:paraId="47995EBD" w14:textId="77777777" w:rsidR="00342378" w:rsidRDefault="00342378" w:rsidP="004A7CCB">
      <w:pPr>
        <w:tabs>
          <w:tab w:val="left" w:pos="3969"/>
        </w:tabs>
        <w:spacing w:line="360" w:lineRule="auto"/>
        <w:contextualSpacing/>
        <w:jc w:val="both"/>
        <w:rPr>
          <w:rFonts w:ascii="Palatino Linotype" w:hAnsi="Palatino Linotype" w:cs="Tahoma"/>
          <w:bCs/>
          <w:sz w:val="22"/>
          <w:szCs w:val="22"/>
        </w:rPr>
      </w:pPr>
    </w:p>
    <w:p w14:paraId="61D45798" w14:textId="0FB56F18" w:rsidR="00DB28B1" w:rsidRDefault="00DB28B1" w:rsidP="004A7CCB">
      <w:pPr>
        <w:tabs>
          <w:tab w:val="left" w:pos="3969"/>
        </w:tabs>
        <w:spacing w:line="360" w:lineRule="auto"/>
        <w:contextualSpacing/>
        <w:jc w:val="both"/>
        <w:rPr>
          <w:rFonts w:ascii="Palatino Linotype" w:hAnsi="Palatino Linotype" w:cs="Tahoma"/>
          <w:bCs/>
          <w:sz w:val="22"/>
          <w:szCs w:val="22"/>
        </w:rPr>
      </w:pPr>
    </w:p>
    <w:p w14:paraId="3E73983A" w14:textId="73A3BEDC" w:rsidR="00642B06" w:rsidRDefault="00642B06" w:rsidP="004A7CCB">
      <w:pPr>
        <w:tabs>
          <w:tab w:val="left" w:pos="3969"/>
        </w:tabs>
        <w:spacing w:line="360" w:lineRule="auto"/>
        <w:contextualSpacing/>
        <w:jc w:val="both"/>
        <w:rPr>
          <w:rFonts w:ascii="Palatino Linotype" w:hAnsi="Palatino Linotype" w:cs="Tahoma"/>
          <w:bCs/>
          <w:sz w:val="22"/>
          <w:szCs w:val="22"/>
        </w:rPr>
      </w:pPr>
    </w:p>
    <w:p w14:paraId="6BDDFD4C" w14:textId="3E4B44B8" w:rsidR="00642B06" w:rsidRDefault="00642B06" w:rsidP="004A7CCB">
      <w:pPr>
        <w:tabs>
          <w:tab w:val="left" w:pos="3969"/>
        </w:tabs>
        <w:spacing w:line="360" w:lineRule="auto"/>
        <w:contextualSpacing/>
        <w:jc w:val="both"/>
        <w:rPr>
          <w:rFonts w:ascii="Palatino Linotype" w:hAnsi="Palatino Linotype" w:cs="Tahoma"/>
          <w:bCs/>
          <w:sz w:val="22"/>
          <w:szCs w:val="22"/>
        </w:rPr>
      </w:pPr>
    </w:p>
    <w:p w14:paraId="68982746" w14:textId="30279FDE" w:rsidR="00642B06" w:rsidRDefault="00642B06" w:rsidP="004A7CCB">
      <w:pPr>
        <w:tabs>
          <w:tab w:val="left" w:pos="3969"/>
        </w:tabs>
        <w:spacing w:line="360" w:lineRule="auto"/>
        <w:contextualSpacing/>
        <w:jc w:val="both"/>
        <w:rPr>
          <w:rFonts w:ascii="Palatino Linotype" w:hAnsi="Palatino Linotype" w:cs="Tahoma"/>
          <w:bCs/>
          <w:sz w:val="22"/>
          <w:szCs w:val="22"/>
        </w:rPr>
      </w:pPr>
    </w:p>
    <w:p w14:paraId="7B2CCFA7" w14:textId="77777777" w:rsidR="00642B06" w:rsidRDefault="00642B06" w:rsidP="004A7CCB">
      <w:pPr>
        <w:tabs>
          <w:tab w:val="left" w:pos="3969"/>
        </w:tabs>
        <w:spacing w:line="360" w:lineRule="auto"/>
        <w:contextualSpacing/>
        <w:jc w:val="both"/>
        <w:rPr>
          <w:rFonts w:ascii="Palatino Linotype" w:hAnsi="Palatino Linotype" w:cs="Tahoma"/>
          <w:bCs/>
          <w:sz w:val="22"/>
          <w:szCs w:val="22"/>
        </w:rPr>
      </w:pPr>
    </w:p>
    <w:p w14:paraId="2A314161" w14:textId="77777777" w:rsidR="00DB28B1" w:rsidRDefault="00DB28B1" w:rsidP="004A7CCB">
      <w:pPr>
        <w:tabs>
          <w:tab w:val="left" w:pos="3969"/>
        </w:tabs>
        <w:spacing w:line="360" w:lineRule="auto"/>
        <w:contextualSpacing/>
        <w:jc w:val="both"/>
        <w:rPr>
          <w:rFonts w:ascii="Palatino Linotype" w:hAnsi="Palatino Linotype" w:cs="Tahoma"/>
          <w:bCs/>
          <w:sz w:val="22"/>
          <w:szCs w:val="22"/>
        </w:rPr>
      </w:pPr>
    </w:p>
    <w:p w14:paraId="3EA5F3F0" w14:textId="77777777" w:rsidR="00DB28B1" w:rsidRPr="00FB571A" w:rsidRDefault="00DB28B1" w:rsidP="004A7CCB">
      <w:pPr>
        <w:spacing w:line="360" w:lineRule="auto"/>
        <w:contextualSpacing/>
        <w:jc w:val="both"/>
        <w:rPr>
          <w:rFonts w:ascii="Palatino Linotype" w:hAnsi="Palatino Linotype" w:cs="Tahoma"/>
          <w:bCs/>
          <w:sz w:val="22"/>
          <w:szCs w:val="22"/>
        </w:rPr>
      </w:pPr>
    </w:p>
    <w:p w14:paraId="7F8C25E2" w14:textId="3FF55557" w:rsidR="00E35DF9" w:rsidRPr="00FB571A" w:rsidRDefault="00E35DF9" w:rsidP="004A7CC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CF1D4D">
        <w:rPr>
          <w:rFonts w:ascii="Palatino Linotype" w:hAnsi="Palatino Linotype" w:cs="Tahoma"/>
          <w:bCs/>
          <w:sz w:val="22"/>
          <w:szCs w:val="22"/>
        </w:rPr>
        <w:t>veinte</w:t>
      </w:r>
      <w:r w:rsidR="004313EA">
        <w:rPr>
          <w:rFonts w:ascii="Palatino Linotype" w:hAnsi="Palatino Linotype" w:cs="Tahoma"/>
          <w:bCs/>
          <w:sz w:val="22"/>
          <w:szCs w:val="22"/>
        </w:rPr>
        <w:t xml:space="preserve"> de agosto</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3E965E4A" w14:textId="77777777" w:rsidR="00E35DF9" w:rsidRPr="00FB571A" w:rsidRDefault="00E35DF9" w:rsidP="004A7CCB">
      <w:pPr>
        <w:spacing w:line="360" w:lineRule="auto"/>
        <w:contextualSpacing/>
        <w:jc w:val="both"/>
        <w:rPr>
          <w:rFonts w:ascii="Palatino Linotype" w:hAnsi="Palatino Linotype" w:cs="Tahoma"/>
          <w:bCs/>
          <w:sz w:val="22"/>
          <w:szCs w:val="22"/>
        </w:rPr>
      </w:pPr>
    </w:p>
    <w:p w14:paraId="29AC1B38" w14:textId="41C4B064" w:rsidR="00E35DF9" w:rsidRPr="00FB571A" w:rsidRDefault="00E35DF9" w:rsidP="004A7CC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D6697F" w:rsidRPr="001631AD">
        <w:rPr>
          <w:rFonts w:ascii="Palatino Linotype" w:hAnsi="Palatino Linotype" w:cs="Tahoma"/>
          <w:b/>
          <w:color w:val="0D0D0D" w:themeColor="text1" w:themeTint="F2"/>
          <w:sz w:val="22"/>
          <w:szCs w:val="22"/>
        </w:rPr>
        <w:t>07056</w:t>
      </w:r>
      <w:r w:rsidR="0089175F" w:rsidRPr="001631AD">
        <w:rPr>
          <w:rFonts w:ascii="Palatino Linotype" w:hAnsi="Palatino Linotype" w:cs="Tahoma"/>
          <w:b/>
          <w:color w:val="0D0D0D" w:themeColor="text1" w:themeTint="F2"/>
          <w:sz w:val="22"/>
          <w:szCs w:val="22"/>
        </w:rPr>
        <w:t>/INFOEM/IP/RR/202</w:t>
      </w:r>
      <w:r w:rsidR="00CD10BF" w:rsidRPr="001631AD">
        <w:rPr>
          <w:rFonts w:ascii="Palatino Linotype" w:hAnsi="Palatino Linotype" w:cs="Tahoma"/>
          <w:b/>
          <w:color w:val="0D0D0D" w:themeColor="text1" w:themeTint="F2"/>
          <w:sz w:val="22"/>
          <w:szCs w:val="22"/>
        </w:rPr>
        <w:t>5</w:t>
      </w:r>
      <w:r w:rsidR="0089175F" w:rsidRPr="004A7CCB">
        <w:rPr>
          <w:rFonts w:ascii="Palatino Linotype" w:hAnsi="Palatino Linotype" w:cs="Tahoma"/>
          <w:color w:val="0D0D0D" w:themeColor="text1" w:themeTint="F2"/>
          <w:sz w:val="22"/>
          <w:szCs w:val="22"/>
        </w:rPr>
        <w:t>,</w:t>
      </w:r>
      <w:r w:rsidRPr="004A7CCB">
        <w:rPr>
          <w:rFonts w:ascii="Palatino Linotype" w:hAnsi="Palatino Linotype" w:cs="Tahoma"/>
          <w:color w:val="0D0D0D" w:themeColor="text1" w:themeTint="F2"/>
          <w:sz w:val="22"/>
          <w:szCs w:val="22"/>
        </w:rPr>
        <w:t xml:space="preserve"> interpuesto</w:t>
      </w:r>
      <w:r w:rsidR="00C74F5F" w:rsidRPr="004A7CCB">
        <w:rPr>
          <w:rFonts w:ascii="Palatino Linotype" w:hAnsi="Palatino Linotype" w:cs="Tahoma"/>
          <w:color w:val="0D0D0D" w:themeColor="text1" w:themeTint="F2"/>
          <w:sz w:val="22"/>
          <w:szCs w:val="22"/>
        </w:rPr>
        <w:t xml:space="preserve"> </w:t>
      </w:r>
      <w:r w:rsidR="003E345F" w:rsidRPr="003E345F">
        <w:rPr>
          <w:rFonts w:ascii="Palatino Linotype" w:hAnsi="Palatino Linotype" w:cs="Tahoma"/>
          <w:color w:val="0D0D0D" w:themeColor="text1" w:themeTint="F2"/>
          <w:sz w:val="22"/>
          <w:szCs w:val="22"/>
          <w:highlight w:val="black"/>
        </w:rPr>
        <w:t>XXX</w:t>
      </w:r>
      <w:r w:rsidR="00176DC8">
        <w:rPr>
          <w:rFonts w:ascii="Palatino Linotype" w:hAnsi="Palatino Linotype" w:cs="Tahoma"/>
          <w:color w:val="0D0D0D" w:themeColor="text1" w:themeTint="F2"/>
          <w:sz w:val="22"/>
          <w:szCs w:val="22"/>
        </w:rPr>
        <w:t xml:space="preserve"> en lo </w:t>
      </w:r>
      <w:proofErr w:type="gramStart"/>
      <w:r w:rsidR="00176DC8">
        <w:rPr>
          <w:rFonts w:ascii="Palatino Linotype" w:hAnsi="Palatino Linotype" w:cs="Tahoma"/>
          <w:color w:val="0D0D0D" w:themeColor="text1" w:themeTint="F2"/>
          <w:sz w:val="22"/>
          <w:szCs w:val="22"/>
        </w:rPr>
        <w:t>sucesivo  la</w:t>
      </w:r>
      <w:proofErr w:type="gramEnd"/>
      <w:r w:rsidR="00176DC8">
        <w:rPr>
          <w:rFonts w:ascii="Palatino Linotype" w:hAnsi="Palatino Linotype" w:cs="Tahoma"/>
          <w:color w:val="0D0D0D" w:themeColor="text1" w:themeTint="F2"/>
          <w:sz w:val="22"/>
          <w:szCs w:val="22"/>
        </w:rPr>
        <w:t xml:space="preserve"> persona </w:t>
      </w:r>
      <w:r w:rsidRPr="004A7CCB">
        <w:rPr>
          <w:rFonts w:ascii="Palatino Linotype" w:hAnsi="Palatino Linotype" w:cs="Tahoma"/>
          <w:color w:val="0D0D0D" w:themeColor="text1" w:themeTint="F2"/>
          <w:sz w:val="22"/>
          <w:szCs w:val="22"/>
        </w:rPr>
        <w:t>Recurrente o Particular, en contra de la respuesta del Sujeto Obligado</w:t>
      </w:r>
      <w:r w:rsidRPr="004A7CCB">
        <w:rPr>
          <w:rFonts w:ascii="Palatino Linotype" w:hAnsi="Palatino Linotype"/>
          <w:sz w:val="22"/>
          <w:szCs w:val="22"/>
        </w:rPr>
        <w:t xml:space="preserve"> </w:t>
      </w:r>
      <w:r w:rsidR="004B553D" w:rsidRPr="001631AD">
        <w:rPr>
          <w:rFonts w:ascii="Palatino Linotype" w:eastAsia="Calibri" w:hAnsi="Palatino Linotype" w:cs="Tahoma"/>
          <w:b/>
          <w:sz w:val="22"/>
          <w:szCs w:val="22"/>
          <w:lang w:eastAsia="en-US"/>
        </w:rPr>
        <w:t>Ayuntamiento de Tolu</w:t>
      </w:r>
      <w:r w:rsidR="004B553D" w:rsidRPr="004A7CCB">
        <w:rPr>
          <w:rFonts w:ascii="Palatino Linotype" w:eastAsia="Calibri" w:hAnsi="Palatino Linotype" w:cs="Tahoma"/>
          <w:sz w:val="22"/>
          <w:szCs w:val="22"/>
          <w:lang w:eastAsia="en-US"/>
        </w:rPr>
        <w:t>ca</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4A9D011E" w14:textId="77777777" w:rsidR="00BB1F81" w:rsidRPr="00FB571A" w:rsidRDefault="00BB1F81" w:rsidP="004A7CCB">
      <w:pPr>
        <w:spacing w:line="360" w:lineRule="auto"/>
        <w:contextualSpacing/>
        <w:jc w:val="both"/>
        <w:rPr>
          <w:rFonts w:ascii="Palatino Linotype" w:hAnsi="Palatino Linotype" w:cs="Tahoma"/>
          <w:b/>
          <w:color w:val="0D0D0D" w:themeColor="text1" w:themeTint="F2"/>
          <w:sz w:val="18"/>
          <w:szCs w:val="22"/>
        </w:rPr>
      </w:pPr>
    </w:p>
    <w:p w14:paraId="0440CA92" w14:textId="77777777" w:rsidR="00E35DF9" w:rsidRPr="00FB571A" w:rsidRDefault="00E35DF9" w:rsidP="004A7CCB">
      <w:pPr>
        <w:pStyle w:val="Ttulo1"/>
        <w:spacing w:before="0" w:line="360" w:lineRule="auto"/>
        <w:jc w:val="center"/>
        <w:rPr>
          <w:rFonts w:ascii="Palatino Linotype" w:hAnsi="Palatino Linotype"/>
          <w:b/>
          <w:sz w:val="22"/>
          <w:szCs w:val="22"/>
        </w:rPr>
      </w:pPr>
      <w:bookmarkStart w:id="1" w:name="_Toc206684678"/>
      <w:r w:rsidRPr="00FB571A">
        <w:rPr>
          <w:rFonts w:ascii="Palatino Linotype" w:hAnsi="Palatino Linotype"/>
          <w:b/>
          <w:color w:val="auto"/>
          <w:sz w:val="22"/>
          <w:szCs w:val="22"/>
        </w:rPr>
        <w:t>A N T E C E D E N T E S</w:t>
      </w:r>
      <w:bookmarkEnd w:id="1"/>
    </w:p>
    <w:p w14:paraId="44A80161" w14:textId="77777777" w:rsidR="001E7B8B" w:rsidRPr="00FB571A" w:rsidRDefault="001E7B8B" w:rsidP="004A7CCB">
      <w:pPr>
        <w:pStyle w:val="Prrafodelista"/>
        <w:tabs>
          <w:tab w:val="left" w:pos="567"/>
        </w:tabs>
        <w:spacing w:line="360" w:lineRule="auto"/>
        <w:ind w:left="0"/>
        <w:jc w:val="both"/>
        <w:rPr>
          <w:rFonts w:ascii="Palatino Linotype" w:hAnsi="Palatino Linotype" w:cs="Tahoma"/>
          <w:b/>
          <w:szCs w:val="22"/>
        </w:rPr>
      </w:pPr>
    </w:p>
    <w:p w14:paraId="7C49C4DF" w14:textId="77777777" w:rsidR="00E35DF9" w:rsidRPr="00DB28B1" w:rsidRDefault="00E35DF9" w:rsidP="004A7CCB">
      <w:pPr>
        <w:pStyle w:val="Ttulo2"/>
        <w:spacing w:before="0" w:line="360" w:lineRule="auto"/>
        <w:rPr>
          <w:rFonts w:ascii="Palatino Linotype" w:hAnsi="Palatino Linotype"/>
          <w:b/>
          <w:color w:val="auto"/>
          <w:sz w:val="22"/>
          <w:szCs w:val="22"/>
        </w:rPr>
      </w:pPr>
      <w:bookmarkStart w:id="2" w:name="_Toc206684679"/>
      <w:r w:rsidRPr="00DB28B1">
        <w:rPr>
          <w:rFonts w:ascii="Palatino Linotype" w:hAnsi="Palatino Linotype"/>
          <w:b/>
          <w:color w:val="auto"/>
          <w:sz w:val="22"/>
          <w:szCs w:val="22"/>
        </w:rPr>
        <w:t>I. Presentación de la solicitud de información</w:t>
      </w:r>
      <w:bookmarkEnd w:id="2"/>
    </w:p>
    <w:p w14:paraId="351288A9" w14:textId="77777777" w:rsidR="00E35DF9" w:rsidRPr="00FB571A" w:rsidRDefault="00E35DF9" w:rsidP="004A7CCB">
      <w:pPr>
        <w:pStyle w:val="Prrafodelista"/>
        <w:tabs>
          <w:tab w:val="left" w:pos="567"/>
        </w:tabs>
        <w:spacing w:line="360" w:lineRule="auto"/>
        <w:ind w:left="0"/>
        <w:jc w:val="both"/>
        <w:rPr>
          <w:rFonts w:ascii="Palatino Linotype" w:hAnsi="Palatino Linotype" w:cs="Tahoma"/>
          <w:b/>
          <w:sz w:val="18"/>
          <w:szCs w:val="22"/>
        </w:rPr>
      </w:pPr>
    </w:p>
    <w:p w14:paraId="231199BB" w14:textId="79F86C13" w:rsidR="00E35DF9" w:rsidRPr="00FB571A" w:rsidRDefault="00BB1F81" w:rsidP="004A7CC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D6697F">
        <w:rPr>
          <w:rFonts w:ascii="Palatino Linotype" w:hAnsi="Palatino Linotype" w:cs="Tahoma"/>
          <w:sz w:val="22"/>
          <w:szCs w:val="22"/>
        </w:rPr>
        <w:t xml:space="preserve">dos </w:t>
      </w:r>
      <w:r w:rsidR="004313EA">
        <w:rPr>
          <w:rFonts w:ascii="Palatino Linotype" w:hAnsi="Palatino Linotype" w:cs="Tahoma"/>
          <w:sz w:val="22"/>
          <w:szCs w:val="22"/>
        </w:rPr>
        <w:t xml:space="preserve">de mayo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w:t>
      </w:r>
      <w:r w:rsidR="00E35DF9" w:rsidRPr="004A7CCB">
        <w:rPr>
          <w:rFonts w:ascii="Palatino Linotype" w:hAnsi="Palatino Linotype" w:cs="Tahoma"/>
          <w:sz w:val="22"/>
          <w:szCs w:val="22"/>
        </w:rPr>
        <w:t xml:space="preserve">ante </w:t>
      </w:r>
      <w:r w:rsidR="009C323D" w:rsidRPr="004A7CCB">
        <w:rPr>
          <w:rFonts w:ascii="Palatino Linotype" w:hAnsi="Palatino Linotype" w:cs="Tahoma"/>
          <w:sz w:val="22"/>
          <w:szCs w:val="22"/>
        </w:rPr>
        <w:t>e</w:t>
      </w:r>
      <w:r w:rsidR="00212285" w:rsidRPr="004A7CCB">
        <w:rPr>
          <w:rFonts w:ascii="Palatino Linotype" w:hAnsi="Palatino Linotype" w:cs="Tahoma"/>
          <w:sz w:val="22"/>
          <w:szCs w:val="22"/>
        </w:rPr>
        <w:t>l</w:t>
      </w:r>
      <w:r w:rsidR="00E35DF9" w:rsidRPr="004A7CCB">
        <w:rPr>
          <w:rFonts w:ascii="Palatino Linotype" w:hAnsi="Palatino Linotype" w:cs="Tahoma"/>
          <w:sz w:val="22"/>
          <w:szCs w:val="22"/>
        </w:rPr>
        <w:t xml:space="preserve"> </w:t>
      </w:r>
      <w:r w:rsidR="004B553D" w:rsidRPr="004A7CCB">
        <w:rPr>
          <w:rFonts w:ascii="Palatino Linotype" w:hAnsi="Palatino Linotype" w:cs="Tahoma"/>
          <w:sz w:val="22"/>
          <w:szCs w:val="22"/>
        </w:rPr>
        <w:t>Ayuntamiento de Toluca</w:t>
      </w:r>
      <w:r w:rsidR="00E35DF9" w:rsidRPr="004A7CCB">
        <w:rPr>
          <w:rFonts w:ascii="Palatino Linotype" w:hAnsi="Palatino Linotype" w:cs="Tahoma"/>
          <w:sz w:val="22"/>
          <w:szCs w:val="22"/>
        </w:rPr>
        <w:t xml:space="preserve">, </w:t>
      </w:r>
      <w:r w:rsidR="003A12F1" w:rsidRPr="004A7CCB">
        <w:rPr>
          <w:rFonts w:ascii="Palatino Linotype" w:hAnsi="Palatino Linotype" w:cs="Tahoma"/>
          <w:sz w:val="22"/>
          <w:szCs w:val="22"/>
        </w:rPr>
        <w:t xml:space="preserve">misma que fue registrada con el número de folio </w:t>
      </w:r>
      <w:r w:rsidR="004313EA" w:rsidRPr="004A7CCB">
        <w:rPr>
          <w:rFonts w:ascii="Palatino Linotype" w:hAnsi="Palatino Linotype" w:cs="Tahoma"/>
          <w:sz w:val="22"/>
          <w:szCs w:val="22"/>
        </w:rPr>
        <w:t>0</w:t>
      </w:r>
      <w:r w:rsidR="00D6697F" w:rsidRPr="004A7CCB">
        <w:rPr>
          <w:rFonts w:ascii="Palatino Linotype" w:hAnsi="Palatino Linotype" w:cs="Tahoma"/>
          <w:sz w:val="22"/>
          <w:szCs w:val="22"/>
        </w:rPr>
        <w:t>2599</w:t>
      </w:r>
      <w:r w:rsidR="00CC13FB" w:rsidRPr="004A7CCB">
        <w:rPr>
          <w:rFonts w:ascii="Palatino Linotype" w:hAnsi="Palatino Linotype" w:cs="Tahoma"/>
          <w:sz w:val="22"/>
          <w:szCs w:val="22"/>
        </w:rPr>
        <w:t>/TOLUCA/IP/2025</w:t>
      </w:r>
      <w:r w:rsidR="003A12F1" w:rsidRPr="004A7CCB">
        <w:rPr>
          <w:rFonts w:ascii="Palatino Linotype" w:hAnsi="Palatino Linotype" w:cs="Tahoma"/>
          <w:sz w:val="22"/>
          <w:szCs w:val="22"/>
        </w:rPr>
        <w:t>,</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754368B5" w14:textId="77777777" w:rsidR="00D807FB" w:rsidRPr="00FB571A" w:rsidRDefault="00D807FB" w:rsidP="004A7CCB">
      <w:pPr>
        <w:tabs>
          <w:tab w:val="left" w:pos="567"/>
        </w:tabs>
        <w:spacing w:line="360" w:lineRule="auto"/>
        <w:contextualSpacing/>
        <w:jc w:val="both"/>
        <w:rPr>
          <w:rFonts w:ascii="Palatino Linotype" w:hAnsi="Palatino Linotype" w:cs="Tahoma"/>
          <w:sz w:val="22"/>
        </w:rPr>
      </w:pPr>
    </w:p>
    <w:p w14:paraId="3614D66D" w14:textId="77777777" w:rsidR="00D807FB" w:rsidRPr="00FB571A" w:rsidRDefault="00D807FB" w:rsidP="004A7CC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5872D203" w14:textId="0C2B18C9" w:rsidR="000F2B83" w:rsidRPr="00FB571A" w:rsidRDefault="004B553D" w:rsidP="004A7CCB">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D6697F" w:rsidRPr="00D6697F">
        <w:rPr>
          <w:rFonts w:ascii="Palatino Linotype" w:hAnsi="Palatino Linotype"/>
          <w:i/>
          <w:iCs/>
          <w:color w:val="000000"/>
          <w:sz w:val="20"/>
          <w:szCs w:val="20"/>
        </w:rPr>
        <w:t xml:space="preserve">Se solicita que el Ayuntamiento de Toluca proporcione la siguiente información: 1,- Se solicita del Ayuntamiento de Toluca que aclare la discordancia que existe entre Código Reglamentario Municipal de Toluca promulgado en la Gaceta Municipal Especial de fecha 10 de febrero de 2025 y el Bando Municipal Toluca 2025 promulgado en la Gaceta Municipal Especial de fecha 5 de febrero de 2025, toda vez que existe incongruencia como se muestra a continuación: En el artículo 3.28 fracción XV del Código Reglamentario Municipal dice al texto “Aplicar la medida preventiva contenida en el Capítulo Segundo de las Medidas Preventivas, artículo 100, fracción I, del Bando </w:t>
      </w:r>
      <w:r w:rsidR="00D6697F" w:rsidRPr="00D6697F">
        <w:rPr>
          <w:rFonts w:ascii="Palatino Linotype" w:hAnsi="Palatino Linotype"/>
          <w:i/>
          <w:iCs/>
          <w:color w:val="000000"/>
          <w:sz w:val="20"/>
          <w:szCs w:val="20"/>
        </w:rPr>
        <w:lastRenderedPageBreak/>
        <w:t xml:space="preserve">Municipal, relativa a la suspensión de la actividad comercial, industrial o de servicios, por incumplimiento a las disposiciones que regulan dichas actividades” Sin embargo, el artículo 100 del Bando Municipal 2025 NO CONTIENE NINGUNA FRACCIÓN, ya que a la letra dice:” La autoridad municipal tendrá la obligación de llevar a cabo la organización, supervisión y control del cuerpo de seguridad pública para salvaguardar la integridad y los derechos humanos de las personas, garantizando la seguridad pública, el orden, la paz y la armonía. Asimismo, deberán coordinarse con instancias federales y estatales para el intercambio de acciones, programas y vigilar la ejecución de proyectos en materia de seguridad y tránsito. Para ello, el gobierno municipal implementará estrategias y herramientas tecnológicas que permitan la optimización del combate a la inseguridad y la reducción de las conductas delictivas. Asimismo, le corresponde la operación del servicio de emergencias, la vigilancia mediante cámaras en la vía pública, la aplicación de sanciones disciplinarias, y la gestión de evaluaciones de control de confianza y certificaciones. Se garantizará la existencia de una Unidad Especializada de Atención a Víctimas de Violencia Familiar y de Género, además de cumplir con las disposiciones legales aplicables en la materia.” Lo anterior, no es congruente con lo que se indica en ambos documentos. Se informa que la Fracción XV del artículo 3.28 inserto en el Código Reglamentario Municipal 2025, se refiere al Bando Municipal de Toluca 2022-2024, que era más profesional y completo que el actual, mismo que fue abrogado por el Bando Municipal de Toluca 2025 de acuerdo con su Transitorio Segundo. Se solicita la aclaración normativa por parte del área que le corresponda. 2.- La misma discordancia se presenta en los siguientes artículos: CÓDIGO REGLAMENTARIO MUNICIPAL DE TOLUCA 2025 Artículo 8.30. Están obligadas al cumplimiento de este capítulo, todas las personas físicas o jurídicas colectivas que sean titulares de una licencia de funcionamiento en su establecimiento comercial o de servicios con venta de bebidas alcohólicas de conformidad con el artículo 88 párrafo tercero del Bando Municipal de Toluca. BANDO MUNICIPAL DE TOLUCA 2025 Artículo 88. El Gobierno Municipal promoverá de forma permanente la construcción, el mejoramiento y el mantenimiento de los espacios públicos, la imagen urbana y la infraestructura de movilidad, privilegiando el diseño inclusivo y sostenible. Para ello, se impulsará la cooperación con diversas fuentes de financiamiento, públicas y privadas, así como la participación social a través de fondos y donaciones, siempre bajo criterios de transparencia, rendición de cuentas y priorización del interés colectivo. Así como </w:t>
      </w:r>
      <w:r w:rsidR="00D6697F" w:rsidRPr="00D6697F">
        <w:rPr>
          <w:rFonts w:ascii="Palatino Linotype" w:hAnsi="Palatino Linotype"/>
          <w:i/>
          <w:iCs/>
          <w:color w:val="000000"/>
          <w:sz w:val="20"/>
          <w:szCs w:val="20"/>
        </w:rPr>
        <w:lastRenderedPageBreak/>
        <w:t>también diseñará e implementará programas y acciones en materia de mejoramiento de vivienda Se solicita la aclaración normativa por parte del área que le corresponda.</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47EFA2B1" w14:textId="77777777" w:rsidR="007E4927" w:rsidRPr="00FB571A" w:rsidRDefault="007E4927" w:rsidP="004A7CCB">
      <w:pPr>
        <w:pStyle w:val="Prrafodelista"/>
        <w:tabs>
          <w:tab w:val="left" w:pos="567"/>
        </w:tabs>
        <w:spacing w:line="360" w:lineRule="auto"/>
        <w:ind w:left="567" w:right="539"/>
        <w:jc w:val="both"/>
        <w:rPr>
          <w:rFonts w:ascii="Palatino Linotype" w:hAnsi="Palatino Linotype"/>
          <w:i/>
          <w:iCs/>
          <w:color w:val="000000"/>
          <w:sz w:val="20"/>
          <w:szCs w:val="20"/>
        </w:rPr>
      </w:pPr>
    </w:p>
    <w:p w14:paraId="4F4145D4" w14:textId="77777777" w:rsidR="00E35DF9" w:rsidRDefault="00E35DF9" w:rsidP="004A7CCB">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760C5DEF" w14:textId="77777777" w:rsidR="004D62C9" w:rsidRDefault="004D62C9" w:rsidP="004A7CCB">
      <w:pPr>
        <w:pStyle w:val="Prrafodelista"/>
        <w:tabs>
          <w:tab w:val="left" w:pos="567"/>
        </w:tabs>
        <w:spacing w:line="360" w:lineRule="auto"/>
        <w:ind w:left="567" w:right="539"/>
        <w:jc w:val="both"/>
        <w:rPr>
          <w:rFonts w:ascii="Palatino Linotype" w:hAnsi="Palatino Linotype" w:cs="Tahoma"/>
          <w:i/>
          <w:sz w:val="20"/>
          <w:szCs w:val="22"/>
        </w:rPr>
      </w:pPr>
    </w:p>
    <w:p w14:paraId="537C7FA7" w14:textId="77777777" w:rsidR="00681D84" w:rsidRPr="00FB571A" w:rsidRDefault="00954EDD" w:rsidP="004A7CCB">
      <w:pPr>
        <w:pStyle w:val="Ttulo2"/>
        <w:spacing w:before="0" w:line="360" w:lineRule="auto"/>
      </w:pPr>
      <w:bookmarkStart w:id="3" w:name="_Toc206684680"/>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6A39FDCF" w14:textId="77777777" w:rsidR="00E0128F" w:rsidRPr="00FB571A" w:rsidRDefault="00E0128F" w:rsidP="004A7CCB">
      <w:pPr>
        <w:pStyle w:val="Prrafodelista"/>
        <w:tabs>
          <w:tab w:val="left" w:pos="567"/>
        </w:tabs>
        <w:spacing w:line="360" w:lineRule="auto"/>
        <w:ind w:left="0"/>
        <w:jc w:val="both"/>
        <w:rPr>
          <w:rFonts w:ascii="Palatino Linotype" w:hAnsi="Palatino Linotype" w:cs="Tahoma"/>
          <w:b/>
          <w:sz w:val="20"/>
          <w:szCs w:val="22"/>
        </w:rPr>
      </w:pPr>
    </w:p>
    <w:p w14:paraId="4DCAEDBA" w14:textId="552A6CC9" w:rsidR="009C323D" w:rsidRPr="00FB571A" w:rsidRDefault="00BB1F81" w:rsidP="004A7CCB">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D6697F">
        <w:rPr>
          <w:rFonts w:ascii="Palatino Linotype" w:hAnsi="Palatino Linotype" w:cs="Tahoma"/>
          <w:sz w:val="22"/>
          <w:szCs w:val="22"/>
        </w:rPr>
        <w:t>veintidós de mayo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los siguientes términos:</w:t>
      </w:r>
    </w:p>
    <w:p w14:paraId="7D0ED840" w14:textId="77777777" w:rsidR="00F86BFB" w:rsidRPr="00FB571A" w:rsidRDefault="00F86BFB" w:rsidP="004A7CCB">
      <w:pPr>
        <w:autoSpaceDE w:val="0"/>
        <w:autoSpaceDN w:val="0"/>
        <w:adjustRightInd w:val="0"/>
        <w:spacing w:line="360" w:lineRule="auto"/>
        <w:contextualSpacing/>
        <w:jc w:val="both"/>
        <w:rPr>
          <w:rFonts w:ascii="Palatino Linotype" w:hAnsi="Palatino Linotype" w:cs="Tahoma"/>
          <w:sz w:val="22"/>
          <w:szCs w:val="22"/>
        </w:rPr>
      </w:pPr>
    </w:p>
    <w:p w14:paraId="3D8B0DBB" w14:textId="77777777" w:rsidR="00996302" w:rsidRPr="00FB571A" w:rsidRDefault="00552F49" w:rsidP="004A7CC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409AE81E" w14:textId="77777777" w:rsidR="00D6697F" w:rsidRDefault="00D6697F" w:rsidP="004A7CC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6697F">
        <w:rPr>
          <w:rFonts w:ascii="Palatino Linotype" w:hAnsi="Palatino Linotype" w:cs="Tahoma"/>
          <w:i/>
          <w:szCs w:val="22"/>
        </w:rPr>
        <w:t>En atención a la solicitud de información con número de folio 02599/TOLUCA/IP/2025, se adjunta la respuesta correspondiente, sin más por el momento reciba un cordial saludo.</w:t>
      </w:r>
    </w:p>
    <w:p w14:paraId="1A9A89CA" w14:textId="6B308CEA" w:rsidR="007401D6" w:rsidRPr="00FB571A" w:rsidRDefault="00785311" w:rsidP="004A7CC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35A4CF78" w14:textId="77777777" w:rsidR="007401D6" w:rsidRDefault="007401D6" w:rsidP="004A7CCB">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0EB7F435" w14:textId="18B9A62B" w:rsidR="00807961" w:rsidRDefault="004B553D" w:rsidP="004A7CCB">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r w:rsidRPr="00954EDD">
        <w:rPr>
          <w:rFonts w:ascii="Palatino Linotype" w:hAnsi="Palatino Linotype" w:cs="Tahoma"/>
          <w:sz w:val="22"/>
          <w:szCs w:val="22"/>
        </w:rPr>
        <w:t>Además</w:t>
      </w:r>
      <w:r w:rsidR="00954EDD" w:rsidRPr="00954EDD">
        <w:rPr>
          <w:rFonts w:ascii="Palatino Linotype" w:hAnsi="Palatino Linotype" w:cs="Tahoma"/>
          <w:sz w:val="22"/>
          <w:szCs w:val="22"/>
        </w:rPr>
        <w:t>,</w:t>
      </w:r>
      <w:r w:rsidRPr="00954EDD">
        <w:rPr>
          <w:rFonts w:ascii="Palatino Linotype" w:hAnsi="Palatino Linotype" w:cs="Tahoma"/>
          <w:sz w:val="22"/>
          <w:szCs w:val="22"/>
        </w:rPr>
        <w:t xml:space="preserve"> adjuntó </w:t>
      </w:r>
      <w:r w:rsidR="004D62C9">
        <w:rPr>
          <w:rFonts w:ascii="Palatino Linotype" w:hAnsi="Palatino Linotype" w:cs="Tahoma"/>
          <w:sz w:val="22"/>
          <w:szCs w:val="22"/>
        </w:rPr>
        <w:t xml:space="preserve">el </w:t>
      </w:r>
      <w:r w:rsidR="0095328A">
        <w:rPr>
          <w:rFonts w:ascii="Palatino Linotype" w:hAnsi="Palatino Linotype" w:cs="Tahoma"/>
          <w:sz w:val="22"/>
          <w:szCs w:val="22"/>
        </w:rPr>
        <w:t>archivo</w:t>
      </w:r>
      <w:r w:rsidR="004D62C9" w:rsidRPr="004D62C9">
        <w:t xml:space="preserve"> </w:t>
      </w:r>
      <w:r w:rsidR="00D6697F" w:rsidRPr="00D6697F">
        <w:rPr>
          <w:rFonts w:ascii="Palatino Linotype" w:hAnsi="Palatino Linotype" w:cs="Tahoma"/>
          <w:b/>
          <w:bCs/>
          <w:i/>
          <w:iCs/>
          <w:sz w:val="22"/>
          <w:szCs w:val="22"/>
        </w:rPr>
        <w:t>Sol-2599.pdf</w:t>
      </w:r>
      <w:r w:rsidR="00D6697F">
        <w:rPr>
          <w:rFonts w:ascii="Palatino Linotype" w:hAnsi="Palatino Linotype" w:cs="Tahoma"/>
          <w:b/>
          <w:bCs/>
          <w:i/>
          <w:iCs/>
          <w:sz w:val="22"/>
          <w:szCs w:val="22"/>
        </w:rPr>
        <w:t xml:space="preserve"> </w:t>
      </w:r>
      <w:r w:rsidR="00D6697F">
        <w:rPr>
          <w:rFonts w:ascii="Palatino Linotype" w:hAnsi="Palatino Linotype" w:cs="Tahoma"/>
          <w:sz w:val="22"/>
          <w:szCs w:val="22"/>
        </w:rPr>
        <w:t>que contiene un o</w:t>
      </w:r>
      <w:r w:rsidR="00807961">
        <w:rPr>
          <w:rFonts w:ascii="Palatino Linotype" w:hAnsi="Palatino Linotype" w:cs="Tahoma"/>
          <w:sz w:val="22"/>
          <w:szCs w:val="22"/>
        </w:rPr>
        <w:t xml:space="preserve">ficio suscrito por </w:t>
      </w:r>
      <w:r w:rsidR="00D6697F">
        <w:rPr>
          <w:rFonts w:ascii="Palatino Linotype" w:hAnsi="Palatino Linotype" w:cs="Tahoma"/>
          <w:sz w:val="22"/>
          <w:szCs w:val="22"/>
        </w:rPr>
        <w:t xml:space="preserve">el Coordinador de Estudios y Reglamentación Municipal </w:t>
      </w:r>
      <w:r w:rsidR="00807961">
        <w:rPr>
          <w:rFonts w:ascii="Palatino Linotype" w:hAnsi="Palatino Linotype" w:cs="Tahoma"/>
          <w:sz w:val="22"/>
          <w:szCs w:val="22"/>
        </w:rPr>
        <w:t>en el que manifestó lo siguiente:</w:t>
      </w:r>
    </w:p>
    <w:p w14:paraId="42203EEA" w14:textId="77777777" w:rsidR="00807961" w:rsidRDefault="00807961" w:rsidP="004A7CCB">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1F552F68" w14:textId="77777777" w:rsidR="00D6697F" w:rsidRDefault="00807961" w:rsidP="004A7CCB">
      <w:pPr>
        <w:tabs>
          <w:tab w:val="left" w:pos="2282"/>
        </w:tabs>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 xml:space="preserve"> </w:t>
      </w:r>
      <w:r w:rsidR="00DB28B1">
        <w:rPr>
          <w:rFonts w:ascii="Palatino Linotype" w:hAnsi="Palatino Linotype" w:cs="Tahoma"/>
          <w:i/>
          <w:szCs w:val="22"/>
        </w:rPr>
        <w:t>“…</w:t>
      </w:r>
      <w:r w:rsidR="004D62C9">
        <w:rPr>
          <w:rFonts w:ascii="Palatino Linotype" w:hAnsi="Palatino Linotype" w:cs="Tahoma"/>
          <w:i/>
          <w:szCs w:val="22"/>
        </w:rPr>
        <w:t xml:space="preserve"> </w:t>
      </w:r>
    </w:p>
    <w:p w14:paraId="6EE3DA17" w14:textId="77777777" w:rsidR="00D6697F" w:rsidRDefault="00D6697F" w:rsidP="004A7CCB">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D6697F">
        <w:rPr>
          <w:rFonts w:ascii="Palatino Linotype" w:hAnsi="Palatino Linotype" w:cs="Tahoma"/>
          <w:i/>
          <w:szCs w:val="22"/>
        </w:rPr>
        <w:t xml:space="preserve">Me permito informar que, en atención a la solicitud de acceso a la información presentada por el ciudadano, y derivado de la búsqueda exhaustiva y razonable en los archivos físicos y electrónicos de esta unidad administrativa, no fue posible localizar la información requerida. </w:t>
      </w:r>
    </w:p>
    <w:p w14:paraId="4DC08C37" w14:textId="77777777" w:rsidR="00D6697F" w:rsidRDefault="00D6697F" w:rsidP="004A7CCB">
      <w:pPr>
        <w:tabs>
          <w:tab w:val="left" w:pos="2282"/>
        </w:tabs>
        <w:autoSpaceDE w:val="0"/>
        <w:autoSpaceDN w:val="0"/>
        <w:adjustRightInd w:val="0"/>
        <w:spacing w:line="360" w:lineRule="auto"/>
        <w:ind w:left="567" w:right="539"/>
        <w:jc w:val="both"/>
        <w:rPr>
          <w:rFonts w:ascii="Palatino Linotype" w:hAnsi="Palatino Linotype" w:cs="Tahoma"/>
          <w:i/>
          <w:szCs w:val="22"/>
        </w:rPr>
      </w:pPr>
    </w:p>
    <w:p w14:paraId="387FC25A" w14:textId="36329666" w:rsidR="00D6697F" w:rsidRDefault="00D6697F" w:rsidP="004A7CCB">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D6697F">
        <w:rPr>
          <w:rFonts w:ascii="Palatino Linotype" w:hAnsi="Palatino Linotype" w:cs="Tahoma"/>
          <w:i/>
          <w:szCs w:val="22"/>
        </w:rPr>
        <w:t>Cabe señalar que, lo suscrito por el solicitante son manifestaciones desde su perspectiva, lo cual impide a esta unidad administrativa poseer información alguna respecto de lo manifestado.</w:t>
      </w:r>
    </w:p>
    <w:p w14:paraId="48F469F5" w14:textId="77777777" w:rsidR="00D6697F" w:rsidRDefault="00D6697F" w:rsidP="004A7CCB">
      <w:pPr>
        <w:tabs>
          <w:tab w:val="left" w:pos="2282"/>
        </w:tabs>
        <w:autoSpaceDE w:val="0"/>
        <w:autoSpaceDN w:val="0"/>
        <w:adjustRightInd w:val="0"/>
        <w:spacing w:line="360" w:lineRule="auto"/>
        <w:ind w:left="567" w:right="539"/>
        <w:jc w:val="both"/>
        <w:rPr>
          <w:rFonts w:ascii="Palatino Linotype" w:hAnsi="Palatino Linotype" w:cs="Tahoma"/>
          <w:i/>
          <w:szCs w:val="22"/>
        </w:rPr>
      </w:pPr>
    </w:p>
    <w:p w14:paraId="6A611576" w14:textId="3DE50EA4" w:rsidR="00D6697F" w:rsidRDefault="00D6697F" w:rsidP="004A7CCB">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D6697F">
        <w:rPr>
          <w:rFonts w:ascii="Palatino Linotype" w:hAnsi="Palatino Linotype" w:cs="Tahoma"/>
          <w:i/>
          <w:szCs w:val="22"/>
        </w:rPr>
        <w:t xml:space="preserve">En este sentido, y de conformidad con lo establecido en el artículo 12 de la Ley de Transparencia y </w:t>
      </w:r>
      <w:r>
        <w:rPr>
          <w:rFonts w:ascii="Palatino Linotype" w:hAnsi="Palatino Linotype" w:cs="Tahoma"/>
          <w:i/>
          <w:szCs w:val="22"/>
        </w:rPr>
        <w:t>A</w:t>
      </w:r>
      <w:r w:rsidRPr="00D6697F">
        <w:rPr>
          <w:rFonts w:ascii="Palatino Linotype" w:hAnsi="Palatino Linotype" w:cs="Tahoma"/>
          <w:i/>
          <w:szCs w:val="22"/>
        </w:rPr>
        <w:t xml:space="preserve">cceso a la Información Pública del Estado de México y Municipios, el cual señala que "Los sujetos </w:t>
      </w:r>
      <w:r w:rsidRPr="00D6697F">
        <w:rPr>
          <w:rFonts w:ascii="Palatino Linotype" w:hAnsi="Palatino Linotype" w:cs="Tahoma"/>
          <w:i/>
          <w:szCs w:val="22"/>
        </w:rPr>
        <w:lastRenderedPageBreak/>
        <w:t>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esta coordinación se encuentra en imposibilidad de proporcionar la información, toda vez que el solicitante</w:t>
      </w:r>
      <w:r>
        <w:rPr>
          <w:rFonts w:ascii="Palatino Linotype" w:hAnsi="Palatino Linotype" w:cs="Tahoma"/>
          <w:i/>
          <w:szCs w:val="22"/>
        </w:rPr>
        <w:t xml:space="preserve"> pretende que se genere información que no existe ni obra en nuestros archivos.</w:t>
      </w:r>
    </w:p>
    <w:p w14:paraId="18E03DB5" w14:textId="77777777" w:rsidR="00DB28B1" w:rsidRPr="00DB28B1" w:rsidRDefault="00DB28B1" w:rsidP="004A7CCB">
      <w:pPr>
        <w:tabs>
          <w:tab w:val="left" w:pos="2282"/>
        </w:tabs>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p>
    <w:p w14:paraId="6DAC14BB" w14:textId="77777777" w:rsidR="0095328A" w:rsidRDefault="0095328A" w:rsidP="004A7CCB">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7DA42AD0" w14:textId="77777777" w:rsidR="001A412B" w:rsidRPr="00FB571A" w:rsidRDefault="007812D1" w:rsidP="004A7CCB">
      <w:pPr>
        <w:pStyle w:val="Ttulo2"/>
        <w:spacing w:before="0" w:line="360" w:lineRule="auto"/>
        <w:rPr>
          <w:rFonts w:ascii="Palatino Linotype" w:hAnsi="Palatino Linotype" w:cs="Tahoma"/>
          <w:b/>
          <w:color w:val="auto"/>
          <w:sz w:val="22"/>
          <w:szCs w:val="22"/>
        </w:rPr>
      </w:pPr>
      <w:bookmarkStart w:id="4" w:name="_Toc206684681"/>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1E0B6886" w14:textId="77777777" w:rsidR="00F87649" w:rsidRPr="00FB571A" w:rsidRDefault="00F87649" w:rsidP="004A7CCB">
      <w:pPr>
        <w:autoSpaceDE w:val="0"/>
        <w:autoSpaceDN w:val="0"/>
        <w:adjustRightInd w:val="0"/>
        <w:spacing w:line="360" w:lineRule="auto"/>
        <w:contextualSpacing/>
        <w:jc w:val="both"/>
        <w:rPr>
          <w:rFonts w:ascii="Palatino Linotype" w:hAnsi="Palatino Linotype" w:cs="Tahoma"/>
          <w:b/>
          <w:sz w:val="18"/>
          <w:szCs w:val="22"/>
        </w:rPr>
      </w:pPr>
    </w:p>
    <w:p w14:paraId="36B59301" w14:textId="1496996B" w:rsidR="009A7587" w:rsidRPr="00FB571A" w:rsidRDefault="009A7587" w:rsidP="004A7CC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D6697F">
        <w:rPr>
          <w:rFonts w:ascii="Palatino Linotype" w:hAnsi="Palatino Linotype" w:cs="Tahoma"/>
          <w:sz w:val="22"/>
          <w:szCs w:val="22"/>
        </w:rPr>
        <w:t>doce de junio</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6ED55B49" w14:textId="77777777" w:rsidR="00AB6595" w:rsidRPr="00FB571A" w:rsidRDefault="00AB6595" w:rsidP="004A7CCB">
      <w:pPr>
        <w:tabs>
          <w:tab w:val="left" w:pos="4995"/>
        </w:tabs>
        <w:spacing w:line="360" w:lineRule="auto"/>
        <w:contextualSpacing/>
        <w:jc w:val="both"/>
        <w:rPr>
          <w:rFonts w:ascii="Palatino Linotype" w:hAnsi="Palatino Linotype" w:cs="Tahoma"/>
          <w:sz w:val="22"/>
          <w:szCs w:val="22"/>
        </w:rPr>
      </w:pPr>
    </w:p>
    <w:p w14:paraId="0A1BFC21" w14:textId="77777777" w:rsidR="00D5699B" w:rsidRPr="00FB571A" w:rsidRDefault="00D5699B" w:rsidP="004A7CC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6EA43429" w14:textId="304BED55" w:rsidR="003D1770" w:rsidRPr="00FB571A" w:rsidRDefault="007E4927" w:rsidP="004A7CC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D6697F" w:rsidRPr="00D6697F">
        <w:rPr>
          <w:rFonts w:ascii="Palatino Linotype" w:hAnsi="Palatino Linotype" w:cs="Tahoma"/>
          <w:bCs/>
          <w:i/>
          <w:szCs w:val="22"/>
        </w:rPr>
        <w:t>SE IMPUGNA LA TOTALIDAD DE LA RESPUESTA proporcionada por el Ayuntamiento de Toluca a la Solicitud de Información 02599/TOLUCA/IP/2025 presentada el 02 de mayo de 2025, toda vez que existe evidencia en las normas indicadas en la Solicitud y que demuestran que NO son manifestaciones desde la perspectiva del solicitante, tal como lo manifiesta la respuesta. Dicha evidencia se presenta en el ANEXO 1 que se integra a esta IMPUGNACIÓN.</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2C71EF40" w14:textId="77777777" w:rsidR="00CE2F19" w:rsidRPr="00FB571A" w:rsidRDefault="00CE2F19" w:rsidP="004A7CCB">
      <w:pPr>
        <w:spacing w:line="360" w:lineRule="auto"/>
        <w:ind w:left="567" w:right="539"/>
        <w:contextualSpacing/>
        <w:jc w:val="both"/>
        <w:rPr>
          <w:rFonts w:ascii="Palatino Linotype" w:hAnsi="Palatino Linotype" w:cs="Tahoma"/>
          <w:bCs/>
          <w:szCs w:val="22"/>
        </w:rPr>
      </w:pPr>
    </w:p>
    <w:p w14:paraId="29F42286" w14:textId="77777777" w:rsidR="00CE2F19" w:rsidRPr="00FB571A" w:rsidRDefault="00CE2F19" w:rsidP="004A7CC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15DD31F8" w14:textId="36A19C40" w:rsidR="00CE2F19" w:rsidRPr="00FB571A" w:rsidRDefault="00CE2F19" w:rsidP="004A7CCB">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D6697F" w:rsidRPr="00D6697F">
        <w:rPr>
          <w:rFonts w:ascii="Palatino Linotype" w:hAnsi="Palatino Linotype" w:cs="Tahoma"/>
          <w:bCs/>
          <w:i/>
          <w:szCs w:val="24"/>
        </w:rPr>
        <w:t>La declaración de inexistencia de la información. NO informa ni aclara la discordancia que existe entre las normas jurídicas promulgadas y que presentan errores en su redacción.</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61D2AEEA" w14:textId="70F41E83" w:rsidR="00342378" w:rsidRDefault="00342378" w:rsidP="004A7CCB">
      <w:pPr>
        <w:spacing w:line="360" w:lineRule="auto"/>
        <w:ind w:right="539"/>
        <w:contextualSpacing/>
        <w:jc w:val="both"/>
        <w:rPr>
          <w:rFonts w:ascii="Palatino Linotype" w:hAnsi="Palatino Linotype" w:cs="Tahoma"/>
          <w:bCs/>
          <w:i/>
          <w:szCs w:val="24"/>
        </w:rPr>
      </w:pPr>
    </w:p>
    <w:p w14:paraId="60436A92" w14:textId="7D6E9B12" w:rsidR="00D6697F" w:rsidRPr="00D6697F" w:rsidRDefault="00D6697F" w:rsidP="004A7CCB">
      <w:pPr>
        <w:spacing w:line="360" w:lineRule="auto"/>
        <w:ind w:right="-28"/>
        <w:contextualSpacing/>
        <w:jc w:val="both"/>
        <w:rPr>
          <w:rFonts w:ascii="Palatino Linotype" w:hAnsi="Palatino Linotype" w:cs="Tahoma"/>
          <w:bCs/>
          <w:iCs/>
          <w:sz w:val="22"/>
          <w:szCs w:val="22"/>
        </w:rPr>
      </w:pPr>
      <w:r w:rsidRPr="00D6697F">
        <w:rPr>
          <w:rFonts w:ascii="Palatino Linotype" w:hAnsi="Palatino Linotype" w:cs="Tahoma"/>
          <w:bCs/>
          <w:iCs/>
          <w:sz w:val="22"/>
          <w:szCs w:val="22"/>
        </w:rPr>
        <w:t xml:space="preserve">El Particular adjuntó el archivo </w:t>
      </w:r>
      <w:r w:rsidRPr="00D6697F">
        <w:rPr>
          <w:rFonts w:ascii="Palatino Linotype" w:hAnsi="Palatino Linotype" w:cs="Tahoma"/>
          <w:b/>
          <w:i/>
          <w:sz w:val="22"/>
          <w:szCs w:val="22"/>
        </w:rPr>
        <w:t>ANEXO 1.pdf</w:t>
      </w:r>
      <w:r>
        <w:rPr>
          <w:rFonts w:ascii="Palatino Linotype" w:hAnsi="Palatino Linotype" w:cs="Tahoma"/>
          <w:b/>
          <w:i/>
          <w:sz w:val="22"/>
          <w:szCs w:val="22"/>
        </w:rPr>
        <w:t xml:space="preserve"> </w:t>
      </w:r>
      <w:r>
        <w:rPr>
          <w:rFonts w:ascii="Palatino Linotype" w:hAnsi="Palatino Linotype" w:cs="Tahoma"/>
          <w:bCs/>
          <w:iCs/>
          <w:sz w:val="22"/>
          <w:szCs w:val="22"/>
        </w:rPr>
        <w:t>en el cual adjuntar “</w:t>
      </w:r>
      <w:r w:rsidRPr="00D6697F">
        <w:rPr>
          <w:rFonts w:ascii="Palatino Linotype" w:hAnsi="Palatino Linotype" w:cs="Tahoma"/>
          <w:bCs/>
          <w:i/>
          <w:sz w:val="22"/>
          <w:szCs w:val="22"/>
        </w:rPr>
        <w:t>EVIDENCIA DE LA IMPUGNACIÓN TOTAL de la respuesta dada por el Ayuntamiento de Toluca a la Solicitud de Información</w:t>
      </w:r>
      <w:r>
        <w:rPr>
          <w:rFonts w:ascii="Palatino Linotype" w:hAnsi="Palatino Linotype" w:cs="Tahoma"/>
          <w:bCs/>
          <w:i/>
          <w:sz w:val="22"/>
          <w:szCs w:val="22"/>
        </w:rPr>
        <w:t xml:space="preserve"> </w:t>
      </w:r>
      <w:r w:rsidRPr="00D6697F">
        <w:rPr>
          <w:rFonts w:ascii="Palatino Linotype" w:hAnsi="Palatino Linotype" w:cs="Tahoma"/>
          <w:bCs/>
          <w:iCs/>
          <w:sz w:val="22"/>
          <w:szCs w:val="22"/>
        </w:rPr>
        <w:t>025997TOLUCA/IP/2025</w:t>
      </w:r>
      <w:r>
        <w:rPr>
          <w:rFonts w:ascii="Palatino Linotype" w:hAnsi="Palatino Linotype" w:cs="Tahoma"/>
          <w:bCs/>
          <w:iCs/>
          <w:sz w:val="22"/>
          <w:szCs w:val="22"/>
        </w:rPr>
        <w:t>”</w:t>
      </w:r>
    </w:p>
    <w:p w14:paraId="221C30C8" w14:textId="77777777" w:rsidR="00D6697F" w:rsidRPr="00D6697F" w:rsidRDefault="00D6697F" w:rsidP="004A7CCB">
      <w:pPr>
        <w:spacing w:line="360" w:lineRule="auto"/>
        <w:ind w:right="539"/>
        <w:contextualSpacing/>
        <w:jc w:val="both"/>
        <w:rPr>
          <w:rFonts w:ascii="Palatino Linotype" w:hAnsi="Palatino Linotype" w:cs="Tahoma"/>
          <w:bCs/>
          <w:iCs/>
          <w:szCs w:val="24"/>
        </w:rPr>
      </w:pPr>
    </w:p>
    <w:p w14:paraId="6A8D2D35" w14:textId="77777777" w:rsidR="009A7587" w:rsidRPr="00FB571A" w:rsidRDefault="00BF4B55" w:rsidP="004A7CCB">
      <w:pPr>
        <w:pStyle w:val="Ttulo2"/>
        <w:spacing w:before="0" w:line="360" w:lineRule="auto"/>
        <w:rPr>
          <w:rFonts w:ascii="Palatino Linotype" w:eastAsia="Batang" w:hAnsi="Palatino Linotype" w:cs="Tahoma"/>
          <w:b/>
          <w:bCs/>
          <w:color w:val="auto"/>
          <w:sz w:val="22"/>
          <w:szCs w:val="22"/>
        </w:rPr>
      </w:pPr>
      <w:bookmarkStart w:id="6" w:name="_Toc206684682"/>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450C412A" w14:textId="77777777" w:rsidR="007E4927" w:rsidRPr="00FB571A" w:rsidRDefault="007E4927" w:rsidP="004A7CCB">
      <w:pPr>
        <w:spacing w:line="360" w:lineRule="auto"/>
        <w:contextualSpacing/>
        <w:jc w:val="both"/>
        <w:rPr>
          <w:rFonts w:ascii="Palatino Linotype" w:eastAsia="Batang" w:hAnsi="Palatino Linotype" w:cs="Tahoma"/>
          <w:b/>
          <w:bCs/>
          <w:sz w:val="22"/>
          <w:szCs w:val="22"/>
        </w:rPr>
      </w:pPr>
    </w:p>
    <w:p w14:paraId="022CCC37" w14:textId="13334C3A" w:rsidR="00C950E3" w:rsidRPr="00FB571A" w:rsidRDefault="009A7587" w:rsidP="004A7CCB">
      <w:pPr>
        <w:spacing w:line="360" w:lineRule="auto"/>
        <w:contextualSpacing/>
        <w:jc w:val="both"/>
        <w:rPr>
          <w:rFonts w:ascii="Palatino Linotype" w:eastAsia="Batang" w:hAnsi="Palatino Linotype" w:cs="Tahoma"/>
          <w:bCs/>
          <w:sz w:val="22"/>
          <w:szCs w:val="22"/>
        </w:rPr>
      </w:pPr>
      <w:bookmarkStart w:id="7" w:name="_Toc206684683"/>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D6697F">
        <w:rPr>
          <w:rFonts w:ascii="Palatino Linotype" w:hAnsi="Palatino Linotype" w:cs="Tahoma"/>
          <w:sz w:val="22"/>
          <w:szCs w:val="22"/>
        </w:rPr>
        <w:t xml:space="preserve">doce de junio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D6697F">
        <w:rPr>
          <w:rFonts w:ascii="Palatino Linotype" w:eastAsia="Batang" w:hAnsi="Palatino Linotype" w:cs="Tahoma"/>
          <w:b/>
          <w:bCs/>
          <w:sz w:val="22"/>
          <w:szCs w:val="22"/>
        </w:rPr>
        <w:t>07056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0BA3194C" w14:textId="77777777" w:rsidR="00D5699B" w:rsidRPr="00FB571A" w:rsidRDefault="00D5699B" w:rsidP="004A7CCB">
      <w:pPr>
        <w:spacing w:line="360" w:lineRule="auto"/>
        <w:contextualSpacing/>
        <w:jc w:val="both"/>
        <w:rPr>
          <w:rFonts w:ascii="Palatino Linotype" w:eastAsia="Batang" w:hAnsi="Palatino Linotype" w:cs="Tahoma"/>
          <w:b/>
          <w:bCs/>
          <w:sz w:val="22"/>
          <w:szCs w:val="22"/>
        </w:rPr>
      </w:pPr>
    </w:p>
    <w:p w14:paraId="0B0E3EC0" w14:textId="56B0712A" w:rsidR="00253937" w:rsidRPr="00FB571A" w:rsidRDefault="009A7587" w:rsidP="004A7CCB">
      <w:pPr>
        <w:spacing w:line="360" w:lineRule="auto"/>
        <w:contextualSpacing/>
        <w:jc w:val="both"/>
        <w:rPr>
          <w:rFonts w:ascii="Palatino Linotype" w:hAnsi="Palatino Linotype" w:cs="Tahoma"/>
          <w:bCs/>
          <w:sz w:val="22"/>
          <w:szCs w:val="22"/>
          <w:lang w:val="es-ES_tradnl"/>
        </w:rPr>
      </w:pPr>
      <w:bookmarkStart w:id="8" w:name="_Toc206684684"/>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D6697F">
        <w:rPr>
          <w:rFonts w:ascii="Palatino Linotype" w:hAnsi="Palatino Linotype" w:cs="Tahoma"/>
          <w:bCs/>
          <w:sz w:val="22"/>
          <w:szCs w:val="22"/>
        </w:rPr>
        <w:t>diecisiete de junio</w:t>
      </w:r>
      <w:r w:rsidR="008E1D82">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C89F075" w14:textId="77777777" w:rsidR="00253937" w:rsidRPr="00FB571A" w:rsidRDefault="00253937" w:rsidP="004A7CCB">
      <w:pPr>
        <w:spacing w:line="360" w:lineRule="auto"/>
        <w:contextualSpacing/>
        <w:jc w:val="both"/>
        <w:rPr>
          <w:rFonts w:ascii="Palatino Linotype" w:hAnsi="Palatino Linotype" w:cs="Tahoma"/>
          <w:bCs/>
          <w:sz w:val="22"/>
          <w:szCs w:val="22"/>
          <w:lang w:val="es-ES_tradnl"/>
        </w:rPr>
      </w:pPr>
    </w:p>
    <w:p w14:paraId="12DA833D" w14:textId="48FD749A" w:rsidR="00DF22DA" w:rsidRPr="00FB571A" w:rsidRDefault="00DF22DA" w:rsidP="004A7CCB">
      <w:pPr>
        <w:spacing w:line="360" w:lineRule="auto"/>
        <w:jc w:val="both"/>
        <w:rPr>
          <w:rFonts w:ascii="Palatino Linotype" w:eastAsia="Batang" w:hAnsi="Palatino Linotype" w:cs="Tahoma"/>
          <w:bCs/>
          <w:sz w:val="22"/>
          <w:szCs w:val="22"/>
          <w:lang w:val="es-ES_tradnl"/>
        </w:rPr>
      </w:pPr>
      <w:bookmarkStart w:id="9" w:name="_Toc190261913"/>
      <w:bookmarkStart w:id="10" w:name="_Toc196917717"/>
      <w:bookmarkStart w:id="11" w:name="_Toc206684685"/>
      <w:r w:rsidRPr="00FB571A">
        <w:rPr>
          <w:rStyle w:val="Ttulo3Car"/>
          <w:rFonts w:ascii="Palatino Linotype" w:hAnsi="Palatino Linotype"/>
          <w:b/>
          <w:color w:val="auto"/>
          <w:sz w:val="22"/>
          <w:szCs w:val="22"/>
        </w:rPr>
        <w:t>c) Informe Justificado.</w:t>
      </w:r>
      <w:bookmarkEnd w:id="9"/>
      <w:bookmarkEnd w:id="10"/>
      <w:bookmarkEnd w:id="11"/>
      <w:r w:rsidRPr="00FB571A">
        <w:rPr>
          <w:rFonts w:ascii="Palatino Linotype" w:eastAsia="Batang" w:hAnsi="Palatino Linotype" w:cs="Tahoma"/>
          <w:b/>
          <w:bCs/>
          <w:sz w:val="22"/>
          <w:szCs w:val="22"/>
          <w:lang w:val="es-ES_tradnl"/>
        </w:rPr>
        <w:t xml:space="preserve"> </w:t>
      </w:r>
      <w:r w:rsidRPr="00FB571A">
        <w:rPr>
          <w:rFonts w:ascii="Palatino Linotype" w:eastAsia="Batang" w:hAnsi="Palatino Linotype" w:cs="Tahoma"/>
          <w:bCs/>
          <w:sz w:val="22"/>
          <w:szCs w:val="22"/>
          <w:lang w:val="es-ES_tradnl"/>
        </w:rPr>
        <w:t xml:space="preserve">El </w:t>
      </w:r>
      <w:r w:rsidR="00D6697F">
        <w:rPr>
          <w:rFonts w:ascii="Palatino Linotype" w:eastAsia="Batang" w:hAnsi="Palatino Linotype" w:cs="Tahoma"/>
          <w:bCs/>
          <w:sz w:val="22"/>
          <w:szCs w:val="22"/>
          <w:lang w:val="es-ES_tradnl"/>
        </w:rPr>
        <w:t>veintiséis de junio</w:t>
      </w:r>
      <w:r w:rsidR="00251517">
        <w:rPr>
          <w:rFonts w:ascii="Palatino Linotype" w:eastAsia="Batang" w:hAnsi="Palatino Linotype" w:cs="Tahoma"/>
          <w:bCs/>
          <w:sz w:val="22"/>
          <w:szCs w:val="22"/>
          <w:lang w:val="es-ES_tradnl"/>
        </w:rPr>
        <w:t xml:space="preserve"> </w:t>
      </w:r>
      <w:r w:rsidRPr="00FB571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Pr>
          <w:rFonts w:ascii="Palatino Linotype" w:eastAsia="Batang" w:hAnsi="Palatino Linotype" w:cs="Tahoma"/>
          <w:bCs/>
          <w:sz w:val="22"/>
          <w:szCs w:val="22"/>
          <w:lang w:val="es-ES_tradnl"/>
        </w:rPr>
        <w:t>ratifico su respuesta como se muestra a continuación</w:t>
      </w:r>
      <w:r w:rsidRPr="00FB571A">
        <w:rPr>
          <w:rFonts w:ascii="Palatino Linotype" w:eastAsia="Batang" w:hAnsi="Palatino Linotype" w:cs="Tahoma"/>
          <w:bCs/>
          <w:sz w:val="22"/>
          <w:szCs w:val="22"/>
          <w:lang w:val="es-ES_tradnl"/>
        </w:rPr>
        <w:t>:</w:t>
      </w:r>
    </w:p>
    <w:p w14:paraId="63E979B9" w14:textId="77777777" w:rsidR="00DF22DA" w:rsidRPr="00FB571A" w:rsidRDefault="00DF22DA" w:rsidP="004A7CCB">
      <w:pPr>
        <w:spacing w:line="360" w:lineRule="auto"/>
        <w:jc w:val="both"/>
        <w:rPr>
          <w:rFonts w:ascii="Palatino Linotype" w:eastAsia="Batang" w:hAnsi="Palatino Linotype" w:cs="Tahoma"/>
          <w:bCs/>
          <w:sz w:val="22"/>
          <w:szCs w:val="22"/>
          <w:lang w:val="es-ES_tradnl"/>
        </w:rPr>
      </w:pPr>
    </w:p>
    <w:p w14:paraId="0492E41F" w14:textId="77777777" w:rsidR="00D067B1" w:rsidRDefault="00DF22DA" w:rsidP="004A7CCB">
      <w:pPr>
        <w:spacing w:line="360" w:lineRule="auto"/>
        <w:ind w:left="567" w:right="539"/>
        <w:jc w:val="both"/>
        <w:rPr>
          <w:rFonts w:ascii="Palatino Linotype" w:eastAsia="Batang" w:hAnsi="Palatino Linotype" w:cs="Tahoma"/>
          <w:b/>
          <w:i/>
          <w:szCs w:val="22"/>
        </w:rPr>
      </w:pPr>
      <w:r w:rsidRPr="00FB571A">
        <w:rPr>
          <w:rFonts w:ascii="Palatino Linotype" w:eastAsia="Batang" w:hAnsi="Palatino Linotype" w:cs="Tahoma"/>
          <w:bCs/>
          <w:i/>
          <w:szCs w:val="22"/>
          <w:lang w:val="es-ES_tradnl"/>
        </w:rPr>
        <w:t>“…</w:t>
      </w:r>
      <w:r w:rsidR="00251517">
        <w:rPr>
          <w:rFonts w:ascii="Palatino Linotype" w:eastAsia="Batang" w:hAnsi="Palatino Linotype" w:cs="Tahoma"/>
          <w:bCs/>
          <w:i/>
          <w:szCs w:val="22"/>
          <w:lang w:val="es-ES_tradnl"/>
        </w:rPr>
        <w:t xml:space="preserve"> </w:t>
      </w:r>
      <w:r w:rsidR="00D067B1" w:rsidRPr="00D067B1">
        <w:rPr>
          <w:rFonts w:ascii="Palatino Linotype" w:eastAsia="Batang" w:hAnsi="Palatino Linotype" w:cs="Tahoma"/>
          <w:bCs/>
          <w:i/>
          <w:szCs w:val="22"/>
        </w:rPr>
        <w:t xml:space="preserve">a través de este acto, comparezco a realizar la </w:t>
      </w:r>
      <w:r w:rsidR="00D067B1" w:rsidRPr="00D067B1">
        <w:rPr>
          <w:rFonts w:ascii="Palatino Linotype" w:eastAsia="Batang" w:hAnsi="Palatino Linotype" w:cs="Tahoma"/>
          <w:b/>
          <w:i/>
          <w:szCs w:val="22"/>
        </w:rPr>
        <w:t>ratificación a la respuesta</w:t>
      </w:r>
      <w:r w:rsidR="00D067B1" w:rsidRPr="00D067B1">
        <w:rPr>
          <w:rFonts w:ascii="Palatino Linotype" w:eastAsia="Batang" w:hAnsi="Palatino Linotype" w:cs="Tahoma"/>
          <w:bCs/>
          <w:i/>
          <w:szCs w:val="22"/>
        </w:rPr>
        <w:t xml:space="preserve"> emitida por la </w:t>
      </w:r>
      <w:r w:rsidR="00D067B1" w:rsidRPr="00D067B1">
        <w:rPr>
          <w:rFonts w:ascii="Palatino Linotype" w:eastAsia="Batang" w:hAnsi="Palatino Linotype" w:cs="Tahoma"/>
          <w:b/>
          <w:i/>
          <w:szCs w:val="22"/>
        </w:rPr>
        <w:t>CONSEJERÍA JURIDICA</w:t>
      </w:r>
      <w:r w:rsidR="00D067B1" w:rsidRPr="00D067B1">
        <w:rPr>
          <w:rFonts w:ascii="Palatino Linotype" w:eastAsia="Batang" w:hAnsi="Palatino Linotype" w:cs="Tahoma"/>
          <w:bCs/>
          <w:i/>
          <w:szCs w:val="22"/>
        </w:rPr>
        <w:t xml:space="preserve"> </w:t>
      </w:r>
      <w:r w:rsidR="00D067B1" w:rsidRPr="00D067B1">
        <w:rPr>
          <w:rFonts w:ascii="Palatino Linotype" w:eastAsia="Batang" w:hAnsi="Palatino Linotype" w:cs="Tahoma"/>
          <w:b/>
          <w:i/>
          <w:szCs w:val="22"/>
        </w:rPr>
        <w:t>y Servidor Público Habilitado</w:t>
      </w:r>
      <w:r w:rsidR="00D067B1" w:rsidRPr="00D067B1">
        <w:rPr>
          <w:rFonts w:ascii="Palatino Linotype" w:eastAsia="Batang" w:hAnsi="Palatino Linotype" w:cs="Tahoma"/>
          <w:bCs/>
          <w:i/>
          <w:szCs w:val="22"/>
        </w:rPr>
        <w:t xml:space="preserve">, del </w:t>
      </w:r>
      <w:r w:rsidR="00D067B1" w:rsidRPr="00D067B1">
        <w:rPr>
          <w:rFonts w:ascii="Palatino Linotype" w:eastAsia="Batang" w:hAnsi="Palatino Linotype" w:cs="Tahoma"/>
          <w:b/>
          <w:i/>
          <w:szCs w:val="22"/>
        </w:rPr>
        <w:t>22 de MAYO de 2025</w:t>
      </w:r>
      <w:r w:rsidR="00D067B1" w:rsidRPr="00D067B1">
        <w:rPr>
          <w:rFonts w:ascii="Palatino Linotype" w:eastAsia="Batang" w:hAnsi="Palatino Linotype" w:cs="Tahoma"/>
          <w:bCs/>
          <w:i/>
          <w:szCs w:val="22"/>
        </w:rPr>
        <w:t xml:space="preserve">, a la solicitud </w:t>
      </w:r>
      <w:r w:rsidR="00D067B1" w:rsidRPr="00D067B1">
        <w:rPr>
          <w:rFonts w:ascii="Palatino Linotype" w:eastAsia="Batang" w:hAnsi="Palatino Linotype" w:cs="Tahoma"/>
          <w:b/>
          <w:i/>
          <w:szCs w:val="22"/>
        </w:rPr>
        <w:t>02599/TOLUCA/IP/2025</w:t>
      </w:r>
      <w:r w:rsidR="00D067B1" w:rsidRPr="00D067B1">
        <w:rPr>
          <w:rFonts w:ascii="Palatino Linotype" w:eastAsia="Batang" w:hAnsi="Palatino Linotype" w:cs="Tahoma"/>
          <w:bCs/>
          <w:i/>
          <w:szCs w:val="22"/>
        </w:rPr>
        <w:t xml:space="preserve">, relacionada con el </w:t>
      </w:r>
      <w:r w:rsidR="00D067B1" w:rsidRPr="00D067B1">
        <w:rPr>
          <w:rFonts w:ascii="Palatino Linotype" w:eastAsia="Batang" w:hAnsi="Palatino Linotype" w:cs="Tahoma"/>
          <w:b/>
          <w:i/>
          <w:szCs w:val="22"/>
        </w:rPr>
        <w:t>Recurso de Revisión 07056/INFOEM/IP/RR/2025</w:t>
      </w:r>
    </w:p>
    <w:p w14:paraId="1A1CF9AD" w14:textId="7F6298F5" w:rsidR="00DF22DA" w:rsidRPr="00FB571A" w:rsidRDefault="00DF22DA" w:rsidP="004A7CCB">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6047B962" w14:textId="75323801" w:rsidR="00DF22DA" w:rsidRPr="00FB571A" w:rsidRDefault="00DF22DA" w:rsidP="004A7CCB">
      <w:pPr>
        <w:spacing w:line="360" w:lineRule="auto"/>
        <w:jc w:val="both"/>
        <w:rPr>
          <w:rFonts w:ascii="Palatino Linotype" w:hAnsi="Palatino Linotype" w:cs="Tahoma"/>
          <w:sz w:val="22"/>
          <w:szCs w:val="22"/>
        </w:rPr>
      </w:pPr>
      <w:bookmarkStart w:id="12" w:name="_Toc190261914"/>
      <w:bookmarkStart w:id="13" w:name="_Toc196917718"/>
      <w:bookmarkStart w:id="14" w:name="_Toc206684686"/>
      <w:r w:rsidRPr="00FB571A">
        <w:rPr>
          <w:rStyle w:val="Ttulo3Car"/>
          <w:rFonts w:ascii="Palatino Linotype" w:hAnsi="Palatino Linotype"/>
          <w:b/>
          <w:color w:val="auto"/>
          <w:sz w:val="22"/>
        </w:rPr>
        <w:lastRenderedPageBreak/>
        <w:t>d) Vista del Informe Justificado.</w:t>
      </w:r>
      <w:bookmarkEnd w:id="12"/>
      <w:bookmarkEnd w:id="13"/>
      <w:bookmarkEnd w:id="14"/>
      <w:r w:rsidRPr="00FB571A">
        <w:rPr>
          <w:rFonts w:ascii="Palatino Linotype" w:hAnsi="Palatino Linotype" w:cs="Tahoma"/>
          <w:sz w:val="18"/>
          <w:szCs w:val="22"/>
        </w:rPr>
        <w:t xml:space="preserve"> </w:t>
      </w:r>
      <w:r w:rsidRPr="00FB571A">
        <w:rPr>
          <w:rFonts w:ascii="Palatino Linotype" w:hAnsi="Palatino Linotype" w:cs="Tahoma"/>
          <w:sz w:val="22"/>
          <w:szCs w:val="22"/>
        </w:rPr>
        <w:t xml:space="preserve">El </w:t>
      </w:r>
      <w:r w:rsidR="00D067B1">
        <w:rPr>
          <w:rFonts w:ascii="Palatino Linotype" w:hAnsi="Palatino Linotype" w:cs="Tahoma"/>
          <w:sz w:val="22"/>
          <w:szCs w:val="22"/>
        </w:rPr>
        <w:t>siete</w:t>
      </w:r>
      <w:r w:rsidR="004D62C9">
        <w:rPr>
          <w:rFonts w:ascii="Palatino Linotype" w:hAnsi="Palatino Linotype" w:cs="Tahoma"/>
          <w:sz w:val="22"/>
          <w:szCs w:val="22"/>
        </w:rPr>
        <w:t xml:space="preserve"> de agosto</w:t>
      </w:r>
      <w:r>
        <w:rPr>
          <w:rFonts w:ascii="Palatino Linotype" w:hAnsi="Palatino Linotype" w:cs="Tahoma"/>
          <w:sz w:val="22"/>
          <w:szCs w:val="22"/>
        </w:rPr>
        <w:t xml:space="preserve"> </w:t>
      </w:r>
      <w:r w:rsidRPr="00FB571A">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3A9FC410" w14:textId="77777777" w:rsidR="00EA2594" w:rsidRDefault="00EA2594" w:rsidP="004A7CCB">
      <w:pPr>
        <w:spacing w:line="360" w:lineRule="auto"/>
        <w:jc w:val="both"/>
        <w:rPr>
          <w:rFonts w:ascii="Palatino Linotype" w:hAnsi="Palatino Linotype" w:cs="Tahoma"/>
          <w:b/>
          <w:sz w:val="22"/>
          <w:szCs w:val="24"/>
        </w:rPr>
      </w:pPr>
    </w:p>
    <w:p w14:paraId="1E315D07" w14:textId="438EB6BA" w:rsidR="00ED5DF5" w:rsidRPr="00FB571A" w:rsidRDefault="008E1D82" w:rsidP="004A7CCB">
      <w:pPr>
        <w:spacing w:line="360" w:lineRule="auto"/>
        <w:jc w:val="both"/>
        <w:rPr>
          <w:rFonts w:ascii="Palatino Linotype" w:hAnsi="Palatino Linotype" w:cs="Tahoma"/>
          <w:sz w:val="22"/>
          <w:szCs w:val="22"/>
        </w:rPr>
      </w:pPr>
      <w:bookmarkStart w:id="15" w:name="_Toc206684687"/>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5"/>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AB62DF">
        <w:rPr>
          <w:rFonts w:ascii="Palatino Linotype" w:hAnsi="Palatino Linotype" w:cs="Tahoma"/>
          <w:sz w:val="22"/>
          <w:szCs w:val="22"/>
        </w:rPr>
        <w:t>diecinueve</w:t>
      </w:r>
      <w:r w:rsidR="004D62C9">
        <w:rPr>
          <w:rFonts w:ascii="Palatino Linotype" w:hAnsi="Palatino Linotype" w:cs="Tahoma"/>
          <w:sz w:val="22"/>
          <w:szCs w:val="22"/>
        </w:rPr>
        <w:t xml:space="preserve"> de agosto</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66CA8665" w14:textId="77777777" w:rsidR="0079675C" w:rsidRPr="00FB571A" w:rsidRDefault="0079675C" w:rsidP="004A7CCB">
      <w:pPr>
        <w:spacing w:line="360" w:lineRule="auto"/>
        <w:jc w:val="both"/>
        <w:rPr>
          <w:rFonts w:ascii="Palatino Linotype" w:hAnsi="Palatino Linotype" w:cs="Tahoma"/>
          <w:sz w:val="22"/>
          <w:szCs w:val="22"/>
        </w:rPr>
      </w:pPr>
    </w:p>
    <w:p w14:paraId="0292BB05" w14:textId="77777777" w:rsidR="004F2D88" w:rsidRDefault="004F2D88" w:rsidP="004A7CC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521D58A0" w14:textId="77777777" w:rsidR="001C0C73" w:rsidRPr="00FB571A" w:rsidRDefault="001C0C73" w:rsidP="004A7CCB">
      <w:pPr>
        <w:spacing w:line="360" w:lineRule="auto"/>
        <w:contextualSpacing/>
        <w:jc w:val="both"/>
        <w:rPr>
          <w:rFonts w:ascii="Palatino Linotype" w:hAnsi="Palatino Linotype" w:cs="Tahoma"/>
          <w:color w:val="000000"/>
          <w:sz w:val="22"/>
          <w:szCs w:val="22"/>
        </w:rPr>
      </w:pPr>
    </w:p>
    <w:p w14:paraId="4ADDD99A" w14:textId="77777777" w:rsidR="00EA4E4A" w:rsidRPr="00FB571A" w:rsidRDefault="00EA4E4A" w:rsidP="004A7CCB">
      <w:pPr>
        <w:pStyle w:val="Ttulo1"/>
        <w:spacing w:before="0" w:line="360" w:lineRule="auto"/>
        <w:jc w:val="center"/>
        <w:rPr>
          <w:rFonts w:ascii="Palatino Linotype" w:hAnsi="Palatino Linotype"/>
          <w:b/>
          <w:color w:val="auto"/>
          <w:sz w:val="22"/>
          <w:szCs w:val="22"/>
        </w:rPr>
      </w:pPr>
      <w:bookmarkStart w:id="16" w:name="_Toc206684688"/>
      <w:r w:rsidRPr="00FB571A">
        <w:rPr>
          <w:rFonts w:ascii="Palatino Linotype" w:hAnsi="Palatino Linotype"/>
          <w:b/>
          <w:color w:val="auto"/>
          <w:sz w:val="22"/>
          <w:szCs w:val="22"/>
        </w:rPr>
        <w:t>C O N S I D E R A N D O S</w:t>
      </w:r>
      <w:bookmarkEnd w:id="16"/>
    </w:p>
    <w:p w14:paraId="3BF1D3DE" w14:textId="77777777" w:rsidR="00EA4E4A" w:rsidRPr="00FB571A" w:rsidRDefault="00EA4E4A" w:rsidP="004A7CCB">
      <w:pPr>
        <w:spacing w:line="360" w:lineRule="auto"/>
        <w:contextualSpacing/>
        <w:jc w:val="both"/>
        <w:rPr>
          <w:rFonts w:ascii="Palatino Linotype" w:hAnsi="Palatino Linotype" w:cs="Tahoma"/>
          <w:b/>
          <w:sz w:val="22"/>
          <w:szCs w:val="22"/>
        </w:rPr>
      </w:pPr>
    </w:p>
    <w:p w14:paraId="4759CD34" w14:textId="77777777" w:rsidR="00EA4E4A" w:rsidRPr="00FB571A" w:rsidRDefault="00EA4E4A" w:rsidP="004A7CCB">
      <w:pPr>
        <w:pStyle w:val="Ttulo2"/>
        <w:spacing w:before="0" w:line="360" w:lineRule="auto"/>
        <w:rPr>
          <w:rFonts w:ascii="Palatino Linotype" w:hAnsi="Palatino Linotype"/>
          <w:b/>
          <w:sz w:val="22"/>
          <w:szCs w:val="22"/>
        </w:rPr>
      </w:pPr>
      <w:bookmarkStart w:id="17" w:name="_Toc206684689"/>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7"/>
    </w:p>
    <w:p w14:paraId="5B2230C3" w14:textId="77777777" w:rsidR="00EA4E4A" w:rsidRPr="00FB571A" w:rsidRDefault="00EA4E4A" w:rsidP="004A7CCB">
      <w:pPr>
        <w:autoSpaceDE w:val="0"/>
        <w:autoSpaceDN w:val="0"/>
        <w:adjustRightInd w:val="0"/>
        <w:spacing w:line="360" w:lineRule="auto"/>
        <w:contextualSpacing/>
        <w:jc w:val="both"/>
        <w:rPr>
          <w:rFonts w:ascii="Palatino Linotype" w:hAnsi="Palatino Linotype" w:cs="Tahoma"/>
          <w:b/>
          <w:sz w:val="22"/>
          <w:szCs w:val="22"/>
        </w:rPr>
      </w:pPr>
    </w:p>
    <w:p w14:paraId="49B57FC2" w14:textId="77777777" w:rsidR="005C0E48" w:rsidRPr="005C0E48" w:rsidRDefault="005C0E48" w:rsidP="004A7CCB">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8"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8"/>
      <w:r w:rsidRPr="005C0E48">
        <w:rPr>
          <w:rFonts w:ascii="Palatino Linotype" w:eastAsia="Calibri" w:hAnsi="Palatino Linotype" w:cs="Tahoma"/>
          <w:color w:val="000000"/>
          <w:sz w:val="22"/>
          <w:szCs w:val="22"/>
          <w:lang w:eastAsia="es-MX"/>
        </w:rPr>
        <w:t xml:space="preserve">, fracciones I, II, III, IV y V de la Constitución Política del Estado Libre y Soberano de México; </w:t>
      </w:r>
      <w:r w:rsidRPr="005C0E48">
        <w:rPr>
          <w:rFonts w:ascii="Palatino Linotype" w:eastAsia="Calibri" w:hAnsi="Palatino Linotype" w:cs="Tahoma"/>
          <w:color w:val="000000"/>
          <w:sz w:val="22"/>
          <w:szCs w:val="22"/>
          <w:lang w:eastAsia="es-MX"/>
        </w:rPr>
        <w:lastRenderedPageBreak/>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2F303ED" w14:textId="25E89781" w:rsidR="00F66601" w:rsidRDefault="00F66601" w:rsidP="004A7CCB">
      <w:pPr>
        <w:spacing w:line="360" w:lineRule="auto"/>
        <w:jc w:val="both"/>
        <w:rPr>
          <w:rFonts w:ascii="Palatino Linotype" w:hAnsi="Palatino Linotype" w:cs="Tahoma"/>
          <w:sz w:val="22"/>
          <w:szCs w:val="22"/>
          <w:shd w:val="clear" w:color="auto" w:fill="FFFFFF"/>
        </w:rPr>
      </w:pPr>
    </w:p>
    <w:p w14:paraId="5C53C346" w14:textId="77777777" w:rsidR="0009056C" w:rsidRPr="0022652F" w:rsidRDefault="0009056C" w:rsidP="004A7CC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2652F">
        <w:rPr>
          <w:rFonts w:ascii="Palatino Linotype" w:eastAsia="Calibri" w:hAnsi="Palatino Linotype" w:cs="Tahoma"/>
          <w:b/>
          <w:color w:val="000000"/>
          <w:sz w:val="22"/>
          <w:szCs w:val="22"/>
          <w:lang w:eastAsia="es-MX"/>
        </w:rPr>
        <w:t>SEGUNDO</w:t>
      </w:r>
      <w:r w:rsidRPr="0022652F">
        <w:rPr>
          <w:rFonts w:ascii="Palatino Linotype" w:eastAsia="Calibri" w:hAnsi="Palatino Linotype" w:cs="Tahoma"/>
          <w:color w:val="000000"/>
          <w:sz w:val="22"/>
          <w:szCs w:val="22"/>
          <w:lang w:eastAsia="es-MX"/>
        </w:rPr>
        <w:t xml:space="preserve">. </w:t>
      </w:r>
      <w:r w:rsidRPr="0022652F">
        <w:rPr>
          <w:rFonts w:ascii="Palatino Linotype" w:eastAsia="Calibri" w:hAnsi="Palatino Linotype" w:cs="Tahoma"/>
          <w:b/>
          <w:color w:val="000000"/>
          <w:sz w:val="22"/>
          <w:szCs w:val="22"/>
          <w:lang w:eastAsia="es-MX"/>
        </w:rPr>
        <w:t>Causales de improcedencia</w:t>
      </w:r>
      <w:r w:rsidRPr="0022652F">
        <w:rPr>
          <w:rFonts w:ascii="Palatino Linotype" w:eastAsia="Calibri" w:hAnsi="Palatino Linotype" w:cs="Tahoma"/>
          <w:color w:val="000000"/>
          <w:sz w:val="22"/>
          <w:szCs w:val="22"/>
          <w:lang w:eastAsia="es-MX"/>
        </w:rPr>
        <w:t xml:space="preserve"> </w:t>
      </w:r>
    </w:p>
    <w:p w14:paraId="6708EC07" w14:textId="77777777" w:rsidR="0009056C" w:rsidRDefault="0009056C" w:rsidP="004A7CCB">
      <w:pPr>
        <w:spacing w:line="360" w:lineRule="auto"/>
        <w:jc w:val="both"/>
        <w:rPr>
          <w:rFonts w:ascii="Palatino Linotype" w:hAnsi="Palatino Linotype" w:cs="Tahoma"/>
          <w:sz w:val="22"/>
          <w:szCs w:val="22"/>
          <w:shd w:val="clear" w:color="auto" w:fill="FFFFFF"/>
        </w:rPr>
      </w:pPr>
    </w:p>
    <w:p w14:paraId="1D19EC9A" w14:textId="77777777" w:rsidR="0009056C" w:rsidRPr="00AF6580" w:rsidRDefault="0009056C" w:rsidP="004A7CC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967F4E" w14:textId="77777777" w:rsidR="0009056C" w:rsidRPr="00AF6580" w:rsidRDefault="0009056C" w:rsidP="004A7CC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88976F2" w14:textId="77777777" w:rsidR="004A7CCB" w:rsidRPr="004A7CCB" w:rsidRDefault="004A7CCB" w:rsidP="004A7CCB">
      <w:pPr>
        <w:spacing w:line="360" w:lineRule="auto"/>
        <w:jc w:val="both"/>
        <w:rPr>
          <w:rFonts w:ascii="Palatino Linotype" w:eastAsia="Palatino Linotype" w:hAnsi="Palatino Linotype" w:cs="Palatino Linotype"/>
          <w:color w:val="000000"/>
          <w:sz w:val="22"/>
          <w:szCs w:val="22"/>
          <w:lang w:eastAsia="es-MX"/>
        </w:rPr>
      </w:pPr>
      <w:r w:rsidRPr="004A7CCB">
        <w:rPr>
          <w:rFonts w:ascii="Palatino Linotype" w:eastAsia="Palatino Linotype" w:hAnsi="Palatino Linotype" w:cs="Palatino Linotype"/>
          <w:color w:val="000000"/>
          <w:sz w:val="22"/>
          <w:szCs w:val="22"/>
          <w:lang w:eastAsia="es-MX"/>
        </w:rPr>
        <w:t>En el presente caso, </w:t>
      </w:r>
      <w:r w:rsidRPr="004A7CCB">
        <w:rPr>
          <w:rFonts w:ascii="Palatino Linotype" w:eastAsia="Palatino Linotype" w:hAnsi="Palatino Linotype" w:cs="Palatino Linotype"/>
          <w:b/>
          <w:color w:val="000000"/>
          <w:sz w:val="22"/>
          <w:szCs w:val="22"/>
          <w:lang w:eastAsia="es-MX"/>
        </w:rPr>
        <w:t>no se actualiza ninguna de las causales de improcedencia</w:t>
      </w:r>
      <w:r w:rsidRPr="004A7CCB">
        <w:rPr>
          <w:rFonts w:ascii="Palatino Linotype" w:eastAsia="Palatino Linotype" w:hAnsi="Palatino Linotype" w:cs="Palatino Linotype"/>
          <w:color w:val="000000"/>
          <w:sz w:val="22"/>
          <w:szCs w:val="22"/>
          <w:lang w:eastAsia="es-MX"/>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CA51228" w14:textId="77777777" w:rsidR="004A7CCB" w:rsidRPr="004A7CCB" w:rsidRDefault="004A7CCB" w:rsidP="004A7CCB">
      <w:pPr>
        <w:spacing w:line="360" w:lineRule="auto"/>
        <w:jc w:val="both"/>
        <w:rPr>
          <w:rFonts w:ascii="Palatino Linotype" w:eastAsia="Palatino Linotype" w:hAnsi="Palatino Linotype" w:cs="Palatino Linotype"/>
          <w:color w:val="000000"/>
          <w:sz w:val="22"/>
          <w:szCs w:val="22"/>
          <w:lang w:eastAsia="es-MX"/>
        </w:rPr>
      </w:pPr>
    </w:p>
    <w:p w14:paraId="53B6661E" w14:textId="56266FF4" w:rsidR="004A7CCB" w:rsidRDefault="004A7CCB" w:rsidP="004A7CCB">
      <w:pPr>
        <w:spacing w:line="360" w:lineRule="auto"/>
        <w:jc w:val="both"/>
        <w:rPr>
          <w:rFonts w:ascii="Palatino Linotype" w:eastAsia="Palatino Linotype" w:hAnsi="Palatino Linotype" w:cs="Palatino Linotype"/>
          <w:color w:val="000000"/>
          <w:sz w:val="22"/>
          <w:szCs w:val="22"/>
          <w:lang w:eastAsia="es-MX"/>
        </w:rPr>
      </w:pPr>
      <w:r w:rsidRPr="004A7CCB">
        <w:rPr>
          <w:rFonts w:ascii="Palatino Linotype" w:eastAsia="Palatino Linotype" w:hAnsi="Palatino Linotype" w:cs="Palatino Linotype"/>
          <w:color w:val="000000"/>
          <w:sz w:val="22"/>
          <w:szCs w:val="22"/>
          <w:lang w:eastAsia="es-MX"/>
        </w:rPr>
        <w:lastRenderedPageBreak/>
        <w:t xml:space="preserve">Por lo cual, se actualiza la causal de procedencia del Recurso de Revisión señalada en el artículo 179, fracción </w:t>
      </w:r>
      <w:r>
        <w:rPr>
          <w:rFonts w:ascii="Palatino Linotype" w:eastAsia="Palatino Linotype" w:hAnsi="Palatino Linotype" w:cs="Palatino Linotype"/>
          <w:color w:val="000000"/>
          <w:sz w:val="22"/>
          <w:szCs w:val="22"/>
          <w:lang w:eastAsia="es-MX"/>
        </w:rPr>
        <w:t>II</w:t>
      </w:r>
      <w:r w:rsidRPr="004A7CCB">
        <w:rPr>
          <w:rFonts w:ascii="Palatino Linotype" w:eastAsia="Palatino Linotype" w:hAnsi="Palatino Linotype" w:cs="Palatino Linotype"/>
          <w:color w:val="000000"/>
          <w:sz w:val="22"/>
          <w:szCs w:val="22"/>
          <w:lang w:eastAsia="es-MX"/>
        </w:rPr>
        <w:t xml:space="preserve">I, de la Ley en cita, pues la persona Recurrente se inconformó de la </w:t>
      </w:r>
      <w:r>
        <w:rPr>
          <w:rFonts w:ascii="Palatino Linotype" w:eastAsia="Palatino Linotype" w:hAnsi="Palatino Linotype" w:cs="Palatino Linotype"/>
          <w:color w:val="000000"/>
          <w:sz w:val="22"/>
          <w:szCs w:val="22"/>
          <w:lang w:eastAsia="es-MX"/>
        </w:rPr>
        <w:t>inexistencia de la información</w:t>
      </w:r>
      <w:r w:rsidRPr="004A7CCB">
        <w:rPr>
          <w:rFonts w:ascii="Palatino Linotype" w:eastAsia="Palatino Linotype" w:hAnsi="Palatino Linotype" w:cs="Palatino Linotype"/>
          <w:color w:val="000000"/>
          <w:sz w:val="22"/>
          <w:szCs w:val="22"/>
          <w:lang w:eastAsia="es-MX"/>
        </w:rPr>
        <w:t>.</w:t>
      </w:r>
    </w:p>
    <w:p w14:paraId="14EBFABD" w14:textId="77777777" w:rsidR="004A7CCB" w:rsidRPr="004A7CCB" w:rsidRDefault="004A7CCB" w:rsidP="004A7CCB">
      <w:pPr>
        <w:keepNext/>
        <w:keepLines/>
        <w:spacing w:before="360" w:line="254" w:lineRule="auto"/>
        <w:jc w:val="both"/>
        <w:outlineLvl w:val="1"/>
        <w:rPr>
          <w:rFonts w:ascii="Palatino Linotype" w:eastAsia="Palatino Linotype" w:hAnsi="Palatino Linotype" w:cs="Palatino Linotype"/>
          <w:b/>
          <w:color w:val="000000"/>
          <w:sz w:val="22"/>
          <w:szCs w:val="22"/>
          <w:lang w:eastAsia="es-MX"/>
        </w:rPr>
      </w:pPr>
      <w:bookmarkStart w:id="19" w:name="_Toc206684690"/>
      <w:r w:rsidRPr="004A7CCB">
        <w:rPr>
          <w:rFonts w:ascii="Palatino Linotype" w:eastAsia="Palatino Linotype" w:hAnsi="Palatino Linotype" w:cs="Palatino Linotype"/>
          <w:b/>
          <w:color w:val="000000"/>
          <w:sz w:val="22"/>
          <w:szCs w:val="22"/>
          <w:lang w:eastAsia="es-MX"/>
        </w:rPr>
        <w:t>TERCERO. Causales de sobreseimiento</w:t>
      </w:r>
      <w:bookmarkEnd w:id="19"/>
    </w:p>
    <w:p w14:paraId="3BFEF1FD" w14:textId="77777777" w:rsidR="004A7CCB" w:rsidRPr="004A7CCB" w:rsidRDefault="004A7CCB" w:rsidP="004A7CCB">
      <w:pPr>
        <w:spacing w:line="360" w:lineRule="auto"/>
        <w:jc w:val="both"/>
        <w:rPr>
          <w:rFonts w:ascii="Palatino Linotype" w:eastAsia="Palatino Linotype" w:hAnsi="Palatino Linotype" w:cs="Palatino Linotype"/>
          <w:color w:val="0D0D0D"/>
          <w:sz w:val="22"/>
          <w:szCs w:val="22"/>
          <w:lang w:eastAsia="es-MX"/>
        </w:rPr>
      </w:pPr>
    </w:p>
    <w:p w14:paraId="3E963BC5" w14:textId="77777777" w:rsidR="004A7CCB" w:rsidRPr="004A7CCB" w:rsidRDefault="004A7CCB" w:rsidP="004A7CCB">
      <w:pPr>
        <w:spacing w:line="360" w:lineRule="auto"/>
        <w:jc w:val="both"/>
        <w:rPr>
          <w:rFonts w:ascii="Palatino Linotype" w:eastAsia="Palatino Linotype" w:hAnsi="Palatino Linotype" w:cs="Palatino Linotype"/>
          <w:color w:val="0D0D0D"/>
          <w:sz w:val="22"/>
          <w:szCs w:val="22"/>
          <w:lang w:eastAsia="es-MX"/>
        </w:rPr>
      </w:pPr>
      <w:r w:rsidRPr="004A7CCB">
        <w:rPr>
          <w:rFonts w:ascii="Palatino Linotype" w:eastAsia="Palatino Linotype" w:hAnsi="Palatino Linotype" w:cs="Palatino Linotype"/>
          <w:color w:val="0D0D0D"/>
          <w:sz w:val="22"/>
          <w:szCs w:val="22"/>
          <w:lang w:eastAsia="es-MX"/>
        </w:rPr>
        <w:t>Por ser de previo y especial pronunciamiento, este Instituto analiza si se actualiza alguna causal de sobreseimiento.</w:t>
      </w:r>
    </w:p>
    <w:p w14:paraId="247FCBA3" w14:textId="77777777" w:rsidR="004A7CCB" w:rsidRPr="004A7CCB" w:rsidRDefault="004A7CCB" w:rsidP="004A7CCB">
      <w:pPr>
        <w:spacing w:line="360" w:lineRule="auto"/>
        <w:jc w:val="both"/>
        <w:rPr>
          <w:rFonts w:ascii="Palatino Linotype" w:eastAsia="Palatino Linotype" w:hAnsi="Palatino Linotype" w:cs="Palatino Linotype"/>
          <w:color w:val="0D0D0D"/>
          <w:sz w:val="22"/>
          <w:szCs w:val="22"/>
          <w:lang w:eastAsia="es-MX"/>
        </w:rPr>
      </w:pPr>
    </w:p>
    <w:p w14:paraId="55B3E23D" w14:textId="77777777" w:rsidR="004A7CCB" w:rsidRPr="004A7CCB" w:rsidRDefault="004A7CCB" w:rsidP="004A7CCB">
      <w:pPr>
        <w:spacing w:line="360" w:lineRule="auto"/>
        <w:jc w:val="both"/>
        <w:rPr>
          <w:rFonts w:ascii="Palatino Linotype" w:hAnsi="Palatino Linotype" w:cs="Tahoma"/>
          <w:sz w:val="22"/>
          <w:szCs w:val="24"/>
        </w:rPr>
      </w:pPr>
      <w:r w:rsidRPr="004A7CCB">
        <w:rPr>
          <w:rFonts w:ascii="Palatino Linotype" w:hAnsi="Palatino Linotype" w:cs="Tahoma"/>
          <w:bCs/>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4A7CCB">
        <w:rPr>
          <w:rFonts w:ascii="Palatino Linotype" w:hAnsi="Palatino Linotype" w:cs="Tahoma"/>
          <w:b/>
          <w:bCs/>
          <w:sz w:val="22"/>
          <w:szCs w:val="22"/>
        </w:rPr>
        <w:t>que no se actualizan los supuestos de sobreseimiento previstos en las fracciones I, II, III y V</w:t>
      </w:r>
      <w:r w:rsidRPr="004A7CCB">
        <w:rPr>
          <w:rFonts w:ascii="Palatino Linotype" w:hAnsi="Palatino Linotype" w:cs="Tahoma"/>
          <w:bCs/>
          <w:sz w:val="22"/>
          <w:szCs w:val="22"/>
        </w:rPr>
        <w:t xml:space="preserve">, </w:t>
      </w:r>
      <w:r w:rsidRPr="004A7CCB">
        <w:rPr>
          <w:rFonts w:ascii="Palatino Linotype" w:eastAsia="Calibri" w:hAnsi="Palatino Linotype" w:cs="Tahoma"/>
          <w:color w:val="000000"/>
          <w:sz w:val="22"/>
        </w:rPr>
        <w:t xml:space="preserve">toda vez que no hay constancias en el expediente en que se actúa, de que la persona Recurrente se haya desistido, haya fallecido, haya modificado o revocado su respuesta o bien, </w:t>
      </w:r>
      <w:r w:rsidRPr="004A7CCB">
        <w:rPr>
          <w:rFonts w:ascii="Palatino Linotype" w:hAnsi="Palatino Linotype" w:cs="Tahoma"/>
          <w:sz w:val="22"/>
          <w:szCs w:val="24"/>
        </w:rPr>
        <w:t>que el Recurso de Revisión haya quedado sin materia.</w:t>
      </w:r>
    </w:p>
    <w:p w14:paraId="70FB1693" w14:textId="77777777" w:rsidR="004A7CCB" w:rsidRPr="004A7CCB" w:rsidRDefault="004A7CCB" w:rsidP="004A7CCB">
      <w:pPr>
        <w:spacing w:line="360" w:lineRule="auto"/>
        <w:jc w:val="both"/>
        <w:rPr>
          <w:rFonts w:ascii="Palatino Linotype" w:hAnsi="Palatino Linotype" w:cs="Tahoma"/>
          <w:sz w:val="22"/>
          <w:szCs w:val="24"/>
        </w:rPr>
      </w:pPr>
    </w:p>
    <w:p w14:paraId="6B9DEC20" w14:textId="77777777" w:rsidR="004A7CCB" w:rsidRPr="004A7CCB" w:rsidRDefault="004A7CCB" w:rsidP="004A7CCB">
      <w:pPr>
        <w:spacing w:line="360" w:lineRule="auto"/>
        <w:jc w:val="both"/>
        <w:rPr>
          <w:rFonts w:ascii="Palatino Linotype" w:hAnsi="Palatino Linotype" w:cs="Tahoma"/>
          <w:bCs/>
          <w:sz w:val="22"/>
          <w:szCs w:val="22"/>
        </w:rPr>
      </w:pPr>
      <w:r w:rsidRPr="004A7CCB">
        <w:rPr>
          <w:rFonts w:ascii="Palatino Linotype" w:hAnsi="Palatino Linotype" w:cs="Tahoma"/>
          <w:bCs/>
          <w:sz w:val="22"/>
          <w:szCs w:val="22"/>
        </w:rPr>
        <w:t xml:space="preserve">No obstante, por lo que hace a la hipótesis prevista en la </w:t>
      </w:r>
      <w:r w:rsidRPr="004A7CCB">
        <w:rPr>
          <w:rFonts w:ascii="Palatino Linotype" w:hAnsi="Palatino Linotype" w:cs="Tahoma"/>
          <w:b/>
          <w:bCs/>
          <w:sz w:val="22"/>
          <w:szCs w:val="22"/>
        </w:rPr>
        <w:t>fracción IV</w:t>
      </w:r>
      <w:r w:rsidRPr="004A7CCB">
        <w:rPr>
          <w:rFonts w:ascii="Palatino Linotype" w:hAnsi="Palatino Linotype" w:cs="Tahoma"/>
          <w:bCs/>
          <w:sz w:val="22"/>
          <w:szCs w:val="22"/>
        </w:rPr>
        <w:t>, a saber, que admitido una vez admitido el Recurso de Revisión, aparezca alguna causal de improcedencia en términos de la presente Ley, resulta necesario traer a colación</w:t>
      </w:r>
      <w:r w:rsidRPr="004A7CCB">
        <w:rPr>
          <w:rFonts w:ascii="Palatino Linotype" w:hAnsi="Palatino Linotype" w:cs="Tahoma"/>
          <w:bCs/>
          <w:sz w:val="22"/>
          <w:szCs w:val="22"/>
          <w:lang w:val="es-ES"/>
        </w:rPr>
        <w:t xml:space="preserve"> el artículo 191, fracción VI, de la Ley de la materia, que establece que el Recurso de Revisión será desechado por improcedente, cuando </w:t>
      </w:r>
      <w:r w:rsidRPr="004A7CCB">
        <w:rPr>
          <w:rFonts w:ascii="Palatino Linotype" w:hAnsi="Palatino Linotype" w:cs="Tahoma"/>
          <w:b/>
          <w:sz w:val="22"/>
          <w:szCs w:val="22"/>
          <w:lang w:val="es-ES"/>
        </w:rPr>
        <w:t>la solicitud de información se trate de una consulta.</w:t>
      </w:r>
    </w:p>
    <w:p w14:paraId="24788907" w14:textId="77777777" w:rsidR="004A7CCB" w:rsidRPr="004A7CCB" w:rsidRDefault="004A7CCB" w:rsidP="004A7CCB">
      <w:pPr>
        <w:spacing w:line="360" w:lineRule="auto"/>
        <w:jc w:val="both"/>
        <w:rPr>
          <w:rFonts w:ascii="Palatino Linotype" w:hAnsi="Palatino Linotype" w:cs="Tahoma"/>
          <w:sz w:val="22"/>
          <w:szCs w:val="24"/>
        </w:rPr>
      </w:pPr>
    </w:p>
    <w:p w14:paraId="284F48C8" w14:textId="46D6BC3D" w:rsidR="00CF1D4D" w:rsidRDefault="004A7CCB" w:rsidP="007E3370">
      <w:pPr>
        <w:spacing w:line="360" w:lineRule="auto"/>
        <w:jc w:val="both"/>
        <w:rPr>
          <w:rFonts w:ascii="Palatino Linotype" w:eastAsia="Calibri" w:hAnsi="Palatino Linotype" w:cs="Tahoma"/>
          <w:iCs/>
          <w:sz w:val="22"/>
          <w:szCs w:val="22"/>
          <w:lang w:val="es-ES" w:eastAsia="es-ES_tradnl"/>
        </w:rPr>
      </w:pPr>
      <w:r w:rsidRPr="004A7CCB">
        <w:rPr>
          <w:rFonts w:ascii="Palatino Linotype" w:hAnsi="Palatino Linotype" w:cs="Tahoma"/>
          <w:sz w:val="22"/>
          <w:szCs w:val="24"/>
        </w:rPr>
        <w:t xml:space="preserve">En principio, con el fin de verificar si se actualiza la causal de improcedencia, es necesario precisar que el </w:t>
      </w:r>
      <w:r w:rsidRPr="004A7CCB">
        <w:rPr>
          <w:rFonts w:ascii="Palatino Linotype" w:eastAsia="Calibri" w:hAnsi="Palatino Linotype" w:cs="Tahoma"/>
          <w:iCs/>
          <w:color w:val="000000"/>
          <w:sz w:val="22"/>
          <w:szCs w:val="22"/>
          <w:lang w:val="es-ES" w:eastAsia="es-ES_tradnl"/>
        </w:rPr>
        <w:t>Recurrente requirió</w:t>
      </w:r>
      <w:r w:rsidR="0009056C" w:rsidRPr="009C0C0F">
        <w:rPr>
          <w:rFonts w:ascii="Palatino Linotype" w:eastAsia="Calibri" w:hAnsi="Palatino Linotype" w:cs="Tahoma"/>
          <w:iCs/>
          <w:sz w:val="22"/>
          <w:szCs w:val="22"/>
          <w:lang w:val="es-ES" w:eastAsia="es-ES_tradnl"/>
        </w:rPr>
        <w:t xml:space="preserve"> a</w:t>
      </w:r>
      <w:r w:rsidR="00AB62DF">
        <w:rPr>
          <w:rFonts w:ascii="Palatino Linotype" w:eastAsia="Calibri" w:hAnsi="Palatino Linotype" w:cs="Tahoma"/>
          <w:iCs/>
          <w:sz w:val="22"/>
          <w:szCs w:val="22"/>
          <w:lang w:val="es-ES" w:eastAsia="es-ES_tradnl"/>
        </w:rPr>
        <w:t>l Ayuntamiento de Toluca</w:t>
      </w:r>
      <w:r w:rsidR="0009056C">
        <w:rPr>
          <w:rFonts w:ascii="Palatino Linotype" w:eastAsia="Calibri" w:hAnsi="Palatino Linotype" w:cs="Tahoma"/>
          <w:iCs/>
          <w:sz w:val="22"/>
          <w:szCs w:val="22"/>
          <w:lang w:val="es-ES" w:eastAsia="es-ES_tradnl"/>
        </w:rPr>
        <w:t xml:space="preserve"> </w:t>
      </w:r>
      <w:r w:rsidR="00AB62DF">
        <w:rPr>
          <w:rFonts w:ascii="Palatino Linotype" w:eastAsia="Calibri" w:hAnsi="Palatino Linotype" w:cs="Tahoma"/>
          <w:iCs/>
          <w:sz w:val="22"/>
          <w:szCs w:val="22"/>
          <w:lang w:val="es-ES" w:eastAsia="es-ES_tradnl"/>
        </w:rPr>
        <w:t>que aclarara discordancias entre su normatividad</w:t>
      </w:r>
      <w:r w:rsidR="00CF1D4D">
        <w:rPr>
          <w:rFonts w:ascii="Palatino Linotype" w:eastAsia="Calibri" w:hAnsi="Palatino Linotype" w:cs="Tahoma"/>
          <w:iCs/>
          <w:sz w:val="22"/>
          <w:szCs w:val="22"/>
          <w:lang w:val="es-ES" w:eastAsia="es-ES_tradnl"/>
        </w:rPr>
        <w:t xml:space="preserve">, específicamente </w:t>
      </w:r>
      <w:r w:rsidR="00CF1D4D" w:rsidRPr="00CF1D4D">
        <w:rPr>
          <w:rFonts w:ascii="Palatino Linotype" w:eastAsia="Calibri" w:hAnsi="Palatino Linotype" w:cs="Tahoma"/>
          <w:iCs/>
          <w:sz w:val="22"/>
          <w:szCs w:val="22"/>
          <w:lang w:val="es-ES" w:eastAsia="es-ES_tradnl"/>
        </w:rPr>
        <w:t xml:space="preserve">entre </w:t>
      </w:r>
      <w:r w:rsidR="00CF1D4D">
        <w:rPr>
          <w:rFonts w:ascii="Palatino Linotype" w:eastAsia="Calibri" w:hAnsi="Palatino Linotype" w:cs="Tahoma"/>
          <w:iCs/>
          <w:sz w:val="22"/>
          <w:szCs w:val="22"/>
          <w:lang w:val="es-ES" w:eastAsia="es-ES_tradnl"/>
        </w:rPr>
        <w:t xml:space="preserve">el </w:t>
      </w:r>
      <w:r w:rsidR="00CF1D4D" w:rsidRPr="00CF1D4D">
        <w:rPr>
          <w:rFonts w:ascii="Palatino Linotype" w:eastAsia="Calibri" w:hAnsi="Palatino Linotype" w:cs="Tahoma"/>
          <w:iCs/>
          <w:sz w:val="22"/>
          <w:szCs w:val="22"/>
          <w:lang w:val="es-ES" w:eastAsia="es-ES_tradnl"/>
        </w:rPr>
        <w:t>Código Reglamentario Municipal de Toluca y</w:t>
      </w:r>
      <w:r w:rsidR="00CF1D4D">
        <w:rPr>
          <w:rFonts w:ascii="Palatino Linotype" w:eastAsia="Calibri" w:hAnsi="Palatino Linotype" w:cs="Tahoma"/>
          <w:iCs/>
          <w:sz w:val="22"/>
          <w:szCs w:val="22"/>
          <w:lang w:val="es-ES" w:eastAsia="es-ES_tradnl"/>
        </w:rPr>
        <w:t xml:space="preserve"> el Bando Municipal Toluca</w:t>
      </w:r>
      <w:r w:rsidR="007E3370">
        <w:rPr>
          <w:rFonts w:ascii="Palatino Linotype" w:eastAsia="Calibri" w:hAnsi="Palatino Linotype" w:cs="Tahoma"/>
          <w:iCs/>
          <w:sz w:val="22"/>
          <w:szCs w:val="22"/>
          <w:lang w:val="es-ES" w:eastAsia="es-ES_tradnl"/>
        </w:rPr>
        <w:t>;</w:t>
      </w:r>
      <w:r w:rsidR="00CF1D4D">
        <w:rPr>
          <w:rFonts w:ascii="Palatino Linotype" w:eastAsia="Calibri" w:hAnsi="Palatino Linotype" w:cs="Tahoma"/>
          <w:iCs/>
          <w:sz w:val="22"/>
          <w:szCs w:val="22"/>
          <w:lang w:val="es-ES" w:eastAsia="es-ES_tradnl"/>
        </w:rPr>
        <w:t xml:space="preserve"> razón por la cual en respuesta el </w:t>
      </w:r>
      <w:r w:rsidR="00CF1D4D" w:rsidRPr="00CF1D4D">
        <w:rPr>
          <w:rFonts w:ascii="Palatino Linotype" w:eastAsia="Calibri" w:hAnsi="Palatino Linotype" w:cs="Tahoma"/>
          <w:iCs/>
          <w:sz w:val="22"/>
          <w:szCs w:val="22"/>
          <w:lang w:val="es-ES" w:eastAsia="es-ES_tradnl"/>
        </w:rPr>
        <w:t xml:space="preserve">Coordinador de Estudios y </w:t>
      </w:r>
      <w:r w:rsidR="00CF1D4D" w:rsidRPr="00CF1D4D">
        <w:rPr>
          <w:rFonts w:ascii="Palatino Linotype" w:eastAsia="Calibri" w:hAnsi="Palatino Linotype" w:cs="Tahoma"/>
          <w:iCs/>
          <w:sz w:val="22"/>
          <w:szCs w:val="22"/>
          <w:lang w:val="es-ES" w:eastAsia="es-ES_tradnl"/>
        </w:rPr>
        <w:lastRenderedPageBreak/>
        <w:t>Reglamentación Municipal</w:t>
      </w:r>
      <w:r w:rsidR="00CF1D4D">
        <w:rPr>
          <w:rFonts w:ascii="Palatino Linotype" w:eastAsia="Calibri" w:hAnsi="Palatino Linotype" w:cs="Tahoma"/>
          <w:iCs/>
          <w:sz w:val="22"/>
          <w:szCs w:val="22"/>
          <w:lang w:val="es-ES" w:eastAsia="es-ES_tradnl"/>
        </w:rPr>
        <w:t xml:space="preserve"> señaló no contar con algún documento que diera cuenta de lo solicitado, además de señalar que lo manifestado por el Solicitante son manifestaciones realizadas desde su perspectiva.</w:t>
      </w:r>
    </w:p>
    <w:p w14:paraId="229AA9D6" w14:textId="77777777" w:rsidR="00CF1D4D" w:rsidRDefault="00CF1D4D" w:rsidP="004A7CCB">
      <w:pPr>
        <w:tabs>
          <w:tab w:val="left" w:pos="4962"/>
        </w:tabs>
        <w:spacing w:line="360" w:lineRule="auto"/>
        <w:jc w:val="both"/>
        <w:rPr>
          <w:rFonts w:ascii="Palatino Linotype" w:eastAsia="Calibri" w:hAnsi="Palatino Linotype" w:cs="Tahoma"/>
          <w:iCs/>
          <w:sz w:val="22"/>
          <w:szCs w:val="22"/>
          <w:lang w:val="es-ES" w:eastAsia="es-ES_tradnl"/>
        </w:rPr>
      </w:pPr>
    </w:p>
    <w:p w14:paraId="33FC3711" w14:textId="6B690BF6" w:rsidR="00CF1D4D" w:rsidRDefault="00CF1D4D" w:rsidP="004A7CC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Aunado a lo anterior, se trae a colación el Código Reglamentario Municipal de Toluca el cual en su artículo 3.17 señala las atribuciones de l</w:t>
      </w:r>
      <w:r w:rsidRPr="00CF1D4D">
        <w:rPr>
          <w:rFonts w:ascii="Palatino Linotype" w:eastAsia="Calibri" w:hAnsi="Palatino Linotype" w:cs="Tahoma"/>
          <w:iCs/>
          <w:sz w:val="22"/>
          <w:szCs w:val="22"/>
          <w:lang w:val="es-ES" w:eastAsia="es-ES_tradnl"/>
        </w:rPr>
        <w:t>a o el titular de la Coordinación de Estudios y Reglamentación Municipal,</w:t>
      </w:r>
      <w:r>
        <w:rPr>
          <w:rFonts w:ascii="Palatino Linotype" w:eastAsia="Calibri" w:hAnsi="Palatino Linotype" w:cs="Tahoma"/>
          <w:iCs/>
          <w:sz w:val="22"/>
          <w:szCs w:val="22"/>
          <w:lang w:val="es-ES" w:eastAsia="es-ES_tradnl"/>
        </w:rPr>
        <w:t xml:space="preserve"> dentro de las que se encuentra la de c</w:t>
      </w:r>
      <w:r w:rsidRPr="00CF1D4D">
        <w:rPr>
          <w:rFonts w:ascii="Palatino Linotype" w:eastAsia="Calibri" w:hAnsi="Palatino Linotype" w:cs="Tahoma"/>
          <w:iCs/>
          <w:sz w:val="22"/>
          <w:szCs w:val="22"/>
          <w:lang w:val="es-ES" w:eastAsia="es-ES_tradnl"/>
        </w:rPr>
        <w:t>oordinar y dirigir los trabajos para la creación, formulación y revisión de proyectos de reforma al Bando Municipal y al Código Reglamentario, así como validar los acuerdos de carácter general que emitan</w:t>
      </w:r>
      <w:r>
        <w:rPr>
          <w:rFonts w:ascii="Palatino Linotype" w:eastAsia="Calibri" w:hAnsi="Palatino Linotype" w:cs="Tahoma"/>
          <w:iCs/>
          <w:sz w:val="22"/>
          <w:szCs w:val="22"/>
          <w:lang w:val="es-ES" w:eastAsia="es-ES_tradnl"/>
        </w:rPr>
        <w:t xml:space="preserve"> las dependencias municipales; razón por la cual se observa que se pronunció la unidad administrativa competente.</w:t>
      </w:r>
    </w:p>
    <w:p w14:paraId="45242261" w14:textId="77777777" w:rsidR="00CF1D4D" w:rsidRDefault="00CF1D4D" w:rsidP="004A7CCB">
      <w:pPr>
        <w:tabs>
          <w:tab w:val="left" w:pos="4962"/>
        </w:tabs>
        <w:spacing w:line="360" w:lineRule="auto"/>
        <w:jc w:val="both"/>
        <w:rPr>
          <w:rFonts w:ascii="Palatino Linotype" w:eastAsia="Calibri" w:hAnsi="Palatino Linotype" w:cs="Tahoma"/>
          <w:iCs/>
          <w:sz w:val="22"/>
          <w:szCs w:val="22"/>
          <w:lang w:val="es-ES" w:eastAsia="es-ES_tradnl"/>
        </w:rPr>
      </w:pPr>
    </w:p>
    <w:p w14:paraId="6B6E7BA6" w14:textId="2674839E" w:rsidR="007E3370" w:rsidRDefault="003B33EA" w:rsidP="004A7CC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Establecido </w:t>
      </w:r>
      <w:r w:rsidR="00CF1D4D">
        <w:rPr>
          <w:rFonts w:ascii="Palatino Linotype" w:eastAsia="Calibri" w:hAnsi="Palatino Linotype" w:cs="Tahoma"/>
          <w:iCs/>
          <w:sz w:val="22"/>
          <w:szCs w:val="22"/>
          <w:lang w:val="es-ES" w:eastAsia="es-ES_tradnl"/>
        </w:rPr>
        <w:t xml:space="preserve">lo anterior, </w:t>
      </w:r>
      <w:r>
        <w:rPr>
          <w:rFonts w:ascii="Palatino Linotype" w:eastAsia="Calibri" w:hAnsi="Palatino Linotype" w:cs="Tahoma"/>
          <w:iCs/>
          <w:sz w:val="22"/>
          <w:szCs w:val="22"/>
          <w:lang w:val="es-ES" w:eastAsia="es-ES_tradnl"/>
        </w:rPr>
        <w:t xml:space="preserve">es de recordar </w:t>
      </w:r>
      <w:r w:rsidR="00CF1D4D">
        <w:rPr>
          <w:rFonts w:ascii="Palatino Linotype" w:eastAsia="Calibri" w:hAnsi="Palatino Linotype" w:cs="Tahoma"/>
          <w:iCs/>
          <w:sz w:val="22"/>
          <w:szCs w:val="22"/>
          <w:lang w:val="es-ES" w:eastAsia="es-ES_tradnl"/>
        </w:rPr>
        <w:t xml:space="preserve">que el </w:t>
      </w:r>
      <w:r>
        <w:rPr>
          <w:rFonts w:ascii="Palatino Linotype" w:eastAsia="Calibri" w:hAnsi="Palatino Linotype" w:cs="Tahoma"/>
          <w:iCs/>
          <w:sz w:val="22"/>
          <w:szCs w:val="22"/>
          <w:lang w:val="es-ES" w:eastAsia="es-ES_tradnl"/>
        </w:rPr>
        <w:t xml:space="preserve">propio Particular </w:t>
      </w:r>
      <w:r w:rsidR="00CF1D4D">
        <w:rPr>
          <w:rFonts w:ascii="Palatino Linotype" w:eastAsia="Calibri" w:hAnsi="Palatino Linotype" w:cs="Tahoma"/>
          <w:iCs/>
          <w:sz w:val="22"/>
          <w:szCs w:val="22"/>
          <w:lang w:val="es-ES" w:eastAsia="es-ES_tradnl"/>
        </w:rPr>
        <w:t>en su solicitud señaló que los artículos del Código Reglamentario que remit</w:t>
      </w:r>
      <w:r w:rsidR="007E3370">
        <w:rPr>
          <w:rFonts w:ascii="Palatino Linotype" w:eastAsia="Calibri" w:hAnsi="Palatino Linotype" w:cs="Tahoma"/>
          <w:iCs/>
          <w:sz w:val="22"/>
          <w:szCs w:val="22"/>
          <w:lang w:val="es-ES" w:eastAsia="es-ES_tradnl"/>
        </w:rPr>
        <w:t>ía</w:t>
      </w:r>
      <w:r w:rsidR="00CF1D4D">
        <w:rPr>
          <w:rFonts w:ascii="Palatino Linotype" w:eastAsia="Calibri" w:hAnsi="Palatino Linotype" w:cs="Tahoma"/>
          <w:iCs/>
          <w:sz w:val="22"/>
          <w:szCs w:val="22"/>
          <w:lang w:val="es-ES" w:eastAsia="es-ES_tradnl"/>
        </w:rPr>
        <w:t xml:space="preserve">n al Bando </w:t>
      </w:r>
      <w:r w:rsidR="007E3370">
        <w:rPr>
          <w:rFonts w:ascii="Palatino Linotype" w:eastAsia="Calibri" w:hAnsi="Palatino Linotype" w:cs="Tahoma"/>
          <w:iCs/>
          <w:sz w:val="22"/>
          <w:szCs w:val="22"/>
          <w:lang w:val="es-ES" w:eastAsia="es-ES_tradnl"/>
        </w:rPr>
        <w:t>M</w:t>
      </w:r>
      <w:r w:rsidR="00CF1D4D">
        <w:rPr>
          <w:rFonts w:ascii="Palatino Linotype" w:eastAsia="Calibri" w:hAnsi="Palatino Linotype" w:cs="Tahoma"/>
          <w:iCs/>
          <w:sz w:val="22"/>
          <w:szCs w:val="22"/>
          <w:lang w:val="es-ES" w:eastAsia="es-ES_tradnl"/>
        </w:rPr>
        <w:t xml:space="preserve">unicipal de la administración </w:t>
      </w:r>
      <w:r w:rsidR="007E3370">
        <w:rPr>
          <w:rFonts w:ascii="Palatino Linotype" w:eastAsia="Calibri" w:hAnsi="Palatino Linotype" w:cs="Tahoma"/>
          <w:iCs/>
          <w:sz w:val="22"/>
          <w:szCs w:val="22"/>
          <w:lang w:val="es-ES" w:eastAsia="es-ES_tradnl"/>
        </w:rPr>
        <w:t>2022-2024</w:t>
      </w:r>
      <w:r w:rsidR="00CF1D4D">
        <w:rPr>
          <w:rFonts w:ascii="Palatino Linotype" w:eastAsia="Calibri" w:hAnsi="Palatino Linotype" w:cs="Tahoma"/>
          <w:iCs/>
          <w:sz w:val="22"/>
          <w:szCs w:val="22"/>
          <w:lang w:val="es-ES" w:eastAsia="es-ES_tradnl"/>
        </w:rPr>
        <w:t xml:space="preserve">, por lo cual solicitó se le aclararan esas </w:t>
      </w:r>
      <w:r>
        <w:rPr>
          <w:rFonts w:ascii="Palatino Linotype" w:eastAsia="Calibri" w:hAnsi="Palatino Linotype" w:cs="Tahoma"/>
          <w:iCs/>
          <w:sz w:val="22"/>
          <w:szCs w:val="22"/>
          <w:lang w:val="es-ES" w:eastAsia="es-ES_tradnl"/>
        </w:rPr>
        <w:t>discordancias</w:t>
      </w:r>
      <w:r w:rsidR="007E3370">
        <w:rPr>
          <w:rFonts w:ascii="Palatino Linotype" w:eastAsia="Calibri" w:hAnsi="Palatino Linotype" w:cs="Tahoma"/>
          <w:iCs/>
          <w:sz w:val="22"/>
          <w:szCs w:val="22"/>
          <w:lang w:val="es-ES" w:eastAsia="es-ES_tradnl"/>
        </w:rPr>
        <w:t>.</w:t>
      </w:r>
    </w:p>
    <w:p w14:paraId="55E0A2C2" w14:textId="77777777" w:rsidR="007E3370" w:rsidRDefault="007E3370" w:rsidP="004A7CCB">
      <w:pPr>
        <w:tabs>
          <w:tab w:val="left" w:pos="4962"/>
        </w:tabs>
        <w:spacing w:line="360" w:lineRule="auto"/>
        <w:jc w:val="both"/>
        <w:rPr>
          <w:rFonts w:ascii="Palatino Linotype" w:hAnsi="Palatino Linotype"/>
          <w:b/>
          <w:bCs/>
          <w:color w:val="0D0D0D" w:themeColor="text1" w:themeTint="F2"/>
          <w:sz w:val="22"/>
          <w:szCs w:val="22"/>
          <w:lang w:eastAsia="es-MX"/>
        </w:rPr>
      </w:pPr>
    </w:p>
    <w:p w14:paraId="5BFB39CA" w14:textId="2BC2FB25" w:rsidR="007E3370" w:rsidRPr="007E3370" w:rsidRDefault="007E3370" w:rsidP="007E3370">
      <w:pPr>
        <w:spacing w:line="360" w:lineRule="auto"/>
        <w:jc w:val="both"/>
        <w:rPr>
          <w:rFonts w:ascii="Palatino Linotype" w:hAnsi="Palatino Linotype" w:cs="Tahoma"/>
          <w:bCs/>
          <w:sz w:val="22"/>
          <w:szCs w:val="22"/>
        </w:rPr>
      </w:pPr>
      <w:r w:rsidRPr="007E3370">
        <w:rPr>
          <w:rFonts w:ascii="Palatino Linotype" w:hAnsi="Palatino Linotype" w:cs="Tahoma"/>
          <w:bCs/>
          <w:sz w:val="22"/>
          <w:szCs w:val="22"/>
        </w:rPr>
        <w:t xml:space="preserve">Conforme a lo anterior, se logra vislumbrar que el Particular quiere </w:t>
      </w:r>
      <w:r>
        <w:rPr>
          <w:rFonts w:ascii="Palatino Linotype" w:hAnsi="Palatino Linotype" w:cs="Tahoma"/>
          <w:bCs/>
          <w:sz w:val="22"/>
          <w:szCs w:val="22"/>
        </w:rPr>
        <w:t>que se le emita un pronunciamiento determinado</w:t>
      </w:r>
      <w:r w:rsidRPr="007E3370">
        <w:rPr>
          <w:rFonts w:ascii="Palatino Linotype" w:hAnsi="Palatino Linotype" w:cs="Tahoma"/>
          <w:bCs/>
          <w:sz w:val="22"/>
          <w:szCs w:val="22"/>
        </w:rPr>
        <w:t xml:space="preserve">, lo que implicaría </w:t>
      </w:r>
      <w:r w:rsidRPr="007E3370">
        <w:rPr>
          <w:rFonts w:ascii="Palatino Linotype" w:hAnsi="Palatino Linotype" w:cs="Tahoma"/>
          <w:sz w:val="22"/>
          <w:szCs w:val="22"/>
        </w:rPr>
        <w:t>que el Sujeto Obligado investigara y elaborara una expresión documental específica, que de una contestación categórica y específica; s</w:t>
      </w:r>
      <w:r w:rsidRPr="007E3370">
        <w:rPr>
          <w:rFonts w:ascii="Palatino Linotype" w:hAnsi="Palatino Linotype" w:cs="Tahoma"/>
          <w:bCs/>
          <w:sz w:val="22"/>
          <w:szCs w:val="22"/>
        </w:rPr>
        <w:t xml:space="preserve">obre dicha situación, es necesario traer a </w:t>
      </w:r>
      <w:r w:rsidRPr="007E3370">
        <w:rPr>
          <w:rFonts w:ascii="Palatino Linotype" w:hAnsi="Palatino Linotype" w:cs="Tahoma"/>
          <w:bCs/>
          <w:sz w:val="22"/>
          <w:szCs w:val="22"/>
          <w:lang w:val="es-ES"/>
        </w:rPr>
        <w:t>colación los artículos 2°, fracción II; </w:t>
      </w:r>
      <w:r w:rsidRPr="007E3370">
        <w:rPr>
          <w:rFonts w:ascii="Palatino Linotype" w:hAnsi="Palatino Linotype" w:cs="Tahoma"/>
          <w:bCs/>
          <w:sz w:val="22"/>
          <w:szCs w:val="22"/>
        </w:rPr>
        <w:t xml:space="preserve">3°, fracción XI y 18 de </w:t>
      </w:r>
      <w:r w:rsidRPr="007E3370">
        <w:rPr>
          <w:rFonts w:ascii="Palatino Linotype" w:hAnsi="Palatino Linotype" w:cs="Tahoma"/>
          <w:bCs/>
          <w:sz w:val="22"/>
          <w:szCs w:val="22"/>
          <w:lang w:val="es-ES"/>
        </w:rPr>
        <w:t>la Ley de Transparencia y Acceso a la Información Pública del Estado de México y Municipios, los cuales disponen lo siguiente:</w:t>
      </w:r>
    </w:p>
    <w:p w14:paraId="6F5A4AD4" w14:textId="77777777" w:rsidR="00AB62DF" w:rsidRPr="00C437CB" w:rsidRDefault="00AB62DF" w:rsidP="004A7CCB">
      <w:pPr>
        <w:widowControl w:val="0"/>
        <w:shd w:val="clear" w:color="auto" w:fill="FFFFFF"/>
        <w:spacing w:line="360" w:lineRule="auto"/>
        <w:jc w:val="both"/>
        <w:rPr>
          <w:rFonts w:ascii="Palatino Linotype" w:hAnsi="Palatino Linotype"/>
          <w:color w:val="0D0D0D" w:themeColor="text1" w:themeTint="F2"/>
          <w:sz w:val="22"/>
          <w:lang w:val="es-ES" w:eastAsia="es-MX"/>
        </w:rPr>
      </w:pPr>
    </w:p>
    <w:p w14:paraId="75F591DC" w14:textId="77777777" w:rsidR="00AB62DF" w:rsidRPr="00A25D81" w:rsidRDefault="00AB62DF" w:rsidP="004A7CCB">
      <w:pPr>
        <w:numPr>
          <w:ilvl w:val="0"/>
          <w:numId w:val="4"/>
        </w:numPr>
        <w:shd w:val="clear" w:color="auto" w:fill="FFFFFF"/>
        <w:spacing w:line="360" w:lineRule="auto"/>
        <w:contextualSpacing/>
        <w:jc w:val="both"/>
        <w:rPr>
          <w:color w:val="0D0D0D" w:themeColor="text1" w:themeTint="F2"/>
          <w:sz w:val="22"/>
          <w:szCs w:val="24"/>
          <w:lang w:eastAsia="es-MX"/>
        </w:rPr>
      </w:pPr>
      <w:r w:rsidRPr="003A7C50">
        <w:rPr>
          <w:rFonts w:ascii="Palatino Linotype" w:hAnsi="Palatino Linotype"/>
          <w:color w:val="0D0D0D" w:themeColor="text1" w:themeTint="F2"/>
          <w:sz w:val="22"/>
          <w:szCs w:val="24"/>
          <w:lang w:eastAsia="es-MX"/>
        </w:rPr>
        <w:t>Que uno de los objetivos de la Ley es proveer lo necesario para garantizar a toda persona el derecho de acceso a la información pública</w:t>
      </w:r>
      <w:r>
        <w:rPr>
          <w:rFonts w:ascii="Palatino Linotype" w:hAnsi="Palatino Linotype"/>
          <w:color w:val="0D0D0D" w:themeColor="text1" w:themeTint="F2"/>
          <w:sz w:val="22"/>
          <w:szCs w:val="24"/>
          <w:lang w:eastAsia="es-MX"/>
        </w:rPr>
        <w:t>;</w:t>
      </w:r>
    </w:p>
    <w:p w14:paraId="68E9A605" w14:textId="77777777" w:rsidR="00AB62DF" w:rsidRPr="00F861DA" w:rsidRDefault="00AB62DF" w:rsidP="004A7CCB">
      <w:pPr>
        <w:numPr>
          <w:ilvl w:val="0"/>
          <w:numId w:val="4"/>
        </w:numPr>
        <w:shd w:val="clear" w:color="auto" w:fill="FFFFFF"/>
        <w:spacing w:line="360" w:lineRule="auto"/>
        <w:contextualSpacing/>
        <w:jc w:val="both"/>
        <w:rPr>
          <w:color w:val="0D0D0D" w:themeColor="text1" w:themeTint="F2"/>
          <w:sz w:val="22"/>
          <w:szCs w:val="24"/>
          <w:lang w:eastAsia="es-MX"/>
        </w:rPr>
      </w:pPr>
      <w:r w:rsidRPr="003A7C50">
        <w:rPr>
          <w:rFonts w:ascii="Palatino Linotype" w:hAnsi="Palatino Linotype"/>
          <w:color w:val="0D0D0D" w:themeColor="text1" w:themeTint="F2"/>
          <w:sz w:val="22"/>
          <w:szCs w:val="24"/>
          <w:lang w:eastAsia="es-MX"/>
        </w:rPr>
        <w:lastRenderedPageBreak/>
        <w:t>Que los </w:t>
      </w:r>
      <w:r w:rsidRPr="003A7C50">
        <w:rPr>
          <w:rFonts w:ascii="Palatino Linotype" w:hAnsi="Palatino Linotype"/>
          <w:b/>
          <w:bCs/>
          <w:color w:val="0D0D0D" w:themeColor="text1" w:themeTint="F2"/>
          <w:sz w:val="22"/>
          <w:szCs w:val="24"/>
          <w:lang w:eastAsia="es-MX"/>
        </w:rPr>
        <w:t>documentos </w:t>
      </w:r>
      <w:r w:rsidRPr="003A7C50">
        <w:rPr>
          <w:rFonts w:ascii="Palatino Linotype" w:hAnsi="Palatino Linotype"/>
          <w:color w:val="0D0D0D" w:themeColor="text1" w:themeTint="F2"/>
          <w:sz w:val="22"/>
          <w:szCs w:val="24"/>
          <w:lang w:eastAsia="es-MX"/>
        </w:rPr>
        <w:t>son los expedientes, reportes, estudios, actas, resoluciones, contratos, convenios, instructivos, notas, memorandos, estadísticas o </w:t>
      </w:r>
      <w:r w:rsidRPr="003A7C50">
        <w:rPr>
          <w:rFonts w:ascii="Palatino Linotype" w:hAnsi="Palatino Linotype"/>
          <w:b/>
          <w:bCs/>
          <w:color w:val="0D0D0D" w:themeColor="text1" w:themeTint="F2"/>
          <w:sz w:val="22"/>
          <w:szCs w:val="24"/>
          <w:lang w:eastAsia="es-MX"/>
        </w:rPr>
        <w:t>cualquier registro que documente el ejercicio de facultades, funciones y competencia</w:t>
      </w:r>
      <w:r w:rsidRPr="003A7C50">
        <w:rPr>
          <w:rFonts w:ascii="Palatino Linotype" w:hAnsi="Palatino Linotype"/>
          <w:color w:val="0D0D0D" w:themeColor="text1" w:themeTint="F2"/>
          <w:sz w:val="22"/>
          <w:szCs w:val="24"/>
          <w:lang w:eastAsia="es-MX"/>
        </w:rPr>
        <w:t> de los Sujetos Obligados, sin importar s</w:t>
      </w:r>
      <w:r>
        <w:rPr>
          <w:rFonts w:ascii="Palatino Linotype" w:hAnsi="Palatino Linotype"/>
          <w:color w:val="0D0D0D" w:themeColor="text1" w:themeTint="F2"/>
          <w:sz w:val="22"/>
          <w:szCs w:val="24"/>
          <w:lang w:eastAsia="es-MX"/>
        </w:rPr>
        <w:t>u fuente y fecha de elaboración, y</w:t>
      </w:r>
    </w:p>
    <w:p w14:paraId="66930CD1" w14:textId="77777777" w:rsidR="00AB62DF" w:rsidRPr="003A7C50" w:rsidRDefault="00AB62DF" w:rsidP="004A7CCB">
      <w:pPr>
        <w:numPr>
          <w:ilvl w:val="0"/>
          <w:numId w:val="4"/>
        </w:numPr>
        <w:shd w:val="clear" w:color="auto" w:fill="FFFFFF"/>
        <w:spacing w:line="360" w:lineRule="auto"/>
        <w:contextualSpacing/>
        <w:jc w:val="both"/>
        <w:rPr>
          <w:color w:val="0D0D0D" w:themeColor="text1" w:themeTint="F2"/>
          <w:sz w:val="22"/>
          <w:szCs w:val="24"/>
          <w:lang w:eastAsia="es-MX"/>
        </w:rPr>
      </w:pPr>
      <w:r>
        <w:rPr>
          <w:rFonts w:ascii="Palatino Linotype" w:hAnsi="Palatino Linotype"/>
          <w:color w:val="0D0D0D" w:themeColor="text1" w:themeTint="F2"/>
          <w:sz w:val="22"/>
          <w:szCs w:val="24"/>
          <w:lang w:eastAsia="es-MX"/>
        </w:rPr>
        <w:t>Q</w:t>
      </w:r>
      <w:r w:rsidRPr="003A7C50">
        <w:rPr>
          <w:rFonts w:ascii="Palatino Linotype" w:hAnsi="Palatino Linotype"/>
          <w:color w:val="0D0D0D" w:themeColor="text1" w:themeTint="F2"/>
          <w:sz w:val="22"/>
          <w:szCs w:val="24"/>
          <w:lang w:eastAsia="es-MX"/>
        </w:rPr>
        <w:t>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25FA98F" w14:textId="77777777" w:rsidR="00AB62DF" w:rsidRDefault="00AB62DF" w:rsidP="004A7CCB">
      <w:pPr>
        <w:shd w:val="clear" w:color="auto" w:fill="FFFFFF"/>
        <w:spacing w:line="360" w:lineRule="auto"/>
        <w:jc w:val="both"/>
        <w:rPr>
          <w:rFonts w:ascii="Palatino Linotype" w:hAnsi="Palatino Linotype"/>
          <w:color w:val="0D0D0D" w:themeColor="text1" w:themeTint="F2"/>
          <w:sz w:val="24"/>
          <w:szCs w:val="22"/>
          <w:lang w:eastAsia="es-MX"/>
        </w:rPr>
      </w:pPr>
    </w:p>
    <w:p w14:paraId="3FD85BB9" w14:textId="2110B6E5" w:rsidR="007E3370" w:rsidRPr="007E3370" w:rsidRDefault="007E3370" w:rsidP="007E3370">
      <w:pPr>
        <w:spacing w:line="360" w:lineRule="auto"/>
        <w:jc w:val="both"/>
        <w:rPr>
          <w:rFonts w:ascii="Palatino Linotype" w:hAnsi="Palatino Linotype"/>
          <w:sz w:val="22"/>
        </w:rPr>
      </w:pPr>
      <w:r w:rsidRPr="007E3370">
        <w:rPr>
          <w:rFonts w:ascii="Palatino Linotype" w:hAnsi="Palatino Linotype"/>
          <w:sz w:val="22"/>
        </w:rPr>
        <w:t xml:space="preserve">En razón de lo anterior, es necesario señalar que del análisis del requerimiento de información presentado ante el Ayuntamiento de </w:t>
      </w:r>
      <w:r>
        <w:rPr>
          <w:rFonts w:ascii="Palatino Linotype" w:hAnsi="Palatino Linotype"/>
          <w:sz w:val="22"/>
        </w:rPr>
        <w:t>Toluca</w:t>
      </w:r>
      <w:r w:rsidRPr="007E3370">
        <w:rPr>
          <w:rFonts w:ascii="Palatino Linotype" w:hAnsi="Palatino Linotype"/>
          <w:sz w:val="22"/>
        </w:rPr>
        <w:t xml:space="preserve"> se logra colegir que el Particular requiere un pronunciamiento específico, a una situación concreta y determinada, lo cual implicaría que el Sujeto Obligado elaborara una investigación y diera una respuesta delimitada y </w:t>
      </w:r>
      <w:r w:rsidRPr="007E3370">
        <w:rPr>
          <w:rFonts w:ascii="Palatino Linotype" w:hAnsi="Palatino Linotype"/>
          <w:i/>
          <w:sz w:val="22"/>
        </w:rPr>
        <w:t>ad hoc.</w:t>
      </w:r>
      <w:r w:rsidRPr="007E3370">
        <w:rPr>
          <w:rFonts w:ascii="Palatino Linotype" w:hAnsi="Palatino Linotype"/>
          <w:sz w:val="22"/>
        </w:rPr>
        <w:t> </w:t>
      </w:r>
    </w:p>
    <w:p w14:paraId="5288BE9D" w14:textId="77777777" w:rsidR="007E3370" w:rsidRDefault="007E3370" w:rsidP="007E3370">
      <w:pPr>
        <w:spacing w:line="360" w:lineRule="auto"/>
        <w:jc w:val="both"/>
        <w:rPr>
          <w:rFonts w:ascii="Palatino Linotype" w:hAnsi="Palatino Linotype"/>
          <w:sz w:val="22"/>
        </w:rPr>
      </w:pPr>
    </w:p>
    <w:p w14:paraId="17849713" w14:textId="77777777" w:rsidR="007E3370" w:rsidRPr="007E3370" w:rsidRDefault="007E3370" w:rsidP="007E3370">
      <w:pPr>
        <w:spacing w:line="360" w:lineRule="auto"/>
        <w:jc w:val="both"/>
        <w:rPr>
          <w:rFonts w:ascii="Palatino Linotype" w:hAnsi="Palatino Linotype" w:cs="Tahoma"/>
          <w:b/>
          <w:sz w:val="22"/>
          <w:szCs w:val="22"/>
          <w:lang w:val="es-ES"/>
        </w:rPr>
      </w:pPr>
      <w:r w:rsidRPr="007E3370">
        <w:rPr>
          <w:rFonts w:ascii="Palatino Linotype" w:hAnsi="Palatino Linotype" w:cs="Tahoma"/>
          <w:bCs/>
          <w:sz w:val="22"/>
          <w:szCs w:val="22"/>
        </w:rPr>
        <w:t xml:space="preserve">Sobre el tema, cabe precisar que de conformidad con los artículos 5° de la Constitución Política del Estado Libre y Soberano de México y 4° de la Ley de Transparencia y Acceso a la Información Pública del Estado de México y Municipios, toda la información </w:t>
      </w:r>
      <w:r w:rsidRPr="007E3370">
        <w:rPr>
          <w:rFonts w:ascii="Palatino Linotype" w:hAnsi="Palatino Linotype" w:cs="Tahoma"/>
          <w:b/>
          <w:bCs/>
          <w:sz w:val="22"/>
          <w:szCs w:val="22"/>
        </w:rPr>
        <w:t xml:space="preserve">generada, obtenida, adquirida, transformada </w:t>
      </w:r>
      <w:r w:rsidRPr="007E3370">
        <w:rPr>
          <w:rFonts w:ascii="Palatino Linotype" w:hAnsi="Palatino Linotype" w:cs="Tahoma"/>
          <w:bCs/>
          <w:sz w:val="22"/>
          <w:szCs w:val="22"/>
        </w:rPr>
        <w:t xml:space="preserve">por los sujetos obligados, o en su caso, </w:t>
      </w:r>
      <w:r w:rsidRPr="007E3370">
        <w:rPr>
          <w:rFonts w:ascii="Palatino Linotype" w:hAnsi="Palatino Linotype" w:cs="Tahoma"/>
          <w:b/>
          <w:bCs/>
          <w:sz w:val="22"/>
          <w:szCs w:val="22"/>
        </w:rPr>
        <w:t xml:space="preserve">la tengan en su posesión, será pública y accesible para cualquier persona. </w:t>
      </w:r>
      <w:r w:rsidRPr="007E3370">
        <w:rPr>
          <w:rFonts w:ascii="Palatino Linotype" w:hAnsi="Palatino Linotype" w:cs="Tahoma"/>
          <w:bCs/>
          <w:sz w:val="22"/>
          <w:szCs w:val="22"/>
        </w:rPr>
        <w:t>A</w:t>
      </w:r>
      <w:r w:rsidRPr="007E3370">
        <w:rPr>
          <w:rFonts w:ascii="Palatino Linotype" w:hAnsi="Palatino Linotype" w:cs="Tahoma"/>
          <w:bCs/>
          <w:sz w:val="22"/>
          <w:szCs w:val="22"/>
          <w:lang w:val="es-ES"/>
        </w:rPr>
        <w:t xml:space="preserve">sí, se advierte que el derecho de acceso a la información, consiste en una prerrogativa de cualquier persona, a solicitar información pública que conste en </w:t>
      </w:r>
      <w:r w:rsidRPr="007E3370">
        <w:rPr>
          <w:rFonts w:ascii="Palatino Linotype" w:hAnsi="Palatino Linotype" w:cs="Tahoma"/>
          <w:b/>
          <w:sz w:val="22"/>
          <w:szCs w:val="22"/>
          <w:lang w:val="es-ES"/>
        </w:rPr>
        <w:t>documentos generados, obtenidos, adquiridos, transformados o que tengan en posesión los sujetos obligados.</w:t>
      </w:r>
    </w:p>
    <w:p w14:paraId="74FD9B2F" w14:textId="77777777" w:rsidR="007E3370" w:rsidRDefault="007E3370" w:rsidP="007E3370">
      <w:pPr>
        <w:spacing w:line="360" w:lineRule="auto"/>
        <w:jc w:val="both"/>
        <w:rPr>
          <w:rFonts w:ascii="Palatino Linotype" w:hAnsi="Palatino Linotype"/>
          <w:sz w:val="22"/>
        </w:rPr>
      </w:pPr>
    </w:p>
    <w:p w14:paraId="3DA896E3" w14:textId="77777777" w:rsidR="007E3370" w:rsidRPr="007E3370" w:rsidRDefault="007E3370" w:rsidP="007E3370">
      <w:pPr>
        <w:spacing w:line="360" w:lineRule="auto"/>
        <w:jc w:val="both"/>
        <w:rPr>
          <w:color w:val="000000"/>
          <w:shd w:val="clear" w:color="auto" w:fill="FFFFFF"/>
        </w:rPr>
      </w:pPr>
      <w:r w:rsidRPr="007E3370">
        <w:rPr>
          <w:rFonts w:ascii="Palatino Linotype" w:hAnsi="Palatino Linotype"/>
          <w:sz w:val="22"/>
        </w:rPr>
        <w:t xml:space="preserve">En ese orden de ideas, el artículo </w:t>
      </w:r>
      <w:r w:rsidRPr="007E3370">
        <w:rPr>
          <w:rFonts w:ascii="Palatino Linotype" w:hAnsi="Palatino Linotype"/>
          <w:color w:val="000000"/>
          <w:sz w:val="22"/>
          <w:szCs w:val="22"/>
          <w:shd w:val="clear" w:color="auto" w:fill="FFFFFF"/>
          <w:lang w:val="es-ES"/>
        </w:rPr>
        <w:t xml:space="preserve">3°, fracción XI, de la Ley Local de Transparencia, establecen que los documentos son los </w:t>
      </w:r>
      <w:r w:rsidRPr="007E3370">
        <w:rPr>
          <w:rFonts w:ascii="Palatino Linotype" w:hAnsi="Palatino Linotype"/>
          <w:color w:val="000000"/>
          <w:sz w:val="22"/>
          <w:szCs w:val="22"/>
          <w:shd w:val="clear" w:color="auto" w:fill="FFFFFF"/>
        </w:rPr>
        <w:t xml:space="preserve">expedientes, reportes, estudios, actas, resoluciones, oficios, correspondencia, acuerdos, directivas, directrices, circulares, contratos, convenios, </w:t>
      </w:r>
      <w:r w:rsidRPr="007E3370">
        <w:rPr>
          <w:rFonts w:ascii="Palatino Linotype" w:hAnsi="Palatino Linotype"/>
          <w:color w:val="000000"/>
          <w:sz w:val="22"/>
          <w:szCs w:val="22"/>
          <w:shd w:val="clear" w:color="auto" w:fill="FFFFFF"/>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EFC4093" w14:textId="77777777" w:rsidR="007E3370" w:rsidRDefault="007E3370" w:rsidP="007E3370">
      <w:pPr>
        <w:spacing w:line="360" w:lineRule="auto"/>
        <w:jc w:val="both"/>
        <w:rPr>
          <w:rFonts w:ascii="Palatino Linotype" w:hAnsi="Palatino Linotype"/>
          <w:sz w:val="22"/>
        </w:rPr>
      </w:pPr>
    </w:p>
    <w:p w14:paraId="41EBAEFB" w14:textId="77777777" w:rsidR="007E3370" w:rsidRPr="007E3370" w:rsidRDefault="007E3370" w:rsidP="007E3370">
      <w:pPr>
        <w:spacing w:line="360" w:lineRule="auto"/>
        <w:jc w:val="both"/>
        <w:rPr>
          <w:rFonts w:cs="Tahoma"/>
          <w:bCs/>
          <w:lang w:val="es-ES"/>
        </w:rPr>
      </w:pPr>
      <w:r w:rsidRPr="007E3370">
        <w:rPr>
          <w:rFonts w:ascii="Palatino Linotype" w:hAnsi="Palatino Linotype" w:cs="Tahoma"/>
          <w:bCs/>
          <w:sz w:val="22"/>
          <w:szCs w:val="22"/>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r w:rsidRPr="007E3370">
        <w:rPr>
          <w:rFonts w:ascii="Palatino Linotype" w:hAnsi="Palatino Linotype" w:cs="Tahoma"/>
          <w:bCs/>
          <w:sz w:val="22"/>
          <w:szCs w:val="22"/>
          <w:lang w:val="es-ES"/>
        </w:rPr>
        <w:t>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5AFC4F8" w14:textId="77777777" w:rsidR="007E3370" w:rsidRPr="007E3370" w:rsidRDefault="007E3370" w:rsidP="007E3370">
      <w:pPr>
        <w:spacing w:line="360" w:lineRule="auto"/>
        <w:jc w:val="both"/>
        <w:rPr>
          <w:rFonts w:ascii="Palatino Linotype" w:hAnsi="Palatino Linotype"/>
          <w:sz w:val="22"/>
        </w:rPr>
      </w:pPr>
    </w:p>
    <w:p w14:paraId="0C1CD227" w14:textId="77777777" w:rsidR="007E3370" w:rsidRPr="007E3370" w:rsidRDefault="007E3370" w:rsidP="007E3370">
      <w:pPr>
        <w:spacing w:line="360" w:lineRule="auto"/>
        <w:jc w:val="both"/>
        <w:rPr>
          <w:rFonts w:ascii="Palatino Linotype" w:hAnsi="Palatino Linotype" w:cs="Tahoma"/>
          <w:bCs/>
          <w:sz w:val="22"/>
          <w:szCs w:val="22"/>
          <w:lang w:val="es-ES"/>
        </w:rPr>
      </w:pPr>
      <w:r w:rsidRPr="007E3370">
        <w:rPr>
          <w:rFonts w:ascii="Palatino Linotype" w:hAnsi="Palatino Linotype" w:cs="Tahoma"/>
          <w:bCs/>
          <w:sz w:val="22"/>
          <w:szCs w:val="22"/>
          <w:lang w:val="es-ES"/>
        </w:rPr>
        <w:t xml:space="preserve">De tales circunstancias, se colige que los sujetos obligados únicamente están constreñidos a proporcionar </w:t>
      </w:r>
      <w:r w:rsidRPr="007E3370">
        <w:rPr>
          <w:rFonts w:ascii="Palatino Linotype" w:hAnsi="Palatino Linotype" w:cs="Tahoma"/>
          <w:b/>
          <w:bCs/>
          <w:sz w:val="22"/>
          <w:szCs w:val="22"/>
          <w:lang w:val="es-ES"/>
        </w:rPr>
        <w:t>la documentación que obre en sus archivos</w:t>
      </w:r>
      <w:r w:rsidRPr="007E3370">
        <w:rPr>
          <w:rFonts w:ascii="Palatino Linotype" w:hAnsi="Palatino Linotype" w:cs="Tahoma"/>
          <w:bCs/>
          <w:sz w:val="22"/>
          <w:szCs w:val="22"/>
          <w:lang w:val="es-ES"/>
        </w:rPr>
        <w:t>; por lo que, no están obligados a generar o elaborar documentos </w:t>
      </w:r>
      <w:r w:rsidRPr="007E3370">
        <w:rPr>
          <w:rFonts w:ascii="Palatino Linotype" w:hAnsi="Palatino Linotype" w:cs="Tahoma"/>
          <w:bCs/>
          <w:i/>
          <w:iCs/>
          <w:sz w:val="22"/>
          <w:szCs w:val="22"/>
          <w:lang w:val="es-ES"/>
        </w:rPr>
        <w:t>ad hoc, </w:t>
      </w:r>
      <w:r w:rsidRPr="007E3370">
        <w:rPr>
          <w:rFonts w:ascii="Palatino Linotype" w:hAnsi="Palatino Linotype" w:cs="Tahoma"/>
          <w:bCs/>
          <w:sz w:val="22"/>
          <w:szCs w:val="22"/>
          <w:lang w:val="es-ES"/>
        </w:rPr>
        <w:t xml:space="preserve">como es el caso de proporcionar respuesta a una inquietud. Robustece lo anterior el Criterio Orientador, con clave de control </w:t>
      </w:r>
      <w:r w:rsidRPr="007E3370">
        <w:rPr>
          <w:rFonts w:ascii="Palatino Linotype" w:hAnsi="Palatino Linotype" w:cs="Tahoma"/>
          <w:bCs/>
          <w:sz w:val="22"/>
          <w:szCs w:val="22"/>
        </w:rPr>
        <w:t>SO/013/2017</w:t>
      </w:r>
      <w:r w:rsidRPr="007E3370">
        <w:rPr>
          <w:rFonts w:ascii="Palatino Linotype" w:hAnsi="Palatino Linotype" w:cs="Tahoma"/>
          <w:bCs/>
          <w:sz w:val="22"/>
          <w:szCs w:val="22"/>
          <w:lang w:val="es-ES"/>
        </w:rPr>
        <w:t>, de la Segunda Época, emitido por el Instituto Nacional de Transparencia, Acceso a la Información y Protección de Datos Personales, vigente a la fecha de la solicitud, que a continuación se cita:</w:t>
      </w:r>
    </w:p>
    <w:p w14:paraId="48B6E228" w14:textId="77777777" w:rsidR="007E3370" w:rsidRPr="007E3370" w:rsidRDefault="007E3370" w:rsidP="007E3370">
      <w:pPr>
        <w:spacing w:line="360" w:lineRule="auto"/>
        <w:jc w:val="both"/>
        <w:rPr>
          <w:rFonts w:ascii="Palatino Linotype" w:hAnsi="Palatino Linotype" w:cs="Tahoma"/>
          <w:bCs/>
          <w:sz w:val="22"/>
          <w:szCs w:val="22"/>
          <w:lang w:val="es-ES"/>
        </w:rPr>
      </w:pPr>
    </w:p>
    <w:p w14:paraId="2B0EF704" w14:textId="77777777" w:rsidR="007E3370" w:rsidRPr="007E3370" w:rsidRDefault="007E3370" w:rsidP="007E3370">
      <w:pPr>
        <w:spacing w:line="360" w:lineRule="auto"/>
        <w:ind w:left="567" w:right="567"/>
        <w:jc w:val="both"/>
        <w:rPr>
          <w:rFonts w:ascii="Palatino Linotype" w:hAnsi="Palatino Linotype" w:cs="Tahoma"/>
          <w:bCs/>
          <w:i/>
        </w:rPr>
      </w:pPr>
      <w:r w:rsidRPr="007E3370">
        <w:rPr>
          <w:rFonts w:ascii="Palatino Linotype" w:hAnsi="Palatino Linotype" w:cs="Tahoma"/>
          <w:b/>
          <w:bCs/>
          <w:i/>
        </w:rPr>
        <w:t xml:space="preserve">“No existe obligación de elaborar documentos ad hoc para atender las solicitudes de acceso a la información. </w:t>
      </w:r>
      <w:r w:rsidRPr="007E3370">
        <w:rPr>
          <w:rFonts w:ascii="Palatino Linotype" w:hAnsi="Palatino Linotype" w:cs="Tahoma"/>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7E3370">
        <w:rPr>
          <w:rFonts w:ascii="Palatino Linotype" w:hAnsi="Palatino Linotype" w:cs="Tahoma"/>
          <w:bCs/>
          <w:i/>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827302A" w14:textId="77777777" w:rsidR="007E3370" w:rsidRPr="007E3370" w:rsidRDefault="007E3370" w:rsidP="007E3370">
      <w:pPr>
        <w:spacing w:line="360" w:lineRule="auto"/>
        <w:jc w:val="both"/>
        <w:rPr>
          <w:rFonts w:ascii="Palatino Linotype" w:hAnsi="Palatino Linotype" w:cs="Tahoma"/>
          <w:bCs/>
          <w:sz w:val="22"/>
          <w:szCs w:val="22"/>
          <w:lang w:val="es-ES"/>
        </w:rPr>
      </w:pPr>
    </w:p>
    <w:p w14:paraId="126FA1B0" w14:textId="30F7883C" w:rsidR="007E3370" w:rsidRPr="007E3370" w:rsidRDefault="007E3370" w:rsidP="007E3370">
      <w:pPr>
        <w:spacing w:line="360" w:lineRule="auto"/>
        <w:jc w:val="both"/>
        <w:rPr>
          <w:rFonts w:ascii="Palatino Linotype" w:hAnsi="Palatino Linotype" w:cs="Tahoma"/>
          <w:bCs/>
          <w:sz w:val="22"/>
          <w:szCs w:val="22"/>
          <w:lang w:val="es-ES"/>
        </w:rPr>
      </w:pPr>
      <w:r w:rsidRPr="007E3370">
        <w:rPr>
          <w:rFonts w:ascii="Palatino Linotype" w:hAnsi="Palatino Linotype" w:cs="Tahoma"/>
          <w:bCs/>
          <w:sz w:val="22"/>
          <w:szCs w:val="22"/>
          <w:lang w:val="es-ES"/>
        </w:rPr>
        <w:t xml:space="preserve">Conforme a lo anterior, </w:t>
      </w:r>
      <w:r w:rsidRPr="007E3370">
        <w:rPr>
          <w:rFonts w:ascii="Palatino Linotype" w:hAnsi="Palatino Linotype" w:cs="Tahoma"/>
          <w:b/>
          <w:sz w:val="22"/>
          <w:szCs w:val="22"/>
          <w:lang w:val="es-ES"/>
        </w:rPr>
        <w:t xml:space="preserve">se advierte que la respuesta al </w:t>
      </w:r>
      <w:r>
        <w:rPr>
          <w:rFonts w:ascii="Palatino Linotype" w:hAnsi="Palatino Linotype" w:cs="Tahoma"/>
          <w:b/>
          <w:sz w:val="22"/>
          <w:szCs w:val="22"/>
          <w:lang w:val="es-ES"/>
        </w:rPr>
        <w:t>requerimiento</w:t>
      </w:r>
      <w:r w:rsidRPr="007E3370">
        <w:rPr>
          <w:rFonts w:ascii="Palatino Linotype" w:hAnsi="Palatino Linotype" w:cs="Tahoma"/>
          <w:b/>
          <w:sz w:val="22"/>
          <w:szCs w:val="22"/>
          <w:lang w:val="es-ES"/>
        </w:rPr>
        <w:t xml:space="preserve"> previamente referido constituye </w:t>
      </w:r>
      <w:r>
        <w:rPr>
          <w:rFonts w:ascii="Palatino Linotype" w:hAnsi="Palatino Linotype" w:cs="Tahoma"/>
          <w:b/>
          <w:sz w:val="22"/>
          <w:szCs w:val="22"/>
          <w:lang w:val="es-ES"/>
        </w:rPr>
        <w:t>un derecho de petición</w:t>
      </w:r>
      <w:r w:rsidRPr="007E3370">
        <w:rPr>
          <w:rFonts w:ascii="Palatino Linotype" w:hAnsi="Palatino Linotype" w:cs="Tahoma"/>
          <w:bCs/>
          <w:sz w:val="22"/>
          <w:szCs w:val="22"/>
          <w:lang w:val="es-ES"/>
        </w:rPr>
        <w:t xml:space="preserve"> y no así una solicitud de acceso a información pública que pueda ser atendida mediante una expresión documental, pues re</w:t>
      </w:r>
      <w:r w:rsidRPr="007E3370">
        <w:rPr>
          <w:rFonts w:ascii="Palatino Linotype" w:hAnsi="Palatino Linotype" w:cs="Tahoma"/>
          <w:bCs/>
          <w:sz w:val="22"/>
          <w:szCs w:val="22"/>
        </w:rPr>
        <w:t>quiere un pronunciamiento específico a una inquietud o duda</w:t>
      </w:r>
      <w:r w:rsidRPr="007E3370">
        <w:rPr>
          <w:rFonts w:ascii="Palatino Linotype" w:hAnsi="Palatino Linotype" w:cs="Tahoma"/>
          <w:bCs/>
          <w:sz w:val="22"/>
          <w:szCs w:val="22"/>
          <w:lang w:val="es-ES"/>
        </w:rPr>
        <w:t xml:space="preserve">; lo anterior, toda vez que el requerimiento corresponde a una pregunta que implicaría elaborar un documento </w:t>
      </w:r>
      <w:r w:rsidRPr="007E3370">
        <w:rPr>
          <w:rFonts w:ascii="Palatino Linotype" w:hAnsi="Palatino Linotype" w:cs="Tahoma"/>
          <w:bCs/>
          <w:i/>
          <w:iCs/>
          <w:sz w:val="22"/>
          <w:szCs w:val="22"/>
          <w:lang w:val="es-ES"/>
        </w:rPr>
        <w:t>ad hoc</w:t>
      </w:r>
      <w:r w:rsidRPr="007E3370">
        <w:rPr>
          <w:rFonts w:ascii="Palatino Linotype" w:hAnsi="Palatino Linotype" w:cs="Tahoma"/>
          <w:bCs/>
          <w:sz w:val="22"/>
          <w:szCs w:val="22"/>
          <w:lang w:val="es-ES"/>
        </w:rPr>
        <w:t xml:space="preserve">, contestando la situación precisada. </w:t>
      </w:r>
    </w:p>
    <w:p w14:paraId="26338A3D" w14:textId="77777777" w:rsidR="00AB62DF" w:rsidRPr="00C437CB" w:rsidRDefault="00AB62DF" w:rsidP="004A7CCB">
      <w:pPr>
        <w:spacing w:line="360" w:lineRule="auto"/>
        <w:jc w:val="both"/>
        <w:rPr>
          <w:rFonts w:ascii="Palatino Linotype" w:eastAsia="Calibri" w:hAnsi="Palatino Linotype" w:cs="Arial"/>
          <w:bCs/>
          <w:i/>
          <w:color w:val="0D0D0D" w:themeColor="text1" w:themeTint="F2"/>
          <w:sz w:val="22"/>
          <w:lang w:val="es-ES" w:eastAsia="en-US"/>
        </w:rPr>
      </w:pPr>
    </w:p>
    <w:p w14:paraId="224B004F" w14:textId="77777777" w:rsidR="00AB62DF" w:rsidRDefault="00AB62DF" w:rsidP="004A7CCB">
      <w:pPr>
        <w:spacing w:line="360" w:lineRule="auto"/>
        <w:jc w:val="both"/>
        <w:rPr>
          <w:rFonts w:ascii="Palatino Linotype" w:eastAsia="Calibri" w:hAnsi="Palatino Linotype" w:cs="Arial"/>
          <w:bCs/>
          <w:color w:val="0D0D0D" w:themeColor="text1" w:themeTint="F2"/>
          <w:sz w:val="22"/>
          <w:szCs w:val="22"/>
          <w:lang w:val="es-ES" w:eastAsia="en-US"/>
        </w:rPr>
      </w:pPr>
      <w:r w:rsidRPr="003C704F">
        <w:rPr>
          <w:rFonts w:ascii="Palatino Linotype" w:eastAsia="Calibri" w:hAnsi="Palatino Linotype" w:cs="Arial"/>
          <w:bCs/>
          <w:color w:val="0D0D0D" w:themeColor="text1" w:themeTint="F2"/>
          <w:sz w:val="22"/>
          <w:szCs w:val="22"/>
          <w:lang w:val="es-ES" w:eastAsia="en-US"/>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w:t>
      </w:r>
      <w:r>
        <w:rPr>
          <w:rFonts w:ascii="Palatino Linotype" w:eastAsia="Calibri" w:hAnsi="Palatino Linotype" w:cs="Arial"/>
          <w:bCs/>
          <w:color w:val="0D0D0D" w:themeColor="text1" w:themeTint="F2"/>
          <w:sz w:val="22"/>
          <w:szCs w:val="22"/>
          <w:lang w:val="es-ES" w:eastAsia="en-US"/>
        </w:rPr>
        <w:t xml:space="preserve"> </w:t>
      </w:r>
    </w:p>
    <w:p w14:paraId="32578861" w14:textId="77777777" w:rsidR="00AB62DF" w:rsidRDefault="00AB62DF" w:rsidP="004A7CCB">
      <w:pPr>
        <w:spacing w:line="360" w:lineRule="auto"/>
        <w:jc w:val="both"/>
        <w:rPr>
          <w:rFonts w:ascii="Palatino Linotype" w:eastAsia="Calibri" w:hAnsi="Palatino Linotype" w:cs="Arial"/>
          <w:bCs/>
          <w:color w:val="0D0D0D" w:themeColor="text1" w:themeTint="F2"/>
          <w:sz w:val="22"/>
          <w:szCs w:val="22"/>
          <w:lang w:val="es-ES" w:eastAsia="en-US"/>
        </w:rPr>
      </w:pPr>
    </w:p>
    <w:p w14:paraId="6317B51F" w14:textId="77777777" w:rsidR="00AB62DF" w:rsidRDefault="00AB62DF" w:rsidP="004A7CCB">
      <w:pPr>
        <w:spacing w:line="360" w:lineRule="auto"/>
        <w:jc w:val="both"/>
        <w:rPr>
          <w:rFonts w:ascii="Palatino Linotype" w:eastAsia="Calibri" w:hAnsi="Palatino Linotype" w:cs="Arial"/>
          <w:bCs/>
          <w:color w:val="0D0D0D" w:themeColor="text1" w:themeTint="F2"/>
          <w:sz w:val="22"/>
          <w:szCs w:val="22"/>
          <w:lang w:eastAsia="en-US"/>
        </w:rPr>
      </w:pPr>
      <w:r w:rsidRPr="003C704F">
        <w:rPr>
          <w:rFonts w:ascii="Palatino Linotype" w:eastAsia="Calibri" w:hAnsi="Palatino Linotype" w:cs="Arial"/>
          <w:bCs/>
          <w:color w:val="0D0D0D" w:themeColor="text1" w:themeTint="F2"/>
          <w:sz w:val="22"/>
          <w:szCs w:val="22"/>
          <w:lang w:val="es-ES" w:eastAsia="en-US"/>
        </w:rPr>
        <w:t xml:space="preserve">Además, </w:t>
      </w:r>
      <w:r w:rsidRPr="003C704F">
        <w:rPr>
          <w:rFonts w:ascii="Palatino Linotype" w:eastAsia="Calibri" w:hAnsi="Palatino Linotype" w:cs="Arial"/>
          <w:bCs/>
          <w:color w:val="0D0D0D" w:themeColor="text1" w:themeTint="F2"/>
          <w:sz w:val="22"/>
          <w:szCs w:val="22"/>
          <w:lang w:eastAsia="en-US"/>
        </w:rPr>
        <w:t xml:space="preserve">la Jurisprudencia XXI.1o.P.A. J/27, de los Tribunales Colegiados de Circuito, localizada en la página 1406, del Semanario Judicial de la Federación y su Gaceta, Tomo </w:t>
      </w:r>
      <w:r w:rsidRPr="003C704F">
        <w:rPr>
          <w:rFonts w:ascii="Calibri" w:eastAsia="Calibri" w:hAnsi="Calibri" w:cs="Calibri"/>
          <w:color w:val="0D0D0D" w:themeColor="text1" w:themeTint="F2"/>
          <w:sz w:val="22"/>
          <w:szCs w:val="22"/>
          <w:lang w:val="es-ES" w:eastAsia="en-US"/>
        </w:rPr>
        <w:t>XXXIII</w:t>
      </w:r>
      <w:r w:rsidRPr="003C704F">
        <w:rPr>
          <w:rFonts w:ascii="Palatino Linotype" w:eastAsia="Calibri" w:hAnsi="Palatino Linotype" w:cs="Arial"/>
          <w:bCs/>
          <w:color w:val="0D0D0D" w:themeColor="text1" w:themeTint="F2"/>
          <w:sz w:val="22"/>
          <w:szCs w:val="22"/>
          <w:lang w:eastAsia="en-US"/>
        </w:rPr>
        <w:t>, marzo 2011, Novena Época, establece lo siguiente:</w:t>
      </w:r>
    </w:p>
    <w:p w14:paraId="1F8C55D5" w14:textId="77777777" w:rsidR="00AB62DF" w:rsidRDefault="00AB62DF" w:rsidP="004A7CCB">
      <w:pPr>
        <w:spacing w:line="360" w:lineRule="auto"/>
        <w:jc w:val="both"/>
        <w:rPr>
          <w:rFonts w:ascii="Palatino Linotype" w:eastAsia="Calibri" w:hAnsi="Palatino Linotype" w:cs="Arial"/>
          <w:bCs/>
          <w:color w:val="0D0D0D" w:themeColor="text1" w:themeTint="F2"/>
          <w:sz w:val="22"/>
          <w:szCs w:val="22"/>
          <w:lang w:eastAsia="en-US"/>
        </w:rPr>
      </w:pPr>
    </w:p>
    <w:p w14:paraId="65C5919C" w14:textId="77777777" w:rsidR="00AB62DF" w:rsidRPr="003C704F" w:rsidRDefault="00AB62DF" w:rsidP="004A7CCB">
      <w:pPr>
        <w:spacing w:line="360" w:lineRule="auto"/>
        <w:ind w:left="567" w:right="567"/>
        <w:jc w:val="both"/>
        <w:rPr>
          <w:rFonts w:ascii="Palatino Linotype" w:eastAsia="Calibri" w:hAnsi="Palatino Linotype" w:cs="Arial"/>
          <w:bCs/>
          <w:i/>
          <w:color w:val="0D0D0D" w:themeColor="text1" w:themeTint="F2"/>
          <w:lang w:val="es-ES" w:eastAsia="en-US"/>
        </w:rPr>
      </w:pPr>
      <w:r w:rsidRPr="003C704F">
        <w:rPr>
          <w:rFonts w:ascii="Palatino Linotype" w:eastAsia="Calibri" w:hAnsi="Palatino Linotype" w:cs="Arial"/>
          <w:b/>
          <w:bCs/>
          <w:i/>
          <w:color w:val="0D0D0D" w:themeColor="text1" w:themeTint="F2"/>
          <w:lang w:val="es-ES" w:eastAsia="en-US"/>
        </w:rPr>
        <w:t xml:space="preserve">“DERECHO DE PETICIÓN. SUS ELEMENTOS. </w:t>
      </w:r>
      <w:r w:rsidRPr="003C704F">
        <w:rPr>
          <w:rFonts w:ascii="Palatino Linotype" w:eastAsia="Calibri" w:hAnsi="Palatino Linotype" w:cs="Arial"/>
          <w:bCs/>
          <w:i/>
          <w:color w:val="0D0D0D" w:themeColor="text1" w:themeTint="F2"/>
          <w:lang w:val="es-ES" w:eastAsia="en-U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w:t>
      </w:r>
      <w:r w:rsidRPr="003C704F">
        <w:rPr>
          <w:rFonts w:ascii="Palatino Linotype" w:eastAsia="Calibri" w:hAnsi="Palatino Linotype" w:cs="Arial"/>
          <w:bCs/>
          <w:i/>
          <w:color w:val="0D0D0D" w:themeColor="text1" w:themeTint="F2"/>
          <w:lang w:val="es-ES" w:eastAsia="en-US"/>
        </w:rPr>
        <w:lastRenderedPageBreak/>
        <w:t>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67700794" w14:textId="77777777" w:rsidR="00AB62DF" w:rsidRPr="00C437CB" w:rsidRDefault="00AB62DF" w:rsidP="004A7CCB">
      <w:pPr>
        <w:spacing w:line="360" w:lineRule="auto"/>
        <w:jc w:val="both"/>
        <w:rPr>
          <w:rFonts w:ascii="Palatino Linotype" w:eastAsia="Calibri" w:hAnsi="Palatino Linotype" w:cs="Arial"/>
          <w:bCs/>
          <w:color w:val="0D0D0D" w:themeColor="text1" w:themeTint="F2"/>
          <w:sz w:val="22"/>
          <w:lang w:val="es-ES" w:eastAsia="en-US"/>
        </w:rPr>
      </w:pPr>
    </w:p>
    <w:p w14:paraId="19834371" w14:textId="77777777" w:rsidR="007E3370" w:rsidRPr="007E3370" w:rsidRDefault="007E3370" w:rsidP="007E3370">
      <w:pPr>
        <w:spacing w:line="360" w:lineRule="auto"/>
        <w:jc w:val="both"/>
        <w:rPr>
          <w:rFonts w:ascii="Palatino Linotype" w:hAnsi="Palatino Linotype" w:cs="Tahoma"/>
          <w:bCs/>
          <w:sz w:val="22"/>
          <w:szCs w:val="22"/>
          <w:lang w:val="es-ES"/>
        </w:rPr>
      </w:pPr>
      <w:r w:rsidRPr="007E3370">
        <w:rPr>
          <w:rFonts w:ascii="Palatino Linotype" w:hAnsi="Palatino Linotype" w:cs="Tahoma"/>
          <w:bCs/>
          <w:sz w:val="22"/>
          <w:szCs w:val="22"/>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521312EF" w14:textId="77777777" w:rsidR="00AB62DF" w:rsidRPr="00C437CB" w:rsidRDefault="00AB62DF" w:rsidP="004A7CCB">
      <w:pPr>
        <w:spacing w:line="360" w:lineRule="auto"/>
        <w:jc w:val="both"/>
        <w:rPr>
          <w:rFonts w:ascii="Palatino Linotype" w:eastAsia="Calibri" w:hAnsi="Palatino Linotype" w:cs="Arial"/>
          <w:bCs/>
          <w:i/>
          <w:color w:val="0D0D0D" w:themeColor="text1" w:themeTint="F2"/>
          <w:sz w:val="22"/>
          <w:lang w:val="es-ES" w:eastAsia="en-US"/>
        </w:rPr>
      </w:pPr>
    </w:p>
    <w:p w14:paraId="40CA2FF1" w14:textId="77777777" w:rsidR="00AB62DF" w:rsidRDefault="00AB62DF" w:rsidP="004A7CCB">
      <w:pPr>
        <w:spacing w:line="360" w:lineRule="auto"/>
        <w:jc w:val="both"/>
        <w:rPr>
          <w:rFonts w:ascii="Palatino Linotype" w:eastAsia="Calibri" w:hAnsi="Palatino Linotype" w:cs="Arial"/>
          <w:b/>
          <w:bCs/>
          <w:color w:val="0D0D0D" w:themeColor="text1" w:themeTint="F2"/>
          <w:sz w:val="22"/>
          <w:szCs w:val="22"/>
          <w:lang w:val="es-ES" w:eastAsia="en-US"/>
        </w:rPr>
      </w:pPr>
      <w:r w:rsidRPr="003A7C50">
        <w:rPr>
          <w:rFonts w:ascii="Palatino Linotype" w:eastAsia="Calibri" w:hAnsi="Palatino Linotype" w:cs="Arial"/>
          <w:b/>
          <w:bCs/>
          <w:color w:val="0D0D0D" w:themeColor="text1" w:themeTint="F2"/>
          <w:sz w:val="22"/>
          <w:szCs w:val="22"/>
          <w:lang w:val="es-ES" w:eastAsia="en-US"/>
        </w:rPr>
        <w:t xml:space="preserve">De tal circunstancia, se puede colegir que </w:t>
      </w:r>
      <w:r>
        <w:rPr>
          <w:rFonts w:ascii="Palatino Linotype" w:eastAsia="Calibri" w:hAnsi="Palatino Linotype" w:cs="Arial"/>
          <w:b/>
          <w:bCs/>
          <w:color w:val="0D0D0D" w:themeColor="text1" w:themeTint="F2"/>
          <w:sz w:val="22"/>
          <w:szCs w:val="22"/>
          <w:lang w:val="es-ES" w:eastAsia="en-US"/>
        </w:rPr>
        <w:t>el requerimiento realizado</w:t>
      </w:r>
      <w:r w:rsidRPr="003A7C50">
        <w:rPr>
          <w:rFonts w:ascii="Palatino Linotype" w:eastAsia="Calibri" w:hAnsi="Palatino Linotype" w:cs="Arial"/>
          <w:b/>
          <w:bCs/>
          <w:color w:val="0D0D0D" w:themeColor="text1" w:themeTint="F2"/>
          <w:sz w:val="22"/>
          <w:szCs w:val="22"/>
          <w:lang w:val="es-ES" w:eastAsia="en-US"/>
        </w:rPr>
        <w:t xml:space="preserve"> por </w:t>
      </w:r>
      <w:r>
        <w:rPr>
          <w:rFonts w:ascii="Palatino Linotype" w:eastAsia="Calibri" w:hAnsi="Palatino Linotype" w:cs="Arial"/>
          <w:b/>
          <w:bCs/>
          <w:color w:val="0D0D0D" w:themeColor="text1" w:themeTint="F2"/>
          <w:sz w:val="22"/>
          <w:szCs w:val="22"/>
          <w:lang w:val="es-ES" w:eastAsia="en-US"/>
        </w:rPr>
        <w:t>el</w:t>
      </w:r>
      <w:r w:rsidRPr="003A7C50">
        <w:rPr>
          <w:rFonts w:ascii="Palatino Linotype" w:eastAsia="Calibri" w:hAnsi="Palatino Linotype" w:cs="Arial"/>
          <w:b/>
          <w:bCs/>
          <w:color w:val="0D0D0D" w:themeColor="text1" w:themeTint="F2"/>
          <w:sz w:val="22"/>
          <w:szCs w:val="22"/>
          <w:lang w:val="es-ES" w:eastAsia="en-US"/>
        </w:rPr>
        <w:t xml:space="preserve"> ahora Recurrente, se trata de un derecho de petición</w:t>
      </w:r>
      <w:r>
        <w:rPr>
          <w:rFonts w:ascii="Palatino Linotype" w:eastAsia="Calibri" w:hAnsi="Palatino Linotype" w:cs="Arial"/>
          <w:b/>
          <w:bCs/>
          <w:color w:val="0D0D0D" w:themeColor="text1" w:themeTint="F2"/>
          <w:sz w:val="22"/>
          <w:szCs w:val="22"/>
          <w:lang w:val="es-ES" w:eastAsia="en-US"/>
        </w:rPr>
        <w:t>, que implicaría que el Sujeto Obligado realizara una acción específica, lo cual no es atendible por una documental generada por el Sujeto Obligado.</w:t>
      </w:r>
    </w:p>
    <w:p w14:paraId="391F5EA6" w14:textId="77777777" w:rsidR="00AB62DF" w:rsidRDefault="00AB62DF" w:rsidP="004A7CCB">
      <w:pPr>
        <w:spacing w:line="360" w:lineRule="auto"/>
        <w:jc w:val="both"/>
        <w:rPr>
          <w:rFonts w:ascii="Palatino Linotype" w:eastAsia="Calibri" w:hAnsi="Palatino Linotype" w:cs="Tahoma"/>
          <w:iCs/>
          <w:sz w:val="22"/>
          <w:szCs w:val="22"/>
          <w:lang w:eastAsia="es-ES_tradnl"/>
        </w:rPr>
      </w:pPr>
    </w:p>
    <w:p w14:paraId="5E5C3761" w14:textId="5ABACCB5" w:rsidR="007E3370" w:rsidRPr="007E3370" w:rsidRDefault="007E3370" w:rsidP="007E3370">
      <w:pPr>
        <w:spacing w:line="360" w:lineRule="auto"/>
        <w:jc w:val="both"/>
        <w:rPr>
          <w:rFonts w:ascii="Palatino Linotype" w:hAnsi="Palatino Linotype" w:cs="Tahoma"/>
          <w:sz w:val="22"/>
          <w:szCs w:val="22"/>
          <w:lang w:val="es-ES"/>
        </w:rPr>
      </w:pPr>
      <w:r w:rsidRPr="007E3370">
        <w:rPr>
          <w:rFonts w:ascii="Palatino Linotype" w:hAnsi="Palatino Linotype" w:cs="Tahoma"/>
          <w:bCs/>
          <w:sz w:val="22"/>
          <w:szCs w:val="22"/>
          <w:lang w:val="es-ES"/>
        </w:rPr>
        <w:t xml:space="preserve">En consecuencia, toda vez de que la solicitud de acceso a la información se trata de una consulta, que implicaría que el Sujeto Obligado realizará un documento que contenga determinado contenido, con un pronunciamiento específico, el Medio de Impugnación </w:t>
      </w:r>
      <w:r w:rsidRPr="007E3370">
        <w:rPr>
          <w:rFonts w:ascii="Palatino Linotype" w:hAnsi="Palatino Linotype" w:cs="Tahoma"/>
          <w:b/>
          <w:bCs/>
          <w:sz w:val="22"/>
          <w:szCs w:val="22"/>
          <w:lang w:val="es-ES"/>
        </w:rPr>
        <w:lastRenderedPageBreak/>
        <w:t xml:space="preserve">actualiza la causal de </w:t>
      </w:r>
      <w:proofErr w:type="spellStart"/>
      <w:r w:rsidRPr="007E3370">
        <w:rPr>
          <w:rFonts w:ascii="Palatino Linotype" w:hAnsi="Palatino Linotype" w:cs="Tahoma"/>
          <w:b/>
          <w:bCs/>
          <w:sz w:val="22"/>
          <w:szCs w:val="22"/>
          <w:lang w:val="es-ES"/>
        </w:rPr>
        <w:t>desechamiento</w:t>
      </w:r>
      <w:proofErr w:type="spellEnd"/>
      <w:r w:rsidRPr="007E3370">
        <w:rPr>
          <w:rFonts w:ascii="Palatino Linotype" w:hAnsi="Palatino Linotype" w:cs="Tahoma"/>
          <w:b/>
          <w:bCs/>
          <w:sz w:val="22"/>
          <w:szCs w:val="22"/>
          <w:lang w:val="es-ES"/>
        </w:rPr>
        <w:t xml:space="preserve"> establecida en el artículo 191, fracción VI, de la Ley de Transparencia y Acceso a la Información Pública del Estado de México y Municipios</w:t>
      </w:r>
      <w:r>
        <w:rPr>
          <w:rFonts w:ascii="Palatino Linotype" w:hAnsi="Palatino Linotype" w:cs="Tahoma"/>
          <w:b/>
          <w:bCs/>
          <w:sz w:val="22"/>
          <w:szCs w:val="22"/>
          <w:lang w:val="es-ES"/>
        </w:rPr>
        <w:t xml:space="preserve">; </w:t>
      </w:r>
      <w:r>
        <w:rPr>
          <w:rFonts w:ascii="Palatino Linotype" w:hAnsi="Palatino Linotype" w:cs="Tahoma"/>
          <w:sz w:val="22"/>
          <w:szCs w:val="22"/>
          <w:lang w:val="es-ES"/>
        </w:rPr>
        <w:t>sin embargo toda vez que fue necesario admitirlo para determinar lo conducente, lo procedente es Sobreseer el Medio de Impugnación.</w:t>
      </w:r>
    </w:p>
    <w:p w14:paraId="6BFA38A4" w14:textId="77777777" w:rsidR="0009056C" w:rsidRDefault="0009056C" w:rsidP="004A7CCB">
      <w:pPr>
        <w:spacing w:line="360" w:lineRule="auto"/>
        <w:jc w:val="both"/>
        <w:rPr>
          <w:rFonts w:ascii="Palatino Linotype" w:eastAsia="Calibri" w:hAnsi="Palatino Linotype" w:cs="Tahoma"/>
          <w:iCs/>
          <w:sz w:val="22"/>
          <w:szCs w:val="22"/>
          <w:lang w:eastAsia="es-ES_tradnl"/>
        </w:rPr>
      </w:pPr>
    </w:p>
    <w:p w14:paraId="795BED47" w14:textId="00652DE2" w:rsidR="0009056C" w:rsidRPr="00642B06" w:rsidRDefault="007E3370" w:rsidP="00642B06">
      <w:pPr>
        <w:pStyle w:val="Ttulo2"/>
        <w:rPr>
          <w:rFonts w:ascii="Palatino Linotype" w:hAnsi="Palatino Linotype"/>
          <w:b/>
          <w:bCs/>
          <w:color w:val="auto"/>
          <w:sz w:val="22"/>
          <w:szCs w:val="22"/>
          <w:lang w:val="es-ES"/>
        </w:rPr>
      </w:pPr>
      <w:bookmarkStart w:id="20" w:name="_Toc206684691"/>
      <w:r w:rsidRPr="00642B06">
        <w:rPr>
          <w:rFonts w:ascii="Palatino Linotype" w:hAnsi="Palatino Linotype"/>
          <w:b/>
          <w:bCs/>
          <w:color w:val="auto"/>
          <w:sz w:val="22"/>
          <w:szCs w:val="22"/>
          <w:lang w:val="es-ES"/>
        </w:rPr>
        <w:t>CUARTO</w:t>
      </w:r>
      <w:r w:rsidR="0009056C" w:rsidRPr="00642B06">
        <w:rPr>
          <w:rFonts w:ascii="Palatino Linotype" w:hAnsi="Palatino Linotype"/>
          <w:b/>
          <w:bCs/>
          <w:color w:val="auto"/>
          <w:sz w:val="22"/>
          <w:szCs w:val="22"/>
          <w:lang w:val="es-ES"/>
        </w:rPr>
        <w:t>. Decisión</w:t>
      </w:r>
      <w:bookmarkEnd w:id="20"/>
    </w:p>
    <w:p w14:paraId="56AAA6D1" w14:textId="77777777" w:rsidR="0009056C" w:rsidRDefault="0009056C" w:rsidP="004A7CCB">
      <w:pPr>
        <w:spacing w:line="360" w:lineRule="auto"/>
        <w:jc w:val="both"/>
        <w:rPr>
          <w:rFonts w:ascii="Palatino Linotype" w:hAnsi="Palatino Linotype" w:cs="Tahoma"/>
          <w:b/>
          <w:sz w:val="22"/>
          <w:szCs w:val="22"/>
          <w:lang w:val="es-ES"/>
        </w:rPr>
      </w:pPr>
    </w:p>
    <w:p w14:paraId="7F197A8C" w14:textId="77777777" w:rsidR="007E3370" w:rsidRPr="007E3370" w:rsidRDefault="007E3370" w:rsidP="007E3370">
      <w:pPr>
        <w:widowControl w:val="0"/>
        <w:spacing w:line="360" w:lineRule="auto"/>
        <w:jc w:val="both"/>
        <w:rPr>
          <w:rFonts w:ascii="Palatino Linotype" w:hAnsi="Palatino Linotype" w:cs="Tahoma"/>
          <w:sz w:val="22"/>
          <w:szCs w:val="22"/>
        </w:rPr>
      </w:pPr>
      <w:r w:rsidRPr="007E3370">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7E3370">
        <w:rPr>
          <w:rFonts w:ascii="Palatino Linotype" w:hAnsi="Palatino Linotype" w:cs="Tahoma"/>
          <w:b/>
          <w:sz w:val="22"/>
          <w:szCs w:val="22"/>
        </w:rPr>
        <w:t xml:space="preserve">SOBRESEER </w:t>
      </w:r>
      <w:r w:rsidRPr="007E3370">
        <w:rPr>
          <w:rFonts w:ascii="Palatino Linotype" w:hAnsi="Palatino Linotype" w:cs="Tahoma"/>
          <w:sz w:val="22"/>
          <w:szCs w:val="22"/>
        </w:rPr>
        <w:t xml:space="preserve">el Recurso de Revisión, en virtud de que se actualiza la hipótesis normativa prevista en la fracción IV, del artículo 192, por actualizarse la causal de improcedencia establecida en el artículo 191, fracción VI. </w:t>
      </w:r>
    </w:p>
    <w:p w14:paraId="6B44A452" w14:textId="77777777" w:rsidR="0009056C" w:rsidRDefault="0009056C" w:rsidP="004A7CCB">
      <w:pPr>
        <w:spacing w:line="360" w:lineRule="auto"/>
        <w:contextualSpacing/>
        <w:jc w:val="both"/>
        <w:rPr>
          <w:rFonts w:ascii="Palatino Linotype" w:eastAsia="Calibri" w:hAnsi="Palatino Linotype" w:cs="Tahoma"/>
          <w:b/>
          <w:bCs/>
          <w:iCs/>
          <w:sz w:val="22"/>
          <w:szCs w:val="22"/>
          <w:u w:val="single"/>
          <w:lang w:val="es-ES" w:eastAsia="es-ES_tradnl"/>
        </w:rPr>
      </w:pPr>
    </w:p>
    <w:p w14:paraId="4360D29A" w14:textId="77777777" w:rsidR="0009056C" w:rsidRPr="00282260" w:rsidRDefault="0009056C" w:rsidP="004A7CCB">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747C3EAD" w14:textId="77777777" w:rsidR="0009056C" w:rsidRDefault="0009056C" w:rsidP="004A7CCB">
      <w:pPr>
        <w:spacing w:line="360" w:lineRule="auto"/>
        <w:jc w:val="both"/>
        <w:rPr>
          <w:rFonts w:ascii="Palatino Linotype" w:eastAsia="Calibri" w:hAnsi="Palatino Linotype" w:cs="Tahoma"/>
          <w:iCs/>
          <w:sz w:val="22"/>
          <w:szCs w:val="22"/>
          <w:lang w:eastAsia="es-ES_tradnl"/>
        </w:rPr>
      </w:pPr>
    </w:p>
    <w:p w14:paraId="5D7D5FCB" w14:textId="77777777" w:rsidR="0009056C" w:rsidRDefault="0009056C" w:rsidP="004A7CCB">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Pr>
          <w:rFonts w:ascii="Palatino Linotype" w:eastAsia="Calibri" w:hAnsi="Palatino Linotype" w:cs="Tahoma"/>
          <w:b/>
          <w:iCs/>
          <w:sz w:val="22"/>
          <w:szCs w:val="22"/>
          <w:lang w:val="es-ES" w:eastAsia="es-ES_tradnl"/>
        </w:rPr>
        <w:t>Sobreseer</w:t>
      </w:r>
      <w:r>
        <w:rPr>
          <w:rFonts w:ascii="Palatino Linotype" w:eastAsia="Calibri" w:hAnsi="Palatino Linotype" w:cs="Tahoma"/>
          <w:iCs/>
          <w:sz w:val="22"/>
          <w:szCs w:val="22"/>
          <w:lang w:val="es-ES" w:eastAsia="es-ES_tradnl"/>
        </w:rPr>
        <w:t xml:space="preserve"> el presente Recurso de Revisión, toda vez que la solicitud de acceso a la información no encuadra en los supuestos establecidos de la Ley de la materia. </w:t>
      </w:r>
    </w:p>
    <w:p w14:paraId="2DD0CCC8" w14:textId="77777777" w:rsidR="0009056C" w:rsidRDefault="0009056C" w:rsidP="004A7CCB">
      <w:pPr>
        <w:spacing w:line="360" w:lineRule="auto"/>
        <w:contextualSpacing/>
        <w:jc w:val="both"/>
        <w:rPr>
          <w:rFonts w:ascii="Palatino Linotype" w:eastAsia="Calibri" w:hAnsi="Palatino Linotype" w:cs="Tahoma"/>
          <w:iCs/>
          <w:sz w:val="22"/>
          <w:szCs w:val="22"/>
          <w:lang w:val="es-ES" w:eastAsia="es-ES_tradnl"/>
        </w:rPr>
      </w:pPr>
    </w:p>
    <w:p w14:paraId="3E4CECEC" w14:textId="77777777" w:rsidR="0009056C" w:rsidRDefault="0009056C" w:rsidP="004A7CCB">
      <w:pPr>
        <w:spacing w:line="360" w:lineRule="auto"/>
        <w:contextualSpacing/>
        <w:jc w:val="both"/>
        <w:rPr>
          <w:rFonts w:ascii="Palatino Linotype" w:eastAsia="Calibri" w:hAnsi="Palatino Linotype" w:cs="Tahoma"/>
          <w:iCs/>
          <w:sz w:val="22"/>
          <w:szCs w:val="22"/>
          <w:lang w:val="es-ES" w:eastAsia="es-ES_tradnl"/>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Instituto de Transparencia Acceso a la Información Pública y Protección de Datos Personales del Estado de México y Municipios</w:t>
      </w:r>
      <w:r w:rsidRPr="00282260">
        <w:rPr>
          <w:rFonts w:ascii="Palatino Linotype" w:eastAsia="Calibri" w:hAnsi="Palatino Linotype" w:cs="Tahoma"/>
          <w:iCs/>
          <w:sz w:val="22"/>
          <w:szCs w:val="22"/>
          <w:lang w:val="es-ES" w:eastAsia="es-ES_tradnl"/>
        </w:rPr>
        <w:t>, es apoyar a la población para acceder a la información pública y garantizar la protección de sus datos personales.</w:t>
      </w:r>
      <w:r>
        <w:rPr>
          <w:rFonts w:ascii="Palatino Linotype" w:eastAsia="Calibri" w:hAnsi="Palatino Linotype" w:cs="Tahoma"/>
          <w:iCs/>
          <w:sz w:val="22"/>
          <w:szCs w:val="22"/>
          <w:lang w:val="es-ES" w:eastAsia="es-ES_tradnl"/>
        </w:rPr>
        <w:t xml:space="preserve"> </w:t>
      </w:r>
    </w:p>
    <w:p w14:paraId="2829F287" w14:textId="77777777" w:rsidR="0009056C" w:rsidRDefault="0009056C" w:rsidP="004A7CCB">
      <w:pPr>
        <w:spacing w:line="360" w:lineRule="auto"/>
        <w:contextualSpacing/>
        <w:jc w:val="both"/>
        <w:rPr>
          <w:rFonts w:ascii="Palatino Linotype" w:eastAsia="Calibri" w:hAnsi="Palatino Linotype" w:cs="Tahoma"/>
          <w:iCs/>
          <w:sz w:val="22"/>
          <w:szCs w:val="22"/>
          <w:lang w:val="es-ES" w:eastAsia="es-ES_tradnl"/>
        </w:rPr>
      </w:pPr>
    </w:p>
    <w:p w14:paraId="6C49E1E2" w14:textId="77777777" w:rsidR="0009056C" w:rsidRPr="007C0B21" w:rsidRDefault="0009056C" w:rsidP="004A7CCB">
      <w:pPr>
        <w:spacing w:line="360" w:lineRule="auto"/>
        <w:contextualSpacing/>
        <w:jc w:val="both"/>
        <w:rPr>
          <w:rFonts w:ascii="Palatino Linotype" w:eastAsia="Calibri" w:hAnsi="Palatino Linotype" w:cs="Tahoma"/>
          <w:bCs/>
          <w:sz w:val="22"/>
          <w:lang w:eastAsia="en-US"/>
        </w:rPr>
      </w:pPr>
      <w:r w:rsidRPr="007C0B21">
        <w:rPr>
          <w:rFonts w:ascii="Palatino Linotype" w:eastAsia="Calibri" w:hAnsi="Palatino Linotype" w:cs="Tahoma"/>
          <w:bCs/>
          <w:sz w:val="22"/>
          <w:lang w:eastAsia="en-US"/>
        </w:rPr>
        <w:t>Por lo expuesto y fundado, este Pleno:</w:t>
      </w:r>
    </w:p>
    <w:p w14:paraId="696B87D2" w14:textId="77777777" w:rsidR="0009056C" w:rsidRPr="007C0B21" w:rsidRDefault="0009056C" w:rsidP="004A7CCB">
      <w:pPr>
        <w:spacing w:line="360" w:lineRule="auto"/>
        <w:ind w:right="-93"/>
        <w:jc w:val="both"/>
        <w:rPr>
          <w:rFonts w:ascii="Palatino Linotype" w:hAnsi="Palatino Linotype" w:cs="Tahoma"/>
          <w:sz w:val="22"/>
          <w:szCs w:val="22"/>
        </w:rPr>
      </w:pPr>
    </w:p>
    <w:p w14:paraId="5D4672B5" w14:textId="77777777" w:rsidR="0009056C" w:rsidRPr="00642B06" w:rsidRDefault="0009056C" w:rsidP="00642B06">
      <w:pPr>
        <w:pStyle w:val="Ttulo1"/>
        <w:jc w:val="center"/>
        <w:rPr>
          <w:rFonts w:ascii="Palatino Linotype" w:eastAsia="Calibri" w:hAnsi="Palatino Linotype"/>
          <w:b/>
          <w:bCs/>
          <w:color w:val="auto"/>
          <w:sz w:val="22"/>
          <w:szCs w:val="22"/>
          <w:lang w:eastAsia="en-US"/>
        </w:rPr>
      </w:pPr>
      <w:bookmarkStart w:id="21" w:name="_Toc206684692"/>
      <w:r w:rsidRPr="00642B06">
        <w:rPr>
          <w:rFonts w:ascii="Palatino Linotype" w:eastAsia="Calibri" w:hAnsi="Palatino Linotype"/>
          <w:b/>
          <w:bCs/>
          <w:color w:val="auto"/>
          <w:sz w:val="22"/>
          <w:szCs w:val="22"/>
          <w:lang w:eastAsia="en-US"/>
        </w:rPr>
        <w:lastRenderedPageBreak/>
        <w:t>R E S U E L V E</w:t>
      </w:r>
      <w:bookmarkEnd w:id="21"/>
    </w:p>
    <w:p w14:paraId="72AB6769" w14:textId="77777777" w:rsidR="0009056C" w:rsidRPr="007C0B21" w:rsidRDefault="0009056C" w:rsidP="004A7CCB">
      <w:pPr>
        <w:spacing w:line="360" w:lineRule="auto"/>
        <w:jc w:val="center"/>
        <w:rPr>
          <w:rFonts w:ascii="Palatino Linotype" w:hAnsi="Palatino Linotype" w:cs="Tahoma"/>
          <w:b/>
          <w:bCs/>
          <w:sz w:val="22"/>
          <w:szCs w:val="22"/>
        </w:rPr>
      </w:pPr>
    </w:p>
    <w:p w14:paraId="7D24AC0C" w14:textId="77777777" w:rsidR="007E3370" w:rsidRPr="007E3370" w:rsidRDefault="0009056C" w:rsidP="007E3370">
      <w:pPr>
        <w:spacing w:line="360" w:lineRule="auto"/>
        <w:jc w:val="both"/>
        <w:rPr>
          <w:rFonts w:ascii="Palatino Linotype" w:hAnsi="Palatino Linotype" w:cs="Tahoma"/>
          <w:b/>
          <w:bCs/>
          <w:iCs/>
          <w:sz w:val="22"/>
          <w:szCs w:val="24"/>
          <w:lang w:val="es-ES_tradnl"/>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Pr>
          <w:rFonts w:ascii="Palatino Linotype" w:eastAsia="Calibri" w:hAnsi="Palatino Linotype" w:cs="Tahoma"/>
          <w:b/>
          <w:bCs/>
          <w:iCs/>
          <w:sz w:val="22"/>
          <w:szCs w:val="22"/>
          <w:lang w:eastAsia="en-US"/>
        </w:rPr>
        <w:t>SOBRESEE</w:t>
      </w:r>
      <w:r w:rsidRPr="007271A0">
        <w:rPr>
          <w:rFonts w:ascii="Palatino Linotype" w:eastAsia="Calibri" w:hAnsi="Palatino Linotype" w:cs="Tahoma"/>
          <w:bCs/>
          <w:iCs/>
          <w:sz w:val="22"/>
          <w:szCs w:val="22"/>
          <w:lang w:eastAsia="en-US"/>
        </w:rPr>
        <w:t xml:space="preserve"> </w:t>
      </w:r>
      <w:r w:rsidR="007E3370">
        <w:rPr>
          <w:rFonts w:ascii="Palatino Linotype" w:eastAsia="Calibri" w:hAnsi="Palatino Linotype" w:cs="Tahoma"/>
          <w:bCs/>
          <w:iCs/>
          <w:sz w:val="22"/>
          <w:szCs w:val="22"/>
          <w:lang w:eastAsia="en-US"/>
        </w:rPr>
        <w:t xml:space="preserve">por improcedente </w:t>
      </w:r>
      <w:r w:rsidRPr="00727FC3">
        <w:rPr>
          <w:rFonts w:ascii="Palatino Linotype" w:eastAsia="Calibri" w:hAnsi="Palatino Linotype" w:cs="Tahoma"/>
          <w:bCs/>
          <w:iCs/>
          <w:sz w:val="22"/>
          <w:szCs w:val="22"/>
          <w:lang w:eastAsia="en-US"/>
        </w:rPr>
        <w:t xml:space="preserve">el Recurso de Revisión </w:t>
      </w:r>
      <w:r w:rsidR="00AB62DF" w:rsidRPr="007E3370">
        <w:rPr>
          <w:rFonts w:ascii="Palatino Linotype" w:eastAsia="Calibri" w:hAnsi="Palatino Linotype" w:cs="Tahoma"/>
          <w:iCs/>
          <w:sz w:val="22"/>
          <w:szCs w:val="22"/>
          <w:lang w:eastAsia="en-US"/>
        </w:rPr>
        <w:t>07056</w:t>
      </w:r>
      <w:r w:rsidRPr="007E3370">
        <w:rPr>
          <w:rFonts w:ascii="Palatino Linotype" w:eastAsia="Calibri" w:hAnsi="Palatino Linotype" w:cs="Tahoma"/>
          <w:iCs/>
          <w:sz w:val="22"/>
          <w:szCs w:val="22"/>
          <w:lang w:eastAsia="en-US"/>
        </w:rPr>
        <w:t xml:space="preserve">/INFOEM/IP/RR/2024, </w:t>
      </w:r>
      <w:r w:rsidR="007E3370" w:rsidRPr="007E3370">
        <w:rPr>
          <w:rFonts w:ascii="Palatino Linotype" w:hAnsi="Palatino Linotype" w:cs="Arial"/>
          <w:bCs/>
          <w:color w:val="000000"/>
          <w:sz w:val="22"/>
          <w:szCs w:val="22"/>
          <w:lang w:val="es-ES"/>
        </w:rPr>
        <w:t>en términos del artículo 192, fracción IV, con relación al 191, fracción VI, ambos de la Ley de Transparencia y Acceso a la Información Pública del Estado de México y Municipios, de conformidad con los Considerandos TERCERO y CUARTO de la presente Resolución.</w:t>
      </w:r>
    </w:p>
    <w:p w14:paraId="255C0FB8" w14:textId="02E95634" w:rsidR="0009056C" w:rsidRPr="007271A0" w:rsidRDefault="0009056C" w:rsidP="004A7CCB">
      <w:pPr>
        <w:spacing w:line="360" w:lineRule="auto"/>
        <w:contextualSpacing/>
        <w:jc w:val="both"/>
        <w:rPr>
          <w:rFonts w:ascii="Palatino Linotype" w:eastAsia="Calibri" w:hAnsi="Palatino Linotype" w:cs="Tahoma"/>
          <w:bCs/>
          <w:iCs/>
          <w:sz w:val="22"/>
          <w:szCs w:val="22"/>
          <w:lang w:eastAsia="en-US"/>
        </w:rPr>
      </w:pPr>
    </w:p>
    <w:p w14:paraId="57D3C7C8" w14:textId="38F2F528" w:rsidR="0009056C" w:rsidRPr="007271A0" w:rsidRDefault="0009056C" w:rsidP="004A7CCB">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SEGUNDO. NOTIFÍQUESE</w:t>
      </w:r>
      <w:r w:rsidR="00D82B20">
        <w:rPr>
          <w:rFonts w:ascii="Palatino Linotype" w:eastAsia="Calibri" w:hAnsi="Palatino Linotype" w:cs="Tahoma"/>
          <w:b/>
          <w:bCs/>
          <w:iCs/>
          <w:sz w:val="22"/>
          <w:szCs w:val="22"/>
          <w:lang w:eastAsia="en-US"/>
        </w:rPr>
        <w:t xml:space="preserve"> POR SAIMEX </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72A41780" w14:textId="77777777" w:rsidR="0009056C" w:rsidRPr="007271A0" w:rsidRDefault="0009056C" w:rsidP="004A7CCB">
      <w:pPr>
        <w:spacing w:line="360" w:lineRule="auto"/>
        <w:contextualSpacing/>
        <w:jc w:val="both"/>
        <w:rPr>
          <w:rFonts w:ascii="Palatino Linotype" w:eastAsia="Calibri" w:hAnsi="Palatino Linotype" w:cs="Tahoma"/>
          <w:bCs/>
          <w:iCs/>
          <w:sz w:val="22"/>
          <w:szCs w:val="22"/>
          <w:lang w:eastAsia="en-US"/>
        </w:rPr>
      </w:pPr>
    </w:p>
    <w:p w14:paraId="1C266D28" w14:textId="58FEB18E" w:rsidR="0009056C" w:rsidRPr="00765B45" w:rsidRDefault="0009056C" w:rsidP="004A7CCB">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TERCERO. NOTIFÍQUESE</w:t>
      </w:r>
      <w:r w:rsidRPr="007271A0">
        <w:rPr>
          <w:rFonts w:ascii="Palatino Linotype" w:eastAsia="Calibri" w:hAnsi="Palatino Linotype" w:cs="Tahoma"/>
          <w:bCs/>
          <w:iCs/>
          <w:sz w:val="22"/>
          <w:szCs w:val="22"/>
          <w:lang w:eastAsia="en-US"/>
        </w:rPr>
        <w:t xml:space="preserve"> </w:t>
      </w:r>
      <w:r w:rsidR="00D82B20" w:rsidRPr="00D82B20">
        <w:rPr>
          <w:rFonts w:ascii="Palatino Linotype" w:eastAsia="Calibri" w:hAnsi="Palatino Linotype" w:cs="Tahoma"/>
          <w:b/>
          <w:bCs/>
          <w:iCs/>
          <w:sz w:val="22"/>
          <w:szCs w:val="22"/>
          <w:lang w:eastAsia="en-US"/>
        </w:rPr>
        <w:t>POR SAIMEX</w:t>
      </w:r>
      <w:r w:rsidR="00D82B2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Cs/>
          <w:iCs/>
          <w:sz w:val="22"/>
          <w:szCs w:val="22"/>
          <w:lang w:eastAsia="en-US"/>
        </w:rPr>
        <w:t>al Recurrente la presente Resolución,</w:t>
      </w:r>
      <w:r>
        <w:rPr>
          <w:rFonts w:ascii="Palatino Linotype" w:eastAsia="Calibri" w:hAnsi="Palatino Linotype" w:cs="Tahoma"/>
          <w:bCs/>
          <w:iCs/>
          <w:sz w:val="22"/>
          <w:szCs w:val="22"/>
          <w:lang w:eastAsia="en-US"/>
        </w:rPr>
        <w:t xml:space="preserve"> 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6F04EA" w14:textId="691C3B7A" w:rsidR="0009056C" w:rsidRDefault="0009056C" w:rsidP="004A7CCB">
      <w:pPr>
        <w:spacing w:line="360" w:lineRule="auto"/>
        <w:jc w:val="both"/>
        <w:rPr>
          <w:rFonts w:ascii="Palatino Linotype" w:hAnsi="Palatino Linotype" w:cs="Tahoma"/>
          <w:sz w:val="22"/>
          <w:szCs w:val="22"/>
          <w:shd w:val="clear" w:color="auto" w:fill="FFFFFF"/>
        </w:rPr>
      </w:pPr>
    </w:p>
    <w:p w14:paraId="34E132A1" w14:textId="17C16268" w:rsidR="00803E3D" w:rsidRDefault="00803E3D" w:rsidP="004A7CC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w:t>
      </w:r>
      <w:r w:rsidR="00642B06">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C13FB">
        <w:rPr>
          <w:rFonts w:ascii="Palatino Linotype" w:hAnsi="Palatino Linotype" w:cs="Tahoma"/>
          <w:sz w:val="22"/>
          <w:szCs w:val="22"/>
          <w:lang w:eastAsia="es-MX"/>
        </w:rPr>
        <w:t>VIGÉSIMA</w:t>
      </w:r>
      <w:r w:rsidR="00462AEC">
        <w:rPr>
          <w:rFonts w:ascii="Palatino Linotype" w:hAnsi="Palatino Linotype" w:cs="Tahoma"/>
          <w:sz w:val="22"/>
          <w:szCs w:val="22"/>
          <w:lang w:eastAsia="es-MX"/>
        </w:rPr>
        <w:t xml:space="preserve"> </w:t>
      </w:r>
      <w:r w:rsidR="00AB62DF">
        <w:rPr>
          <w:rFonts w:ascii="Palatino Linotype" w:hAnsi="Palatino Linotype" w:cs="Tahoma"/>
          <w:sz w:val="22"/>
          <w:szCs w:val="22"/>
          <w:lang w:eastAsia="es-MX"/>
        </w:rPr>
        <w:t>NOVENA</w:t>
      </w:r>
      <w:r w:rsidR="00057616">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AB62DF">
        <w:rPr>
          <w:rFonts w:ascii="Palatino Linotype" w:hAnsi="Palatino Linotype" w:cs="Tahoma"/>
          <w:sz w:val="22"/>
          <w:szCs w:val="22"/>
          <w:lang w:eastAsia="es-MX"/>
        </w:rPr>
        <w:t xml:space="preserve">VEINTE </w:t>
      </w:r>
      <w:r w:rsidR="00A11C5C">
        <w:rPr>
          <w:rFonts w:ascii="Palatino Linotype" w:hAnsi="Palatino Linotype" w:cs="Tahoma"/>
          <w:sz w:val="22"/>
          <w:szCs w:val="22"/>
          <w:lang w:eastAsia="es-MX"/>
        </w:rPr>
        <w:t xml:space="preserve">DE AGOSTO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3E601BC9" w14:textId="77777777" w:rsidR="00163BAA" w:rsidRDefault="00163BAA" w:rsidP="004A7CCB">
      <w:pPr>
        <w:spacing w:line="360" w:lineRule="auto"/>
        <w:contextualSpacing/>
        <w:jc w:val="both"/>
        <w:rPr>
          <w:rFonts w:ascii="Palatino Linotype" w:hAnsi="Palatino Linotype" w:cs="Tahoma"/>
          <w:sz w:val="22"/>
          <w:szCs w:val="22"/>
        </w:rPr>
      </w:pPr>
    </w:p>
    <w:p w14:paraId="0816CAEF" w14:textId="77777777" w:rsidR="00163BAA" w:rsidRDefault="00163BAA" w:rsidP="004A7CCB">
      <w:pPr>
        <w:spacing w:line="360" w:lineRule="auto"/>
        <w:contextualSpacing/>
        <w:jc w:val="both"/>
        <w:rPr>
          <w:rFonts w:ascii="Palatino Linotype" w:hAnsi="Palatino Linotype" w:cs="Tahoma"/>
          <w:sz w:val="22"/>
          <w:szCs w:val="22"/>
        </w:rPr>
      </w:pPr>
    </w:p>
    <w:p w14:paraId="6D73EF4A" w14:textId="77777777" w:rsidR="0089175F" w:rsidRDefault="0089175F" w:rsidP="004A7CCB">
      <w:pPr>
        <w:spacing w:line="360" w:lineRule="auto"/>
        <w:contextualSpacing/>
        <w:jc w:val="both"/>
        <w:rPr>
          <w:rFonts w:ascii="Palatino Linotype" w:hAnsi="Palatino Linotype" w:cs="Tahoma"/>
          <w:sz w:val="22"/>
          <w:szCs w:val="22"/>
        </w:rPr>
      </w:pPr>
    </w:p>
    <w:p w14:paraId="13AFDA21" w14:textId="77777777" w:rsidR="0089175F" w:rsidRDefault="0089175F" w:rsidP="004A7CCB">
      <w:pPr>
        <w:spacing w:line="360" w:lineRule="auto"/>
        <w:contextualSpacing/>
        <w:jc w:val="both"/>
        <w:rPr>
          <w:rFonts w:ascii="Palatino Linotype" w:hAnsi="Palatino Linotype" w:cs="Tahoma"/>
          <w:sz w:val="22"/>
          <w:szCs w:val="22"/>
        </w:rPr>
      </w:pPr>
    </w:p>
    <w:p w14:paraId="5C4FDB5C" w14:textId="77777777" w:rsidR="0089175F" w:rsidRDefault="0089175F" w:rsidP="004A7CCB">
      <w:pPr>
        <w:spacing w:line="360" w:lineRule="auto"/>
        <w:contextualSpacing/>
        <w:jc w:val="both"/>
        <w:rPr>
          <w:rFonts w:ascii="Palatino Linotype" w:hAnsi="Palatino Linotype" w:cs="Tahoma"/>
          <w:sz w:val="22"/>
          <w:szCs w:val="22"/>
        </w:rPr>
      </w:pPr>
    </w:p>
    <w:p w14:paraId="7E9F3B2D" w14:textId="77777777" w:rsidR="0089175F" w:rsidRDefault="0089175F" w:rsidP="004A7CCB">
      <w:pPr>
        <w:spacing w:line="360" w:lineRule="auto"/>
        <w:contextualSpacing/>
        <w:jc w:val="both"/>
        <w:rPr>
          <w:rFonts w:ascii="Palatino Linotype" w:hAnsi="Palatino Linotype" w:cs="Tahoma"/>
          <w:sz w:val="22"/>
          <w:szCs w:val="22"/>
        </w:rPr>
      </w:pPr>
    </w:p>
    <w:p w14:paraId="3DAE169F" w14:textId="77777777" w:rsidR="001F1A77" w:rsidRDefault="001F1A77" w:rsidP="004A7CCB">
      <w:pPr>
        <w:spacing w:line="360" w:lineRule="auto"/>
        <w:contextualSpacing/>
        <w:jc w:val="both"/>
        <w:rPr>
          <w:rFonts w:ascii="Palatino Linotype" w:hAnsi="Palatino Linotype" w:cs="Tahoma"/>
          <w:sz w:val="22"/>
          <w:szCs w:val="22"/>
        </w:rPr>
      </w:pPr>
    </w:p>
    <w:p w14:paraId="5AA6B38B" w14:textId="77777777" w:rsidR="001F1A77" w:rsidRDefault="001F1A77" w:rsidP="004A7CCB">
      <w:pPr>
        <w:spacing w:line="360" w:lineRule="auto"/>
        <w:contextualSpacing/>
        <w:jc w:val="both"/>
        <w:rPr>
          <w:rFonts w:ascii="Palatino Linotype" w:hAnsi="Palatino Linotype" w:cs="Tahoma"/>
          <w:sz w:val="22"/>
          <w:szCs w:val="22"/>
        </w:rPr>
      </w:pPr>
    </w:p>
    <w:p w14:paraId="4842B6E9" w14:textId="77777777" w:rsidR="000B1059" w:rsidRDefault="000B1059" w:rsidP="004A7CCB">
      <w:pPr>
        <w:spacing w:line="360" w:lineRule="auto"/>
        <w:contextualSpacing/>
        <w:jc w:val="both"/>
        <w:rPr>
          <w:rFonts w:ascii="Palatino Linotype" w:hAnsi="Palatino Linotype" w:cs="Tahoma"/>
          <w:sz w:val="22"/>
          <w:szCs w:val="22"/>
        </w:rPr>
      </w:pPr>
    </w:p>
    <w:p w14:paraId="426FD333" w14:textId="77777777" w:rsidR="000B1059" w:rsidRDefault="000B1059" w:rsidP="004A7CCB">
      <w:pPr>
        <w:spacing w:line="360" w:lineRule="auto"/>
        <w:contextualSpacing/>
        <w:jc w:val="both"/>
        <w:rPr>
          <w:rFonts w:ascii="Palatino Linotype" w:hAnsi="Palatino Linotype" w:cs="Tahoma"/>
          <w:sz w:val="22"/>
          <w:szCs w:val="22"/>
        </w:rPr>
      </w:pPr>
    </w:p>
    <w:p w14:paraId="57061B1A" w14:textId="77777777" w:rsidR="000B1059" w:rsidRDefault="000B1059" w:rsidP="004A7CCB">
      <w:pPr>
        <w:spacing w:line="360" w:lineRule="auto"/>
        <w:contextualSpacing/>
        <w:jc w:val="both"/>
        <w:rPr>
          <w:rFonts w:ascii="Palatino Linotype" w:hAnsi="Palatino Linotype" w:cs="Tahoma"/>
          <w:sz w:val="22"/>
          <w:szCs w:val="22"/>
        </w:rPr>
      </w:pPr>
    </w:p>
    <w:p w14:paraId="204A8A8A" w14:textId="77777777" w:rsidR="001F1A77" w:rsidRDefault="001F1A77" w:rsidP="004A7CCB">
      <w:pPr>
        <w:spacing w:line="360" w:lineRule="auto"/>
        <w:contextualSpacing/>
        <w:jc w:val="both"/>
        <w:rPr>
          <w:rFonts w:ascii="Palatino Linotype" w:hAnsi="Palatino Linotype" w:cs="Tahoma"/>
          <w:sz w:val="22"/>
          <w:szCs w:val="22"/>
        </w:rPr>
      </w:pPr>
    </w:p>
    <w:p w14:paraId="66B19EA8" w14:textId="77777777" w:rsidR="001F1A77" w:rsidRDefault="001F1A77" w:rsidP="004A7CCB">
      <w:pPr>
        <w:spacing w:line="360" w:lineRule="auto"/>
        <w:contextualSpacing/>
        <w:jc w:val="both"/>
        <w:rPr>
          <w:rFonts w:ascii="Palatino Linotype" w:hAnsi="Palatino Linotype" w:cs="Tahoma"/>
          <w:sz w:val="22"/>
          <w:szCs w:val="22"/>
        </w:rPr>
      </w:pPr>
    </w:p>
    <w:p w14:paraId="47207AA8" w14:textId="77777777" w:rsidR="001F1A77" w:rsidRDefault="001F1A77" w:rsidP="004A7CCB">
      <w:pPr>
        <w:spacing w:line="360" w:lineRule="auto"/>
        <w:contextualSpacing/>
        <w:jc w:val="both"/>
        <w:rPr>
          <w:rFonts w:ascii="Palatino Linotype" w:hAnsi="Palatino Linotype" w:cs="Tahoma"/>
          <w:sz w:val="22"/>
          <w:szCs w:val="22"/>
        </w:rPr>
      </w:pPr>
    </w:p>
    <w:p w14:paraId="440E60E3" w14:textId="77777777" w:rsidR="001F1A77" w:rsidRDefault="001F1A77" w:rsidP="004A7CCB">
      <w:pPr>
        <w:spacing w:line="360" w:lineRule="auto"/>
        <w:contextualSpacing/>
        <w:jc w:val="both"/>
        <w:rPr>
          <w:rFonts w:ascii="Palatino Linotype" w:hAnsi="Palatino Linotype" w:cs="Tahoma"/>
          <w:sz w:val="22"/>
          <w:szCs w:val="22"/>
        </w:rPr>
      </w:pPr>
    </w:p>
    <w:p w14:paraId="76A7C6D8" w14:textId="77777777" w:rsidR="001F1A77" w:rsidRDefault="001F1A77" w:rsidP="004A7CCB">
      <w:pPr>
        <w:spacing w:line="360" w:lineRule="auto"/>
        <w:contextualSpacing/>
        <w:jc w:val="both"/>
        <w:rPr>
          <w:rFonts w:ascii="Palatino Linotype" w:hAnsi="Palatino Linotype" w:cs="Tahoma"/>
          <w:sz w:val="22"/>
          <w:szCs w:val="22"/>
        </w:rPr>
      </w:pPr>
    </w:p>
    <w:p w14:paraId="1D843944" w14:textId="77777777" w:rsidR="001F1A77" w:rsidRDefault="001F1A77" w:rsidP="004A7CCB">
      <w:pPr>
        <w:spacing w:line="360" w:lineRule="auto"/>
        <w:contextualSpacing/>
        <w:jc w:val="both"/>
        <w:rPr>
          <w:rFonts w:ascii="Palatino Linotype" w:hAnsi="Palatino Linotype" w:cs="Tahoma"/>
          <w:sz w:val="22"/>
          <w:szCs w:val="22"/>
        </w:rPr>
      </w:pPr>
    </w:p>
    <w:p w14:paraId="7495B5A6" w14:textId="77777777" w:rsidR="001F1A77" w:rsidRDefault="001F1A77" w:rsidP="004A7CCB">
      <w:pPr>
        <w:spacing w:line="360" w:lineRule="auto"/>
        <w:contextualSpacing/>
        <w:jc w:val="both"/>
        <w:rPr>
          <w:rFonts w:ascii="Palatino Linotype" w:hAnsi="Palatino Linotype" w:cs="Tahoma"/>
          <w:sz w:val="22"/>
          <w:szCs w:val="22"/>
        </w:rPr>
      </w:pPr>
    </w:p>
    <w:p w14:paraId="2E669A3E" w14:textId="77777777" w:rsidR="001F1A77" w:rsidRPr="003A1DF0" w:rsidRDefault="001F1A77" w:rsidP="004A7CCB">
      <w:pPr>
        <w:spacing w:line="360" w:lineRule="auto"/>
        <w:contextualSpacing/>
        <w:jc w:val="both"/>
        <w:rPr>
          <w:rFonts w:ascii="Palatino Linotype" w:hAnsi="Palatino Linotype" w:cs="Tahoma"/>
          <w:sz w:val="22"/>
          <w:szCs w:val="22"/>
        </w:rPr>
      </w:pPr>
    </w:p>
    <w:p w14:paraId="3137F698" w14:textId="77777777" w:rsidR="003A1DF0" w:rsidRPr="003A1DF0" w:rsidRDefault="003A1DF0" w:rsidP="004A7CCB">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ED09" w14:textId="77777777" w:rsidR="009503B3" w:rsidRDefault="009503B3" w:rsidP="00B31222">
      <w:r>
        <w:separator/>
      </w:r>
    </w:p>
  </w:endnote>
  <w:endnote w:type="continuationSeparator" w:id="0">
    <w:p w14:paraId="3359E650" w14:textId="77777777" w:rsidR="009503B3" w:rsidRDefault="009503B3" w:rsidP="00B31222">
      <w:r>
        <w:continuationSeparator/>
      </w:r>
    </w:p>
  </w:endnote>
  <w:endnote w:type="continuationNotice" w:id="1">
    <w:p w14:paraId="69ADEE02" w14:textId="77777777" w:rsidR="009503B3" w:rsidRDefault="00950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3ED227DF"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0DB2">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0DB2">
              <w:rPr>
                <w:b/>
                <w:bCs/>
                <w:noProof/>
              </w:rPr>
              <w:t>17</w:t>
            </w:r>
            <w:r>
              <w:rPr>
                <w:b/>
                <w:bCs/>
                <w:sz w:val="24"/>
                <w:szCs w:val="24"/>
              </w:rPr>
              <w:fldChar w:fldCharType="end"/>
            </w:r>
          </w:p>
        </w:sdtContent>
      </w:sdt>
    </w:sdtContent>
  </w:sdt>
  <w:p w14:paraId="1F50703A" w14:textId="77777777" w:rsidR="00CF1D4D" w:rsidRDefault="00CF1D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828F9D3"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0D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0DB2">
              <w:rPr>
                <w:b/>
                <w:bCs/>
                <w:noProof/>
              </w:rPr>
              <w:t>17</w:t>
            </w:r>
            <w:r>
              <w:rPr>
                <w:b/>
                <w:bCs/>
                <w:sz w:val="24"/>
                <w:szCs w:val="24"/>
              </w:rPr>
              <w:fldChar w:fldCharType="end"/>
            </w:r>
          </w:p>
        </w:sdtContent>
      </w:sdt>
    </w:sdtContent>
  </w:sdt>
  <w:p w14:paraId="7704DD9B" w14:textId="77777777" w:rsidR="00CF1D4D" w:rsidRDefault="00CF1D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41C4" w14:textId="77777777" w:rsidR="009503B3" w:rsidRDefault="009503B3" w:rsidP="00B31222">
      <w:r>
        <w:separator/>
      </w:r>
    </w:p>
  </w:footnote>
  <w:footnote w:type="continuationSeparator" w:id="0">
    <w:p w14:paraId="5145C972" w14:textId="77777777" w:rsidR="009503B3" w:rsidRDefault="009503B3" w:rsidP="00B31222">
      <w:r>
        <w:continuationSeparator/>
      </w:r>
    </w:p>
  </w:footnote>
  <w:footnote w:type="continuationNotice" w:id="1">
    <w:p w14:paraId="311944E0" w14:textId="77777777" w:rsidR="009503B3" w:rsidRDefault="009503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02E0" w14:textId="77777777" w:rsidR="00CF1D4D" w:rsidRDefault="009503B3">
    <w:pPr>
      <w:pStyle w:val="Encabezado"/>
    </w:pPr>
    <w:r>
      <w:rPr>
        <w:noProof/>
        <w:lang w:eastAsia="es-MX"/>
      </w:rPr>
      <w:pict w14:anchorId="6E7DA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CF1D4D" w:rsidRPr="005C106F" w14:paraId="4B01D1F0" w14:textId="77777777" w:rsidTr="00202DB8">
      <w:trPr>
        <w:trHeight w:val="1435"/>
      </w:trPr>
      <w:tc>
        <w:tcPr>
          <w:tcW w:w="2835" w:type="dxa"/>
          <w:shd w:val="clear" w:color="auto" w:fill="auto"/>
        </w:tcPr>
        <w:p w14:paraId="3762032F" w14:textId="77777777" w:rsidR="00CF1D4D" w:rsidRPr="005C106F" w:rsidRDefault="00CF1D4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5025E1E" wp14:editId="26E192F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620EF40" w14:textId="77777777" w:rsidR="00CF1D4D" w:rsidRDefault="00CF1D4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CF1D4D" w14:paraId="661E04E7" w14:textId="77777777" w:rsidTr="004A7CCB">
            <w:trPr>
              <w:trHeight w:val="144"/>
            </w:trPr>
            <w:tc>
              <w:tcPr>
                <w:tcW w:w="2589" w:type="dxa"/>
              </w:tcPr>
              <w:p w14:paraId="75561E7A" w14:textId="77777777" w:rsidR="004A7CCB" w:rsidRDefault="004A7CCB" w:rsidP="00E43A0F">
                <w:pPr>
                  <w:tabs>
                    <w:tab w:val="right" w:pos="8838"/>
                  </w:tabs>
                  <w:ind w:right="-105"/>
                  <w:rPr>
                    <w:rFonts w:ascii="Palatino Linotype" w:eastAsia="Calibri" w:hAnsi="Palatino Linotype" w:cs="Tahoma"/>
                    <w:b/>
                    <w:sz w:val="22"/>
                    <w:szCs w:val="22"/>
                    <w:lang w:eastAsia="en-US"/>
                  </w:rPr>
                </w:pPr>
              </w:p>
              <w:p w14:paraId="78874788" w14:textId="5C66F872"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17E7604" w14:textId="77777777" w:rsidR="004A7CCB" w:rsidRDefault="004A7CCB" w:rsidP="004B553D">
                <w:pPr>
                  <w:tabs>
                    <w:tab w:val="right" w:pos="8838"/>
                  </w:tabs>
                  <w:ind w:left="-106" w:right="171"/>
                  <w:jc w:val="both"/>
                  <w:rPr>
                    <w:rFonts w:ascii="Palatino Linotype" w:eastAsia="Calibri" w:hAnsi="Palatino Linotype" w:cs="Tahoma"/>
                    <w:sz w:val="22"/>
                    <w:szCs w:val="22"/>
                    <w:lang w:val="es-MX" w:eastAsia="en-US"/>
                  </w:rPr>
                </w:pPr>
              </w:p>
              <w:p w14:paraId="78D03213" w14:textId="03DC3233" w:rsidR="00CF1D4D" w:rsidRPr="004A7CCB" w:rsidRDefault="00CF1D4D" w:rsidP="004B553D">
                <w:pPr>
                  <w:tabs>
                    <w:tab w:val="right" w:pos="8838"/>
                  </w:tabs>
                  <w:ind w:left="-106" w:right="171"/>
                  <w:jc w:val="both"/>
                  <w:rPr>
                    <w:rFonts w:ascii="Palatino Linotype" w:eastAsia="Calibri" w:hAnsi="Palatino Linotype" w:cs="Tahoma"/>
                    <w:sz w:val="22"/>
                    <w:szCs w:val="22"/>
                    <w:lang w:eastAsia="en-US"/>
                  </w:rPr>
                </w:pPr>
                <w:r w:rsidRPr="004A7CCB">
                  <w:rPr>
                    <w:rFonts w:ascii="Palatino Linotype" w:eastAsia="Calibri" w:hAnsi="Palatino Linotype" w:cs="Tahoma"/>
                    <w:sz w:val="22"/>
                    <w:szCs w:val="22"/>
                    <w:lang w:val="es-MX" w:eastAsia="en-US"/>
                  </w:rPr>
                  <w:t>07056/INFOEM/IP/RR/2025</w:t>
                </w:r>
              </w:p>
            </w:tc>
          </w:tr>
          <w:tr w:rsidR="00CF1D4D" w14:paraId="57DF51E2" w14:textId="77777777" w:rsidTr="004A7CCB">
            <w:trPr>
              <w:trHeight w:val="283"/>
            </w:trPr>
            <w:tc>
              <w:tcPr>
                <w:tcW w:w="2589" w:type="dxa"/>
              </w:tcPr>
              <w:p w14:paraId="28AEF174"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A71B951" w14:textId="77777777" w:rsidR="00CF1D4D" w:rsidRPr="005F13CF" w:rsidRDefault="00CF1D4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CF1D4D" w14:paraId="6268B9EE" w14:textId="77777777" w:rsidTr="004A7CCB">
            <w:trPr>
              <w:trHeight w:val="283"/>
            </w:trPr>
            <w:tc>
              <w:tcPr>
                <w:tcW w:w="2589" w:type="dxa"/>
              </w:tcPr>
              <w:p w14:paraId="2D5535CD"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8FDC620" w14:textId="77777777" w:rsidR="00CF1D4D" w:rsidRDefault="00CF1D4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AA68C7E" w14:textId="77777777" w:rsidR="00CF1D4D" w:rsidRPr="00431A70" w:rsidRDefault="00CF1D4D" w:rsidP="005F13CF">
                <w:pPr>
                  <w:tabs>
                    <w:tab w:val="right" w:pos="8838"/>
                  </w:tabs>
                  <w:ind w:left="-106" w:right="171"/>
                  <w:jc w:val="both"/>
                  <w:rPr>
                    <w:rFonts w:ascii="Palatino Linotype" w:eastAsia="Calibri" w:hAnsi="Palatino Linotype" w:cs="Tahoma"/>
                    <w:b/>
                    <w:sz w:val="22"/>
                    <w:szCs w:val="22"/>
                    <w:lang w:eastAsia="en-US"/>
                  </w:rPr>
                </w:pPr>
              </w:p>
            </w:tc>
          </w:tr>
        </w:tbl>
        <w:p w14:paraId="66B1B88C" w14:textId="77777777" w:rsidR="00CF1D4D" w:rsidRPr="005C106F" w:rsidRDefault="00CF1D4D" w:rsidP="005743D2">
          <w:pPr>
            <w:tabs>
              <w:tab w:val="right" w:pos="8838"/>
            </w:tabs>
            <w:ind w:left="-28"/>
            <w:jc w:val="both"/>
            <w:rPr>
              <w:rFonts w:ascii="Arial" w:eastAsia="Calibri" w:hAnsi="Arial" w:cs="Arial"/>
              <w:b/>
              <w:sz w:val="22"/>
              <w:szCs w:val="22"/>
              <w:lang w:eastAsia="en-US"/>
            </w:rPr>
          </w:pPr>
        </w:p>
      </w:tc>
    </w:tr>
  </w:tbl>
  <w:p w14:paraId="1FDFC06D" w14:textId="77777777" w:rsidR="00CF1D4D" w:rsidRPr="00A25151" w:rsidRDefault="00CF1D4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CF1D4D" w:rsidRPr="00330DA7" w14:paraId="6B36F17C" w14:textId="77777777" w:rsidTr="003B165A">
      <w:trPr>
        <w:trHeight w:val="1435"/>
      </w:trPr>
      <w:tc>
        <w:tcPr>
          <w:tcW w:w="2835" w:type="dxa"/>
          <w:shd w:val="clear" w:color="auto" w:fill="auto"/>
        </w:tcPr>
        <w:p w14:paraId="2B96627E" w14:textId="77777777" w:rsidR="00CF1D4D" w:rsidRPr="00330DA7" w:rsidRDefault="00CF1D4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36D0076A" wp14:editId="65B946BF">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5B8246BA" w14:textId="77777777" w:rsidR="004A7CCB" w:rsidRDefault="004A7CCB"/>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CF1D4D" w:rsidRPr="00431A70" w14:paraId="13AFBC24" w14:textId="77777777" w:rsidTr="00DF3BE8">
            <w:trPr>
              <w:trHeight w:val="144"/>
            </w:trPr>
            <w:tc>
              <w:tcPr>
                <w:tcW w:w="2589" w:type="dxa"/>
              </w:tcPr>
              <w:p w14:paraId="434D4C06" w14:textId="77777777" w:rsidR="00CF1D4D" w:rsidRPr="00431A70" w:rsidRDefault="00CF1D4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76A4A44" w14:textId="573DAEA7" w:rsidR="00CF1D4D" w:rsidRPr="004A7CCB" w:rsidRDefault="00CF1D4D" w:rsidP="004B553D">
                <w:pPr>
                  <w:tabs>
                    <w:tab w:val="right" w:pos="8838"/>
                  </w:tabs>
                  <w:ind w:left="-106" w:right="-105"/>
                  <w:jc w:val="both"/>
                  <w:rPr>
                    <w:rFonts w:ascii="Palatino Linotype" w:eastAsia="Calibri" w:hAnsi="Palatino Linotype" w:cs="Tahoma"/>
                    <w:sz w:val="22"/>
                    <w:szCs w:val="22"/>
                    <w:lang w:eastAsia="en-US"/>
                  </w:rPr>
                </w:pPr>
                <w:r w:rsidRPr="004A7CCB">
                  <w:rPr>
                    <w:rFonts w:ascii="Palatino Linotype" w:eastAsia="Calibri" w:hAnsi="Palatino Linotype" w:cs="Tahoma"/>
                    <w:sz w:val="22"/>
                    <w:szCs w:val="22"/>
                    <w:lang w:val="es-MX" w:eastAsia="en-US"/>
                  </w:rPr>
                  <w:t>07056/INFOEM/IP/RR/2025</w:t>
                </w:r>
              </w:p>
            </w:tc>
          </w:tr>
          <w:tr w:rsidR="00CF1D4D" w:rsidRPr="00286D0C" w14:paraId="51680F54" w14:textId="77777777" w:rsidTr="00DF3BE8">
            <w:trPr>
              <w:trHeight w:val="144"/>
            </w:trPr>
            <w:tc>
              <w:tcPr>
                <w:tcW w:w="2589" w:type="dxa"/>
              </w:tcPr>
              <w:p w14:paraId="57D175B6"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99DAFA5" w14:textId="09B34CBE" w:rsidR="00CF1D4D" w:rsidRPr="00286D0C" w:rsidRDefault="003E345F" w:rsidP="005F13CF">
                <w:pPr>
                  <w:tabs>
                    <w:tab w:val="left" w:pos="3122"/>
                    <w:tab w:val="right" w:pos="8838"/>
                  </w:tabs>
                  <w:ind w:left="-106" w:right="-105"/>
                  <w:jc w:val="both"/>
                  <w:rPr>
                    <w:rFonts w:ascii="Palatino Linotype" w:eastAsia="Calibri" w:hAnsi="Palatino Linotype" w:cs="Tahoma"/>
                    <w:bCs/>
                    <w:sz w:val="22"/>
                    <w:szCs w:val="22"/>
                    <w:lang w:eastAsia="en-US"/>
                  </w:rPr>
                </w:pPr>
                <w:r w:rsidRPr="003E345F">
                  <w:rPr>
                    <w:rFonts w:ascii="Palatino Linotype" w:eastAsia="Calibri" w:hAnsi="Palatino Linotype" w:cs="Tahoma"/>
                    <w:bCs/>
                    <w:sz w:val="22"/>
                    <w:szCs w:val="22"/>
                    <w:highlight w:val="black"/>
                    <w:lang w:eastAsia="en-US"/>
                  </w:rPr>
                  <w:t>XXX</w:t>
                </w:r>
              </w:p>
            </w:tc>
          </w:tr>
          <w:tr w:rsidR="00CF1D4D" w:rsidRPr="00431A70" w14:paraId="1A0C2E0B" w14:textId="77777777" w:rsidTr="00DF3BE8">
            <w:trPr>
              <w:trHeight w:val="283"/>
            </w:trPr>
            <w:tc>
              <w:tcPr>
                <w:tcW w:w="2589" w:type="dxa"/>
              </w:tcPr>
              <w:p w14:paraId="2020E0CF"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85D3021" w14:textId="77777777" w:rsidR="00CF1D4D" w:rsidRPr="005F13CF" w:rsidRDefault="00CF1D4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CF1D4D" w:rsidRPr="00431A70" w14:paraId="480A616E" w14:textId="77777777" w:rsidTr="00DF3BE8">
            <w:trPr>
              <w:trHeight w:val="283"/>
            </w:trPr>
            <w:tc>
              <w:tcPr>
                <w:tcW w:w="2589" w:type="dxa"/>
              </w:tcPr>
              <w:p w14:paraId="604F1D7B"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62AEE72" w14:textId="77777777" w:rsidR="00CF1D4D" w:rsidRPr="00431A70" w:rsidRDefault="00CF1D4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148A6E1" w14:textId="77777777" w:rsidR="00CF1D4D" w:rsidRPr="00330DA7" w:rsidRDefault="00CF1D4D" w:rsidP="00DB7E5F">
          <w:pPr>
            <w:tabs>
              <w:tab w:val="right" w:pos="8838"/>
            </w:tabs>
            <w:ind w:left="-28"/>
            <w:jc w:val="both"/>
            <w:rPr>
              <w:rFonts w:ascii="Arial" w:eastAsia="Calibri" w:hAnsi="Arial" w:cs="Arial"/>
              <w:b/>
              <w:sz w:val="22"/>
              <w:szCs w:val="22"/>
              <w:lang w:eastAsia="en-US"/>
            </w:rPr>
          </w:pPr>
        </w:p>
      </w:tc>
    </w:tr>
  </w:tbl>
  <w:p w14:paraId="35DB0388" w14:textId="77777777" w:rsidR="00CF1D4D" w:rsidRPr="00330DA7" w:rsidRDefault="00CF1D4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0"/>
  </w:num>
  <w:num w:numId="6">
    <w:abstractNumId w:val="6"/>
  </w:num>
  <w:num w:numId="7">
    <w:abstractNumId w:val="9"/>
  </w:num>
  <w:num w:numId="8">
    <w:abstractNumId w:val="24"/>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8"/>
  </w:num>
  <w:num w:numId="14">
    <w:abstractNumId w:val="17"/>
  </w:num>
  <w:num w:numId="15">
    <w:abstractNumId w:val="19"/>
  </w:num>
  <w:num w:numId="16">
    <w:abstractNumId w:val="37"/>
  </w:num>
  <w:num w:numId="17">
    <w:abstractNumId w:val="15"/>
  </w:num>
  <w:num w:numId="18">
    <w:abstractNumId w:val="21"/>
  </w:num>
  <w:num w:numId="19">
    <w:abstractNumId w:val="3"/>
  </w:num>
  <w:num w:numId="20">
    <w:abstractNumId w:val="28"/>
  </w:num>
  <w:num w:numId="21">
    <w:abstractNumId w:val="33"/>
  </w:num>
  <w:num w:numId="22">
    <w:abstractNumId w:val="35"/>
  </w:num>
  <w:num w:numId="23">
    <w:abstractNumId w:val="23"/>
  </w:num>
  <w:num w:numId="24">
    <w:abstractNumId w:val="16"/>
  </w:num>
  <w:num w:numId="25">
    <w:abstractNumId w:val="30"/>
  </w:num>
  <w:num w:numId="26">
    <w:abstractNumId w:val="11"/>
  </w:num>
  <w:num w:numId="27">
    <w:abstractNumId w:val="13"/>
  </w:num>
  <w:num w:numId="28">
    <w:abstractNumId w:val="18"/>
  </w:num>
  <w:num w:numId="29">
    <w:abstractNumId w:val="8"/>
  </w:num>
  <w:num w:numId="30">
    <w:abstractNumId w:val="29"/>
  </w:num>
  <w:num w:numId="31">
    <w:abstractNumId w:val="31"/>
  </w:num>
  <w:num w:numId="32">
    <w:abstractNumId w:val="22"/>
  </w:num>
  <w:num w:numId="33">
    <w:abstractNumId w:val="26"/>
  </w:num>
  <w:num w:numId="34">
    <w:abstractNumId w:val="27"/>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2"/>
  </w:num>
  <w:num w:numId="38">
    <w:abstractNumId w:val="4"/>
  </w:num>
  <w:num w:numId="39">
    <w:abstractNumId w:val="7"/>
  </w:num>
  <w:num w:numId="40">
    <w:abstractNumId w:val="39"/>
  </w:num>
  <w:num w:numId="41">
    <w:abstractNumId w:val="1"/>
  </w:num>
  <w:num w:numId="4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56C"/>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09CD"/>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80C"/>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1A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6DC8"/>
    <w:rsid w:val="00177532"/>
    <w:rsid w:val="00177BFC"/>
    <w:rsid w:val="00177C07"/>
    <w:rsid w:val="00177D3B"/>
    <w:rsid w:val="00180208"/>
    <w:rsid w:val="00180365"/>
    <w:rsid w:val="00180DB2"/>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3EA"/>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45F"/>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A7CCB"/>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4B3"/>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06"/>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5DE2"/>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728"/>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370"/>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B3"/>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2DF"/>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06"/>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1D4D"/>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7B1"/>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97F"/>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2B20"/>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827"/>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8F9"/>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2DF7A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39409108">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2556782">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6019-3E78-4BDC-A598-2C417E19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4319</Words>
  <Characters>23757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2025-08-22T18:42:00Z</cp:lastPrinted>
  <dcterms:created xsi:type="dcterms:W3CDTF">2025-08-22T18:42:00Z</dcterms:created>
  <dcterms:modified xsi:type="dcterms:W3CDTF">2025-09-25T17:18:00Z</dcterms:modified>
</cp:coreProperties>
</file>